
<file path=[Content_Types].xml><?xml version="1.0" encoding="utf-8"?>
<Types xmlns="http://schemas.openxmlformats.org/package/2006/content-types">
  <Default ContentType="application/vnd.openxmlformats-package.relationships+xml" Extension="rels"/>
  <Default ContentType="image/x-wmf" Extension="wmf"/>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thumbnail.wmf" Type="http://schemas.openxmlformats.org/package/2006/relationships/metadata/thumbnail"/><Relationship Id="rId2" Target="docProps/app.xml" Type="http://schemas.openxmlformats.org/officeDocument/2006/relationships/extended-properties"/><Relationship Id="rId3" Target="docProps/core.xml" Type="http://schemas.openxmlformats.org/package/2006/relationships/metadata/core-properties"/><Relationship Id="rId4" Target="docProps/custom.xml" Type="http://schemas.openxmlformats.org/officeDocument/2006/relationships/custom-properties"/><Relationship Id="rId5"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beforeLines="250"/>
        <w:jc w:val="center"/>
        <w:rPr>
          <w:rFonts w:ascii="仿宋_GB2312" w:eastAsia="仿宋_GB2312"/>
          <w:b/>
          <w:sz w:val="72"/>
          <w:szCs w:val="72"/>
        </w:rPr>
      </w:pPr>
      <w:r>
        <w:rPr>
          <w:rFonts w:hint="eastAsia" w:ascii="仿宋_GB2312" w:eastAsia="仿宋_GB2312"/>
          <w:b/>
          <w:sz w:val="72"/>
          <w:szCs w:val="72"/>
        </w:rPr>
        <w:t>政府采购公开招标文件</w:t>
      </w:r>
    </w:p>
    <w:p>
      <w:pPr>
        <w:jc w:val="center"/>
        <w:rPr>
          <w:rFonts w:ascii="仿宋_GB2312" w:eastAsia="仿宋_GB2312"/>
          <w:sz w:val="28"/>
          <w:szCs w:val="28"/>
        </w:rPr>
      </w:pPr>
    </w:p>
    <w:p>
      <w:pPr>
        <w:rPr>
          <w:rFonts w:ascii="仿宋_GB2312" w:eastAsia="仿宋_GB2312"/>
          <w:sz w:val="28"/>
          <w:szCs w:val="28"/>
        </w:rPr>
      </w:pPr>
    </w:p>
    <w:p>
      <w:pPr>
        <w:jc w:val="cente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spacing w:line="560" w:lineRule="exact"/>
        <w:ind w:left="2815" w:leftChars="609" w:hanging="1536" w:hangingChars="480"/>
        <w:rPr>
          <w:rFonts w:ascii="仿宋_GB2312" w:eastAsia="仿宋_GB2312"/>
          <w:sz w:val="32"/>
          <w:szCs w:val="32"/>
        </w:rPr>
      </w:pPr>
      <w:r>
        <w:rPr>
          <w:rFonts w:hint="eastAsia" w:ascii="仿宋_GB2312" w:eastAsia="仿宋_GB2312"/>
          <w:sz w:val="32"/>
          <w:szCs w:val="32"/>
        </w:rPr>
        <w:t>项目名称：衢江区人民法院物业管理服务项目</w:t>
      </w:r>
    </w:p>
    <w:p>
      <w:pPr>
        <w:spacing w:line="560" w:lineRule="exact"/>
        <w:ind w:firstLine="1280" w:firstLineChars="400"/>
        <w:rPr>
          <w:rFonts w:ascii="仿宋_GB2312" w:eastAsia="仿宋_GB2312"/>
          <w:sz w:val="32"/>
          <w:szCs w:val="32"/>
        </w:rPr>
      </w:pPr>
      <w:r>
        <w:rPr>
          <w:rFonts w:hint="eastAsia" w:ascii="仿宋_GB2312" w:eastAsia="仿宋_GB2312"/>
          <w:sz w:val="32"/>
          <w:szCs w:val="32"/>
        </w:rPr>
        <w:t>项目编号：QJCG202214</w:t>
      </w:r>
    </w:p>
    <w:p>
      <w:pPr>
        <w:spacing w:line="560" w:lineRule="exact"/>
        <w:ind w:firstLine="1280" w:firstLineChars="400"/>
        <w:rPr>
          <w:rFonts w:ascii="仿宋_GB2312" w:eastAsia="仿宋_GB2312"/>
          <w:sz w:val="32"/>
          <w:szCs w:val="32"/>
        </w:rPr>
      </w:pPr>
      <w:r>
        <w:rPr>
          <w:rFonts w:hint="eastAsia" w:ascii="仿宋_GB2312" w:eastAsia="仿宋_GB2312"/>
          <w:sz w:val="32"/>
          <w:szCs w:val="32"/>
        </w:rPr>
        <w:t>委托单位：衢州市衢江区人民法院</w:t>
      </w: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ind w:firstLine="1280" w:firstLineChars="400"/>
        <w:rPr>
          <w:rFonts w:ascii="仿宋_GB2312" w:eastAsia="仿宋_GB2312"/>
          <w:sz w:val="32"/>
          <w:szCs w:val="32"/>
        </w:rPr>
      </w:pPr>
    </w:p>
    <w:p>
      <w:pPr>
        <w:rPr>
          <w:rFonts w:ascii="仿宋_GB2312" w:eastAsia="仿宋_GB2312"/>
          <w:sz w:val="32"/>
          <w:szCs w:val="32"/>
        </w:rPr>
      </w:pPr>
    </w:p>
    <w:p>
      <w:pPr>
        <w:ind w:firstLine="1280" w:firstLineChars="400"/>
        <w:rPr>
          <w:rFonts w:ascii="仿宋_GB2312" w:eastAsia="仿宋_GB2312"/>
          <w:sz w:val="32"/>
          <w:szCs w:val="32"/>
        </w:rPr>
      </w:pPr>
    </w:p>
    <w:p>
      <w:pPr>
        <w:jc w:val="center"/>
        <w:rPr>
          <w:rFonts w:ascii="仿宋_GB2312" w:eastAsia="仿宋_GB2312"/>
          <w:sz w:val="32"/>
          <w:szCs w:val="32"/>
        </w:rPr>
      </w:pPr>
      <w:r>
        <w:rPr>
          <w:rFonts w:hint="eastAsia" w:ascii="仿宋_GB2312" w:eastAsia="仿宋_GB2312"/>
          <w:sz w:val="32"/>
          <w:szCs w:val="32"/>
        </w:rPr>
        <w:t xml:space="preserve">采购机构：衢州市衢江区政府采购中心 </w:t>
      </w:r>
    </w:p>
    <w:p>
      <w:pPr>
        <w:jc w:val="center"/>
        <w:rPr>
          <w:rFonts w:ascii="仿宋_GB2312" w:hAnsi="宋体" w:eastAsia="仿宋_GB2312" w:cs="宋体"/>
          <w:sz w:val="32"/>
          <w:szCs w:val="32"/>
        </w:rPr>
        <w:sectPr>
          <w:headerReference r:id="rId3" w:type="default"/>
          <w:footerReference r:id="rId4" w:type="default"/>
          <w:pgSz w:w="11906" w:h="16838"/>
          <w:pgMar w:top="1389" w:right="1247" w:bottom="1389" w:left="1247" w:header="851" w:footer="992" w:gutter="397"/>
          <w:cols w:space="720" w:num="1"/>
          <w:docGrid w:linePitch="312" w:charSpace="0"/>
        </w:sectPr>
      </w:pPr>
      <w:r>
        <w:rPr>
          <w:rFonts w:hint="eastAsia" w:ascii="仿宋_GB2312" w:eastAsia="仿宋_GB2312"/>
          <w:sz w:val="32"/>
          <w:szCs w:val="32"/>
        </w:rPr>
        <w:t>二〇二二</w:t>
      </w:r>
      <w:r>
        <w:rPr>
          <w:rFonts w:hint="eastAsia" w:ascii="仿宋_GB2312" w:hAnsi="宋体" w:eastAsia="仿宋_GB2312" w:cs="宋体"/>
          <w:sz w:val="32"/>
          <w:szCs w:val="32"/>
        </w:rPr>
        <w:t>年八月</w:t>
      </w:r>
    </w:p>
    <w:p>
      <w:pPr>
        <w:snapToGrid w:val="0"/>
        <w:jc w:val="center"/>
        <w:rPr>
          <w:rFonts w:ascii="仿宋_GB2312" w:hAnsi="宋体" w:eastAsia="仿宋_GB2312" w:cs="宋体"/>
          <w:b/>
          <w:sz w:val="28"/>
          <w:szCs w:val="28"/>
        </w:rPr>
      </w:pPr>
      <w:bookmarkStart w:id="0" w:name="_Toc350256312"/>
      <w:bookmarkStart w:id="1" w:name="_Toc322352981"/>
      <w:bookmarkStart w:id="2" w:name="_Toc354401488"/>
      <w:r>
        <w:rPr>
          <w:rFonts w:hint="eastAsia" w:ascii="仿宋_GB2312" w:hAnsi="宋体" w:eastAsia="仿宋_GB2312" w:cs="宋体"/>
          <w:b/>
          <w:sz w:val="40"/>
          <w:szCs w:val="32"/>
        </w:rPr>
        <w:t>目 录</w:t>
      </w:r>
    </w:p>
    <w:p>
      <w:pPr>
        <w:pStyle w:val="44"/>
        <w:tabs>
          <w:tab w:val="right" w:leader="dot" w:pos="9128"/>
        </w:tabs>
      </w:pPr>
      <w:r>
        <w:rPr>
          <w:rFonts w:hint="eastAsia" w:ascii="仿宋" w:hAnsi="仿宋" w:eastAsia="仿宋" w:cs="宋体"/>
          <w:sz w:val="28"/>
          <w:szCs w:val="28"/>
        </w:rPr>
        <w:fldChar w:fldCharType="begin"/>
      </w:r>
      <w:r>
        <w:rPr>
          <w:rFonts w:hint="eastAsia" w:ascii="仿宋" w:hAnsi="仿宋" w:eastAsia="仿宋" w:cs="宋体"/>
          <w:sz w:val="28"/>
          <w:szCs w:val="28"/>
        </w:rPr>
        <w:instrText xml:space="preserve"> TOC \o "1-3" \h \z \u </w:instrText>
      </w:r>
      <w:r>
        <w:rPr>
          <w:rFonts w:hint="eastAsia" w:ascii="仿宋" w:hAnsi="仿宋" w:eastAsia="仿宋" w:cs="宋体"/>
          <w:sz w:val="28"/>
          <w:szCs w:val="28"/>
        </w:rPr>
        <w:fldChar w:fldCharType="separate"/>
      </w:r>
      <w:r>
        <w:fldChar w:fldCharType="begin"/>
      </w:r>
      <w:r>
        <w:instrText xml:space="preserve"> HYPERLINK \l "_Toc17200" </w:instrText>
      </w:r>
      <w:r>
        <w:fldChar w:fldCharType="separate"/>
      </w:r>
      <w:r>
        <w:rPr>
          <w:rFonts w:hint="eastAsia" w:ascii="仿宋_GB2312" w:hAnsi="宋体" w:cs="宋体"/>
          <w:szCs w:val="32"/>
        </w:rPr>
        <w:t>第一章  招标公告</w:t>
      </w:r>
      <w:r>
        <w:tab/>
      </w:r>
      <w:r>
        <w:fldChar w:fldCharType="begin"/>
      </w:r>
      <w:r>
        <w:instrText xml:space="preserve"> PAGEREF _Toc17200 \h </w:instrText>
      </w:r>
      <w:r>
        <w:fldChar w:fldCharType="separate"/>
      </w:r>
      <w:r>
        <w:t>3</w:t>
      </w:r>
      <w:r>
        <w:fldChar w:fldCharType="end"/>
      </w:r>
      <w:r>
        <w:fldChar w:fldCharType="end"/>
      </w:r>
    </w:p>
    <w:p>
      <w:pPr>
        <w:pStyle w:val="44"/>
        <w:tabs>
          <w:tab w:val="right" w:leader="dot" w:pos="9128"/>
        </w:tabs>
      </w:pPr>
      <w:r>
        <w:fldChar w:fldCharType="begin"/>
      </w:r>
      <w:r>
        <w:instrText xml:space="preserve"> HYPERLINK \l "_Toc2060" </w:instrText>
      </w:r>
      <w:r>
        <w:fldChar w:fldCharType="separate"/>
      </w:r>
      <w:r>
        <w:rPr>
          <w:rFonts w:hint="eastAsia" w:ascii="仿宋_GB2312" w:hAnsi="宋体" w:cs="宋体"/>
          <w:szCs w:val="32"/>
        </w:rPr>
        <w:t>第二章  投标须知前附表及投标须知</w:t>
      </w:r>
      <w:r>
        <w:tab/>
      </w:r>
      <w:r>
        <w:fldChar w:fldCharType="begin"/>
      </w:r>
      <w:r>
        <w:instrText xml:space="preserve"> PAGEREF _Toc2060 \h </w:instrText>
      </w:r>
      <w:r>
        <w:fldChar w:fldCharType="separate"/>
      </w:r>
      <w:r>
        <w:t>6</w:t>
      </w:r>
      <w:r>
        <w:fldChar w:fldCharType="end"/>
      </w:r>
      <w:r>
        <w:fldChar w:fldCharType="end"/>
      </w:r>
    </w:p>
    <w:p>
      <w:pPr>
        <w:pStyle w:val="44"/>
        <w:tabs>
          <w:tab w:val="right" w:leader="dot" w:pos="9128"/>
        </w:tabs>
      </w:pPr>
      <w:r>
        <w:fldChar w:fldCharType="begin"/>
      </w:r>
      <w:r>
        <w:instrText xml:space="preserve"> HYPERLINK \l "_Toc8461" </w:instrText>
      </w:r>
      <w:r>
        <w:fldChar w:fldCharType="separate"/>
      </w:r>
      <w:r>
        <w:rPr>
          <w:rFonts w:ascii="仿宋_GB2312" w:hAnsi="宋体" w:cs="宋体"/>
          <w:szCs w:val="32"/>
        </w:rPr>
        <w:t xml:space="preserve">第三章 </w:t>
      </w:r>
      <w:r>
        <w:rPr>
          <w:rFonts w:hint="eastAsia" w:ascii="仿宋_GB2312" w:hAnsi="宋体" w:cs="宋体"/>
          <w:szCs w:val="32"/>
        </w:rPr>
        <w:t>采购内容及要求</w:t>
      </w:r>
      <w:r>
        <w:tab/>
      </w:r>
      <w:r>
        <w:fldChar w:fldCharType="begin"/>
      </w:r>
      <w:r>
        <w:instrText xml:space="preserve"> PAGEREF _Toc8461 \h </w:instrText>
      </w:r>
      <w:r>
        <w:fldChar w:fldCharType="separate"/>
      </w:r>
      <w:r>
        <w:t>2</w:t>
      </w:r>
      <w:r>
        <w:rPr>
          <w:rFonts w:hint="eastAsia"/>
        </w:rPr>
        <w:t>0</w:t>
      </w:r>
      <w:r>
        <w:fldChar w:fldCharType="end"/>
      </w:r>
      <w:r>
        <w:fldChar w:fldCharType="end"/>
      </w:r>
    </w:p>
    <w:p>
      <w:pPr>
        <w:pStyle w:val="44"/>
        <w:tabs>
          <w:tab w:val="right" w:leader="dot" w:pos="9128"/>
        </w:tabs>
        <w:rPr>
          <w:rFonts w:eastAsia="仿宋"/>
        </w:rPr>
      </w:pPr>
      <w:r>
        <w:fldChar w:fldCharType="begin"/>
      </w:r>
      <w:r>
        <w:instrText xml:space="preserve"> HYPERLINK \l "_Toc14367" </w:instrText>
      </w:r>
      <w:r>
        <w:fldChar w:fldCharType="separate"/>
      </w:r>
      <w:r>
        <w:rPr>
          <w:rFonts w:hint="eastAsia" w:ascii="仿宋_GB2312" w:hAnsi="宋体" w:cs="宋体"/>
          <w:szCs w:val="32"/>
        </w:rPr>
        <w:t>第四章  合同文本</w:t>
      </w:r>
      <w:r>
        <w:tab/>
      </w:r>
      <w:r>
        <w:fldChar w:fldCharType="end"/>
      </w:r>
      <w:r>
        <w:rPr>
          <w:rFonts w:hint="eastAsia" w:ascii="仿宋" w:hAnsi="仿宋" w:eastAsia="仿宋" w:cs="宋体"/>
          <w:szCs w:val="28"/>
        </w:rPr>
        <w:t>38</w:t>
      </w:r>
    </w:p>
    <w:p>
      <w:pPr>
        <w:pStyle w:val="44"/>
        <w:tabs>
          <w:tab w:val="right" w:leader="dot" w:pos="9128"/>
        </w:tabs>
        <w:rPr>
          <w:rFonts w:eastAsia="仿宋"/>
        </w:rPr>
      </w:pPr>
      <w:r>
        <w:fldChar w:fldCharType="begin"/>
      </w:r>
      <w:r>
        <w:instrText xml:space="preserve"> HYPERLINK \l "_Toc4751" </w:instrText>
      </w:r>
      <w:r>
        <w:fldChar w:fldCharType="separate"/>
      </w:r>
      <w:r>
        <w:rPr>
          <w:rFonts w:hint="eastAsia" w:ascii="仿宋_GB2312" w:hAnsi="宋体" w:cs="宋体"/>
          <w:szCs w:val="32"/>
        </w:rPr>
        <w:t>第五章  应提交的有关格式范例</w:t>
      </w:r>
      <w:r>
        <w:tab/>
      </w:r>
      <w:r>
        <w:fldChar w:fldCharType="end"/>
      </w:r>
      <w:r>
        <w:rPr>
          <w:rFonts w:hint="eastAsia" w:ascii="仿宋" w:hAnsi="仿宋" w:eastAsia="仿宋" w:cs="宋体"/>
          <w:szCs w:val="28"/>
        </w:rPr>
        <w:t>52</w:t>
      </w:r>
    </w:p>
    <w:p>
      <w:pPr>
        <w:pStyle w:val="44"/>
        <w:tabs>
          <w:tab w:val="right" w:leader="dot" w:pos="9128"/>
        </w:tabs>
        <w:rPr>
          <w:rFonts w:ascii="仿宋" w:hAnsi="仿宋" w:eastAsia="仿宋" w:cs="宋体"/>
          <w:szCs w:val="28"/>
        </w:rPr>
      </w:pPr>
      <w:r>
        <w:fldChar w:fldCharType="begin"/>
      </w:r>
      <w:r>
        <w:instrText xml:space="preserve"> HYPERLINK \l "_Toc21537" </w:instrText>
      </w:r>
      <w:r>
        <w:fldChar w:fldCharType="separate"/>
      </w:r>
      <w:r>
        <w:rPr>
          <w:rFonts w:hint="eastAsia" w:ascii="仿宋_GB2312" w:cs="宋体"/>
          <w:bCs/>
          <w:szCs w:val="36"/>
          <w:lang w:val="zh-CN"/>
        </w:rPr>
        <w:t>第六章评标办法及开标程序</w:t>
      </w:r>
      <w:r>
        <w:tab/>
      </w:r>
      <w:r>
        <w:fldChar w:fldCharType="end"/>
      </w:r>
      <w:r>
        <w:rPr>
          <w:rFonts w:hint="eastAsia" w:ascii="仿宋" w:hAnsi="仿宋" w:eastAsia="仿宋" w:cs="宋体"/>
          <w:szCs w:val="28"/>
        </w:rPr>
        <w:t>63</w:t>
      </w:r>
    </w:p>
    <w:p/>
    <w:p>
      <w:pPr>
        <w:snapToGrid w:val="0"/>
        <w:spacing w:line="480" w:lineRule="exact"/>
        <w:jc w:val="center"/>
        <w:outlineLvl w:val="0"/>
        <w:rPr>
          <w:rFonts w:ascii="仿宋_GB2312" w:hAnsi="宋体" w:eastAsia="仿宋_GB2312" w:cs="宋体"/>
          <w:b/>
          <w:sz w:val="32"/>
          <w:szCs w:val="32"/>
        </w:rPr>
      </w:pPr>
      <w:r>
        <w:rPr>
          <w:rFonts w:hint="eastAsia" w:ascii="仿宋" w:hAnsi="仿宋" w:eastAsia="仿宋" w:cs="宋体"/>
          <w:szCs w:val="28"/>
        </w:rPr>
        <w:fldChar w:fldCharType="end"/>
      </w:r>
      <w:bookmarkEnd w:id="0"/>
      <w:bookmarkEnd w:id="1"/>
      <w:bookmarkEnd w:id="2"/>
      <w:bookmarkStart w:id="3" w:name="_Toc354491895"/>
      <w:bookmarkStart w:id="4" w:name="_Toc17200"/>
      <w:bookmarkStart w:id="5" w:name="_Toc356371429"/>
      <w:r>
        <w:rPr>
          <w:rFonts w:ascii="仿宋_GB2312" w:hAnsi="宋体" w:eastAsia="仿宋_GB2312" w:cs="宋体"/>
          <w:sz w:val="28"/>
          <w:szCs w:val="28"/>
        </w:rPr>
        <w:br w:type="page"/>
      </w:r>
      <w:r>
        <w:rPr>
          <w:rFonts w:hint="eastAsia" w:ascii="仿宋_GB2312" w:hAnsi="宋体" w:eastAsia="仿宋_GB2312" w:cs="宋体"/>
          <w:b/>
          <w:sz w:val="32"/>
          <w:szCs w:val="32"/>
        </w:rPr>
        <w:t xml:space="preserve">第一章  </w:t>
      </w:r>
      <w:bookmarkEnd w:id="3"/>
      <w:r>
        <w:rPr>
          <w:rFonts w:hint="eastAsia" w:ascii="仿宋_GB2312" w:hAnsi="宋体" w:eastAsia="仿宋_GB2312" w:cs="宋体"/>
          <w:b/>
          <w:sz w:val="32"/>
          <w:szCs w:val="32"/>
        </w:rPr>
        <w:t>招标公告</w:t>
      </w:r>
      <w:bookmarkEnd w:id="4"/>
      <w:bookmarkEnd w:id="5"/>
    </w:p>
    <w:p>
      <w:pPr>
        <w:jc w:val="center"/>
        <w:rPr>
          <w:rFonts w:ascii="仿宋_GB2312" w:hAnsi="宋体" w:eastAsia="仿宋_GB2312" w:cs="宋体"/>
          <w:b/>
          <w:sz w:val="32"/>
          <w:szCs w:val="32"/>
        </w:rPr>
      </w:pPr>
    </w:p>
    <w:p>
      <w:pPr>
        <w:snapToGrid w:val="0"/>
        <w:spacing w:line="480" w:lineRule="exact"/>
        <w:ind w:firstLine="560" w:firstLineChars="200"/>
        <w:rPr>
          <w:rFonts w:ascii="仿宋_GB2312" w:eastAsia="仿宋_GB2312"/>
          <w:sz w:val="28"/>
          <w:szCs w:val="28"/>
        </w:rPr>
      </w:pPr>
      <w:r>
        <w:rPr>
          <w:rFonts w:hint="eastAsia" w:ascii="仿宋_GB2312" w:eastAsia="仿宋_GB2312"/>
          <w:sz w:val="28"/>
          <w:szCs w:val="28"/>
        </w:rPr>
        <w:t>根据《中华人民共和国政府采购法》等有关规定，衢州市衢江区政府采购中心受衢州市衢江区人民法院委托，就衢江区人民法院物业管理服务项目进行公开招标，欢迎国内合格的投标人前来投标。</w:t>
      </w:r>
    </w:p>
    <w:p>
      <w:pPr>
        <w:numPr>
          <w:ilvl w:val="0"/>
          <w:numId w:val="13"/>
        </w:numPr>
        <w:snapToGrid w:val="0"/>
        <w:spacing w:line="480" w:lineRule="exact"/>
        <w:rPr>
          <w:rFonts w:ascii="仿宋_GB2312" w:eastAsia="仿宋_GB2312"/>
          <w:sz w:val="28"/>
          <w:szCs w:val="28"/>
        </w:rPr>
      </w:pPr>
      <w:r>
        <w:rPr>
          <w:rFonts w:hint="eastAsia" w:ascii="仿宋_GB2312" w:eastAsia="仿宋_GB2312"/>
          <w:sz w:val="28"/>
          <w:szCs w:val="28"/>
        </w:rPr>
        <w:t>、项目编号：QJCG202214</w:t>
      </w:r>
    </w:p>
    <w:p>
      <w:pPr>
        <w:snapToGrid w:val="0"/>
        <w:spacing w:line="480" w:lineRule="exact"/>
        <w:ind w:firstLine="1400" w:firstLineChars="500"/>
        <w:rPr>
          <w:rFonts w:ascii="仿宋_GB2312" w:eastAsia="仿宋_GB2312"/>
          <w:sz w:val="28"/>
          <w:szCs w:val="28"/>
        </w:rPr>
      </w:pPr>
      <w:r>
        <w:rPr>
          <w:rFonts w:hint="eastAsia" w:ascii="仿宋_GB2312" w:eastAsia="仿宋_GB2312"/>
          <w:sz w:val="28"/>
          <w:szCs w:val="28"/>
        </w:rPr>
        <w:t>项目名称：衢江区人民法院物业管理服务项目</w:t>
      </w:r>
    </w:p>
    <w:p>
      <w:pPr>
        <w:numPr>
          <w:ilvl w:val="0"/>
          <w:numId w:val="13"/>
        </w:numPr>
        <w:snapToGrid w:val="0"/>
        <w:spacing w:line="480" w:lineRule="exact"/>
        <w:rPr>
          <w:rFonts w:ascii="仿宋_GB2312" w:eastAsia="仿宋_GB2312"/>
          <w:sz w:val="28"/>
          <w:szCs w:val="28"/>
        </w:rPr>
      </w:pPr>
      <w:r>
        <w:rPr>
          <w:rFonts w:hint="eastAsia" w:ascii="仿宋_GB2312" w:eastAsia="仿宋_GB2312"/>
          <w:sz w:val="28"/>
          <w:szCs w:val="28"/>
        </w:rPr>
        <w:t>、招标项目概况：</w:t>
      </w:r>
    </w:p>
    <w:tbl>
      <w:tblPr>
        <w:tblStyle w:val="69"/>
        <w:tblW w:w="781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8"/>
        <w:gridCol w:w="2781"/>
        <w:gridCol w:w="900"/>
        <w:gridCol w:w="903"/>
        <w:gridCol w:w="2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6" w:hRule="atLeast"/>
          <w:jc w:val="center"/>
        </w:trPr>
        <w:tc>
          <w:tcPr>
            <w:tcW w:w="938"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序号</w:t>
            </w:r>
          </w:p>
        </w:tc>
        <w:tc>
          <w:tcPr>
            <w:tcW w:w="2781"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内容</w:t>
            </w:r>
          </w:p>
        </w:tc>
        <w:tc>
          <w:tcPr>
            <w:tcW w:w="900"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数量</w:t>
            </w:r>
          </w:p>
        </w:tc>
        <w:tc>
          <w:tcPr>
            <w:tcW w:w="903"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单位</w:t>
            </w:r>
          </w:p>
        </w:tc>
        <w:tc>
          <w:tcPr>
            <w:tcW w:w="2291"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jc w:val="center"/>
        </w:trPr>
        <w:tc>
          <w:tcPr>
            <w:tcW w:w="938"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1</w:t>
            </w:r>
          </w:p>
        </w:tc>
        <w:tc>
          <w:tcPr>
            <w:tcW w:w="2781"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eastAsia="仿宋_GB2312"/>
                <w:sz w:val="28"/>
                <w:szCs w:val="28"/>
              </w:rPr>
              <w:t>衢江区人民法院物业管理服务项目</w:t>
            </w:r>
          </w:p>
        </w:tc>
        <w:tc>
          <w:tcPr>
            <w:tcW w:w="900"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2</w:t>
            </w:r>
          </w:p>
        </w:tc>
        <w:tc>
          <w:tcPr>
            <w:tcW w:w="903" w:type="dxa"/>
            <w:tcBorders>
              <w:top w:val="single" w:color="auto" w:sz="4" w:space="0"/>
              <w:left w:val="single" w:color="auto" w:sz="4" w:space="0"/>
              <w:bottom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年</w:t>
            </w:r>
          </w:p>
        </w:tc>
        <w:tc>
          <w:tcPr>
            <w:tcW w:w="2291" w:type="dxa"/>
            <w:tcBorders>
              <w:top w:val="single" w:color="auto" w:sz="4" w:space="0"/>
              <w:left w:val="single" w:color="auto" w:sz="4" w:space="0"/>
              <w:right w:val="single" w:color="auto" w:sz="4" w:space="0"/>
            </w:tcBorders>
          </w:tcPr>
          <w:p>
            <w:pPr>
              <w:widowControl/>
              <w:snapToGrid w:val="0"/>
              <w:spacing w:line="480" w:lineRule="exact"/>
              <w:jc w:val="center"/>
              <w:rPr>
                <w:rFonts w:ascii="仿宋_GB2312" w:hAnsi="宋体" w:eastAsia="仿宋_GB2312" w:cs="宋体"/>
                <w:kern w:val="0"/>
                <w:sz w:val="28"/>
                <w:szCs w:val="28"/>
              </w:rPr>
            </w:pPr>
            <w:r>
              <w:rPr>
                <w:rFonts w:hint="eastAsia" w:ascii="仿宋_GB2312" w:hAnsi="宋体" w:eastAsia="仿宋_GB2312" w:cs="宋体"/>
                <w:kern w:val="0"/>
                <w:sz w:val="28"/>
                <w:szCs w:val="28"/>
              </w:rPr>
              <w:t>480万元</w:t>
            </w:r>
          </w:p>
        </w:tc>
      </w:tr>
    </w:tbl>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详细技术要求见招标文件第三章。</w:t>
      </w:r>
    </w:p>
    <w:p>
      <w:pPr>
        <w:numPr>
          <w:ilvl w:val="0"/>
          <w:numId w:val="13"/>
        </w:numPr>
        <w:snapToGrid w:val="0"/>
        <w:spacing w:line="460" w:lineRule="exact"/>
        <w:rPr>
          <w:rFonts w:ascii="仿宋_GB2312" w:eastAsia="仿宋_GB2312"/>
          <w:sz w:val="28"/>
          <w:szCs w:val="28"/>
        </w:rPr>
      </w:pPr>
      <w:r>
        <w:rPr>
          <w:rFonts w:hint="eastAsia" w:ascii="仿宋_GB2312" w:eastAsia="仿宋_GB2312"/>
          <w:sz w:val="28"/>
          <w:szCs w:val="28"/>
        </w:rPr>
        <w:t>、投标人资格要求:</w:t>
      </w:r>
    </w:p>
    <w:p>
      <w:pPr>
        <w:numPr>
          <w:ilvl w:val="1"/>
          <w:numId w:val="13"/>
        </w:numPr>
        <w:snapToGrid w:val="0"/>
        <w:spacing w:line="460" w:lineRule="exact"/>
        <w:rPr>
          <w:rFonts w:ascii="仿宋_GB2312" w:eastAsia="仿宋_GB2312"/>
          <w:sz w:val="28"/>
          <w:szCs w:val="28"/>
        </w:rPr>
      </w:pPr>
      <w:r>
        <w:rPr>
          <w:rFonts w:hint="eastAsia" w:ascii="仿宋_GB2312" w:eastAsia="仿宋_GB2312"/>
          <w:sz w:val="28"/>
          <w:szCs w:val="28"/>
        </w:rPr>
        <w:t>符合《中华人民共和国政府采购法》第二十二条要求,且必须为未被列入“信用中国”网站(</w:t>
      </w:r>
      <w:r>
        <w:fldChar w:fldCharType="begin"/>
      </w:r>
      <w:r>
        <w:instrText xml:space="preserve"> HYPERLINK "http://www.creditchina.gov.cn/" \t "_blank" </w:instrText>
      </w:r>
      <w:r>
        <w:fldChar w:fldCharType="separate"/>
      </w:r>
      <w:r>
        <w:rPr>
          <w:rStyle w:val="66"/>
          <w:rFonts w:hint="eastAsia" w:ascii="仿宋_GB2312" w:eastAsia="仿宋_GB2312"/>
          <w:color w:val="auto"/>
          <w:sz w:val="28"/>
          <w:szCs w:val="28"/>
        </w:rPr>
        <w:t>www.creditchina.gov.cn</w:t>
      </w:r>
      <w:r>
        <w:rPr>
          <w:rStyle w:val="66"/>
          <w:rFonts w:hint="eastAsia" w:ascii="仿宋_GB2312" w:eastAsia="仿宋_GB2312"/>
          <w:color w:val="auto"/>
          <w:sz w:val="28"/>
          <w:szCs w:val="28"/>
        </w:rPr>
        <w:fldChar w:fldCharType="end"/>
      </w:r>
      <w:r>
        <w:rPr>
          <w:rFonts w:hint="eastAsia" w:ascii="仿宋_GB2312" w:eastAsia="仿宋_GB2312"/>
          <w:sz w:val="28"/>
          <w:szCs w:val="28"/>
        </w:rPr>
        <w:t>)、中国政府采购网(</w:t>
      </w:r>
      <w:r>
        <w:fldChar w:fldCharType="begin"/>
      </w:r>
      <w:r>
        <w:instrText xml:space="preserve"> HYPERLINK "http://www.ccgp.gov.cn/" \t "_blank" </w:instrText>
      </w:r>
      <w:r>
        <w:fldChar w:fldCharType="separate"/>
      </w:r>
      <w:r>
        <w:rPr>
          <w:rStyle w:val="66"/>
          <w:rFonts w:hint="eastAsia" w:ascii="仿宋_GB2312" w:eastAsia="仿宋_GB2312"/>
          <w:color w:val="auto"/>
          <w:sz w:val="28"/>
          <w:szCs w:val="28"/>
        </w:rPr>
        <w:t>www.ccgp.gov.cn</w:t>
      </w:r>
      <w:r>
        <w:rPr>
          <w:rStyle w:val="66"/>
          <w:rFonts w:hint="eastAsia" w:ascii="仿宋_GB2312" w:eastAsia="仿宋_GB2312"/>
          <w:color w:val="auto"/>
          <w:sz w:val="28"/>
          <w:szCs w:val="28"/>
        </w:rPr>
        <w:fldChar w:fldCharType="end"/>
      </w:r>
      <w:r>
        <w:rPr>
          <w:rFonts w:hint="eastAsia" w:ascii="仿宋_GB2312" w:eastAsia="仿宋_GB2312"/>
          <w:sz w:val="28"/>
          <w:szCs w:val="28"/>
        </w:rPr>
        <w:t>)渠道信用记录失信被执行人、重大税收违法案件当事人名单、政府采购严重违法失信行为记录名单的投标人。</w:t>
      </w:r>
    </w:p>
    <w:p>
      <w:pPr>
        <w:numPr>
          <w:ilvl w:val="1"/>
          <w:numId w:val="13"/>
        </w:numPr>
        <w:snapToGrid w:val="0"/>
        <w:spacing w:line="460" w:lineRule="exact"/>
        <w:rPr>
          <w:rFonts w:ascii="仿宋_GB2312" w:eastAsia="仿宋_GB2312"/>
          <w:sz w:val="28"/>
          <w:szCs w:val="28"/>
        </w:rPr>
      </w:pPr>
      <w:r>
        <w:rPr>
          <w:rFonts w:hint="eastAsia" w:ascii="仿宋_GB2312" w:eastAsia="仿宋_GB2312"/>
          <w:sz w:val="28"/>
          <w:szCs w:val="28"/>
        </w:rPr>
        <w:t>在中华人民共和国境内注册，能承担本项目的投标人,分公司参与投标的，需提供总公司授权书和总公司的《企业法人营业执照》原件扫描件。</w:t>
      </w:r>
    </w:p>
    <w:p>
      <w:pPr>
        <w:numPr>
          <w:ilvl w:val="1"/>
          <w:numId w:val="13"/>
        </w:numPr>
        <w:snapToGrid w:val="0"/>
        <w:spacing w:line="460" w:lineRule="exact"/>
        <w:ind w:firstLine="560"/>
        <w:rPr>
          <w:rFonts w:ascii="仿宋_GB2312" w:eastAsia="仿宋_GB2312"/>
          <w:sz w:val="28"/>
          <w:szCs w:val="28"/>
        </w:rPr>
      </w:pPr>
      <w:r>
        <w:rPr>
          <w:rFonts w:hint="eastAsia" w:ascii="仿宋_GB2312" w:eastAsia="仿宋_GB2312"/>
          <w:sz w:val="28"/>
          <w:szCs w:val="28"/>
        </w:rPr>
        <w:t>单位负责人为同一人或者存在直接控股、管理关系的不同投标人，不得同时参加同一合同项下的政府采购活动。</w:t>
      </w:r>
    </w:p>
    <w:p>
      <w:pPr>
        <w:pStyle w:val="7"/>
        <w:numPr>
          <w:ilvl w:val="1"/>
          <w:numId w:val="13"/>
        </w:numPr>
        <w:spacing w:before="0" w:after="0" w:line="460" w:lineRule="exact"/>
        <w:rPr>
          <w:rFonts w:ascii="仿宋_GB2312" w:eastAsia="仿宋_GB2312"/>
          <w:b w:val="0"/>
          <w:bCs w:val="0"/>
          <w:kern w:val="2"/>
          <w:sz w:val="28"/>
          <w:szCs w:val="28"/>
        </w:rPr>
      </w:pPr>
      <w:r>
        <w:rPr>
          <w:rFonts w:hint="eastAsia" w:ascii="仿宋_GB2312" w:eastAsia="仿宋_GB2312"/>
          <w:b w:val="0"/>
          <w:bCs w:val="0"/>
          <w:kern w:val="2"/>
          <w:sz w:val="28"/>
          <w:szCs w:val="28"/>
        </w:rPr>
        <w:t>本项目谢绝联合体投标；</w:t>
      </w:r>
    </w:p>
    <w:p>
      <w:pPr>
        <w:numPr>
          <w:ilvl w:val="0"/>
          <w:numId w:val="13"/>
        </w:numPr>
        <w:snapToGrid w:val="0"/>
        <w:spacing w:line="460" w:lineRule="exact"/>
        <w:rPr>
          <w:rFonts w:ascii="仿宋_GB2312" w:eastAsia="仿宋_GB2312"/>
          <w:sz w:val="28"/>
          <w:szCs w:val="28"/>
        </w:rPr>
      </w:pPr>
      <w:r>
        <w:rPr>
          <w:rFonts w:hint="eastAsia" w:ascii="仿宋_GB2312" w:eastAsia="仿宋_GB2312"/>
          <w:sz w:val="28"/>
          <w:szCs w:val="28"/>
        </w:rPr>
        <w:t>、获取招标文件方式</w:t>
      </w:r>
    </w:p>
    <w:p>
      <w:pPr>
        <w:spacing w:line="500" w:lineRule="exact"/>
        <w:ind w:left="567"/>
        <w:rPr>
          <w:rFonts w:ascii="仿宋_GB2312" w:eastAsia="仿宋_GB2312"/>
          <w:sz w:val="28"/>
          <w:szCs w:val="28"/>
        </w:rPr>
      </w:pPr>
      <w:r>
        <w:rPr>
          <w:rFonts w:hint="eastAsia" w:ascii="仿宋_GB2312" w:eastAsia="仿宋_GB2312"/>
          <w:sz w:val="28"/>
          <w:szCs w:val="28"/>
        </w:rPr>
        <w:t>1．获取时间：公告发布之日起至投标文件递交截止时间前。</w:t>
      </w:r>
    </w:p>
    <w:p>
      <w:pPr>
        <w:spacing w:line="500" w:lineRule="exact"/>
        <w:ind w:firstLine="560" w:firstLineChars="200"/>
        <w:rPr>
          <w:rFonts w:ascii="仿宋_GB2312" w:eastAsia="仿宋_GB2312"/>
          <w:sz w:val="28"/>
          <w:szCs w:val="28"/>
        </w:rPr>
      </w:pPr>
      <w:r>
        <w:rPr>
          <w:rFonts w:hint="eastAsia" w:ascii="仿宋_GB2312" w:eastAsia="仿宋_GB2312"/>
          <w:sz w:val="28"/>
          <w:szCs w:val="28"/>
        </w:rPr>
        <w:t>2．本项目无需报名。已在浙江省政府采购网注册的正式供应商，可以登陆https://login.zcygov.cn/login进行网上获取招标文件。招标文件由投标人在浙江政府采购网（http://zfcg.czt.zj.gov.cn）免费下载。招标公告附件里的招标文件仅供阅览使用，用政采云账号登录浙江政府采购网并点击获取本项目招标文件为依法获取招标文件的方式。</w:t>
      </w:r>
    </w:p>
    <w:p>
      <w:pPr>
        <w:pStyle w:val="2"/>
        <w:rPr>
          <w:rFonts w:ascii="仿宋_GB2312" w:eastAsia="仿宋_GB2312" w:cs="Times New Roman"/>
          <w:sz w:val="28"/>
          <w:szCs w:val="28"/>
        </w:rPr>
      </w:pPr>
      <w:r>
        <w:rPr>
          <w:rFonts w:hint="eastAsia" w:ascii="仿宋_GB2312" w:eastAsia="仿宋_GB2312" w:cs="Times New Roman"/>
          <w:sz w:val="28"/>
          <w:szCs w:val="28"/>
        </w:rPr>
        <w:t>五、投标说明</w:t>
      </w:r>
    </w:p>
    <w:p>
      <w:pPr>
        <w:pStyle w:val="2"/>
        <w:rPr>
          <w:rFonts w:ascii="仿宋_GB2312" w:eastAsia="仿宋_GB2312" w:cs="Times New Roman"/>
          <w:sz w:val="28"/>
          <w:szCs w:val="28"/>
        </w:rPr>
      </w:pPr>
      <w:r>
        <w:rPr>
          <w:rFonts w:hint="eastAsia" w:ascii="仿宋_GB2312" w:eastAsia="仿宋_GB2312" w:cs="Times New Roman"/>
          <w:sz w:val="28"/>
          <w:szCs w:val="28"/>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pPr>
        <w:pStyle w:val="2"/>
        <w:rPr>
          <w:rFonts w:ascii="仿宋_GB2312" w:eastAsia="仿宋_GB2312" w:cs="Times New Roman"/>
          <w:sz w:val="28"/>
          <w:szCs w:val="28"/>
        </w:rPr>
      </w:pPr>
      <w:r>
        <w:rPr>
          <w:rFonts w:hint="eastAsia" w:ascii="仿宋_GB2312" w:eastAsia="仿宋_GB2312" w:cs="Times New Roman"/>
          <w:sz w:val="28"/>
          <w:szCs w:val="28"/>
        </w:rPr>
        <w:t>2、投标人应在开标前完成CA数字证书办理。（办理流程详见http://zfcg.czt.zj.gov.cn/bidClientTemplate/2019-05-27/12945.html）。完成CA数字证书办理预计一周左右，建议各投标人抓紧时间办理。</w:t>
      </w:r>
    </w:p>
    <w:p>
      <w:pPr>
        <w:pStyle w:val="2"/>
        <w:rPr>
          <w:rFonts w:ascii="仿宋_GB2312" w:eastAsia="仿宋_GB2312" w:cs="Times New Roman"/>
          <w:sz w:val="28"/>
          <w:szCs w:val="28"/>
        </w:rPr>
      </w:pPr>
      <w:r>
        <w:rPr>
          <w:rFonts w:hint="eastAsia" w:ascii="仿宋_GB2312" w:eastAsia="仿宋_GB2312" w:cs="Times New Roman"/>
          <w:sz w:val="28"/>
          <w:szCs w:val="28"/>
        </w:rPr>
        <w:t>3、电子投标文件，按政采云平台供应商项目采购-电子招投标操作指南（网址：https://service.zcygov.cn/#/knowledges/CW1EtGwBFdiHxlNd6I3m/6IMVAG0BFdiHxlNdQ8Na）及本招标文件要求递交。</w:t>
      </w:r>
    </w:p>
    <w:p>
      <w:pPr>
        <w:pStyle w:val="2"/>
        <w:rPr>
          <w:rFonts w:ascii="仿宋_GB2312" w:eastAsia="仿宋_GB2312" w:cs="Times New Roman"/>
          <w:sz w:val="28"/>
          <w:szCs w:val="28"/>
        </w:rPr>
      </w:pPr>
      <w:r>
        <w:rPr>
          <w:rFonts w:hint="eastAsia" w:ascii="仿宋_GB2312" w:eastAsia="仿宋_GB2312" w:cs="Times New Roman"/>
          <w:sz w:val="28"/>
          <w:szCs w:val="28"/>
        </w:rPr>
        <w:t>4、本项目采用远程异地开评标，投标人可以不到现场投标，投标截止时间后投标人凭CA数字证书完成投标文件解密。投标人的联系电话在投标当天保持通信畅通，因通信问题无法联系到投标人造成的后果由投标人自行承担。</w:t>
      </w:r>
    </w:p>
    <w:p>
      <w:pPr>
        <w:snapToGrid w:val="0"/>
        <w:spacing w:line="460" w:lineRule="exact"/>
        <w:ind w:left="567"/>
        <w:rPr>
          <w:rFonts w:ascii="仿宋_GB2312" w:hAnsi="宋体" w:eastAsia="仿宋_GB2312" w:cs="宋体"/>
          <w:sz w:val="28"/>
          <w:szCs w:val="28"/>
        </w:rPr>
      </w:pPr>
      <w:r>
        <w:rPr>
          <w:rFonts w:hint="eastAsia" w:ascii="仿宋_GB2312" w:eastAsia="仿宋_GB2312"/>
          <w:sz w:val="28"/>
          <w:szCs w:val="28"/>
          <w:highlight w:val="lightGray"/>
        </w:rPr>
        <w:t>六</w:t>
      </w:r>
      <w:r>
        <w:rPr>
          <w:rFonts w:hint="eastAsia" w:ascii="仿宋_GB2312" w:eastAsia="仿宋_GB2312"/>
          <w:sz w:val="28"/>
          <w:szCs w:val="28"/>
        </w:rPr>
        <w:t>、投标文件递交截止时间：</w:t>
      </w:r>
      <w:r>
        <w:rPr>
          <w:rFonts w:hint="eastAsia" w:ascii="仿宋_GB2312" w:eastAsia="仿宋_GB2312"/>
          <w:color w:val="FF0000"/>
          <w:sz w:val="28"/>
          <w:szCs w:val="28"/>
        </w:rPr>
        <w:t>2022年09月01日09</w:t>
      </w:r>
      <w:r>
        <w:rPr>
          <w:rFonts w:hint="eastAsia" w:ascii="仿宋_GB2312" w:hAnsi="宋体" w:eastAsia="仿宋_GB2312" w:cs="宋体"/>
          <w:color w:val="FF0000"/>
          <w:sz w:val="28"/>
          <w:szCs w:val="28"/>
        </w:rPr>
        <w:t>:</w:t>
      </w:r>
      <w:r>
        <w:rPr>
          <w:rFonts w:hint="eastAsia" w:ascii="仿宋_GB2312" w:hAnsi="宋体" w:eastAsia="仿宋_GB2312"/>
          <w:color w:val="FF0000"/>
          <w:sz w:val="28"/>
          <w:szCs w:val="28"/>
        </w:rPr>
        <w:t>30</w:t>
      </w:r>
      <w:r>
        <w:rPr>
          <w:rFonts w:hint="eastAsia" w:ascii="仿宋_GB2312" w:hAnsi="宋体" w:eastAsia="仿宋_GB2312" w:cs="宋体"/>
          <w:color w:val="FF0000"/>
          <w:sz w:val="28"/>
          <w:szCs w:val="28"/>
        </w:rPr>
        <w:t>:00</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snapToGrid w:val="0"/>
        <w:spacing w:line="460" w:lineRule="exact"/>
        <w:ind w:left="567"/>
        <w:rPr>
          <w:rFonts w:ascii="仿宋_GB2312" w:eastAsia="仿宋_GB2312"/>
          <w:sz w:val="28"/>
          <w:szCs w:val="28"/>
        </w:rPr>
      </w:pPr>
      <w:r>
        <w:rPr>
          <w:rFonts w:hint="eastAsia" w:ascii="仿宋_GB2312" w:eastAsia="仿宋_GB2312"/>
          <w:sz w:val="28"/>
          <w:szCs w:val="28"/>
          <w:highlight w:val="lightGray"/>
        </w:rPr>
        <w:t>七</w:t>
      </w:r>
      <w:r>
        <w:rPr>
          <w:rFonts w:hint="eastAsia" w:ascii="仿宋_GB2312" w:eastAsia="仿宋_GB2312"/>
          <w:sz w:val="28"/>
          <w:szCs w:val="28"/>
        </w:rPr>
        <w:t>、开标时间：</w:t>
      </w:r>
      <w:r>
        <w:rPr>
          <w:rFonts w:hint="eastAsia" w:ascii="仿宋_GB2312" w:eastAsia="仿宋_GB2312"/>
          <w:color w:val="FF0000"/>
          <w:sz w:val="28"/>
          <w:szCs w:val="28"/>
        </w:rPr>
        <w:t>2022年09月01日09</w:t>
      </w:r>
      <w:r>
        <w:rPr>
          <w:rFonts w:hint="eastAsia" w:ascii="仿宋_GB2312" w:hAnsi="宋体" w:eastAsia="仿宋_GB2312" w:cs="宋体"/>
          <w:color w:val="FF0000"/>
          <w:sz w:val="28"/>
          <w:szCs w:val="28"/>
        </w:rPr>
        <w:t>:</w:t>
      </w:r>
      <w:r>
        <w:rPr>
          <w:rFonts w:hint="eastAsia" w:ascii="仿宋_GB2312" w:hAnsi="宋体" w:eastAsia="仿宋_GB2312"/>
          <w:color w:val="FF0000"/>
          <w:sz w:val="28"/>
          <w:szCs w:val="28"/>
        </w:rPr>
        <w:t>30</w:t>
      </w:r>
      <w:r>
        <w:rPr>
          <w:rFonts w:hint="eastAsia" w:ascii="仿宋_GB2312" w:hAnsi="宋体" w:eastAsia="仿宋_GB2312" w:cs="宋体"/>
          <w:color w:val="FF0000"/>
          <w:sz w:val="28"/>
          <w:szCs w:val="28"/>
        </w:rPr>
        <w:t>:00</w:t>
      </w:r>
    </w:p>
    <w:p>
      <w:pPr>
        <w:snapToGrid w:val="0"/>
        <w:spacing w:line="460" w:lineRule="exact"/>
        <w:ind w:left="568"/>
        <w:rPr>
          <w:rFonts w:ascii="仿宋_GB2312" w:eastAsia="仿宋_GB2312"/>
          <w:sz w:val="28"/>
          <w:szCs w:val="28"/>
        </w:rPr>
      </w:pPr>
      <w:r>
        <w:rPr>
          <w:rFonts w:hint="eastAsia" w:ascii="仿宋_GB2312" w:eastAsia="仿宋_GB2312"/>
          <w:sz w:val="28"/>
          <w:szCs w:val="28"/>
        </w:rPr>
        <w:t>八、开标地点： 衢州市衢江区公共资源交易中心第</w:t>
      </w:r>
      <w:r>
        <w:rPr>
          <w:rFonts w:hint="eastAsia" w:ascii="仿宋_GB2312" w:eastAsia="仿宋_GB2312"/>
          <w:color w:val="FF0000"/>
          <w:sz w:val="28"/>
          <w:szCs w:val="28"/>
        </w:rPr>
        <w:t>二</w:t>
      </w:r>
      <w:r>
        <w:rPr>
          <w:rFonts w:hint="eastAsia" w:ascii="仿宋_GB2312" w:eastAsia="仿宋_GB2312"/>
          <w:sz w:val="28"/>
          <w:szCs w:val="28"/>
        </w:rPr>
        <w:t>开标厅（衢州市衢江区振兴东路268号六楼）</w:t>
      </w:r>
    </w:p>
    <w:p>
      <w:pPr>
        <w:snapToGrid w:val="0"/>
        <w:spacing w:line="460" w:lineRule="exact"/>
        <w:ind w:left="710"/>
        <w:rPr>
          <w:rFonts w:ascii="仿宋_GB2312" w:eastAsia="仿宋_GB2312"/>
          <w:sz w:val="28"/>
          <w:szCs w:val="28"/>
        </w:rPr>
      </w:pPr>
      <w:r>
        <w:rPr>
          <w:rFonts w:hint="eastAsia" w:ascii="仿宋_GB2312" w:eastAsia="仿宋_GB2312"/>
          <w:sz w:val="28"/>
          <w:szCs w:val="28"/>
        </w:rPr>
        <w:t>九、投标保证金</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本项目无需缴纳投标保证金</w:t>
      </w:r>
    </w:p>
    <w:p>
      <w:pPr>
        <w:snapToGrid w:val="0"/>
        <w:spacing w:line="460" w:lineRule="exact"/>
        <w:ind w:left="710"/>
        <w:rPr>
          <w:rFonts w:ascii="仿宋_GB2312" w:eastAsia="仿宋_GB2312"/>
          <w:sz w:val="28"/>
          <w:szCs w:val="28"/>
        </w:rPr>
      </w:pPr>
      <w:r>
        <w:rPr>
          <w:rFonts w:hint="eastAsia" w:ascii="仿宋_GB2312" w:eastAsia="仿宋_GB2312"/>
          <w:sz w:val="28"/>
          <w:szCs w:val="28"/>
        </w:rPr>
        <w:t>十、</w:t>
      </w:r>
      <w:r>
        <w:rPr>
          <w:rFonts w:hint="eastAsia" w:ascii="仿宋_GB2312" w:hAnsi="宋体" w:eastAsia="仿宋_GB2312" w:cs="宋体"/>
          <w:sz w:val="28"/>
          <w:szCs w:val="28"/>
        </w:rPr>
        <w:t>质疑和投诉</w:t>
      </w:r>
    </w:p>
    <w:p>
      <w:pPr>
        <w:snapToGrid w:val="0"/>
        <w:spacing w:line="460" w:lineRule="exact"/>
        <w:ind w:firstLine="560" w:firstLineChars="200"/>
        <w:rPr>
          <w:rFonts w:ascii="仿宋_GB2312" w:hAnsi="宋体" w:eastAsia="仿宋_GB2312" w:cs="宋体"/>
          <w:sz w:val="28"/>
          <w:szCs w:val="28"/>
        </w:rPr>
      </w:pPr>
      <w:r>
        <w:rPr>
          <w:rFonts w:hint="eastAsia" w:ascii="仿宋_GB2312" w:hAnsi="宋体" w:eastAsia="仿宋_GB2312" w:cs="宋体"/>
          <w:sz w:val="28"/>
          <w:szCs w:val="28"/>
        </w:rPr>
        <w:t>投标人如认为招标文件、采购过程和中标结果使自身的合法权益受到损害的，可以在知道或者应知其权益受到损害之日起七个工作日内，以书面形式向采购人提出质疑（联系人：胡雨，电话：0570-3678927）；投标人对采购人的质疑答复不满意或者采购人未在规定时间内作出答复的，可以在答复期满后十五个工作日内向衢州市衢江区财政局政府采购监管科投诉（联系人：</w:t>
      </w:r>
      <w:r>
        <w:rPr>
          <w:rFonts w:hint="eastAsia" w:ascii="仿宋_GB2312" w:eastAsia="仿宋_GB2312"/>
          <w:sz w:val="28"/>
          <w:szCs w:val="28"/>
        </w:rPr>
        <w:t>杨女士</w:t>
      </w:r>
      <w:r>
        <w:rPr>
          <w:rFonts w:hint="eastAsia" w:ascii="仿宋_GB2312" w:hAnsi="宋体" w:eastAsia="仿宋_GB2312" w:cs="宋体"/>
          <w:sz w:val="28"/>
          <w:szCs w:val="28"/>
        </w:rPr>
        <w:t>；电话：0570-8762709）。</w:t>
      </w:r>
    </w:p>
    <w:p>
      <w:pPr>
        <w:snapToGrid w:val="0"/>
        <w:spacing w:line="460" w:lineRule="exact"/>
        <w:ind w:left="567"/>
        <w:rPr>
          <w:rFonts w:ascii="仿宋_GB2312" w:hAnsi="宋体" w:eastAsia="仿宋_GB2312" w:cs="宋体"/>
          <w:sz w:val="28"/>
          <w:szCs w:val="28"/>
        </w:rPr>
      </w:pPr>
      <w:r>
        <w:rPr>
          <w:rFonts w:hint="eastAsia" w:ascii="仿宋_GB2312" w:hAnsi="宋体" w:eastAsia="仿宋_GB2312" w:cs="宋体"/>
          <w:sz w:val="28"/>
          <w:szCs w:val="28"/>
        </w:rPr>
        <w:t>十一、</w:t>
      </w:r>
      <w:r>
        <w:rPr>
          <w:rFonts w:hint="eastAsia" w:ascii="仿宋_GB2312" w:eastAsia="仿宋_GB2312"/>
          <w:sz w:val="28"/>
          <w:szCs w:val="28"/>
        </w:rPr>
        <w:t>公告期限：本招标公告自发布之日起公告期限为5个工作日。</w:t>
      </w:r>
    </w:p>
    <w:p>
      <w:pPr>
        <w:snapToGrid w:val="0"/>
        <w:spacing w:line="460" w:lineRule="exact"/>
        <w:ind w:left="567"/>
        <w:rPr>
          <w:rFonts w:ascii="仿宋_GB2312" w:eastAsia="仿宋_GB2312"/>
          <w:sz w:val="28"/>
          <w:szCs w:val="28"/>
        </w:rPr>
      </w:pPr>
      <w:r>
        <w:rPr>
          <w:rFonts w:hint="eastAsia" w:ascii="仿宋_GB2312" w:eastAsia="仿宋_GB2312"/>
          <w:sz w:val="28"/>
          <w:szCs w:val="28"/>
        </w:rPr>
        <w:t>十二、联系方式</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采购人：衢州市衢江区人民法院</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联系人：胡雨，联系电话：0570-3678927</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采购人地址：衢州市衢江区信安东路41号</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 xml:space="preserve">采购代理机构名称：衢州市衢江区政府采购中心 </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项目联系人：邵先生</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联系电话：0570-3838411</w:t>
      </w:r>
    </w:p>
    <w:p>
      <w:pPr>
        <w:tabs>
          <w:tab w:val="left" w:pos="0"/>
        </w:tabs>
        <w:autoSpaceDE w:val="0"/>
        <w:autoSpaceDN w:val="0"/>
        <w:adjustRightInd w:val="0"/>
        <w:snapToGrid w:val="0"/>
        <w:spacing w:line="460" w:lineRule="exact"/>
        <w:ind w:firstLine="560" w:firstLineChars="200"/>
        <w:rPr>
          <w:rFonts w:ascii="仿宋_GB2312" w:hAnsi="宋体" w:eastAsia="仿宋_GB2312"/>
          <w:sz w:val="28"/>
          <w:szCs w:val="28"/>
        </w:rPr>
      </w:pPr>
      <w:r>
        <w:rPr>
          <w:rFonts w:hint="eastAsia" w:ascii="仿宋_GB2312" w:eastAsia="仿宋_GB2312"/>
          <w:sz w:val="28"/>
          <w:szCs w:val="28"/>
        </w:rPr>
        <w:t>地址：</w:t>
      </w:r>
      <w:r>
        <w:rPr>
          <w:rFonts w:hint="eastAsia" w:ascii="仿宋_GB2312" w:hAnsi="宋体" w:eastAsia="仿宋_GB2312"/>
          <w:sz w:val="28"/>
          <w:szCs w:val="28"/>
        </w:rPr>
        <w:t>衢州市衢江区公共资源交易中心611室（衢州市衢江区振兴东路268号六楼）。</w:t>
      </w:r>
    </w:p>
    <w:p>
      <w:pPr>
        <w:tabs>
          <w:tab w:val="left" w:pos="0"/>
        </w:tabs>
        <w:autoSpaceDE w:val="0"/>
        <w:autoSpaceDN w:val="0"/>
        <w:adjustRightInd w:val="0"/>
        <w:snapToGrid w:val="0"/>
        <w:spacing w:line="460" w:lineRule="exact"/>
        <w:ind w:firstLine="560" w:firstLineChars="200"/>
        <w:rPr>
          <w:rFonts w:ascii="仿宋_GB2312" w:hAnsi="宋体" w:eastAsia="仿宋_GB2312"/>
          <w:sz w:val="28"/>
          <w:szCs w:val="28"/>
        </w:rPr>
      </w:pPr>
      <w:r>
        <w:rPr>
          <w:rFonts w:hint="eastAsia" w:ascii="仿宋_GB2312" w:hAnsi="宋体" w:eastAsia="仿宋_GB2312"/>
          <w:sz w:val="28"/>
          <w:szCs w:val="28"/>
        </w:rPr>
        <w:t>监督管理部门：衢江区政府采购监督管理办公室</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联系人：杨女士</w:t>
      </w:r>
    </w:p>
    <w:p>
      <w:pPr>
        <w:snapToGrid w:val="0"/>
        <w:spacing w:line="460" w:lineRule="exact"/>
        <w:ind w:firstLine="560" w:firstLineChars="200"/>
        <w:rPr>
          <w:rFonts w:ascii="仿宋_GB2312" w:eastAsia="仿宋_GB2312"/>
          <w:sz w:val="28"/>
          <w:szCs w:val="28"/>
        </w:rPr>
      </w:pPr>
      <w:r>
        <w:rPr>
          <w:rFonts w:hint="eastAsia" w:ascii="仿宋_GB2312" w:eastAsia="仿宋_GB2312"/>
          <w:sz w:val="28"/>
          <w:szCs w:val="28"/>
        </w:rPr>
        <w:t>联系电话：0570-8762709</w:t>
      </w:r>
    </w:p>
    <w:p>
      <w:pPr>
        <w:tabs>
          <w:tab w:val="left" w:pos="0"/>
        </w:tabs>
        <w:autoSpaceDE w:val="0"/>
        <w:autoSpaceDN w:val="0"/>
        <w:adjustRightInd w:val="0"/>
        <w:snapToGrid w:val="0"/>
        <w:spacing w:line="460" w:lineRule="exact"/>
        <w:ind w:firstLine="560" w:firstLineChars="200"/>
        <w:rPr>
          <w:rFonts w:ascii="仿宋_GB2312" w:hAnsi="宋体" w:eastAsia="仿宋_GB2312"/>
          <w:sz w:val="28"/>
          <w:szCs w:val="28"/>
        </w:rPr>
      </w:pPr>
      <w:r>
        <w:rPr>
          <w:rFonts w:hint="eastAsia" w:ascii="仿宋_GB2312" w:eastAsia="仿宋_GB2312"/>
          <w:sz w:val="28"/>
          <w:szCs w:val="28"/>
        </w:rPr>
        <w:t>地址：衢州市衢江区信安大道附近政和路6号</w:t>
      </w:r>
    </w:p>
    <w:p>
      <w:pPr>
        <w:snapToGrid w:val="0"/>
        <w:spacing w:line="460" w:lineRule="exact"/>
        <w:ind w:firstLine="420" w:firstLineChars="150"/>
        <w:rPr>
          <w:rFonts w:ascii="仿宋_GB2312" w:eastAsia="仿宋_GB2312"/>
          <w:sz w:val="28"/>
          <w:szCs w:val="28"/>
        </w:rPr>
      </w:pPr>
    </w:p>
    <w:p>
      <w:pPr>
        <w:snapToGrid w:val="0"/>
        <w:spacing w:line="460" w:lineRule="exact"/>
        <w:ind w:firstLine="420" w:firstLineChars="150"/>
        <w:jc w:val="right"/>
        <w:rPr>
          <w:rFonts w:ascii="仿宋_GB2312" w:eastAsia="仿宋_GB2312"/>
          <w:sz w:val="28"/>
          <w:szCs w:val="28"/>
        </w:rPr>
      </w:pPr>
    </w:p>
    <w:p>
      <w:pPr>
        <w:snapToGrid w:val="0"/>
        <w:spacing w:line="460" w:lineRule="exact"/>
        <w:ind w:firstLine="420" w:firstLineChars="150"/>
        <w:jc w:val="right"/>
        <w:rPr>
          <w:rFonts w:ascii="仿宋_GB2312" w:eastAsia="仿宋_GB2312"/>
          <w:sz w:val="28"/>
          <w:szCs w:val="28"/>
        </w:rPr>
      </w:pPr>
    </w:p>
    <w:p>
      <w:pPr>
        <w:snapToGrid w:val="0"/>
        <w:spacing w:line="460" w:lineRule="exact"/>
        <w:ind w:firstLine="420" w:firstLineChars="150"/>
        <w:jc w:val="right"/>
        <w:rPr>
          <w:rFonts w:ascii="仿宋_GB2312" w:eastAsia="仿宋_GB2312"/>
          <w:sz w:val="28"/>
          <w:szCs w:val="28"/>
        </w:rPr>
      </w:pPr>
      <w:r>
        <w:rPr>
          <w:rFonts w:hint="eastAsia" w:ascii="仿宋_GB2312" w:eastAsia="仿宋_GB2312"/>
          <w:sz w:val="28"/>
          <w:szCs w:val="28"/>
        </w:rPr>
        <w:t xml:space="preserve">衢州市衢江区政府采购中心 </w:t>
      </w:r>
    </w:p>
    <w:p>
      <w:pPr>
        <w:snapToGrid w:val="0"/>
        <w:spacing w:line="460" w:lineRule="exact"/>
        <w:ind w:firstLine="6300" w:firstLineChars="2250"/>
        <w:rPr>
          <w:rFonts w:ascii="仿宋_GB2312" w:eastAsia="仿宋_GB2312"/>
          <w:sz w:val="28"/>
          <w:szCs w:val="28"/>
        </w:rPr>
      </w:pPr>
      <w:r>
        <w:rPr>
          <w:rFonts w:hint="eastAsia" w:ascii="仿宋_GB2312" w:eastAsia="仿宋_GB2312"/>
          <w:sz w:val="28"/>
          <w:szCs w:val="28"/>
        </w:rPr>
        <w:t>2022年08月</w:t>
      </w:r>
    </w:p>
    <w:p>
      <w:pPr>
        <w:snapToGrid w:val="0"/>
        <w:spacing w:beforeLines="50" w:afterLines="50" w:line="500" w:lineRule="exact"/>
        <w:ind w:firstLine="1760"/>
        <w:outlineLvl w:val="0"/>
        <w:rPr>
          <w:rFonts w:ascii="仿宋_GB2312" w:hAnsi="宋体" w:eastAsia="仿宋_GB2312" w:cs="宋体"/>
          <w:b/>
          <w:sz w:val="32"/>
          <w:szCs w:val="32"/>
        </w:rPr>
      </w:pPr>
      <w:bookmarkStart w:id="6" w:name="_Toc354491896"/>
      <w:bookmarkStart w:id="7" w:name="_Toc322352982"/>
      <w:bookmarkStart w:id="8" w:name="_Toc356371430"/>
      <w:r>
        <w:rPr>
          <w:rFonts w:ascii="仿宋_GB2312" w:hAnsi="宋体" w:eastAsia="仿宋_GB2312" w:cs="宋体"/>
          <w:b/>
          <w:sz w:val="32"/>
          <w:szCs w:val="32"/>
        </w:rPr>
        <w:br w:type="page"/>
      </w:r>
      <w:bookmarkStart w:id="9" w:name="_Toc2060"/>
      <w:r>
        <w:rPr>
          <w:rFonts w:hint="eastAsia" w:ascii="仿宋_GB2312" w:hAnsi="宋体" w:eastAsia="仿宋_GB2312" w:cs="宋体"/>
          <w:b/>
          <w:sz w:val="32"/>
          <w:szCs w:val="32"/>
        </w:rPr>
        <w:t>第二章  投标</w:t>
      </w:r>
      <w:bookmarkEnd w:id="6"/>
      <w:bookmarkEnd w:id="7"/>
      <w:r>
        <w:rPr>
          <w:rFonts w:hint="eastAsia" w:ascii="仿宋_GB2312" w:hAnsi="宋体" w:eastAsia="仿宋_GB2312" w:cs="宋体"/>
          <w:b/>
          <w:sz w:val="32"/>
          <w:szCs w:val="32"/>
        </w:rPr>
        <w:t>须知前附表及投标须知</w:t>
      </w:r>
      <w:bookmarkEnd w:id="8"/>
      <w:bookmarkEnd w:id="9"/>
    </w:p>
    <w:p>
      <w:pPr>
        <w:numPr>
          <w:ilvl w:val="0"/>
          <w:numId w:val="14"/>
        </w:numPr>
        <w:snapToGrid w:val="0"/>
        <w:spacing w:beforeLines="50" w:afterLines="50" w:line="500" w:lineRule="exact"/>
        <w:rPr>
          <w:rFonts w:ascii="仿宋_GB2312" w:hAnsi="宋体" w:eastAsia="仿宋_GB2312" w:cs="宋体"/>
          <w:b/>
          <w:sz w:val="28"/>
          <w:szCs w:val="28"/>
        </w:rPr>
      </w:pPr>
      <w:bookmarkStart w:id="10" w:name="_Toc356371431"/>
      <w:r>
        <w:rPr>
          <w:rFonts w:hint="eastAsia" w:ascii="仿宋_GB2312" w:hAnsi="宋体" w:eastAsia="仿宋_GB2312" w:cs="宋体"/>
          <w:b/>
          <w:sz w:val="28"/>
          <w:szCs w:val="28"/>
        </w:rPr>
        <w:t>投标须知前附表</w:t>
      </w:r>
      <w:bookmarkEnd w:id="10"/>
    </w:p>
    <w:tbl>
      <w:tblPr>
        <w:tblStyle w:val="69"/>
        <w:tblW w:w="907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0"/>
        <w:gridCol w:w="2629"/>
        <w:gridCol w:w="5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序号</w:t>
            </w:r>
          </w:p>
        </w:tc>
        <w:tc>
          <w:tcPr>
            <w:tcW w:w="2629"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内  容</w:t>
            </w:r>
          </w:p>
        </w:tc>
        <w:tc>
          <w:tcPr>
            <w:tcW w:w="588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采购人</w:t>
            </w:r>
          </w:p>
        </w:tc>
        <w:tc>
          <w:tcPr>
            <w:tcW w:w="5880" w:type="dxa"/>
            <w:vAlign w:val="center"/>
          </w:tcPr>
          <w:p>
            <w:pPr>
              <w:pStyle w:val="35"/>
              <w:snapToGrid w:val="0"/>
              <w:spacing w:line="380" w:lineRule="exact"/>
              <w:rPr>
                <w:rFonts w:ascii="仿宋_GB2312" w:eastAsia="仿宋_GB2312"/>
                <w:sz w:val="28"/>
                <w:szCs w:val="28"/>
              </w:rPr>
            </w:pPr>
            <w:r>
              <w:rPr>
                <w:rFonts w:hint="eastAsia" w:ascii="仿宋_GB2312" w:eastAsia="仿宋_GB2312"/>
                <w:sz w:val="28"/>
                <w:szCs w:val="28"/>
              </w:rPr>
              <w:t>衢州市衢江区人民法院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2</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项目名称</w:t>
            </w:r>
          </w:p>
        </w:tc>
        <w:tc>
          <w:tcPr>
            <w:tcW w:w="5880" w:type="dxa"/>
            <w:vAlign w:val="center"/>
          </w:tcPr>
          <w:p>
            <w:pPr>
              <w:pStyle w:val="35"/>
              <w:snapToGrid w:val="0"/>
              <w:spacing w:line="380" w:lineRule="exact"/>
              <w:rPr>
                <w:rFonts w:ascii="仿宋_GB2312" w:eastAsia="仿宋_GB2312"/>
                <w:sz w:val="28"/>
                <w:szCs w:val="28"/>
              </w:rPr>
            </w:pPr>
            <w:r>
              <w:rPr>
                <w:rFonts w:hint="eastAsia" w:ascii="仿宋_GB2312" w:eastAsia="仿宋_GB2312"/>
                <w:sz w:val="28"/>
                <w:szCs w:val="28"/>
              </w:rPr>
              <w:t>衢江区人民法院物业管理服务项目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3</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采购预算</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480万元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4</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投标有效期</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投标文件递交截止之日起90天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5</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eastAsia="仿宋_GB2312"/>
                <w:sz w:val="28"/>
                <w:szCs w:val="28"/>
              </w:rPr>
              <w:t>投标保证金</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eastAsia="仿宋_GB2312"/>
                <w:sz w:val="28"/>
                <w:szCs w:val="28"/>
              </w:rPr>
              <w:t>本项目无需投标保证金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6</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pacing w:val="-20"/>
                <w:sz w:val="28"/>
                <w:szCs w:val="28"/>
              </w:rPr>
              <w:t>投标文件递交份数</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投标人请准备电子投标文件：</w:t>
            </w:r>
          </w:p>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（1）电子投标文件，按政采云平台供应商项目采购-电子招投标操作指南（网址：https://service.zcygov.cn/#/knowledges/CW1EtGwBFdiHxlNd6I3m/6IMVAG0BFdiHxlNdQ8Na）及本招标文件要求递交。</w:t>
            </w:r>
          </w:p>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（2）投标文件均由资格审查文件、技术商务文件、报价文件组成。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7</w:t>
            </w:r>
          </w:p>
        </w:tc>
        <w:tc>
          <w:tcPr>
            <w:tcW w:w="2629" w:type="dxa"/>
            <w:vAlign w:val="center"/>
          </w:tcPr>
          <w:p>
            <w:pPr>
              <w:spacing w:line="380" w:lineRule="exact"/>
              <w:rPr>
                <w:rFonts w:ascii="仿宋_GB2312" w:hAnsi="宋体" w:eastAsia="仿宋_GB2312"/>
                <w:sz w:val="28"/>
                <w:szCs w:val="28"/>
              </w:rPr>
            </w:pPr>
            <w:r>
              <w:rPr>
                <w:rFonts w:hint="eastAsia" w:ascii="仿宋_GB2312" w:hAnsi="宋体" w:eastAsia="仿宋_GB2312"/>
                <w:spacing w:val="-20"/>
                <w:sz w:val="28"/>
                <w:szCs w:val="28"/>
              </w:rPr>
              <w:t>投标文件递交截止时间</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2022年09月</w:t>
            </w:r>
            <w:r>
              <w:rPr>
                <w:rFonts w:hint="eastAsia" w:ascii="仿宋_GB2312" w:hAnsi="宋体" w:eastAsia="仿宋_GB2312" w:cs="宋体"/>
                <w:sz w:val="28"/>
                <w:szCs w:val="28"/>
              </w:rPr>
              <w:t>01</w:t>
            </w:r>
            <w:r>
              <w:rPr>
                <w:rFonts w:hint="eastAsia" w:ascii="仿宋_GB2312" w:hAnsi="宋体" w:eastAsia="仿宋_GB2312"/>
                <w:sz w:val="28"/>
                <w:szCs w:val="28"/>
              </w:rPr>
              <w:t>日09</w:t>
            </w:r>
            <w:r>
              <w:rPr>
                <w:rFonts w:hint="eastAsia" w:ascii="仿宋_GB2312" w:hAnsi="宋体" w:eastAsia="仿宋_GB2312" w:cs="宋体"/>
                <w:sz w:val="28"/>
                <w:szCs w:val="28"/>
              </w:rPr>
              <w:t>:</w:t>
            </w:r>
            <w:r>
              <w:rPr>
                <w:rFonts w:hint="eastAsia" w:ascii="仿宋_GB2312" w:hAnsi="宋体" w:eastAsia="仿宋_GB2312"/>
                <w:sz w:val="28"/>
                <w:szCs w:val="28"/>
              </w:rPr>
              <w:t>30</w:t>
            </w:r>
            <w:r>
              <w:rPr>
                <w:rFonts w:hint="eastAsia" w:ascii="仿宋_GB2312" w:hAnsi="宋体" w:eastAsia="仿宋_GB2312" w:cs="宋体"/>
                <w:sz w:val="28"/>
                <w:szCs w:val="28"/>
              </w:rPr>
              <w:t>:00</w:t>
            </w:r>
            <w:r>
              <w:rPr>
                <w:rFonts w:hint="eastAsia" w:ascii="仿宋_GB2312" w:hAnsi="宋体" w:eastAsia="仿宋_GB2312"/>
                <w:sz w:val="28"/>
                <w:szCs w:val="28"/>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8</w:t>
            </w:r>
          </w:p>
        </w:tc>
        <w:tc>
          <w:tcPr>
            <w:tcW w:w="2629" w:type="dxa"/>
            <w:vAlign w:val="center"/>
          </w:tcPr>
          <w:p>
            <w:pPr>
              <w:pStyle w:val="35"/>
              <w:snapToGrid w:val="0"/>
              <w:spacing w:line="380" w:lineRule="exact"/>
              <w:rPr>
                <w:rFonts w:ascii="仿宋_GB2312" w:hAnsi="宋体" w:eastAsia="仿宋_GB2312"/>
                <w:spacing w:val="-20"/>
                <w:sz w:val="28"/>
                <w:szCs w:val="28"/>
              </w:rPr>
            </w:pPr>
            <w:r>
              <w:rPr>
                <w:rFonts w:hint="eastAsia" w:ascii="仿宋_GB2312" w:hAnsi="宋体" w:eastAsia="仿宋_GB2312"/>
                <w:spacing w:val="-20"/>
                <w:sz w:val="28"/>
                <w:szCs w:val="28"/>
              </w:rPr>
              <w:t>开标地点</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eastAsia="仿宋_GB2312"/>
                <w:sz w:val="28"/>
                <w:szCs w:val="28"/>
              </w:rPr>
              <w:t>衢州市衢江区公共资源交易中心第</w:t>
            </w:r>
            <w:r>
              <w:rPr>
                <w:rFonts w:hint="eastAsia" w:ascii="仿宋_GB2312" w:eastAsia="仿宋_GB2312"/>
                <w:color w:val="FF0000"/>
                <w:sz w:val="28"/>
                <w:szCs w:val="28"/>
              </w:rPr>
              <w:t>二</w:t>
            </w:r>
            <w:r>
              <w:rPr>
                <w:rFonts w:hint="eastAsia" w:ascii="仿宋_GB2312" w:eastAsia="仿宋_GB2312"/>
                <w:sz w:val="28"/>
                <w:szCs w:val="28"/>
              </w:rPr>
              <w:t>开标厅（衢州市衢江区振兴东路268号六楼）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9</w:t>
            </w:r>
          </w:p>
        </w:tc>
        <w:tc>
          <w:tcPr>
            <w:tcW w:w="2629" w:type="dxa"/>
            <w:vAlign w:val="center"/>
          </w:tcPr>
          <w:p>
            <w:pPr>
              <w:pStyle w:val="35"/>
              <w:snapToGrid w:val="0"/>
              <w:spacing w:line="380" w:lineRule="exact"/>
              <w:rPr>
                <w:rFonts w:ascii="仿宋_GB2312" w:hAnsi="宋体" w:eastAsia="仿宋_GB2312"/>
                <w:spacing w:val="-20"/>
                <w:sz w:val="28"/>
                <w:szCs w:val="28"/>
              </w:rPr>
            </w:pPr>
            <w:r>
              <w:rPr>
                <w:rFonts w:hint="eastAsia" w:ascii="仿宋_GB2312" w:hAnsi="宋体" w:eastAsia="仿宋_GB2312"/>
                <w:sz w:val="28"/>
                <w:szCs w:val="28"/>
              </w:rPr>
              <w:t>开标时间</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2022年</w:t>
            </w:r>
            <w:r>
              <w:rPr>
                <w:rFonts w:hint="eastAsia" w:ascii="仿宋_GB2312" w:hAnsi="宋体" w:eastAsia="仿宋_GB2312" w:cs="宋体"/>
                <w:sz w:val="28"/>
                <w:szCs w:val="28"/>
              </w:rPr>
              <w:t>09</w:t>
            </w:r>
            <w:r>
              <w:rPr>
                <w:rFonts w:hint="eastAsia" w:ascii="仿宋_GB2312" w:hAnsi="宋体" w:eastAsia="仿宋_GB2312"/>
                <w:sz w:val="28"/>
                <w:szCs w:val="28"/>
              </w:rPr>
              <w:t>月01日09</w:t>
            </w:r>
            <w:r>
              <w:rPr>
                <w:rFonts w:hint="eastAsia" w:ascii="仿宋_GB2312" w:hAnsi="宋体" w:eastAsia="仿宋_GB2312" w:cs="宋体"/>
                <w:sz w:val="28"/>
                <w:szCs w:val="28"/>
              </w:rPr>
              <w:t>:</w:t>
            </w:r>
            <w:r>
              <w:rPr>
                <w:rFonts w:hint="eastAsia" w:ascii="仿宋_GB2312" w:hAnsi="宋体" w:eastAsia="仿宋_GB2312"/>
                <w:sz w:val="28"/>
                <w:szCs w:val="28"/>
              </w:rPr>
              <w:t>30</w:t>
            </w:r>
            <w:r>
              <w:rPr>
                <w:rFonts w:hint="eastAsia" w:ascii="仿宋_GB2312" w:hAnsi="宋体" w:eastAsia="仿宋_GB2312" w:cs="宋体"/>
                <w:sz w:val="28"/>
                <w:szCs w:val="28"/>
              </w:rPr>
              <w:t>:00</w:t>
            </w:r>
            <w:r>
              <w:rPr>
                <w:rFonts w:hint="eastAsia" w:ascii="仿宋_GB2312" w:hAnsi="宋体" w:eastAsia="仿宋_GB2312"/>
                <w:sz w:val="28"/>
                <w:szCs w:val="28"/>
              </w:rPr>
              <w:t xml:space="preserve">（北京时间）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10</w:t>
            </w:r>
          </w:p>
        </w:tc>
        <w:tc>
          <w:tcPr>
            <w:tcW w:w="2629" w:type="dxa"/>
            <w:vAlign w:val="center"/>
          </w:tcPr>
          <w:p>
            <w:pPr>
              <w:pStyle w:val="35"/>
              <w:snapToGrid w:val="0"/>
              <w:spacing w:line="380" w:lineRule="exact"/>
              <w:rPr>
                <w:rFonts w:ascii="仿宋_GB2312" w:hAnsi="宋体" w:eastAsia="仿宋_GB2312"/>
                <w:spacing w:val="-20"/>
                <w:sz w:val="28"/>
                <w:szCs w:val="28"/>
              </w:rPr>
            </w:pPr>
            <w:r>
              <w:rPr>
                <w:rFonts w:hint="eastAsia" w:ascii="仿宋_GB2312" w:hAnsi="宋体" w:eastAsia="仿宋_GB2312"/>
                <w:sz w:val="28"/>
                <w:szCs w:val="28"/>
              </w:rPr>
              <w:t>签订合同</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中标通知书发出后</w:t>
            </w:r>
            <w:r>
              <w:rPr>
                <w:rFonts w:hint="eastAsia" w:ascii="仿宋_GB2312" w:hAnsi="宋体" w:eastAsia="仿宋_GB2312"/>
                <w:color w:val="FF0000"/>
                <w:sz w:val="28"/>
                <w:szCs w:val="28"/>
              </w:rPr>
              <w:t>七</w:t>
            </w:r>
            <w:r>
              <w:rPr>
                <w:rFonts w:hint="eastAsia" w:ascii="仿宋_GB2312" w:hAnsi="宋体" w:eastAsia="仿宋_GB2312"/>
                <w:sz w:val="28"/>
                <w:szCs w:val="28"/>
              </w:rPr>
              <w:t xml:space="preserve">天内签订合同。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11</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中标人履约保证金交纳</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eastAsia="仿宋_GB2312" w:cs="宋体"/>
                <w:sz w:val="28"/>
                <w:szCs w:val="28"/>
                <w:lang w:val="zh-CN"/>
              </w:rPr>
              <w:t>中标人向采购人交纳中标金额</w:t>
            </w:r>
            <w:r>
              <w:rPr>
                <w:rFonts w:hint="eastAsia" w:ascii="仿宋_GB2312" w:eastAsia="仿宋_GB2312" w:cs="宋体"/>
                <w:sz w:val="28"/>
                <w:szCs w:val="28"/>
              </w:rPr>
              <w:t>1</w:t>
            </w:r>
            <w:r>
              <w:rPr>
                <w:rFonts w:hint="eastAsia" w:ascii="仿宋_GB2312" w:eastAsia="仿宋_GB2312" w:cs="宋体"/>
                <w:sz w:val="28"/>
                <w:szCs w:val="28"/>
                <w:lang w:val="zh-CN"/>
              </w:rPr>
              <w:t>%的履约保证金（</w:t>
            </w:r>
            <w:r>
              <w:rPr>
                <w:rFonts w:hint="eastAsia" w:ascii="仿宋_GB2312" w:eastAsia="仿宋_GB2312" w:cs="宋体"/>
                <w:sz w:val="28"/>
                <w:szCs w:val="28"/>
              </w:rPr>
              <w:t>非现金交纳）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12</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联合体投标</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本项目谢绝联合体投标。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13</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联系人</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cs="宋体"/>
                <w:sz w:val="28"/>
                <w:szCs w:val="28"/>
              </w:rPr>
              <w:t>邵先生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14</w:t>
            </w:r>
          </w:p>
        </w:tc>
        <w:tc>
          <w:tcPr>
            <w:tcW w:w="2629" w:type="dxa"/>
            <w:vAlign w:val="center"/>
          </w:tcPr>
          <w:p>
            <w:pPr>
              <w:pStyle w:val="35"/>
              <w:spacing w:line="380" w:lineRule="exact"/>
              <w:rPr>
                <w:rFonts w:ascii="仿宋_GB2312" w:hAnsi="宋体" w:eastAsia="仿宋_GB2312"/>
                <w:sz w:val="28"/>
                <w:szCs w:val="28"/>
              </w:rPr>
            </w:pPr>
            <w:r>
              <w:rPr>
                <w:rFonts w:hint="eastAsia" w:ascii="仿宋_GB2312" w:hAnsi="宋体" w:eastAsia="仿宋_GB2312"/>
                <w:sz w:val="28"/>
                <w:szCs w:val="28"/>
              </w:rPr>
              <w:t>联系电话（传真）</w:t>
            </w:r>
          </w:p>
        </w:tc>
        <w:tc>
          <w:tcPr>
            <w:tcW w:w="5880" w:type="dxa"/>
            <w:vAlign w:val="center"/>
          </w:tcPr>
          <w:p>
            <w:pPr>
              <w:pStyle w:val="35"/>
              <w:spacing w:line="380" w:lineRule="exact"/>
              <w:rPr>
                <w:rFonts w:ascii="仿宋_GB2312" w:hAnsi="宋体" w:eastAsia="仿宋_GB2312"/>
                <w:sz w:val="28"/>
                <w:szCs w:val="28"/>
              </w:rPr>
            </w:pPr>
            <w:r>
              <w:rPr>
                <w:rFonts w:hint="eastAsia" w:ascii="仿宋_GB2312" w:hAnsi="宋体" w:eastAsia="仿宋_GB2312"/>
                <w:sz w:val="28"/>
                <w:szCs w:val="28"/>
              </w:rPr>
              <w:t>0570-3838411 ; 0570-3836302 （传真）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15</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信用查询</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根据《关于在政府采购活动中查询及使用信用记录有关问题的通知》财库[2016]125号的规定：</w:t>
            </w:r>
          </w:p>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1）采购人或采购代理机构将对本项目投标人的信用记录进行查询。查询渠道为信用中国网站（www.creditchina.gov.cn）、中国政府采购网（www.ccgp.gov.cn）；</w:t>
            </w:r>
          </w:p>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2）截止时点：提交投标文件（响应文件）截止时间前3年内；</w:t>
            </w:r>
          </w:p>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3）查询记录和证据的留存：信用信息查询记录和证据以网页截图等方式留存。</w:t>
            </w:r>
          </w:p>
          <w:p>
            <w:pPr>
              <w:pStyle w:val="35"/>
              <w:snapToGrid w:val="0"/>
              <w:spacing w:line="380" w:lineRule="exact"/>
              <w:rPr>
                <w:rFonts w:ascii="仿宋_GB2312" w:hAnsi="宋体" w:eastAsia="仿宋_GB2312" w:cs="宋体"/>
                <w:sz w:val="28"/>
                <w:szCs w:val="28"/>
                <w:lang w:val="zh-CN"/>
              </w:rPr>
            </w:pPr>
            <w:r>
              <w:rPr>
                <w:rFonts w:hint="eastAsia" w:ascii="仿宋_GB2312" w:hAnsi="宋体" w:eastAsia="仿宋_GB2312"/>
                <w:sz w:val="28"/>
                <w:szCs w:val="28"/>
              </w:rPr>
              <w:t>4）使用规则：被列入失信被执行人、重大税收违法案件当事人名单、政府采购严重违法失信行为记录名单及其它不符合《中华人民共和国政府采购法》第二十二条规定条件的，其投标将被拒绝。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16</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采购公告，更正公告，中标公示发布网址</w:t>
            </w:r>
          </w:p>
        </w:tc>
        <w:tc>
          <w:tcPr>
            <w:tcW w:w="5880" w:type="dxa"/>
            <w:vAlign w:val="center"/>
          </w:tcPr>
          <w:p>
            <w:pPr>
              <w:pStyle w:val="35"/>
              <w:snapToGrid w:val="0"/>
              <w:spacing w:line="380" w:lineRule="exact"/>
              <w:rPr>
                <w:rFonts w:ascii="仿宋_GB2312" w:eastAsia="仿宋_GB2312"/>
                <w:sz w:val="28"/>
                <w:szCs w:val="28"/>
              </w:rPr>
            </w:pPr>
            <w:r>
              <w:rPr>
                <w:rFonts w:hint="eastAsia"/>
              </w:rPr>
              <w:t>http://zfcg.czt.zj.gov.cn</w:t>
            </w:r>
            <w:r>
              <w:rPr>
                <w:rStyle w:val="144"/>
                <w:rFonts w:hint="default" w:ascii="仿宋_GB2312" w:eastAsia="仿宋_GB2312"/>
                <w:bCs/>
                <w:sz w:val="28"/>
                <w:szCs w:val="28"/>
              </w:rPr>
              <w:t>（浙江省政府采购网）</w:t>
            </w:r>
          </w:p>
          <w:p>
            <w:pPr>
              <w:pStyle w:val="35"/>
              <w:snapToGrid w:val="0"/>
              <w:spacing w:line="380" w:lineRule="exact"/>
              <w:rPr>
                <w:rFonts w:ascii="仿宋_GB2312" w:eastAsia="仿宋_GB2312"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17</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电子投标文件的传输递交</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570" w:type="dxa"/>
            <w:vAlign w:val="center"/>
          </w:tcPr>
          <w:p>
            <w:pPr>
              <w:pStyle w:val="35"/>
              <w:snapToGrid w:val="0"/>
              <w:spacing w:line="380" w:lineRule="exact"/>
              <w:jc w:val="center"/>
              <w:rPr>
                <w:rFonts w:ascii="仿宋_GB2312" w:hAnsi="宋体" w:eastAsia="仿宋_GB2312"/>
                <w:sz w:val="28"/>
                <w:szCs w:val="28"/>
              </w:rPr>
            </w:pPr>
            <w:r>
              <w:rPr>
                <w:rFonts w:hint="eastAsia" w:ascii="仿宋_GB2312" w:hAnsi="宋体" w:eastAsia="仿宋_GB2312"/>
                <w:sz w:val="28"/>
                <w:szCs w:val="28"/>
              </w:rPr>
              <w:t>18</w:t>
            </w:r>
          </w:p>
        </w:tc>
        <w:tc>
          <w:tcPr>
            <w:tcW w:w="2629"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注意事项</w:t>
            </w:r>
          </w:p>
        </w:tc>
        <w:tc>
          <w:tcPr>
            <w:tcW w:w="5880" w:type="dxa"/>
            <w:vAlign w:val="center"/>
          </w:tcPr>
          <w:p>
            <w:pPr>
              <w:pStyle w:val="35"/>
              <w:snapToGrid w:val="0"/>
              <w:spacing w:line="380" w:lineRule="exact"/>
              <w:rPr>
                <w:rFonts w:ascii="仿宋_GB2312" w:hAnsi="宋体" w:eastAsia="仿宋_GB2312"/>
                <w:sz w:val="28"/>
                <w:szCs w:val="28"/>
              </w:rPr>
            </w:pPr>
            <w:r>
              <w:rPr>
                <w:rFonts w:hint="eastAsia" w:ascii="仿宋_GB2312" w:hAnsi="宋体" w:eastAsia="仿宋_GB2312"/>
                <w:sz w:val="28"/>
                <w:szCs w:val="28"/>
              </w:rPr>
              <w:t>本项目采用远程异地开评标，投标人无需到开标现场，投标截止时间后投标人凭CA数字证书完成投标解密等事宜。投标人的联系电话在投标当天保持通信畅通，因通信问题无法联系到投标人造成的后果由投标人自行承担。在线解密电子投标文件时间为开标时间起半个小时内。</w:t>
            </w:r>
          </w:p>
        </w:tc>
      </w:tr>
    </w:tbl>
    <w:p>
      <w:pPr>
        <w:jc w:val="center"/>
        <w:rPr>
          <w:rFonts w:ascii="仿宋_GB2312" w:hAnsi="宋体" w:eastAsia="仿宋_GB2312" w:cs="宋体"/>
          <w:b/>
          <w:sz w:val="32"/>
          <w:szCs w:val="32"/>
        </w:rPr>
      </w:pPr>
    </w:p>
    <w:p>
      <w:pPr>
        <w:numPr>
          <w:ilvl w:val="0"/>
          <w:numId w:val="14"/>
        </w:numPr>
        <w:snapToGrid w:val="0"/>
        <w:spacing w:beforeLines="50" w:afterLines="50" w:line="500" w:lineRule="exact"/>
        <w:rPr>
          <w:rFonts w:ascii="仿宋_GB2312" w:eastAsia="仿宋_GB2312"/>
          <w:b/>
          <w:sz w:val="28"/>
          <w:szCs w:val="28"/>
        </w:rPr>
      </w:pPr>
      <w:bookmarkStart w:id="11" w:name="_Toc356371433"/>
      <w:r>
        <w:rPr>
          <w:rFonts w:hint="eastAsia" w:ascii="仿宋_GB2312" w:eastAsia="仿宋_GB2312"/>
          <w:b/>
          <w:sz w:val="28"/>
          <w:szCs w:val="28"/>
        </w:rPr>
        <w:t>投标须知</w:t>
      </w:r>
      <w:bookmarkEnd w:id="11"/>
    </w:p>
    <w:p>
      <w:pPr>
        <w:numPr>
          <w:ilvl w:val="1"/>
          <w:numId w:val="14"/>
        </w:numPr>
        <w:snapToGrid w:val="0"/>
        <w:spacing w:line="500" w:lineRule="exact"/>
        <w:rPr>
          <w:rFonts w:ascii="仿宋_GB2312" w:eastAsia="仿宋_GB2312"/>
          <w:b/>
          <w:sz w:val="28"/>
          <w:szCs w:val="28"/>
        </w:rPr>
      </w:pPr>
      <w:r>
        <w:rPr>
          <w:rFonts w:hint="eastAsia" w:ascii="仿宋_GB2312" w:eastAsia="仿宋_GB2312"/>
          <w:sz w:val="28"/>
          <w:szCs w:val="28"/>
        </w:rPr>
        <w:t>适用范围</w:t>
      </w:r>
    </w:p>
    <w:p>
      <w:pPr>
        <w:tabs>
          <w:tab w:val="left" w:pos="0"/>
          <w:tab w:val="left" w:pos="900"/>
          <w:tab w:val="left" w:pos="7020"/>
          <w:tab w:val="left" w:pos="8460"/>
        </w:tabs>
        <w:snapToGrid w:val="0"/>
        <w:spacing w:line="500" w:lineRule="exact"/>
        <w:ind w:firstLine="560" w:firstLineChars="200"/>
        <w:rPr>
          <w:rFonts w:ascii="仿宋_GB2312" w:eastAsia="仿宋_GB2312"/>
          <w:sz w:val="28"/>
          <w:szCs w:val="28"/>
        </w:rPr>
      </w:pPr>
      <w:r>
        <w:rPr>
          <w:rFonts w:hint="eastAsia" w:ascii="仿宋_GB2312" w:eastAsia="仿宋_GB2312"/>
          <w:sz w:val="28"/>
          <w:szCs w:val="28"/>
        </w:rPr>
        <w:t>本招标文件仅适用于本次采购项目的招标、投标、评标、定标、验收、合同履约、付款等行为。</w:t>
      </w:r>
    </w:p>
    <w:p>
      <w:pPr>
        <w:numPr>
          <w:ilvl w:val="1"/>
          <w:numId w:val="14"/>
        </w:numPr>
        <w:snapToGrid w:val="0"/>
        <w:spacing w:line="500" w:lineRule="exact"/>
        <w:rPr>
          <w:rFonts w:ascii="仿宋_GB2312" w:eastAsia="仿宋_GB2312"/>
          <w:sz w:val="28"/>
          <w:szCs w:val="28"/>
        </w:rPr>
      </w:pPr>
      <w:r>
        <w:rPr>
          <w:rFonts w:hint="eastAsia" w:ascii="仿宋_GB2312" w:eastAsia="仿宋_GB2312"/>
          <w:sz w:val="28"/>
          <w:szCs w:val="28"/>
        </w:rPr>
        <w:t>定义</w:t>
      </w:r>
    </w:p>
    <w:p>
      <w:pPr>
        <w:numPr>
          <w:ilvl w:val="2"/>
          <w:numId w:val="14"/>
        </w:numPr>
        <w:snapToGrid w:val="0"/>
        <w:spacing w:line="500" w:lineRule="exact"/>
        <w:rPr>
          <w:rFonts w:ascii="仿宋_GB2312" w:eastAsia="仿宋_GB2312"/>
          <w:sz w:val="28"/>
          <w:szCs w:val="28"/>
        </w:rPr>
      </w:pPr>
      <w:r>
        <w:rPr>
          <w:rFonts w:hint="eastAsia" w:ascii="仿宋_GB2312" w:eastAsia="仿宋_GB2312"/>
          <w:sz w:val="28"/>
          <w:szCs w:val="28"/>
        </w:rPr>
        <w:t>“招标人”系指组织本次招标的衢州市衢江区政府采购中心 。</w:t>
      </w:r>
    </w:p>
    <w:p>
      <w:pPr>
        <w:numPr>
          <w:ilvl w:val="2"/>
          <w:numId w:val="14"/>
        </w:numPr>
        <w:snapToGrid w:val="0"/>
        <w:spacing w:line="500" w:lineRule="exact"/>
        <w:rPr>
          <w:rFonts w:ascii="仿宋_GB2312" w:eastAsia="仿宋_GB2312"/>
          <w:sz w:val="28"/>
          <w:szCs w:val="28"/>
        </w:rPr>
      </w:pPr>
      <w:r>
        <w:rPr>
          <w:rFonts w:hint="eastAsia" w:ascii="仿宋_GB2312" w:eastAsia="仿宋_GB2312"/>
          <w:sz w:val="28"/>
          <w:szCs w:val="28"/>
        </w:rPr>
        <w:t>“采购人”系指提出本次采购的委托单位：衢州市衢江区人民法院。</w:t>
      </w:r>
    </w:p>
    <w:p>
      <w:pPr>
        <w:numPr>
          <w:ilvl w:val="2"/>
          <w:numId w:val="14"/>
        </w:numPr>
        <w:snapToGrid w:val="0"/>
        <w:spacing w:line="500" w:lineRule="exact"/>
        <w:rPr>
          <w:rFonts w:ascii="仿宋_GB2312" w:eastAsia="仿宋_GB2312"/>
          <w:sz w:val="28"/>
          <w:szCs w:val="28"/>
        </w:rPr>
      </w:pPr>
      <w:r>
        <w:rPr>
          <w:rFonts w:hint="eastAsia" w:ascii="仿宋_GB2312" w:eastAsia="仿宋_GB2312"/>
          <w:sz w:val="28"/>
          <w:szCs w:val="28"/>
        </w:rPr>
        <w:t>“投标人”系指向招标方提交投标文件的供应商。</w:t>
      </w:r>
    </w:p>
    <w:p>
      <w:pPr>
        <w:numPr>
          <w:ilvl w:val="2"/>
          <w:numId w:val="14"/>
        </w:numPr>
        <w:snapToGrid w:val="0"/>
        <w:spacing w:line="500" w:lineRule="exact"/>
        <w:rPr>
          <w:rFonts w:ascii="仿宋_GB2312" w:eastAsia="仿宋_GB2312"/>
          <w:sz w:val="28"/>
          <w:szCs w:val="28"/>
        </w:rPr>
      </w:pPr>
      <w:r>
        <w:rPr>
          <w:rFonts w:hint="eastAsia" w:ascii="仿宋_GB2312" w:eastAsia="仿宋_GB2312"/>
          <w:sz w:val="28"/>
          <w:szCs w:val="28"/>
        </w:rPr>
        <w:t>“服务”系指根据本合同规定，中标人必须承担保洁、秩序维护、以及其他类似的义务。</w:t>
      </w:r>
    </w:p>
    <w:p>
      <w:pPr>
        <w:numPr>
          <w:ilvl w:val="2"/>
          <w:numId w:val="14"/>
        </w:numPr>
        <w:snapToGrid w:val="0"/>
        <w:spacing w:line="500" w:lineRule="exact"/>
        <w:rPr>
          <w:rFonts w:ascii="仿宋_GB2312" w:eastAsia="仿宋_GB2312"/>
          <w:sz w:val="28"/>
          <w:szCs w:val="28"/>
        </w:rPr>
      </w:pPr>
      <w:r>
        <w:rPr>
          <w:rFonts w:hint="eastAsia" w:ascii="仿宋_GB2312" w:eastAsia="仿宋_GB2312"/>
          <w:sz w:val="28"/>
          <w:szCs w:val="28"/>
        </w:rPr>
        <w:t>“▲”系指实质性要求条款。</w:t>
      </w:r>
    </w:p>
    <w:p>
      <w:pPr>
        <w:numPr>
          <w:ilvl w:val="1"/>
          <w:numId w:val="14"/>
        </w:numPr>
        <w:snapToGrid w:val="0"/>
        <w:spacing w:line="500" w:lineRule="exact"/>
        <w:rPr>
          <w:rFonts w:ascii="仿宋_GB2312" w:eastAsia="仿宋_GB2312"/>
          <w:sz w:val="28"/>
          <w:szCs w:val="28"/>
        </w:rPr>
      </w:pPr>
      <w:r>
        <w:rPr>
          <w:rFonts w:hint="eastAsia" w:ascii="仿宋_GB2312" w:eastAsia="仿宋_GB2312"/>
          <w:sz w:val="28"/>
          <w:szCs w:val="28"/>
        </w:rPr>
        <w:t>投标费用</w:t>
      </w:r>
    </w:p>
    <w:p>
      <w:pPr>
        <w:tabs>
          <w:tab w:val="left" w:pos="0"/>
          <w:tab w:val="left" w:pos="900"/>
          <w:tab w:val="left" w:pos="7020"/>
          <w:tab w:val="left" w:pos="8460"/>
        </w:tabs>
        <w:snapToGrid w:val="0"/>
        <w:spacing w:line="500" w:lineRule="exact"/>
        <w:ind w:firstLine="560" w:firstLineChars="200"/>
        <w:rPr>
          <w:rFonts w:ascii="仿宋_GB2312" w:eastAsia="仿宋_GB2312"/>
          <w:sz w:val="28"/>
          <w:szCs w:val="28"/>
        </w:rPr>
      </w:pPr>
      <w:r>
        <w:rPr>
          <w:rFonts w:hint="eastAsia" w:ascii="仿宋_GB2312" w:eastAsia="仿宋_GB2312"/>
          <w:sz w:val="28"/>
          <w:szCs w:val="28"/>
        </w:rPr>
        <w:t>不论投标结果如何，投标人均应自行承担所有与投标有关的全部费用。</w:t>
      </w:r>
    </w:p>
    <w:p>
      <w:pPr>
        <w:numPr>
          <w:ilvl w:val="1"/>
          <w:numId w:val="14"/>
        </w:numPr>
        <w:snapToGrid w:val="0"/>
        <w:spacing w:line="500" w:lineRule="exact"/>
        <w:rPr>
          <w:rFonts w:ascii="仿宋_GB2312" w:hAnsi="宋体" w:eastAsia="仿宋_GB2312"/>
          <w:sz w:val="28"/>
          <w:szCs w:val="28"/>
        </w:rPr>
      </w:pPr>
      <w:r>
        <w:rPr>
          <w:rFonts w:hint="eastAsia" w:ascii="仿宋_GB2312" w:hAnsi="宋体" w:eastAsia="仿宋_GB2312"/>
          <w:sz w:val="28"/>
          <w:szCs w:val="28"/>
        </w:rPr>
        <w:t>招标方式</w:t>
      </w:r>
    </w:p>
    <w:p>
      <w:pPr>
        <w:snapToGrid w:val="0"/>
        <w:spacing w:line="500" w:lineRule="exact"/>
        <w:ind w:firstLine="560" w:firstLineChars="200"/>
        <w:jc w:val="left"/>
        <w:rPr>
          <w:rFonts w:ascii="仿宋_GB2312" w:hAnsi="宋体" w:eastAsia="仿宋_GB2312"/>
          <w:sz w:val="28"/>
          <w:szCs w:val="28"/>
        </w:rPr>
      </w:pPr>
      <w:r>
        <w:rPr>
          <w:rFonts w:hint="eastAsia" w:ascii="仿宋_GB2312" w:hAnsi="宋体" w:eastAsia="仿宋_GB2312"/>
          <w:sz w:val="28"/>
          <w:szCs w:val="28"/>
        </w:rPr>
        <w:t>本次招标采用公开招标方式进行。</w:t>
      </w:r>
    </w:p>
    <w:p>
      <w:pPr>
        <w:numPr>
          <w:ilvl w:val="1"/>
          <w:numId w:val="14"/>
        </w:numPr>
        <w:snapToGrid w:val="0"/>
        <w:spacing w:line="500" w:lineRule="exact"/>
        <w:rPr>
          <w:rFonts w:ascii="仿宋_GB2312" w:hAnsi="宋体" w:eastAsia="仿宋_GB2312"/>
          <w:sz w:val="28"/>
          <w:szCs w:val="28"/>
        </w:rPr>
      </w:pPr>
      <w:r>
        <w:rPr>
          <w:rFonts w:hint="eastAsia" w:ascii="仿宋_GB2312" w:hAnsi="宋体" w:eastAsia="仿宋_GB2312"/>
          <w:sz w:val="28"/>
          <w:szCs w:val="28"/>
        </w:rPr>
        <w:t>联合体投标</w:t>
      </w:r>
    </w:p>
    <w:p>
      <w:pPr>
        <w:snapToGrid w:val="0"/>
        <w:spacing w:line="500" w:lineRule="exact"/>
        <w:ind w:firstLine="560" w:firstLineChars="200"/>
        <w:jc w:val="left"/>
        <w:rPr>
          <w:rFonts w:ascii="仿宋_GB2312" w:hAnsi="宋体" w:eastAsia="仿宋_GB2312" w:cs="Arial"/>
          <w:sz w:val="28"/>
          <w:szCs w:val="28"/>
        </w:rPr>
      </w:pPr>
      <w:r>
        <w:rPr>
          <w:rFonts w:hint="eastAsia" w:ascii="仿宋_GB2312" w:hAnsi="宋体" w:eastAsia="仿宋_GB2312" w:cs="Arial"/>
          <w:sz w:val="28"/>
          <w:szCs w:val="28"/>
        </w:rPr>
        <w:t>本项目不接受联合体投标。</w:t>
      </w:r>
    </w:p>
    <w:p>
      <w:pPr>
        <w:numPr>
          <w:ilvl w:val="1"/>
          <w:numId w:val="14"/>
        </w:numPr>
        <w:snapToGrid w:val="0"/>
        <w:spacing w:line="500" w:lineRule="exact"/>
        <w:ind w:firstLine="560" w:firstLineChars="200"/>
        <w:rPr>
          <w:rFonts w:ascii="仿宋_GB2312" w:hAnsi="宋体" w:eastAsia="仿宋_GB2312" w:cs="宋体"/>
          <w:kern w:val="0"/>
          <w:sz w:val="28"/>
          <w:szCs w:val="28"/>
        </w:rPr>
      </w:pPr>
      <w:r>
        <w:rPr>
          <w:rFonts w:hint="eastAsia" w:ascii="仿宋_GB2312" w:hAnsi="宋体" w:eastAsia="仿宋_GB2312" w:cs="宋体"/>
          <w:kern w:val="0"/>
          <w:sz w:val="28"/>
          <w:szCs w:val="28"/>
        </w:rPr>
        <w:t>转包与分包</w:t>
      </w:r>
    </w:p>
    <w:p>
      <w:pPr>
        <w:snapToGrid w:val="0"/>
        <w:spacing w:line="500" w:lineRule="exact"/>
        <w:ind w:firstLine="560" w:firstLineChars="200"/>
        <w:rPr>
          <w:rFonts w:ascii="仿宋_GB2312" w:hAnsi="宋体" w:eastAsia="仿宋_GB2312" w:cs="宋体"/>
          <w:kern w:val="0"/>
          <w:sz w:val="28"/>
          <w:szCs w:val="28"/>
        </w:rPr>
      </w:pPr>
      <w:r>
        <w:rPr>
          <w:rFonts w:hint="eastAsia" w:ascii="仿宋_GB2312" w:hAnsi="宋体" w:eastAsia="仿宋_GB2312" w:cs="宋体"/>
          <w:kern w:val="0"/>
          <w:sz w:val="28"/>
          <w:szCs w:val="28"/>
        </w:rPr>
        <w:t>本项目不允许转包。分包须经采购人书面同意后方可实施。</w:t>
      </w:r>
    </w:p>
    <w:p>
      <w:pPr>
        <w:numPr>
          <w:ilvl w:val="1"/>
          <w:numId w:val="14"/>
        </w:numPr>
        <w:snapToGrid w:val="0"/>
        <w:spacing w:line="500" w:lineRule="exact"/>
        <w:rPr>
          <w:rFonts w:ascii="仿宋_GB2312" w:hAnsi="宋体" w:eastAsia="仿宋_GB2312"/>
          <w:sz w:val="28"/>
          <w:szCs w:val="28"/>
        </w:rPr>
      </w:pPr>
      <w:r>
        <w:rPr>
          <w:rFonts w:hint="eastAsia" w:ascii="仿宋_GB2312" w:hAnsi="宋体" w:eastAsia="仿宋_GB2312"/>
          <w:sz w:val="28"/>
          <w:szCs w:val="28"/>
        </w:rPr>
        <w:t>特别说明：</w:t>
      </w:r>
    </w:p>
    <w:p>
      <w:pPr>
        <w:numPr>
          <w:ilvl w:val="2"/>
          <w:numId w:val="14"/>
        </w:numPr>
        <w:snapToGrid w:val="0"/>
        <w:spacing w:line="500" w:lineRule="exact"/>
        <w:rPr>
          <w:rFonts w:ascii="仿宋_GB2312" w:hAnsi="宋体" w:eastAsia="仿宋_GB2312"/>
          <w:sz w:val="28"/>
          <w:szCs w:val="28"/>
        </w:rPr>
      </w:pPr>
      <w:r>
        <w:rPr>
          <w:rFonts w:hint="eastAsia" w:ascii="仿宋_GB2312" w:hAnsi="宋体" w:eastAsia="仿宋_GB2312"/>
          <w:sz w:val="28"/>
          <w:szCs w:val="28"/>
        </w:rPr>
        <w:t>▲投标人应仔细阅读招标文件的所有内容，按照招标文件的要求提交投标文件，并对所提供的全部资料的真实性承担法律责任。</w:t>
      </w:r>
    </w:p>
    <w:p>
      <w:pPr>
        <w:numPr>
          <w:ilvl w:val="2"/>
          <w:numId w:val="14"/>
        </w:numPr>
        <w:snapToGrid w:val="0"/>
        <w:spacing w:line="500" w:lineRule="exact"/>
        <w:rPr>
          <w:rFonts w:ascii="仿宋_GB2312" w:hAnsi="宋体" w:eastAsia="仿宋_GB2312"/>
          <w:b/>
          <w:sz w:val="28"/>
          <w:szCs w:val="28"/>
        </w:rPr>
      </w:pPr>
      <w:r>
        <w:rPr>
          <w:rFonts w:hint="eastAsia" w:ascii="仿宋_GB2312" w:hAnsi="宋体" w:eastAsia="仿宋_GB2312"/>
          <w:sz w:val="28"/>
          <w:szCs w:val="28"/>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snapToGrid w:val="0"/>
        <w:spacing w:line="500" w:lineRule="exact"/>
        <w:ind w:firstLine="560" w:firstLineChars="200"/>
        <w:jc w:val="left"/>
        <w:rPr>
          <w:rFonts w:ascii="仿宋_GB2312" w:hAnsi="宋体" w:eastAsia="仿宋_GB2312"/>
          <w:b/>
          <w:sz w:val="28"/>
          <w:szCs w:val="28"/>
        </w:rPr>
      </w:pPr>
      <w:r>
        <w:rPr>
          <w:rFonts w:hint="eastAsia" w:ascii="仿宋_GB2312" w:hAnsi="宋体" w:eastAsia="仿宋_GB2312"/>
          <w:sz w:val="28"/>
          <w:szCs w:val="28"/>
        </w:rPr>
        <w:t>8.非单一产品采购项目中，多家投标人提供的核心产品品牌相同的，按一家投标人认定。。</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9.关于中小企业、监狱和戒毒企业和残疾人福利性单位参与政府采购活动的规定</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9.1根据《中小企业划型标准规定》（工信部联企业[2011]300号）、《政府采购促进中小企业发展管理办法》（财库〔2020〕46号）的有关规定，《政府采购促进中小企业发展管理办法》所称中小企业（含中型、小型、微型企业，下同）应当同时符合以下条件：</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1、在货物采购项目中，货物由中小企业制造，即货物由中小企业生产且使用该中小企业商号或者注册商标；</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2、在工程采购项目中，工程由中小企业承建，即工程施工单位为中小企业；</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3、在服务采购项目中，服务由中小企业承接，即提供服务的人员为中小企业依照《中华人民共和国劳动合同法》订立劳动合同的从业人员。</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在货物采购项目中，供应商提供的货物既有中小企业制造货物，也有大型企业制造货物的，不享受本办法规定的中小企业扶持政策。。</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以联合体形式参加政府采购活动，联合体各方均为中小企业的，联合体视同中小企业。其中，联合体各方均为小微企业的，联合体视同小微企业。</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9.2根据财政部《司法部关于政府采购支持监狱企业发展有关问题》的通知（财库〔2014〕68号）的有关规定，监狱和戒毒企业参与政府采购活动的视同小型、微型企业，享受评审中价格扣除政策。</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9.3根据财库[2017]141号的相关规定，在政府采购活动中，残疾人福利性单位视同小型、微型企业，享受评审中价格扣除政策。</w:t>
      </w:r>
    </w:p>
    <w:p>
      <w:pPr>
        <w:spacing w:line="360" w:lineRule="auto"/>
        <w:ind w:firstLine="560" w:firstLineChars="200"/>
        <w:rPr>
          <w:rFonts w:ascii="仿宋_GB2312" w:eastAsia="仿宋_GB2312"/>
          <w:bCs/>
          <w:sz w:val="28"/>
          <w:szCs w:val="28"/>
        </w:rPr>
      </w:pPr>
      <w:r>
        <w:rPr>
          <w:rFonts w:hint="eastAsia" w:ascii="仿宋_GB2312" w:eastAsia="仿宋_GB2312"/>
          <w:bCs/>
          <w:sz w:val="28"/>
          <w:szCs w:val="28"/>
        </w:rPr>
        <w:t>9.4小型、微型企业参加投标时，应提供《中小企业声明函》</w:t>
      </w:r>
      <w:r>
        <w:rPr>
          <w:rFonts w:hint="eastAsia" w:ascii="仿宋_GB2312" w:eastAsia="仿宋_GB2312"/>
          <w:sz w:val="28"/>
          <w:szCs w:val="28"/>
        </w:rPr>
        <w:t>；监狱和戒毒企业参加投标时应提供由省级以上监狱管理局、戒毒管理局（含新疆生产建设兵团）出具的属于监狱企业的证明文件；</w:t>
      </w:r>
      <w:r>
        <w:rPr>
          <w:rFonts w:hint="eastAsia" w:ascii="仿宋_GB2312" w:eastAsia="仿宋_GB2312"/>
          <w:bCs/>
          <w:sz w:val="28"/>
          <w:szCs w:val="28"/>
        </w:rPr>
        <w:t>残疾人福利性单位参加投标时应提供残疾人福利性单位声明函。</w:t>
      </w:r>
    </w:p>
    <w:p>
      <w:pPr>
        <w:numPr>
          <w:ilvl w:val="0"/>
          <w:numId w:val="14"/>
        </w:numPr>
        <w:snapToGrid w:val="0"/>
        <w:spacing w:beforeLines="50" w:afterLines="50" w:line="500" w:lineRule="exact"/>
        <w:rPr>
          <w:rFonts w:ascii="仿宋_GB2312" w:eastAsia="仿宋_GB2312"/>
          <w:b/>
          <w:sz w:val="28"/>
          <w:szCs w:val="28"/>
        </w:rPr>
      </w:pPr>
      <w:bookmarkStart w:id="12" w:name="_Toc356371434"/>
      <w:r>
        <w:rPr>
          <w:rFonts w:hint="eastAsia" w:ascii="仿宋_GB2312" w:eastAsia="仿宋_GB2312"/>
          <w:b/>
          <w:sz w:val="28"/>
          <w:szCs w:val="28"/>
        </w:rPr>
        <w:t>招标文件说明</w:t>
      </w:r>
      <w:bookmarkEnd w:id="12"/>
    </w:p>
    <w:p>
      <w:pPr>
        <w:numPr>
          <w:ilvl w:val="1"/>
          <w:numId w:val="15"/>
        </w:numPr>
        <w:snapToGrid w:val="0"/>
        <w:spacing w:line="500" w:lineRule="exact"/>
        <w:rPr>
          <w:rFonts w:ascii="仿宋_GB2312" w:eastAsia="仿宋_GB2312"/>
          <w:sz w:val="28"/>
          <w:szCs w:val="28"/>
        </w:rPr>
      </w:pPr>
      <w:r>
        <w:rPr>
          <w:rFonts w:hint="eastAsia" w:ascii="仿宋_GB2312" w:eastAsia="仿宋_GB2312"/>
          <w:sz w:val="28"/>
          <w:szCs w:val="28"/>
        </w:rPr>
        <w:t>招标文件的组成</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招标公告；</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投标须知前附表及投标须知；</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采购内容及要求；</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合同文本；</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应提交的有关格式范例；</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评标办法及开标程序。</w:t>
      </w:r>
    </w:p>
    <w:p>
      <w:pPr>
        <w:numPr>
          <w:ilvl w:val="1"/>
          <w:numId w:val="15"/>
        </w:numPr>
        <w:snapToGrid w:val="0"/>
        <w:spacing w:line="500" w:lineRule="exact"/>
        <w:rPr>
          <w:rFonts w:ascii="仿宋_GB2312" w:eastAsia="仿宋_GB2312"/>
          <w:sz w:val="28"/>
          <w:szCs w:val="28"/>
        </w:rPr>
      </w:pPr>
      <w:r>
        <w:rPr>
          <w:rFonts w:hint="eastAsia" w:ascii="仿宋_GB2312" w:eastAsia="仿宋_GB2312"/>
          <w:sz w:val="28"/>
          <w:szCs w:val="28"/>
        </w:rPr>
        <w:t>招标文件的澄清及修改</w:t>
      </w:r>
    </w:p>
    <w:p>
      <w:pPr>
        <w:numPr>
          <w:ilvl w:val="2"/>
          <w:numId w:val="15"/>
        </w:numPr>
        <w:snapToGrid w:val="0"/>
        <w:spacing w:line="500" w:lineRule="exact"/>
        <w:rPr>
          <w:rFonts w:ascii="仿宋_GB2312" w:eastAsia="仿宋_GB2312"/>
          <w:sz w:val="28"/>
          <w:szCs w:val="28"/>
        </w:rPr>
      </w:pPr>
      <w:r>
        <w:rPr>
          <w:rFonts w:hint="eastAsia" w:ascii="仿宋_GB2312" w:eastAsia="仿宋_GB2312"/>
          <w:sz w:val="28"/>
          <w:szCs w:val="28"/>
        </w:rPr>
        <w:t>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pPr>
        <w:numPr>
          <w:ilvl w:val="0"/>
          <w:numId w:val="14"/>
        </w:numPr>
        <w:snapToGrid w:val="0"/>
        <w:spacing w:beforeLines="50" w:afterLines="50" w:line="500" w:lineRule="exact"/>
        <w:rPr>
          <w:rFonts w:ascii="仿宋_GB2312" w:eastAsia="仿宋_GB2312"/>
          <w:b/>
          <w:sz w:val="28"/>
          <w:szCs w:val="28"/>
        </w:rPr>
      </w:pPr>
      <w:bookmarkStart w:id="13" w:name="_Toc356371435"/>
      <w:r>
        <w:rPr>
          <w:rFonts w:hint="eastAsia" w:ascii="仿宋_GB2312" w:eastAsia="仿宋_GB2312"/>
          <w:b/>
          <w:sz w:val="28"/>
          <w:szCs w:val="28"/>
        </w:rPr>
        <w:t>投标文件的编制</w:t>
      </w:r>
      <w:bookmarkEnd w:id="13"/>
    </w:p>
    <w:p>
      <w:pPr>
        <w:numPr>
          <w:ilvl w:val="1"/>
          <w:numId w:val="16"/>
        </w:numPr>
        <w:snapToGrid w:val="0"/>
        <w:spacing w:line="500" w:lineRule="exact"/>
        <w:rPr>
          <w:rFonts w:ascii="仿宋_GB2312" w:eastAsia="仿宋_GB2312"/>
          <w:sz w:val="28"/>
          <w:szCs w:val="28"/>
        </w:rPr>
      </w:pPr>
      <w:r>
        <w:rPr>
          <w:rFonts w:hint="eastAsia" w:ascii="仿宋_GB2312" w:eastAsia="仿宋_GB2312"/>
          <w:sz w:val="28"/>
          <w:szCs w:val="28"/>
        </w:rPr>
        <w:t>总体要求</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投标人应仔细阅读招标文件的所有内容，按本文件的要求提供投标文件，并保证所提供的全部资料的真实性，以使其投标文件对招标文件作出实质性响应</w:t>
      </w:r>
      <w:r>
        <w:rPr>
          <w:rFonts w:hint="eastAsia" w:ascii="仿宋_GB2312" w:hAnsi="ˎ̥" w:eastAsia="仿宋_GB2312" w:cs="宋体"/>
          <w:kern w:val="0"/>
          <w:sz w:val="28"/>
          <w:szCs w:val="28"/>
        </w:rPr>
        <w:t>，否则，投标文件可能视为无效投标文件。</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投标文件及投标人与采购有关的来往通知，函件和文件均应使用中文。</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投标人应按本文件中提供的文件格式、内容和要求制作投标文件。</w:t>
      </w:r>
    </w:p>
    <w:p>
      <w:pPr>
        <w:numPr>
          <w:ilvl w:val="1"/>
          <w:numId w:val="16"/>
        </w:numPr>
        <w:snapToGrid w:val="0"/>
        <w:spacing w:line="500" w:lineRule="exact"/>
        <w:rPr>
          <w:rFonts w:ascii="仿宋_GB2312" w:eastAsia="仿宋_GB2312"/>
          <w:sz w:val="28"/>
          <w:szCs w:val="28"/>
        </w:rPr>
      </w:pPr>
      <w:r>
        <w:rPr>
          <w:rFonts w:hint="eastAsia" w:ascii="仿宋_GB2312" w:eastAsia="仿宋_GB2312"/>
          <w:sz w:val="28"/>
          <w:szCs w:val="28"/>
        </w:rPr>
        <w:t>投标文件的组成及份数</w:t>
      </w:r>
    </w:p>
    <w:p>
      <w:pPr>
        <w:tabs>
          <w:tab w:val="left" w:pos="0"/>
          <w:tab w:val="left" w:pos="900"/>
          <w:tab w:val="left" w:pos="7020"/>
          <w:tab w:val="left" w:pos="8460"/>
        </w:tabs>
        <w:snapToGrid w:val="0"/>
        <w:spacing w:line="500" w:lineRule="exact"/>
        <w:ind w:firstLine="562" w:firstLineChars="200"/>
        <w:rPr>
          <w:rFonts w:ascii="仿宋_GB2312" w:eastAsia="仿宋_GB2312"/>
          <w:b/>
          <w:sz w:val="28"/>
          <w:szCs w:val="28"/>
        </w:rPr>
      </w:pPr>
      <w:r>
        <w:rPr>
          <w:rFonts w:hint="eastAsia" w:ascii="仿宋_GB2312" w:eastAsia="仿宋_GB2312"/>
          <w:b/>
          <w:sz w:val="28"/>
          <w:szCs w:val="28"/>
        </w:rPr>
        <w:t>▲</w:t>
      </w:r>
      <w:r>
        <w:rPr>
          <w:rFonts w:hint="eastAsia" w:ascii="仿宋_GB2312" w:eastAsia="仿宋_GB2312"/>
          <w:sz w:val="28"/>
          <w:szCs w:val="28"/>
        </w:rPr>
        <w:t>投标文件应分为【资格审查文件】、【技术商务文件】和【报价文件】。电子投标文件中须加盖公章部分均采用CA签章。</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【资格审查文件】（未注明扫描件的，应为原件。）</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▲投标文件封面（格式附后）；</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▲投标函扫描件（格式附后）；</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▲符合《中华人民共和国政府采购法》第二十二条要求的承诺函扫描件（格式见附件）；</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▲有效的投标人营业执照(或事业法人登记证或其他工商等登记证明材料)扫描件（投标人为自然人的，提供自然人的身份证明）、税务登记证(或其它依法缴纳税收的相关材料) 扫描件、社保登记证（或其它依法缴纳社会保障资金的相关材料）扫描件；实施“多证合一、一照一码”登记制度改革的，只需提供改革后取得的营业执照扫描件；</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 xml:space="preserve">▲分公司参与投标的，须提供总公司的《企业法人营业执照》复印件及总公司的授权书扫描件； </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 xml:space="preserve">▲授权代表参加投标的，须提供法人授权委托书； </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▲法定代表人（负责人）或法人（负责人）授权代表身份证扫描件；</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cs="宋体"/>
          <w:bCs/>
          <w:sz w:val="28"/>
          <w:szCs w:val="28"/>
        </w:rPr>
        <w:t>▲开标日期开始前三年内，投标人、投标人法定代表人及本次投标的授权代表无行贿犯罪承诺书</w:t>
      </w:r>
      <w:r>
        <w:rPr>
          <w:rFonts w:hint="eastAsia" w:ascii="仿宋_GB2312" w:eastAsia="仿宋_GB2312"/>
          <w:sz w:val="28"/>
          <w:szCs w:val="28"/>
        </w:rPr>
        <w:t>扫描件。</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cs="宋体"/>
          <w:bCs/>
          <w:sz w:val="28"/>
          <w:szCs w:val="28"/>
        </w:rPr>
        <w:t>▲投标单位不存在单位负责人为同一人或者存在直接控股、管理关系的不同投标人，参加同一合同项下的政府采购活动承诺函。</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【技术商务文件】（未注明扫描件的，应为原件。）</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▲投标文件封面（格式附后）；</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投标人拟派本项目相关人员及其资质证书（含保安、保洁、水电工、项目负责人等人员）</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投标人简介</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应急处置预案</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投标人实施的类似项目案例。须提供项目合同扫描件</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保洁服务方案</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lang w:val="zh-CN"/>
        </w:rPr>
        <w:t>合同到期交接方案</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投标人</w:t>
      </w:r>
      <w:r>
        <w:rPr>
          <w:rFonts w:hint="eastAsia" w:ascii="仿宋_GB2312" w:hAnsi="宋体" w:eastAsia="仿宋_GB2312"/>
          <w:sz w:val="28"/>
          <w:szCs w:val="28"/>
          <w:lang w:val="zh-CN"/>
        </w:rPr>
        <w:t>内部管理考核制度</w:t>
      </w:r>
      <w:r>
        <w:rPr>
          <w:rFonts w:hint="eastAsia" w:ascii="仿宋_GB2312" w:eastAsia="仿宋_GB2312"/>
          <w:sz w:val="28"/>
          <w:szCs w:val="28"/>
        </w:rPr>
        <w:t xml:space="preserve">； </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rPr>
        <w:t>投标人</w:t>
      </w:r>
      <w:r>
        <w:rPr>
          <w:rFonts w:hint="eastAsia" w:ascii="仿宋_GB2312" w:hAnsi="宋体" w:eastAsia="仿宋_GB2312"/>
          <w:sz w:val="28"/>
          <w:szCs w:val="28"/>
          <w:lang w:val="zh-CN"/>
        </w:rPr>
        <w:t>对本项目拟投入的主要设备配置情况表；（提供相关证件、设备型号、实物图片、发票</w:t>
      </w:r>
      <w:r>
        <w:rPr>
          <w:rFonts w:hint="eastAsia" w:ascii="仿宋_GB2312" w:hAnsi="宋体" w:eastAsia="仿宋_GB2312"/>
          <w:sz w:val="28"/>
          <w:szCs w:val="28"/>
        </w:rPr>
        <w:t>照片或扫描件</w:t>
      </w:r>
      <w:r>
        <w:rPr>
          <w:rFonts w:hint="eastAsia" w:ascii="仿宋_GB2312" w:hAnsi="宋体" w:eastAsia="仿宋_GB2312"/>
          <w:sz w:val="28"/>
          <w:szCs w:val="28"/>
          <w:lang w:val="zh-CN"/>
        </w:rPr>
        <w:t>）</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hAnsi="宋体" w:eastAsia="仿宋_GB2312"/>
          <w:sz w:val="28"/>
          <w:szCs w:val="28"/>
          <w:lang w:val="zh-CN"/>
        </w:rPr>
        <w:t>服务要求响应表（详见第五章格式范例）</w:t>
      </w:r>
      <w:r>
        <w:rPr>
          <w:rFonts w:hint="eastAsia" w:ascii="仿宋_GB2312" w:eastAsia="仿宋_GB2312"/>
          <w:sz w:val="28"/>
          <w:szCs w:val="28"/>
        </w:rPr>
        <w:t>；</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投标人认为需要的其他技术资料。</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【报价文件】（包括以下内容，装订成一本）</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▲投标文件封面（格式附后）；</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 xml:space="preserve">▲开标一览表； </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▲报价明细表</w:t>
      </w:r>
    </w:p>
    <w:p>
      <w:pPr>
        <w:numPr>
          <w:ilvl w:val="3"/>
          <w:numId w:val="16"/>
        </w:numPr>
        <w:tabs>
          <w:tab w:val="left" w:pos="0"/>
        </w:tabs>
        <w:snapToGrid w:val="0"/>
        <w:spacing w:line="500" w:lineRule="exact"/>
        <w:rPr>
          <w:rFonts w:ascii="仿宋_GB2312" w:eastAsia="仿宋_GB2312"/>
          <w:sz w:val="28"/>
          <w:szCs w:val="28"/>
        </w:rPr>
      </w:pPr>
      <w:r>
        <w:rPr>
          <w:rFonts w:hint="eastAsia" w:ascii="仿宋_GB2312" w:eastAsia="仿宋_GB2312"/>
          <w:sz w:val="28"/>
          <w:szCs w:val="28"/>
        </w:rPr>
        <w:t>《中小企业声明函》（制造业）或《残疾人福利性单位声明函》或《监狱企业声明函》（并对声明的真实性负责，不提供则视为非中小微企业）。</w:t>
      </w:r>
    </w:p>
    <w:p>
      <w:pPr>
        <w:numPr>
          <w:ilvl w:val="1"/>
          <w:numId w:val="16"/>
        </w:numPr>
        <w:snapToGrid w:val="0"/>
        <w:spacing w:line="500" w:lineRule="exact"/>
        <w:rPr>
          <w:rFonts w:ascii="仿宋_GB2312" w:eastAsia="仿宋_GB2312"/>
          <w:sz w:val="28"/>
          <w:szCs w:val="28"/>
        </w:rPr>
      </w:pPr>
      <w:r>
        <w:rPr>
          <w:rFonts w:hint="eastAsia" w:ascii="仿宋_GB2312" w:eastAsia="仿宋_GB2312"/>
          <w:sz w:val="28"/>
          <w:szCs w:val="28"/>
        </w:rPr>
        <w:t xml:space="preserve">投标文件内容填写说明 </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人应在认真阅读招标文件所有内容的基础上，按照招标文件的要求编制完整的投标文件。投标文件应按照招标文件中规定的统一格式填写，电子投标文件按政采云平台供应商项目采购-电子招投标操作指南（网址：https://service.zcygov.cn/#/knowledges/CW1EtGwBFdiHxlNd6I3m/6IMVAG0BFdiHxlNdQ8Na）及本招标文件要求制作、加密。</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投标人必须保证投标文件所提供的全部资料真实可靠，并接受招标人对其中任何资料进一步审查的要求。</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《开标一览表》为在开标仪式上唱标的内容，要求按格式填写、统一规范，不得自行增减内容。</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投标文件须对招标文件中的内容做出实质性的和完整的响应，否则其投标将被拒绝。如果投标文件填报的内容资料不详，或没有提供招标文件中所要求的全部资料及数据，将会导致投标被拒绝。</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由于字迹模糊或表达不清引起的后果由投标人负责。</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技术偏离表：所投产品如与采购产品在型号、规格、技术参数、性能、工艺、材料、质量等方面有偏离或对产品配置有好的建议，应填写《技术偏离表》，否则认为响应招标文件要求。</w:t>
      </w:r>
    </w:p>
    <w:p>
      <w:pPr>
        <w:numPr>
          <w:ilvl w:val="1"/>
          <w:numId w:val="16"/>
        </w:numPr>
        <w:snapToGrid w:val="0"/>
        <w:spacing w:line="500" w:lineRule="exact"/>
        <w:rPr>
          <w:rFonts w:ascii="仿宋_GB2312" w:eastAsia="仿宋_GB2312"/>
          <w:sz w:val="28"/>
          <w:szCs w:val="28"/>
        </w:rPr>
      </w:pPr>
      <w:r>
        <w:rPr>
          <w:rFonts w:hint="eastAsia" w:ascii="仿宋_GB2312" w:eastAsia="仿宋_GB2312"/>
          <w:sz w:val="28"/>
          <w:szCs w:val="28"/>
        </w:rPr>
        <w:t>投标报价</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投标报价应按招标文件中相关附表格式填写。</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报价中必须包含培训辅导、质保期售后服务、全额含税发票、雇员费用、合同实施过程中的应预见和不可预见费用等。</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投标文件只允许有一个报价，有选择的或有条件的报价将不予接受。</w:t>
      </w:r>
    </w:p>
    <w:p>
      <w:pPr>
        <w:numPr>
          <w:ilvl w:val="1"/>
          <w:numId w:val="16"/>
        </w:numPr>
        <w:snapToGrid w:val="0"/>
        <w:spacing w:line="500" w:lineRule="exact"/>
        <w:rPr>
          <w:rFonts w:ascii="仿宋_GB2312" w:eastAsia="仿宋_GB2312"/>
          <w:sz w:val="28"/>
          <w:szCs w:val="28"/>
        </w:rPr>
      </w:pPr>
      <w:r>
        <w:rPr>
          <w:rFonts w:hint="eastAsia" w:ascii="仿宋_GB2312" w:eastAsia="仿宋_GB2312"/>
          <w:sz w:val="28"/>
          <w:szCs w:val="28"/>
        </w:rPr>
        <w:t>投标有效期</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▲投标文件从投标文件递交截止之日起，有效期为90天；</w:t>
      </w:r>
    </w:p>
    <w:p>
      <w:pPr>
        <w:numPr>
          <w:ilvl w:val="2"/>
          <w:numId w:val="16"/>
        </w:numPr>
        <w:snapToGrid w:val="0"/>
        <w:spacing w:line="500" w:lineRule="exact"/>
        <w:rPr>
          <w:rFonts w:ascii="仿宋_GB2312" w:eastAsia="仿宋_GB2312"/>
          <w:sz w:val="28"/>
          <w:szCs w:val="28"/>
        </w:rPr>
      </w:pPr>
      <w:r>
        <w:rPr>
          <w:rFonts w:hint="eastAsia" w:ascii="仿宋_GB2312" w:eastAsia="仿宋_GB2312"/>
          <w:sz w:val="28"/>
          <w:szCs w:val="28"/>
        </w:rPr>
        <w:t>特殊情况下，在原投标文件有效期截止之前，招标人可要求投标人同意延长投标文件有效期。这种要求与答复均应以书面形式提交。投标人可拒绝招标人的这种要求，其保证金将不会被没收。接受延长投标文件有效期的投标人将不会被要求和允许修正投标文件，而只会被要求相应地延长其投标保证金的有效期。在这种情况下，保证金的退还和没收的规定将在延长了的有效期内继续有效。</w:t>
      </w:r>
    </w:p>
    <w:p>
      <w:pPr>
        <w:numPr>
          <w:ilvl w:val="0"/>
          <w:numId w:val="14"/>
        </w:numPr>
        <w:snapToGrid w:val="0"/>
        <w:spacing w:beforeLines="50" w:afterLines="50" w:line="500" w:lineRule="exact"/>
        <w:rPr>
          <w:rFonts w:ascii="仿宋_GB2312" w:eastAsia="仿宋_GB2312"/>
          <w:b/>
          <w:sz w:val="28"/>
          <w:szCs w:val="28"/>
        </w:rPr>
      </w:pPr>
      <w:bookmarkStart w:id="14" w:name="_Toc356371436"/>
      <w:r>
        <w:rPr>
          <w:rFonts w:hint="eastAsia" w:ascii="仿宋_GB2312" w:eastAsia="仿宋_GB2312"/>
          <w:b/>
          <w:sz w:val="28"/>
          <w:szCs w:val="28"/>
        </w:rPr>
        <w:t>投标保证金</w:t>
      </w:r>
      <w:bookmarkEnd w:id="14"/>
    </w:p>
    <w:p>
      <w:pPr>
        <w:snapToGrid w:val="0"/>
        <w:spacing w:line="500" w:lineRule="exact"/>
        <w:ind w:left="567"/>
        <w:rPr>
          <w:rFonts w:ascii="仿宋_GB2312" w:eastAsia="仿宋_GB2312"/>
          <w:sz w:val="28"/>
          <w:szCs w:val="28"/>
        </w:rPr>
      </w:pPr>
      <w:r>
        <w:rPr>
          <w:rFonts w:hint="eastAsia" w:ascii="仿宋_GB2312" w:eastAsia="仿宋_GB2312"/>
          <w:sz w:val="28"/>
          <w:szCs w:val="28"/>
        </w:rPr>
        <w:t>17 本项目无需缴纳投标保证金</w:t>
      </w:r>
    </w:p>
    <w:p>
      <w:pPr>
        <w:numPr>
          <w:ilvl w:val="0"/>
          <w:numId w:val="14"/>
        </w:numPr>
        <w:snapToGrid w:val="0"/>
        <w:spacing w:beforeLines="50" w:afterLines="50" w:line="500" w:lineRule="exact"/>
        <w:rPr>
          <w:rFonts w:ascii="仿宋_GB2312" w:eastAsia="仿宋_GB2312"/>
          <w:b/>
          <w:sz w:val="28"/>
          <w:szCs w:val="28"/>
        </w:rPr>
      </w:pPr>
      <w:r>
        <w:rPr>
          <w:rFonts w:hint="eastAsia" w:ascii="仿宋_GB2312" w:eastAsia="仿宋_GB2312"/>
          <w:b/>
          <w:sz w:val="28"/>
          <w:szCs w:val="28"/>
        </w:rPr>
        <w:t>投标文件的签署及规定</w:t>
      </w:r>
    </w:p>
    <w:p>
      <w:pPr>
        <w:tabs>
          <w:tab w:val="left" w:pos="0"/>
          <w:tab w:val="left" w:pos="900"/>
          <w:tab w:val="left" w:pos="7020"/>
          <w:tab w:val="left" w:pos="8460"/>
        </w:tabs>
        <w:snapToGrid w:val="0"/>
        <w:spacing w:before="120" w:after="120" w:line="500" w:lineRule="exact"/>
        <w:ind w:firstLine="560" w:firstLineChars="200"/>
        <w:rPr>
          <w:rFonts w:ascii="仿宋_GB2312" w:eastAsia="仿宋_GB2312"/>
          <w:sz w:val="28"/>
          <w:szCs w:val="28"/>
        </w:rPr>
      </w:pPr>
      <w:r>
        <w:rPr>
          <w:rFonts w:hint="eastAsia" w:ascii="仿宋_GB2312" w:eastAsia="仿宋_GB2312"/>
          <w:sz w:val="28"/>
          <w:szCs w:val="28"/>
        </w:rPr>
        <w:t>电子投标文件按政采云平台供应商项目采购-电子招投标操作指南（网址：https://service.zcygov.cn/#/knowledges/CW1EtGwBFdiHxlNd6I3m/6IMVAG0BFdiHxlNdQ8Na）及本招标文件要求制作、加密。</w:t>
      </w:r>
    </w:p>
    <w:p>
      <w:pPr>
        <w:numPr>
          <w:ilvl w:val="0"/>
          <w:numId w:val="14"/>
        </w:numPr>
        <w:snapToGrid w:val="0"/>
        <w:spacing w:beforeLines="50" w:afterLines="50" w:line="500" w:lineRule="exact"/>
        <w:rPr>
          <w:rFonts w:ascii="仿宋_GB2312" w:eastAsia="仿宋_GB2312"/>
          <w:b/>
          <w:sz w:val="28"/>
          <w:szCs w:val="28"/>
        </w:rPr>
      </w:pPr>
      <w:bookmarkStart w:id="15" w:name="_Toc356371437"/>
      <w:r>
        <w:rPr>
          <w:rFonts w:hint="eastAsia" w:ascii="仿宋_GB2312" w:eastAsia="仿宋_GB2312"/>
          <w:b/>
          <w:sz w:val="28"/>
          <w:szCs w:val="28"/>
        </w:rPr>
        <w:t>投标文件的递交</w:t>
      </w:r>
      <w:bookmarkEnd w:id="15"/>
    </w:p>
    <w:p>
      <w:pPr>
        <w:numPr>
          <w:ilvl w:val="1"/>
          <w:numId w:val="17"/>
        </w:numPr>
        <w:snapToGrid w:val="0"/>
        <w:spacing w:line="500" w:lineRule="exact"/>
        <w:rPr>
          <w:rFonts w:ascii="仿宋_GB2312" w:eastAsia="仿宋_GB2312"/>
          <w:sz w:val="28"/>
          <w:szCs w:val="28"/>
        </w:rPr>
      </w:pPr>
      <w:r>
        <w:rPr>
          <w:rFonts w:hint="eastAsia" w:ascii="仿宋_GB2312" w:eastAsia="仿宋_GB2312"/>
          <w:sz w:val="28"/>
          <w:szCs w:val="28"/>
        </w:rPr>
        <w:t>递交投标文件截止期</w:t>
      </w:r>
    </w:p>
    <w:p>
      <w:pPr>
        <w:numPr>
          <w:ilvl w:val="1"/>
          <w:numId w:val="17"/>
        </w:numPr>
        <w:snapToGrid w:val="0"/>
        <w:spacing w:line="500" w:lineRule="exact"/>
        <w:rPr>
          <w:rFonts w:ascii="仿宋_GB2312" w:eastAsia="仿宋_GB2312"/>
          <w:sz w:val="28"/>
          <w:szCs w:val="28"/>
        </w:rPr>
      </w:pPr>
      <w:r>
        <w:rPr>
          <w:rFonts w:hint="eastAsia" w:ascii="仿宋_GB2312" w:eastAsia="仿宋_GB2312"/>
          <w:sz w:val="28"/>
          <w:szCs w:val="28"/>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本项目原则上采用远程异地开评标，投标人无需到开标现场，但须准时在线参加，直至评审结束（项目中如果要求提供功能演示的项目，有演示内容的投标人参与现场投标）。</w:t>
      </w:r>
    </w:p>
    <w:p>
      <w:pPr>
        <w:numPr>
          <w:ilvl w:val="1"/>
          <w:numId w:val="17"/>
        </w:numPr>
        <w:snapToGrid w:val="0"/>
        <w:spacing w:line="500" w:lineRule="exact"/>
        <w:rPr>
          <w:rFonts w:ascii="仿宋_GB2312" w:eastAsia="仿宋_GB2312"/>
          <w:sz w:val="28"/>
          <w:szCs w:val="28"/>
        </w:rPr>
      </w:pPr>
      <w:r>
        <w:rPr>
          <w:rFonts w:hint="eastAsia" w:ascii="仿宋_GB2312" w:eastAsia="仿宋_GB2312"/>
          <w:sz w:val="28"/>
          <w:szCs w:val="28"/>
        </w:rPr>
        <w:t>投标文件的修改和撤销</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投标人在递交投标文件后，可以修改或撤回其投标文件，递交投标文件截止时间之前补充或者修改电子投标文件的，应当先行撤回原文件，补充、修改后重新传输递交。投标人修改后的投标文件应按原来的规定编制、密封、标记和递交。</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投标人修改后的投标文件应按原来的规定编制、密封、标记和递交。</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递交投标文件截止期后，投标人不得撤回其投标文件，在递交投标文件截止期之后，投标人不得对其投标文件做任何修改。</w:t>
      </w:r>
    </w:p>
    <w:p>
      <w:pPr>
        <w:numPr>
          <w:ilvl w:val="2"/>
          <w:numId w:val="17"/>
        </w:numPr>
        <w:snapToGrid w:val="0"/>
        <w:spacing w:line="500" w:lineRule="exact"/>
        <w:rPr>
          <w:rFonts w:ascii="仿宋_GB2312" w:hAnsi="宋体" w:eastAsia="仿宋_GB2312"/>
          <w:b/>
          <w:sz w:val="28"/>
          <w:szCs w:val="28"/>
        </w:rPr>
      </w:pPr>
      <w:r>
        <w:rPr>
          <w:rFonts w:hint="eastAsia" w:ascii="仿宋_GB2312" w:eastAsia="仿宋_GB2312"/>
          <w:sz w:val="28"/>
          <w:szCs w:val="28"/>
        </w:rPr>
        <w:t>实质上没有响应本文件要求的投标文件将被拒绝。投标人不得通过修正或撤销不合要求的偏离或保留从而使其投标文件成为实质上响应的文件。</w:t>
      </w:r>
    </w:p>
    <w:p>
      <w:pPr>
        <w:snapToGrid w:val="0"/>
        <w:spacing w:line="500" w:lineRule="exact"/>
        <w:ind w:left="567"/>
        <w:rPr>
          <w:rFonts w:ascii="仿宋_GB2312" w:hAnsi="宋体" w:eastAsia="仿宋_GB2312"/>
          <w:b/>
          <w:sz w:val="28"/>
          <w:szCs w:val="28"/>
        </w:rPr>
      </w:pPr>
    </w:p>
    <w:p>
      <w:pPr>
        <w:numPr>
          <w:ilvl w:val="0"/>
          <w:numId w:val="14"/>
        </w:numPr>
        <w:snapToGrid w:val="0"/>
        <w:spacing w:beforeLines="50" w:afterLines="50" w:line="500" w:lineRule="exact"/>
        <w:rPr>
          <w:rFonts w:ascii="仿宋_GB2312" w:eastAsia="仿宋_GB2312"/>
          <w:b/>
          <w:sz w:val="28"/>
          <w:szCs w:val="28"/>
        </w:rPr>
      </w:pPr>
      <w:bookmarkStart w:id="16" w:name="_Toc356371438"/>
      <w:r>
        <w:rPr>
          <w:rFonts w:hint="eastAsia" w:ascii="仿宋_GB2312" w:eastAsia="仿宋_GB2312"/>
          <w:b/>
          <w:sz w:val="28"/>
          <w:szCs w:val="28"/>
        </w:rPr>
        <w:t>投标无效的情形</w:t>
      </w:r>
      <w:bookmarkEnd w:id="16"/>
    </w:p>
    <w:p>
      <w:pPr>
        <w:numPr>
          <w:ilvl w:val="1"/>
          <w:numId w:val="17"/>
        </w:numPr>
        <w:snapToGrid w:val="0"/>
        <w:spacing w:line="500" w:lineRule="exact"/>
        <w:rPr>
          <w:rFonts w:ascii="仿宋_GB2312" w:eastAsia="仿宋_GB2312"/>
          <w:sz w:val="28"/>
          <w:szCs w:val="28"/>
        </w:rPr>
      </w:pPr>
      <w:bookmarkStart w:id="17" w:name="_Toc356371439"/>
      <w:r>
        <w:rPr>
          <w:rFonts w:hint="eastAsia" w:ascii="仿宋_GB2312" w:eastAsia="仿宋_GB2312"/>
          <w:sz w:val="28"/>
          <w:szCs w:val="28"/>
        </w:rPr>
        <w:t>实质上没有响应招标文件要求的投标将被视为无效投标。投标人不得通过修正或撤消不合要求的偏离或保留从而使其投标成为实质上响应的投标。如发生下列情况之一的，其投标视为无效：</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不具备招标文件规定资格要求；</w:t>
      </w:r>
    </w:p>
    <w:p>
      <w:pPr>
        <w:numPr>
          <w:ilvl w:val="2"/>
          <w:numId w:val="17"/>
        </w:numPr>
        <w:snapToGrid w:val="0"/>
        <w:spacing w:line="500" w:lineRule="exact"/>
        <w:rPr>
          <w:rFonts w:ascii="仿宋_GB2312" w:hAnsi="宋体" w:eastAsia="仿宋_GB2312"/>
          <w:bCs/>
          <w:sz w:val="28"/>
          <w:szCs w:val="28"/>
        </w:rPr>
      </w:pPr>
      <w:r>
        <w:rPr>
          <w:rFonts w:hint="eastAsia" w:ascii="仿宋_GB2312" w:eastAsia="仿宋_GB2312"/>
          <w:sz w:val="28"/>
          <w:szCs w:val="28"/>
        </w:rPr>
        <w:t>投标文件未有效授权的;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招标文件中有▲处条款投标人未作实质性响应的；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资格审查或技术商务文件中包含投标报价的；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投标文件含有采购人不能接受的附加条件的；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报价超出招标文件中规定的预算金额或者最高限价的；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提供虚假材料谋取中标的；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投标人串通投标的；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电子投标文件规定时间未解密的或者电子投标文件未按规定要求提供电子签章的；</w:t>
      </w:r>
    </w:p>
    <w:p>
      <w:pPr>
        <w:numPr>
          <w:ilvl w:val="2"/>
          <w:numId w:val="17"/>
        </w:numPr>
        <w:snapToGrid w:val="0"/>
        <w:spacing w:line="500" w:lineRule="exact"/>
        <w:rPr>
          <w:rFonts w:ascii="仿宋_GB2312" w:eastAsia="仿宋_GB2312"/>
          <w:sz w:val="28"/>
          <w:szCs w:val="28"/>
        </w:rPr>
      </w:pPr>
      <w:r>
        <w:rPr>
          <w:rFonts w:hint="eastAsia" w:ascii="仿宋_GB2312" w:eastAsia="仿宋_GB2312"/>
          <w:sz w:val="28"/>
          <w:szCs w:val="28"/>
        </w:rPr>
        <w:t>不符合法律、法规和招标文件规定的其他实质性要求的。</w:t>
      </w:r>
    </w:p>
    <w:p>
      <w:pPr>
        <w:numPr>
          <w:ilvl w:val="0"/>
          <w:numId w:val="14"/>
        </w:numPr>
        <w:snapToGrid w:val="0"/>
        <w:spacing w:beforeLines="50" w:afterLines="50" w:line="500" w:lineRule="exact"/>
        <w:rPr>
          <w:rFonts w:ascii="仿宋_GB2312" w:eastAsia="仿宋_GB2312"/>
          <w:b/>
          <w:sz w:val="28"/>
          <w:szCs w:val="28"/>
        </w:rPr>
      </w:pPr>
      <w:bookmarkStart w:id="18" w:name="_Toc359592368"/>
      <w:r>
        <w:rPr>
          <w:rFonts w:hint="eastAsia" w:ascii="仿宋_GB2312" w:hAnsi="宋体" w:eastAsia="仿宋_GB2312"/>
          <w:b/>
          <w:bCs/>
          <w:sz w:val="28"/>
          <w:szCs w:val="28"/>
        </w:rPr>
        <w:t>串通投标的情形</w:t>
      </w:r>
    </w:p>
    <w:p>
      <w:pPr>
        <w:numPr>
          <w:ilvl w:val="0"/>
          <w:numId w:val="18"/>
        </w:numPr>
        <w:snapToGrid w:val="0"/>
        <w:spacing w:beforeLines="50" w:afterLines="50" w:line="500" w:lineRule="exact"/>
        <w:rPr>
          <w:rFonts w:ascii="仿宋_GB2312" w:eastAsia="仿宋_GB2312"/>
          <w:sz w:val="28"/>
          <w:szCs w:val="28"/>
        </w:rPr>
      </w:pPr>
      <w:r>
        <w:rPr>
          <w:rFonts w:hint="eastAsia" w:ascii="仿宋_GB2312" w:hAnsi="宋体" w:eastAsia="仿宋_GB2312"/>
          <w:bCs/>
          <w:sz w:val="28"/>
          <w:szCs w:val="28"/>
        </w:rPr>
        <w:t>不同投标人的投标文件由同一单位或者个人编制；</w:t>
      </w:r>
    </w:p>
    <w:p>
      <w:pPr>
        <w:numPr>
          <w:ilvl w:val="0"/>
          <w:numId w:val="18"/>
        </w:numPr>
        <w:snapToGrid w:val="0"/>
        <w:spacing w:beforeLines="50" w:afterLines="50" w:line="500" w:lineRule="exact"/>
        <w:rPr>
          <w:rFonts w:ascii="仿宋_GB2312" w:eastAsia="仿宋_GB2312"/>
          <w:sz w:val="28"/>
          <w:szCs w:val="28"/>
        </w:rPr>
      </w:pPr>
      <w:r>
        <w:rPr>
          <w:rFonts w:hint="eastAsia" w:ascii="仿宋_GB2312" w:hAnsi="宋体" w:eastAsia="仿宋_GB2312"/>
          <w:bCs/>
          <w:sz w:val="28"/>
          <w:szCs w:val="28"/>
        </w:rPr>
        <w:t>不同投标人委托同一单位或者个人办理投标事宜；</w:t>
      </w:r>
    </w:p>
    <w:p>
      <w:pPr>
        <w:numPr>
          <w:ilvl w:val="0"/>
          <w:numId w:val="18"/>
        </w:numPr>
        <w:snapToGrid w:val="0"/>
        <w:spacing w:beforeLines="50" w:afterLines="50" w:line="500" w:lineRule="exact"/>
        <w:rPr>
          <w:rFonts w:ascii="仿宋_GB2312" w:eastAsia="仿宋_GB2312"/>
          <w:sz w:val="28"/>
          <w:szCs w:val="28"/>
        </w:rPr>
      </w:pPr>
      <w:r>
        <w:rPr>
          <w:rFonts w:hint="eastAsia" w:ascii="仿宋_GB2312" w:hAnsi="宋体" w:eastAsia="仿宋_GB2312"/>
          <w:bCs/>
          <w:sz w:val="28"/>
          <w:szCs w:val="28"/>
        </w:rPr>
        <w:t>不同投标人的投标文件载明的项目管理成员或者联系人员为同一人；</w:t>
      </w:r>
    </w:p>
    <w:p>
      <w:pPr>
        <w:numPr>
          <w:ilvl w:val="0"/>
          <w:numId w:val="18"/>
        </w:numPr>
        <w:snapToGrid w:val="0"/>
        <w:spacing w:beforeLines="50" w:afterLines="50" w:line="500" w:lineRule="exact"/>
        <w:rPr>
          <w:rFonts w:ascii="仿宋_GB2312" w:eastAsia="仿宋_GB2312"/>
          <w:sz w:val="28"/>
          <w:szCs w:val="28"/>
        </w:rPr>
      </w:pPr>
      <w:r>
        <w:rPr>
          <w:rFonts w:hint="eastAsia" w:ascii="仿宋_GB2312" w:hAnsi="宋体" w:eastAsia="仿宋_GB2312"/>
          <w:bCs/>
          <w:sz w:val="28"/>
          <w:szCs w:val="28"/>
        </w:rPr>
        <w:t>不同投标人的投标文件异常一致或者投标报价呈规律性差异；</w:t>
      </w:r>
    </w:p>
    <w:p>
      <w:pPr>
        <w:numPr>
          <w:ilvl w:val="0"/>
          <w:numId w:val="18"/>
        </w:numPr>
        <w:snapToGrid w:val="0"/>
        <w:spacing w:beforeLines="50" w:afterLines="50" w:line="500" w:lineRule="exact"/>
        <w:rPr>
          <w:rFonts w:ascii="仿宋_GB2312" w:eastAsia="仿宋_GB2312"/>
          <w:b/>
          <w:sz w:val="28"/>
          <w:szCs w:val="28"/>
        </w:rPr>
      </w:pPr>
      <w:r>
        <w:rPr>
          <w:rFonts w:hint="eastAsia" w:ascii="仿宋_GB2312" w:hAnsi="宋体" w:eastAsia="仿宋_GB2312"/>
          <w:bCs/>
          <w:sz w:val="28"/>
          <w:szCs w:val="28"/>
        </w:rPr>
        <w:t>不同投标人的投标文件相互混装；</w:t>
      </w:r>
    </w:p>
    <w:p>
      <w:pPr>
        <w:numPr>
          <w:ilvl w:val="0"/>
          <w:numId w:val="14"/>
        </w:numPr>
        <w:snapToGrid w:val="0"/>
        <w:spacing w:beforeLines="50" w:afterLines="50" w:line="500" w:lineRule="exact"/>
        <w:rPr>
          <w:rFonts w:ascii="仿宋_GB2312" w:eastAsia="仿宋_GB2312"/>
          <w:b/>
          <w:sz w:val="28"/>
          <w:szCs w:val="28"/>
        </w:rPr>
      </w:pPr>
      <w:r>
        <w:rPr>
          <w:rFonts w:hint="eastAsia" w:ascii="仿宋_GB2312" w:eastAsia="仿宋_GB2312"/>
          <w:b/>
          <w:sz w:val="28"/>
          <w:szCs w:val="28"/>
        </w:rPr>
        <w:t>废标的情形</w:t>
      </w:r>
      <w:bookmarkEnd w:id="18"/>
    </w:p>
    <w:p>
      <w:pPr>
        <w:numPr>
          <w:ilvl w:val="1"/>
          <w:numId w:val="19"/>
        </w:numPr>
        <w:snapToGrid w:val="0"/>
        <w:spacing w:line="500" w:lineRule="exact"/>
        <w:rPr>
          <w:rFonts w:ascii="仿宋_GB2312" w:eastAsia="仿宋_GB2312"/>
          <w:sz w:val="28"/>
          <w:szCs w:val="28"/>
        </w:rPr>
      </w:pPr>
      <w:r>
        <w:rPr>
          <w:rFonts w:hint="eastAsia" w:ascii="仿宋_GB2312" w:eastAsia="仿宋_GB2312"/>
          <w:sz w:val="28"/>
          <w:szCs w:val="28"/>
        </w:rPr>
        <w:t>采购中，出现下列情形之一的，应予废标，废标后，采购人将废标理由通知所有投标人：</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符合专业条件的投标人或对招标文件作实质性响应的投标人不足三家的；</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出现影响采购公正的违法、违规行为的；</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投标人的报价均超过了采购预算（最高限价），采购人不能支付的；</w:t>
      </w:r>
    </w:p>
    <w:p>
      <w:pPr>
        <w:numPr>
          <w:ilvl w:val="2"/>
          <w:numId w:val="19"/>
        </w:numPr>
        <w:snapToGrid w:val="0"/>
        <w:spacing w:line="500" w:lineRule="exact"/>
        <w:rPr>
          <w:rFonts w:ascii="仿宋_GB2312" w:hAnsi="宋体" w:eastAsia="仿宋_GB2312"/>
          <w:bCs/>
          <w:sz w:val="28"/>
          <w:szCs w:val="28"/>
        </w:rPr>
      </w:pPr>
      <w:r>
        <w:rPr>
          <w:rFonts w:hint="eastAsia" w:ascii="仿宋_GB2312" w:eastAsia="仿宋_GB2312"/>
          <w:sz w:val="28"/>
          <w:szCs w:val="28"/>
        </w:rPr>
        <w:t>因重大变故，采购任务取消的。</w:t>
      </w:r>
    </w:p>
    <w:p>
      <w:pPr>
        <w:numPr>
          <w:ilvl w:val="0"/>
          <w:numId w:val="14"/>
        </w:numPr>
        <w:snapToGrid w:val="0"/>
        <w:spacing w:beforeLines="50" w:afterLines="50" w:line="500" w:lineRule="exact"/>
        <w:rPr>
          <w:rFonts w:ascii="仿宋_GB2312" w:eastAsia="仿宋_GB2312"/>
          <w:b/>
          <w:sz w:val="28"/>
          <w:szCs w:val="28"/>
        </w:rPr>
      </w:pPr>
      <w:r>
        <w:rPr>
          <w:rFonts w:hint="eastAsia" w:ascii="仿宋_GB2312" w:eastAsia="仿宋_GB2312"/>
          <w:b/>
          <w:sz w:val="28"/>
          <w:szCs w:val="28"/>
        </w:rPr>
        <w:t>开标</w:t>
      </w:r>
      <w:bookmarkEnd w:id="17"/>
      <w:r>
        <w:rPr>
          <w:rFonts w:hint="eastAsia" w:ascii="仿宋_GB2312" w:eastAsia="仿宋_GB2312"/>
          <w:b/>
          <w:sz w:val="28"/>
          <w:szCs w:val="28"/>
        </w:rPr>
        <w:t>和评标</w:t>
      </w:r>
    </w:p>
    <w:p>
      <w:pPr>
        <w:numPr>
          <w:ilvl w:val="1"/>
          <w:numId w:val="19"/>
        </w:numPr>
        <w:snapToGrid w:val="0"/>
        <w:spacing w:line="500" w:lineRule="exact"/>
        <w:rPr>
          <w:rFonts w:ascii="仿宋_GB2312" w:eastAsia="仿宋_GB2312"/>
          <w:sz w:val="28"/>
          <w:szCs w:val="28"/>
        </w:rPr>
      </w:pPr>
      <w:r>
        <w:rPr>
          <w:rFonts w:hint="eastAsia" w:ascii="仿宋_GB2312" w:eastAsia="仿宋_GB2312"/>
          <w:sz w:val="28"/>
          <w:szCs w:val="28"/>
        </w:rPr>
        <w:t>开标</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招标人在规定的日期、时间和地点组织招标会。</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投标截止时间后，投标人登录政采云平台，用“项目采购-开标评标”功能对电子投标文件进行在线解密。在线解密电子投标文件时间为开标时间起半个小时内。由采购人代表评审资格审查文件，若资格审查不符合招标文件要求，即终止其参与投标资格。</w:t>
      </w:r>
    </w:p>
    <w:p>
      <w:pPr>
        <w:numPr>
          <w:ilvl w:val="1"/>
          <w:numId w:val="19"/>
        </w:numPr>
        <w:snapToGrid w:val="0"/>
        <w:spacing w:line="500" w:lineRule="exact"/>
        <w:rPr>
          <w:rFonts w:ascii="仿宋_GB2312" w:eastAsia="仿宋_GB2312"/>
          <w:sz w:val="28"/>
          <w:szCs w:val="28"/>
        </w:rPr>
      </w:pPr>
      <w:r>
        <w:rPr>
          <w:rFonts w:hint="eastAsia" w:ascii="仿宋_GB2312" w:eastAsia="仿宋_GB2312"/>
          <w:sz w:val="28"/>
          <w:szCs w:val="28"/>
        </w:rPr>
        <w:t>评标委员会</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采购代理机构和采购人将根据采购货物的特点组建评标委员会</w:t>
      </w:r>
      <w:r>
        <w:rPr>
          <w:rFonts w:ascii="仿宋_GB2312" w:eastAsia="仿宋_GB2312"/>
          <w:sz w:val="28"/>
          <w:szCs w:val="28"/>
        </w:rPr>
        <w:t>,</w:t>
      </w:r>
      <w:r>
        <w:rPr>
          <w:rFonts w:hint="eastAsia" w:ascii="仿宋_GB2312" w:eastAsia="仿宋_GB2312"/>
          <w:sz w:val="28"/>
          <w:szCs w:val="28"/>
        </w:rPr>
        <w:t>其成员由技术、经济等方面的专家和采购人代表组成。评标委员会对投标文件进行审查、询标、评议和推荐中标候选人。</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在评标期间,若有需要投标人应派代表参加询标。</w:t>
      </w:r>
    </w:p>
    <w:p>
      <w:pPr>
        <w:numPr>
          <w:ilvl w:val="1"/>
          <w:numId w:val="19"/>
        </w:numPr>
        <w:snapToGrid w:val="0"/>
        <w:spacing w:line="500" w:lineRule="exact"/>
        <w:rPr>
          <w:rFonts w:ascii="仿宋_GB2312" w:eastAsia="仿宋_GB2312"/>
          <w:sz w:val="28"/>
          <w:szCs w:val="28"/>
        </w:rPr>
      </w:pPr>
      <w:r>
        <w:rPr>
          <w:rFonts w:hint="eastAsia" w:ascii="仿宋_GB2312" w:eastAsia="仿宋_GB2312"/>
          <w:sz w:val="28"/>
          <w:szCs w:val="28"/>
        </w:rPr>
        <w:t>对投标文件的审查和响应性的确定</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评标委员会将审查投标文件是否真实、完整,总体编排是否有序,文件签署是否正确,有无计算上的错误等。</w:t>
      </w:r>
    </w:p>
    <w:p>
      <w:pPr>
        <w:numPr>
          <w:ilvl w:val="2"/>
          <w:numId w:val="19"/>
        </w:numPr>
        <w:snapToGrid w:val="0"/>
        <w:spacing w:line="500" w:lineRule="exact"/>
        <w:rPr>
          <w:rFonts w:ascii="仿宋_GB2312" w:eastAsia="仿宋_GB2312"/>
          <w:bCs/>
          <w:sz w:val="28"/>
          <w:szCs w:val="28"/>
        </w:rPr>
      </w:pPr>
      <w:r>
        <w:rPr>
          <w:rFonts w:hint="eastAsia" w:ascii="仿宋_GB2312" w:eastAsia="仿宋_GB2312"/>
          <w:sz w:val="28"/>
          <w:szCs w:val="28"/>
        </w:rPr>
        <w:t>算术错误将按以下方法更正:</w:t>
      </w:r>
    </w:p>
    <w:p>
      <w:pPr>
        <w:snapToGrid w:val="0"/>
        <w:spacing w:line="500" w:lineRule="exact"/>
        <w:ind w:firstLine="560" w:firstLineChars="200"/>
        <w:rPr>
          <w:rFonts w:ascii="仿宋_GB2312" w:eastAsia="仿宋_GB2312"/>
          <w:bCs/>
          <w:sz w:val="28"/>
          <w:szCs w:val="28"/>
        </w:rPr>
      </w:pPr>
      <w:r>
        <w:rPr>
          <w:rFonts w:hint="eastAsia" w:ascii="仿宋_GB2312" w:eastAsia="仿宋_GB2312"/>
          <w:bCs/>
          <w:sz w:val="28"/>
          <w:szCs w:val="28"/>
        </w:rPr>
        <w:t>（1）开标时，投标文件中开标一览表（报价表）内容与投标文件中明细表内容不一致的，以开标一览表（报价表）为准；</w:t>
      </w:r>
    </w:p>
    <w:p>
      <w:pPr>
        <w:snapToGrid w:val="0"/>
        <w:spacing w:line="500" w:lineRule="exact"/>
        <w:ind w:firstLine="560" w:firstLineChars="200"/>
        <w:rPr>
          <w:rFonts w:ascii="仿宋_GB2312" w:eastAsia="仿宋_GB2312"/>
          <w:bCs/>
          <w:sz w:val="28"/>
          <w:szCs w:val="28"/>
        </w:rPr>
      </w:pPr>
      <w:r>
        <w:rPr>
          <w:rFonts w:hint="eastAsia" w:ascii="仿宋_GB2312" w:eastAsia="仿宋_GB2312"/>
          <w:bCs/>
          <w:sz w:val="28"/>
          <w:szCs w:val="28"/>
        </w:rPr>
        <w:t>（2）投标文件的大写金额和小写金额不一致的，以大写金额为准；</w:t>
      </w:r>
    </w:p>
    <w:p>
      <w:pPr>
        <w:snapToGrid w:val="0"/>
        <w:spacing w:line="500" w:lineRule="exact"/>
        <w:ind w:firstLine="560" w:firstLineChars="200"/>
        <w:rPr>
          <w:rFonts w:ascii="仿宋_GB2312" w:eastAsia="仿宋_GB2312"/>
          <w:bCs/>
          <w:sz w:val="28"/>
          <w:szCs w:val="28"/>
        </w:rPr>
      </w:pPr>
      <w:r>
        <w:rPr>
          <w:rFonts w:hint="eastAsia" w:ascii="仿宋_GB2312" w:eastAsia="仿宋_GB2312"/>
          <w:bCs/>
          <w:sz w:val="28"/>
          <w:szCs w:val="28"/>
        </w:rPr>
        <w:t>（3）单价金额小数点或百分比有明显错位的，以开标一览表的总价为准，并修改单价；</w:t>
      </w:r>
    </w:p>
    <w:p>
      <w:pPr>
        <w:snapToGrid w:val="0"/>
        <w:spacing w:line="500" w:lineRule="exact"/>
        <w:ind w:firstLine="560" w:firstLineChars="200"/>
        <w:rPr>
          <w:rFonts w:ascii="仿宋_GB2312" w:eastAsia="仿宋_GB2312"/>
          <w:bCs/>
          <w:sz w:val="28"/>
          <w:szCs w:val="28"/>
        </w:rPr>
      </w:pPr>
      <w:r>
        <w:rPr>
          <w:rFonts w:hint="eastAsia" w:ascii="仿宋_GB2312" w:eastAsia="仿宋_GB2312"/>
          <w:bCs/>
          <w:sz w:val="28"/>
          <w:szCs w:val="28"/>
        </w:rPr>
        <w:t>（4）总价金额与按单价汇总金额不一致的，以单价金额计算结果为准；同时出现两种以上不一致的，按照前款规定的顺序修正，修正后的报价应经投标人书面确认，投标人不予确认的，其投标无效。</w:t>
      </w:r>
    </w:p>
    <w:p>
      <w:pPr>
        <w:numPr>
          <w:ilvl w:val="1"/>
          <w:numId w:val="19"/>
        </w:numPr>
        <w:snapToGrid w:val="0"/>
        <w:spacing w:line="500" w:lineRule="exact"/>
        <w:rPr>
          <w:rFonts w:ascii="仿宋_GB2312" w:eastAsia="仿宋_GB2312"/>
          <w:sz w:val="28"/>
          <w:szCs w:val="28"/>
        </w:rPr>
      </w:pPr>
      <w:r>
        <w:rPr>
          <w:rFonts w:hint="eastAsia" w:ascii="仿宋_GB2312" w:eastAsia="仿宋_GB2312"/>
          <w:bCs/>
          <w:sz w:val="28"/>
          <w:szCs w:val="28"/>
        </w:rPr>
        <w:t>评标</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 xml:space="preserve">评定原则：根据符合采购需求、质量和服务等要求，综合评分最高者确定为中标人。 </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投标文件的澄清：在评标期间, 评标委员会可要求投标人对其投标文件中含义不明确、同类问题表述不一致或者有明显文字和计算错误的内容进行澄清,但不得寻求、提供或允许对投标价格等实质性内容做任何更改。有关澄清的要求和答复均应以电子形式提交。</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评标报告：评标委员会完成评定后，向招标人提交经各评标委员会成员签字的评定结果报告，并按评定办法推荐中标候选人。</w:t>
      </w:r>
    </w:p>
    <w:p>
      <w:pPr>
        <w:numPr>
          <w:ilvl w:val="1"/>
          <w:numId w:val="19"/>
        </w:numPr>
        <w:snapToGrid w:val="0"/>
        <w:spacing w:line="500" w:lineRule="exact"/>
        <w:rPr>
          <w:rFonts w:ascii="仿宋_GB2312" w:eastAsia="仿宋_GB2312"/>
          <w:sz w:val="28"/>
          <w:szCs w:val="28"/>
        </w:rPr>
      </w:pPr>
      <w:r>
        <w:rPr>
          <w:rFonts w:hint="eastAsia" w:ascii="仿宋_GB2312" w:eastAsia="仿宋_GB2312"/>
          <w:sz w:val="28"/>
          <w:szCs w:val="28"/>
        </w:rPr>
        <w:t>保密</w:t>
      </w:r>
    </w:p>
    <w:p>
      <w:pPr>
        <w:numPr>
          <w:ilvl w:val="2"/>
          <w:numId w:val="19"/>
        </w:numPr>
        <w:snapToGrid w:val="0"/>
        <w:spacing w:line="500" w:lineRule="exact"/>
        <w:rPr>
          <w:rFonts w:ascii="仿宋_GB2312" w:eastAsia="仿宋_GB2312"/>
          <w:sz w:val="28"/>
          <w:szCs w:val="28"/>
        </w:rPr>
      </w:pPr>
      <w:bookmarkStart w:id="19" w:name="_Toc356371440"/>
      <w:r>
        <w:rPr>
          <w:rFonts w:hint="eastAsia" w:ascii="仿宋_GB2312" w:eastAsia="仿宋_GB2312"/>
          <w:bCs/>
          <w:sz w:val="28"/>
          <w:szCs w:val="28"/>
        </w:rPr>
        <w:t>开标后直到宣布授予中标人合同为止,凡属于审查、澄清、评估和比较投标的有关资料且与授予合同有关的信息都不得向任何投标人或与上述评标过程无关的人员透露。</w:t>
      </w:r>
    </w:p>
    <w:p>
      <w:pPr>
        <w:numPr>
          <w:ilvl w:val="2"/>
          <w:numId w:val="19"/>
        </w:numPr>
        <w:snapToGrid w:val="0"/>
        <w:spacing w:line="500" w:lineRule="exact"/>
        <w:rPr>
          <w:rFonts w:ascii="仿宋_GB2312" w:eastAsia="仿宋_GB2312"/>
          <w:sz w:val="24"/>
        </w:rPr>
      </w:pPr>
      <w:r>
        <w:rPr>
          <w:rFonts w:hint="eastAsia" w:ascii="仿宋_GB2312" w:eastAsia="仿宋_GB2312"/>
          <w:sz w:val="28"/>
          <w:szCs w:val="28"/>
        </w:rPr>
        <w:t>投标人对评标、比较或授予合同决定的过程施加影响的企图和行为,都可能导致其投标被拒绝</w:t>
      </w:r>
      <w:r>
        <w:rPr>
          <w:rFonts w:hint="eastAsia" w:ascii="仿宋_GB2312" w:eastAsia="仿宋_GB2312"/>
          <w:sz w:val="24"/>
        </w:rPr>
        <w:t>。</w:t>
      </w:r>
    </w:p>
    <w:p>
      <w:pPr>
        <w:numPr>
          <w:ilvl w:val="0"/>
          <w:numId w:val="14"/>
        </w:numPr>
        <w:snapToGrid w:val="0"/>
        <w:spacing w:beforeLines="50" w:afterLines="50" w:line="500" w:lineRule="exact"/>
        <w:rPr>
          <w:rFonts w:ascii="仿宋_GB2312" w:eastAsia="仿宋_GB2312"/>
          <w:b/>
          <w:sz w:val="28"/>
          <w:szCs w:val="28"/>
        </w:rPr>
      </w:pPr>
      <w:r>
        <w:rPr>
          <w:rFonts w:hint="eastAsia" w:ascii="仿宋_GB2312" w:eastAsia="仿宋_GB2312"/>
          <w:b/>
          <w:sz w:val="28"/>
          <w:szCs w:val="28"/>
        </w:rPr>
        <w:t>授予合同</w:t>
      </w:r>
      <w:bookmarkEnd w:id="19"/>
    </w:p>
    <w:p>
      <w:pPr>
        <w:numPr>
          <w:ilvl w:val="1"/>
          <w:numId w:val="19"/>
        </w:numPr>
        <w:snapToGrid w:val="0"/>
        <w:spacing w:line="500" w:lineRule="exact"/>
        <w:rPr>
          <w:rFonts w:ascii="仿宋_GB2312" w:eastAsia="仿宋_GB2312"/>
          <w:sz w:val="28"/>
          <w:szCs w:val="28"/>
        </w:rPr>
      </w:pPr>
      <w:r>
        <w:rPr>
          <w:rFonts w:hint="eastAsia" w:ascii="仿宋_GB2312" w:eastAsia="仿宋_GB2312"/>
          <w:sz w:val="28"/>
          <w:szCs w:val="28"/>
        </w:rPr>
        <w:t>中标通知和合同授予</w:t>
      </w:r>
    </w:p>
    <w:p>
      <w:pPr>
        <w:snapToGrid w:val="0"/>
        <w:spacing w:line="600" w:lineRule="exact"/>
        <w:ind w:firstLine="560" w:firstLineChars="200"/>
        <w:rPr>
          <w:rFonts w:ascii="仿宋_GB2312" w:eastAsia="仿宋_GB2312"/>
          <w:bCs/>
          <w:sz w:val="28"/>
          <w:szCs w:val="28"/>
        </w:rPr>
      </w:pPr>
      <w:r>
        <w:rPr>
          <w:rFonts w:hint="eastAsia" w:ascii="仿宋_GB2312" w:eastAsia="仿宋_GB2312"/>
          <w:sz w:val="28"/>
          <w:szCs w:val="28"/>
        </w:rPr>
        <w:t>评定结果经采购人确定后，衢州市衢江区政府采购中心在中标人确定之日起2个工作日内将以书面形式发出《中标通知书》。中标通知书于中标公告发布之日签发，中标人应于本公告发布之日起两个工作日内，凭法人（负责人）授权委托书及被授权人身份证原件至</w:t>
      </w:r>
      <w:r>
        <w:rPr>
          <w:rFonts w:hint="eastAsia" w:ascii="仿宋_GB2312" w:hAnsi="宋体" w:eastAsia="仿宋_GB2312"/>
          <w:sz w:val="28"/>
          <w:szCs w:val="28"/>
        </w:rPr>
        <w:t>衢江区政府采购中心领取中标通知书，逾期领取的后果自负。</w:t>
      </w:r>
      <w:r>
        <w:rPr>
          <w:rFonts w:hint="eastAsia" w:ascii="仿宋_GB2312" w:eastAsia="仿宋_GB2312"/>
          <w:sz w:val="28"/>
          <w:szCs w:val="28"/>
        </w:rPr>
        <w:t>中标人</w:t>
      </w:r>
      <w:r>
        <w:rPr>
          <w:rFonts w:hint="eastAsia" w:ascii="仿宋_GB2312" w:hAnsi="宋体" w:eastAsia="仿宋_GB2312"/>
          <w:sz w:val="28"/>
          <w:szCs w:val="28"/>
        </w:rPr>
        <w:t>与采购单位须按本公告发出两个工作日后的三十天内签订合同，并经衢州市衢江区政府采购中心 签证后生效。</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《中标通知书》一经发出即发生法律效力。招标人无义务向未中标人解释落选原因，不退回投标文件。《中标通知书》将作为签订合同的依据。</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履约保证金：中标人向采购人交纳中标金额1%的履约保证金。</w:t>
      </w:r>
      <w:r>
        <w:rPr>
          <w:rFonts w:hint="eastAsia" w:ascii="仿宋_GB2312" w:eastAsia="仿宋_GB2312" w:cs="宋体"/>
          <w:sz w:val="28"/>
          <w:szCs w:val="28"/>
          <w:lang w:val="zh-CN"/>
        </w:rPr>
        <w:t>（</w:t>
      </w:r>
      <w:r>
        <w:rPr>
          <w:rFonts w:hint="eastAsia" w:ascii="仿宋_GB2312" w:eastAsia="仿宋_GB2312" w:cs="宋体"/>
          <w:sz w:val="28"/>
          <w:szCs w:val="28"/>
        </w:rPr>
        <w:t>非现金交纳）</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签订合同：中标人按《中标通知书》指定的时间、地点与采购人直接签订合同,并经衢州市衢江区政府采购中心 签证后生效。在有合理证据证明中标人在投标过程中承诺的内容不能实质响应的，采购人有权拒签合同。</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招标文件、澄清文件、投标文件等，均为签订合同的依据。中标人接到中标通知书后在规定的时间内与采购人签订合同，并交衢州市衢江区政府采购中心鉴证。</w:t>
      </w:r>
    </w:p>
    <w:p>
      <w:pPr>
        <w:numPr>
          <w:ilvl w:val="2"/>
          <w:numId w:val="19"/>
        </w:numPr>
        <w:snapToGrid w:val="0"/>
        <w:spacing w:line="500" w:lineRule="exact"/>
        <w:rPr>
          <w:rFonts w:ascii="仿宋_GB2312" w:eastAsia="仿宋_GB2312"/>
          <w:sz w:val="28"/>
          <w:szCs w:val="28"/>
        </w:rPr>
      </w:pPr>
      <w:r>
        <w:rPr>
          <w:rFonts w:hint="eastAsia" w:ascii="仿宋_GB2312" w:eastAsia="仿宋_GB2312"/>
          <w:sz w:val="28"/>
          <w:szCs w:val="28"/>
        </w:rPr>
        <w:t>中标人不遵守投标文件的要约、承诺，擅自修改投标文件的内容或在接到中标通知书规定的时间内，借故拖延、拒签合同者，采购人将取消该投标人的中标资格。</w:t>
      </w:r>
    </w:p>
    <w:p>
      <w:pPr>
        <w:numPr>
          <w:ilvl w:val="0"/>
          <w:numId w:val="14"/>
        </w:numPr>
        <w:snapToGrid w:val="0"/>
        <w:spacing w:beforeLines="50" w:afterLines="50" w:line="500" w:lineRule="exact"/>
        <w:rPr>
          <w:rFonts w:ascii="仿宋_GB2312" w:eastAsia="仿宋_GB2312"/>
          <w:b/>
          <w:sz w:val="28"/>
          <w:szCs w:val="28"/>
        </w:rPr>
      </w:pPr>
      <w:bookmarkStart w:id="20" w:name="_Toc356371441"/>
      <w:r>
        <w:rPr>
          <w:rFonts w:hint="eastAsia" w:ascii="仿宋_GB2312" w:hAnsi="宋体" w:eastAsia="仿宋_GB2312"/>
          <w:b/>
          <w:sz w:val="28"/>
          <w:szCs w:val="28"/>
        </w:rPr>
        <w:t>质疑与投诉</w:t>
      </w:r>
    </w:p>
    <w:p>
      <w:pPr>
        <w:snapToGrid w:val="0"/>
        <w:spacing w:beforeLines="50" w:afterLines="50"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根据《中华人民共和国政府采购法》、《中华人民共和国政府采购法实施条例》、</w:t>
      </w:r>
      <w:r>
        <w:rPr>
          <w:rFonts w:hint="eastAsia" w:ascii="仿宋_GB2312" w:hAnsi="微软雅黑" w:eastAsia="仿宋_GB2312"/>
          <w:sz w:val="28"/>
          <w:szCs w:val="28"/>
          <w:shd w:val="clear" w:color="auto" w:fill="FFFFFF"/>
        </w:rPr>
        <w:t>《政府采购质疑和投诉办法》</w:t>
      </w:r>
      <w:r>
        <w:rPr>
          <w:rFonts w:hint="eastAsia" w:ascii="仿宋_GB2312" w:hAnsi="宋体" w:eastAsia="仿宋_GB2312"/>
          <w:sz w:val="28"/>
          <w:szCs w:val="28"/>
          <w:lang w:val="zh-CN"/>
        </w:rPr>
        <w:t>(</w:t>
      </w:r>
      <w:r>
        <w:rPr>
          <w:rStyle w:val="61"/>
          <w:rFonts w:hint="eastAsia" w:ascii="仿宋_GB2312" w:hAnsi="微软雅黑" w:eastAsia="仿宋_GB2312"/>
          <w:sz w:val="28"/>
          <w:szCs w:val="28"/>
          <w:shd w:val="clear" w:color="auto" w:fill="FFFFFF"/>
        </w:rPr>
        <w:t>财政部令第94号</w:t>
      </w:r>
      <w:r>
        <w:rPr>
          <w:rFonts w:hint="eastAsia" w:ascii="仿宋_GB2312" w:hAnsi="宋体" w:eastAsia="仿宋_GB2312"/>
          <w:sz w:val="28"/>
          <w:szCs w:val="28"/>
          <w:lang w:val="zh-CN"/>
        </w:rPr>
        <w:t>)，政府采购供应商可以依法提起质疑和投诉。</w:t>
      </w:r>
    </w:p>
    <w:p>
      <w:pPr>
        <w:numPr>
          <w:ilvl w:val="1"/>
          <w:numId w:val="20"/>
        </w:numPr>
        <w:snapToGrid w:val="0"/>
        <w:spacing w:beforeLines="50" w:afterLines="50" w:line="500" w:lineRule="exact"/>
        <w:rPr>
          <w:rFonts w:ascii="仿宋_GB2312" w:eastAsia="仿宋_GB2312"/>
          <w:sz w:val="28"/>
          <w:szCs w:val="28"/>
        </w:rPr>
      </w:pPr>
      <w:r>
        <w:rPr>
          <w:rFonts w:hint="eastAsia" w:ascii="仿宋_GB2312" w:hAnsi="宋体" w:eastAsia="仿宋_GB2312"/>
          <w:b/>
          <w:sz w:val="28"/>
          <w:szCs w:val="28"/>
        </w:rPr>
        <w:t>供应商质疑</w:t>
      </w:r>
    </w:p>
    <w:p>
      <w:pPr>
        <w:numPr>
          <w:ilvl w:val="2"/>
          <w:numId w:val="20"/>
        </w:numPr>
        <w:snapToGrid w:val="0"/>
        <w:spacing w:line="500" w:lineRule="exact"/>
        <w:rPr>
          <w:rFonts w:ascii="仿宋_GB2312" w:eastAsia="仿宋_GB2312"/>
          <w:bCs/>
          <w:sz w:val="28"/>
          <w:szCs w:val="28"/>
        </w:rPr>
      </w:pPr>
      <w:r>
        <w:rPr>
          <w:rFonts w:hint="eastAsia" w:ascii="仿宋_GB2312" w:hAnsi="宋体" w:eastAsia="仿宋_GB2312"/>
          <w:bCs/>
          <w:sz w:val="28"/>
          <w:szCs w:val="28"/>
        </w:rPr>
        <w:t>供应商认为招标文件、采购过程和中标、成交结果使自己的权益受到损害的，可以在知道或者应知其权益受到损害之日起七个工作日内，以书面形式向采购机构提出质疑。</w:t>
      </w:r>
    </w:p>
    <w:p>
      <w:pPr>
        <w:snapToGrid w:val="0"/>
        <w:spacing w:beforeLines="50" w:afterLines="50" w:line="500" w:lineRule="exact"/>
        <w:ind w:left="567"/>
        <w:rPr>
          <w:rFonts w:ascii="仿宋_GB2312" w:hAnsi="宋体" w:eastAsia="仿宋_GB2312"/>
          <w:bCs/>
          <w:sz w:val="28"/>
          <w:szCs w:val="28"/>
        </w:rPr>
      </w:pPr>
      <w:r>
        <w:rPr>
          <w:rFonts w:hint="eastAsia" w:ascii="仿宋_GB2312" w:hAnsi="宋体" w:eastAsia="仿宋_GB2312"/>
          <w:bCs/>
          <w:sz w:val="28"/>
          <w:szCs w:val="28"/>
        </w:rPr>
        <w:t>政府采购法第五十二条规定的供应商应知其权益受到损害之日，是指：</w:t>
      </w:r>
    </w:p>
    <w:p>
      <w:pPr>
        <w:snapToGrid w:val="0"/>
        <w:spacing w:beforeLines="50" w:afterLines="50" w:line="500" w:lineRule="exact"/>
        <w:ind w:firstLine="560" w:firstLineChars="200"/>
        <w:rPr>
          <w:rFonts w:ascii="仿宋_GB2312" w:hAnsi="宋体" w:eastAsia="仿宋_GB2312"/>
          <w:bCs/>
          <w:sz w:val="28"/>
          <w:szCs w:val="28"/>
        </w:rPr>
      </w:pPr>
      <w:r>
        <w:rPr>
          <w:rFonts w:hint="eastAsia" w:ascii="仿宋_GB2312" w:hAnsi="宋体" w:eastAsia="仿宋_GB2312"/>
          <w:bCs/>
          <w:sz w:val="28"/>
          <w:szCs w:val="28"/>
        </w:rPr>
        <w:t>（1）对采购文件提出质疑的，应当在获取采购文件或者采购文件公告期限届满之日起7个工作日内提出。</w:t>
      </w:r>
    </w:p>
    <w:p>
      <w:pPr>
        <w:snapToGrid w:val="0"/>
        <w:spacing w:beforeLines="50" w:afterLines="50" w:line="500" w:lineRule="exact"/>
        <w:ind w:firstLine="560" w:firstLineChars="200"/>
        <w:rPr>
          <w:rFonts w:ascii="仿宋_GB2312" w:hAnsi="宋体" w:eastAsia="仿宋_GB2312"/>
          <w:bCs/>
          <w:sz w:val="28"/>
          <w:szCs w:val="28"/>
        </w:rPr>
      </w:pPr>
      <w:r>
        <w:rPr>
          <w:rFonts w:hint="eastAsia" w:ascii="仿宋_GB2312" w:hAnsi="宋体" w:eastAsia="仿宋_GB2312"/>
          <w:bCs/>
          <w:sz w:val="28"/>
          <w:szCs w:val="28"/>
        </w:rPr>
        <w:t>（2）对采购过程提出质疑的，为各采购程序环节结束之日；</w:t>
      </w:r>
    </w:p>
    <w:p>
      <w:pPr>
        <w:snapToGrid w:val="0"/>
        <w:spacing w:beforeLines="50" w:afterLines="50" w:line="500" w:lineRule="exact"/>
        <w:ind w:firstLine="560" w:firstLineChars="200"/>
        <w:rPr>
          <w:rFonts w:ascii="仿宋_GB2312" w:eastAsia="仿宋_GB2312"/>
          <w:sz w:val="28"/>
          <w:szCs w:val="28"/>
        </w:rPr>
      </w:pPr>
      <w:r>
        <w:rPr>
          <w:rFonts w:hint="eastAsia" w:ascii="仿宋_GB2312" w:hAnsi="宋体" w:eastAsia="仿宋_GB2312"/>
          <w:bCs/>
          <w:sz w:val="28"/>
          <w:szCs w:val="28"/>
        </w:rPr>
        <w:t>（3）对中标结果提出质疑的，为中标结果公告期限届满之日。</w:t>
      </w:r>
    </w:p>
    <w:p>
      <w:pPr>
        <w:numPr>
          <w:ilvl w:val="2"/>
          <w:numId w:val="20"/>
        </w:numPr>
        <w:tabs>
          <w:tab w:val="left" w:pos="0"/>
        </w:tabs>
        <w:wordWrap w:val="0"/>
        <w:snapToGrid w:val="0"/>
        <w:spacing w:beforeLines="50" w:afterLines="50" w:line="500" w:lineRule="exact"/>
        <w:rPr>
          <w:rFonts w:ascii="仿宋_GB2312" w:eastAsia="仿宋_GB2312"/>
          <w:sz w:val="28"/>
          <w:szCs w:val="28"/>
        </w:rPr>
      </w:pPr>
      <w:r>
        <w:rPr>
          <w:rFonts w:hint="eastAsia" w:ascii="仿宋_GB2312" w:hAnsi="宋体" w:eastAsia="仿宋_GB2312"/>
          <w:bCs/>
          <w:sz w:val="28"/>
          <w:szCs w:val="28"/>
        </w:rPr>
        <w:t>供应商质疑应当有明确的请求和必要的证明材料。供应商提交的质疑书需一式三份，由法定代表人</w:t>
      </w:r>
      <w:r>
        <w:rPr>
          <w:rFonts w:hint="eastAsia" w:ascii="仿宋_GB2312" w:hAnsi="宋体" w:eastAsia="仿宋_GB2312"/>
          <w:sz w:val="28"/>
          <w:szCs w:val="28"/>
        </w:rPr>
        <w:t>（负责人）</w:t>
      </w:r>
      <w:r>
        <w:rPr>
          <w:rFonts w:hint="eastAsia" w:ascii="仿宋_GB2312" w:hAnsi="宋体" w:eastAsia="仿宋_GB2312"/>
          <w:bCs/>
          <w:sz w:val="28"/>
          <w:szCs w:val="28"/>
        </w:rPr>
        <w:t>签字（或盖章）并加盖单位公章。质疑也可以通过政采云系统向采购人网上发起</w:t>
      </w:r>
      <w:r>
        <w:rPr>
          <w:rFonts w:ascii="仿宋_GB2312" w:hAnsi="宋体" w:eastAsia="仿宋_GB2312"/>
          <w:bCs/>
          <w:sz w:val="28"/>
          <w:szCs w:val="28"/>
        </w:rPr>
        <w:t>。</w:t>
      </w:r>
    </w:p>
    <w:p>
      <w:pPr>
        <w:numPr>
          <w:ilvl w:val="2"/>
          <w:numId w:val="20"/>
        </w:numPr>
        <w:tabs>
          <w:tab w:val="left" w:pos="0"/>
        </w:tabs>
        <w:wordWrap w:val="0"/>
        <w:snapToGrid w:val="0"/>
        <w:spacing w:beforeLines="50" w:afterLines="50" w:line="500" w:lineRule="exact"/>
        <w:rPr>
          <w:rFonts w:ascii="仿宋_GB2312" w:eastAsia="仿宋_GB2312"/>
          <w:sz w:val="28"/>
          <w:szCs w:val="28"/>
        </w:rPr>
      </w:pPr>
      <w:r>
        <w:rPr>
          <w:rFonts w:hint="eastAsia" w:ascii="仿宋_GB2312" w:hAnsi="宋体" w:eastAsia="仿宋_GB2312"/>
          <w:sz w:val="28"/>
          <w:szCs w:val="28"/>
        </w:rPr>
        <w:t>采购机构应当在收到供应商的书面质疑后七个工作日内作出答复，并以书面形式通知质疑供应商和其他与质疑处理结果有利害关系的政府采购当事人，但答复的内容不得涉及商业秘密。</w:t>
      </w:r>
    </w:p>
    <w:p>
      <w:pPr>
        <w:numPr>
          <w:ilvl w:val="1"/>
          <w:numId w:val="20"/>
        </w:numPr>
        <w:tabs>
          <w:tab w:val="left" w:pos="420"/>
          <w:tab w:val="clear" w:pos="0"/>
        </w:tabs>
        <w:snapToGrid w:val="0"/>
        <w:spacing w:beforeLines="50" w:afterLines="50" w:line="500" w:lineRule="exact"/>
        <w:rPr>
          <w:rFonts w:ascii="仿宋_GB2312" w:eastAsia="仿宋_GB2312"/>
          <w:sz w:val="28"/>
          <w:szCs w:val="28"/>
        </w:rPr>
      </w:pPr>
      <w:r>
        <w:rPr>
          <w:rFonts w:hint="eastAsia" w:ascii="仿宋_GB2312" w:hAnsi="宋体" w:eastAsia="仿宋_GB2312"/>
          <w:b/>
          <w:sz w:val="28"/>
          <w:szCs w:val="28"/>
        </w:rPr>
        <w:t>供应商投诉</w:t>
      </w:r>
    </w:p>
    <w:p>
      <w:pPr>
        <w:snapToGrid w:val="0"/>
        <w:spacing w:beforeLines="50" w:afterLines="50" w:line="500" w:lineRule="exact"/>
        <w:ind w:firstLine="560" w:firstLineChars="200"/>
        <w:rPr>
          <w:rFonts w:ascii="仿宋_GB2312" w:eastAsia="仿宋_GB2312"/>
          <w:b/>
          <w:sz w:val="28"/>
          <w:szCs w:val="28"/>
        </w:rPr>
      </w:pPr>
      <w:r>
        <w:rPr>
          <w:rFonts w:hint="eastAsia" w:ascii="仿宋_GB2312" w:hAnsi="宋体" w:eastAsia="仿宋_GB2312"/>
          <w:sz w:val="28"/>
          <w:szCs w:val="28"/>
        </w:rPr>
        <w:t>质疑供应商对采购机构的答复不满意或者采购机构未在规定的时间内作出答复的，可以在答复期满后十五个工作日内向</w:t>
      </w:r>
      <w:r>
        <w:rPr>
          <w:rFonts w:hint="eastAsia" w:ascii="仿宋_GB2312" w:hAnsi="宋体" w:eastAsia="仿宋_GB2312"/>
          <w:bCs/>
          <w:sz w:val="28"/>
          <w:szCs w:val="28"/>
        </w:rPr>
        <w:t>同级政府采购监督管理部门</w:t>
      </w:r>
      <w:r>
        <w:rPr>
          <w:rFonts w:hint="eastAsia" w:ascii="仿宋_GB2312" w:hAnsi="宋体" w:eastAsia="仿宋_GB2312"/>
          <w:sz w:val="28"/>
          <w:szCs w:val="28"/>
        </w:rPr>
        <w:t>提出投诉。</w:t>
      </w:r>
    </w:p>
    <w:p>
      <w:pPr>
        <w:numPr>
          <w:ilvl w:val="0"/>
          <w:numId w:val="14"/>
        </w:numPr>
        <w:snapToGrid w:val="0"/>
        <w:spacing w:beforeLines="50" w:afterLines="50" w:line="500" w:lineRule="exact"/>
        <w:rPr>
          <w:rFonts w:ascii="仿宋_GB2312" w:eastAsia="仿宋_GB2312"/>
          <w:b/>
          <w:sz w:val="28"/>
          <w:szCs w:val="28"/>
        </w:rPr>
      </w:pPr>
      <w:r>
        <w:rPr>
          <w:rFonts w:hint="eastAsia" w:ascii="仿宋_GB2312" w:eastAsia="仿宋_GB2312"/>
          <w:b/>
          <w:sz w:val="28"/>
          <w:szCs w:val="28"/>
        </w:rPr>
        <w:t>法律责任</w:t>
      </w:r>
      <w:bookmarkEnd w:id="20"/>
    </w:p>
    <w:p>
      <w:pPr>
        <w:numPr>
          <w:ilvl w:val="1"/>
          <w:numId w:val="21"/>
        </w:numPr>
        <w:tabs>
          <w:tab w:val="left" w:pos="420"/>
          <w:tab w:val="clear" w:pos="0"/>
        </w:tabs>
        <w:snapToGrid w:val="0"/>
        <w:spacing w:line="500" w:lineRule="exact"/>
        <w:rPr>
          <w:rFonts w:ascii="仿宋_GB2312" w:eastAsia="仿宋_GB2312"/>
          <w:sz w:val="28"/>
          <w:szCs w:val="28"/>
        </w:rPr>
      </w:pPr>
      <w:r>
        <w:rPr>
          <w:rFonts w:hint="eastAsia" w:ascii="仿宋_GB2312" w:eastAsia="仿宋_GB2312"/>
          <w:sz w:val="28"/>
          <w:szCs w:val="28"/>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numPr>
          <w:ilvl w:val="2"/>
          <w:numId w:val="21"/>
        </w:numPr>
        <w:snapToGrid w:val="0"/>
        <w:spacing w:line="500" w:lineRule="exact"/>
        <w:rPr>
          <w:rFonts w:ascii="仿宋_GB2312" w:eastAsia="仿宋_GB2312"/>
          <w:sz w:val="28"/>
          <w:szCs w:val="28"/>
        </w:rPr>
      </w:pPr>
      <w:r>
        <w:rPr>
          <w:rFonts w:hint="eastAsia" w:ascii="仿宋_GB2312" w:eastAsia="仿宋_GB2312"/>
          <w:sz w:val="28"/>
          <w:szCs w:val="28"/>
        </w:rPr>
        <w:t>提供虚假材料谋取中标的;</w:t>
      </w:r>
    </w:p>
    <w:p>
      <w:pPr>
        <w:numPr>
          <w:ilvl w:val="2"/>
          <w:numId w:val="21"/>
        </w:numPr>
        <w:snapToGrid w:val="0"/>
        <w:spacing w:line="500" w:lineRule="exact"/>
        <w:rPr>
          <w:rFonts w:ascii="仿宋_GB2312" w:eastAsia="仿宋_GB2312"/>
          <w:sz w:val="28"/>
          <w:szCs w:val="28"/>
        </w:rPr>
      </w:pPr>
      <w:r>
        <w:rPr>
          <w:rFonts w:hint="eastAsia" w:ascii="仿宋_GB2312" w:eastAsia="仿宋_GB2312"/>
          <w:sz w:val="28"/>
          <w:szCs w:val="28"/>
        </w:rPr>
        <w:t>采取不正当手段诋毁、排挤其他投标人的;</w:t>
      </w:r>
    </w:p>
    <w:p>
      <w:pPr>
        <w:numPr>
          <w:ilvl w:val="2"/>
          <w:numId w:val="21"/>
        </w:numPr>
        <w:snapToGrid w:val="0"/>
        <w:spacing w:line="500" w:lineRule="exact"/>
        <w:rPr>
          <w:rFonts w:ascii="仿宋_GB2312" w:eastAsia="仿宋_GB2312"/>
          <w:sz w:val="28"/>
          <w:szCs w:val="28"/>
        </w:rPr>
      </w:pPr>
      <w:r>
        <w:rPr>
          <w:rFonts w:hint="eastAsia" w:ascii="仿宋_GB2312" w:eastAsia="仿宋_GB2312"/>
          <w:sz w:val="28"/>
          <w:szCs w:val="28"/>
        </w:rPr>
        <w:t>与采购人、采购代理机构、其他投标人恶意串通的;</w:t>
      </w:r>
    </w:p>
    <w:p>
      <w:pPr>
        <w:numPr>
          <w:ilvl w:val="2"/>
          <w:numId w:val="21"/>
        </w:numPr>
        <w:snapToGrid w:val="0"/>
        <w:spacing w:line="500" w:lineRule="exact"/>
        <w:rPr>
          <w:rFonts w:ascii="仿宋_GB2312" w:eastAsia="仿宋_GB2312"/>
          <w:sz w:val="28"/>
          <w:szCs w:val="28"/>
        </w:rPr>
      </w:pPr>
      <w:r>
        <w:rPr>
          <w:rFonts w:hint="eastAsia" w:ascii="仿宋_GB2312" w:eastAsia="仿宋_GB2312"/>
          <w:sz w:val="28"/>
          <w:szCs w:val="28"/>
        </w:rPr>
        <w:t>向采购人、采购代理机构行贿或者提供其他不正当利益的;</w:t>
      </w:r>
    </w:p>
    <w:p>
      <w:pPr>
        <w:numPr>
          <w:ilvl w:val="2"/>
          <w:numId w:val="21"/>
        </w:numPr>
        <w:snapToGrid w:val="0"/>
        <w:spacing w:line="500" w:lineRule="exact"/>
        <w:rPr>
          <w:rFonts w:ascii="仿宋_GB2312" w:eastAsia="仿宋_GB2312"/>
          <w:sz w:val="28"/>
          <w:szCs w:val="28"/>
        </w:rPr>
      </w:pPr>
      <w:r>
        <w:rPr>
          <w:rFonts w:hint="eastAsia" w:ascii="仿宋_GB2312" w:eastAsia="仿宋_GB2312"/>
          <w:sz w:val="28"/>
          <w:szCs w:val="28"/>
        </w:rPr>
        <w:t>在招标过程中与采购人进行协商谈判、不按照招标文件和中标人的投标文件订立合同,或者与采购人另行订立背离合同实质性内容的协议的;</w:t>
      </w:r>
    </w:p>
    <w:p>
      <w:pPr>
        <w:numPr>
          <w:ilvl w:val="2"/>
          <w:numId w:val="21"/>
        </w:numPr>
        <w:snapToGrid w:val="0"/>
        <w:spacing w:line="500" w:lineRule="exact"/>
        <w:rPr>
          <w:rFonts w:ascii="仿宋_GB2312" w:eastAsia="仿宋_GB2312"/>
          <w:sz w:val="28"/>
          <w:szCs w:val="28"/>
        </w:rPr>
      </w:pPr>
      <w:r>
        <w:rPr>
          <w:rFonts w:hint="eastAsia" w:ascii="仿宋_GB2312" w:eastAsia="仿宋_GB2312"/>
          <w:sz w:val="28"/>
          <w:szCs w:val="28"/>
        </w:rPr>
        <w:t>拒绝有关部门监督检查或者提供虚假情况的；</w:t>
      </w:r>
    </w:p>
    <w:p>
      <w:pPr>
        <w:numPr>
          <w:ilvl w:val="0"/>
          <w:numId w:val="14"/>
        </w:numPr>
        <w:snapToGrid w:val="0"/>
        <w:spacing w:beforeLines="50" w:afterLines="50" w:line="500" w:lineRule="exact"/>
        <w:rPr>
          <w:rFonts w:ascii="仿宋_GB2312" w:eastAsia="仿宋_GB2312"/>
          <w:b/>
          <w:sz w:val="28"/>
          <w:szCs w:val="28"/>
        </w:rPr>
      </w:pPr>
      <w:bookmarkStart w:id="21" w:name="_Toc356371442"/>
      <w:r>
        <w:rPr>
          <w:rFonts w:hint="eastAsia" w:ascii="仿宋_GB2312" w:eastAsia="仿宋_GB2312"/>
          <w:b/>
          <w:sz w:val="28"/>
          <w:szCs w:val="28"/>
        </w:rPr>
        <w:t>其他</w:t>
      </w:r>
      <w:bookmarkEnd w:id="21"/>
    </w:p>
    <w:p>
      <w:pPr>
        <w:numPr>
          <w:ilvl w:val="1"/>
          <w:numId w:val="21"/>
        </w:numPr>
        <w:tabs>
          <w:tab w:val="left" w:pos="420"/>
          <w:tab w:val="clear" w:pos="0"/>
        </w:tabs>
        <w:snapToGrid w:val="0"/>
        <w:spacing w:line="500" w:lineRule="exact"/>
        <w:rPr>
          <w:rFonts w:ascii="仿宋_GB2312" w:eastAsia="仿宋_GB2312"/>
          <w:sz w:val="28"/>
          <w:szCs w:val="28"/>
        </w:rPr>
      </w:pPr>
      <w:r>
        <w:rPr>
          <w:rFonts w:hint="eastAsia" w:ascii="仿宋_GB2312" w:eastAsia="仿宋_GB2312"/>
          <w:sz w:val="28"/>
          <w:szCs w:val="28"/>
        </w:rPr>
        <w:t>解释权：本招标文件是依据《中华人民共和国政府采购法》、《中华人民共和国政府采购法实施条例》（中华人民共和国国务院令第658号）、《政府采购货物和服务招标投标管理办法》（中华人民共和国财政部令第87号）及有关规定编制的，解释权属招标人。</w:t>
      </w:r>
    </w:p>
    <w:p>
      <w:pPr>
        <w:numPr>
          <w:ilvl w:val="1"/>
          <w:numId w:val="21"/>
        </w:numPr>
        <w:tabs>
          <w:tab w:val="left" w:pos="420"/>
          <w:tab w:val="clear" w:pos="0"/>
        </w:tabs>
        <w:snapToGrid w:val="0"/>
        <w:spacing w:line="500" w:lineRule="exact"/>
        <w:rPr>
          <w:rFonts w:ascii="仿宋_GB2312" w:eastAsia="仿宋_GB2312"/>
          <w:sz w:val="28"/>
          <w:szCs w:val="28"/>
        </w:rPr>
      </w:pPr>
      <w:r>
        <w:rPr>
          <w:rFonts w:hint="eastAsia" w:ascii="仿宋_GB2312" w:eastAsia="仿宋_GB2312"/>
          <w:sz w:val="28"/>
          <w:szCs w:val="28"/>
        </w:rPr>
        <w:t>联系方式：所有与招标有关的函电请按下面联系</w:t>
      </w:r>
    </w:p>
    <w:p>
      <w:pPr>
        <w:snapToGrid w:val="0"/>
        <w:spacing w:line="500" w:lineRule="exact"/>
        <w:ind w:firstLine="560" w:firstLineChars="200"/>
        <w:rPr>
          <w:rFonts w:ascii="仿宋_GB2312" w:eastAsia="仿宋_GB2312"/>
          <w:sz w:val="28"/>
          <w:szCs w:val="28"/>
        </w:rPr>
      </w:pPr>
      <w:r>
        <w:rPr>
          <w:rFonts w:hint="eastAsia" w:ascii="仿宋_GB2312" w:eastAsia="仿宋_GB2312"/>
          <w:sz w:val="28"/>
          <w:szCs w:val="28"/>
        </w:rPr>
        <w:t>通讯地址：衢州市衢江区公共资源交易中心（衢州市衢江区振兴东路268号六楼611室）    邮编：324000</w:t>
      </w:r>
    </w:p>
    <w:p>
      <w:pPr>
        <w:snapToGrid w:val="0"/>
        <w:spacing w:line="500" w:lineRule="exact"/>
        <w:ind w:firstLine="560" w:firstLineChars="200"/>
        <w:rPr>
          <w:rFonts w:ascii="仿宋_GB2312" w:eastAsia="仿宋_GB2312"/>
          <w:sz w:val="28"/>
          <w:szCs w:val="28"/>
        </w:rPr>
      </w:pPr>
      <w:r>
        <w:rPr>
          <w:rFonts w:hint="eastAsia" w:ascii="仿宋_GB2312" w:eastAsia="仿宋_GB2312"/>
          <w:sz w:val="28"/>
          <w:szCs w:val="28"/>
        </w:rPr>
        <w:t>项目联系人：邵先生</w:t>
      </w:r>
    </w:p>
    <w:p>
      <w:pPr>
        <w:snapToGrid w:val="0"/>
        <w:spacing w:line="500" w:lineRule="exact"/>
        <w:ind w:firstLine="560" w:firstLineChars="200"/>
        <w:rPr>
          <w:rFonts w:ascii="仿宋_GB2312" w:eastAsia="仿宋_GB2312"/>
          <w:sz w:val="28"/>
          <w:szCs w:val="28"/>
        </w:rPr>
      </w:pPr>
      <w:r>
        <w:rPr>
          <w:rFonts w:hint="eastAsia" w:ascii="仿宋_GB2312" w:eastAsia="仿宋_GB2312"/>
          <w:sz w:val="28"/>
          <w:szCs w:val="28"/>
        </w:rPr>
        <w:t>答疑咨询电话：0570-3838411</w:t>
      </w:r>
    </w:p>
    <w:p>
      <w:pPr>
        <w:spacing w:line="540" w:lineRule="exact"/>
        <w:ind w:firstLine="560" w:firstLineChars="200"/>
        <w:jc w:val="center"/>
        <w:outlineLvl w:val="0"/>
        <w:rPr>
          <w:rFonts w:ascii="仿宋_GB2312" w:eastAsia="仿宋_GB2312"/>
          <w:sz w:val="28"/>
          <w:szCs w:val="28"/>
        </w:rPr>
        <w:sectPr>
          <w:headerReference r:id="rId5" w:type="default"/>
          <w:footerReference r:id="rId6" w:type="default"/>
          <w:pgSz w:w="11906" w:h="16838"/>
          <w:pgMar w:top="1389" w:right="1247" w:bottom="1389" w:left="1247" w:header="851" w:footer="992" w:gutter="284"/>
          <w:cols w:space="720" w:num="1"/>
          <w:docGrid w:linePitch="312" w:charSpace="0"/>
        </w:sectPr>
      </w:pPr>
    </w:p>
    <w:p>
      <w:pPr>
        <w:numPr>
          <w:ilvl w:val="0"/>
          <w:numId w:val="22"/>
        </w:numPr>
        <w:spacing w:line="540" w:lineRule="exact"/>
        <w:jc w:val="center"/>
        <w:outlineLvl w:val="0"/>
        <w:rPr>
          <w:rFonts w:ascii="仿宋_GB2312" w:hAnsi="宋体" w:eastAsia="仿宋_GB2312" w:cs="宋体"/>
          <w:b/>
          <w:sz w:val="32"/>
          <w:szCs w:val="32"/>
        </w:rPr>
      </w:pPr>
      <w:bookmarkStart w:id="22" w:name="_Toc322352983"/>
      <w:bookmarkStart w:id="23" w:name="_Toc350256314"/>
      <w:bookmarkStart w:id="24" w:name="_Toc354401531"/>
      <w:bookmarkStart w:id="25" w:name="_Toc8461"/>
      <w:r>
        <w:rPr>
          <w:rFonts w:hint="eastAsia" w:ascii="仿宋_GB2312" w:hAnsi="宋体" w:eastAsia="仿宋_GB2312" w:cs="宋体"/>
          <w:b/>
          <w:sz w:val="32"/>
          <w:szCs w:val="32"/>
        </w:rPr>
        <w:t>采购内容及要求</w:t>
      </w:r>
      <w:bookmarkEnd w:id="22"/>
      <w:bookmarkEnd w:id="23"/>
      <w:bookmarkEnd w:id="24"/>
      <w:bookmarkEnd w:id="25"/>
    </w:p>
    <w:p>
      <w:pPr>
        <w:autoSpaceDE w:val="0"/>
        <w:autoSpaceDN w:val="0"/>
        <w:adjustRightInd w:val="0"/>
        <w:spacing w:line="500" w:lineRule="exact"/>
        <w:ind w:firstLine="560" w:firstLineChars="200"/>
        <w:jc w:val="left"/>
        <w:rPr>
          <w:rFonts w:ascii="仿宋_GB2312" w:hAnsi="宋体" w:eastAsia="仿宋_GB2312"/>
          <w:sz w:val="28"/>
          <w:szCs w:val="28"/>
          <w:lang w:val="zh-CN"/>
        </w:rPr>
      </w:pPr>
      <w:bookmarkStart w:id="26" w:name="_Toc322352984"/>
      <w:bookmarkStart w:id="27" w:name="_Toc354401534"/>
      <w:bookmarkStart w:id="28" w:name="_Toc350256315"/>
      <w:bookmarkStart w:id="29" w:name="_Toc14367"/>
      <w:r>
        <w:rPr>
          <w:rFonts w:hint="eastAsia" w:ascii="仿宋_GB2312" w:hAnsi="宋体" w:eastAsia="仿宋_GB2312"/>
          <w:sz w:val="28"/>
          <w:szCs w:val="28"/>
          <w:lang w:val="zh-CN"/>
        </w:rPr>
        <w:t>浙江省衢州市衢江区人民法院采购物业管理服务项目，服务范围含浙江省衢州市衢江区人民法院院机关大楼、附属楼以及杜泽法庭、廿里法庭、大洲法庭、高家法庭。本次招标的物业管理内容：1、卫生保洁；2、安保服务（包含门卫、传达、消防、监控和秩序管理等）；3、房屋建筑主体及其一般设施设备运行管理和维护；4、会务服务和接待；5、室内植物提供和养护；6、食堂服务（包括烹制早餐及中餐）；7、延伸服务和采购单位交办的其他工作。</w:t>
      </w: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一、物业管理服务主要内容及要求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（一）卫生保洁</w:t>
      </w:r>
    </w:p>
    <w:p>
      <w:pPr>
        <w:spacing w:line="500" w:lineRule="exact"/>
        <w:ind w:firstLine="536" w:firstLineChars="200"/>
        <w:jc w:val="left"/>
        <w:outlineLvl w:val="0"/>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对浙江省衢州市衢江区人民法院内所有大楼及周围环境提供24小时的室内外清洁服务，使其拥有一个整洁、舒适、安静、安全的环境。</w:t>
      </w:r>
    </w:p>
    <w:p>
      <w:pPr>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对办公楼按照三星级酒店卫生标准提供室内外清洁服务，日常保洁服务内容：电梯厅、通道、楼梯、卫生间、开水间、会议室、指定办公室及其他用房地面、墙面、天花板、门窗玻璃、门及门窗框，墙壁附体、办公家具、普通机器（如空调表面及过滤网、电梯表面及沟槽电视机等，下同）、储衣柜、椅、凳等表面等严格按要求清洁、生活垃圾的收集、清运及日常消杀工作，桌面简单整理等。公共区域日常服务内容：大理石、花岗岩地面、扶手、门窗玻璃、门及门窗框、幕玻璃，附体、沙发、桌子、各类宣传牌、橱窗及有关附体，天花板、栏杆、绿化区域等。顶楼、露天阳台、沟槽、地面、雨篷及边角区域，各种附体的表面。对清洁人员做到责职明确、责任区清晰。</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2.预防与灭治白蚊、消杀老鼠、蟑螂、蚊子、苍蝇等“四害”。</w:t>
      </w:r>
    </w:p>
    <w:p>
      <w:pPr>
        <w:spacing w:line="500" w:lineRule="exact"/>
        <w:ind w:firstLine="536" w:firstLineChars="200"/>
        <w:jc w:val="left"/>
        <w:rPr>
          <w:rFonts w:ascii="仿宋_GB2312" w:hAnsi="宋体" w:eastAsia="仿宋_GB2312"/>
          <w:spacing w:val="-6"/>
          <w:sz w:val="28"/>
          <w:szCs w:val="28"/>
          <w:lang w:val="zh-CN"/>
        </w:rPr>
        <w:sectPr>
          <w:pgSz w:w="11906" w:h="16838"/>
          <w:pgMar w:top="1418" w:right="1247" w:bottom="1418" w:left="1247" w:header="851" w:footer="992" w:gutter="284"/>
          <w:cols w:space="720" w:num="1"/>
        </w:sectPr>
      </w:pPr>
    </w:p>
    <w:p>
      <w:pPr>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3.保洁标准（最低标准）</w:t>
      </w:r>
    </w:p>
    <w:p>
      <w:pPr>
        <w:spacing w:line="340" w:lineRule="exact"/>
        <w:ind w:left="420" w:leftChars="200" w:firstLine="402" w:firstLineChars="150"/>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保洁频率及标准(1)</w:t>
      </w:r>
    </w:p>
    <w:tbl>
      <w:tblPr>
        <w:tblStyle w:val="69"/>
        <w:tblpPr w:leftFromText="180" w:rightFromText="180" w:horzAnchor="margin" w:tblpXSpec="center" w:tblpY="841"/>
        <w:tblW w:w="13646" w:type="dxa"/>
        <w:tblInd w:w="0" w:type="dxa"/>
        <w:tblLayout w:type="fixed"/>
        <w:tblCellMar>
          <w:top w:w="0" w:type="dxa"/>
          <w:left w:w="108" w:type="dxa"/>
          <w:bottom w:w="0" w:type="dxa"/>
          <w:right w:w="108" w:type="dxa"/>
        </w:tblCellMar>
      </w:tblPr>
      <w:tblGrid>
        <w:gridCol w:w="738"/>
        <w:gridCol w:w="1708"/>
        <w:gridCol w:w="2225"/>
        <w:gridCol w:w="2767"/>
        <w:gridCol w:w="1134"/>
        <w:gridCol w:w="1304"/>
        <w:gridCol w:w="1134"/>
        <w:gridCol w:w="1304"/>
        <w:gridCol w:w="1332"/>
      </w:tblGrid>
      <w:tr>
        <w:tblPrEx>
          <w:tblLayout w:type="fixed"/>
          <w:tblCellMar>
            <w:top w:w="0" w:type="dxa"/>
            <w:left w:w="108" w:type="dxa"/>
            <w:bottom w:w="0" w:type="dxa"/>
            <w:right w:w="108" w:type="dxa"/>
          </w:tblCellMar>
        </w:tblPrEx>
        <w:trPr>
          <w:trHeight w:val="499" w:hRule="atLeast"/>
        </w:trPr>
        <w:tc>
          <w:tcPr>
            <w:tcW w:w="738"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区域</w:t>
            </w:r>
          </w:p>
        </w:tc>
        <w:tc>
          <w:tcPr>
            <w:tcW w:w="1708"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项  目</w:t>
            </w:r>
          </w:p>
        </w:tc>
        <w:tc>
          <w:tcPr>
            <w:tcW w:w="2225"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工作内容</w:t>
            </w:r>
          </w:p>
        </w:tc>
        <w:tc>
          <w:tcPr>
            <w:tcW w:w="2767" w:type="dxa"/>
            <w:vMerge w:val="restart"/>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标  准</w:t>
            </w:r>
          </w:p>
        </w:tc>
        <w:tc>
          <w:tcPr>
            <w:tcW w:w="6208" w:type="dxa"/>
            <w:gridSpan w:val="5"/>
            <w:tcBorders>
              <w:top w:val="single" w:color="auto" w:sz="4" w:space="0"/>
              <w:left w:val="nil"/>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频  率</w:t>
            </w:r>
          </w:p>
        </w:tc>
      </w:tr>
      <w:tr>
        <w:tblPrEx>
          <w:tblLayout w:type="fixed"/>
          <w:tblCellMar>
            <w:top w:w="0" w:type="dxa"/>
            <w:left w:w="108" w:type="dxa"/>
            <w:bottom w:w="0" w:type="dxa"/>
            <w:right w:w="108" w:type="dxa"/>
          </w:tblCellMar>
        </w:tblPrEx>
        <w:trPr>
          <w:trHeight w:val="499" w:hRule="atLeast"/>
        </w:trPr>
        <w:tc>
          <w:tcPr>
            <w:tcW w:w="738" w:type="dxa"/>
            <w:vMerge w:val="continue"/>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p>
        </w:tc>
        <w:tc>
          <w:tcPr>
            <w:tcW w:w="1708" w:type="dxa"/>
            <w:vMerge w:val="continue"/>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p>
        </w:tc>
        <w:tc>
          <w:tcPr>
            <w:tcW w:w="2225" w:type="dxa"/>
            <w:vMerge w:val="continue"/>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p>
        </w:tc>
        <w:tc>
          <w:tcPr>
            <w:tcW w:w="2767" w:type="dxa"/>
            <w:vMerge w:val="continue"/>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循环</w:t>
            </w: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日</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星期</w:t>
            </w: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月</w:t>
            </w: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季</w:t>
            </w:r>
          </w:p>
        </w:tc>
      </w:tr>
      <w:tr>
        <w:tblPrEx>
          <w:tblLayout w:type="fixed"/>
          <w:tblCellMar>
            <w:top w:w="0" w:type="dxa"/>
            <w:left w:w="108" w:type="dxa"/>
            <w:bottom w:w="0" w:type="dxa"/>
            <w:right w:w="108" w:type="dxa"/>
          </w:tblCellMar>
        </w:tblPrEx>
        <w:trPr>
          <w:trHeight w:val="702" w:hRule="atLeast"/>
        </w:trPr>
        <w:tc>
          <w:tcPr>
            <w:tcW w:w="738" w:type="dxa"/>
            <w:vMerge w:val="restart"/>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总体</w:t>
            </w:r>
          </w:p>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外围</w:t>
            </w: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地面</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清扫、收集垃圾、水力冲洗</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无垃圾、烟头、杂物、明显泥沙</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w:t>
            </w: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冲洗一次</w:t>
            </w:r>
          </w:p>
        </w:tc>
      </w:tr>
      <w:tr>
        <w:tblPrEx>
          <w:tblLayout w:type="fixed"/>
          <w:tblCellMar>
            <w:top w:w="0" w:type="dxa"/>
            <w:left w:w="108" w:type="dxa"/>
            <w:bottom w:w="0" w:type="dxa"/>
            <w:right w:w="108" w:type="dxa"/>
          </w:tblCellMar>
        </w:tblPrEx>
        <w:trPr>
          <w:trHeight w:val="702"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明沟</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清扫、收集垃圾、刷洗</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无垃圾、杂物、无苔藓</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清扫一次</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冲洗一次</w:t>
            </w: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r>
        <w:tblPrEx>
          <w:tblLayout w:type="fixed"/>
          <w:tblCellMar>
            <w:top w:w="0" w:type="dxa"/>
            <w:left w:w="108" w:type="dxa"/>
            <w:bottom w:w="0" w:type="dxa"/>
            <w:right w:w="108" w:type="dxa"/>
          </w:tblCellMar>
        </w:tblPrEx>
        <w:trPr>
          <w:trHeight w:val="702"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外露管道于</w:t>
            </w:r>
          </w:p>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(二米以下)</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无积灰、污渍</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w:t>
            </w: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r>
        <w:tblPrEx>
          <w:tblLayout w:type="fixed"/>
          <w:tblCellMar>
            <w:top w:w="0" w:type="dxa"/>
            <w:left w:w="108" w:type="dxa"/>
            <w:bottom w:w="0" w:type="dxa"/>
            <w:right w:w="108" w:type="dxa"/>
          </w:tblCellMar>
        </w:tblPrEx>
        <w:trPr>
          <w:trHeight w:val="499"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标志牌</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r>
        <w:tblPrEx>
          <w:tblLayout w:type="fixed"/>
          <w:tblCellMar>
            <w:top w:w="0" w:type="dxa"/>
            <w:left w:w="108" w:type="dxa"/>
            <w:bottom w:w="0" w:type="dxa"/>
            <w:right w:w="108" w:type="dxa"/>
          </w:tblCellMar>
        </w:tblPrEx>
        <w:trPr>
          <w:trHeight w:val="499"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大厦铬牌</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r>
        <w:tblPrEx>
          <w:tblLayout w:type="fixed"/>
          <w:tblCellMar>
            <w:top w:w="0" w:type="dxa"/>
            <w:left w:w="108" w:type="dxa"/>
            <w:bottom w:w="0" w:type="dxa"/>
            <w:right w:w="108" w:type="dxa"/>
          </w:tblCellMar>
        </w:tblPrEx>
        <w:trPr>
          <w:trHeight w:val="499"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2米以下外墙</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无积灰、污渍</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冲洗一次</w:t>
            </w: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r>
        <w:tblPrEx>
          <w:tblLayout w:type="fixed"/>
          <w:tblCellMar>
            <w:top w:w="0" w:type="dxa"/>
            <w:left w:w="108" w:type="dxa"/>
            <w:bottom w:w="0" w:type="dxa"/>
            <w:right w:w="108" w:type="dxa"/>
          </w:tblCellMar>
        </w:tblPrEx>
        <w:trPr>
          <w:trHeight w:val="499"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监控探头</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w:t>
            </w: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r>
        <w:tblPrEx>
          <w:tblLayout w:type="fixed"/>
          <w:tblCellMar>
            <w:top w:w="0" w:type="dxa"/>
            <w:left w:w="108" w:type="dxa"/>
            <w:bottom w:w="0" w:type="dxa"/>
            <w:right w:w="108" w:type="dxa"/>
          </w:tblCellMar>
        </w:tblPrEx>
        <w:trPr>
          <w:trHeight w:val="499" w:hRule="atLeast"/>
        </w:trPr>
        <w:tc>
          <w:tcPr>
            <w:tcW w:w="738" w:type="dxa"/>
            <w:vMerge w:val="continue"/>
            <w:tcBorders>
              <w:top w:val="nil"/>
              <w:left w:val="single" w:color="auto" w:sz="4" w:space="0"/>
              <w:bottom w:val="single" w:color="000000" w:sz="4" w:space="0"/>
              <w:right w:val="single" w:color="auto" w:sz="4" w:space="0"/>
            </w:tcBorders>
            <w:vAlign w:val="center"/>
          </w:tcPr>
          <w:p>
            <w:pPr>
              <w:spacing w:line="500" w:lineRule="exact"/>
              <w:rPr>
                <w:rFonts w:ascii="仿宋_GB2312" w:hAnsi="宋体" w:eastAsia="仿宋_GB2312"/>
                <w:spacing w:val="-6"/>
                <w:sz w:val="28"/>
                <w:szCs w:val="28"/>
                <w:lang w:val="zh-CN"/>
              </w:rPr>
            </w:pPr>
          </w:p>
        </w:tc>
        <w:tc>
          <w:tcPr>
            <w:tcW w:w="1708"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绿化植物</w:t>
            </w:r>
          </w:p>
        </w:tc>
        <w:tc>
          <w:tcPr>
            <w:tcW w:w="2225"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浇水、修剪、施肥</w:t>
            </w:r>
          </w:p>
        </w:tc>
        <w:tc>
          <w:tcPr>
            <w:tcW w:w="2767" w:type="dxa"/>
            <w:tcBorders>
              <w:top w:val="nil"/>
              <w:left w:val="nil"/>
              <w:bottom w:val="single" w:color="auto" w:sz="4" w:space="0"/>
              <w:right w:val="single" w:color="auto" w:sz="4" w:space="0"/>
            </w:tcBorders>
            <w:vAlign w:val="center"/>
          </w:tcPr>
          <w:p>
            <w:pPr>
              <w:spacing w:line="50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较好观赏效果</w:t>
            </w: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c>
          <w:tcPr>
            <w:tcW w:w="113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视情</w:t>
            </w:r>
          </w:p>
        </w:tc>
        <w:tc>
          <w:tcPr>
            <w:tcW w:w="1304"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修剪一次</w:t>
            </w:r>
          </w:p>
        </w:tc>
        <w:tc>
          <w:tcPr>
            <w:tcW w:w="1332" w:type="dxa"/>
            <w:tcBorders>
              <w:top w:val="nil"/>
              <w:left w:val="nil"/>
              <w:bottom w:val="single" w:color="auto" w:sz="4" w:space="0"/>
              <w:right w:val="single" w:color="auto" w:sz="4" w:space="0"/>
            </w:tcBorders>
            <w:vAlign w:val="center"/>
          </w:tcPr>
          <w:p>
            <w:pPr>
              <w:spacing w:line="500" w:lineRule="exact"/>
              <w:jc w:val="center"/>
              <w:rPr>
                <w:rFonts w:ascii="仿宋_GB2312" w:hAnsi="宋体" w:eastAsia="仿宋_GB2312"/>
                <w:spacing w:val="-6"/>
                <w:sz w:val="28"/>
                <w:szCs w:val="28"/>
                <w:lang w:val="zh-CN"/>
              </w:rPr>
            </w:pPr>
          </w:p>
        </w:tc>
      </w:tr>
    </w:tbl>
    <w:p>
      <w:pPr>
        <w:spacing w:line="340" w:lineRule="exact"/>
        <w:ind w:left="420" w:leftChars="200"/>
        <w:rPr>
          <w:rFonts w:ascii="仿宋_GB2312" w:eastAsia="仿宋_GB2312"/>
          <w:color w:val="000000"/>
          <w:sz w:val="28"/>
          <w:szCs w:val="28"/>
        </w:rPr>
      </w:pPr>
      <w:r>
        <w:rPr>
          <w:rFonts w:hint="eastAsia"/>
          <w:color w:val="000000"/>
          <w:szCs w:val="24"/>
        </w:rPr>
        <w:br w:type="page"/>
      </w:r>
      <w:r>
        <w:rPr>
          <w:rFonts w:hint="eastAsia" w:ascii="仿宋_GB2312" w:hAnsi="宋体" w:eastAsia="仿宋_GB2312"/>
          <w:spacing w:val="-6"/>
          <w:sz w:val="28"/>
          <w:szCs w:val="28"/>
          <w:lang w:val="zh-CN"/>
        </w:rPr>
        <w:t>保洁频率及标准(2)</w:t>
      </w:r>
    </w:p>
    <w:tbl>
      <w:tblPr>
        <w:tblStyle w:val="69"/>
        <w:tblW w:w="147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1708"/>
        <w:gridCol w:w="2225"/>
        <w:gridCol w:w="2767"/>
        <w:gridCol w:w="789"/>
        <w:gridCol w:w="1474"/>
        <w:gridCol w:w="1474"/>
        <w:gridCol w:w="2185"/>
        <w:gridCol w:w="1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区域</w:t>
            </w:r>
          </w:p>
        </w:tc>
        <w:tc>
          <w:tcPr>
            <w:tcW w:w="1708"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项  目</w:t>
            </w:r>
          </w:p>
        </w:tc>
        <w:tc>
          <w:tcPr>
            <w:tcW w:w="2225"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工作内容</w:t>
            </w:r>
          </w:p>
        </w:tc>
        <w:tc>
          <w:tcPr>
            <w:tcW w:w="2767"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标  准</w:t>
            </w:r>
          </w:p>
        </w:tc>
        <w:tc>
          <w:tcPr>
            <w:tcW w:w="7386" w:type="dxa"/>
            <w:gridSpan w:val="5"/>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频  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p>
        </w:tc>
        <w:tc>
          <w:tcPr>
            <w:tcW w:w="1708"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p>
        </w:tc>
        <w:tc>
          <w:tcPr>
            <w:tcW w:w="2225"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p>
        </w:tc>
        <w:tc>
          <w:tcPr>
            <w:tcW w:w="2767"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p>
        </w:tc>
        <w:tc>
          <w:tcPr>
            <w:tcW w:w="78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循环</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日</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星期</w:t>
            </w:r>
          </w:p>
        </w:tc>
        <w:tc>
          <w:tcPr>
            <w:tcW w:w="218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月</w:t>
            </w:r>
          </w:p>
        </w:tc>
        <w:tc>
          <w:tcPr>
            <w:tcW w:w="1464"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大</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厅</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各</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楼</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层</w:t>
            </w: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地毯（3M）踏垫</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无垃圾、无泥巴</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地面</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除尘、保养</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无脚印、无灰尘、光亮</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推尘</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墙身</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无积灰、无蜘蛛网</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清除一次</w:t>
            </w: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大理石柱</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无积灰、污渍</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2米以下清抹</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2米以上清抹</w:t>
            </w: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木质立面</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除尘（用碧丽珠）</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无灰尘、光亮</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每两季保养一次</w:t>
            </w: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标识牌（各类）</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2米以下清抹</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2米以上清抹</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灯箱</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外表除尘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各类消防设施</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墙脚线</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风口</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每两个月清抹一次</w:t>
            </w: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烟灰缸</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清除烟蒂和保洁</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烟蒂不超过三只、外表清洁</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及时清洁</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废物箱</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清除垃圾、外表抹净</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无垃圾满溢、无拖挂</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倾倒一次</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7"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门框</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除尘（木质上碧丽珠）铜把手</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无灰尘、无手印、明亮</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保洁一次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大玻璃窗内</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清刮</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无积灰、无手印、明亮</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清刮一次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花岗岩墙身</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2米以下清抹</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2米以上清抹</w:t>
            </w: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花盆套</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无灰尘、盆内无垃圾</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清抹外表</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灯具</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除尘（大型灯具除外）</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法庭</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桌椅、地面</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干净光亮、无积尘、无污渍</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椅套清洗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中心机房</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干净、清洁、无尘</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清洁二次</w:t>
            </w: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健身房</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器材、地面</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干净、清洁、无尘</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0" w:hRule="exact"/>
          <w:jc w:val="center"/>
        </w:trPr>
        <w:tc>
          <w:tcPr>
            <w:tcW w:w="640" w:type="dxa"/>
            <w:vMerge w:val="continue"/>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708"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会议室</w:t>
            </w:r>
          </w:p>
        </w:tc>
        <w:tc>
          <w:tcPr>
            <w:tcW w:w="222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桌椅、窗帘</w:t>
            </w:r>
          </w:p>
        </w:tc>
        <w:tc>
          <w:tcPr>
            <w:tcW w:w="2767"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干净、清洁</w:t>
            </w:r>
          </w:p>
        </w:tc>
        <w:tc>
          <w:tcPr>
            <w:tcW w:w="789"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47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2185"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p>
        </w:tc>
        <w:tc>
          <w:tcPr>
            <w:tcW w:w="1464" w:type="dxa"/>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4"/>
                <w:szCs w:val="28"/>
                <w:lang w:val="zh-CN"/>
              </w:rPr>
              <w:t>窗帘每年一次清洗</w:t>
            </w:r>
          </w:p>
        </w:tc>
      </w:tr>
    </w:tbl>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保洁频率及标准(3)</w:t>
      </w:r>
    </w:p>
    <w:tbl>
      <w:tblPr>
        <w:tblStyle w:val="69"/>
        <w:tblpPr w:leftFromText="180" w:rightFromText="180" w:horzAnchor="margin" w:tblpX="-447" w:tblpY="841"/>
        <w:tblW w:w="14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916"/>
        <w:gridCol w:w="2555"/>
        <w:gridCol w:w="2427"/>
        <w:gridCol w:w="1132"/>
        <w:gridCol w:w="1499"/>
        <w:gridCol w:w="1540"/>
        <w:gridCol w:w="675"/>
        <w:gridCol w:w="1168"/>
        <w:gridCol w:w="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区域</w:t>
            </w:r>
          </w:p>
        </w:tc>
        <w:tc>
          <w:tcPr>
            <w:tcW w:w="1916"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项  目</w:t>
            </w:r>
          </w:p>
        </w:tc>
        <w:tc>
          <w:tcPr>
            <w:tcW w:w="2555"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工作内容</w:t>
            </w:r>
          </w:p>
        </w:tc>
        <w:tc>
          <w:tcPr>
            <w:tcW w:w="2427"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标  准</w:t>
            </w:r>
          </w:p>
        </w:tc>
        <w:tc>
          <w:tcPr>
            <w:tcW w:w="6581" w:type="dxa"/>
            <w:gridSpan w:val="6"/>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频  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vAlign w:val="center"/>
          </w:tcPr>
          <w:p>
            <w:pPr>
              <w:jc w:val="center"/>
              <w:rPr>
                <w:rFonts w:ascii="仿宋_GB2312" w:hAnsi="宋体" w:eastAsia="仿宋_GB2312"/>
                <w:b/>
                <w:spacing w:val="-6"/>
                <w:sz w:val="28"/>
                <w:szCs w:val="28"/>
                <w:lang w:val="zh-CN"/>
              </w:rPr>
            </w:pPr>
          </w:p>
        </w:tc>
        <w:tc>
          <w:tcPr>
            <w:tcW w:w="1916" w:type="dxa"/>
            <w:vMerge w:val="continue"/>
            <w:vAlign w:val="center"/>
          </w:tcPr>
          <w:p>
            <w:pPr>
              <w:jc w:val="center"/>
              <w:rPr>
                <w:rFonts w:ascii="仿宋_GB2312" w:hAnsi="宋体" w:eastAsia="仿宋_GB2312"/>
                <w:b/>
                <w:spacing w:val="-6"/>
                <w:sz w:val="28"/>
                <w:szCs w:val="28"/>
                <w:lang w:val="zh-CN"/>
              </w:rPr>
            </w:pPr>
          </w:p>
        </w:tc>
        <w:tc>
          <w:tcPr>
            <w:tcW w:w="2555" w:type="dxa"/>
            <w:vMerge w:val="continue"/>
            <w:vAlign w:val="center"/>
          </w:tcPr>
          <w:p>
            <w:pPr>
              <w:jc w:val="center"/>
              <w:rPr>
                <w:rFonts w:ascii="仿宋_GB2312" w:hAnsi="宋体" w:eastAsia="仿宋_GB2312"/>
                <w:b/>
                <w:spacing w:val="-6"/>
                <w:sz w:val="28"/>
                <w:szCs w:val="28"/>
                <w:lang w:val="zh-CN"/>
              </w:rPr>
            </w:pPr>
          </w:p>
        </w:tc>
        <w:tc>
          <w:tcPr>
            <w:tcW w:w="2427" w:type="dxa"/>
            <w:vMerge w:val="continue"/>
            <w:vAlign w:val="center"/>
          </w:tcPr>
          <w:p>
            <w:pPr>
              <w:jc w:val="center"/>
              <w:rPr>
                <w:rFonts w:ascii="仿宋_GB2312" w:hAnsi="宋体" w:eastAsia="仿宋_GB2312"/>
                <w:b/>
                <w:spacing w:val="-6"/>
                <w:sz w:val="28"/>
                <w:szCs w:val="28"/>
                <w:lang w:val="zh-CN"/>
              </w:rPr>
            </w:pPr>
          </w:p>
        </w:tc>
        <w:tc>
          <w:tcPr>
            <w:tcW w:w="1132"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循环</w:t>
            </w:r>
          </w:p>
        </w:tc>
        <w:tc>
          <w:tcPr>
            <w:tcW w:w="1499"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日</w:t>
            </w:r>
          </w:p>
        </w:tc>
        <w:tc>
          <w:tcPr>
            <w:tcW w:w="1540"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星期</w:t>
            </w:r>
          </w:p>
        </w:tc>
        <w:tc>
          <w:tcPr>
            <w:tcW w:w="1843" w:type="dxa"/>
            <w:gridSpan w:val="2"/>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月</w:t>
            </w:r>
          </w:p>
        </w:tc>
        <w:tc>
          <w:tcPr>
            <w:tcW w:w="567"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 w:hRule="exact"/>
        </w:trPr>
        <w:tc>
          <w:tcPr>
            <w:tcW w:w="946" w:type="dxa"/>
            <w:vMerge w:val="restart"/>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电梯</w:t>
            </w: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地毯</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除尘、清洗</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无灰尘、无垃圾、无污渍</w:t>
            </w:r>
          </w:p>
        </w:tc>
        <w:tc>
          <w:tcPr>
            <w:tcW w:w="1132" w:type="dxa"/>
            <w:vAlign w:val="center"/>
          </w:tcPr>
          <w:p>
            <w:pPr>
              <w:rPr>
                <w:rFonts w:ascii="仿宋_GB2312" w:hAnsi="宋体" w:eastAsia="仿宋_GB2312"/>
                <w:spacing w:val="-6"/>
                <w:sz w:val="28"/>
                <w:szCs w:val="28"/>
                <w:lang w:val="zh-CN"/>
              </w:rPr>
            </w:pPr>
          </w:p>
        </w:tc>
        <w:tc>
          <w:tcPr>
            <w:tcW w:w="149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吸尘二次</w:t>
            </w:r>
          </w:p>
        </w:tc>
        <w:tc>
          <w:tcPr>
            <w:tcW w:w="154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1843" w:type="dxa"/>
            <w:gridSpan w:val="2"/>
            <w:vAlign w:val="center"/>
          </w:tcPr>
          <w:p>
            <w:pP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5" w:hRule="exact"/>
        </w:trPr>
        <w:tc>
          <w:tcPr>
            <w:tcW w:w="946" w:type="dxa"/>
            <w:vMerge w:val="continue"/>
            <w:vAlign w:val="center"/>
          </w:tcPr>
          <w:p>
            <w:pPr>
              <w:jc w:val="cente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墙面</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木质（除尘）铝合金（上保护剂）、镜面清洁</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无灰尘、无手印、光亮</w:t>
            </w:r>
          </w:p>
        </w:tc>
        <w:tc>
          <w:tcPr>
            <w:tcW w:w="1132" w:type="dxa"/>
            <w:vAlign w:val="center"/>
          </w:tcPr>
          <w:p>
            <w:pPr>
              <w:rPr>
                <w:rFonts w:ascii="仿宋_GB2312" w:hAnsi="宋体" w:eastAsia="仿宋_GB2312"/>
                <w:spacing w:val="-6"/>
                <w:sz w:val="28"/>
                <w:szCs w:val="28"/>
                <w:lang w:val="zh-CN"/>
              </w:rPr>
            </w:pPr>
          </w:p>
        </w:tc>
        <w:tc>
          <w:tcPr>
            <w:tcW w:w="149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54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清洁、上光</w:t>
            </w:r>
          </w:p>
        </w:tc>
        <w:tc>
          <w:tcPr>
            <w:tcW w:w="1843" w:type="dxa"/>
            <w:gridSpan w:val="2"/>
            <w:vAlign w:val="center"/>
          </w:tcPr>
          <w:p>
            <w:pP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vAlign w:val="center"/>
          </w:tcPr>
          <w:p>
            <w:pPr>
              <w:jc w:val="cente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门（内外）</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抹净（上保护剂）</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无灰尘、无垃圾、光亮</w:t>
            </w:r>
          </w:p>
        </w:tc>
        <w:tc>
          <w:tcPr>
            <w:tcW w:w="1132"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rPr>
                <w:rFonts w:ascii="仿宋_GB2312" w:hAnsi="宋体" w:eastAsia="仿宋_GB2312"/>
                <w:spacing w:val="-6"/>
                <w:sz w:val="28"/>
                <w:szCs w:val="28"/>
                <w:lang w:val="zh-CN"/>
              </w:rPr>
            </w:pPr>
          </w:p>
        </w:tc>
        <w:tc>
          <w:tcPr>
            <w:tcW w:w="154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清洁、上光</w:t>
            </w:r>
          </w:p>
        </w:tc>
        <w:tc>
          <w:tcPr>
            <w:tcW w:w="1843" w:type="dxa"/>
            <w:gridSpan w:val="2"/>
            <w:vAlign w:val="center"/>
          </w:tcPr>
          <w:p>
            <w:pP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vAlign w:val="center"/>
          </w:tcPr>
          <w:p>
            <w:pPr>
              <w:jc w:val="cente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门槽</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清除垃圾、杂物</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无灰尘、无垃圾、光亮</w:t>
            </w:r>
          </w:p>
        </w:tc>
        <w:tc>
          <w:tcPr>
            <w:tcW w:w="1132" w:type="dxa"/>
            <w:vAlign w:val="center"/>
          </w:tcPr>
          <w:p>
            <w:pPr>
              <w:rPr>
                <w:rFonts w:ascii="仿宋_GB2312" w:hAnsi="宋体" w:eastAsia="仿宋_GB2312"/>
                <w:spacing w:val="-6"/>
                <w:sz w:val="28"/>
                <w:szCs w:val="28"/>
                <w:lang w:val="zh-CN"/>
              </w:rPr>
            </w:pPr>
          </w:p>
        </w:tc>
        <w:tc>
          <w:tcPr>
            <w:tcW w:w="149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及时清除</w:t>
            </w:r>
          </w:p>
        </w:tc>
        <w:tc>
          <w:tcPr>
            <w:tcW w:w="1540" w:type="dxa"/>
            <w:vAlign w:val="center"/>
          </w:tcPr>
          <w:p>
            <w:pPr>
              <w:rPr>
                <w:rFonts w:ascii="仿宋_GB2312" w:hAnsi="宋体" w:eastAsia="仿宋_GB2312"/>
                <w:spacing w:val="-6"/>
                <w:sz w:val="28"/>
                <w:szCs w:val="28"/>
                <w:lang w:val="zh-CN"/>
              </w:rPr>
            </w:pPr>
          </w:p>
        </w:tc>
        <w:tc>
          <w:tcPr>
            <w:tcW w:w="1843" w:type="dxa"/>
            <w:gridSpan w:val="2"/>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全面清洁一次</w:t>
            </w:r>
          </w:p>
        </w:tc>
        <w:tc>
          <w:tcPr>
            <w:tcW w:w="56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vAlign w:val="center"/>
          </w:tcPr>
          <w:p>
            <w:pPr>
              <w:jc w:val="cente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指示牌和按钮</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无灰尘、无手印</w:t>
            </w:r>
          </w:p>
        </w:tc>
        <w:tc>
          <w:tcPr>
            <w:tcW w:w="1132"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rPr>
                <w:rFonts w:ascii="仿宋_GB2312" w:hAnsi="宋体" w:eastAsia="仿宋_GB2312"/>
                <w:spacing w:val="-6"/>
                <w:sz w:val="28"/>
                <w:szCs w:val="28"/>
                <w:lang w:val="zh-CN"/>
              </w:rPr>
            </w:pPr>
          </w:p>
        </w:tc>
        <w:tc>
          <w:tcPr>
            <w:tcW w:w="1540" w:type="dxa"/>
            <w:vAlign w:val="center"/>
          </w:tcPr>
          <w:p>
            <w:pPr>
              <w:rPr>
                <w:rFonts w:ascii="仿宋_GB2312" w:hAnsi="宋体" w:eastAsia="仿宋_GB2312"/>
                <w:spacing w:val="-6"/>
                <w:sz w:val="28"/>
                <w:szCs w:val="28"/>
                <w:lang w:val="zh-CN"/>
              </w:rPr>
            </w:pPr>
          </w:p>
        </w:tc>
        <w:tc>
          <w:tcPr>
            <w:tcW w:w="1843" w:type="dxa"/>
            <w:gridSpan w:val="2"/>
            <w:vAlign w:val="center"/>
          </w:tcPr>
          <w:p>
            <w:pP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tcBorders>
              <w:bottom w:val="single" w:color="auto" w:sz="4" w:space="0"/>
            </w:tcBorders>
            <w:vAlign w:val="center"/>
          </w:tcPr>
          <w:p>
            <w:pPr>
              <w:jc w:val="center"/>
              <w:rPr>
                <w:rFonts w:ascii="仿宋_GB2312" w:hAnsi="宋体" w:eastAsia="仿宋_GB2312"/>
                <w:spacing w:val="-6"/>
                <w:sz w:val="28"/>
                <w:szCs w:val="28"/>
                <w:lang w:val="zh-CN"/>
              </w:rPr>
            </w:pPr>
          </w:p>
        </w:tc>
        <w:tc>
          <w:tcPr>
            <w:tcW w:w="1916"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灯片和风口</w:t>
            </w:r>
          </w:p>
        </w:tc>
        <w:tc>
          <w:tcPr>
            <w:tcW w:w="2555"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w:t>
            </w:r>
          </w:p>
        </w:tc>
        <w:tc>
          <w:tcPr>
            <w:tcW w:w="1132" w:type="dxa"/>
            <w:tcBorders>
              <w:bottom w:val="single" w:color="auto" w:sz="4" w:space="0"/>
            </w:tcBorders>
            <w:vAlign w:val="center"/>
          </w:tcPr>
          <w:p>
            <w:pPr>
              <w:rPr>
                <w:rFonts w:ascii="仿宋_GB2312" w:hAnsi="宋体" w:eastAsia="仿宋_GB2312"/>
                <w:spacing w:val="-6"/>
                <w:sz w:val="28"/>
                <w:szCs w:val="28"/>
                <w:lang w:val="zh-CN"/>
              </w:rPr>
            </w:pPr>
          </w:p>
        </w:tc>
        <w:tc>
          <w:tcPr>
            <w:tcW w:w="1499" w:type="dxa"/>
            <w:tcBorders>
              <w:bottom w:val="single" w:color="auto" w:sz="4" w:space="0"/>
            </w:tcBorders>
            <w:vAlign w:val="center"/>
          </w:tcPr>
          <w:p>
            <w:pPr>
              <w:rPr>
                <w:rFonts w:ascii="仿宋_GB2312" w:hAnsi="宋体" w:eastAsia="仿宋_GB2312"/>
                <w:spacing w:val="-6"/>
                <w:sz w:val="28"/>
                <w:szCs w:val="28"/>
                <w:lang w:val="zh-CN"/>
              </w:rPr>
            </w:pPr>
          </w:p>
        </w:tc>
        <w:tc>
          <w:tcPr>
            <w:tcW w:w="1540"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清除一次</w:t>
            </w:r>
          </w:p>
        </w:tc>
        <w:tc>
          <w:tcPr>
            <w:tcW w:w="1843" w:type="dxa"/>
            <w:gridSpan w:val="2"/>
            <w:tcBorders>
              <w:bottom w:val="single" w:color="auto" w:sz="4" w:space="0"/>
            </w:tcBorders>
            <w:vAlign w:val="center"/>
          </w:tcPr>
          <w:p>
            <w:pPr>
              <w:rPr>
                <w:rFonts w:ascii="仿宋_GB2312" w:hAnsi="宋体" w:eastAsia="仿宋_GB2312"/>
                <w:spacing w:val="-6"/>
                <w:sz w:val="28"/>
                <w:szCs w:val="28"/>
                <w:lang w:val="zh-CN"/>
              </w:rPr>
            </w:pPr>
          </w:p>
        </w:tc>
        <w:tc>
          <w:tcPr>
            <w:tcW w:w="567"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5" w:hRule="exact"/>
        </w:trPr>
        <w:tc>
          <w:tcPr>
            <w:tcW w:w="946" w:type="dxa"/>
            <w:vMerge w:val="restart"/>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洗手间</w:t>
            </w: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尿斗、坐厕、面盆</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除污垢（用中性药剂）除锈斑、消毒</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无污垢、无积垢、清洁</w:t>
            </w:r>
          </w:p>
        </w:tc>
        <w:tc>
          <w:tcPr>
            <w:tcW w:w="1132"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消毒一次</w:t>
            </w:r>
          </w:p>
        </w:tc>
        <w:tc>
          <w:tcPr>
            <w:tcW w:w="1540" w:type="dxa"/>
            <w:vAlign w:val="center"/>
          </w:tcPr>
          <w:p>
            <w:pPr>
              <w:rPr>
                <w:rFonts w:ascii="仿宋_GB2312" w:hAnsi="宋体" w:eastAsia="仿宋_GB2312"/>
                <w:spacing w:val="-6"/>
                <w:sz w:val="28"/>
                <w:szCs w:val="28"/>
                <w:lang w:val="zh-CN"/>
              </w:rPr>
            </w:pPr>
          </w:p>
        </w:tc>
        <w:tc>
          <w:tcPr>
            <w:tcW w:w="1843" w:type="dxa"/>
            <w:gridSpan w:val="2"/>
            <w:vAlign w:val="center"/>
          </w:tcPr>
          <w:p>
            <w:pP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6" w:hRule="exact"/>
        </w:trPr>
        <w:tc>
          <w:tcPr>
            <w:tcW w:w="946" w:type="dxa"/>
            <w:vMerge w:val="continue"/>
            <w:vAlign w:val="center"/>
          </w:tcPr>
          <w:p>
            <w:pP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隔断</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除尘、除污垢</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无灰尘、无涂画、无污垢</w:t>
            </w:r>
          </w:p>
        </w:tc>
        <w:tc>
          <w:tcPr>
            <w:tcW w:w="113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540" w:type="dxa"/>
            <w:vAlign w:val="center"/>
          </w:tcPr>
          <w:p>
            <w:pPr>
              <w:jc w:val="center"/>
              <w:rPr>
                <w:rFonts w:ascii="仿宋_GB2312" w:hAnsi="宋体" w:eastAsia="仿宋_GB2312"/>
                <w:spacing w:val="-6"/>
                <w:sz w:val="28"/>
                <w:szCs w:val="28"/>
                <w:lang w:val="zh-CN"/>
              </w:rPr>
            </w:pPr>
          </w:p>
        </w:tc>
        <w:tc>
          <w:tcPr>
            <w:tcW w:w="1843" w:type="dxa"/>
            <w:gridSpan w:val="2"/>
            <w:vAlign w:val="center"/>
          </w:tcPr>
          <w:p>
            <w:pPr>
              <w:jc w:val="cente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vAlign w:val="center"/>
          </w:tcPr>
          <w:p>
            <w:pP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水龙头</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抹净</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无水锈、无污渍</w:t>
            </w:r>
          </w:p>
        </w:tc>
        <w:tc>
          <w:tcPr>
            <w:tcW w:w="113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540" w:type="dxa"/>
            <w:vAlign w:val="center"/>
          </w:tcPr>
          <w:p>
            <w:pPr>
              <w:jc w:val="center"/>
              <w:rPr>
                <w:rFonts w:ascii="仿宋_GB2312" w:hAnsi="宋体" w:eastAsia="仿宋_GB2312"/>
                <w:spacing w:val="-6"/>
                <w:sz w:val="28"/>
                <w:szCs w:val="28"/>
                <w:lang w:val="zh-CN"/>
              </w:rPr>
            </w:pPr>
          </w:p>
        </w:tc>
        <w:tc>
          <w:tcPr>
            <w:tcW w:w="1843" w:type="dxa"/>
            <w:gridSpan w:val="2"/>
            <w:vAlign w:val="center"/>
          </w:tcPr>
          <w:p>
            <w:pPr>
              <w:jc w:val="cente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9" w:hRule="exact"/>
        </w:trPr>
        <w:tc>
          <w:tcPr>
            <w:tcW w:w="946" w:type="dxa"/>
            <w:vMerge w:val="continue"/>
            <w:vAlign w:val="center"/>
          </w:tcPr>
          <w:p>
            <w:pP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镜面</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抹净</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无水迹、无污渍、明亮</w:t>
            </w:r>
          </w:p>
        </w:tc>
        <w:tc>
          <w:tcPr>
            <w:tcW w:w="113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540" w:type="dxa"/>
            <w:vAlign w:val="center"/>
          </w:tcPr>
          <w:p>
            <w:pPr>
              <w:jc w:val="center"/>
              <w:rPr>
                <w:rFonts w:ascii="仿宋_GB2312" w:hAnsi="宋体" w:eastAsia="仿宋_GB2312"/>
                <w:spacing w:val="-6"/>
                <w:sz w:val="28"/>
                <w:szCs w:val="28"/>
                <w:lang w:val="zh-CN"/>
              </w:rPr>
            </w:pPr>
          </w:p>
        </w:tc>
        <w:tc>
          <w:tcPr>
            <w:tcW w:w="1843" w:type="dxa"/>
            <w:gridSpan w:val="2"/>
            <w:vAlign w:val="center"/>
          </w:tcPr>
          <w:p>
            <w:pPr>
              <w:jc w:val="center"/>
              <w:rPr>
                <w:rFonts w:ascii="仿宋_GB2312" w:hAnsi="宋体" w:eastAsia="仿宋_GB2312"/>
                <w:spacing w:val="-6"/>
                <w:sz w:val="28"/>
                <w:szCs w:val="28"/>
                <w:lang w:val="zh-CN"/>
              </w:rPr>
            </w:pPr>
          </w:p>
        </w:tc>
        <w:tc>
          <w:tcPr>
            <w:tcW w:w="567"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9" w:hRule="exact"/>
        </w:trPr>
        <w:tc>
          <w:tcPr>
            <w:tcW w:w="946" w:type="dxa"/>
            <w:vMerge w:val="continue"/>
            <w:vAlign w:val="center"/>
          </w:tcPr>
          <w:p>
            <w:pP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地面</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清洗、消毒</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无垃圾、无水迹、无污渍</w:t>
            </w:r>
          </w:p>
        </w:tc>
        <w:tc>
          <w:tcPr>
            <w:tcW w:w="113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540" w:type="dxa"/>
            <w:vAlign w:val="center"/>
          </w:tcPr>
          <w:p>
            <w:pPr>
              <w:jc w:val="center"/>
              <w:rPr>
                <w:rFonts w:ascii="仿宋_GB2312" w:hAnsi="宋体" w:eastAsia="仿宋_GB2312"/>
                <w:spacing w:val="-6"/>
                <w:sz w:val="28"/>
                <w:szCs w:val="28"/>
                <w:lang w:val="zh-CN"/>
              </w:rPr>
            </w:pPr>
          </w:p>
        </w:tc>
        <w:tc>
          <w:tcPr>
            <w:tcW w:w="1843" w:type="dxa"/>
            <w:gridSpan w:val="2"/>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567"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exact"/>
        </w:trPr>
        <w:tc>
          <w:tcPr>
            <w:tcW w:w="946" w:type="dxa"/>
            <w:vMerge w:val="continue"/>
            <w:vAlign w:val="center"/>
          </w:tcPr>
          <w:p>
            <w:pPr>
              <w:rPr>
                <w:rFonts w:ascii="仿宋_GB2312" w:hAnsi="宋体" w:eastAsia="仿宋_GB2312"/>
                <w:spacing w:val="-6"/>
                <w:sz w:val="28"/>
                <w:szCs w:val="28"/>
                <w:lang w:val="zh-CN"/>
              </w:rPr>
            </w:pPr>
          </w:p>
        </w:tc>
        <w:tc>
          <w:tcPr>
            <w:tcW w:w="1916"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墙面</w:t>
            </w:r>
          </w:p>
        </w:tc>
        <w:tc>
          <w:tcPr>
            <w:tcW w:w="2555"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无灰尘、无污渍</w:t>
            </w:r>
          </w:p>
        </w:tc>
        <w:tc>
          <w:tcPr>
            <w:tcW w:w="113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jc w:val="center"/>
              <w:rPr>
                <w:rFonts w:ascii="仿宋_GB2312" w:hAnsi="宋体" w:eastAsia="仿宋_GB2312"/>
                <w:spacing w:val="-6"/>
                <w:sz w:val="28"/>
                <w:szCs w:val="28"/>
                <w:lang w:val="zh-CN"/>
              </w:rPr>
            </w:pPr>
          </w:p>
        </w:tc>
        <w:tc>
          <w:tcPr>
            <w:tcW w:w="1540" w:type="dxa"/>
            <w:vAlign w:val="center"/>
          </w:tcPr>
          <w:p>
            <w:pPr>
              <w:jc w:val="center"/>
              <w:rPr>
                <w:rFonts w:ascii="仿宋_GB2312" w:hAnsi="宋体" w:eastAsia="仿宋_GB2312"/>
                <w:spacing w:val="-6"/>
                <w:sz w:val="28"/>
                <w:szCs w:val="28"/>
                <w:lang w:val="zh-CN"/>
              </w:rPr>
            </w:pPr>
          </w:p>
        </w:tc>
        <w:tc>
          <w:tcPr>
            <w:tcW w:w="1843" w:type="dxa"/>
            <w:gridSpan w:val="2"/>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567" w:type="dxa"/>
            <w:vAlign w:val="center"/>
          </w:tcPr>
          <w:p>
            <w:pPr>
              <w:rPr>
                <w:rFonts w:ascii="仿宋_GB2312" w:hAnsi="宋体" w:eastAsia="仿宋_GB2312"/>
                <w:spacing w:val="-6"/>
                <w:sz w:val="28"/>
                <w:szCs w:val="28"/>
                <w:lang w:val="zh-CN"/>
              </w:rPr>
            </w:pP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gridAfter w:val="2"/>
          <w:wAfter w:w="1735" w:type="dxa"/>
          <w:trHeight w:val="100" w:hRule="atLeast"/>
        </w:trPr>
        <w:tc>
          <w:tcPr>
            <w:tcW w:w="12690" w:type="dxa"/>
            <w:gridSpan w:val="8"/>
          </w:tcPr>
          <w:p>
            <w:pPr>
              <w:rPr>
                <w:rFonts w:ascii="仿宋_GB2312" w:eastAsia="仿宋_GB2312"/>
                <w:color w:val="000000"/>
                <w:sz w:val="28"/>
                <w:szCs w:val="28"/>
              </w:rPr>
            </w:pPr>
          </w:p>
        </w:tc>
      </w:tr>
    </w:tbl>
    <w:p>
      <w:pPr>
        <w:spacing w:line="500" w:lineRule="exact"/>
        <w:ind w:firstLine="560" w:firstLineChars="200"/>
        <w:jc w:val="left"/>
        <w:rPr>
          <w:rFonts w:ascii="仿宋_GB2312" w:hAnsi="宋体" w:eastAsia="仿宋_GB2312"/>
          <w:color w:val="000000"/>
          <w:sz w:val="28"/>
          <w:szCs w:val="28"/>
        </w:rPr>
      </w:pPr>
      <w:r>
        <w:rPr>
          <w:rFonts w:hint="eastAsia" w:ascii="仿宋_GB2312" w:hAnsi="宋体" w:eastAsia="仿宋_GB2312"/>
          <w:color w:val="000000"/>
          <w:sz w:val="28"/>
          <w:szCs w:val="28"/>
        </w:rPr>
        <w:t>保洁频率及标准(4)</w:t>
      </w:r>
    </w:p>
    <w:tbl>
      <w:tblPr>
        <w:tblStyle w:val="69"/>
        <w:tblpPr w:leftFromText="180" w:rightFromText="180" w:vertAnchor="page" w:horzAnchor="margin" w:tblpX="-447" w:tblpY="2161"/>
        <w:tblW w:w="148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2139"/>
        <w:gridCol w:w="2410"/>
        <w:gridCol w:w="2427"/>
        <w:gridCol w:w="1132"/>
        <w:gridCol w:w="1499"/>
        <w:gridCol w:w="1462"/>
        <w:gridCol w:w="1412"/>
        <w:gridCol w:w="14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exact"/>
        </w:trPr>
        <w:tc>
          <w:tcPr>
            <w:tcW w:w="946"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区域</w:t>
            </w:r>
          </w:p>
        </w:tc>
        <w:tc>
          <w:tcPr>
            <w:tcW w:w="2139"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项  目</w:t>
            </w:r>
          </w:p>
        </w:tc>
        <w:tc>
          <w:tcPr>
            <w:tcW w:w="2410"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工作内容</w:t>
            </w:r>
          </w:p>
        </w:tc>
        <w:tc>
          <w:tcPr>
            <w:tcW w:w="2427" w:type="dxa"/>
            <w:vMerge w:val="restart"/>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标  准</w:t>
            </w:r>
          </w:p>
        </w:tc>
        <w:tc>
          <w:tcPr>
            <w:tcW w:w="6928" w:type="dxa"/>
            <w:gridSpan w:val="5"/>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频  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exact"/>
        </w:trPr>
        <w:tc>
          <w:tcPr>
            <w:tcW w:w="946" w:type="dxa"/>
            <w:vMerge w:val="continue"/>
            <w:vAlign w:val="center"/>
          </w:tcPr>
          <w:p>
            <w:pPr>
              <w:jc w:val="center"/>
              <w:rPr>
                <w:rFonts w:ascii="仿宋_GB2312" w:hAnsi="宋体" w:eastAsia="仿宋_GB2312"/>
                <w:b/>
                <w:spacing w:val="-6"/>
                <w:sz w:val="28"/>
                <w:szCs w:val="28"/>
                <w:lang w:val="zh-CN"/>
              </w:rPr>
            </w:pPr>
          </w:p>
        </w:tc>
        <w:tc>
          <w:tcPr>
            <w:tcW w:w="2139" w:type="dxa"/>
            <w:vMerge w:val="continue"/>
            <w:vAlign w:val="center"/>
          </w:tcPr>
          <w:p>
            <w:pPr>
              <w:jc w:val="center"/>
              <w:rPr>
                <w:rFonts w:ascii="仿宋_GB2312" w:hAnsi="宋体" w:eastAsia="仿宋_GB2312"/>
                <w:b/>
                <w:spacing w:val="-6"/>
                <w:sz w:val="28"/>
                <w:szCs w:val="28"/>
                <w:lang w:val="zh-CN"/>
              </w:rPr>
            </w:pPr>
          </w:p>
        </w:tc>
        <w:tc>
          <w:tcPr>
            <w:tcW w:w="2410" w:type="dxa"/>
            <w:vMerge w:val="continue"/>
            <w:vAlign w:val="center"/>
          </w:tcPr>
          <w:p>
            <w:pPr>
              <w:jc w:val="center"/>
              <w:rPr>
                <w:rFonts w:ascii="仿宋_GB2312" w:hAnsi="宋体" w:eastAsia="仿宋_GB2312"/>
                <w:b/>
                <w:spacing w:val="-6"/>
                <w:sz w:val="28"/>
                <w:szCs w:val="28"/>
                <w:lang w:val="zh-CN"/>
              </w:rPr>
            </w:pPr>
          </w:p>
        </w:tc>
        <w:tc>
          <w:tcPr>
            <w:tcW w:w="2427" w:type="dxa"/>
            <w:vMerge w:val="continue"/>
            <w:vAlign w:val="center"/>
          </w:tcPr>
          <w:p>
            <w:pPr>
              <w:jc w:val="center"/>
              <w:rPr>
                <w:rFonts w:ascii="仿宋_GB2312" w:hAnsi="宋体" w:eastAsia="仿宋_GB2312"/>
                <w:b/>
                <w:spacing w:val="-6"/>
                <w:sz w:val="28"/>
                <w:szCs w:val="28"/>
                <w:lang w:val="zh-CN"/>
              </w:rPr>
            </w:pPr>
          </w:p>
        </w:tc>
        <w:tc>
          <w:tcPr>
            <w:tcW w:w="1132"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循环</w:t>
            </w:r>
          </w:p>
        </w:tc>
        <w:tc>
          <w:tcPr>
            <w:tcW w:w="1499"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日</w:t>
            </w:r>
          </w:p>
        </w:tc>
        <w:tc>
          <w:tcPr>
            <w:tcW w:w="1462"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星期</w:t>
            </w:r>
          </w:p>
        </w:tc>
        <w:tc>
          <w:tcPr>
            <w:tcW w:w="1412"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月</w:t>
            </w:r>
          </w:p>
        </w:tc>
        <w:tc>
          <w:tcPr>
            <w:tcW w:w="1423" w:type="dxa"/>
            <w:vAlign w:val="center"/>
          </w:tcPr>
          <w:p>
            <w:pPr>
              <w:jc w:val="center"/>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exact"/>
        </w:trPr>
        <w:tc>
          <w:tcPr>
            <w:tcW w:w="946" w:type="dxa"/>
            <w:vMerge w:val="restart"/>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洗</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手</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间</w:t>
            </w: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灯片、天花及风口</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1132" w:type="dxa"/>
            <w:vAlign w:val="center"/>
          </w:tcPr>
          <w:p>
            <w:pPr>
              <w:spacing w:line="260" w:lineRule="exact"/>
              <w:jc w:val="center"/>
              <w:rPr>
                <w:rFonts w:ascii="仿宋_GB2312" w:hAnsi="宋体" w:eastAsia="仿宋_GB2312"/>
                <w:spacing w:val="-6"/>
                <w:sz w:val="28"/>
                <w:szCs w:val="28"/>
                <w:lang w:val="zh-CN"/>
              </w:rPr>
            </w:pPr>
          </w:p>
        </w:tc>
        <w:tc>
          <w:tcPr>
            <w:tcW w:w="1499" w:type="dxa"/>
            <w:vAlign w:val="center"/>
          </w:tcPr>
          <w:p>
            <w:pPr>
              <w:spacing w:line="260" w:lineRule="exact"/>
              <w:jc w:val="center"/>
              <w:rPr>
                <w:rFonts w:ascii="仿宋_GB2312" w:hAnsi="宋体" w:eastAsia="仿宋_GB2312"/>
                <w:spacing w:val="-6"/>
                <w:sz w:val="28"/>
                <w:szCs w:val="28"/>
                <w:lang w:val="zh-CN"/>
              </w:rPr>
            </w:pPr>
          </w:p>
        </w:tc>
        <w:tc>
          <w:tcPr>
            <w:tcW w:w="1462" w:type="dxa"/>
            <w:vAlign w:val="center"/>
          </w:tcPr>
          <w:p>
            <w:pPr>
              <w:spacing w:line="260" w:lineRule="exact"/>
              <w:jc w:val="center"/>
              <w:rPr>
                <w:rFonts w:ascii="仿宋_GB2312" w:hAnsi="宋体" w:eastAsia="仿宋_GB2312"/>
                <w:spacing w:val="-6"/>
                <w:sz w:val="28"/>
                <w:szCs w:val="28"/>
                <w:lang w:val="zh-CN"/>
              </w:rPr>
            </w:pPr>
          </w:p>
        </w:tc>
        <w:tc>
          <w:tcPr>
            <w:tcW w:w="141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清除一次</w:t>
            </w:r>
          </w:p>
        </w:tc>
        <w:tc>
          <w:tcPr>
            <w:tcW w:w="1423" w:type="dxa"/>
            <w:vAlign w:val="center"/>
          </w:tcPr>
          <w:p>
            <w:pPr>
              <w:spacing w:line="260" w:lineRule="exact"/>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exact"/>
        </w:trPr>
        <w:tc>
          <w:tcPr>
            <w:tcW w:w="946" w:type="dxa"/>
            <w:vMerge w:val="continue"/>
            <w:vAlign w:val="center"/>
          </w:tcPr>
          <w:p>
            <w:pPr>
              <w:jc w:val="center"/>
              <w:rPr>
                <w:rFonts w:ascii="仿宋_GB2312" w:hAnsi="宋体" w:eastAsia="仿宋_GB2312"/>
                <w:spacing w:val="-6"/>
                <w:sz w:val="28"/>
                <w:szCs w:val="28"/>
                <w:lang w:val="zh-CN"/>
              </w:rPr>
            </w:pP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门和门框</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无灰尘、无污渍</w:t>
            </w:r>
          </w:p>
        </w:tc>
        <w:tc>
          <w:tcPr>
            <w:tcW w:w="113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462" w:type="dxa"/>
            <w:vAlign w:val="center"/>
          </w:tcPr>
          <w:p>
            <w:pPr>
              <w:spacing w:line="260" w:lineRule="exact"/>
              <w:jc w:val="center"/>
              <w:rPr>
                <w:rFonts w:ascii="仿宋_GB2312" w:hAnsi="宋体" w:eastAsia="仿宋_GB2312"/>
                <w:spacing w:val="-6"/>
                <w:sz w:val="28"/>
                <w:szCs w:val="28"/>
                <w:lang w:val="zh-CN"/>
              </w:rPr>
            </w:pPr>
          </w:p>
        </w:tc>
        <w:tc>
          <w:tcPr>
            <w:tcW w:w="1412" w:type="dxa"/>
            <w:vAlign w:val="center"/>
          </w:tcPr>
          <w:p>
            <w:pPr>
              <w:spacing w:line="260" w:lineRule="exact"/>
              <w:jc w:val="center"/>
              <w:rPr>
                <w:rFonts w:ascii="仿宋_GB2312" w:hAnsi="宋体" w:eastAsia="仿宋_GB2312"/>
                <w:spacing w:val="-6"/>
                <w:sz w:val="28"/>
                <w:szCs w:val="28"/>
                <w:lang w:val="zh-CN"/>
              </w:rPr>
            </w:pPr>
          </w:p>
        </w:tc>
        <w:tc>
          <w:tcPr>
            <w:tcW w:w="1423" w:type="dxa"/>
            <w:vAlign w:val="center"/>
          </w:tcPr>
          <w:p>
            <w:pPr>
              <w:spacing w:line="260" w:lineRule="exact"/>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946" w:type="dxa"/>
            <w:vMerge w:val="continue"/>
            <w:vAlign w:val="center"/>
          </w:tcPr>
          <w:p>
            <w:pPr>
              <w:jc w:val="center"/>
              <w:rPr>
                <w:rFonts w:ascii="仿宋_GB2312" w:hAnsi="宋体" w:eastAsia="仿宋_GB2312"/>
                <w:spacing w:val="-6"/>
                <w:sz w:val="28"/>
                <w:szCs w:val="28"/>
                <w:lang w:val="zh-CN"/>
              </w:rPr>
            </w:pP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台面</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抹净</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无水迹、无污渍</w:t>
            </w:r>
          </w:p>
        </w:tc>
        <w:tc>
          <w:tcPr>
            <w:tcW w:w="113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w:t>
            </w:r>
          </w:p>
        </w:tc>
        <w:tc>
          <w:tcPr>
            <w:tcW w:w="1499"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462" w:type="dxa"/>
            <w:vAlign w:val="center"/>
          </w:tcPr>
          <w:p>
            <w:pPr>
              <w:spacing w:line="260" w:lineRule="exact"/>
              <w:jc w:val="center"/>
              <w:rPr>
                <w:rFonts w:ascii="仿宋_GB2312" w:hAnsi="宋体" w:eastAsia="仿宋_GB2312"/>
                <w:spacing w:val="-6"/>
                <w:sz w:val="28"/>
                <w:szCs w:val="28"/>
                <w:lang w:val="zh-CN"/>
              </w:rPr>
            </w:pPr>
          </w:p>
        </w:tc>
        <w:tc>
          <w:tcPr>
            <w:tcW w:w="1412" w:type="dxa"/>
            <w:vAlign w:val="center"/>
          </w:tcPr>
          <w:p>
            <w:pPr>
              <w:spacing w:line="260" w:lineRule="exact"/>
              <w:jc w:val="center"/>
              <w:rPr>
                <w:rFonts w:ascii="仿宋_GB2312" w:hAnsi="宋体" w:eastAsia="仿宋_GB2312"/>
                <w:spacing w:val="-6"/>
                <w:sz w:val="28"/>
                <w:szCs w:val="28"/>
                <w:lang w:val="zh-CN"/>
              </w:rPr>
            </w:pPr>
          </w:p>
        </w:tc>
        <w:tc>
          <w:tcPr>
            <w:tcW w:w="1423" w:type="dxa"/>
            <w:vAlign w:val="center"/>
          </w:tcPr>
          <w:p>
            <w:pPr>
              <w:spacing w:line="260" w:lineRule="exact"/>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9" w:hRule="exact"/>
        </w:trPr>
        <w:tc>
          <w:tcPr>
            <w:tcW w:w="946" w:type="dxa"/>
            <w:vMerge w:val="continue"/>
            <w:vAlign w:val="center"/>
          </w:tcPr>
          <w:p>
            <w:pPr>
              <w:jc w:val="center"/>
              <w:rPr>
                <w:rFonts w:ascii="仿宋_GB2312" w:hAnsi="宋体" w:eastAsia="仿宋_GB2312"/>
                <w:spacing w:val="-6"/>
                <w:sz w:val="28"/>
                <w:szCs w:val="28"/>
                <w:lang w:val="zh-CN"/>
              </w:rPr>
            </w:pP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废物箱</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清除垃圾、外表清洁</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无垃圾满溢、无污渍</w:t>
            </w:r>
          </w:p>
        </w:tc>
        <w:tc>
          <w:tcPr>
            <w:tcW w:w="1132" w:type="dxa"/>
            <w:vAlign w:val="center"/>
          </w:tcPr>
          <w:p>
            <w:pPr>
              <w:spacing w:line="260" w:lineRule="exact"/>
              <w:jc w:val="center"/>
              <w:rPr>
                <w:rFonts w:ascii="仿宋_GB2312" w:hAnsi="宋体" w:eastAsia="仿宋_GB2312"/>
                <w:spacing w:val="-6"/>
                <w:sz w:val="28"/>
                <w:szCs w:val="28"/>
                <w:lang w:val="zh-CN"/>
              </w:rPr>
            </w:pPr>
          </w:p>
        </w:tc>
        <w:tc>
          <w:tcPr>
            <w:tcW w:w="1499"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倾倒二次</w:t>
            </w:r>
          </w:p>
        </w:tc>
        <w:tc>
          <w:tcPr>
            <w:tcW w:w="146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1412" w:type="dxa"/>
            <w:vAlign w:val="center"/>
          </w:tcPr>
          <w:p>
            <w:pPr>
              <w:spacing w:line="260" w:lineRule="exact"/>
              <w:jc w:val="center"/>
              <w:rPr>
                <w:rFonts w:ascii="仿宋_GB2312" w:hAnsi="宋体" w:eastAsia="仿宋_GB2312"/>
                <w:spacing w:val="-6"/>
                <w:sz w:val="28"/>
                <w:szCs w:val="28"/>
                <w:lang w:val="zh-CN"/>
              </w:rPr>
            </w:pPr>
          </w:p>
        </w:tc>
        <w:tc>
          <w:tcPr>
            <w:tcW w:w="1423" w:type="dxa"/>
            <w:vAlign w:val="center"/>
          </w:tcPr>
          <w:p>
            <w:pPr>
              <w:spacing w:line="260" w:lineRule="exact"/>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trPr>
        <w:tc>
          <w:tcPr>
            <w:tcW w:w="946" w:type="dxa"/>
            <w:vMerge w:val="continue"/>
            <w:vAlign w:val="center"/>
          </w:tcPr>
          <w:p>
            <w:pPr>
              <w:jc w:val="center"/>
              <w:rPr>
                <w:rFonts w:ascii="仿宋_GB2312" w:hAnsi="宋体" w:eastAsia="仿宋_GB2312"/>
                <w:spacing w:val="-6"/>
                <w:sz w:val="28"/>
                <w:szCs w:val="28"/>
                <w:lang w:val="zh-CN"/>
              </w:rPr>
            </w:pP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玻璃窗</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清洗、除尘</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无灰尘、无水迹</w:t>
            </w:r>
          </w:p>
        </w:tc>
        <w:tc>
          <w:tcPr>
            <w:tcW w:w="1132" w:type="dxa"/>
            <w:vAlign w:val="center"/>
          </w:tcPr>
          <w:p>
            <w:pPr>
              <w:spacing w:line="260" w:lineRule="exact"/>
              <w:jc w:val="center"/>
              <w:rPr>
                <w:rFonts w:ascii="仿宋_GB2312" w:hAnsi="宋体" w:eastAsia="仿宋_GB2312"/>
                <w:spacing w:val="-6"/>
                <w:sz w:val="28"/>
                <w:szCs w:val="28"/>
                <w:lang w:val="zh-CN"/>
              </w:rPr>
            </w:pPr>
          </w:p>
        </w:tc>
        <w:tc>
          <w:tcPr>
            <w:tcW w:w="1499" w:type="dxa"/>
            <w:vAlign w:val="center"/>
          </w:tcPr>
          <w:p>
            <w:pPr>
              <w:spacing w:line="260" w:lineRule="exact"/>
              <w:jc w:val="center"/>
              <w:rPr>
                <w:rFonts w:ascii="仿宋_GB2312" w:hAnsi="宋体" w:eastAsia="仿宋_GB2312"/>
                <w:spacing w:val="-6"/>
                <w:sz w:val="28"/>
                <w:szCs w:val="28"/>
                <w:lang w:val="zh-CN"/>
              </w:rPr>
            </w:pPr>
          </w:p>
        </w:tc>
        <w:tc>
          <w:tcPr>
            <w:tcW w:w="146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1412" w:type="dxa"/>
            <w:vAlign w:val="center"/>
          </w:tcPr>
          <w:p>
            <w:pPr>
              <w:spacing w:line="260" w:lineRule="exact"/>
              <w:jc w:val="center"/>
              <w:rPr>
                <w:rFonts w:ascii="仿宋_GB2312" w:hAnsi="宋体" w:eastAsia="仿宋_GB2312"/>
                <w:spacing w:val="-6"/>
                <w:sz w:val="28"/>
                <w:szCs w:val="28"/>
                <w:lang w:val="zh-CN"/>
              </w:rPr>
            </w:pPr>
          </w:p>
        </w:tc>
        <w:tc>
          <w:tcPr>
            <w:tcW w:w="1423" w:type="dxa"/>
            <w:vAlign w:val="center"/>
          </w:tcPr>
          <w:p>
            <w:pPr>
              <w:spacing w:line="260" w:lineRule="exact"/>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3" w:hRule="exact"/>
        </w:trPr>
        <w:tc>
          <w:tcPr>
            <w:tcW w:w="946" w:type="dxa"/>
            <w:vMerge w:val="continue"/>
            <w:tcBorders>
              <w:bottom w:val="single" w:color="auto" w:sz="4" w:space="0"/>
            </w:tcBorders>
            <w:vAlign w:val="center"/>
          </w:tcPr>
          <w:p>
            <w:pPr>
              <w:jc w:val="center"/>
              <w:rPr>
                <w:rFonts w:ascii="仿宋_GB2312" w:hAnsi="宋体" w:eastAsia="仿宋_GB2312"/>
                <w:spacing w:val="-6"/>
                <w:sz w:val="28"/>
                <w:szCs w:val="28"/>
                <w:lang w:val="zh-CN"/>
              </w:rPr>
            </w:pPr>
          </w:p>
        </w:tc>
        <w:tc>
          <w:tcPr>
            <w:tcW w:w="2139" w:type="dxa"/>
            <w:tcBorders>
              <w:bottom w:val="single" w:color="auto" w:sz="4" w:space="0"/>
            </w:tcBorders>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卷筒纸</w:t>
            </w:r>
          </w:p>
        </w:tc>
        <w:tc>
          <w:tcPr>
            <w:tcW w:w="2410" w:type="dxa"/>
            <w:tcBorders>
              <w:bottom w:val="single" w:color="auto" w:sz="4" w:space="0"/>
            </w:tcBorders>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装添纸</w:t>
            </w:r>
          </w:p>
        </w:tc>
        <w:tc>
          <w:tcPr>
            <w:tcW w:w="2427" w:type="dxa"/>
            <w:tcBorders>
              <w:bottom w:val="single" w:color="auto" w:sz="4" w:space="0"/>
            </w:tcBorders>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无短缺</w:t>
            </w:r>
          </w:p>
        </w:tc>
        <w:tc>
          <w:tcPr>
            <w:tcW w:w="1132" w:type="dxa"/>
            <w:tcBorders>
              <w:bottom w:val="single" w:color="auto" w:sz="4" w:space="0"/>
            </w:tcBorders>
            <w:vAlign w:val="center"/>
          </w:tcPr>
          <w:p>
            <w:pPr>
              <w:spacing w:line="260" w:lineRule="exact"/>
              <w:jc w:val="center"/>
              <w:rPr>
                <w:rFonts w:ascii="仿宋_GB2312" w:hAnsi="宋体" w:eastAsia="仿宋_GB2312"/>
                <w:spacing w:val="-6"/>
                <w:sz w:val="28"/>
                <w:szCs w:val="28"/>
                <w:lang w:val="zh-CN"/>
              </w:rPr>
            </w:pPr>
          </w:p>
        </w:tc>
        <w:tc>
          <w:tcPr>
            <w:tcW w:w="1499" w:type="dxa"/>
            <w:tcBorders>
              <w:bottom w:val="single" w:color="auto" w:sz="4" w:space="0"/>
            </w:tcBorders>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视需要添加</w:t>
            </w:r>
          </w:p>
        </w:tc>
        <w:tc>
          <w:tcPr>
            <w:tcW w:w="1462" w:type="dxa"/>
            <w:tcBorders>
              <w:bottom w:val="single" w:color="auto" w:sz="4" w:space="0"/>
            </w:tcBorders>
            <w:vAlign w:val="center"/>
          </w:tcPr>
          <w:p>
            <w:pPr>
              <w:spacing w:line="260" w:lineRule="exact"/>
              <w:jc w:val="center"/>
              <w:rPr>
                <w:rFonts w:ascii="仿宋_GB2312" w:hAnsi="宋体" w:eastAsia="仿宋_GB2312"/>
                <w:spacing w:val="-6"/>
                <w:sz w:val="28"/>
                <w:szCs w:val="28"/>
                <w:lang w:val="zh-CN"/>
              </w:rPr>
            </w:pPr>
          </w:p>
        </w:tc>
        <w:tc>
          <w:tcPr>
            <w:tcW w:w="1412" w:type="dxa"/>
            <w:tcBorders>
              <w:bottom w:val="single" w:color="auto" w:sz="4" w:space="0"/>
            </w:tcBorders>
            <w:vAlign w:val="center"/>
          </w:tcPr>
          <w:p>
            <w:pPr>
              <w:spacing w:line="260" w:lineRule="exact"/>
              <w:jc w:val="center"/>
              <w:rPr>
                <w:rFonts w:ascii="仿宋_GB2312" w:hAnsi="宋体" w:eastAsia="仿宋_GB2312"/>
                <w:spacing w:val="-6"/>
                <w:sz w:val="28"/>
                <w:szCs w:val="28"/>
                <w:lang w:val="zh-CN"/>
              </w:rPr>
            </w:pPr>
          </w:p>
        </w:tc>
        <w:tc>
          <w:tcPr>
            <w:tcW w:w="1423" w:type="dxa"/>
            <w:tcBorders>
              <w:bottom w:val="single" w:color="auto" w:sz="4" w:space="0"/>
            </w:tcBorders>
            <w:vAlign w:val="center"/>
          </w:tcPr>
          <w:p>
            <w:pPr>
              <w:spacing w:line="260" w:lineRule="exact"/>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9" w:hRule="exact"/>
        </w:trPr>
        <w:tc>
          <w:tcPr>
            <w:tcW w:w="946" w:type="dxa"/>
            <w:vMerge w:val="restart"/>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层面公共</w:t>
            </w: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大理石</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除尘、清洗</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无灰尘、无污渍</w:t>
            </w:r>
          </w:p>
        </w:tc>
        <w:tc>
          <w:tcPr>
            <w:tcW w:w="1132" w:type="dxa"/>
            <w:vAlign w:val="center"/>
          </w:tcPr>
          <w:p>
            <w:pPr>
              <w:spacing w:line="260" w:lineRule="exact"/>
              <w:jc w:val="center"/>
              <w:rPr>
                <w:rFonts w:ascii="仿宋_GB2312" w:hAnsi="宋体" w:eastAsia="仿宋_GB2312"/>
                <w:spacing w:val="-6"/>
                <w:sz w:val="28"/>
                <w:szCs w:val="28"/>
                <w:lang w:val="zh-CN"/>
              </w:rPr>
            </w:pPr>
          </w:p>
        </w:tc>
        <w:tc>
          <w:tcPr>
            <w:tcW w:w="1499"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随时推尘</w:t>
            </w:r>
          </w:p>
        </w:tc>
        <w:tc>
          <w:tcPr>
            <w:tcW w:w="146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抛光二次</w:t>
            </w:r>
          </w:p>
        </w:tc>
        <w:tc>
          <w:tcPr>
            <w:tcW w:w="141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2" w:hRule="exact"/>
        </w:trPr>
        <w:tc>
          <w:tcPr>
            <w:tcW w:w="946" w:type="dxa"/>
            <w:vMerge w:val="continue"/>
            <w:tcBorders>
              <w:bottom w:val="single" w:color="auto" w:sz="8" w:space="0"/>
            </w:tcBorders>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电梯厅地坪</w:t>
            </w:r>
          </w:p>
        </w:tc>
        <w:tc>
          <w:tcPr>
            <w:tcW w:w="2410" w:type="dxa"/>
            <w:vAlign w:val="center"/>
          </w:tcPr>
          <w:p>
            <w:pPr>
              <w:rPr>
                <w:rFonts w:ascii="仿宋_GB2312" w:hAnsi="宋体" w:eastAsia="仿宋_GB2312"/>
                <w:spacing w:val="-6"/>
                <w:sz w:val="28"/>
                <w:szCs w:val="28"/>
                <w:lang w:val="zh-CN"/>
              </w:rPr>
            </w:pPr>
          </w:p>
        </w:tc>
        <w:tc>
          <w:tcPr>
            <w:tcW w:w="2427" w:type="dxa"/>
            <w:vAlign w:val="center"/>
          </w:tcPr>
          <w:p>
            <w:pPr>
              <w:rPr>
                <w:rFonts w:ascii="仿宋_GB2312" w:hAnsi="宋体" w:eastAsia="仿宋_GB2312"/>
                <w:spacing w:val="-6"/>
                <w:sz w:val="28"/>
                <w:szCs w:val="28"/>
                <w:lang w:val="zh-CN"/>
              </w:rPr>
            </w:pP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随时推尘</w:t>
            </w:r>
          </w:p>
        </w:tc>
        <w:tc>
          <w:tcPr>
            <w:tcW w:w="146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抛光二次</w:t>
            </w:r>
          </w:p>
        </w:tc>
        <w:tc>
          <w:tcPr>
            <w:tcW w:w="141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2" w:hRule="exact"/>
        </w:trPr>
        <w:tc>
          <w:tcPr>
            <w:tcW w:w="946" w:type="dxa"/>
            <w:vMerge w:val="restart"/>
            <w:tcBorders>
              <w:top w:val="single" w:color="auto" w:sz="8" w:space="0"/>
            </w:tcBorders>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楼</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梯</w:t>
            </w: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楼级和平台</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清扫垃圾、清洗</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无垃圾、死角、无积灰</w:t>
            </w:r>
          </w:p>
        </w:tc>
        <w:tc>
          <w:tcPr>
            <w:tcW w:w="1132" w:type="dxa"/>
            <w:vAlign w:val="center"/>
          </w:tcPr>
          <w:p>
            <w:pPr>
              <w:spacing w:line="260" w:lineRule="exact"/>
              <w:jc w:val="center"/>
              <w:rPr>
                <w:rFonts w:ascii="仿宋_GB2312" w:hAnsi="宋体" w:eastAsia="仿宋_GB2312"/>
                <w:spacing w:val="-6"/>
                <w:sz w:val="28"/>
                <w:szCs w:val="28"/>
                <w:lang w:val="zh-CN"/>
              </w:rPr>
            </w:pPr>
          </w:p>
        </w:tc>
        <w:tc>
          <w:tcPr>
            <w:tcW w:w="1499"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清扫一次</w:t>
            </w:r>
          </w:p>
        </w:tc>
        <w:tc>
          <w:tcPr>
            <w:tcW w:w="1462" w:type="dxa"/>
            <w:vAlign w:val="center"/>
          </w:tcPr>
          <w:p>
            <w:pPr>
              <w:spacing w:line="260" w:lineRule="exact"/>
              <w:jc w:val="center"/>
              <w:rPr>
                <w:rFonts w:ascii="仿宋_GB2312" w:hAnsi="宋体" w:eastAsia="仿宋_GB2312"/>
                <w:spacing w:val="-6"/>
                <w:sz w:val="28"/>
                <w:szCs w:val="28"/>
                <w:lang w:val="zh-CN"/>
              </w:rPr>
            </w:pPr>
          </w:p>
        </w:tc>
        <w:tc>
          <w:tcPr>
            <w:tcW w:w="141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清洗一次</w:t>
            </w: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4" w:hRule="exact"/>
        </w:trPr>
        <w:tc>
          <w:tcPr>
            <w:tcW w:w="946" w:type="dxa"/>
            <w:vMerge w:val="continue"/>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墙面</w:t>
            </w:r>
          </w:p>
        </w:tc>
        <w:tc>
          <w:tcPr>
            <w:tcW w:w="241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涂料</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无污渍、无蜘蛛网、无灰尘</w:t>
            </w: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p>
        </w:tc>
        <w:tc>
          <w:tcPr>
            <w:tcW w:w="1462" w:type="dxa"/>
            <w:vAlign w:val="center"/>
          </w:tcPr>
          <w:p>
            <w:pPr>
              <w:jc w:val="center"/>
              <w:rPr>
                <w:rFonts w:ascii="仿宋_GB2312" w:hAnsi="宋体" w:eastAsia="仿宋_GB2312"/>
                <w:spacing w:val="-6"/>
                <w:sz w:val="28"/>
                <w:szCs w:val="28"/>
                <w:lang w:val="zh-CN"/>
              </w:rPr>
            </w:pPr>
          </w:p>
        </w:tc>
        <w:tc>
          <w:tcPr>
            <w:tcW w:w="141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掸尘一次</w:t>
            </w: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4" w:hRule="exact"/>
        </w:trPr>
        <w:tc>
          <w:tcPr>
            <w:tcW w:w="946" w:type="dxa"/>
            <w:vMerge w:val="continue"/>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灯具</w:t>
            </w:r>
          </w:p>
        </w:tc>
        <w:tc>
          <w:tcPr>
            <w:tcW w:w="241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w:t>
            </w: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p>
        </w:tc>
        <w:tc>
          <w:tcPr>
            <w:tcW w:w="1462" w:type="dxa"/>
            <w:vAlign w:val="center"/>
          </w:tcPr>
          <w:p>
            <w:pPr>
              <w:jc w:val="center"/>
              <w:rPr>
                <w:rFonts w:ascii="仿宋_GB2312" w:hAnsi="宋体" w:eastAsia="仿宋_GB2312"/>
                <w:spacing w:val="-6"/>
                <w:sz w:val="28"/>
                <w:szCs w:val="28"/>
                <w:lang w:val="zh-CN"/>
              </w:rPr>
            </w:pPr>
          </w:p>
        </w:tc>
        <w:tc>
          <w:tcPr>
            <w:tcW w:w="141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exact"/>
        </w:trPr>
        <w:tc>
          <w:tcPr>
            <w:tcW w:w="946" w:type="dxa"/>
            <w:vMerge w:val="continue"/>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扶手、栏杆</w:t>
            </w:r>
          </w:p>
        </w:tc>
        <w:tc>
          <w:tcPr>
            <w:tcW w:w="241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除尘、抹净</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w:t>
            </w: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随时清抹</w:t>
            </w:r>
          </w:p>
        </w:tc>
        <w:tc>
          <w:tcPr>
            <w:tcW w:w="1462" w:type="dxa"/>
            <w:vAlign w:val="center"/>
          </w:tcPr>
          <w:p>
            <w:pPr>
              <w:jc w:val="center"/>
              <w:rPr>
                <w:rFonts w:ascii="仿宋_GB2312" w:hAnsi="宋体" w:eastAsia="仿宋_GB2312"/>
                <w:spacing w:val="-6"/>
                <w:sz w:val="28"/>
                <w:szCs w:val="28"/>
                <w:lang w:val="zh-CN"/>
              </w:rPr>
            </w:pPr>
          </w:p>
        </w:tc>
        <w:tc>
          <w:tcPr>
            <w:tcW w:w="141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上光保养</w:t>
            </w: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exact"/>
        </w:trPr>
        <w:tc>
          <w:tcPr>
            <w:tcW w:w="946" w:type="dxa"/>
            <w:vMerge w:val="continue"/>
            <w:tcBorders>
              <w:bottom w:val="single" w:color="auto" w:sz="4" w:space="0"/>
            </w:tcBorders>
            <w:vAlign w:val="center"/>
          </w:tcPr>
          <w:p>
            <w:pPr>
              <w:rPr>
                <w:rFonts w:ascii="仿宋_GB2312" w:hAnsi="宋体" w:eastAsia="仿宋_GB2312"/>
                <w:spacing w:val="-6"/>
                <w:sz w:val="28"/>
                <w:szCs w:val="28"/>
                <w:lang w:val="zh-CN"/>
              </w:rPr>
            </w:pPr>
          </w:p>
        </w:tc>
        <w:tc>
          <w:tcPr>
            <w:tcW w:w="2139"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外露管道</w:t>
            </w:r>
          </w:p>
        </w:tc>
        <w:tc>
          <w:tcPr>
            <w:tcW w:w="2410"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tcBorders>
              <w:bottom w:val="single" w:color="auto" w:sz="4" w:space="0"/>
            </w:tcBorders>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1132" w:type="dxa"/>
            <w:tcBorders>
              <w:bottom w:val="single" w:color="auto" w:sz="4" w:space="0"/>
            </w:tcBorders>
            <w:vAlign w:val="center"/>
          </w:tcPr>
          <w:p>
            <w:pPr>
              <w:jc w:val="center"/>
              <w:rPr>
                <w:rFonts w:ascii="仿宋_GB2312" w:hAnsi="宋体" w:eastAsia="仿宋_GB2312"/>
                <w:spacing w:val="-6"/>
                <w:sz w:val="28"/>
                <w:szCs w:val="28"/>
                <w:lang w:val="zh-CN"/>
              </w:rPr>
            </w:pPr>
          </w:p>
        </w:tc>
        <w:tc>
          <w:tcPr>
            <w:tcW w:w="1499" w:type="dxa"/>
            <w:tcBorders>
              <w:bottom w:val="single" w:color="auto" w:sz="4" w:space="0"/>
            </w:tcBorders>
            <w:vAlign w:val="center"/>
          </w:tcPr>
          <w:p>
            <w:pPr>
              <w:jc w:val="center"/>
              <w:rPr>
                <w:rFonts w:ascii="仿宋_GB2312" w:hAnsi="宋体" w:eastAsia="仿宋_GB2312"/>
                <w:spacing w:val="-6"/>
                <w:sz w:val="28"/>
                <w:szCs w:val="28"/>
                <w:lang w:val="zh-CN"/>
              </w:rPr>
            </w:pPr>
          </w:p>
        </w:tc>
        <w:tc>
          <w:tcPr>
            <w:tcW w:w="1462" w:type="dxa"/>
            <w:tcBorders>
              <w:bottom w:val="single" w:color="auto" w:sz="4" w:space="0"/>
            </w:tcBorders>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清除一次</w:t>
            </w:r>
          </w:p>
        </w:tc>
        <w:tc>
          <w:tcPr>
            <w:tcW w:w="1412" w:type="dxa"/>
            <w:tcBorders>
              <w:bottom w:val="single" w:color="auto" w:sz="4" w:space="0"/>
            </w:tcBorders>
            <w:vAlign w:val="center"/>
          </w:tcPr>
          <w:p>
            <w:pPr>
              <w:jc w:val="center"/>
              <w:rPr>
                <w:rFonts w:ascii="仿宋_GB2312" w:hAnsi="宋体" w:eastAsia="仿宋_GB2312"/>
                <w:spacing w:val="-6"/>
                <w:sz w:val="28"/>
                <w:szCs w:val="28"/>
                <w:lang w:val="zh-CN"/>
              </w:rPr>
            </w:pPr>
          </w:p>
        </w:tc>
        <w:tc>
          <w:tcPr>
            <w:tcW w:w="1423" w:type="dxa"/>
            <w:tcBorders>
              <w:bottom w:val="single" w:color="auto" w:sz="4" w:space="0"/>
            </w:tcBorders>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exact"/>
        </w:trPr>
        <w:tc>
          <w:tcPr>
            <w:tcW w:w="946" w:type="dxa"/>
            <w:vMerge w:val="restart"/>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下</w:t>
            </w:r>
          </w:p>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室</w:t>
            </w:r>
          </w:p>
        </w:tc>
        <w:tc>
          <w:tcPr>
            <w:tcW w:w="2139"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地面</w:t>
            </w:r>
          </w:p>
        </w:tc>
        <w:tc>
          <w:tcPr>
            <w:tcW w:w="2410"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清扫、冲洗</w:t>
            </w:r>
          </w:p>
        </w:tc>
        <w:tc>
          <w:tcPr>
            <w:tcW w:w="2427" w:type="dxa"/>
            <w:vAlign w:val="center"/>
          </w:tcPr>
          <w:p>
            <w:pPr>
              <w:spacing w:line="260" w:lineRule="exac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无垃圾、无杂物</w:t>
            </w:r>
          </w:p>
        </w:tc>
        <w:tc>
          <w:tcPr>
            <w:tcW w:w="1132" w:type="dxa"/>
            <w:vAlign w:val="center"/>
          </w:tcPr>
          <w:p>
            <w:pPr>
              <w:spacing w:line="260" w:lineRule="exact"/>
              <w:jc w:val="center"/>
              <w:rPr>
                <w:rFonts w:ascii="仿宋_GB2312" w:hAnsi="宋体" w:eastAsia="仿宋_GB2312"/>
                <w:spacing w:val="-6"/>
                <w:sz w:val="28"/>
                <w:szCs w:val="28"/>
                <w:lang w:val="zh-CN"/>
              </w:rPr>
            </w:pPr>
          </w:p>
        </w:tc>
        <w:tc>
          <w:tcPr>
            <w:tcW w:w="1499"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湿推一次</w:t>
            </w:r>
          </w:p>
        </w:tc>
        <w:tc>
          <w:tcPr>
            <w:tcW w:w="1462" w:type="dxa"/>
            <w:vAlign w:val="center"/>
          </w:tcPr>
          <w:p>
            <w:pPr>
              <w:spacing w:line="260" w:lineRule="exact"/>
              <w:jc w:val="center"/>
              <w:rPr>
                <w:rFonts w:ascii="仿宋_GB2312" w:hAnsi="宋体" w:eastAsia="仿宋_GB2312"/>
                <w:spacing w:val="-6"/>
                <w:sz w:val="28"/>
                <w:szCs w:val="28"/>
                <w:lang w:val="zh-CN"/>
              </w:rPr>
            </w:pPr>
          </w:p>
        </w:tc>
        <w:tc>
          <w:tcPr>
            <w:tcW w:w="1412" w:type="dxa"/>
            <w:vAlign w:val="center"/>
          </w:tcPr>
          <w:p>
            <w:pPr>
              <w:spacing w:line="260" w:lineRule="exact"/>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冲洗一次</w:t>
            </w:r>
          </w:p>
        </w:tc>
        <w:tc>
          <w:tcPr>
            <w:tcW w:w="1423" w:type="dxa"/>
            <w:vAlign w:val="center"/>
          </w:tcPr>
          <w:p>
            <w:pPr>
              <w:spacing w:line="260" w:lineRule="exact"/>
              <w:jc w:val="cente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exact"/>
        </w:trPr>
        <w:tc>
          <w:tcPr>
            <w:tcW w:w="946" w:type="dxa"/>
            <w:vMerge w:val="continue"/>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门窗</w:t>
            </w:r>
          </w:p>
        </w:tc>
        <w:tc>
          <w:tcPr>
            <w:tcW w:w="241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无灰尘、无污渍</w:t>
            </w: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p>
        </w:tc>
        <w:tc>
          <w:tcPr>
            <w:tcW w:w="146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清洁一次</w:t>
            </w:r>
          </w:p>
        </w:tc>
        <w:tc>
          <w:tcPr>
            <w:tcW w:w="1412" w:type="dxa"/>
            <w:vAlign w:val="center"/>
          </w:tcPr>
          <w:p>
            <w:pPr>
              <w:jc w:val="center"/>
              <w:rPr>
                <w:rFonts w:ascii="仿宋_GB2312" w:hAnsi="宋体" w:eastAsia="仿宋_GB2312"/>
                <w:spacing w:val="-6"/>
                <w:sz w:val="28"/>
                <w:szCs w:val="28"/>
                <w:lang w:val="zh-CN"/>
              </w:rPr>
            </w:pP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5" w:hRule="exact"/>
        </w:trPr>
        <w:tc>
          <w:tcPr>
            <w:tcW w:w="946" w:type="dxa"/>
            <w:vMerge w:val="continue"/>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各类消防设施</w:t>
            </w:r>
          </w:p>
        </w:tc>
        <w:tc>
          <w:tcPr>
            <w:tcW w:w="241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除尘</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无积灰</w:t>
            </w: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p>
        </w:tc>
        <w:tc>
          <w:tcPr>
            <w:tcW w:w="146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保洁一次</w:t>
            </w:r>
          </w:p>
        </w:tc>
        <w:tc>
          <w:tcPr>
            <w:tcW w:w="1412" w:type="dxa"/>
            <w:vAlign w:val="center"/>
          </w:tcPr>
          <w:p>
            <w:pPr>
              <w:jc w:val="center"/>
              <w:rPr>
                <w:rFonts w:ascii="仿宋_GB2312" w:hAnsi="宋体" w:eastAsia="仿宋_GB2312"/>
                <w:spacing w:val="-6"/>
                <w:sz w:val="28"/>
                <w:szCs w:val="28"/>
                <w:lang w:val="zh-CN"/>
              </w:rPr>
            </w:pPr>
          </w:p>
        </w:tc>
        <w:tc>
          <w:tcPr>
            <w:tcW w:w="1423" w:type="dxa"/>
            <w:vAlign w:val="center"/>
          </w:tcPr>
          <w:p>
            <w:pPr>
              <w:rPr>
                <w:rFonts w:ascii="仿宋_GB2312" w:hAnsi="宋体" w:eastAsia="仿宋_GB2312"/>
                <w:spacing w:val="-6"/>
                <w:sz w:val="28"/>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exact"/>
        </w:trPr>
        <w:tc>
          <w:tcPr>
            <w:tcW w:w="946" w:type="dxa"/>
            <w:vMerge w:val="continue"/>
            <w:vAlign w:val="center"/>
          </w:tcPr>
          <w:p>
            <w:pPr>
              <w:rPr>
                <w:rFonts w:ascii="仿宋_GB2312" w:hAnsi="宋体" w:eastAsia="仿宋_GB2312"/>
                <w:spacing w:val="-6"/>
                <w:sz w:val="28"/>
                <w:szCs w:val="28"/>
                <w:lang w:val="zh-CN"/>
              </w:rPr>
            </w:pPr>
          </w:p>
        </w:tc>
        <w:tc>
          <w:tcPr>
            <w:tcW w:w="2139"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管道</w:t>
            </w:r>
          </w:p>
        </w:tc>
        <w:tc>
          <w:tcPr>
            <w:tcW w:w="2410"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抹尘</w:t>
            </w:r>
          </w:p>
        </w:tc>
        <w:tc>
          <w:tcPr>
            <w:tcW w:w="2427"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干净、无积尘</w:t>
            </w:r>
          </w:p>
        </w:tc>
        <w:tc>
          <w:tcPr>
            <w:tcW w:w="1132" w:type="dxa"/>
            <w:vAlign w:val="center"/>
          </w:tcPr>
          <w:p>
            <w:pPr>
              <w:jc w:val="center"/>
              <w:rPr>
                <w:rFonts w:ascii="仿宋_GB2312" w:hAnsi="宋体" w:eastAsia="仿宋_GB2312"/>
                <w:spacing w:val="-6"/>
                <w:sz w:val="28"/>
                <w:szCs w:val="28"/>
                <w:lang w:val="zh-CN"/>
              </w:rPr>
            </w:pPr>
          </w:p>
        </w:tc>
        <w:tc>
          <w:tcPr>
            <w:tcW w:w="1499" w:type="dxa"/>
            <w:vAlign w:val="center"/>
          </w:tcPr>
          <w:p>
            <w:pPr>
              <w:jc w:val="center"/>
              <w:rPr>
                <w:rFonts w:ascii="仿宋_GB2312" w:hAnsi="宋体" w:eastAsia="仿宋_GB2312"/>
                <w:spacing w:val="-6"/>
                <w:sz w:val="28"/>
                <w:szCs w:val="28"/>
                <w:lang w:val="zh-CN"/>
              </w:rPr>
            </w:pPr>
          </w:p>
        </w:tc>
        <w:tc>
          <w:tcPr>
            <w:tcW w:w="1462" w:type="dxa"/>
            <w:vAlign w:val="center"/>
          </w:tcPr>
          <w:p>
            <w:pPr>
              <w:jc w:val="center"/>
              <w:rPr>
                <w:rFonts w:ascii="仿宋_GB2312" w:hAnsi="宋体" w:eastAsia="仿宋_GB2312"/>
                <w:spacing w:val="-6"/>
                <w:sz w:val="28"/>
                <w:szCs w:val="28"/>
                <w:lang w:val="zh-CN"/>
              </w:rPr>
            </w:pPr>
          </w:p>
        </w:tc>
        <w:tc>
          <w:tcPr>
            <w:tcW w:w="1412" w:type="dxa"/>
            <w:vAlign w:val="center"/>
          </w:tcPr>
          <w:p>
            <w:pPr>
              <w:jc w:val="cente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掸尘一次</w:t>
            </w:r>
          </w:p>
        </w:tc>
        <w:tc>
          <w:tcPr>
            <w:tcW w:w="1423" w:type="dxa"/>
            <w:vAlign w:val="center"/>
          </w:tcPr>
          <w:p>
            <w:pPr>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清抹一次</w:t>
            </w:r>
          </w:p>
        </w:tc>
      </w:tr>
    </w:tbl>
    <w:p>
      <w:pPr>
        <w:spacing w:line="500" w:lineRule="exact"/>
        <w:ind w:firstLine="536" w:firstLineChars="200"/>
        <w:jc w:val="left"/>
        <w:rPr>
          <w:rFonts w:ascii="仿宋_GB2312" w:hAnsi="宋体" w:eastAsia="仿宋_GB2312"/>
          <w:spacing w:val="-6"/>
          <w:sz w:val="28"/>
          <w:szCs w:val="28"/>
          <w:lang w:val="zh-CN"/>
        </w:rPr>
        <w:sectPr>
          <w:pgSz w:w="16838" w:h="11906" w:orient="landscape"/>
          <w:pgMar w:top="1247" w:right="1418" w:bottom="1247" w:left="1418" w:header="851" w:footer="992" w:gutter="284"/>
          <w:cols w:space="720" w:num="1"/>
        </w:sectPr>
      </w:pP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1、随时清洁、循环清洁，保证区域内无垃圾等目视污物，整体干净明亮。</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2、保洁员在每天下班前半小时对各自承包区域进行自查，发现问题及时处理。</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3、办公区、公共场所的卫生管理、垃圾的收集清运工作，做到日产日清。并针对特殊情况，制定防止交叉感染、消毒隔离制度和工作标准、流程。</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4、保持建筑外观清洁，玻璃幕墙及石材幕墙等外立面根据采购人要求每年清洗1次。清洁打蜡保养所需耗材由中标人自行配备。</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5、各类水箱每季度清洗一次,一般机器表面清洁（有特殊规定的设备除外），消防设施、空调的过滤网际外壳洗尘与保洁。</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6、垃圾清运和化粪池清淤。</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7、建立环境卫生管理制度并认真落实，环卫设备齐备；卫生间洁净无异味；零修合格率100%；保洁人员的响应时限3-5分钟。</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8、对于过道、走廊、办公楼一楼墙面及固定门窗和采购人要求的其他指定地点也必须完全响应，至少不低于每三个月一次的频率进行清洗、打扫。</w:t>
      </w:r>
    </w:p>
    <w:p>
      <w:pPr>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4"/>
          <w:lang w:val="zh-CN"/>
        </w:rPr>
        <w:t>9、使用登高设施，对天花板的进行保洁。</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（二）安保服务（包含门卫、传达、消防、监控和秩序管理等）</w:t>
      </w:r>
    </w:p>
    <w:p>
      <w:pPr>
        <w:autoSpaceDE w:val="0"/>
        <w:autoSpaceDN w:val="0"/>
        <w:adjustRightInd w:val="0"/>
        <w:spacing w:line="500" w:lineRule="exact"/>
        <w:ind w:firstLine="536" w:firstLineChars="200"/>
        <w:jc w:val="left"/>
        <w:rPr>
          <w:rFonts w:ascii="仿宋_GB2312" w:hAnsi="宋体" w:eastAsia="仿宋_GB2312"/>
          <w:b/>
          <w:spacing w:val="-6"/>
          <w:sz w:val="28"/>
          <w:szCs w:val="28"/>
          <w:lang w:val="zh-CN"/>
        </w:rPr>
      </w:pPr>
      <w:r>
        <w:rPr>
          <w:rFonts w:hint="eastAsia" w:ascii="仿宋_GB2312" w:hAnsi="宋体" w:eastAsia="仿宋_GB2312"/>
          <w:spacing w:val="-6"/>
          <w:sz w:val="28"/>
          <w:szCs w:val="28"/>
          <w:lang w:val="zh-CN"/>
        </w:rPr>
        <w:t>▲</w:t>
      </w:r>
      <w:r>
        <w:rPr>
          <w:rFonts w:hint="eastAsia" w:ascii="仿宋_GB2312" w:hAnsi="宋体" w:eastAsia="仿宋_GB2312"/>
          <w:b/>
          <w:spacing w:val="-6"/>
          <w:sz w:val="28"/>
          <w:szCs w:val="28"/>
          <w:lang w:val="zh-CN"/>
        </w:rPr>
        <w:t>男身高要求170cm、女1.60米及以上，学历要求初中及以上，年龄50周岁以下, 其中3名安保人员的年龄在40周岁以下（退伍军人优先），须有5名为女性。</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lang w:val="zh-CN"/>
        </w:rPr>
        <w:t>（1）日常治安管理：值班室24小时值班，法庭安检，门岗工作，审判、办公楼24小时巡逻值班服务，治安管理人员统一制服，工作规范，作风严谨。</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治安管理人员统一制服，工作规范，作风严谨。</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1.1注意自身仪表、仪容形象、精神饱满。</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1.2维护大门秩序，保持道路畅通，做好车辆停放的指挥。</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1.3注意可疑人物携带物品，仔细询问，发现情况及时汇报。</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1.4送发各种报刊杂志，将其及时正确无误地送到发放点。</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1.5认真做好人员、车辆出入登记工作，做好交接工作。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1.6做好传达室卫生工作。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1.7完成委托方交办的其他事务性工作。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（2）巡逻检查（法庭的秩序维护）</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2.1巡逻人员要认真负责，提高警惕，注意发现可疑人员及可疑情况，并制止违反规定的行为。</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2.2发现反常或意外情况，除及时向领导报告外，要采取必要措施以防止火灾事故及破坏行为的发生。</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2.3发现偷盗、闹事、斗殴、凶杀、投毒、爆炸等犯罪分子，要坚决果断地采取措施，力争抓获犯罪分子。</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2.4若发现盗窃、凶案、火灾、投毒、损毁财物，以及一切有现场的案件或时间，要妥善保护好现场、迅速上报并积极协助调查。</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2.5巡逻人员要定时定点查看，对重要部门、要害部们要勤查看，财务室、档案库房、中心机房、配电房、车库食堂等以及无人值班但有可有发生问题的地方应加强巡更，做好巡更记录。节假日、夜间巡逻时，增加巡逻次数，确保在合同期间的治安消防保卫工作不出问题。</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（3）消防及其他职责</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 危及人身安全处设有明显标志和防范措施。</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3.2 保管好消防设施，保证消防系统设施设备齐全、完好无损，可随时起用。</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3.3物业管理人员要掌握消防设施设备的使用方法，并能及时处理各种火灾事故。</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3.4协助法院做好消防工作和明确防火责任人。</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3.5 按照突发火灾的应急方案，设立消防疏散示意图，照明设施及引路标志完好，紧急疏散通道畅通。</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3.6 保证无火警火灾事故。</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 xml:space="preserve">3.7确保消控系统及监控系统的正常工作，熟练操作保消控系统及监控系统，发现问题及时报告业主。     </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3.8 在法院有关部门的领导和业务指导下，建立完善的消防制度和消防工作计划，物业公司要定期组织有关人员进行消防培训。</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3.9 严禁私自乱接乱拉电源线、私装电源插座和未经批准擅自使用自备电器。</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3.10 协助做好一般刑事案件和治安案件的现场保护，积极抢救伤员，及时报告法院值班人员和当地公安***，协助法院和当地***做好调查工作。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3.11 保证无重大刑事案件和灾害事故。</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3.12 因管理不善或工作失职造成案件的，物业公司根据有关规定给予赔偿。</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3.13 协助法院有关部门做好突发事件处理以及涉外安全保卫工作。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3.14 消监控中心（需24小时有人值班）要求配备至少3个固定的值班人员，并且在合同期间监控室人员要求是固定的专职人员，不得随意更换，确需要更换的需及时将更换人员情况告知采购人。</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3.15对突发事件有预警方案、应急处理计划和措施，定期实行突发事件应急演练。</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（三）房屋建筑主体及其一般设施设备运行管理和维护</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物业管理服务人员要经常对大楼的供电供水及排水、消防、空调、公共照明等公用设施进行维护检查，发现问题，及时处理，保证设备完好的运行状态及房屋建筑主体应有的维修管理。物业管理服务人员应定期掌握房屋的基本情况，对大楼的楼面、楼道等房屋要进行经常的维修、养护和管理，使建筑物保持完好、整洁和美观。对房屋装修进行严格的监督管理，使大楼不因装修而影响寿命和危及他人安全。维持大楼价值，创造增值潜力。</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1、工程人员配置</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（1）工程人员配置可采用两种交错、相互支持，一人多用的原则（万能工）来考虑。</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（2）各专业设备定期维保工作都由专业公司负责，日常运行维护由值班人员及运维人员完成。</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2、设备维运要求</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按四星级以上酒店要求服务，提供供配电系统、电梯系统、中央空调系统、直饮水系统、给排水系统、消防系统、污水处理系统等的正常运行和日常小维修。同时要求做到：</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（1）制定各层次、各工种、管理、运维人员的岗位职责。</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（2）制定各种管理制度。</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（3）按照各专业各工种的工作规范、操作规程进行设备运行维护。</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（4）各单项设备设施的维修材料需要向业主方提出申请。</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（5）做好小型维修工作及内墙的局部修补和钢结构的油漆。</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2.1 房屋建筑物本体、共用部位及共用设施设备：</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（1）按规定建立厅内房屋本体及配套设施等的物业管理资料档案，并妥善使用与保管。</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（2）建立房屋本体及配套设施维修养护检查制度，检查记录完整。</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（3）楼内外无违章乱张贴、乱搭建、乱拉管线等现象。</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（4）无擅自改变房屋用途行为。</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（5）办公大楼外观完好、整洁，是建材贴面的，无脱落；是玻璃幕墙的，清洁明亮、无破损；是涂料的，无脱落污渍；室外招牌整洁统一无安全隐患，墙面装饰无破损。</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（6）确保房屋、门窗等共用设施的完好和正常使用；及时完成各项零星维修任务，零修合格率100%。</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（7）确保室外场地、道路等公用设施的完好和正常使用；及时完成各项零星维修任务，零修合格率100%。</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（8）保证公共照明、水电设施、音响系统等公共设施正常运行。公共设施、水电每天检查一遍，发现故障或损坏应在20分钟内到场，一般在1小时内维修完毕。</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2.2 机电设施设备</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（1）综合要求：</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①制定设备安全运行、岗位责任制、定期巡回检查、维护保养、运行记录管理及维修档案等管理制度，并严格执行；</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②配备所需专业技术人员，由专业人员管理（开启、关闭、保洁、维修），严格执行操作规程；</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③设备及机房环境整洁、无杂物、灰尘，无鼠虫害发生，机房环境符合设备要求。</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④保持设备良好，运行正常，合同期限内无重大管理责任事故，无设备运行事故隐患。如发现设备异常或故障，应停止使用以防止故障扩大并立即派人检修至完好为止。</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⑤弱电系统（包括安防报警系统、安防监控系统、BA系统、广播系统、有线电视系统等）的值班、检查、检测和弱电设备的日常维修保养工作。</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（2）供配电系统:</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①保证正常供电，对限电、停电有明确的审批权限并提前48小时通知采购人。</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②制定临时用电管理措施与停电应急处理措施并严格执行。</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③公共照明系统应根据使用日的季节与气候情况掌握提前开启时间，用毕应立即关闭，避免浪费。</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（3）弱电系统:</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①按规定标准工作时间排除故障，保证各弱电系统正常工作；</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②监控系统等智能化设施、设备运行正常，有记录并按规定期限保存。</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（4）消防、给排水系统:</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①建立用水、供水管理制度，积极协助采购人安排合理的用水和节水计划；</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②设备、阀门、管道工作正常，无跑冒滴漏现象；</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③限水、停水按规定时间通知采购人；</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④排水系统通畅，保持室外窨井、下水道的疏通。汛期道路无积水，地下室、车库、设备房无积水和浸泡发生；</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⑤遇有事故，维修人员在规定时间内进行抢修，无大面积跑水、泛水和长时间停水现象；</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⑥应有险情的应急处理措施。</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（5）审判庭、会议室相关系统</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①保持设备良好，运行正常；</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②定期巡回检查，严格执行运行记录管理及维修档案等管理制度。</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2.3 小型维修</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（1）水、电、卫浴设备、门锁维修不过夜；</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（2）遇电路故障，水管爆裂、水龙头漏水、门锁开不了、门窗毁坏及墙面破损，要随叫随修；</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（3）排水管、排污管要保持畅通，如有堵塞应立即疏通，厕所堵塞应当天疏通（需换厕盆的除外）；</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（4）维护维修闭路防盗装置和电铃设施；</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（5）公共照明、水电设施每天检查一遍；</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（6）楼宇内门窗、卫浴设施、内墙面、所有照明设施的检查每季度1次。</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（四）会务服务和接待</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负责办公大楼内会客室、党组会议室、党员活动室、审委会会议室、大会议室等所有会议室的管理和服务，主要完成相关会议室的会场布置、搬运桌椅器材、茶水服务、灯光控制、空调控制、会议室卫生、会议室的设备设施及物品管理等。</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1、按会议和接待的具体情况搞好相应服务，服务人员要提前到场准备会议，布置会场，根据需要做好席签、茶水、毛巾等物品准备，检查灯光、空调温度、音响设备、视频设备等设施设备。</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2、会务服务人员应仪表端庄、举止文明、知晓相关礼仪，并经过专业培训。要注意个人仪表，统一着装，做到文明礼貌；在会场服务时做到“三轻”（即走路轻、说话轻、动作轻）。</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3、根据需要做好会场巡查，及时补充茶水、物品等。</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4、保证会议机密，在会议前要了解该会议的保密程度，以便决定如何参与会议的服务。</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（五）室内植物提供和维护</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提供并负责审判法院大楼的公共区域包括大厅、楼层过道，以及办公室、会议室等区域室内植物的摆放和养护，每月视其生长状况和采购人的要求进行更换，确保所摆放植物的旺盛。</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（六）食堂服务</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负责法院大楼内食堂早、中、晚餐菜肴烧制、不定期客餐包厢服务、食品腌制、服务接待等服务工作以及餐具清洗消毒、食品保存、食堂设施维护等食堂相关工作。</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1、烧制菜肴应符合卫生要求，一周内早餐品种不少于10种、中餐菜品不少于10种。</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2、采购人每季度进行测评，满意率低于80%的，应在一周内更换相应工作服务人员；中标人每半年对食堂厨师进行轮换，以提高和调整菜品质量，确保口味长新。</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3.从业人员严格遵守《食品安全法》，严格按照食品加工操作规程，进行食品的加工、出售、贮存，不违法违规使用食品添加剂。认真做好餐具消毒、食品留样工作。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4.双休日（节假日）值班制及应急需求开餐情况：双休日（节假日）值班制，应供应值班人员用餐。但若有重要或重大或应急需求活动需要，开餐情况以采购人通知为准，供应商必须无条件满足采购人需求。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（七）延伸服务和采购人交办的其他工作</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1、档案管理：有较完善的物业管理档案制度，档案内容至少应包括：物业竣工验收档案；设备管理档案；来访者登记资料档案；日常管理档案。必须保证移交物业档案资料（包括设备维修、改造的档案资料）的完整性。</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2、其他服务：购买物品、工作服装等物资搬运、饮用水调换、突击性劳务等。</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3、采购人交办的其他临时性工作。</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二、机构及人员配置要求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（一）机构要求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1、中标人应根据采购人的具体情况，设置相适应的物业管理服务机构，配备服务人员和服务设施。中标人应在签合同前具备清洁服务、保安服务等范围的经营许可。</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w:t>
      </w:r>
      <w:r>
        <w:rPr>
          <w:rFonts w:hint="eastAsia" w:ascii="仿宋_GB2312" w:hAnsi="宋体" w:eastAsia="仿宋_GB2312" w:cs="宋体"/>
          <w:sz w:val="28"/>
          <w:szCs w:val="28"/>
          <w:lang w:val="zh-CN"/>
        </w:rPr>
        <w:t>物业管理服务机构自备服务过程中涉及的办公用品、专业工具、设备、材料及易耗品（易耗品例如：扫帚、簸箕、垃圾袋、清洁布、洗手液、卫生纸、洗洁精等）。</w:t>
      </w:r>
      <w:r>
        <w:rPr>
          <w:rFonts w:hint="eastAsia" w:ascii="仿宋_GB2312" w:hAnsi="宋体" w:eastAsia="仿宋_GB2312"/>
          <w:spacing w:val="-6"/>
          <w:sz w:val="28"/>
          <w:szCs w:val="28"/>
          <w:lang w:val="zh-CN"/>
        </w:rPr>
        <w:t>投标人应在在投标文件中对此有详细说明。</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（二）人员基本要求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1、管理服务人员在服务过程中应保持良好的精神状态；表情自然、亲切；举止大方、有礼；用语文明、规范；对待来访者主动、热情、耐心、周到并及时为来访者提供服务。</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2、管理服务人员应按规定统一着装、着装整齐清洁，仪表仪容整洁端庄；在指定位置佩戴标志，站姿端正，坐姿稳重，言行规范，服务主动，认真负责。</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3、管理服务人员应及时、认真做好工作日志、交接班记录、账册等记录工作，做到字迹清晰、数据准确。</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管理服务人员应接受过相关专业技能的培训，专业技术、操作人员应取得相应专业技术证书、专业上岗证或职业技能资格证书，掌握物业管理基本法律法规，熟悉采购人的基本情况，能正确使用相关专用设备。</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5、人员安排必须充分满足各岗位和工作量的需要，派驻人员必须身体健康，遵纪守法，品行端正，吃苦耐劳，服从分配，工作勤恳。</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（三）各岗位人员配置具体要求</w:t>
      </w:r>
      <w:r>
        <w:rPr>
          <w:rFonts w:hint="eastAsia" w:ascii="仿宋_GB2312" w:hAnsi="宋体" w:eastAsia="仿宋_GB2312"/>
          <w:b/>
          <w:spacing w:val="-6"/>
          <w:sz w:val="28"/>
          <w:szCs w:val="28"/>
          <w:lang w:val="zh-CN"/>
        </w:rPr>
        <w:t>（表中的人员数量为最低配置）</w:t>
      </w:r>
    </w:p>
    <w:tbl>
      <w:tblPr>
        <w:tblStyle w:val="69"/>
        <w:tblW w:w="9918"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275"/>
        <w:gridCol w:w="1276"/>
        <w:gridCol w:w="3827"/>
        <w:gridCol w:w="2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tcPr>
          <w:p>
            <w:pPr>
              <w:spacing w:line="312" w:lineRule="auto"/>
              <w:jc w:val="center"/>
              <w:rPr>
                <w:rFonts w:cs="宋体" w:asciiTheme="minorEastAsia" w:hAnsiTheme="minorEastAsia" w:eastAsiaTheme="minorEastAsia"/>
                <w:b/>
                <w:sz w:val="24"/>
                <w:szCs w:val="28"/>
              </w:rPr>
            </w:pPr>
            <w:r>
              <w:rPr>
                <w:rFonts w:hint="eastAsia" w:cs="宋体" w:asciiTheme="minorEastAsia" w:hAnsiTheme="minorEastAsia" w:eastAsiaTheme="minorEastAsia"/>
                <w:b/>
                <w:sz w:val="24"/>
                <w:szCs w:val="28"/>
              </w:rPr>
              <w:t>序号</w:t>
            </w:r>
          </w:p>
        </w:tc>
        <w:tc>
          <w:tcPr>
            <w:tcW w:w="1275" w:type="dxa"/>
            <w:tcBorders>
              <w:top w:val="single" w:color="auto" w:sz="4" w:space="0"/>
              <w:left w:val="single" w:color="auto" w:sz="4" w:space="0"/>
              <w:bottom w:val="single" w:color="auto" w:sz="4" w:space="0"/>
              <w:right w:val="single" w:color="auto" w:sz="4" w:space="0"/>
            </w:tcBorders>
          </w:tcPr>
          <w:p>
            <w:pPr>
              <w:spacing w:line="312" w:lineRule="auto"/>
              <w:jc w:val="center"/>
              <w:rPr>
                <w:rFonts w:cs="宋体" w:asciiTheme="minorEastAsia" w:hAnsiTheme="minorEastAsia" w:eastAsiaTheme="minorEastAsia"/>
                <w:b/>
                <w:sz w:val="24"/>
                <w:szCs w:val="28"/>
              </w:rPr>
            </w:pPr>
            <w:r>
              <w:rPr>
                <w:rFonts w:hint="eastAsia" w:cs="宋体" w:asciiTheme="minorEastAsia" w:hAnsiTheme="minorEastAsia" w:eastAsiaTheme="minorEastAsia"/>
                <w:b/>
                <w:sz w:val="24"/>
                <w:szCs w:val="28"/>
              </w:rPr>
              <w:t>岗位</w:t>
            </w:r>
          </w:p>
        </w:tc>
        <w:tc>
          <w:tcPr>
            <w:tcW w:w="1276" w:type="dxa"/>
            <w:tcBorders>
              <w:top w:val="single" w:color="auto" w:sz="4" w:space="0"/>
              <w:left w:val="single" w:color="auto" w:sz="4" w:space="0"/>
              <w:bottom w:val="single" w:color="auto" w:sz="4" w:space="0"/>
              <w:right w:val="single" w:color="auto" w:sz="4" w:space="0"/>
            </w:tcBorders>
          </w:tcPr>
          <w:p>
            <w:pPr>
              <w:spacing w:line="312" w:lineRule="auto"/>
              <w:jc w:val="center"/>
              <w:rPr>
                <w:rFonts w:cs="宋体" w:asciiTheme="minorEastAsia" w:hAnsiTheme="minorEastAsia" w:eastAsiaTheme="minorEastAsia"/>
                <w:b/>
                <w:sz w:val="24"/>
                <w:szCs w:val="28"/>
              </w:rPr>
            </w:pPr>
            <w:r>
              <w:rPr>
                <w:rFonts w:hint="eastAsia" w:cs="宋体" w:asciiTheme="minorEastAsia" w:hAnsiTheme="minorEastAsia" w:eastAsiaTheme="minorEastAsia"/>
                <w:b/>
                <w:sz w:val="24"/>
                <w:szCs w:val="28"/>
              </w:rPr>
              <w:t>人员数量</w:t>
            </w:r>
          </w:p>
        </w:tc>
        <w:tc>
          <w:tcPr>
            <w:tcW w:w="3827" w:type="dxa"/>
            <w:tcBorders>
              <w:top w:val="single" w:color="auto" w:sz="4" w:space="0"/>
              <w:left w:val="single" w:color="auto" w:sz="4" w:space="0"/>
              <w:bottom w:val="single" w:color="auto" w:sz="4" w:space="0"/>
              <w:right w:val="single" w:color="auto" w:sz="4" w:space="0"/>
            </w:tcBorders>
          </w:tcPr>
          <w:p>
            <w:pPr>
              <w:spacing w:line="312" w:lineRule="auto"/>
              <w:jc w:val="center"/>
              <w:rPr>
                <w:rFonts w:cs="宋体" w:asciiTheme="minorEastAsia" w:hAnsiTheme="minorEastAsia" w:eastAsiaTheme="minorEastAsia"/>
                <w:b/>
                <w:sz w:val="24"/>
                <w:szCs w:val="28"/>
              </w:rPr>
            </w:pPr>
            <w:r>
              <w:rPr>
                <w:rFonts w:hint="eastAsia" w:cs="宋体" w:asciiTheme="minorEastAsia" w:hAnsiTheme="minorEastAsia" w:eastAsiaTheme="minorEastAsia"/>
                <w:b/>
                <w:sz w:val="24"/>
                <w:szCs w:val="28"/>
              </w:rPr>
              <w:t>具体要求</w:t>
            </w:r>
          </w:p>
        </w:tc>
        <w:tc>
          <w:tcPr>
            <w:tcW w:w="2688" w:type="dxa"/>
            <w:tcBorders>
              <w:top w:val="single" w:color="auto" w:sz="4" w:space="0"/>
              <w:left w:val="single" w:color="auto" w:sz="4" w:space="0"/>
              <w:bottom w:val="single" w:color="auto" w:sz="4" w:space="0"/>
              <w:right w:val="single" w:color="auto" w:sz="4" w:space="0"/>
            </w:tcBorders>
          </w:tcPr>
          <w:p>
            <w:pPr>
              <w:spacing w:line="312" w:lineRule="auto"/>
              <w:jc w:val="center"/>
              <w:rPr>
                <w:rFonts w:cs="宋体" w:asciiTheme="minorEastAsia" w:hAnsiTheme="minorEastAsia" w:eastAsiaTheme="minorEastAsia"/>
                <w:b/>
                <w:sz w:val="24"/>
                <w:szCs w:val="28"/>
              </w:rPr>
            </w:pPr>
            <w:r>
              <w:rPr>
                <w:rFonts w:hint="eastAsia" w:cs="宋体" w:asciiTheme="minorEastAsia" w:hAnsiTheme="minorEastAsia" w:eastAsiaTheme="minorEastAsia"/>
                <w:b/>
                <w:sz w:val="24"/>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项目经理</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1名</w:t>
            </w:r>
          </w:p>
        </w:tc>
        <w:tc>
          <w:tcPr>
            <w:tcW w:w="3827" w:type="dxa"/>
            <w:tcBorders>
              <w:top w:val="single" w:color="auto" w:sz="4" w:space="0"/>
              <w:left w:val="single" w:color="auto" w:sz="4" w:space="0"/>
              <w:bottom w:val="single" w:color="auto" w:sz="4" w:space="0"/>
              <w:right w:val="single" w:color="auto" w:sz="4" w:space="0"/>
            </w:tcBorders>
            <w:vAlign w:val="center"/>
          </w:tcPr>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1.具有大专及以上学历；</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2.2年以上物业管理经验；</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3.未在其它物业管理项目中工作；</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4.具有一定的协调管理及沟通能力。</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5.年龄40周岁以下。</w:t>
            </w:r>
          </w:p>
        </w:tc>
        <w:tc>
          <w:tcPr>
            <w:tcW w:w="26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全面负责本项目服务外包、卫生保洁、安全管理（秩序维护）、设备日常维护等管理工作，组织协调各岗位工作，确保服务及各岗位顺利开展。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领班</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1名</w:t>
            </w:r>
          </w:p>
        </w:tc>
        <w:tc>
          <w:tcPr>
            <w:tcW w:w="3827" w:type="dxa"/>
            <w:tcBorders>
              <w:top w:val="single" w:color="auto" w:sz="4" w:space="0"/>
              <w:left w:val="single" w:color="auto" w:sz="4" w:space="0"/>
              <w:bottom w:val="single" w:color="auto" w:sz="4" w:space="0"/>
              <w:right w:val="single" w:color="auto" w:sz="4" w:space="0"/>
            </w:tcBorders>
            <w:vAlign w:val="center"/>
          </w:tcPr>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1.具有大专及以上学历；</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2.2年以上物业管理经验；</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3.具有一定的协调管理及沟通能力。</w:t>
            </w:r>
          </w:p>
          <w:p>
            <w:pPr>
              <w:pStyle w:val="215"/>
              <w:autoSpaceDE w:val="0"/>
              <w:autoSpaceDN w:val="0"/>
              <w:adjustRightInd w:val="0"/>
              <w:spacing w:line="320" w:lineRule="exact"/>
              <w:ind w:firstLine="0" w:firstLineChars="0"/>
              <w:jc w:val="left"/>
              <w:rPr>
                <w:rFonts w:ascii="仿宋_GB2312" w:hAnsi="宋体"/>
                <w:spacing w:val="-6"/>
                <w:sz w:val="24"/>
                <w:szCs w:val="28"/>
                <w:lang w:val="zh-CN"/>
              </w:rPr>
            </w:pPr>
            <w:r>
              <w:rPr>
                <w:rFonts w:hint="eastAsia" w:ascii="仿宋_GB2312" w:hAnsi="宋体"/>
                <w:spacing w:val="-6"/>
                <w:sz w:val="24"/>
                <w:szCs w:val="28"/>
                <w:lang w:val="zh-CN"/>
              </w:rPr>
              <w:t>4.年龄40周岁以下。</w:t>
            </w:r>
          </w:p>
        </w:tc>
        <w:tc>
          <w:tcPr>
            <w:tcW w:w="26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工作认真负责，责任心强，办事有条理；有一定写作能力，工作严谨认真；有一定组织协调能力，具有团队精神和协作意识。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保洁人员</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8名</w:t>
            </w:r>
          </w:p>
        </w:tc>
        <w:tc>
          <w:tcPr>
            <w:tcW w:w="382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1.性别女；</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2.年龄50周岁以下；</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3.要求懂基本保洁器械的使用和保养；</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4.至少有二年相关工作经验。</w:t>
            </w:r>
          </w:p>
        </w:tc>
        <w:tc>
          <w:tcPr>
            <w:tcW w:w="26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其中一名保洁为保洁领班，负责保洁人员的日常管理、工作分配等。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4</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会务及讲解员</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2名</w:t>
            </w:r>
          </w:p>
        </w:tc>
        <w:tc>
          <w:tcPr>
            <w:tcW w:w="382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1.性别女；</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2.年龄35周岁以下；</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3.经过相关业务培训，仪表端庄，具有基本的接待礼仪专业知识；</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4.至少有二年相关工作经验。</w:t>
            </w:r>
          </w:p>
        </w:tc>
        <w:tc>
          <w:tcPr>
            <w:tcW w:w="26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身高：1.60米以上；形体无明显缺陷，外貌端正。身体健康，体检合格，责任心强，组织、协助和决策能力强；具有团队精神和协作意识。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5</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保安</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17名（女保安5名）</w:t>
            </w:r>
          </w:p>
        </w:tc>
        <w:tc>
          <w:tcPr>
            <w:tcW w:w="382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1.初中及以上学历；</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2.年龄50周岁以下；</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3.须经过专业培训并取得保安员证</w:t>
            </w:r>
            <w:r>
              <w:rPr>
                <w:rFonts w:hint="eastAsia" w:ascii="仿宋_GB2312" w:hAnsi="宋体" w:eastAsia="仿宋_GB2312"/>
                <w:b/>
                <w:spacing w:val="-6"/>
                <w:sz w:val="24"/>
                <w:szCs w:val="28"/>
                <w:lang w:val="zh-CN"/>
              </w:rPr>
              <w:t>（其中至少有3名持证的消监控员，同时负责消防维保工作）</w:t>
            </w:r>
            <w:r>
              <w:rPr>
                <w:rFonts w:hint="eastAsia" w:ascii="仿宋_GB2312" w:hAnsi="宋体" w:eastAsia="仿宋_GB2312"/>
                <w:spacing w:val="-6"/>
                <w:sz w:val="24"/>
                <w:szCs w:val="28"/>
                <w:lang w:val="zh-CN"/>
              </w:rPr>
              <w:t>；</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4.没有任何违法犯罪记录，无参加非法组织、邪教等记录；</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5.每年培训不少于一周。</w:t>
            </w:r>
          </w:p>
        </w:tc>
        <w:tc>
          <w:tcPr>
            <w:tcW w:w="26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院大楼7名（女1名），杜泽法庭、廿里法庭各3名（分别为男2名女1名），大洲法庭、高家法庭各2名（分别为男1名女1名）。</w:t>
            </w:r>
          </w:p>
          <w:p>
            <w:pPr>
              <w:autoSpaceDE w:val="0"/>
              <w:autoSpaceDN w:val="0"/>
              <w:adjustRightInd w:val="0"/>
              <w:spacing w:line="320" w:lineRule="exact"/>
              <w:jc w:val="left"/>
              <w:rPr>
                <w:rFonts w:ascii="仿宋_GB2312" w:hAnsi="宋体" w:eastAsia="仿宋_GB2312"/>
                <w:spacing w:val="-6"/>
                <w:sz w:val="24"/>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6</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维修电工</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1名</w:t>
            </w:r>
          </w:p>
        </w:tc>
        <w:tc>
          <w:tcPr>
            <w:tcW w:w="382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1.具有电工证；</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2.具备丰富的相关行业从业经验，能熟练从事水电管理工作，保障各项相关设施能够正常的运行，保障供水供电安全通畅。</w:t>
            </w:r>
          </w:p>
        </w:tc>
        <w:tc>
          <w:tcPr>
            <w:tcW w:w="26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7</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食堂服务人员</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7名</w:t>
            </w:r>
          </w:p>
        </w:tc>
        <w:tc>
          <w:tcPr>
            <w:tcW w:w="382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1.主厨有5年以上从业经验；需具备高级及以上厨师证；</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2.面点师能熟练烹制本地传统小吃，能适当制作西式糕点；需具备高级及以上面点师证；</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3.须取得健康证。</w:t>
            </w:r>
          </w:p>
        </w:tc>
        <w:tc>
          <w:tcPr>
            <w:tcW w:w="26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其中主厨1名、面点师1名、帮厨1人以及洗杂4名。</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2.另需提供接待服务，人员可由会务前台服务人员兼任。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8</w:t>
            </w: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炊事员兼保洁</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2名</w:t>
            </w:r>
          </w:p>
        </w:tc>
        <w:tc>
          <w:tcPr>
            <w:tcW w:w="3827" w:type="dxa"/>
            <w:tcBorders>
              <w:top w:val="single" w:color="auto" w:sz="4" w:space="0"/>
              <w:left w:val="single" w:color="auto" w:sz="4" w:space="0"/>
              <w:bottom w:val="single" w:color="auto" w:sz="4" w:space="0"/>
              <w:right w:val="single" w:color="auto" w:sz="4" w:space="0"/>
            </w:tcBorders>
          </w:tcPr>
          <w:p>
            <w:pPr>
              <w:numPr>
                <w:ilvl w:val="0"/>
                <w:numId w:val="23"/>
              </w:num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年龄50周岁以下；              2.取得健康证；</w:t>
            </w:r>
          </w:p>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3.具有三年以上从业经验。</w:t>
            </w:r>
          </w:p>
        </w:tc>
        <w:tc>
          <w:tcPr>
            <w:tcW w:w="26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杜泽法庭、廿里法庭各1名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trPr>
        <w:tc>
          <w:tcPr>
            <w:tcW w:w="852"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ind w:firstLine="456" w:firstLineChars="200"/>
              <w:jc w:val="left"/>
              <w:rPr>
                <w:rFonts w:ascii="仿宋_GB2312" w:hAnsi="宋体" w:eastAsia="仿宋_GB2312"/>
                <w:spacing w:val="-6"/>
                <w:sz w:val="24"/>
                <w:szCs w:val="28"/>
                <w:lang w:val="zh-CN"/>
              </w:rPr>
            </w:pPr>
          </w:p>
        </w:tc>
        <w:tc>
          <w:tcPr>
            <w:tcW w:w="127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合计</w:t>
            </w:r>
          </w:p>
        </w:tc>
        <w:tc>
          <w:tcPr>
            <w:tcW w:w="127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r>
              <w:rPr>
                <w:rFonts w:hint="eastAsia" w:ascii="仿宋_GB2312" w:hAnsi="宋体" w:eastAsia="仿宋_GB2312"/>
                <w:spacing w:val="-6"/>
                <w:sz w:val="24"/>
                <w:szCs w:val="28"/>
                <w:lang w:val="zh-CN"/>
              </w:rPr>
              <w:t>39人</w:t>
            </w:r>
          </w:p>
        </w:tc>
        <w:tc>
          <w:tcPr>
            <w:tcW w:w="382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20" w:lineRule="exact"/>
              <w:jc w:val="left"/>
              <w:rPr>
                <w:rFonts w:ascii="仿宋_GB2312" w:hAnsi="宋体" w:eastAsia="仿宋_GB2312"/>
                <w:spacing w:val="-6"/>
                <w:sz w:val="24"/>
                <w:szCs w:val="28"/>
                <w:lang w:val="zh-CN"/>
              </w:rPr>
            </w:pPr>
          </w:p>
        </w:tc>
        <w:tc>
          <w:tcPr>
            <w:tcW w:w="268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320" w:lineRule="exact"/>
              <w:jc w:val="left"/>
              <w:rPr>
                <w:rFonts w:ascii="仿宋_GB2312" w:hAnsi="宋体" w:eastAsia="仿宋_GB2312"/>
                <w:spacing w:val="-6"/>
                <w:sz w:val="24"/>
                <w:szCs w:val="28"/>
                <w:lang w:val="zh-CN"/>
              </w:rPr>
            </w:pPr>
          </w:p>
        </w:tc>
      </w:tr>
    </w:tbl>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三、日常管理服务要求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1.以设备维护、环境卫生、协调服务为主要管理内容。物业管理服务机构宜从实际出发，充分考虑制定合适、有效的节约能源方案，并付诸实施。</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2.投标人按照管理内容编制检查表，定期进行检查，发现问题及时整改。</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 采购人对中标人各工作岗位的服务质量随时进行抽查。发现问题，及时书面通知整改。</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 采购人定期向机关人员发给“服务意见征询书”，根据反馈意见书进行统计，进行结合评分。</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5.采购人根据综合评分酌情进行物业管理费的支付。</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6、除中标人对服务人员的培训外，需接受采购人对服务人员的集中进行培训。</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7.加强能源管理，中标人每月编制书面月度能耗分析报告。</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8.所有岗位建立岗位责任与运作程序、工作质量标准。</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9.中标人建立各类应急预案（如消防、抗台等），并培训相关人员达到相关要求。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10.重大接待任务必须事先制订周密的接待工作计划，并严格按照计划实施。</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11.保密规定：投标人应当对涉及采购人的信息严格保密，特定人员（如项目经理等）须签订保密协议，未经采购人许可，不得将信息泄露给第三方。否则，采购人有保留追究法律责任的权利。</w:t>
      </w: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四、物业管理目标</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1.投标人根据标的范围和内容，逐条分别确定拟达到的服务质量、目标及服务响应时间，具体内容和量化指标由投标人按项目自行编制。</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2.具体分项指标：</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（1）各项物品、环境以及服务体现绿色环保要求；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（2）设备完好、整洁、无污损，完好率、合格率均达到98%以上；垃圾日产日清，清运及时率100%；</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（3）有效投诉办结率99%以上；</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（4）服从采购人工作安排，人员工作效率高，能及时反馈处理当事人的投诉和意见；</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（5）服务及时、到位，以人为本，凸显人性化服务，服务态度好；</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（6）安全保障稳妥、及时、有力，无重大事故发生。</w:t>
      </w: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五、服务质量要求</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1.各投标人需本着对企业品牌的延伸，以社会化效益为重的原则进行投标。</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2.各投标人须在对现场、周边环境全面了解的情况下编制科学合理、切实可行的组织实施计划以及具体的保障措施、工作程序。</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3.服务质量标准要求按三星级宾馆标准订立服务规程。投标人应制订具体的质量保证措施及质量保证和相关服务承诺。如因质量未达到目标，投标人应因此承担责任和经济赔偿。</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4.服务区内垃圾用袋装收集，存放在指定地点。清卫、保洁及生活服务的工作质量按国家卫生城市管理的有关标准严格验收。</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5.投标人须按现代企业制度运行，发挥自身优势，以热心、爱心、专心的贴心服务，为法院后勤社会化提供全方位、一体化的专业服务保障。确保法院正常运转，各项重大活动顺利完成。</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6.采购人有权在需要时相关人员做集中调配并以调休、补休等方式进行补偿。此方式投标人必须认可。</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7.中标人达不到采购人要求及中标人各项服务承诺，采购人有权要求其整改，直至扣款或终止合同。</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8.中标人所有工作除应按中标人的内部流程实施外还应接受采购人或第三方的检查。</w:t>
      </w:r>
    </w:p>
    <w:p>
      <w:pPr>
        <w:autoSpaceDE w:val="0"/>
        <w:autoSpaceDN w:val="0"/>
        <w:adjustRightInd w:val="0"/>
        <w:spacing w:line="500" w:lineRule="exact"/>
        <w:ind w:firstLine="538" w:firstLineChars="200"/>
        <w:jc w:val="left"/>
        <w:rPr>
          <w:rFonts w:ascii="仿宋_GB2312" w:hAnsi="宋体" w:eastAsia="仿宋_GB2312"/>
          <w:spacing w:val="-6"/>
          <w:sz w:val="28"/>
          <w:szCs w:val="28"/>
          <w:lang w:val="zh-CN"/>
        </w:rPr>
      </w:pPr>
      <w:r>
        <w:rPr>
          <w:rFonts w:hint="eastAsia" w:ascii="仿宋_GB2312" w:hAnsi="宋体" w:eastAsia="仿宋_GB2312"/>
          <w:b/>
          <w:spacing w:val="-6"/>
          <w:sz w:val="28"/>
          <w:szCs w:val="28"/>
          <w:lang w:val="zh-CN"/>
        </w:rPr>
        <w:t>六、服务期限</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合同期限贰年，以供应商实际进驻服务时间起算，供应商应在合同签订后10个工作日内按中标承诺进场提供服务，若供应商未按约定时间进场服务，逾期每推迟一天，扣中标价 0.1%的滞纳金给采购人。如在2年服务期内供应商能严格履行合同，并通过采购人的考核，并经采购监管部门同意可以续签，但有效期最长不超过12个月。如中标人在服务期内违反合同约定，两次考核不合格，采购人有权提前终止合同。</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七、采购人提供的相关场地</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（一）采购人提供物业管理必要的办公场地，但办公用品（指办公桌、电脑、打印机、文件柜等自身使用的办公用品）由中标人自行解决。</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（二）采购人提供的相关房间：</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1.办公楼中物业项目经理办公室1间。</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2.根据需要在适当的楼层配备洁具堆放间，其它房间（如工程管理需要的应急备件仓库、设备工具间、工程值班室、保洁仓库、保洁工作间、员工更衣室、会议工作间），进场后视情况协调解决。</w:t>
      </w: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八、其他</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lang w:val="zh-CN"/>
        </w:rPr>
        <w:t>1.投标人应考虑企业自身实力、经验及项目实施过程中的各种因素，根据采购要求，详细说明所能提供的各项具体服务内容，自主确定投标报价（按年度进行报价），实行总价包干，并按服务的内容分别独立报价。报价包含；所需员工的培训、工资、福利、奖金、人社局规定的五险、人身意外保险、服装、伙食费、住宿费、交通费、考核金、管理费及税金等所有可能涉及的税费。</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rPr>
        <w:t>2.中标人应按要求和事项发生量及时配备足够和胜任的相关管理和服务人员，并保持人员的稳定。遇调动或辞职时，项目主管、工程人员、厨师提前 15 天、保安提前10 天、保洁提前 7 天告知采购人并得到同意后才能更换，按要求及时补充相应人员，提前做好交接班。对采购人认为无能力、工作失职或不合适人员，应立即更换。岗位人数不足时，按相应岗位成本扣除服务费。</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3.除招标文件特殊说明外，投标人报价应包括为完成本项目服务可能发生的全部费用及中标人的利润和应交纳的税金等（包括人员工资、各种社会保险、人员食宿与交通费用、卫生纸、盒装纸巾、洗手液、擦手纸、垃圾袋、扫帚、拖把、水桶、抹布、手套等专用设备及工具、器材、耗材、办公费等）。投标人对合同内容的费用、质量、安全、文明服务等实行全面承包。</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4.中标人所需的各种设备、设施、工具均由中标人提供并承担相关维护费用。</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5.采购人不定期进行抽查及收集意见反馈表的统计结果进行综合评分并执行奖惩规定。具体为一次综合评分满意率低于70%的，扣除当月服务费用的10%；连续二次满意率低于70%的，扣除当月服务费用的20%，并对中标人进行劝退；连续三次满意底低于70%的，终止合同；满意率在70%（含）以上，按正常费用支付；</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6. 采购人提供中标人的物业管理用房，不提供中标人物业管理人员的住宿用房。</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7.委托管理期限：自合同签订生效之日起贰年。</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8.服务期内，承包人当年发放的人员最低工资、社保必须高于等于衢州市政府部门当年发布的最低工资、社保标准，合同总价在服务期内不予调整。</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lang w:val="zh-CN"/>
        </w:rPr>
        <w:t>9.本合同终止时，中标人必须向采购人移交全部管理用房及物业管理的全部档案资料，确保移交的资料和设备、设施完好无缺。</w:t>
      </w:r>
    </w:p>
    <w:p>
      <w:pPr>
        <w:autoSpaceDE w:val="0"/>
        <w:autoSpaceDN w:val="0"/>
        <w:adjustRightInd w:val="0"/>
        <w:spacing w:line="500" w:lineRule="exact"/>
        <w:ind w:firstLine="538" w:firstLineChars="200"/>
        <w:jc w:val="left"/>
        <w:rPr>
          <w:rFonts w:ascii="仿宋_GB2312" w:hAnsi="宋体" w:eastAsia="仿宋_GB2312"/>
          <w:b/>
          <w:spacing w:val="-6"/>
          <w:sz w:val="28"/>
          <w:szCs w:val="28"/>
          <w:lang w:val="zh-CN"/>
        </w:rPr>
      </w:pPr>
      <w:r>
        <w:rPr>
          <w:rFonts w:hint="eastAsia" w:ascii="仿宋_GB2312" w:hAnsi="宋体" w:eastAsia="仿宋_GB2312"/>
          <w:b/>
          <w:spacing w:val="-6"/>
          <w:sz w:val="28"/>
          <w:szCs w:val="28"/>
          <w:lang w:val="zh-CN"/>
        </w:rPr>
        <w:t>九、检查与考核</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一）中标人应制订具体的质量保证措施及质量保证和相关服务承诺。中标人所有的工作除应按其内部流程实施外，还应接受采购人或第三方的随时检查。如因质量未达到目标，采购人有权要求其整改，同时中标人应承担责任和经济赔偿（扣款或终止合同）。</w:t>
      </w:r>
    </w:p>
    <w:p>
      <w:pPr>
        <w:autoSpaceDE w:val="0"/>
        <w:autoSpaceDN w:val="0"/>
        <w:adjustRightInd w:val="0"/>
        <w:spacing w:line="500" w:lineRule="exact"/>
        <w:ind w:firstLine="536" w:firstLineChars="200"/>
        <w:jc w:val="left"/>
        <w:rPr>
          <w:rFonts w:ascii="仿宋_GB2312" w:hAnsi="宋体" w:eastAsia="仿宋_GB2312" w:cs="宋体"/>
          <w:b/>
          <w:sz w:val="32"/>
          <w:szCs w:val="32"/>
        </w:rPr>
      </w:pPr>
      <w:r>
        <w:rPr>
          <w:rFonts w:hint="eastAsia" w:ascii="仿宋_GB2312" w:hAnsi="宋体" w:eastAsia="仿宋_GB2312"/>
          <w:spacing w:val="-6"/>
          <w:sz w:val="28"/>
          <w:szCs w:val="28"/>
          <w:lang w:val="zh-CN"/>
        </w:rPr>
        <w:t>（二）中标人在签订合同并正式开始物业服务后一个月内，向采购人提供物业服务人员花名册。采购人不定期抽查中标人投入的岗位人员数量，如果抽查时发现中标人投入的人员数量少于合同约定的数量，采购人可以按缺少人数每人1000元/次累计扣除当月合同款。中标人聘用的工作人员必须符合劳动部门有关用工规定，并经中标人相关专业考核合格后持证上岗，采购人有权进行审核，该类费用开支由中标人负担。</w:t>
      </w:r>
      <w:r>
        <w:rPr>
          <w:rFonts w:hint="eastAsia" w:ascii="仿宋_GB2312" w:hAnsi="宋体" w:eastAsia="仿宋_GB2312" w:cs="宋体"/>
          <w:b/>
          <w:sz w:val="32"/>
          <w:szCs w:val="32"/>
        </w:rPr>
        <w:br w:type="page"/>
      </w:r>
    </w:p>
    <w:p>
      <w:pPr>
        <w:spacing w:line="540" w:lineRule="exact"/>
        <w:jc w:val="center"/>
        <w:outlineLvl w:val="0"/>
        <w:rPr>
          <w:rFonts w:ascii="仿宋_GB2312" w:hAnsi="宋体" w:eastAsia="仿宋_GB2312" w:cs="宋体"/>
          <w:b/>
          <w:sz w:val="32"/>
          <w:szCs w:val="32"/>
        </w:rPr>
      </w:pPr>
      <w:r>
        <w:rPr>
          <w:rFonts w:hint="eastAsia" w:ascii="仿宋_GB2312" w:hAnsi="宋体" w:eastAsia="仿宋_GB2312" w:cs="宋体"/>
          <w:b/>
          <w:sz w:val="32"/>
          <w:szCs w:val="32"/>
        </w:rPr>
        <w:t>第四章  合同</w:t>
      </w:r>
      <w:bookmarkEnd w:id="26"/>
      <w:bookmarkEnd w:id="27"/>
      <w:bookmarkEnd w:id="28"/>
      <w:r>
        <w:rPr>
          <w:rFonts w:hint="eastAsia" w:ascii="仿宋_GB2312" w:hAnsi="宋体" w:eastAsia="仿宋_GB2312" w:cs="宋体"/>
          <w:b/>
          <w:sz w:val="32"/>
          <w:szCs w:val="32"/>
        </w:rPr>
        <w:t>文本</w:t>
      </w:r>
      <w:bookmarkEnd w:id="29"/>
    </w:p>
    <w:p>
      <w:pPr>
        <w:jc w:val="center"/>
        <w:rPr>
          <w:rFonts w:ascii="仿宋_GB2312" w:hAnsi="宋体" w:eastAsia="仿宋_GB2312"/>
          <w:b/>
          <w:bCs/>
          <w:sz w:val="28"/>
          <w:szCs w:val="28"/>
        </w:rPr>
      </w:pPr>
    </w:p>
    <w:p>
      <w:pPr>
        <w:spacing w:line="500" w:lineRule="exact"/>
        <w:ind w:firstLine="560" w:firstLineChars="200"/>
        <w:rPr>
          <w:rFonts w:ascii="仿宋_GB2312" w:hAnsi="宋体" w:eastAsia="仿宋_GB2312"/>
          <w:sz w:val="28"/>
          <w:szCs w:val="28"/>
          <w:lang w:val="zh-CN"/>
        </w:rPr>
      </w:pPr>
      <w:bookmarkStart w:id="30" w:name="_Toc356371458"/>
      <w:bookmarkStart w:id="31" w:name="_Toc354491899"/>
      <w:bookmarkStart w:id="32" w:name="_Toc4751"/>
      <w:bookmarkStart w:id="33" w:name="_Toc322352985"/>
      <w:r>
        <w:rPr>
          <w:rFonts w:hint="eastAsia" w:ascii="仿宋_GB2312" w:hAnsi="宋体" w:eastAsia="仿宋_GB2312"/>
          <w:sz w:val="28"/>
          <w:szCs w:val="28"/>
          <w:lang w:val="zh-CN"/>
        </w:rPr>
        <w:t>甲方：衢州市衢江区人民法院（以下简称甲方）</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乙方：                     （以下简称乙方）</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根据《中华人民共和国政府采购法》和《中华人民共和国合同法》及有关法律、法规和政策，甲乙双方在平等、自愿、协商一致的基础上，就甲方委托乙方对甲方物业管理服务项目实行专业化、一体化的管理订立本合同。</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第一条  物业类型及范围</w:t>
      </w:r>
    </w:p>
    <w:p>
      <w:pPr>
        <w:autoSpaceDE w:val="0"/>
        <w:autoSpaceDN w:val="0"/>
        <w:adjustRightInd w:val="0"/>
        <w:spacing w:line="500" w:lineRule="exact"/>
        <w:ind w:firstLine="560" w:firstLineChars="200"/>
        <w:jc w:val="left"/>
        <w:rPr>
          <w:rFonts w:ascii="仿宋_GB2312" w:hAnsi="宋体" w:eastAsia="仿宋_GB2312"/>
          <w:sz w:val="28"/>
          <w:szCs w:val="28"/>
          <w:lang w:val="zh-CN"/>
        </w:rPr>
      </w:pPr>
      <w:r>
        <w:rPr>
          <w:rFonts w:hint="eastAsia" w:ascii="仿宋_GB2312" w:hAnsi="宋体" w:eastAsia="仿宋_GB2312"/>
          <w:sz w:val="28"/>
          <w:szCs w:val="28"/>
          <w:lang w:val="zh-CN"/>
        </w:rPr>
        <w:t>衢州市衢江区人民法院采购物业管理服务项目，服务范围含衢州市衢江区人民法院院机关大楼、附属楼以及杜泽法庭、廿里法庭、大洲法庭、高家法庭。</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第二条  委托管理事项</w:t>
      </w:r>
    </w:p>
    <w:p>
      <w:pPr>
        <w:autoSpaceDE w:val="0"/>
        <w:autoSpaceDN w:val="0"/>
        <w:adjustRightInd w:val="0"/>
        <w:spacing w:line="500" w:lineRule="exact"/>
        <w:ind w:firstLine="560" w:firstLineChars="200"/>
        <w:jc w:val="left"/>
        <w:rPr>
          <w:rFonts w:ascii="仿宋_GB2312" w:hAnsi="宋体" w:eastAsia="仿宋_GB2312"/>
          <w:sz w:val="28"/>
          <w:szCs w:val="28"/>
          <w:lang w:val="zh-CN"/>
        </w:rPr>
      </w:pPr>
      <w:r>
        <w:rPr>
          <w:rFonts w:hint="eastAsia" w:ascii="仿宋_GB2312" w:hAnsi="宋体" w:eastAsia="仿宋_GB2312"/>
          <w:sz w:val="28"/>
          <w:szCs w:val="28"/>
          <w:lang w:val="zh-CN"/>
        </w:rPr>
        <w:t>列入本次招标的物业管理内容：1、卫生保洁；2、安保服务（包含门卫、传达、消防、监控和秩序管理等）；3、房屋建筑主体及其一般设施设备运行管理和维护；4、会务服务和接待；5、室内植物提供和养护；6、食堂服务（包括烹制早餐及中餐）；7、延伸服务和采购单位交办的其他工作。</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第三条  乙方根据投标文件中的承诺，组建衢州市衢江区人民法院物业管理处，该管理处拥有衢州市衢江区人民法院的物业管理权以及食堂服务权。</w:t>
      </w:r>
    </w:p>
    <w:p>
      <w:pPr>
        <w:spacing w:line="500" w:lineRule="exact"/>
        <w:ind w:firstLine="562" w:firstLineChars="200"/>
        <w:rPr>
          <w:rFonts w:ascii="仿宋_GB2312" w:hAnsi="仿宋" w:eastAsia="仿宋_GB2312"/>
          <w:b/>
          <w:color w:val="000000"/>
          <w:sz w:val="28"/>
          <w:szCs w:val="28"/>
        </w:rPr>
      </w:pPr>
      <w:r>
        <w:rPr>
          <w:rFonts w:hint="eastAsia" w:ascii="仿宋_GB2312" w:hAnsi="仿宋" w:eastAsia="仿宋_GB2312"/>
          <w:b/>
          <w:color w:val="000000"/>
          <w:sz w:val="28"/>
          <w:szCs w:val="28"/>
        </w:rPr>
        <w:t>第四条  合同期限</w:t>
      </w:r>
    </w:p>
    <w:p>
      <w:pPr>
        <w:spacing w:line="500" w:lineRule="exact"/>
        <w:ind w:firstLine="560" w:firstLineChars="200"/>
        <w:rPr>
          <w:rFonts w:ascii="仿宋_GB2312" w:hAnsi="仿宋" w:eastAsia="仿宋_GB2312"/>
          <w:color w:val="000000"/>
          <w:sz w:val="28"/>
          <w:szCs w:val="28"/>
        </w:rPr>
      </w:pPr>
      <w:r>
        <w:rPr>
          <w:rFonts w:hint="eastAsia" w:ascii="仿宋_GB2312" w:hAnsi="仿宋" w:eastAsia="仿宋_GB2312"/>
          <w:color w:val="000000"/>
          <w:sz w:val="28"/>
          <w:szCs w:val="28"/>
        </w:rPr>
        <w:t>1、自  年  月  日至  年  月  日。如合同到期时，甲方因故未能签订新的物业服务公司时，乙方必须按照投标时的服务标准、服务内容继续做好物业管理服务工作（时间不超过一个月）。</w:t>
      </w:r>
    </w:p>
    <w:p>
      <w:pPr>
        <w:spacing w:line="500" w:lineRule="exact"/>
        <w:ind w:firstLine="560" w:firstLineChars="200"/>
        <w:rPr>
          <w:rFonts w:ascii="仿宋_GB2312" w:hAnsi="仿宋" w:eastAsia="仿宋_GB2312"/>
          <w:color w:val="000000"/>
          <w:sz w:val="28"/>
          <w:szCs w:val="28"/>
        </w:rPr>
      </w:pPr>
      <w:r>
        <w:rPr>
          <w:rFonts w:hint="eastAsia" w:ascii="仿宋_GB2312" w:hAnsi="仿宋" w:eastAsia="仿宋_GB2312"/>
          <w:color w:val="000000"/>
          <w:sz w:val="28"/>
          <w:szCs w:val="28"/>
        </w:rPr>
        <w:t>2、</w:t>
      </w:r>
      <w:r>
        <w:rPr>
          <w:rFonts w:hint="eastAsia" w:ascii="仿宋_GB2312" w:hAnsi="宋体" w:eastAsia="仿宋_GB2312"/>
          <w:spacing w:val="-6"/>
          <w:sz w:val="28"/>
          <w:szCs w:val="28"/>
          <w:lang w:val="zh-CN"/>
        </w:rPr>
        <w:t>如在2年服务期内乙方能严格履行合同，并通过甲方的考核，并经采购监管部门同意可以续签，但有效期最长不超过12个月，合同价按原合同年度价格进行。</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第五条  物业办公场地及装备</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甲方为乙方免费提供物业管理的办公场地并提供办公桌椅，但办公用品（指电脑、打印机、对讲机等自身使用的办公用品）由乙方自行解决。</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第六条  物业管理及食堂服务费</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本合同期内物业管理及食堂服务费元，采用固定总价包干制，除本合同明确约定可以另行收取的费用外，所有物业管理及服务费用均包括在内，乙方不得另行向甲方或使用人收取任何费用。</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第七条  费用结算方式</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1、乙方按每季度的考核结果向甲方结算，甲方在次季度第一个月内支付上季度服务费用，凭乙方开具的正式发票进行支付。</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2、承包到期后按考核结果将余款一次付清。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3、乙方投标文件中报价的设备，如甲方已有并提供给乙方使用的，在按合同付款时按照乙方投标报价进行扣除。</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第八条  环境卫生管理和要求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乙方负责本合同第一条规定的物业公共区域及室内外清洁服务，使其拥有一个整洁、舒适、安静、安全的环境。</w:t>
      </w:r>
    </w:p>
    <w:p>
      <w:pPr>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1、对办公楼按照三星级酒店卫生标准提供室内外清洁服务，日常保洁服务内容：电梯厅、通道、楼梯、卫生间、开水间、会议室、指定办公室及其他用房地面、墙面、天花板、门窗玻璃、门及门窗框，墙壁附体、办公家具、普通机器（如空调表面及过滤网、电梯表面及沟槽电视机等，下同）、储衣柜、椅、凳等表面等严格按要求清洁、生活垃圾的收集、清运及日常消杀工作，桌面简单整理等。公共区域日常服务内容：大理石、花岗岩地面、扶手、门窗玻璃、门及门窗框、幕玻璃，附体、沙发、桌子、各类宣传牌、橱窗及有关附体，天花板、栏杆、绿化区域等。顶楼、露天阳台、沟槽、地面、雨篷及边角区域，各种附体的表面。对清洁人员做到责职明确、责任区清晰。</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2、预防与灭治白蚊、消杀老鼠、蟑螂、蚊子、苍蝇等“四害”。</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3、办公区、公共场所的卫生管理、垃圾的收集清运工作，做到日产日清。并针对特殊情况，制定防止交叉感染、消毒隔离制度和工作标准、流程。</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4、随时清洁、循环清洁，保证区域内无垃圾等目视污物，整体干净明亮。</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5、保洁员在每天下班前半小时对各自承包区域进行自查，发现问题及时处理。</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6、保持建筑外观清洁，玻璃幕墙及石材幕墙等外立面根据采购人要求每年清洗1次。清洁打蜡保养所需耗材由中标人自行配备。</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7、各类水箱每季度清洗一次,一般机器表面清洁（有特殊规定的设备除外），消防设施、空调的过滤网际外壳洗尘与保洁。</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8、垃圾清运和化粪池清淤。</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9、建立环境卫生管理制度并认真落实，环卫设备齐备；卫生间洁净无异味；零修合格率100%；保洁人员的响应时限3-5分钟。</w:t>
      </w:r>
    </w:p>
    <w:p>
      <w:pPr>
        <w:spacing w:line="500" w:lineRule="exact"/>
        <w:ind w:firstLine="536" w:firstLineChars="200"/>
        <w:jc w:val="left"/>
        <w:rPr>
          <w:rFonts w:ascii="仿宋_GB2312" w:hAnsi="宋体" w:eastAsia="仿宋_GB2312"/>
          <w:spacing w:val="-6"/>
          <w:sz w:val="28"/>
          <w:szCs w:val="24"/>
          <w:lang w:val="zh-CN"/>
        </w:rPr>
      </w:pPr>
      <w:r>
        <w:rPr>
          <w:rFonts w:hint="eastAsia" w:ascii="仿宋_GB2312" w:hAnsi="宋体" w:eastAsia="仿宋_GB2312"/>
          <w:spacing w:val="-6"/>
          <w:sz w:val="28"/>
          <w:szCs w:val="24"/>
          <w:lang w:val="zh-CN"/>
        </w:rPr>
        <w:t>10、对于过道、走廊、办公楼一楼墙面及固定门窗和采购人要求的其他指定地点也必须完全响应，至少不低于每三个月一次的频率进行清洗、打扫。</w:t>
      </w:r>
    </w:p>
    <w:p>
      <w:pPr>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4"/>
          <w:lang w:val="zh-CN"/>
        </w:rPr>
        <w:t>11、使用登高设施，对天花板的进行保洁。</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12、乙方须按约定，实现下列要求。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（1）外观：室内墙面完好，外观整洁。如出现墙面的一般污浊，乙方应在24小时内清理完毕；</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（2）设备运行：设备良好，运行正常，定期保养，专人维护，无破损，消防系统可随时启用。如出现问题，乙方应立即进行处理或向特定维修机构报修；</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（3）房屋及设施、设备的检查：保证每月对房屋状况、设施、设备运行情况全面检查一次。乙方保证排污排水等的通畅，并保证随时发现问题，随时解决。除非确实存在不能克服的特殊情形，应及时报告；</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环境卫生：乙方根据楼层分布和采购需求每日需安排一定数量的保洁人员进行清理。除每日甲方下班时间后对办公楼进行全面清理外，保洁人员在工作时间随时清理垃圾，尘土，保持办公环境的整洁，乙方保证保洁人员工作规范，作风优良；</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第九条  日常治安和消防管理和要求</w:t>
      </w:r>
    </w:p>
    <w:p>
      <w:pPr>
        <w:autoSpaceDE w:val="0"/>
        <w:autoSpaceDN w:val="0"/>
        <w:adjustRightInd w:val="0"/>
        <w:spacing w:line="500" w:lineRule="exact"/>
        <w:ind w:firstLine="536" w:firstLineChars="200"/>
        <w:jc w:val="left"/>
        <w:rPr>
          <w:rFonts w:ascii="仿宋_GB2312" w:hAnsi="宋体" w:eastAsia="仿宋_GB2312"/>
          <w:spacing w:val="-6"/>
          <w:sz w:val="28"/>
          <w:szCs w:val="28"/>
        </w:rPr>
      </w:pPr>
      <w:r>
        <w:rPr>
          <w:rFonts w:hint="eastAsia" w:ascii="仿宋_GB2312" w:hAnsi="宋体" w:eastAsia="仿宋_GB2312"/>
          <w:spacing w:val="-6"/>
          <w:sz w:val="28"/>
          <w:szCs w:val="28"/>
          <w:lang w:val="zh-CN"/>
        </w:rPr>
        <w:t>日常治安管理：值班室24小时值班，法庭安检，门岗工作，审判、办公楼24小时巡逻值班服务，治安管理人员统一制服，工作规范，作风严谨。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1.门岗、巡逻人员管理和要求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（1）门岗、巡逻人员要认真负责，提供警惕，注意发现可疑人员及可疑情况，并制止违反规定的行为。</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巡逻人员要定时定点查看，对重要部门、要害部门邀请查看，水务房、财务室、档案库房、中心机房、配电房、车库等以及无人值班但有可能发生问题的地方应加强巡更，做好巡更记录。节假日、夜间巡逻时，增肌巡逻次数，确保治安消防保卫工作不出问题。</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（3）发现反常或意外情况，除及时向领导报告外，要立即采取必要措施以防止火灾事故及破坏行为的发生。</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（4）发现偷盗、闹事、斗殴、凶杀、投毒、爆炸等犯罪分子，要坚决果断地采取措施，力争抓获犯罪分子。</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（5）若发现盗窃、凶案、火灾、投毒、损毁财物，以及一切有现场的案件或时间，要妥善保护好现场、迅速上报并积极协助调查。</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2.消防控制、监控室人员管理和要求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（1）消防控制、监控室必须实行每日24小时专人值班制度，每班不应少于1人。</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（2）消防控制室应确保火灾自动报警系统和灭火系统处于正常工作状态。</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消防控制室应确保高位消防水箱、消防水池、气压水罐等消防储水设施水量充足；确保消防泵出水管阀门、自动喷水灭火系统管道上的阀门常开；确保消防水泵、防排烟风机、防火卷帘等消防用电设备的配电柜开关处于自动（接通）位置。</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（4）接到火灾警报后，消防控制室必须立即以最快方式确认。</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（5）火灾确认后，消防控制室必须立即将火灾报警联动控制开关转入自动状态（处于自动状态的除外），同时拨打“119”火警电话报警。</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（6）消防控制室必须立即启动单位内部灭火和应急疏散预案，并应同时报告甲方单位责任人。</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（7）乙方应配合甲方指定消防安全制度、消防工作计划、消防安全操作规程、灭火和应急疏散预算等，配合甲方组织实施消防演练。</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（8）巡逻人员在巡逻过程应同时看消防隐患、检查消防设施、设备和器材的性能是否完好，并作为记录；发现存在消防隐患和缺陷的，应立即采取相应防范补救措施并向甲方报告。</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3.安检人员管理和要求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（1）认真履行岗位职责，严格遵守工作纪律，不擅离职守，不做与工作无关的事情。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（2）按规定着装上岗，佩戴标示规范，自觉维护安检人员岗位形象。</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（3）熟练掌握各种安检设备的操作及识别方法。</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（4）按照“逢进必检”的安检要求，负责宣传引导人员进入安检区域。</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（5）对可疑物品进行针对性探测，确定可疑物品性质，及时移交现场法警处理并做好记录。</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（6）文明值岗，态度和蔼，遇事讲究方式方法，做到以理服人。</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第十条  会务服务和接待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1.根据会议的不同性质、不同规模制定切实可行的会务保障方案，并严格按照方案执行；做好会议车辆及人员引导、会务安全保障和保密工作；</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2.根据会议通知时间，提前6小时对会议室的照明、空调、卫生进行全面检查，会议期间安排维修、清洁、保安机动人员待令处理应急事件；</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3.有重要领导参加的会议要提前24小时进行特别安全巡查控制，清除一切可疑物体或不明物体，确保彻底消除不安全隐患；</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4.清洁会议室桌面，保持干净、无污迹、无灰尘、无手印；</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5.服务工作要细致周到，服务中要做到三轻（走路轻、讲话轻、动作轻）；司仪迎宾工作不得出现差错和失误；</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6.项目组负责人必须到场监督服务员工作，巡视会议室的准备情况和会议的进行情况，以便及时应对突发事情；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7.会议结束后30分钟内完成会场清洁服务，擦桌、椅子归位、关闭空调、灯、门窗等。</w:t>
      </w:r>
    </w:p>
    <w:p>
      <w:pPr>
        <w:autoSpaceDE w:val="0"/>
        <w:autoSpaceDN w:val="0"/>
        <w:adjustRightInd w:val="0"/>
        <w:spacing w:line="500" w:lineRule="exact"/>
        <w:ind w:firstLine="562" w:firstLineChars="200"/>
        <w:jc w:val="left"/>
        <w:rPr>
          <w:rFonts w:ascii="仿宋_GB2312" w:hAnsi="宋体" w:eastAsia="仿宋_GB2312"/>
          <w:b/>
          <w:sz w:val="28"/>
          <w:szCs w:val="28"/>
          <w:lang w:val="zh-CN"/>
        </w:rPr>
      </w:pPr>
      <w:r>
        <w:rPr>
          <w:rFonts w:hint="eastAsia" w:ascii="仿宋_GB2312" w:hAnsi="宋体" w:eastAsia="仿宋_GB2312"/>
          <w:b/>
          <w:sz w:val="28"/>
          <w:szCs w:val="28"/>
          <w:lang w:val="zh-CN"/>
        </w:rPr>
        <w:t>第十一条  食堂服务管理及要求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1.食堂服务须符合中华人民共和国《食品安全法》 、《环境保护法》规定要求，食堂的卫生防疫、就餐环境必须达到市卫生监督所制定的“五常法”。</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2.确保一日三餐正点、足量、优质，做到品种多样、荤素搭配合理，菜品尽量做到少量多锅，及时添加，确保不发生浪费；中餐菜品原则上在七个以上。</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3.从业人员严格遵守《食品安全法》 ，严格按照食品加工操作规程，进行食品的加工、出售、贮存，不违法违规使用食品添加剂。认真做好餐具消毒、食品留样工作。</w:t>
      </w:r>
    </w:p>
    <w:p>
      <w:pPr>
        <w:autoSpaceDE w:val="0"/>
        <w:autoSpaceDN w:val="0"/>
        <w:adjustRightInd w:val="0"/>
        <w:spacing w:line="500" w:lineRule="exact"/>
        <w:ind w:firstLine="536" w:firstLineChars="200"/>
        <w:jc w:val="left"/>
        <w:rPr>
          <w:rFonts w:ascii="仿宋_GB2312" w:hAnsi="宋体" w:eastAsia="仿宋_GB2312"/>
          <w:spacing w:val="-6"/>
          <w:sz w:val="28"/>
          <w:szCs w:val="28"/>
          <w:lang w:val="zh-CN"/>
        </w:rPr>
      </w:pPr>
      <w:r>
        <w:rPr>
          <w:rFonts w:hint="eastAsia" w:ascii="仿宋_GB2312" w:hAnsi="宋体" w:eastAsia="仿宋_GB2312"/>
          <w:spacing w:val="-6"/>
          <w:sz w:val="28"/>
          <w:szCs w:val="28"/>
          <w:lang w:val="zh-CN"/>
        </w:rPr>
        <w:t>4.双休日（节假日）值班制及应急需求开餐情况：双休日（节假日）值班制，应供应值班人员用餐。但若有重要或重大或应急需求活动需要，开餐情况以采购人通知为准，供应商必须无条件满足采购人需求。</w:t>
      </w:r>
    </w:p>
    <w:p>
      <w:pPr>
        <w:autoSpaceDE w:val="0"/>
        <w:autoSpaceDN w:val="0"/>
        <w:adjustRightInd w:val="0"/>
        <w:spacing w:line="500" w:lineRule="exact"/>
        <w:ind w:firstLine="562" w:firstLineChars="200"/>
        <w:jc w:val="left"/>
        <w:rPr>
          <w:rFonts w:ascii="仿宋_GB2312" w:hAnsi="宋体" w:eastAsia="仿宋_GB2312"/>
          <w:b/>
          <w:sz w:val="28"/>
          <w:szCs w:val="28"/>
          <w:lang w:val="zh-CN"/>
        </w:rPr>
      </w:pPr>
      <w:r>
        <w:rPr>
          <w:rFonts w:hint="eastAsia" w:ascii="仿宋_GB2312" w:hAnsi="宋体" w:eastAsia="仿宋_GB2312"/>
          <w:b/>
          <w:sz w:val="28"/>
          <w:szCs w:val="28"/>
          <w:lang w:val="zh-CN"/>
        </w:rPr>
        <w:t>第十二条  延伸服务和采购人交办的其他工作</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1.乙方须有较完善的物业管理档案制度，档案内容至少应包括物业及其配套设施清册、设备管理档案、来访者登记资料档案以及日常管理档案。</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物业管理过程中发生的档案资料整理成册后，按年度移交甲方，乙方必须保证移交的物业档案资料的完整性。</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2.其他如网购物品的收发、饮用水的调换、物资的搬运、临时性劳务等服务内容，乙方必须制定操作流程交甲方审核通过后，严格执行并登记台账，整理成年度档案后移交甲方。</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第十三条  甲方工作人员以及其他物业使用人可随时组织进行对乙方物业服务的综合考评。</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第十四条  经营制约</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1.未经甲方同意，乙方无权在承包区域中从事任何广告活动或类似宣传，甲方有权责令乙方限期改正，并视为违约行为并接受甲方的处罚。</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2.甲方有权对服务区域内各项服务质量控制进行检查，有关整改费用由乙方承担。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3.在服务区域的各项服务，其工作时间必须满足甲方的工作要求，包括周末及公众假期。如遇特殊情况，甲方可要求乙方调整工作时间以满足甲方的特殊工作要求，并视为合同内的工作内容。</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乙方必须聘请（或指定）一位经理（项目总负责人），全权代表乙方与甲方保持密切联系并保证服务区域内的服务工作正常优质开展。根据综合考评或工作情况，甲方有权要求乙方在收到甲方书面通知之日起两周内更换经理（项目总负责人）及相关骨干人员。</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乙方为服务区域的服务工作配备其承诺的人员及人员数量不少于采购文件中所要求的人员数量。甲方不定期抽查乙方投入的人员数量，如果抽查时发现乙方投入的人员数量少于合同约定的数量，甲方可以按缺少人数每人1000元/次累计扣除当月合同款。乙方聘用的工作人员必须符合劳动部门有关用工规定，并经乙方相关专业考核合格后持证上岗。甲方有权进行审核，该类费用开支由乙方负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在合同履行期间，乙方所有人员仅与乙方建立劳动合同关系，且所有人员使用符合《劳动合同法》的有关规定。乙方人员发生任何事故或与乙方发生劳动争议均由乙方自行全权负责，相关费用乙方自行承诺，以保证甲方在乙方人员索赔时不受任何责任的约束。若因乙方原因造成甲方损失的，乙方应予赔偿。</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7.乙方工作人员上岗穿着由甲方确认的制服及甲方许可的装饰物品，费用和制作均由乙方负担。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8.乙方必须出具或办妥法律及甲方规定的与服务区域经营业务有关的执照和许可证，方可从事经营并在经营中遵守一切有关条例和规定。自行缴纳有关税、费。</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9.乙方必须确保为甲方提供优质、高效的专业服务，并根据甲方要求改变不满意的服务状况。接受有关部门监督与检查。同时，乙方自觉参加甲方认为有助提高甲方形象的宣传活动。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10.在合同履行期内乙方在服务区域内的设施、设备良好的运营状况和环境状况，并接受甲方及其授权人员或有关部门的检查，对由乙方引起或造成设施、设备的损坏及环境卫生不理想状况，甲方将书面通知乙方修复或整改，在书面通知下达一周后，仍未按要求修复或整改，甲方将负责完成这一工作，所需费用连同15%行政附加费全部由乙方承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11.乙方在服务区域因作业所需增加机械、电力设备及设施应征得甲方同意，并聘请有资格的承造商进行安装、保养并将施工安装保养记录手册和图，交由甲方备案。</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12.乙方及其工作人员不得有以下行为：</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①不得以任何理由向甲方工作人员支付小费或赠送实物。甲方人员也不得以任何形式向项目内相关人员索取小费或钱物等。</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②不得在服务区域住宿或从事违法违规活动，也不得从事包括但不限于以任何形式向案件当事人及其亲属、代理律师及有关人员索取小费或钱物、为律师及其他法律服务人员介绍案源、为当事人介绍、联系律师等有损甲方形象和声誉的活动；不得发生在服务区域对甲方办公活动进行滋扰性的行为。</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③除经甲方批准进行必要的维修工程外，不得损毁服务包区域原有的设施和装潢，不得更改已铺设的电缆、电线等电力装置。同时，也不得安装任何可能造成电缆负载过大的电器设备 。</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④未经甲方书面同意，严禁乙方在服务区域存放易燃物品、挥发性大或气味浓烈的液体等。</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13.乙方应按照投标文件中所述物业共用部位、共用设施设备及公众责任保险项目投标金额为承包区域投保物业共用部位、共用设施设备及公众责任保险。乙方须按《劳动合同法》和政府有关各部门规定为全体服务人员交纳所有相关的社会保险及其相关费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14.乙方及其员工遵守大楼内的一切行政管理、消防安全等规定和制度，保证服务区域的消防设施能正常使用，消防通道顺畅，同时承担违规责任。</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15.遇突发事件或安全检查时，乙方必须配合有关部门执行任务，并指定专职人员协助工作，直至完成。</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16.乙方须积极配合甲方对其进行的物业服务综合考评。</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17.甲方因工作需要，要求乙方及时提供个性化服务的，乙方应予以配合，如服务费明显超出合同范围的，费用由甲乙双方协商另行支付。</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第十五条  甲方承诺：</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1.甲方在职权范围内保证乙方的正常经营不受干扰。</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2.保证乙方的员工按规定正常进入服务区域开展服务工作。</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3.遵守采购文件中对甲方的要求，提供采购文件中所列需要甲方提供的设备、设施及标识标牌等物品。</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第十六条  人员配置及要求</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1.乙方派出项目总负责人     ，身份证号码：                  。</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2.乙方必须采取措施，确保人员稳定。人员（包括项目总负责人、各岗位主管人员）确因特殊原因需变动的须经甲方同意。</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3.乙方项目总负责人及各岗位主管人员须及时与甲方沟通，第一时间报告重大、紧急事件；每月须向甲方汇报上月工资情况，并提供相关报告。乙方向员工发放的工资不低于其在技术商务文件“</w:t>
      </w:r>
      <w:r>
        <w:rPr>
          <w:rFonts w:hint="eastAsia" w:ascii="仿宋_GB2312" w:hAnsi="宋体" w:eastAsia="仿宋_GB2312"/>
          <w:sz w:val="28"/>
          <w:szCs w:val="28"/>
        </w:rPr>
        <w:t>物业管理相关人员费用明细表</w:t>
      </w:r>
      <w:r>
        <w:rPr>
          <w:rFonts w:hint="eastAsia" w:ascii="仿宋_GB2312" w:hAnsi="宋体" w:eastAsia="仿宋_GB2312"/>
          <w:sz w:val="28"/>
          <w:szCs w:val="28"/>
          <w:lang w:val="zh-CN"/>
        </w:rPr>
        <w:t>”中承诺标准。</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4.相关人员需获得相关主管部门认证的，须配证并持证上岗，且根据不同岗位统一着装。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5.所有相关人员要求政治上可靠，无传染性疾病，无判刑及其他犯罪和治安处罚记录。</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6.为提升物业管理形象，所有从业人员需进行专业礼仪的培训。除乙方对服务人员的培训外，需接受甲方对服务人员的集中培训，培训费用由乙方承担。</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第十七条  其他权利义务</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1.甲方权利义务</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 xml:space="preserve">（1）审定乙方拟定的物业管理制度； </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（2）检查监督乙方管理工作的实施及制度的执行情况；</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（3）负责收集、整理物业管理所需全部图纸、档案、资料，根据管理需要向乙方提供房屋相关资料和设备、设施的安装、使用和维护保养技术资料；</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（4）按期足额支付物业管理费用及食堂服务费用；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（5）在不可预见的情况下，如发生煤气泄漏、漏电、火灾、救助人命、协助公安机关执行任务等突发事件的，甲方应积极配合乙方采取必要的紧急避险措施；</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（6）甲方监督乙方依照本合同规定内容所进行的管理和服务活动，组织对乙方工作综合考评，如出现乙方管理不善造成甲方重大经济损失的情况，甲方有权终止合同并要求乙方给予赔偿。</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2.乙方权利义务</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（1）根据有关法律法规、投标文件及本合同的约定，制订物业管理制度、方案，根据甲方核定的物业管理制度、方案自主开展物业日常管理服务活动；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（2）按甲方要求及时如实向甲方报告物业管理服务实施情况；</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（3）向甲方告知物业使用的有关规定，并负责监督；</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（4）建立、妥善保管和正确使用本物业相关的管理档案，并负责及时记载有关变更情况；</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（5）对本物业的公用设施不得擅自占用和改变使用功能；</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（6）因乙方在管理中的过错或违反本合同的约定进行管理而造成甲方或第三人损失的，乙方应依法承担赔偿责任；</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（7）乙方自行自身使用的办公用品，自行承担所有人员服装费用，但服装样式需经过甲方认可，通讯费用由乙方自行承担；</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（8）本合同终止时，乙方必须向甲方移交全部管理用房及物业管理的全部档案资料，确保移交的资料和设备、设施完好无缺。</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第十八条  合同生效、终止、解除和违约责任：</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1.本合同经甲乙双方法定代表人或其委托人签字盖章，由乙方向甲方缴纳</w:t>
      </w:r>
      <w:r>
        <w:rPr>
          <w:rFonts w:hint="eastAsia" w:ascii="仿宋_GB2312" w:hAnsi="宋体" w:eastAsia="仿宋_GB2312"/>
          <w:sz w:val="28"/>
          <w:szCs w:val="28"/>
        </w:rPr>
        <w:t>1</w:t>
      </w:r>
      <w:r>
        <w:rPr>
          <w:rFonts w:hint="eastAsia" w:ascii="仿宋_GB2312" w:hAnsi="宋体" w:eastAsia="仿宋_GB2312"/>
          <w:sz w:val="28"/>
          <w:szCs w:val="28"/>
          <w:lang w:val="zh-CN"/>
        </w:rPr>
        <w:t>%履约保证金，经采购代理机构鉴证后生效。</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2.合同规定的服务期满，合同自然终止；经双方协商同意，也可在任何时候终止合同。</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 如甲方在服务期内无理由终止合同，须提前一个月向乙方发出书面通知终止合同，同时甲方支付给乙方月度承包服务款二倍金额的赔偿金。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4.因乙方在服务期内超过两次物业服务综合考评未达标，甲方可以单方面终止承包，且乙方须支付给甲方月度承包服务款二倍金额的赔偿金。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5.如甲方发现乙方出现转租、转让、抵押承包等情况，甲方可以单方面终止承包，且乙方须支付给甲方月度承包服务款二倍金额的赔偿金。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如乙方在服务期内无理由终止合同，须提前三个月向甲方发出书面通知终止合同，同时乙方须支付给甲方月度承包服务款二倍金额的赔偿金；如乙方未提前三个月向甲方发出书面通知终止合同，在服务期内突然无理由单方终止合同履行，乙方须支付给甲方月度承包服务款三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7.乙方未能按合同约定履行或未能遵守有关规定，在甲方发出书面警告后一周内乙方仍未补救到位的，甲方可立即终止合同。且乙方须支付给甲方月度承诺服务款二倍金额的赔偿金。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8.乙方未按合同第七条第2项要求补足履约保证金，经甲方催告后仍未补足的，甲方有权终止合同，且乙方须支付给甲方月度承包服务款二倍金额的赔偿金。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9.乙方及其工作人员有本合同第十五条第1、13项规定情形的，甲方可立即终止合同，乙方除承担相应的违约责任和法律责任外，须支付给甲方月度承包服务款二倍金额的赔偿金。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10.因乙方原因发生食物安全事故或经检查确认，食堂的食物、食材（含辅材）及食堂工作人员的健康状况、工作资历、操作流程等不符合食品卫生标准或有关规定的，甲方有权终止合同，且乙方须支付给甲方月度承包服务款二倍金额的赔偿金。</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11.乙方未按期足额按其承诺的工资标准向本物业服务项目团队工作人员发放工资的，甲方有权督促乙方发放，甲方拒绝或以其行为表明拒绝按期足额发放的，甲方有权终止合同。</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12.乙方未按约定配足本项目服务人员或未经甲方同意变动人员的，甲方有权要求乙方限期配足人员、恢复原骨干人员，乙方在甲方规定的期限内未配足、恢复的，甲方有权单方解除合同。</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13.乙方破产清算、重组及兼并等事实发生，或被债权人接管经营等情形发生，甲方提前十个工作日通知乙方即可单方解除合同而无需承担任何责任。</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14.合同终止不影响根据合同规定进行的赔偿、补偿，也不影响履约保证金的效力。</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15.合同终止时，双方应进行结算，甲方同时对乙方服务区域内设施、设备状况进行检查并要求乙方三天内将乙方物品撤离服务区域，否则甲方将有权代为进行处理，且乙方需支付甲方代为处理所发生的相关费用。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16.甲方接受乙方的服务，但不放弃对乙方违约行为进行追究的权利；同时，若甲方对乙方某一违约行为放弃进行追究的权利，但不放弃对乙方其他违约行为进行追究的权利。</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第十九条  争议处理</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合同在履行过程中发生争议时，甲方与乙方及时协审解决。协商不成时，向衢州仲裁委员会申请仲裁。</w:t>
      </w:r>
    </w:p>
    <w:p>
      <w:pPr>
        <w:spacing w:line="500" w:lineRule="exact"/>
        <w:ind w:firstLine="562" w:firstLineChars="200"/>
        <w:rPr>
          <w:rFonts w:ascii="仿宋_GB2312" w:hAnsi="宋体" w:eastAsia="仿宋_GB2312"/>
          <w:b/>
          <w:sz w:val="28"/>
          <w:szCs w:val="28"/>
          <w:lang w:val="zh-CN"/>
        </w:rPr>
      </w:pPr>
      <w:r>
        <w:rPr>
          <w:rFonts w:hint="eastAsia" w:ascii="仿宋_GB2312" w:hAnsi="宋体" w:eastAsia="仿宋_GB2312"/>
          <w:b/>
          <w:sz w:val="28"/>
          <w:szCs w:val="28"/>
          <w:lang w:val="zh-CN"/>
        </w:rPr>
        <w:t>第二十条  其他</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1.未经甲方书面同意，乙方不得转让其应履行的合同项下的义务或将部分合同项下的义务分包给第三人完成。</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2.乙方不得参与可能与合同规定的与甲方利益相冲突的任何活动。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3.乙方人员在服务区域工作时，应遵守甲方相关规章、制度。</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4.本合同因各种原因终止后，在新的物业管理企业接管本物业项目之前，乙方应当按照甲方的要求暂时继续为甲方提供物业服务，甲方也应当按照本合同约定的同等条件支付费用。</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5.本合同任何一方给另一方的通知，都应以书面或电传/传真/电报的形式发送，而另一方应以书面形式确认并发送到对方明确的地址。双方地址的确认：甲方为浙江省衢州市衢江区信安东路41号，乙方为                                    。</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6.承包期内，由于最低工资标准、社保等遇政策性的变化，不予调整合同总价。若因政策性原因，合同自动终止。</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7.乙方合同试用期为一年，如果乙方在试用期内未能履行合同相关规定，甲方有权从合同总价中扣除相应金额；如乙方违约情节严重，甲方有权解除合同并重新组织采购。</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8.乙方必须按照甲方要求承担安全保密责任，做好保密工作，并签订保密协议。</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9.合同履行期内甲乙双方均不得随意变更或解除合同。合同若有未尽事宜，需经双方共同协商，并由代理机构鉴证，订立补充协议。补充协议与本合同有同等法律效力。</w:t>
      </w:r>
    </w:p>
    <w:p>
      <w:pPr>
        <w:spacing w:line="56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10.采购文件（编号</w:t>
      </w:r>
      <w:r>
        <w:rPr>
          <w:rFonts w:hint="eastAsia" w:ascii="仿宋_GB2312" w:hAnsi="宋体" w:eastAsia="仿宋_GB2312"/>
          <w:sz w:val="28"/>
          <w:szCs w:val="28"/>
          <w:u w:val="single"/>
          <w:lang w:val="zh-CN"/>
        </w:rPr>
        <w:t xml:space="preserve">：              </w:t>
      </w:r>
      <w:r>
        <w:rPr>
          <w:rFonts w:hint="eastAsia" w:ascii="仿宋_GB2312" w:hAnsi="宋体" w:eastAsia="仿宋_GB2312"/>
          <w:sz w:val="28"/>
          <w:szCs w:val="28"/>
          <w:lang w:val="zh-CN"/>
        </w:rPr>
        <w:t>）、投标文件及评标过程中形成的文字资料、询标纪要均作为本合同的组成部分，具有同等效力。</w:t>
      </w: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11.本合同一式</w:t>
      </w:r>
      <w:r>
        <w:rPr>
          <w:rFonts w:hint="eastAsia" w:ascii="仿宋_GB2312" w:hAnsi="宋体" w:eastAsia="仿宋_GB2312"/>
          <w:sz w:val="28"/>
          <w:szCs w:val="28"/>
          <w:u w:val="single"/>
          <w:lang w:val="zh-CN"/>
        </w:rPr>
        <w:t xml:space="preserve"> 伍 </w:t>
      </w:r>
      <w:r>
        <w:rPr>
          <w:rFonts w:hint="eastAsia" w:ascii="仿宋_GB2312" w:hAnsi="宋体" w:eastAsia="仿宋_GB2312"/>
          <w:sz w:val="28"/>
          <w:szCs w:val="28"/>
          <w:lang w:val="zh-CN"/>
        </w:rPr>
        <w:t>份，甲方执</w:t>
      </w:r>
      <w:r>
        <w:rPr>
          <w:rFonts w:hint="eastAsia" w:ascii="仿宋_GB2312" w:hAnsi="宋体" w:eastAsia="仿宋_GB2312"/>
          <w:sz w:val="28"/>
          <w:szCs w:val="28"/>
          <w:u w:val="single"/>
          <w:lang w:val="zh-CN"/>
        </w:rPr>
        <w:t xml:space="preserve">  贰 </w:t>
      </w:r>
      <w:r>
        <w:rPr>
          <w:rFonts w:hint="eastAsia" w:ascii="仿宋_GB2312" w:hAnsi="宋体" w:eastAsia="仿宋_GB2312"/>
          <w:sz w:val="28"/>
          <w:szCs w:val="28"/>
          <w:lang w:val="zh-CN"/>
        </w:rPr>
        <w:t>份，乙方执贰份，衢州市衢江区政府采购中心执一份。</w:t>
      </w:r>
    </w:p>
    <w:tbl>
      <w:tblPr>
        <w:tblStyle w:val="69"/>
        <w:tblW w:w="8522" w:type="dxa"/>
        <w:tblInd w:w="0" w:type="dxa"/>
        <w:tblLayout w:type="fixed"/>
        <w:tblCellMar>
          <w:top w:w="0" w:type="dxa"/>
          <w:left w:w="108" w:type="dxa"/>
          <w:bottom w:w="0" w:type="dxa"/>
          <w:right w:w="108" w:type="dxa"/>
        </w:tblCellMar>
      </w:tblPr>
      <w:tblGrid>
        <w:gridCol w:w="4261"/>
        <w:gridCol w:w="4261"/>
      </w:tblGrid>
      <w:tr>
        <w:tblPrEx>
          <w:tblLayout w:type="fixed"/>
          <w:tblCellMar>
            <w:top w:w="0" w:type="dxa"/>
            <w:left w:w="108" w:type="dxa"/>
            <w:bottom w:w="0" w:type="dxa"/>
            <w:right w:w="108" w:type="dxa"/>
          </w:tblCellMar>
        </w:tblPrEx>
        <w:trPr>
          <w:trHeight w:val="1683" w:hRule="atLeast"/>
        </w:trPr>
        <w:tc>
          <w:tcPr>
            <w:tcW w:w="4261" w:type="dxa"/>
            <w:shd w:val="clear" w:color="auto" w:fill="auto"/>
          </w:tcPr>
          <w:p>
            <w:pPr>
              <w:spacing w:line="500" w:lineRule="exact"/>
              <w:ind w:firstLine="560" w:firstLineChars="200"/>
              <w:rPr>
                <w:rFonts w:ascii="仿宋_GB2312" w:hAnsi="宋体" w:eastAsia="仿宋_GB2312"/>
                <w:sz w:val="28"/>
                <w:szCs w:val="28"/>
                <w:lang w:val="zh-CN"/>
              </w:rPr>
            </w:pPr>
          </w:p>
          <w:p>
            <w:pPr>
              <w:spacing w:line="500" w:lineRule="exact"/>
              <w:rPr>
                <w:rFonts w:ascii="仿宋_GB2312" w:hAnsi="宋体" w:eastAsia="仿宋_GB2312"/>
                <w:sz w:val="28"/>
                <w:szCs w:val="28"/>
                <w:lang w:val="zh-CN"/>
              </w:rPr>
            </w:pPr>
          </w:p>
          <w:p>
            <w:pPr>
              <w:spacing w:line="500" w:lineRule="exact"/>
              <w:rPr>
                <w:rFonts w:ascii="仿宋_GB2312" w:hAnsi="宋体" w:eastAsia="仿宋_GB2312"/>
                <w:sz w:val="28"/>
                <w:szCs w:val="28"/>
                <w:lang w:val="zh-CN"/>
              </w:rPr>
            </w:pPr>
          </w:p>
          <w:p>
            <w:pPr>
              <w:spacing w:line="500" w:lineRule="exact"/>
              <w:rPr>
                <w:rFonts w:ascii="仿宋_GB2312" w:hAnsi="宋体" w:eastAsia="仿宋_GB2312"/>
                <w:sz w:val="28"/>
                <w:szCs w:val="28"/>
                <w:lang w:val="zh-CN"/>
              </w:rPr>
            </w:pPr>
          </w:p>
          <w:p>
            <w:pPr>
              <w:spacing w:line="500" w:lineRule="exact"/>
              <w:rPr>
                <w:rFonts w:ascii="仿宋_GB2312" w:hAnsi="宋体" w:eastAsia="仿宋_GB2312"/>
                <w:sz w:val="28"/>
                <w:szCs w:val="28"/>
                <w:lang w:val="zh-CN"/>
              </w:rPr>
            </w:pPr>
            <w:r>
              <w:rPr>
                <w:rFonts w:hint="eastAsia" w:ascii="仿宋_GB2312" w:hAnsi="宋体" w:eastAsia="仿宋_GB2312"/>
                <w:sz w:val="28"/>
                <w:szCs w:val="28"/>
                <w:lang w:val="zh-CN"/>
              </w:rPr>
              <w:t>甲方（盖章）：</w:t>
            </w: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p>
          <w:p>
            <w:pPr>
              <w:spacing w:line="500" w:lineRule="exact"/>
              <w:ind w:firstLine="560" w:firstLineChars="200"/>
              <w:rPr>
                <w:rFonts w:ascii="仿宋_GB2312" w:hAnsi="宋体" w:eastAsia="仿宋_GB2312"/>
                <w:sz w:val="28"/>
                <w:szCs w:val="28"/>
                <w:lang w:val="zh-CN"/>
              </w:rPr>
            </w:pPr>
          </w:p>
          <w:p>
            <w:pPr>
              <w:spacing w:line="500" w:lineRule="exact"/>
              <w:ind w:firstLine="560" w:firstLineChars="200"/>
              <w:rPr>
                <w:rFonts w:ascii="仿宋_GB2312" w:hAnsi="宋体" w:eastAsia="仿宋_GB2312"/>
                <w:sz w:val="28"/>
                <w:szCs w:val="28"/>
                <w:lang w:val="zh-CN"/>
              </w:rPr>
            </w:pPr>
          </w:p>
          <w:p>
            <w:pPr>
              <w:spacing w:line="500" w:lineRule="exact"/>
              <w:ind w:firstLine="560" w:firstLineChars="200"/>
              <w:rPr>
                <w:rFonts w:ascii="仿宋_GB2312" w:hAnsi="宋体" w:eastAsia="仿宋_GB2312"/>
                <w:sz w:val="28"/>
                <w:szCs w:val="28"/>
                <w:lang w:val="zh-CN"/>
              </w:rPr>
            </w:pPr>
          </w:p>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乙方（盖章）：</w:t>
            </w:r>
          </w:p>
        </w:tc>
      </w:tr>
      <w:tr>
        <w:tblPrEx>
          <w:tblLayout w:type="fixed"/>
          <w:tblCellMar>
            <w:top w:w="0" w:type="dxa"/>
            <w:left w:w="108" w:type="dxa"/>
            <w:bottom w:w="0" w:type="dxa"/>
            <w:right w:w="108" w:type="dxa"/>
          </w:tblCellMar>
        </w:tblPrEx>
        <w:trPr>
          <w:trHeight w:val="714" w:hRule="atLeast"/>
        </w:trPr>
        <w:tc>
          <w:tcPr>
            <w:tcW w:w="4261" w:type="dxa"/>
            <w:shd w:val="clear" w:color="auto" w:fill="auto"/>
          </w:tcPr>
          <w:p>
            <w:pPr>
              <w:spacing w:line="500" w:lineRule="exact"/>
              <w:rPr>
                <w:rFonts w:ascii="仿宋_GB2312" w:hAnsi="宋体" w:eastAsia="仿宋_GB2312"/>
                <w:sz w:val="28"/>
                <w:szCs w:val="28"/>
                <w:lang w:val="zh-CN"/>
              </w:rPr>
            </w:pPr>
            <w:r>
              <w:rPr>
                <w:rFonts w:hint="eastAsia" w:ascii="仿宋_GB2312" w:hAnsi="宋体" w:eastAsia="仿宋_GB2312"/>
                <w:sz w:val="28"/>
                <w:szCs w:val="28"/>
                <w:lang w:val="zh-CN"/>
              </w:rPr>
              <w:t>法定代表人或受委托人（签字）：</w:t>
            </w: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法定代表人或受委托人（签字）：</w:t>
            </w:r>
          </w:p>
        </w:tc>
      </w:tr>
      <w:tr>
        <w:tblPrEx>
          <w:tblLayout w:type="fixed"/>
          <w:tblCellMar>
            <w:top w:w="0" w:type="dxa"/>
            <w:left w:w="108" w:type="dxa"/>
            <w:bottom w:w="0" w:type="dxa"/>
            <w:right w:w="108" w:type="dxa"/>
          </w:tblCellMar>
        </w:tblPrEx>
        <w:trPr>
          <w:trHeight w:val="852" w:hRule="atLeast"/>
        </w:trPr>
        <w:tc>
          <w:tcPr>
            <w:tcW w:w="4261" w:type="dxa"/>
            <w:shd w:val="clear" w:color="auto" w:fill="auto"/>
          </w:tcPr>
          <w:p>
            <w:pPr>
              <w:spacing w:line="500" w:lineRule="exact"/>
              <w:rPr>
                <w:rFonts w:ascii="仿宋_GB2312" w:hAnsi="宋体" w:eastAsia="仿宋_GB2312"/>
                <w:sz w:val="28"/>
                <w:szCs w:val="28"/>
                <w:lang w:val="zh-CN"/>
              </w:rPr>
            </w:pPr>
            <w:r>
              <w:rPr>
                <w:rFonts w:hint="eastAsia" w:ascii="仿宋_GB2312" w:hAnsi="宋体" w:eastAsia="仿宋_GB2312"/>
                <w:sz w:val="28"/>
                <w:szCs w:val="28"/>
                <w:lang w:val="zh-CN"/>
              </w:rPr>
              <w:t>联系人：</w:t>
            </w: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联系人：</w:t>
            </w:r>
          </w:p>
        </w:tc>
      </w:tr>
      <w:tr>
        <w:tblPrEx>
          <w:tblLayout w:type="fixed"/>
          <w:tblCellMar>
            <w:top w:w="0" w:type="dxa"/>
            <w:left w:w="108" w:type="dxa"/>
            <w:bottom w:w="0" w:type="dxa"/>
            <w:right w:w="108" w:type="dxa"/>
          </w:tblCellMar>
        </w:tblPrEx>
        <w:trPr>
          <w:trHeight w:val="864" w:hRule="atLeast"/>
        </w:trPr>
        <w:tc>
          <w:tcPr>
            <w:tcW w:w="4261" w:type="dxa"/>
            <w:shd w:val="clear" w:color="auto" w:fill="auto"/>
          </w:tcPr>
          <w:p>
            <w:pPr>
              <w:spacing w:line="500" w:lineRule="exact"/>
              <w:rPr>
                <w:rFonts w:ascii="仿宋_GB2312" w:hAnsi="宋体" w:eastAsia="仿宋_GB2312"/>
                <w:sz w:val="28"/>
                <w:szCs w:val="28"/>
                <w:lang w:val="zh-CN"/>
              </w:rPr>
            </w:pPr>
            <w:r>
              <w:rPr>
                <w:rFonts w:hint="eastAsia" w:ascii="仿宋_GB2312" w:hAnsi="宋体" w:eastAsia="仿宋_GB2312"/>
                <w:sz w:val="28"/>
                <w:szCs w:val="28"/>
                <w:lang w:val="zh-CN"/>
              </w:rPr>
              <w:t>地址：</w:t>
            </w: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地址：</w:t>
            </w:r>
          </w:p>
        </w:tc>
      </w:tr>
      <w:tr>
        <w:tblPrEx>
          <w:tblLayout w:type="fixed"/>
          <w:tblCellMar>
            <w:top w:w="0" w:type="dxa"/>
            <w:left w:w="108" w:type="dxa"/>
            <w:bottom w:w="0" w:type="dxa"/>
            <w:right w:w="108" w:type="dxa"/>
          </w:tblCellMar>
        </w:tblPrEx>
        <w:tc>
          <w:tcPr>
            <w:tcW w:w="4261" w:type="dxa"/>
            <w:shd w:val="clear" w:color="auto" w:fill="auto"/>
          </w:tcPr>
          <w:p>
            <w:pPr>
              <w:spacing w:line="500" w:lineRule="exact"/>
              <w:rPr>
                <w:rFonts w:ascii="仿宋_GB2312" w:hAnsi="宋体" w:eastAsia="仿宋_GB2312"/>
                <w:sz w:val="28"/>
                <w:szCs w:val="28"/>
                <w:lang w:val="zh-CN"/>
              </w:rPr>
            </w:pPr>
            <w:r>
              <w:rPr>
                <w:rFonts w:hint="eastAsia" w:ascii="仿宋_GB2312" w:hAnsi="宋体" w:eastAsia="仿宋_GB2312"/>
                <w:sz w:val="28"/>
                <w:szCs w:val="28"/>
                <w:lang w:val="zh-CN"/>
              </w:rPr>
              <w:t>电话和传真：</w:t>
            </w: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r>
              <w:rPr>
                <w:rFonts w:hint="eastAsia" w:ascii="仿宋_GB2312" w:hAnsi="宋体" w:eastAsia="仿宋_GB2312"/>
                <w:sz w:val="28"/>
                <w:szCs w:val="28"/>
                <w:lang w:val="zh-CN"/>
              </w:rPr>
              <w:t>电话和传真：</w:t>
            </w:r>
          </w:p>
        </w:tc>
      </w:tr>
      <w:tr>
        <w:tblPrEx>
          <w:tblLayout w:type="fixed"/>
          <w:tblCellMar>
            <w:top w:w="0" w:type="dxa"/>
            <w:left w:w="108" w:type="dxa"/>
            <w:bottom w:w="0" w:type="dxa"/>
            <w:right w:w="108" w:type="dxa"/>
          </w:tblCellMar>
        </w:tblPrEx>
        <w:tc>
          <w:tcPr>
            <w:tcW w:w="4261" w:type="dxa"/>
            <w:shd w:val="clear" w:color="auto" w:fill="auto"/>
          </w:tcPr>
          <w:p>
            <w:pPr>
              <w:spacing w:line="500" w:lineRule="exact"/>
              <w:rPr>
                <w:rFonts w:ascii="仿宋_GB2312" w:hAnsi="宋体" w:eastAsia="仿宋_GB2312"/>
                <w:sz w:val="28"/>
                <w:szCs w:val="28"/>
                <w:lang w:val="zh-CN"/>
              </w:rPr>
            </w:pP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p>
        </w:tc>
      </w:tr>
      <w:tr>
        <w:tblPrEx>
          <w:tblLayout w:type="fixed"/>
          <w:tblCellMar>
            <w:top w:w="0" w:type="dxa"/>
            <w:left w:w="108" w:type="dxa"/>
            <w:bottom w:w="0" w:type="dxa"/>
            <w:right w:w="108" w:type="dxa"/>
          </w:tblCellMar>
        </w:tblPrEx>
        <w:tc>
          <w:tcPr>
            <w:tcW w:w="4261" w:type="dxa"/>
            <w:shd w:val="clear" w:color="auto" w:fill="auto"/>
          </w:tcPr>
          <w:p>
            <w:pPr>
              <w:spacing w:line="500" w:lineRule="exact"/>
              <w:ind w:firstLine="560" w:firstLineChars="200"/>
              <w:rPr>
                <w:rFonts w:ascii="仿宋_GB2312" w:hAnsi="宋体" w:eastAsia="仿宋_GB2312"/>
                <w:sz w:val="28"/>
                <w:szCs w:val="28"/>
                <w:lang w:val="zh-CN"/>
              </w:rPr>
            </w:pPr>
          </w:p>
        </w:tc>
        <w:tc>
          <w:tcPr>
            <w:tcW w:w="4261" w:type="dxa"/>
            <w:shd w:val="clear" w:color="auto" w:fill="auto"/>
          </w:tcPr>
          <w:p>
            <w:pPr>
              <w:spacing w:line="500" w:lineRule="exact"/>
              <w:ind w:firstLine="560" w:firstLineChars="200"/>
              <w:rPr>
                <w:rFonts w:ascii="仿宋_GB2312" w:hAnsi="宋体" w:eastAsia="仿宋_GB2312"/>
                <w:sz w:val="28"/>
                <w:szCs w:val="28"/>
                <w:lang w:val="zh-CN"/>
              </w:rPr>
            </w:pPr>
          </w:p>
        </w:tc>
      </w:tr>
    </w:tbl>
    <w:p>
      <w:pPr>
        <w:snapToGrid w:val="0"/>
        <w:spacing w:line="500" w:lineRule="exact"/>
        <w:ind w:firstLine="1600"/>
        <w:outlineLvl w:val="0"/>
        <w:rPr>
          <w:rFonts w:ascii="仿宋_GB2312" w:hAnsi="宋体" w:eastAsia="仿宋_GB2312" w:cs="宋体"/>
          <w:b/>
          <w:sz w:val="32"/>
          <w:szCs w:val="32"/>
        </w:rPr>
      </w:pPr>
      <w:r>
        <w:rPr>
          <w:rFonts w:hint="eastAsia" w:ascii="仿宋_GB2312" w:hAnsi="宋体" w:eastAsia="仿宋_GB2312" w:cs="宋体"/>
          <w:b/>
          <w:sz w:val="32"/>
          <w:szCs w:val="32"/>
        </w:rPr>
        <w:br w:type="page"/>
      </w:r>
    </w:p>
    <w:p>
      <w:pPr>
        <w:snapToGrid w:val="0"/>
        <w:spacing w:line="500" w:lineRule="exact"/>
        <w:ind w:firstLine="1600"/>
        <w:outlineLvl w:val="0"/>
        <w:rPr>
          <w:rFonts w:ascii="仿宋_GB2312" w:hAnsi="宋体" w:eastAsia="仿宋_GB2312" w:cs="宋体"/>
          <w:b/>
          <w:sz w:val="32"/>
          <w:szCs w:val="32"/>
        </w:rPr>
      </w:pPr>
      <w:r>
        <w:rPr>
          <w:rFonts w:hint="eastAsia" w:ascii="仿宋_GB2312" w:hAnsi="宋体" w:eastAsia="仿宋_GB2312" w:cs="宋体"/>
          <w:b/>
          <w:sz w:val="32"/>
          <w:szCs w:val="32"/>
        </w:rPr>
        <w:t>第五章  应提交的有关格式范例</w:t>
      </w:r>
      <w:bookmarkEnd w:id="30"/>
      <w:bookmarkEnd w:id="31"/>
      <w:bookmarkEnd w:id="32"/>
      <w:bookmarkEnd w:id="33"/>
    </w:p>
    <w:p>
      <w:pPr>
        <w:snapToGrid w:val="0"/>
        <w:spacing w:line="500" w:lineRule="exact"/>
        <w:ind w:firstLine="2783" w:firstLineChars="990"/>
        <w:rPr>
          <w:rFonts w:ascii="仿宋_GB2312" w:hAnsi="宋体" w:eastAsia="仿宋_GB2312" w:cs="宋体"/>
          <w:b/>
          <w:sz w:val="32"/>
          <w:szCs w:val="32"/>
        </w:rPr>
      </w:pPr>
      <w:r>
        <w:rPr>
          <w:rStyle w:val="108"/>
          <w:rFonts w:hint="eastAsia" w:ascii="仿宋_GB2312" w:hAnsi="黑体" w:eastAsia="仿宋_GB2312"/>
          <w:sz w:val="28"/>
          <w:szCs w:val="28"/>
        </w:rPr>
        <w:t>一、投标文件封面</w:t>
      </w:r>
    </w:p>
    <w:p>
      <w:pPr>
        <w:ind w:left="1800" w:leftChars="857"/>
        <w:jc w:val="right"/>
        <w:rPr>
          <w:rFonts w:ascii="仿宋_GB2312" w:eastAsia="仿宋_GB2312"/>
          <w:sz w:val="32"/>
          <w:szCs w:val="32"/>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rPr>
          <w:rFonts w:ascii="仿宋_GB2312" w:eastAsia="仿宋_GB2312"/>
          <w:sz w:val="28"/>
          <w:szCs w:val="28"/>
        </w:rPr>
      </w:pPr>
    </w:p>
    <w:p>
      <w:pPr>
        <w:snapToGrid w:val="0"/>
        <w:spacing w:line="520" w:lineRule="exact"/>
        <w:jc w:val="center"/>
        <w:rPr>
          <w:rFonts w:ascii="仿宋_GB2312" w:eastAsia="仿宋_GB2312"/>
          <w:sz w:val="44"/>
          <w:szCs w:val="44"/>
        </w:rPr>
      </w:pPr>
      <w:r>
        <w:rPr>
          <w:rFonts w:hint="eastAsia" w:ascii="仿宋_GB2312" w:eastAsia="仿宋_GB2312"/>
          <w:sz w:val="44"/>
          <w:szCs w:val="44"/>
        </w:rPr>
        <w:t>资格审查文件或技术商务文件或报价文件</w:t>
      </w:r>
    </w:p>
    <w:p>
      <w:pPr>
        <w:snapToGrid w:val="0"/>
        <w:spacing w:line="520" w:lineRule="exact"/>
        <w:jc w:val="center"/>
        <w:rPr>
          <w:rFonts w:ascii="仿宋_GB2312" w:eastAsia="仿宋_GB2312"/>
          <w:sz w:val="44"/>
          <w:szCs w:val="44"/>
        </w:rPr>
      </w:pPr>
      <w:bookmarkStart w:id="34" w:name="_Toc357410801"/>
      <w:r>
        <w:rPr>
          <w:rFonts w:hint="eastAsia" w:ascii="仿宋_GB2312" w:eastAsia="仿宋_GB2312"/>
          <w:sz w:val="44"/>
          <w:szCs w:val="44"/>
        </w:rPr>
        <w:t>（</w:t>
      </w:r>
      <w:r>
        <w:rPr>
          <w:rFonts w:hint="eastAsia" w:ascii="仿宋_GB2312" w:eastAsia="仿宋_GB2312"/>
          <w:color w:val="FF0000"/>
          <w:sz w:val="44"/>
          <w:szCs w:val="44"/>
        </w:rPr>
        <w:t>只能写一个</w:t>
      </w:r>
      <w:r>
        <w:rPr>
          <w:rFonts w:hint="eastAsia" w:ascii="仿宋_GB2312" w:eastAsia="仿宋_GB2312"/>
          <w:sz w:val="44"/>
          <w:szCs w:val="44"/>
        </w:rPr>
        <w:t>）</w:t>
      </w:r>
      <w:bookmarkEnd w:id="34"/>
    </w:p>
    <w:p>
      <w:pPr>
        <w:snapToGrid w:val="0"/>
        <w:spacing w:line="520" w:lineRule="exact"/>
        <w:ind w:firstLine="1962" w:firstLineChars="698"/>
        <w:rPr>
          <w:rFonts w:ascii="仿宋_GB2312" w:eastAsia="仿宋_GB2312"/>
          <w:b/>
          <w:sz w:val="28"/>
          <w:szCs w:val="28"/>
        </w:rPr>
      </w:pPr>
    </w:p>
    <w:p>
      <w:pPr>
        <w:snapToGrid w:val="0"/>
        <w:spacing w:line="600" w:lineRule="exact"/>
        <w:rPr>
          <w:rFonts w:ascii="仿宋_GB2312" w:hAnsi="宋体" w:eastAsia="仿宋_GB2312"/>
          <w:sz w:val="28"/>
          <w:szCs w:val="28"/>
          <w:u w:val="single"/>
        </w:rPr>
      </w:pPr>
      <w:bookmarkStart w:id="35" w:name="_Toc357410802"/>
      <w:r>
        <w:rPr>
          <w:rFonts w:hint="eastAsia" w:ascii="仿宋_GB2312" w:hAnsi="宋体" w:eastAsia="仿宋_GB2312"/>
          <w:sz w:val="28"/>
          <w:szCs w:val="28"/>
        </w:rPr>
        <w:t>项目名称：</w:t>
      </w:r>
      <w:bookmarkEnd w:id="35"/>
    </w:p>
    <w:p>
      <w:pPr>
        <w:snapToGrid w:val="0"/>
        <w:spacing w:line="600" w:lineRule="exact"/>
        <w:rPr>
          <w:rFonts w:ascii="仿宋_GB2312" w:hAnsi="宋体" w:eastAsia="仿宋_GB2312"/>
          <w:sz w:val="28"/>
          <w:szCs w:val="28"/>
          <w:u w:val="single"/>
        </w:rPr>
      </w:pPr>
      <w:bookmarkStart w:id="36" w:name="_Toc357410803"/>
      <w:r>
        <w:rPr>
          <w:rFonts w:hint="eastAsia" w:ascii="仿宋_GB2312" w:hAnsi="宋体" w:eastAsia="仿宋_GB2312"/>
          <w:sz w:val="28"/>
          <w:szCs w:val="28"/>
        </w:rPr>
        <w:t>项目编号：</w:t>
      </w:r>
      <w:bookmarkEnd w:id="36"/>
    </w:p>
    <w:p>
      <w:pPr>
        <w:snapToGrid w:val="0"/>
        <w:spacing w:line="600" w:lineRule="exact"/>
        <w:rPr>
          <w:rFonts w:ascii="仿宋_GB2312" w:hAnsi="宋体" w:eastAsia="仿宋_GB2312"/>
          <w:sz w:val="28"/>
          <w:szCs w:val="28"/>
        </w:rPr>
      </w:pPr>
      <w:bookmarkStart w:id="37" w:name="_Toc357410804"/>
      <w:r>
        <w:rPr>
          <w:rFonts w:hint="eastAsia" w:ascii="仿宋_GB2312" w:hAnsi="宋体" w:eastAsia="仿宋_GB2312"/>
          <w:sz w:val="28"/>
          <w:szCs w:val="28"/>
        </w:rPr>
        <w:t>投标人：</w:t>
      </w:r>
      <w:r>
        <w:rPr>
          <w:rFonts w:hint="eastAsia" w:ascii="仿宋_GB2312" w:hAnsi="宋体" w:eastAsia="仿宋_GB2312"/>
          <w:sz w:val="28"/>
          <w:szCs w:val="28"/>
          <w:u w:val="single"/>
        </w:rPr>
        <w:t xml:space="preserve">                       （盖单位公章）</w:t>
      </w:r>
      <w:bookmarkEnd w:id="37"/>
    </w:p>
    <w:p>
      <w:pPr>
        <w:snapToGrid w:val="0"/>
        <w:spacing w:line="600" w:lineRule="exact"/>
        <w:rPr>
          <w:rFonts w:ascii="仿宋_GB2312" w:eastAsia="仿宋_GB2312"/>
          <w:sz w:val="28"/>
          <w:szCs w:val="28"/>
        </w:rPr>
      </w:pPr>
      <w:bookmarkStart w:id="38" w:name="_Toc357410805"/>
      <w:r>
        <w:rPr>
          <w:rFonts w:hint="eastAsia" w:ascii="仿宋_GB2312" w:hAnsi="宋体" w:eastAsia="仿宋_GB2312"/>
          <w:sz w:val="28"/>
          <w:szCs w:val="28"/>
        </w:rPr>
        <w:t>日期：</w:t>
      </w:r>
      <w:r>
        <w:rPr>
          <w:rFonts w:hint="eastAsia" w:ascii="仿宋_GB2312" w:eastAsia="仿宋_GB2312"/>
          <w:sz w:val="28"/>
          <w:szCs w:val="28"/>
        </w:rPr>
        <w:t>年月 日</w:t>
      </w:r>
      <w:bookmarkEnd w:id="38"/>
    </w:p>
    <w:p>
      <w:pPr>
        <w:snapToGrid w:val="0"/>
        <w:spacing w:line="500" w:lineRule="exact"/>
        <w:jc w:val="center"/>
        <w:rPr>
          <w:rStyle w:val="108"/>
          <w:rFonts w:ascii="仿宋_GB2312" w:hAnsi="黑体" w:eastAsia="仿宋_GB2312"/>
          <w:sz w:val="28"/>
          <w:szCs w:val="28"/>
        </w:rPr>
      </w:pPr>
      <w:r>
        <w:rPr>
          <w:rStyle w:val="108"/>
          <w:rFonts w:ascii="仿宋_GB2312" w:hAnsi="黑体" w:eastAsia="仿宋_GB2312"/>
          <w:sz w:val="28"/>
          <w:szCs w:val="28"/>
        </w:rPr>
        <w:br w:type="page"/>
      </w:r>
      <w:bookmarkStart w:id="39" w:name="_Toc476645118"/>
      <w:r>
        <w:rPr>
          <w:rStyle w:val="108"/>
          <w:rFonts w:hint="eastAsia" w:ascii="仿宋_GB2312" w:hAnsi="黑体" w:eastAsia="仿宋_GB2312"/>
          <w:sz w:val="28"/>
          <w:szCs w:val="28"/>
        </w:rPr>
        <w:t>二、资格审查文件</w:t>
      </w:r>
      <w:bookmarkEnd w:id="39"/>
    </w:p>
    <w:p>
      <w:pPr>
        <w:jc w:val="center"/>
        <w:rPr>
          <w:rStyle w:val="108"/>
          <w:rFonts w:ascii="仿宋_GB2312" w:hAnsi="黑体" w:eastAsia="仿宋_GB2312"/>
          <w:b w:val="0"/>
          <w:sz w:val="28"/>
          <w:szCs w:val="28"/>
        </w:rPr>
      </w:pPr>
      <w:r>
        <w:rPr>
          <w:rStyle w:val="108"/>
          <w:rFonts w:hint="eastAsia" w:ascii="仿宋_GB2312" w:hAnsi="黑体" w:eastAsia="仿宋_GB2312"/>
          <w:b w:val="0"/>
          <w:sz w:val="28"/>
          <w:szCs w:val="28"/>
        </w:rPr>
        <w:t>1 投标函</w:t>
      </w:r>
    </w:p>
    <w:p>
      <w:pPr>
        <w:ind w:firstLine="3920"/>
        <w:rPr>
          <w:rFonts w:ascii="仿宋_GB2312" w:eastAsia="仿宋_GB2312"/>
          <w:sz w:val="28"/>
          <w:szCs w:val="28"/>
        </w:rPr>
      </w:pP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致：衢州市衢江区政府采购中心：</w:t>
      </w:r>
    </w:p>
    <w:p>
      <w:pPr>
        <w:snapToGrid w:val="0"/>
        <w:spacing w:line="500" w:lineRule="exact"/>
        <w:ind w:firstLine="480"/>
        <w:rPr>
          <w:rFonts w:ascii="仿宋_GB2312" w:hAnsi="宋体" w:eastAsia="仿宋_GB2312"/>
          <w:color w:val="000000"/>
          <w:sz w:val="28"/>
          <w:szCs w:val="28"/>
        </w:rPr>
      </w:pPr>
      <w:r>
        <w:rPr>
          <w:rFonts w:hint="eastAsia" w:ascii="仿宋_GB2312" w:hAnsi="宋体" w:eastAsia="仿宋_GB2312"/>
          <w:color w:val="000000"/>
          <w:sz w:val="28"/>
          <w:szCs w:val="28"/>
        </w:rPr>
        <w:t>根据贵方为项目的招标公告（项目编号：），签字代表 （全名）经正式授权并代表投标人 （投标人名称）提交资格审查文件、技术商务文件、报价文件。</w:t>
      </w:r>
    </w:p>
    <w:p>
      <w:pPr>
        <w:snapToGrid w:val="0"/>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据此函，签字代表宣布同意如下：</w:t>
      </w:r>
    </w:p>
    <w:p>
      <w:pPr>
        <w:pStyle w:val="35"/>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1.我方向贵方提交的所有投标文件、资料都是准确的和真实的。</w:t>
      </w:r>
    </w:p>
    <w:p>
      <w:pPr>
        <w:snapToGrid w:val="0"/>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2.我方已详细审查全部“招标文件”，包括修改文件（如有的话）以及全部参考资料和有关附件，已经了解我方对于招标文件、采购过程、采购结果有依法进行询问、质疑、投诉的权利及相关渠道和要求。</w:t>
      </w:r>
    </w:p>
    <w:p>
      <w:pPr>
        <w:snapToGrid w:val="0"/>
        <w:spacing w:line="500" w:lineRule="exact"/>
        <w:ind w:firstLine="560" w:firstLineChars="200"/>
        <w:rPr>
          <w:rFonts w:ascii="仿宋_GB2312" w:eastAsia="仿宋_GB2312"/>
          <w:color w:val="000000"/>
          <w:sz w:val="28"/>
          <w:szCs w:val="28"/>
        </w:rPr>
      </w:pPr>
      <w:r>
        <w:rPr>
          <w:rFonts w:hint="eastAsia" w:ascii="仿宋_GB2312" w:eastAsia="仿宋_GB2312"/>
          <w:color w:val="000000"/>
          <w:sz w:val="28"/>
          <w:szCs w:val="28"/>
        </w:rPr>
        <w:t>3. 我方在投标之前已经与贵方进行了充分的沟通，完全理解并接受招标文件的各项规定和要求，对招标文件的合理性、合法性不再有异议。</w:t>
      </w:r>
    </w:p>
    <w:p>
      <w:pPr>
        <w:snapToGrid w:val="0"/>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4.本投标有效期自开标日起 日。</w:t>
      </w:r>
    </w:p>
    <w:p>
      <w:pPr>
        <w:snapToGrid w:val="0"/>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5.如中标，本投标文件至本项目合同履行完毕止均保持有效，本投标人将按“招标文件”及政府采购法律、法规的规定履行合同责任和义务。</w:t>
      </w:r>
    </w:p>
    <w:p>
      <w:pPr>
        <w:snapToGrid w:val="0"/>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6.我方同意按照贵方要求提供与投标有关的一切数据或资料。</w:t>
      </w:r>
    </w:p>
    <w:p>
      <w:pPr>
        <w:snapToGrid w:val="0"/>
        <w:spacing w:line="500" w:lineRule="exact"/>
        <w:ind w:firstLine="560" w:firstLineChars="200"/>
        <w:rPr>
          <w:rFonts w:ascii="仿宋_GB2312" w:hAnsi="宋体" w:eastAsia="仿宋_GB2312"/>
          <w:color w:val="000000"/>
          <w:sz w:val="28"/>
          <w:szCs w:val="28"/>
        </w:rPr>
      </w:pPr>
      <w:r>
        <w:rPr>
          <w:rFonts w:hint="eastAsia" w:ascii="仿宋_GB2312" w:hAnsi="宋体" w:eastAsia="仿宋_GB2312"/>
          <w:color w:val="000000"/>
          <w:sz w:val="28"/>
          <w:szCs w:val="28"/>
        </w:rPr>
        <w:t>7.与本投标有关的一切正式往来信函请寄：</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地址：    邮编：   电话：</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传真： 投标人代表姓名： 职务：</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投标人名称(公章):</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开户银行：   银行帐号：</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被授权代表签字:</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日期:年月日</w:t>
      </w:r>
    </w:p>
    <w:p>
      <w:pPr>
        <w:spacing w:line="560" w:lineRule="exact"/>
        <w:ind w:firstLine="560" w:firstLineChars="200"/>
        <w:rPr>
          <w:rFonts w:ascii="仿宋_GB2312" w:hAnsi="宋体" w:eastAsia="仿宋_GB2312"/>
          <w:color w:val="000000"/>
          <w:sz w:val="28"/>
          <w:szCs w:val="28"/>
        </w:rPr>
        <w:sectPr>
          <w:pgSz w:w="11906" w:h="16838"/>
          <w:pgMar w:top="1389" w:right="1247" w:bottom="1389" w:left="1247" w:header="851" w:footer="992" w:gutter="283"/>
          <w:cols w:space="0" w:num="1"/>
          <w:docGrid w:linePitch="312" w:charSpace="0"/>
        </w:sectPr>
      </w:pPr>
    </w:p>
    <w:p>
      <w:pPr>
        <w:spacing w:line="600" w:lineRule="exact"/>
        <w:jc w:val="center"/>
        <w:rPr>
          <w:rFonts w:hAnsi="黑体"/>
        </w:rPr>
      </w:pPr>
      <w:r>
        <w:rPr>
          <w:rFonts w:hint="eastAsia" w:ascii="仿宋_GB2312" w:eastAsia="仿宋_GB2312"/>
          <w:bCs/>
          <w:sz w:val="28"/>
          <w:szCs w:val="28"/>
        </w:rPr>
        <w:t>2 法定代表人（负责人）授权书</w:t>
      </w:r>
    </w:p>
    <w:p>
      <w:pPr>
        <w:spacing w:line="360" w:lineRule="auto"/>
        <w:rPr>
          <w:rFonts w:ascii="仿宋_GB2312" w:eastAsia="仿宋_GB2312"/>
          <w:sz w:val="28"/>
          <w:szCs w:val="28"/>
        </w:rPr>
      </w:pPr>
    </w:p>
    <w:p>
      <w:pPr>
        <w:spacing w:line="360" w:lineRule="auto"/>
        <w:rPr>
          <w:rFonts w:ascii="仿宋_GB2312" w:eastAsia="仿宋_GB2312"/>
          <w:sz w:val="28"/>
          <w:szCs w:val="28"/>
        </w:rPr>
      </w:pPr>
      <w:r>
        <w:rPr>
          <w:rFonts w:hint="eastAsia" w:ascii="仿宋_GB2312" w:eastAsia="仿宋_GB2312"/>
          <w:sz w:val="28"/>
          <w:szCs w:val="28"/>
        </w:rPr>
        <w:t>衢州市衢江区政府采购中心 ：</w:t>
      </w:r>
    </w:p>
    <w:p>
      <w:pPr>
        <w:spacing w:line="360" w:lineRule="auto"/>
        <w:ind w:left="139" w:leftChars="66"/>
        <w:rPr>
          <w:rFonts w:ascii="仿宋_GB2312" w:eastAsia="仿宋_GB2312"/>
          <w:sz w:val="28"/>
          <w:szCs w:val="28"/>
        </w:rPr>
      </w:pPr>
      <w:r>
        <w:rPr>
          <w:rFonts w:hint="eastAsia" w:ascii="仿宋_GB2312" w:eastAsia="仿宋_GB2312"/>
          <w:sz w:val="28"/>
          <w:szCs w:val="28"/>
        </w:rPr>
        <w:t>（投标人全称）法定代表人（负责人）授权（全权代表姓名）为全权代表，参加贵方组织的项目（项目编号：），并全权处理采购活动中的一切事宜。</w:t>
      </w:r>
    </w:p>
    <w:p>
      <w:pPr>
        <w:spacing w:beforeLines="50" w:afterLines="50" w:line="360" w:lineRule="auto"/>
        <w:rPr>
          <w:rFonts w:ascii="仿宋_GB2312" w:eastAsia="仿宋_GB2312"/>
          <w:sz w:val="28"/>
          <w:szCs w:val="28"/>
        </w:rPr>
      </w:pPr>
      <w:r>
        <w:rPr>
          <w:rFonts w:hint="eastAsia" w:ascii="仿宋_GB2312" w:eastAsia="仿宋_GB2312"/>
          <w:sz w:val="28"/>
          <w:szCs w:val="28"/>
        </w:rPr>
        <w:t>法定代表人</w:t>
      </w:r>
      <w:r>
        <w:rPr>
          <w:rFonts w:hint="eastAsia" w:ascii="仿宋_GB2312" w:eastAsia="仿宋_GB2312"/>
          <w:bCs/>
          <w:sz w:val="28"/>
          <w:szCs w:val="28"/>
        </w:rPr>
        <w:t>（负责人）</w:t>
      </w:r>
      <w:r>
        <w:rPr>
          <w:rFonts w:hint="eastAsia" w:ascii="仿宋_GB2312" w:eastAsia="仿宋_GB2312"/>
          <w:sz w:val="28"/>
          <w:szCs w:val="28"/>
        </w:rPr>
        <w:t>签字或盖章：</w:t>
      </w:r>
    </w:p>
    <w:p>
      <w:pPr>
        <w:spacing w:beforeLines="50" w:afterLines="50" w:line="360" w:lineRule="auto"/>
        <w:rPr>
          <w:rFonts w:ascii="仿宋_GB2312" w:eastAsia="仿宋_GB2312"/>
          <w:sz w:val="28"/>
          <w:szCs w:val="28"/>
        </w:rPr>
      </w:pPr>
      <w:r>
        <w:rPr>
          <w:rFonts w:hint="eastAsia" w:ascii="仿宋_GB2312" w:eastAsia="仿宋_GB2312"/>
          <w:sz w:val="28"/>
          <w:szCs w:val="28"/>
        </w:rPr>
        <w:t>投标人全称（公章）：</w:t>
      </w:r>
    </w:p>
    <w:p>
      <w:pPr>
        <w:spacing w:beforeLines="50" w:afterLines="50" w:line="360" w:lineRule="auto"/>
        <w:rPr>
          <w:rFonts w:ascii="仿宋_GB2312" w:eastAsia="仿宋_GB2312"/>
          <w:sz w:val="28"/>
          <w:szCs w:val="28"/>
        </w:rPr>
      </w:pPr>
      <w:r>
        <w:rPr>
          <w:rFonts w:hint="eastAsia" w:ascii="仿宋_GB2312" w:eastAsia="仿宋_GB2312"/>
          <w:sz w:val="28"/>
          <w:szCs w:val="28"/>
        </w:rPr>
        <w:t>日  期：</w:t>
      </w:r>
    </w:p>
    <w:p>
      <w:pPr>
        <w:spacing w:line="360" w:lineRule="auto"/>
        <w:rPr>
          <w:rFonts w:ascii="仿宋_GB2312" w:eastAsia="仿宋_GB2312"/>
          <w:sz w:val="28"/>
          <w:szCs w:val="28"/>
        </w:rPr>
      </w:pPr>
      <w:r>
        <w:rPr>
          <w:rFonts w:hint="eastAsia" w:ascii="仿宋_GB2312" w:eastAsia="仿宋_GB2312"/>
          <w:sz w:val="28"/>
          <w:szCs w:val="28"/>
        </w:rPr>
        <w:t>附：</w:t>
      </w:r>
    </w:p>
    <w:p>
      <w:pPr>
        <w:spacing w:line="360" w:lineRule="auto"/>
        <w:rPr>
          <w:rFonts w:ascii="仿宋_GB2312" w:eastAsia="仿宋_GB2312"/>
          <w:sz w:val="28"/>
          <w:szCs w:val="28"/>
        </w:rPr>
      </w:pPr>
      <w:r>
        <w:rPr>
          <w:rFonts w:hint="eastAsia" w:ascii="仿宋_GB2312" w:eastAsia="仿宋_GB2312"/>
          <w:sz w:val="28"/>
          <w:szCs w:val="28"/>
        </w:rPr>
        <w:t>被授权代表姓名：           性别：</w:t>
      </w:r>
    </w:p>
    <w:p>
      <w:pPr>
        <w:spacing w:line="360" w:lineRule="auto"/>
        <w:rPr>
          <w:rFonts w:ascii="仿宋_GB2312" w:eastAsia="仿宋_GB2312"/>
          <w:sz w:val="28"/>
          <w:szCs w:val="28"/>
        </w:rPr>
      </w:pPr>
      <w:r>
        <w:rPr>
          <w:rFonts w:hint="eastAsia" w:ascii="仿宋_GB2312" w:eastAsia="仿宋_GB2312"/>
          <w:sz w:val="28"/>
          <w:szCs w:val="28"/>
        </w:rPr>
        <w:t>职务：                   职称：</w:t>
      </w:r>
    </w:p>
    <w:p>
      <w:pPr>
        <w:spacing w:line="360" w:lineRule="auto"/>
        <w:rPr>
          <w:rFonts w:ascii="仿宋_GB2312" w:eastAsia="仿宋_GB2312"/>
          <w:sz w:val="28"/>
          <w:szCs w:val="28"/>
        </w:rPr>
      </w:pPr>
      <w:r>
        <w:rPr>
          <w:rFonts w:hint="eastAsia" w:ascii="仿宋_GB2312" w:eastAsia="仿宋_GB2312"/>
          <w:sz w:val="28"/>
          <w:szCs w:val="28"/>
        </w:rPr>
        <w:t>详细通讯地址：</w:t>
      </w:r>
    </w:p>
    <w:p>
      <w:pPr>
        <w:spacing w:line="360" w:lineRule="auto"/>
        <w:rPr>
          <w:rFonts w:ascii="仿宋_GB2312" w:eastAsia="仿宋_GB2312"/>
          <w:sz w:val="28"/>
          <w:szCs w:val="28"/>
        </w:rPr>
      </w:pPr>
      <w:r>
        <w:rPr>
          <w:rFonts w:hint="eastAsia" w:ascii="仿宋_GB2312" w:eastAsia="仿宋_GB2312"/>
          <w:sz w:val="28"/>
          <w:szCs w:val="28"/>
        </w:rPr>
        <w:t>电话：                   传真：</w:t>
      </w:r>
    </w:p>
    <w:p>
      <w:pPr>
        <w:spacing w:line="360" w:lineRule="auto"/>
        <w:rPr>
          <w:rFonts w:ascii="仿宋_GB2312" w:eastAsia="仿宋_GB2312"/>
          <w:sz w:val="28"/>
          <w:szCs w:val="28"/>
        </w:rPr>
      </w:pPr>
      <w:r>
        <w:rPr>
          <w:rFonts w:hint="eastAsia" w:ascii="仿宋_GB2312" w:eastAsia="仿宋_GB2312"/>
          <w:sz w:val="28"/>
          <w:szCs w:val="28"/>
        </w:rPr>
        <w:t>移动电话：</w:t>
      </w:r>
    </w:p>
    <w:p>
      <w:pPr>
        <w:spacing w:line="360" w:lineRule="auto"/>
        <w:rPr>
          <w:rFonts w:ascii="仿宋_GB2312" w:eastAsia="仿宋_GB2312"/>
          <w:sz w:val="28"/>
          <w:szCs w:val="28"/>
        </w:rPr>
      </w:pPr>
      <w:r>
        <w:rPr>
          <w:rFonts w:hint="eastAsia" w:ascii="仿宋_GB2312" w:eastAsia="仿宋_GB2312"/>
          <w:sz w:val="28"/>
          <w:szCs w:val="28"/>
        </w:rPr>
        <w:t>邮政编码：</w:t>
      </w: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360" w:lineRule="auto"/>
        <w:rPr>
          <w:rFonts w:ascii="仿宋_GB2312" w:eastAsia="仿宋_GB2312"/>
          <w:sz w:val="28"/>
          <w:szCs w:val="28"/>
        </w:rPr>
      </w:pPr>
    </w:p>
    <w:p>
      <w:pPr>
        <w:spacing w:line="500" w:lineRule="exact"/>
        <w:jc w:val="center"/>
        <w:rPr>
          <w:rFonts w:ascii="仿宋_GB2312" w:eastAsia="仿宋_GB2312"/>
          <w:sz w:val="28"/>
          <w:szCs w:val="28"/>
        </w:rPr>
      </w:pPr>
      <w:r>
        <w:rPr>
          <w:rFonts w:ascii="仿宋_GB2312" w:eastAsia="仿宋_GB2312"/>
          <w:sz w:val="28"/>
          <w:szCs w:val="28"/>
        </w:rPr>
        <w:br w:type="page"/>
      </w:r>
      <w:r>
        <w:rPr>
          <w:rFonts w:hint="eastAsia" w:ascii="仿宋_GB2312" w:eastAsia="仿宋_GB2312"/>
          <w:sz w:val="28"/>
          <w:szCs w:val="28"/>
        </w:rPr>
        <w:t>3  符合《中华人民共和国政府采购法》第二十二条要求的承诺函</w:t>
      </w:r>
    </w:p>
    <w:p>
      <w:pPr>
        <w:pStyle w:val="224"/>
        <w:spacing w:line="540" w:lineRule="exact"/>
        <w:ind w:firstLine="0" w:firstLineChars="0"/>
        <w:jc w:val="center"/>
        <w:rPr>
          <w:sz w:val="28"/>
          <w:lang w:val="zh-CN"/>
        </w:rPr>
      </w:pPr>
    </w:p>
    <w:p>
      <w:pPr>
        <w:pStyle w:val="224"/>
        <w:spacing w:line="540" w:lineRule="exact"/>
        <w:ind w:firstLine="0" w:firstLineChars="0"/>
        <w:jc w:val="left"/>
        <w:rPr>
          <w:sz w:val="28"/>
          <w:lang w:val="zh-CN"/>
        </w:rPr>
      </w:pPr>
      <w:r>
        <w:rPr>
          <w:rFonts w:hint="eastAsia"/>
          <w:sz w:val="28"/>
          <w:lang w:val="zh-CN"/>
        </w:rPr>
        <w:t>（采购人名称）     ：</w:t>
      </w:r>
    </w:p>
    <w:p>
      <w:pPr>
        <w:pStyle w:val="224"/>
        <w:spacing w:line="540" w:lineRule="exact"/>
        <w:ind w:firstLine="0" w:firstLineChars="0"/>
        <w:jc w:val="center"/>
        <w:rPr>
          <w:sz w:val="28"/>
          <w:lang w:val="zh-CN"/>
        </w:rPr>
      </w:pPr>
    </w:p>
    <w:p>
      <w:pPr>
        <w:pStyle w:val="224"/>
        <w:spacing w:line="540" w:lineRule="exact"/>
        <w:ind w:firstLine="560" w:firstLineChars="200"/>
        <w:jc w:val="left"/>
        <w:rPr>
          <w:sz w:val="28"/>
          <w:lang w:val="zh-CN"/>
        </w:rPr>
      </w:pPr>
      <w:r>
        <w:rPr>
          <w:rFonts w:hint="eastAsia"/>
          <w:sz w:val="28"/>
          <w:lang w:val="zh-CN"/>
        </w:rPr>
        <w:t>根据贵方        项目（项目编号：     ）采购文件要求，我公司在完全理解采购文件技术要求、商务条款及其他内容的基础上，决定参与该项目的投标活动。并承诺，我公司符合政府采购法第二十二条规定的资格条件。</w:t>
      </w:r>
    </w:p>
    <w:p>
      <w:pPr>
        <w:pStyle w:val="224"/>
        <w:spacing w:line="540" w:lineRule="exact"/>
        <w:ind w:firstLine="560" w:firstLineChars="200"/>
        <w:jc w:val="left"/>
        <w:rPr>
          <w:sz w:val="28"/>
          <w:lang w:val="zh-CN"/>
        </w:rPr>
      </w:pPr>
      <w:r>
        <w:rPr>
          <w:rFonts w:hint="eastAsia"/>
          <w:sz w:val="28"/>
          <w:lang w:val="zh-CN"/>
        </w:rPr>
        <w:t>（一）</w:t>
      </w:r>
      <w:r>
        <w:rPr>
          <w:rFonts w:hint="eastAsia"/>
          <w:sz w:val="28"/>
        </w:rPr>
        <w:t>本公司</w:t>
      </w:r>
      <w:r>
        <w:rPr>
          <w:rFonts w:hint="eastAsia"/>
          <w:sz w:val="28"/>
          <w:lang w:val="zh-CN"/>
        </w:rPr>
        <w:t>具有独立承担民事责任的能力；</w:t>
      </w:r>
    </w:p>
    <w:p>
      <w:pPr>
        <w:pStyle w:val="224"/>
        <w:spacing w:line="540" w:lineRule="exact"/>
        <w:ind w:firstLine="560" w:firstLineChars="200"/>
        <w:jc w:val="left"/>
        <w:rPr>
          <w:sz w:val="28"/>
          <w:lang w:val="zh-CN"/>
        </w:rPr>
      </w:pPr>
      <w:r>
        <w:rPr>
          <w:rFonts w:hint="eastAsia"/>
          <w:sz w:val="28"/>
          <w:lang w:val="zh-CN"/>
        </w:rPr>
        <w:t>（二）</w:t>
      </w:r>
      <w:r>
        <w:rPr>
          <w:rFonts w:hint="eastAsia"/>
          <w:sz w:val="28"/>
        </w:rPr>
        <w:t>本公司</w:t>
      </w:r>
      <w:r>
        <w:rPr>
          <w:rFonts w:hint="eastAsia"/>
          <w:sz w:val="28"/>
          <w:lang w:val="zh-CN"/>
        </w:rPr>
        <w:t>具有良好的商业信誉和健全的财务会计制度；</w:t>
      </w:r>
    </w:p>
    <w:p>
      <w:pPr>
        <w:pStyle w:val="224"/>
        <w:spacing w:line="540" w:lineRule="exact"/>
        <w:ind w:firstLine="560" w:firstLineChars="200"/>
        <w:jc w:val="left"/>
        <w:rPr>
          <w:sz w:val="28"/>
          <w:lang w:val="zh-CN"/>
        </w:rPr>
      </w:pPr>
      <w:r>
        <w:rPr>
          <w:rFonts w:hint="eastAsia"/>
          <w:sz w:val="28"/>
          <w:lang w:val="zh-CN"/>
        </w:rPr>
        <w:t>（三）</w:t>
      </w:r>
      <w:r>
        <w:rPr>
          <w:rFonts w:hint="eastAsia"/>
          <w:sz w:val="28"/>
        </w:rPr>
        <w:t>本公司</w:t>
      </w:r>
      <w:r>
        <w:rPr>
          <w:rFonts w:hint="eastAsia"/>
          <w:sz w:val="28"/>
          <w:lang w:val="zh-CN"/>
        </w:rPr>
        <w:t>具有履行合同所必需的设备和专业技术能力；</w:t>
      </w:r>
    </w:p>
    <w:p>
      <w:pPr>
        <w:pStyle w:val="224"/>
        <w:spacing w:line="540" w:lineRule="exact"/>
        <w:ind w:firstLine="560" w:firstLineChars="200"/>
        <w:jc w:val="left"/>
        <w:rPr>
          <w:sz w:val="28"/>
          <w:lang w:val="zh-CN"/>
        </w:rPr>
      </w:pPr>
      <w:r>
        <w:rPr>
          <w:rFonts w:hint="eastAsia"/>
          <w:sz w:val="28"/>
          <w:lang w:val="zh-CN"/>
        </w:rPr>
        <w:t>（四）</w:t>
      </w:r>
      <w:r>
        <w:rPr>
          <w:rFonts w:hint="eastAsia"/>
          <w:sz w:val="28"/>
        </w:rPr>
        <w:t>本公司</w:t>
      </w:r>
      <w:r>
        <w:rPr>
          <w:rFonts w:hint="eastAsia"/>
          <w:sz w:val="28"/>
          <w:lang w:val="zh-CN"/>
        </w:rPr>
        <w:t>有依法缴纳税收和社会保障资金的良好记录；</w:t>
      </w:r>
    </w:p>
    <w:p>
      <w:pPr>
        <w:pStyle w:val="224"/>
        <w:spacing w:line="540" w:lineRule="exact"/>
        <w:ind w:firstLine="560" w:firstLineChars="200"/>
        <w:jc w:val="left"/>
        <w:rPr>
          <w:sz w:val="28"/>
          <w:lang w:val="zh-CN"/>
        </w:rPr>
      </w:pPr>
      <w:r>
        <w:rPr>
          <w:rFonts w:hint="eastAsia"/>
          <w:sz w:val="28"/>
          <w:lang w:val="zh-CN"/>
        </w:rPr>
        <w:t>（五）</w:t>
      </w:r>
      <w:r>
        <w:rPr>
          <w:rFonts w:hint="eastAsia"/>
          <w:sz w:val="28"/>
        </w:rPr>
        <w:t>本公司</w:t>
      </w:r>
      <w:r>
        <w:rPr>
          <w:rFonts w:hint="eastAsia"/>
          <w:sz w:val="28"/>
          <w:lang w:val="zh-CN"/>
        </w:rPr>
        <w:t>参加政府采购活动前三年内，在经营活动中没有重大违法记录；</w:t>
      </w:r>
    </w:p>
    <w:p>
      <w:pPr>
        <w:pStyle w:val="224"/>
        <w:spacing w:line="540" w:lineRule="exact"/>
        <w:ind w:firstLine="560" w:firstLineChars="200"/>
        <w:jc w:val="left"/>
        <w:rPr>
          <w:sz w:val="28"/>
          <w:lang w:val="zh-CN"/>
        </w:rPr>
      </w:pPr>
      <w:r>
        <w:rPr>
          <w:rFonts w:hint="eastAsia"/>
          <w:sz w:val="28"/>
          <w:lang w:val="zh-CN"/>
        </w:rPr>
        <w:t>（六）</w:t>
      </w:r>
      <w:r>
        <w:rPr>
          <w:rFonts w:hint="eastAsia"/>
          <w:sz w:val="28"/>
        </w:rPr>
        <w:t>本公司符合</w:t>
      </w:r>
      <w:r>
        <w:rPr>
          <w:rFonts w:hint="eastAsia"/>
          <w:sz w:val="28"/>
          <w:lang w:val="zh-CN"/>
        </w:rPr>
        <w:t>法律、行政法规规定的其他条件。</w:t>
      </w:r>
    </w:p>
    <w:p>
      <w:pPr>
        <w:pStyle w:val="224"/>
        <w:spacing w:line="540" w:lineRule="exact"/>
        <w:ind w:firstLine="560" w:firstLineChars="200"/>
        <w:jc w:val="left"/>
        <w:rPr>
          <w:sz w:val="28"/>
          <w:lang w:val="zh-CN"/>
        </w:rPr>
      </w:pPr>
      <w:r>
        <w:rPr>
          <w:rFonts w:hint="eastAsia"/>
          <w:sz w:val="28"/>
          <w:lang w:val="zh-CN"/>
        </w:rPr>
        <w:t>本</w:t>
      </w:r>
      <w:r>
        <w:rPr>
          <w:rFonts w:hint="eastAsia"/>
          <w:sz w:val="28"/>
        </w:rPr>
        <w:t>公司</w:t>
      </w:r>
      <w:r>
        <w:rPr>
          <w:rFonts w:hint="eastAsia"/>
          <w:sz w:val="28"/>
          <w:lang w:val="zh-CN"/>
        </w:rPr>
        <w:t>对上述承诺的真实性负责，如有虚假，我</w:t>
      </w:r>
      <w:r>
        <w:rPr>
          <w:rFonts w:hint="eastAsia"/>
          <w:sz w:val="28"/>
        </w:rPr>
        <w:t>公司</w:t>
      </w:r>
      <w:r>
        <w:rPr>
          <w:rFonts w:hint="eastAsia"/>
          <w:sz w:val="28"/>
          <w:lang w:val="zh-CN"/>
        </w:rPr>
        <w:t>同意按我方提供虚假材料谋取中标（成交）处理，并依法承担相应法律责任。</w:t>
      </w:r>
    </w:p>
    <w:p>
      <w:pPr>
        <w:pStyle w:val="224"/>
        <w:spacing w:line="540" w:lineRule="exact"/>
        <w:ind w:firstLine="560" w:firstLineChars="200"/>
        <w:jc w:val="left"/>
        <w:rPr>
          <w:sz w:val="28"/>
          <w:lang w:val="zh-CN"/>
        </w:rPr>
      </w:pPr>
      <w:r>
        <w:rPr>
          <w:rFonts w:hint="eastAsia"/>
          <w:sz w:val="28"/>
          <w:lang w:val="zh-CN"/>
        </w:rPr>
        <w:t>特此承诺。</w:t>
      </w:r>
    </w:p>
    <w:p>
      <w:pPr>
        <w:pStyle w:val="224"/>
        <w:spacing w:line="540" w:lineRule="exact"/>
        <w:ind w:firstLine="0" w:firstLineChars="0"/>
        <w:jc w:val="center"/>
        <w:rPr>
          <w:sz w:val="28"/>
          <w:lang w:val="zh-CN"/>
        </w:rPr>
      </w:pPr>
    </w:p>
    <w:p>
      <w:pPr>
        <w:pStyle w:val="224"/>
        <w:spacing w:line="540" w:lineRule="exact"/>
        <w:ind w:firstLine="0" w:firstLineChars="0"/>
        <w:jc w:val="right"/>
        <w:rPr>
          <w:sz w:val="28"/>
          <w:lang w:val="zh-CN"/>
        </w:rPr>
      </w:pPr>
      <w:r>
        <w:rPr>
          <w:rFonts w:hint="eastAsia"/>
          <w:sz w:val="28"/>
          <w:lang w:val="zh-CN"/>
        </w:rPr>
        <w:t xml:space="preserve">投标人（盖章）：                               </w:t>
      </w:r>
    </w:p>
    <w:p>
      <w:pPr>
        <w:pStyle w:val="224"/>
        <w:spacing w:line="540" w:lineRule="exact"/>
        <w:ind w:firstLine="0" w:firstLineChars="0"/>
        <w:jc w:val="right"/>
        <w:rPr>
          <w:sz w:val="28"/>
          <w:lang w:val="zh-CN"/>
        </w:rPr>
      </w:pPr>
    </w:p>
    <w:p>
      <w:pPr>
        <w:pStyle w:val="224"/>
        <w:spacing w:line="540" w:lineRule="exact"/>
        <w:ind w:firstLine="0" w:firstLineChars="0"/>
        <w:jc w:val="right"/>
        <w:rPr>
          <w:sz w:val="28"/>
          <w:lang w:val="zh-CN"/>
        </w:rPr>
      </w:pPr>
      <w:r>
        <w:rPr>
          <w:rFonts w:hint="eastAsia"/>
          <w:sz w:val="28"/>
          <w:lang w:val="zh-CN"/>
        </w:rPr>
        <w:t xml:space="preserve">法定代表人或授权代表（签字）：                 </w:t>
      </w:r>
    </w:p>
    <w:p>
      <w:pPr>
        <w:pStyle w:val="224"/>
        <w:spacing w:line="540" w:lineRule="exact"/>
        <w:ind w:firstLine="0" w:firstLineChars="0"/>
        <w:jc w:val="right"/>
        <w:rPr>
          <w:sz w:val="28"/>
          <w:lang w:val="zh-CN"/>
        </w:rPr>
      </w:pPr>
    </w:p>
    <w:p>
      <w:pPr>
        <w:pStyle w:val="224"/>
        <w:spacing w:line="540" w:lineRule="exact"/>
        <w:ind w:firstLine="0" w:firstLineChars="0"/>
        <w:jc w:val="right"/>
        <w:rPr>
          <w:sz w:val="28"/>
          <w:lang w:val="zh-CN"/>
        </w:rPr>
      </w:pPr>
      <w:r>
        <w:rPr>
          <w:rFonts w:hint="eastAsia"/>
          <w:sz w:val="28"/>
          <w:lang w:val="zh-CN"/>
        </w:rPr>
        <w:t xml:space="preserve">日   期：            </w:t>
      </w:r>
    </w:p>
    <w:p>
      <w:pPr>
        <w:pStyle w:val="224"/>
        <w:spacing w:line="540" w:lineRule="exact"/>
        <w:ind w:firstLine="0" w:firstLineChars="0"/>
        <w:jc w:val="right"/>
        <w:rPr>
          <w:rFonts w:ascii="Times New Roman" w:hAnsi="Times New Roman" w:eastAsia="宋体"/>
          <w:sz w:val="24"/>
          <w:szCs w:val="20"/>
          <w:u w:val="single"/>
        </w:rPr>
      </w:pPr>
    </w:p>
    <w:p>
      <w:pPr>
        <w:jc w:val="center"/>
        <w:rPr>
          <w:b/>
          <w:sz w:val="24"/>
        </w:rPr>
      </w:pPr>
      <w:r>
        <w:rPr>
          <w:rFonts w:ascii="Times New Roman" w:hAnsi="Times New Roman"/>
          <w:sz w:val="24"/>
          <w:u w:val="single"/>
        </w:rPr>
        <w:br w:type="page"/>
      </w:r>
      <w:bookmarkStart w:id="40" w:name="_Toc476645123"/>
      <w:r>
        <w:rPr>
          <w:rFonts w:hint="eastAsia" w:ascii="Times New Roman" w:hAnsi="Times New Roman"/>
          <w:sz w:val="28"/>
          <w:szCs w:val="28"/>
        </w:rPr>
        <w:t xml:space="preserve">4 </w:t>
      </w:r>
      <w:r>
        <w:rPr>
          <w:rFonts w:hint="eastAsia"/>
          <w:b/>
          <w:sz w:val="24"/>
        </w:rPr>
        <w:t>投标人、投标人法定代表人及本次投标的授权代表无行贿犯罪承诺表</w:t>
      </w:r>
    </w:p>
    <w:p>
      <w:pPr>
        <w:spacing w:line="360" w:lineRule="auto"/>
        <w:rPr>
          <w:rFonts w:ascii="宋体" w:hAnsi="宋体"/>
          <w:b/>
          <w:spacing w:val="20"/>
        </w:rPr>
      </w:pPr>
    </w:p>
    <w:tbl>
      <w:tblPr>
        <w:tblStyle w:val="69"/>
        <w:tblW w:w="88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2"/>
        <w:gridCol w:w="6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3" w:hRule="atLeast"/>
        </w:trPr>
        <w:tc>
          <w:tcPr>
            <w:tcW w:w="2592" w:type="dxa"/>
            <w:tcBorders>
              <w:top w:val="single" w:color="auto" w:sz="4" w:space="0"/>
              <w:left w:val="single" w:color="auto" w:sz="4" w:space="0"/>
              <w:bottom w:val="single" w:color="auto" w:sz="4" w:space="0"/>
              <w:right w:val="single" w:color="auto" w:sz="4" w:space="0"/>
            </w:tcBorders>
            <w:vAlign w:val="center"/>
          </w:tcPr>
          <w:p>
            <w:pPr>
              <w:jc w:val="center"/>
              <w:rPr>
                <w:spacing w:val="2"/>
              </w:rPr>
            </w:pPr>
            <w:r>
              <w:rPr>
                <w:rFonts w:hint="eastAsia"/>
                <w:spacing w:val="2"/>
              </w:rPr>
              <w:t>内容</w:t>
            </w:r>
          </w:p>
        </w:tc>
        <w:tc>
          <w:tcPr>
            <w:tcW w:w="6264" w:type="dxa"/>
            <w:tcBorders>
              <w:top w:val="single" w:color="auto" w:sz="4" w:space="0"/>
              <w:left w:val="single" w:color="auto" w:sz="4" w:space="0"/>
              <w:bottom w:val="single" w:color="auto" w:sz="4" w:space="0"/>
              <w:right w:val="single" w:color="auto" w:sz="4" w:space="0"/>
            </w:tcBorders>
            <w:vAlign w:val="center"/>
          </w:tcPr>
          <w:p>
            <w:pPr>
              <w:jc w:val="center"/>
              <w:rPr>
                <w:spacing w:val="2"/>
              </w:rPr>
            </w:pPr>
            <w:r>
              <w:rPr>
                <w:rFonts w:hint="eastAsia"/>
                <w:spacing w:val="2"/>
              </w:rPr>
              <w:t>投标截止之日起前3年内行贿犯罪情况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39" w:hRule="atLeast"/>
        </w:trPr>
        <w:tc>
          <w:tcPr>
            <w:tcW w:w="2592" w:type="dxa"/>
            <w:tcBorders>
              <w:top w:val="single" w:color="auto" w:sz="4" w:space="0"/>
              <w:left w:val="single" w:color="auto" w:sz="4" w:space="0"/>
              <w:bottom w:val="single" w:color="auto" w:sz="4" w:space="0"/>
              <w:right w:val="single" w:color="auto" w:sz="4" w:space="0"/>
            </w:tcBorders>
            <w:vAlign w:val="center"/>
          </w:tcPr>
          <w:p>
            <w:pPr>
              <w:rPr>
                <w:spacing w:val="2"/>
              </w:rPr>
            </w:pPr>
            <w:r>
              <w:rPr>
                <w:spacing w:val="2"/>
              </w:rPr>
              <w:t>1</w:t>
            </w:r>
            <w:r>
              <w:rPr>
                <w:rFonts w:hint="eastAsia"/>
                <w:spacing w:val="2"/>
              </w:rPr>
              <w:t>、投标人行贿犯罪记录</w:t>
            </w:r>
          </w:p>
        </w:tc>
        <w:tc>
          <w:tcPr>
            <w:tcW w:w="6264" w:type="dxa"/>
            <w:tcBorders>
              <w:top w:val="single" w:color="auto" w:sz="4" w:space="0"/>
              <w:left w:val="single" w:color="auto" w:sz="4" w:space="0"/>
              <w:bottom w:val="single" w:color="auto" w:sz="4" w:space="0"/>
              <w:right w:val="single" w:color="auto" w:sz="4" w:space="0"/>
            </w:tcBorders>
            <w:vAlign w:val="center"/>
          </w:tcPr>
          <w:p>
            <w:pPr>
              <w:rPr>
                <w:spacing w:val="2"/>
              </w:rPr>
            </w:pPr>
            <w:r>
              <w:rPr>
                <w:rFonts w:hint="eastAsia"/>
                <w:spacing w:val="2"/>
              </w:rPr>
              <w:t>投标人无行贿犯罪记录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8" w:hRule="atLeast"/>
        </w:trPr>
        <w:tc>
          <w:tcPr>
            <w:tcW w:w="2592" w:type="dxa"/>
            <w:tcBorders>
              <w:top w:val="single" w:color="auto" w:sz="4" w:space="0"/>
              <w:left w:val="single" w:color="auto" w:sz="4" w:space="0"/>
              <w:bottom w:val="single" w:color="auto" w:sz="4" w:space="0"/>
              <w:right w:val="single" w:color="auto" w:sz="4" w:space="0"/>
            </w:tcBorders>
            <w:vAlign w:val="center"/>
          </w:tcPr>
          <w:p>
            <w:pPr>
              <w:rPr>
                <w:spacing w:val="2"/>
              </w:rPr>
            </w:pPr>
            <w:r>
              <w:rPr>
                <w:spacing w:val="2"/>
              </w:rPr>
              <w:t>2</w:t>
            </w:r>
            <w:r>
              <w:rPr>
                <w:rFonts w:hint="eastAsia"/>
                <w:spacing w:val="2"/>
              </w:rPr>
              <w:t>、投标人法定代表人行贿犯罪记录</w:t>
            </w:r>
          </w:p>
        </w:tc>
        <w:tc>
          <w:tcPr>
            <w:tcW w:w="6264" w:type="dxa"/>
            <w:tcBorders>
              <w:top w:val="single" w:color="auto" w:sz="4" w:space="0"/>
              <w:left w:val="single" w:color="auto" w:sz="4" w:space="0"/>
              <w:bottom w:val="single" w:color="auto" w:sz="4" w:space="0"/>
              <w:right w:val="single" w:color="auto" w:sz="4" w:space="0"/>
            </w:tcBorders>
            <w:vAlign w:val="center"/>
          </w:tcPr>
          <w:p>
            <w:pPr>
              <w:rPr>
                <w:spacing w:val="2"/>
              </w:rPr>
            </w:pPr>
            <w:r>
              <w:rPr>
                <w:rFonts w:hint="eastAsia"/>
                <w:spacing w:val="2"/>
              </w:rPr>
              <w:t>投标人法定代表人（姓名：、身份证号码：）无行贿犯罪记录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7" w:hRule="atLeast"/>
        </w:trPr>
        <w:tc>
          <w:tcPr>
            <w:tcW w:w="2592" w:type="dxa"/>
            <w:tcBorders>
              <w:top w:val="single" w:color="auto" w:sz="4" w:space="0"/>
              <w:left w:val="single" w:color="auto" w:sz="4" w:space="0"/>
              <w:bottom w:val="single" w:color="auto" w:sz="4" w:space="0"/>
              <w:right w:val="single" w:color="auto" w:sz="4" w:space="0"/>
            </w:tcBorders>
            <w:vAlign w:val="center"/>
          </w:tcPr>
          <w:p>
            <w:pPr>
              <w:rPr>
                <w:spacing w:val="2"/>
              </w:rPr>
            </w:pPr>
            <w:r>
              <w:rPr>
                <w:spacing w:val="2"/>
              </w:rPr>
              <w:t>3</w:t>
            </w:r>
            <w:r>
              <w:rPr>
                <w:rFonts w:hint="eastAsia"/>
                <w:spacing w:val="2"/>
              </w:rPr>
              <w:t>、本次投标授权代表行贿犯罪记录</w:t>
            </w:r>
          </w:p>
        </w:tc>
        <w:tc>
          <w:tcPr>
            <w:tcW w:w="6264" w:type="dxa"/>
            <w:tcBorders>
              <w:top w:val="single" w:color="auto" w:sz="4" w:space="0"/>
              <w:left w:val="single" w:color="auto" w:sz="4" w:space="0"/>
              <w:bottom w:val="single" w:color="auto" w:sz="4" w:space="0"/>
              <w:right w:val="single" w:color="auto" w:sz="4" w:space="0"/>
            </w:tcBorders>
            <w:vAlign w:val="center"/>
          </w:tcPr>
          <w:p>
            <w:pPr>
              <w:rPr>
                <w:spacing w:val="2"/>
              </w:rPr>
            </w:pPr>
            <w:r>
              <w:rPr>
                <w:rFonts w:hint="eastAsia"/>
                <w:spacing w:val="2"/>
              </w:rPr>
              <w:t>本次投标授权代表（姓名：、身份证号码：）无行贿犯罪记录</w:t>
            </w:r>
          </w:p>
        </w:tc>
      </w:tr>
    </w:tbl>
    <w:p>
      <w:pPr>
        <w:spacing w:line="360" w:lineRule="auto"/>
        <w:rPr>
          <w:b/>
          <w:spacing w:val="20"/>
          <w:sz w:val="24"/>
        </w:rPr>
      </w:pPr>
    </w:p>
    <w:p>
      <w:pPr>
        <w:spacing w:line="360" w:lineRule="auto"/>
        <w:rPr>
          <w:b/>
          <w:spacing w:val="20"/>
        </w:rPr>
      </w:pPr>
    </w:p>
    <w:p>
      <w:pPr>
        <w:rPr>
          <w:b/>
        </w:rPr>
      </w:pPr>
      <w:r>
        <w:rPr>
          <w:rFonts w:hint="eastAsia"/>
          <w:b/>
        </w:rPr>
        <w:t>投标人名称：（盖章）</w:t>
      </w:r>
    </w:p>
    <w:p>
      <w:pPr>
        <w:rPr>
          <w:b/>
        </w:rPr>
      </w:pPr>
    </w:p>
    <w:p>
      <w:pPr>
        <w:snapToGrid w:val="0"/>
        <w:spacing w:line="360" w:lineRule="auto"/>
        <w:ind w:left="-6" w:leftChars="-15" w:right="-817" w:rightChars="-389" w:hanging="25" w:hangingChars="12"/>
      </w:pPr>
      <w:r>
        <w:rPr>
          <w:rFonts w:hint="eastAsia"/>
          <w:b/>
        </w:rPr>
        <w:t>投标人代表签字：</w:t>
      </w:r>
    </w:p>
    <w:p>
      <w:pPr>
        <w:pStyle w:val="288"/>
        <w:widowControl/>
        <w:tabs>
          <w:tab w:val="left" w:pos="360"/>
        </w:tabs>
        <w:snapToGrid w:val="0"/>
        <w:spacing w:line="540" w:lineRule="exact"/>
        <w:ind w:right="84" w:rightChars="40"/>
        <w:jc w:val="left"/>
        <w:rPr>
          <w:rFonts w:ascii="仿宋_GB2312" w:eastAsia="仿宋_GB2312"/>
          <w:color w:val="000000"/>
          <w:sz w:val="28"/>
          <w:szCs w:val="28"/>
        </w:rPr>
      </w:pPr>
    </w:p>
    <w:p>
      <w:pPr>
        <w:pStyle w:val="288"/>
        <w:widowControl/>
        <w:tabs>
          <w:tab w:val="left" w:pos="360"/>
        </w:tabs>
        <w:snapToGrid w:val="0"/>
        <w:spacing w:line="540" w:lineRule="exact"/>
        <w:ind w:right="84" w:rightChars="40"/>
        <w:jc w:val="left"/>
        <w:rPr>
          <w:rFonts w:ascii="仿宋_GB2312" w:eastAsia="仿宋_GB2312"/>
          <w:color w:val="000000"/>
          <w:sz w:val="28"/>
          <w:szCs w:val="28"/>
        </w:rPr>
      </w:pPr>
      <w:r>
        <w:rPr>
          <w:rFonts w:ascii="仿宋_GB2312" w:eastAsia="仿宋_GB2312"/>
          <w:color w:val="000000"/>
          <w:sz w:val="28"/>
          <w:szCs w:val="28"/>
        </w:rPr>
        <w:br w:type="page"/>
      </w:r>
    </w:p>
    <w:p>
      <w:pPr>
        <w:pStyle w:val="224"/>
        <w:spacing w:line="540" w:lineRule="exact"/>
        <w:ind w:firstLine="0" w:firstLineChars="0"/>
        <w:jc w:val="center"/>
        <w:rPr>
          <w:rFonts w:ascii="Times New Roman" w:hAnsi="Times New Roman" w:eastAsia="宋体"/>
          <w:sz w:val="24"/>
          <w:szCs w:val="20"/>
          <w:u w:val="single"/>
        </w:rPr>
      </w:pPr>
    </w:p>
    <w:p>
      <w:pPr>
        <w:pStyle w:val="224"/>
        <w:numPr>
          <w:ilvl w:val="0"/>
          <w:numId w:val="24"/>
        </w:numPr>
        <w:spacing w:line="540" w:lineRule="exact"/>
        <w:ind w:firstLine="0" w:firstLineChars="0"/>
        <w:jc w:val="center"/>
        <w:rPr>
          <w:rStyle w:val="108"/>
          <w:rFonts w:ascii="仿宋_GB2312" w:hAnsi="黑体" w:eastAsia="仿宋_GB2312"/>
          <w:sz w:val="28"/>
          <w:szCs w:val="28"/>
        </w:rPr>
      </w:pPr>
      <w:r>
        <w:rPr>
          <w:rStyle w:val="108"/>
          <w:rFonts w:hint="eastAsia" w:ascii="仿宋_GB2312" w:hAnsi="黑体" w:eastAsia="仿宋_GB2312"/>
          <w:sz w:val="28"/>
          <w:szCs w:val="28"/>
        </w:rPr>
        <w:t>技术商务文件格式</w:t>
      </w:r>
      <w:bookmarkEnd w:id="40"/>
    </w:p>
    <w:p>
      <w:pPr>
        <w:spacing w:line="600" w:lineRule="exact"/>
        <w:jc w:val="center"/>
        <w:rPr>
          <w:rFonts w:ascii="仿宋_GB2312" w:hAnsi="Times New Roman" w:eastAsia="仿宋_GB2312"/>
          <w:b/>
          <w:bCs/>
          <w:sz w:val="32"/>
          <w:szCs w:val="32"/>
        </w:rPr>
      </w:pPr>
      <w:r>
        <w:rPr>
          <w:rFonts w:hint="eastAsia" w:ascii="仿宋_GB2312" w:hAnsi="Times New Roman" w:eastAsia="仿宋_GB2312"/>
          <w:b/>
          <w:bCs/>
          <w:sz w:val="32"/>
          <w:szCs w:val="32"/>
        </w:rPr>
        <w:t>1、服务要求响应表</w:t>
      </w:r>
    </w:p>
    <w:p>
      <w:pPr>
        <w:spacing w:line="360" w:lineRule="auto"/>
        <w:ind w:firstLine="560" w:firstLineChars="200"/>
        <w:rPr>
          <w:rFonts w:ascii="仿宋_GB2312" w:hAnsi="Times New Roman" w:eastAsia="仿宋_GB2312"/>
          <w:sz w:val="28"/>
          <w:szCs w:val="28"/>
        </w:rPr>
      </w:pPr>
      <w:r>
        <w:rPr>
          <w:rFonts w:hint="eastAsia" w:ascii="仿宋_GB2312" w:hAnsi="Times New Roman" w:eastAsia="仿宋_GB2312"/>
          <w:sz w:val="28"/>
          <w:szCs w:val="28"/>
        </w:rPr>
        <w:t>说明：投标供应商必须仔细阅读招标文件中所有服务规范条款和相关功能要求，并对所有服务规范、标准和功能偏离的条目列入下表。投标供应商必须根据所提供服务的实际情况如实填写，评标委员会如发现有虚假描述的，该投标文件视为无效。</w:t>
      </w:r>
    </w:p>
    <w:tbl>
      <w:tblPr>
        <w:tblStyle w:val="69"/>
        <w:tblW w:w="91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3372"/>
        <w:gridCol w:w="1590"/>
        <w:gridCol w:w="1770"/>
        <w:gridCol w:w="1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tblHeader/>
        </w:trPr>
        <w:tc>
          <w:tcPr>
            <w:tcW w:w="760" w:type="dxa"/>
            <w:shd w:val="clear" w:color="auto" w:fill="D9D9D9"/>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序号</w:t>
            </w:r>
          </w:p>
        </w:tc>
        <w:tc>
          <w:tcPr>
            <w:tcW w:w="3372" w:type="dxa"/>
            <w:shd w:val="clear" w:color="auto" w:fill="D9D9D9"/>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服务内容</w:t>
            </w:r>
          </w:p>
        </w:tc>
        <w:tc>
          <w:tcPr>
            <w:tcW w:w="1590" w:type="dxa"/>
            <w:shd w:val="clear" w:color="auto" w:fill="D9D9D9"/>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原服务规范主要条款描述</w:t>
            </w:r>
          </w:p>
        </w:tc>
        <w:tc>
          <w:tcPr>
            <w:tcW w:w="1770" w:type="dxa"/>
            <w:shd w:val="clear" w:color="auto" w:fill="D9D9D9"/>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投标供应商服务规范描述</w:t>
            </w:r>
          </w:p>
        </w:tc>
        <w:tc>
          <w:tcPr>
            <w:tcW w:w="1695" w:type="dxa"/>
            <w:shd w:val="clear" w:color="auto" w:fill="D9D9D9"/>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偏离情况说明</w:t>
            </w:r>
          </w:p>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1</w:t>
            </w:r>
          </w:p>
        </w:tc>
        <w:tc>
          <w:tcPr>
            <w:tcW w:w="3372" w:type="dxa"/>
            <w:vAlign w:val="center"/>
          </w:tcPr>
          <w:p>
            <w:pPr>
              <w:jc w:val="center"/>
              <w:rPr>
                <w:rFonts w:ascii="仿宋_GB2312" w:hAnsi="宋体" w:eastAsia="仿宋_GB2312" w:cs="Arial Unicode MS"/>
                <w:color w:val="000000"/>
                <w:sz w:val="28"/>
                <w:szCs w:val="28"/>
              </w:rPr>
            </w:pPr>
            <w:r>
              <w:rPr>
                <w:rFonts w:hint="eastAsia" w:ascii="仿宋_GB2312" w:hAnsi="宋体" w:eastAsia="仿宋_GB2312"/>
                <w:sz w:val="28"/>
                <w:szCs w:val="28"/>
                <w:lang w:val="zh-CN"/>
              </w:rPr>
              <w:t>卫生保洁</w:t>
            </w:r>
          </w:p>
        </w:tc>
        <w:tc>
          <w:tcPr>
            <w:tcW w:w="1590" w:type="dxa"/>
            <w:vMerge w:val="restart"/>
            <w:vAlign w:val="center"/>
          </w:tcPr>
          <w:p>
            <w:pPr>
              <w:spacing w:line="360" w:lineRule="auto"/>
              <w:rPr>
                <w:rFonts w:ascii="仿宋_GB2312" w:hAnsi="Times New Roman" w:eastAsia="仿宋_GB2312"/>
                <w:sz w:val="28"/>
                <w:szCs w:val="28"/>
              </w:rPr>
            </w:pPr>
            <w:r>
              <w:rPr>
                <w:rFonts w:hint="eastAsia" w:ascii="仿宋_GB2312" w:hAnsi="Times New Roman" w:eastAsia="仿宋_GB2312"/>
                <w:sz w:val="28"/>
                <w:szCs w:val="28"/>
              </w:rPr>
              <w:t>见招标文件第三章 采购内容及要求</w:t>
            </w: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2</w:t>
            </w:r>
          </w:p>
        </w:tc>
        <w:tc>
          <w:tcPr>
            <w:tcW w:w="3372" w:type="dxa"/>
            <w:vAlign w:val="center"/>
          </w:tcPr>
          <w:p>
            <w:pPr>
              <w:jc w:val="center"/>
              <w:rPr>
                <w:rFonts w:ascii="仿宋_GB2312" w:hAnsi="宋体" w:eastAsia="仿宋_GB2312" w:cs="Arial Unicode MS"/>
                <w:color w:val="000000"/>
                <w:sz w:val="28"/>
                <w:szCs w:val="28"/>
              </w:rPr>
            </w:pPr>
            <w:r>
              <w:rPr>
                <w:rFonts w:hint="eastAsia" w:ascii="仿宋_GB2312" w:hAnsi="宋体" w:eastAsia="仿宋_GB2312"/>
                <w:sz w:val="28"/>
                <w:szCs w:val="28"/>
                <w:lang w:val="zh-CN"/>
              </w:rPr>
              <w:t>安保服务（包含门卫、传达、消防、监控和秩序管理等）</w:t>
            </w:r>
          </w:p>
        </w:tc>
        <w:tc>
          <w:tcPr>
            <w:tcW w:w="1590" w:type="dxa"/>
            <w:vMerge w:val="continue"/>
            <w:vAlign w:val="center"/>
          </w:tcPr>
          <w:p>
            <w:pPr>
              <w:spacing w:line="360" w:lineRule="auto"/>
              <w:rPr>
                <w:rFonts w:ascii="仿宋_GB2312" w:hAnsi="Times New Roman" w:eastAsia="仿宋_GB2312"/>
                <w:sz w:val="28"/>
                <w:szCs w:val="28"/>
              </w:rPr>
            </w:pP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3</w:t>
            </w:r>
          </w:p>
        </w:tc>
        <w:tc>
          <w:tcPr>
            <w:tcW w:w="3372" w:type="dxa"/>
            <w:vAlign w:val="center"/>
          </w:tcPr>
          <w:p>
            <w:pPr>
              <w:jc w:val="center"/>
              <w:rPr>
                <w:rFonts w:ascii="仿宋_GB2312" w:hAnsi="宋体" w:eastAsia="仿宋_GB2312" w:cs="Arial Unicode MS"/>
                <w:color w:val="000000"/>
                <w:sz w:val="28"/>
                <w:szCs w:val="28"/>
              </w:rPr>
            </w:pPr>
            <w:r>
              <w:rPr>
                <w:rFonts w:hint="eastAsia" w:ascii="仿宋_GB2312" w:hAnsi="宋体" w:eastAsia="仿宋_GB2312"/>
                <w:sz w:val="28"/>
                <w:szCs w:val="28"/>
                <w:lang w:val="zh-CN"/>
              </w:rPr>
              <w:t>房屋建筑主体及其一般设施设备运行管理和维护</w:t>
            </w:r>
          </w:p>
        </w:tc>
        <w:tc>
          <w:tcPr>
            <w:tcW w:w="1590" w:type="dxa"/>
            <w:vMerge w:val="continue"/>
            <w:vAlign w:val="center"/>
          </w:tcPr>
          <w:p>
            <w:pPr>
              <w:spacing w:line="360" w:lineRule="auto"/>
              <w:rPr>
                <w:rFonts w:ascii="仿宋_GB2312" w:hAnsi="Times New Roman" w:eastAsia="仿宋_GB2312"/>
                <w:sz w:val="28"/>
                <w:szCs w:val="28"/>
              </w:rPr>
            </w:pP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4</w:t>
            </w:r>
          </w:p>
        </w:tc>
        <w:tc>
          <w:tcPr>
            <w:tcW w:w="3372" w:type="dxa"/>
            <w:vAlign w:val="center"/>
          </w:tcPr>
          <w:p>
            <w:pPr>
              <w:jc w:val="center"/>
              <w:rPr>
                <w:rFonts w:ascii="仿宋_GB2312" w:hAnsi="宋体" w:eastAsia="仿宋_GB2312" w:cs="Arial Unicode MS"/>
                <w:color w:val="000000"/>
                <w:sz w:val="28"/>
                <w:szCs w:val="28"/>
              </w:rPr>
            </w:pPr>
            <w:r>
              <w:rPr>
                <w:rFonts w:hint="eastAsia" w:ascii="仿宋_GB2312" w:hAnsi="宋体" w:eastAsia="仿宋_GB2312"/>
                <w:sz w:val="28"/>
                <w:szCs w:val="28"/>
                <w:lang w:val="zh-CN"/>
              </w:rPr>
              <w:t>会务服务和接待</w:t>
            </w:r>
          </w:p>
        </w:tc>
        <w:tc>
          <w:tcPr>
            <w:tcW w:w="1590" w:type="dxa"/>
            <w:vMerge w:val="continue"/>
            <w:vAlign w:val="center"/>
          </w:tcPr>
          <w:p>
            <w:pPr>
              <w:spacing w:line="360" w:lineRule="auto"/>
              <w:rPr>
                <w:rFonts w:ascii="仿宋_GB2312" w:hAnsi="Times New Roman" w:eastAsia="仿宋_GB2312"/>
                <w:sz w:val="28"/>
                <w:szCs w:val="28"/>
              </w:rPr>
            </w:pP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5</w:t>
            </w:r>
          </w:p>
        </w:tc>
        <w:tc>
          <w:tcPr>
            <w:tcW w:w="3372" w:type="dxa"/>
            <w:vAlign w:val="center"/>
          </w:tcPr>
          <w:p>
            <w:pPr>
              <w:jc w:val="center"/>
              <w:rPr>
                <w:rFonts w:ascii="仿宋_GB2312" w:hAnsi="Times New Roman" w:eastAsia="仿宋_GB2312"/>
                <w:sz w:val="28"/>
                <w:szCs w:val="28"/>
              </w:rPr>
            </w:pPr>
            <w:r>
              <w:rPr>
                <w:rFonts w:hint="eastAsia" w:ascii="仿宋_GB2312" w:hAnsi="宋体" w:eastAsia="仿宋_GB2312"/>
                <w:sz w:val="28"/>
                <w:szCs w:val="28"/>
                <w:lang w:val="zh-CN"/>
              </w:rPr>
              <w:t>室内植物提供和养护</w:t>
            </w:r>
          </w:p>
        </w:tc>
        <w:tc>
          <w:tcPr>
            <w:tcW w:w="1590" w:type="dxa"/>
            <w:vMerge w:val="continue"/>
            <w:vAlign w:val="center"/>
          </w:tcPr>
          <w:p>
            <w:pPr>
              <w:spacing w:line="360" w:lineRule="auto"/>
              <w:rPr>
                <w:rFonts w:ascii="仿宋_GB2312" w:hAnsi="Times New Roman" w:eastAsia="仿宋_GB2312"/>
                <w:sz w:val="28"/>
                <w:szCs w:val="28"/>
              </w:rPr>
            </w:pP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6</w:t>
            </w:r>
          </w:p>
        </w:tc>
        <w:tc>
          <w:tcPr>
            <w:tcW w:w="3372" w:type="dxa"/>
            <w:vAlign w:val="center"/>
          </w:tcPr>
          <w:p>
            <w:pPr>
              <w:jc w:val="center"/>
              <w:rPr>
                <w:rFonts w:ascii="仿宋_GB2312" w:hAnsi="Times New Roman" w:eastAsia="仿宋_GB2312"/>
                <w:sz w:val="28"/>
                <w:szCs w:val="28"/>
              </w:rPr>
            </w:pPr>
            <w:r>
              <w:rPr>
                <w:rFonts w:hint="eastAsia" w:ascii="仿宋_GB2312" w:hAnsi="宋体" w:eastAsia="仿宋_GB2312"/>
                <w:sz w:val="28"/>
                <w:szCs w:val="28"/>
                <w:lang w:val="zh-CN"/>
              </w:rPr>
              <w:t>食堂服务（包括烹制早餐及中餐）</w:t>
            </w:r>
          </w:p>
        </w:tc>
        <w:tc>
          <w:tcPr>
            <w:tcW w:w="1590" w:type="dxa"/>
            <w:vMerge w:val="continue"/>
            <w:vAlign w:val="center"/>
          </w:tcPr>
          <w:p>
            <w:pPr>
              <w:spacing w:line="360" w:lineRule="auto"/>
              <w:rPr>
                <w:rFonts w:ascii="仿宋_GB2312" w:hAnsi="Times New Roman" w:eastAsia="仿宋_GB2312"/>
                <w:sz w:val="28"/>
                <w:szCs w:val="28"/>
              </w:rPr>
            </w:pP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760" w:type="dxa"/>
            <w:vAlign w:val="center"/>
          </w:tcPr>
          <w:p>
            <w:pPr>
              <w:spacing w:line="360" w:lineRule="auto"/>
              <w:jc w:val="center"/>
              <w:rPr>
                <w:rFonts w:ascii="仿宋_GB2312" w:hAnsi="Times New Roman" w:eastAsia="仿宋_GB2312"/>
                <w:sz w:val="28"/>
                <w:szCs w:val="28"/>
              </w:rPr>
            </w:pPr>
            <w:r>
              <w:rPr>
                <w:rFonts w:hint="eastAsia" w:ascii="仿宋_GB2312" w:hAnsi="Times New Roman" w:eastAsia="仿宋_GB2312"/>
                <w:sz w:val="28"/>
                <w:szCs w:val="28"/>
              </w:rPr>
              <w:t>7</w:t>
            </w:r>
          </w:p>
        </w:tc>
        <w:tc>
          <w:tcPr>
            <w:tcW w:w="3372" w:type="dxa"/>
            <w:vAlign w:val="center"/>
          </w:tcPr>
          <w:p>
            <w:pPr>
              <w:jc w:val="center"/>
              <w:rPr>
                <w:rFonts w:ascii="仿宋_GB2312" w:hAnsi="Times New Roman" w:eastAsia="仿宋_GB2312"/>
                <w:sz w:val="28"/>
                <w:szCs w:val="28"/>
              </w:rPr>
            </w:pPr>
            <w:r>
              <w:rPr>
                <w:rFonts w:hint="eastAsia" w:ascii="仿宋_GB2312" w:hAnsi="宋体" w:eastAsia="仿宋_GB2312"/>
                <w:sz w:val="28"/>
                <w:szCs w:val="28"/>
                <w:lang w:val="zh-CN"/>
              </w:rPr>
              <w:t>延伸服务和采购单位交办的其他工作</w:t>
            </w:r>
          </w:p>
        </w:tc>
        <w:tc>
          <w:tcPr>
            <w:tcW w:w="1590" w:type="dxa"/>
            <w:vMerge w:val="continue"/>
            <w:vAlign w:val="center"/>
          </w:tcPr>
          <w:p>
            <w:pPr>
              <w:spacing w:line="360" w:lineRule="auto"/>
              <w:rPr>
                <w:rFonts w:ascii="仿宋_GB2312" w:hAnsi="Times New Roman" w:eastAsia="仿宋_GB2312"/>
                <w:sz w:val="28"/>
                <w:szCs w:val="28"/>
              </w:rPr>
            </w:pPr>
          </w:p>
        </w:tc>
        <w:tc>
          <w:tcPr>
            <w:tcW w:w="1770" w:type="dxa"/>
            <w:vAlign w:val="center"/>
          </w:tcPr>
          <w:p>
            <w:pPr>
              <w:spacing w:line="360" w:lineRule="auto"/>
              <w:jc w:val="center"/>
              <w:rPr>
                <w:rFonts w:ascii="仿宋_GB2312" w:hAnsi="Times New Roman" w:eastAsia="仿宋_GB2312"/>
                <w:sz w:val="28"/>
                <w:szCs w:val="28"/>
              </w:rPr>
            </w:pPr>
          </w:p>
        </w:tc>
        <w:tc>
          <w:tcPr>
            <w:tcW w:w="1695" w:type="dxa"/>
            <w:vAlign w:val="center"/>
          </w:tcPr>
          <w:p>
            <w:pPr>
              <w:spacing w:line="360" w:lineRule="auto"/>
              <w:jc w:val="center"/>
              <w:rPr>
                <w:rFonts w:ascii="仿宋_GB2312" w:hAnsi="Times New Roman"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 w:hRule="atLeast"/>
          <w:tblHeader/>
        </w:trPr>
        <w:tc>
          <w:tcPr>
            <w:tcW w:w="9187" w:type="dxa"/>
            <w:gridSpan w:val="5"/>
            <w:vAlign w:val="center"/>
          </w:tcPr>
          <w:p>
            <w:pPr>
              <w:spacing w:line="360" w:lineRule="auto"/>
              <w:rPr>
                <w:rFonts w:ascii="仿宋_GB2312" w:hAnsi="Times New Roman" w:eastAsia="仿宋_GB2312"/>
                <w:sz w:val="28"/>
                <w:szCs w:val="28"/>
              </w:rPr>
            </w:pPr>
            <w:r>
              <w:rPr>
                <w:rFonts w:hint="eastAsia" w:ascii="仿宋_GB2312" w:hAnsi="Times New Roman" w:eastAsia="仿宋_GB2312"/>
                <w:sz w:val="28"/>
                <w:szCs w:val="28"/>
              </w:rPr>
              <w:t>投标人认为需要说明的情况：</w:t>
            </w:r>
          </w:p>
        </w:tc>
      </w:tr>
    </w:tbl>
    <w:p>
      <w:pPr>
        <w:widowControl/>
        <w:spacing w:line="360" w:lineRule="auto"/>
        <w:rPr>
          <w:rFonts w:ascii="仿宋_GB2312" w:hAnsi="Times New Roman" w:eastAsia="仿宋_GB2312"/>
          <w:sz w:val="28"/>
          <w:szCs w:val="28"/>
        </w:rPr>
      </w:pPr>
      <w:r>
        <w:rPr>
          <w:rFonts w:hint="eastAsia" w:ascii="仿宋_GB2312" w:hAnsi="Times New Roman" w:eastAsia="仿宋_GB2312"/>
          <w:bCs/>
          <w:sz w:val="28"/>
          <w:szCs w:val="28"/>
        </w:rPr>
        <w:t xml:space="preserve">投标供应商（公章）：            </w:t>
      </w:r>
    </w:p>
    <w:p>
      <w:pPr>
        <w:tabs>
          <w:tab w:val="left" w:pos="11130"/>
        </w:tabs>
        <w:snapToGrid w:val="0"/>
        <w:spacing w:line="360" w:lineRule="auto"/>
        <w:rPr>
          <w:rFonts w:ascii="仿宋_GB2312" w:hAnsi="Times New Roman" w:eastAsia="仿宋_GB2312"/>
          <w:bCs/>
          <w:sz w:val="28"/>
          <w:szCs w:val="28"/>
        </w:rPr>
      </w:pPr>
    </w:p>
    <w:p>
      <w:pPr>
        <w:tabs>
          <w:tab w:val="left" w:pos="11130"/>
        </w:tabs>
        <w:snapToGrid w:val="0"/>
        <w:spacing w:line="360" w:lineRule="auto"/>
        <w:rPr>
          <w:rFonts w:ascii="仿宋_GB2312" w:hAnsi="Times New Roman" w:eastAsia="仿宋_GB2312"/>
          <w:bCs/>
          <w:sz w:val="28"/>
          <w:szCs w:val="28"/>
        </w:rPr>
      </w:pPr>
      <w:r>
        <w:rPr>
          <w:rFonts w:hint="eastAsia" w:ascii="仿宋_GB2312" w:hAnsi="Times New Roman" w:eastAsia="仿宋_GB2312"/>
          <w:bCs/>
          <w:sz w:val="28"/>
          <w:szCs w:val="28"/>
        </w:rPr>
        <w:t>注：1、此表为表样，行数可自行添加，但表式不变。</w:t>
      </w:r>
      <w:r>
        <w:rPr>
          <w:rFonts w:hint="eastAsia" w:ascii="仿宋_GB2312" w:hAnsi="Times New Roman" w:eastAsia="仿宋_GB2312"/>
          <w:bCs/>
          <w:sz w:val="28"/>
          <w:szCs w:val="28"/>
        </w:rPr>
        <w:tab/>
      </w:r>
    </w:p>
    <w:p>
      <w:pPr>
        <w:snapToGrid w:val="0"/>
        <w:spacing w:line="360" w:lineRule="auto"/>
        <w:ind w:firstLine="600"/>
        <w:rPr>
          <w:rFonts w:ascii="仿宋_GB2312" w:hAnsi="Times New Roman" w:eastAsia="仿宋_GB2312"/>
          <w:bCs/>
          <w:sz w:val="28"/>
          <w:szCs w:val="28"/>
        </w:rPr>
      </w:pPr>
      <w:r>
        <w:rPr>
          <w:rFonts w:hint="eastAsia" w:ascii="仿宋_GB2312" w:hAnsi="Times New Roman" w:eastAsia="仿宋_GB2312"/>
          <w:bCs/>
          <w:sz w:val="28"/>
          <w:szCs w:val="28"/>
        </w:rPr>
        <w:t>2、投标供应商根据项目服务规范添加的服务措施等也请列出</w:t>
      </w:r>
    </w:p>
    <w:p>
      <w:pPr>
        <w:snapToGrid w:val="0"/>
        <w:spacing w:line="360" w:lineRule="auto"/>
        <w:ind w:firstLine="600"/>
        <w:rPr>
          <w:rFonts w:ascii="仿宋_GB2312" w:eastAsia="仿宋_GB2312"/>
          <w:b/>
          <w:sz w:val="28"/>
          <w:szCs w:val="28"/>
          <w:u w:val="single"/>
        </w:rPr>
      </w:pPr>
      <w:r>
        <w:rPr>
          <w:rFonts w:hint="eastAsia" w:ascii="仿宋_GB2312" w:hAnsi="Times New Roman" w:eastAsia="仿宋_GB2312"/>
          <w:bCs/>
          <w:sz w:val="28"/>
          <w:szCs w:val="28"/>
        </w:rPr>
        <w:t>3、是否偏离用符号“+、=、-”分别表示正偏离、完全响应、负偏离。</w:t>
      </w:r>
      <w:r>
        <w:rPr>
          <w:rFonts w:hint="eastAsia" w:ascii="仿宋_GB2312" w:eastAsia="仿宋_GB2312"/>
          <w:sz w:val="28"/>
          <w:szCs w:val="28"/>
        </w:rPr>
        <w:br w:type="page"/>
      </w:r>
    </w:p>
    <w:p>
      <w:pPr>
        <w:snapToGrid w:val="0"/>
        <w:spacing w:line="500" w:lineRule="exact"/>
        <w:jc w:val="center"/>
        <w:rPr>
          <w:rStyle w:val="108"/>
          <w:rFonts w:ascii="仿宋_GB2312" w:hAnsi="黑体" w:eastAsia="仿宋_GB2312"/>
          <w:sz w:val="28"/>
          <w:szCs w:val="28"/>
        </w:rPr>
      </w:pPr>
      <w:bookmarkStart w:id="41" w:name="_Toc476645126"/>
      <w:bookmarkStart w:id="42" w:name="_Toc439660041"/>
      <w:r>
        <w:rPr>
          <w:rStyle w:val="108"/>
          <w:rFonts w:hint="eastAsia" w:ascii="仿宋_GB2312" w:hAnsi="黑体" w:eastAsia="仿宋_GB2312"/>
          <w:sz w:val="28"/>
          <w:szCs w:val="28"/>
        </w:rPr>
        <w:t>四、</w:t>
      </w:r>
      <w:bookmarkStart w:id="43" w:name="商务文件格式"/>
      <w:r>
        <w:rPr>
          <w:rStyle w:val="108"/>
          <w:rFonts w:hint="eastAsia" w:ascii="仿宋_GB2312" w:hAnsi="黑体" w:eastAsia="仿宋_GB2312"/>
          <w:sz w:val="28"/>
          <w:szCs w:val="28"/>
        </w:rPr>
        <w:t>报价文件格式</w:t>
      </w:r>
      <w:bookmarkEnd w:id="41"/>
      <w:bookmarkEnd w:id="42"/>
      <w:bookmarkEnd w:id="43"/>
    </w:p>
    <w:p>
      <w:pPr>
        <w:spacing w:line="600" w:lineRule="exact"/>
        <w:jc w:val="center"/>
        <w:rPr>
          <w:rFonts w:ascii="仿宋_GB2312" w:hAnsi="黑体" w:eastAsia="仿宋_GB2312"/>
          <w:bCs/>
          <w:color w:val="000000"/>
          <w:sz w:val="28"/>
          <w:szCs w:val="28"/>
        </w:rPr>
      </w:pPr>
      <w:r>
        <w:rPr>
          <w:rStyle w:val="108"/>
          <w:rFonts w:hint="eastAsia" w:ascii="仿宋_GB2312" w:hAnsi="黑体"/>
          <w:color w:val="000000"/>
          <w:szCs w:val="28"/>
        </w:rPr>
        <w:t xml:space="preserve">1 </w:t>
      </w:r>
      <w:bookmarkStart w:id="44" w:name="_Toc356371465"/>
      <w:r>
        <w:rPr>
          <w:rFonts w:hint="eastAsia" w:ascii="仿宋_GB2312" w:hAnsi="宋体" w:eastAsia="仿宋_GB2312"/>
          <w:color w:val="000000"/>
          <w:sz w:val="28"/>
          <w:szCs w:val="28"/>
        </w:rPr>
        <w:t>开标一览表</w:t>
      </w:r>
      <w:bookmarkEnd w:id="44"/>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 xml:space="preserve">项目名称：                               </w:t>
      </w:r>
    </w:p>
    <w:p>
      <w:pPr>
        <w:snapToGrid w:val="0"/>
        <w:spacing w:line="500" w:lineRule="exact"/>
        <w:rPr>
          <w:rFonts w:ascii="仿宋_GB2312" w:hAnsi="宋体" w:eastAsia="仿宋_GB2312"/>
          <w:color w:val="000000"/>
          <w:sz w:val="28"/>
          <w:szCs w:val="28"/>
        </w:rPr>
      </w:pPr>
      <w:r>
        <w:rPr>
          <w:rFonts w:hint="eastAsia" w:ascii="仿宋_GB2312" w:hAnsi="宋体" w:eastAsia="仿宋_GB2312"/>
          <w:color w:val="000000"/>
          <w:sz w:val="28"/>
          <w:szCs w:val="28"/>
        </w:rPr>
        <w:t>项目编号：                                          金额单位：元</w:t>
      </w:r>
    </w:p>
    <w:tbl>
      <w:tblPr>
        <w:tblStyle w:val="69"/>
        <w:tblW w:w="889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2223"/>
        <w:gridCol w:w="4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951" w:type="dxa"/>
            <w:tcBorders>
              <w:top w:val="thinThickSmallGap" w:color="auto" w:sz="12" w:space="0"/>
              <w:left w:val="thinThickSmallGap" w:color="auto" w:sz="12" w:space="0"/>
            </w:tcBorders>
            <w:vAlign w:val="center"/>
          </w:tcPr>
          <w:p>
            <w:pPr>
              <w:snapToGrid w:val="0"/>
              <w:spacing w:line="360" w:lineRule="exact"/>
              <w:jc w:val="center"/>
              <w:rPr>
                <w:rFonts w:ascii="仿宋_GB2312" w:eastAsia="仿宋_GB2312"/>
                <w:color w:val="000000"/>
                <w:sz w:val="28"/>
                <w:szCs w:val="28"/>
              </w:rPr>
            </w:pPr>
            <w:r>
              <w:rPr>
                <w:rFonts w:hint="eastAsia" w:ascii="仿宋_GB2312" w:eastAsia="仿宋_GB2312"/>
                <w:color w:val="000000"/>
                <w:sz w:val="28"/>
                <w:szCs w:val="28"/>
              </w:rPr>
              <w:t>序号</w:t>
            </w:r>
          </w:p>
        </w:tc>
        <w:tc>
          <w:tcPr>
            <w:tcW w:w="2223" w:type="dxa"/>
            <w:tcBorders>
              <w:top w:val="thinThickSmallGap" w:color="auto" w:sz="12" w:space="0"/>
              <w:right w:val="single" w:color="auto" w:sz="4" w:space="0"/>
            </w:tcBorders>
            <w:vAlign w:val="center"/>
          </w:tcPr>
          <w:p>
            <w:pPr>
              <w:snapToGrid w:val="0"/>
              <w:spacing w:line="360" w:lineRule="exact"/>
              <w:jc w:val="center"/>
              <w:rPr>
                <w:rFonts w:ascii="仿宋_GB2312" w:eastAsia="仿宋_GB2312"/>
                <w:color w:val="000000"/>
                <w:sz w:val="28"/>
                <w:szCs w:val="28"/>
              </w:rPr>
            </w:pPr>
            <w:r>
              <w:rPr>
                <w:rFonts w:hint="eastAsia" w:ascii="仿宋_GB2312" w:eastAsia="仿宋_GB2312"/>
                <w:color w:val="000000"/>
                <w:sz w:val="28"/>
                <w:szCs w:val="28"/>
              </w:rPr>
              <w:t>名称</w:t>
            </w:r>
          </w:p>
        </w:tc>
        <w:tc>
          <w:tcPr>
            <w:tcW w:w="4721" w:type="dxa"/>
            <w:tcBorders>
              <w:top w:val="thinThickSmallGap" w:color="auto" w:sz="12" w:space="0"/>
              <w:right w:val="thickThinSmallGap" w:color="auto" w:sz="12" w:space="0"/>
            </w:tcBorders>
            <w:vAlign w:val="center"/>
          </w:tcPr>
          <w:p>
            <w:pPr>
              <w:snapToGrid w:val="0"/>
              <w:spacing w:line="360" w:lineRule="exact"/>
              <w:jc w:val="center"/>
              <w:rPr>
                <w:rFonts w:ascii="仿宋_GB2312" w:eastAsia="仿宋_GB2312"/>
                <w:color w:val="000000"/>
                <w:sz w:val="28"/>
                <w:szCs w:val="28"/>
              </w:rPr>
            </w:pPr>
            <w:r>
              <w:rPr>
                <w:rFonts w:hint="eastAsia" w:ascii="仿宋_GB2312" w:eastAsia="仿宋_GB2312"/>
                <w:color w:val="000000"/>
                <w:sz w:val="28"/>
                <w:szCs w:val="28"/>
              </w:rPr>
              <w:t>投标价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1951" w:type="dxa"/>
            <w:tcBorders>
              <w:left w:val="thinThickSmallGap" w:color="auto" w:sz="12" w:space="0"/>
            </w:tcBorders>
            <w:vAlign w:val="center"/>
          </w:tcPr>
          <w:p>
            <w:pPr>
              <w:snapToGrid w:val="0"/>
              <w:spacing w:line="360" w:lineRule="exact"/>
              <w:jc w:val="center"/>
              <w:rPr>
                <w:rFonts w:ascii="仿宋_GB2312" w:eastAsia="仿宋_GB2312"/>
                <w:color w:val="000000"/>
                <w:sz w:val="28"/>
                <w:szCs w:val="28"/>
              </w:rPr>
            </w:pPr>
          </w:p>
        </w:tc>
        <w:tc>
          <w:tcPr>
            <w:tcW w:w="2223" w:type="dxa"/>
            <w:tcBorders>
              <w:right w:val="single" w:color="auto" w:sz="4" w:space="0"/>
            </w:tcBorders>
          </w:tcPr>
          <w:p>
            <w:pPr>
              <w:snapToGrid w:val="0"/>
              <w:spacing w:line="360" w:lineRule="exact"/>
              <w:rPr>
                <w:rFonts w:ascii="仿宋_GB2312" w:eastAsia="仿宋_GB2312"/>
                <w:color w:val="000000"/>
                <w:sz w:val="28"/>
                <w:szCs w:val="28"/>
              </w:rPr>
            </w:pPr>
          </w:p>
        </w:tc>
        <w:tc>
          <w:tcPr>
            <w:tcW w:w="4721" w:type="dxa"/>
            <w:tcBorders>
              <w:right w:val="thickThinSmallGap" w:color="auto" w:sz="12" w:space="0"/>
            </w:tcBorders>
          </w:tcPr>
          <w:p>
            <w:pPr>
              <w:snapToGrid w:val="0"/>
              <w:spacing w:line="360" w:lineRule="exact"/>
              <w:rPr>
                <w:rFonts w:ascii="仿宋_GB2312" w:eastAsia="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7" w:hRule="atLeast"/>
          <w:jc w:val="center"/>
        </w:trPr>
        <w:tc>
          <w:tcPr>
            <w:tcW w:w="1951" w:type="dxa"/>
            <w:tcBorders>
              <w:left w:val="thinThickSmallGap" w:color="auto" w:sz="12" w:space="0"/>
            </w:tcBorders>
            <w:vAlign w:val="center"/>
          </w:tcPr>
          <w:p>
            <w:pPr>
              <w:snapToGrid w:val="0"/>
              <w:spacing w:line="360" w:lineRule="exact"/>
              <w:jc w:val="center"/>
              <w:rPr>
                <w:rFonts w:ascii="仿宋_GB2312" w:eastAsia="仿宋_GB2312"/>
                <w:color w:val="000000"/>
                <w:sz w:val="28"/>
                <w:szCs w:val="28"/>
              </w:rPr>
            </w:pPr>
          </w:p>
        </w:tc>
        <w:tc>
          <w:tcPr>
            <w:tcW w:w="2223" w:type="dxa"/>
            <w:tcBorders>
              <w:right w:val="single" w:color="auto" w:sz="4" w:space="0"/>
            </w:tcBorders>
          </w:tcPr>
          <w:p>
            <w:pPr>
              <w:snapToGrid w:val="0"/>
              <w:spacing w:line="360" w:lineRule="exact"/>
              <w:rPr>
                <w:rFonts w:ascii="仿宋_GB2312" w:eastAsia="仿宋_GB2312"/>
                <w:color w:val="000000"/>
                <w:sz w:val="28"/>
                <w:szCs w:val="28"/>
              </w:rPr>
            </w:pPr>
          </w:p>
        </w:tc>
        <w:tc>
          <w:tcPr>
            <w:tcW w:w="4721" w:type="dxa"/>
            <w:tcBorders>
              <w:right w:val="thickThinSmallGap" w:color="auto" w:sz="12" w:space="0"/>
            </w:tcBorders>
          </w:tcPr>
          <w:p>
            <w:pPr>
              <w:snapToGrid w:val="0"/>
              <w:spacing w:line="360" w:lineRule="exact"/>
              <w:rPr>
                <w:rFonts w:ascii="仿宋_GB2312" w:eastAsia="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951" w:type="dxa"/>
            <w:tcBorders>
              <w:top w:val="single" w:color="auto" w:sz="4" w:space="0"/>
              <w:left w:val="thinThickSmallGap" w:color="auto" w:sz="12" w:space="0"/>
              <w:bottom w:val="thickThinSmallGap" w:color="auto" w:sz="12" w:space="0"/>
              <w:right w:val="single" w:color="auto" w:sz="4" w:space="0"/>
            </w:tcBorders>
          </w:tcPr>
          <w:p>
            <w:pPr>
              <w:snapToGrid w:val="0"/>
              <w:spacing w:line="360" w:lineRule="exact"/>
              <w:jc w:val="center"/>
              <w:rPr>
                <w:rFonts w:ascii="仿宋_GB2312" w:eastAsia="仿宋_GB2312"/>
                <w:color w:val="000000"/>
                <w:sz w:val="28"/>
                <w:szCs w:val="28"/>
              </w:rPr>
            </w:pPr>
            <w:r>
              <w:rPr>
                <w:rFonts w:hint="eastAsia" w:ascii="仿宋_GB2312" w:eastAsia="仿宋_GB2312"/>
                <w:color w:val="000000"/>
                <w:sz w:val="28"/>
                <w:szCs w:val="28"/>
              </w:rPr>
              <w:t>投 标 总 价</w:t>
            </w:r>
          </w:p>
        </w:tc>
        <w:tc>
          <w:tcPr>
            <w:tcW w:w="6944" w:type="dxa"/>
            <w:gridSpan w:val="2"/>
            <w:tcBorders>
              <w:top w:val="single" w:color="auto" w:sz="4" w:space="0"/>
              <w:left w:val="single" w:color="auto" w:sz="4" w:space="0"/>
              <w:bottom w:val="thickThinSmallGap" w:color="auto" w:sz="12" w:space="0"/>
              <w:right w:val="thickThinSmallGap" w:color="auto" w:sz="12" w:space="0"/>
            </w:tcBorders>
            <w:vAlign w:val="center"/>
          </w:tcPr>
          <w:p>
            <w:pPr>
              <w:wordWrap w:val="0"/>
              <w:overflowPunct w:val="0"/>
              <w:autoSpaceDE w:val="0"/>
              <w:autoSpaceDN w:val="0"/>
              <w:snapToGrid w:val="0"/>
              <w:spacing w:line="360" w:lineRule="exact"/>
              <w:rPr>
                <w:rFonts w:ascii="仿宋_GB2312" w:eastAsia="仿宋_GB2312"/>
                <w:color w:val="000000"/>
                <w:sz w:val="28"/>
                <w:szCs w:val="28"/>
              </w:rPr>
            </w:pPr>
            <w:r>
              <w:rPr>
                <w:rFonts w:hint="eastAsia" w:ascii="仿宋_GB2312" w:eastAsia="仿宋_GB2312"/>
                <w:color w:val="000000"/>
                <w:sz w:val="28"/>
                <w:szCs w:val="28"/>
              </w:rPr>
              <w:t>大写：  （小写：￥            ）</w:t>
            </w:r>
          </w:p>
        </w:tc>
      </w:tr>
    </w:tbl>
    <w:p>
      <w:pPr>
        <w:snapToGrid w:val="0"/>
        <w:spacing w:line="540" w:lineRule="exact"/>
        <w:rPr>
          <w:rFonts w:ascii="仿宋_GB2312" w:eastAsia="仿宋_GB2312"/>
          <w:color w:val="000000"/>
          <w:sz w:val="28"/>
          <w:szCs w:val="28"/>
        </w:rPr>
      </w:pPr>
      <w:r>
        <w:rPr>
          <w:rFonts w:hint="eastAsia" w:ascii="仿宋_GB2312" w:eastAsia="仿宋_GB2312"/>
          <w:color w:val="000000"/>
          <w:sz w:val="28"/>
          <w:szCs w:val="28"/>
        </w:rPr>
        <w:t>注：报价应包括物业服务等所有费用。</w:t>
      </w:r>
    </w:p>
    <w:p>
      <w:pPr>
        <w:snapToGrid w:val="0"/>
        <w:spacing w:line="540" w:lineRule="exact"/>
        <w:rPr>
          <w:rFonts w:ascii="仿宋_GB2312" w:eastAsia="仿宋_GB2312"/>
          <w:color w:val="000000"/>
          <w:sz w:val="28"/>
          <w:szCs w:val="28"/>
        </w:rPr>
      </w:pPr>
      <w:r>
        <w:rPr>
          <w:rFonts w:hint="eastAsia" w:ascii="仿宋_GB2312" w:eastAsia="仿宋_GB2312"/>
          <w:color w:val="000000"/>
          <w:sz w:val="28"/>
          <w:szCs w:val="28"/>
        </w:rPr>
        <w:t>投标人（盖章）：</w:t>
      </w:r>
    </w:p>
    <w:p>
      <w:pPr>
        <w:snapToGrid w:val="0"/>
        <w:spacing w:line="540" w:lineRule="exact"/>
        <w:rPr>
          <w:rFonts w:ascii="仿宋_GB2312" w:eastAsia="仿宋_GB2312"/>
          <w:color w:val="000000"/>
          <w:sz w:val="28"/>
          <w:szCs w:val="28"/>
        </w:rPr>
      </w:pPr>
      <w:r>
        <w:rPr>
          <w:rFonts w:hint="eastAsia" w:ascii="仿宋_GB2312" w:eastAsia="仿宋_GB2312"/>
          <w:color w:val="000000"/>
          <w:sz w:val="28"/>
          <w:szCs w:val="28"/>
        </w:rPr>
        <w:t>日期：</w:t>
      </w:r>
    </w:p>
    <w:p>
      <w:pPr>
        <w:snapToGrid w:val="0"/>
        <w:spacing w:line="540" w:lineRule="exact"/>
        <w:rPr>
          <w:rFonts w:ascii="仿宋_GB2312" w:eastAsia="仿宋_GB2312"/>
          <w:color w:val="000000"/>
          <w:sz w:val="28"/>
          <w:szCs w:val="28"/>
        </w:rPr>
      </w:pPr>
      <w:r>
        <w:rPr>
          <w:rFonts w:hint="eastAsia" w:ascii="仿宋_GB2312" w:eastAsia="仿宋_GB2312"/>
          <w:color w:val="000000"/>
          <w:sz w:val="28"/>
          <w:szCs w:val="28"/>
        </w:rPr>
        <w:br w:type="page"/>
      </w:r>
    </w:p>
    <w:p>
      <w:pPr>
        <w:snapToGrid w:val="0"/>
        <w:spacing w:line="400" w:lineRule="exact"/>
        <w:ind w:firstLine="1680"/>
        <w:jc w:val="center"/>
        <w:rPr>
          <w:rFonts w:hAnsi="黑体"/>
          <w:color w:val="000000"/>
        </w:rPr>
      </w:pPr>
      <w:r>
        <w:rPr>
          <w:rFonts w:hint="eastAsia" w:ascii="仿宋_GB2312" w:eastAsia="仿宋_GB2312"/>
          <w:sz w:val="28"/>
          <w:szCs w:val="28"/>
        </w:rPr>
        <w:t xml:space="preserve">2 </w:t>
      </w:r>
      <w:r>
        <w:rPr>
          <w:rFonts w:hint="eastAsia" w:ascii="仿宋_GB2312" w:hAnsi="宋体" w:eastAsia="仿宋_GB2312"/>
          <w:color w:val="000000"/>
          <w:sz w:val="28"/>
          <w:szCs w:val="28"/>
        </w:rPr>
        <w:t>投标产品报价明细表</w:t>
      </w:r>
    </w:p>
    <w:p>
      <w:pPr>
        <w:snapToGrid w:val="0"/>
        <w:spacing w:line="400" w:lineRule="exact"/>
        <w:jc w:val="center"/>
        <w:rPr>
          <w:rFonts w:ascii="Times New Roman" w:hAnsi="黑体"/>
          <w:color w:val="000000"/>
        </w:rPr>
      </w:pPr>
      <w:r>
        <w:rPr>
          <w:rFonts w:hint="eastAsia" w:ascii="仿宋_GB2312" w:hAnsi="宋体" w:eastAsia="仿宋_GB2312"/>
          <w:color w:val="000000"/>
          <w:sz w:val="28"/>
          <w:szCs w:val="28"/>
        </w:rPr>
        <w:t>物业费用报价明细表</w:t>
      </w:r>
    </w:p>
    <w:p>
      <w:pPr>
        <w:snapToGrid w:val="0"/>
        <w:spacing w:line="360" w:lineRule="exact"/>
        <w:rPr>
          <w:rFonts w:ascii="仿宋_GB2312" w:hAnsi="Times New Roman" w:eastAsia="仿宋_GB2312"/>
          <w:color w:val="000000"/>
          <w:sz w:val="28"/>
          <w:szCs w:val="28"/>
        </w:rPr>
      </w:pPr>
      <w:r>
        <w:rPr>
          <w:rFonts w:hint="eastAsia" w:ascii="仿宋_GB2312" w:hAnsi="Times New Roman" w:eastAsia="仿宋_GB2312"/>
          <w:color w:val="000000"/>
          <w:sz w:val="28"/>
          <w:szCs w:val="28"/>
        </w:rPr>
        <w:t xml:space="preserve">项目名称：                                                          </w:t>
      </w:r>
    </w:p>
    <w:p>
      <w:pPr>
        <w:snapToGrid w:val="0"/>
        <w:spacing w:line="360" w:lineRule="exact"/>
        <w:rPr>
          <w:rFonts w:ascii="仿宋_GB2312" w:hAnsi="Times New Roman" w:eastAsia="仿宋_GB2312"/>
          <w:color w:val="000000"/>
          <w:sz w:val="28"/>
          <w:szCs w:val="28"/>
        </w:rPr>
      </w:pPr>
      <w:r>
        <w:rPr>
          <w:rFonts w:hint="eastAsia" w:ascii="仿宋_GB2312" w:hAnsi="Times New Roman" w:eastAsia="仿宋_GB2312"/>
          <w:color w:val="000000"/>
          <w:sz w:val="28"/>
          <w:szCs w:val="28"/>
        </w:rPr>
        <w:t xml:space="preserve">项目编号：  </w:t>
      </w:r>
    </w:p>
    <w:tbl>
      <w:tblPr>
        <w:tblStyle w:val="69"/>
        <w:tblW w:w="9498"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6"/>
        <w:gridCol w:w="125"/>
        <w:gridCol w:w="1419"/>
        <w:gridCol w:w="406"/>
        <w:gridCol w:w="1842"/>
        <w:gridCol w:w="1654"/>
        <w:gridCol w:w="1181"/>
        <w:gridCol w:w="253"/>
        <w:gridCol w:w="173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9498" w:type="dxa"/>
            <w:gridSpan w:val="9"/>
            <w:tcBorders>
              <w:top w:val="single" w:color="auto" w:sz="4" w:space="0"/>
              <w:bottom w:val="single" w:color="auto" w:sz="4" w:space="0"/>
            </w:tcBorders>
            <w:vAlign w:val="center"/>
          </w:tcPr>
          <w:p>
            <w:pPr>
              <w:spacing w:line="500" w:lineRule="exact"/>
              <w:outlineLvl w:val="0"/>
              <w:rPr>
                <w:rFonts w:ascii="宋体" w:hAnsi="Times New Roman"/>
                <w:b/>
                <w:kern w:val="10"/>
                <w:szCs w:val="21"/>
              </w:rPr>
            </w:pPr>
            <w:r>
              <w:rPr>
                <w:rFonts w:hint="eastAsia" w:ascii="宋体" w:hAnsi="Times New Roman"/>
                <w:b/>
                <w:kern w:val="10"/>
                <w:szCs w:val="21"/>
              </w:rPr>
              <w:t>一、物业管理人员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b/>
                <w:kern w:val="10"/>
                <w:szCs w:val="21"/>
              </w:rPr>
            </w:pPr>
            <w:r>
              <w:rPr>
                <w:rFonts w:hint="eastAsia" w:ascii="宋体" w:hAnsi="宋体"/>
                <w:b/>
                <w:kern w:val="10"/>
                <w:szCs w:val="21"/>
              </w:rPr>
              <w:t>序号</w:t>
            </w:r>
          </w:p>
        </w:tc>
        <w:tc>
          <w:tcPr>
            <w:tcW w:w="1825"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b/>
                <w:kern w:val="10"/>
                <w:szCs w:val="21"/>
              </w:rPr>
            </w:pPr>
            <w:r>
              <w:rPr>
                <w:rFonts w:hint="eastAsia" w:ascii="宋体" w:hAnsi="宋体"/>
                <w:b/>
                <w:kern w:val="10"/>
                <w:szCs w:val="21"/>
              </w:rPr>
              <w:t>拟派岗位</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b/>
                <w:kern w:val="10"/>
                <w:szCs w:val="21"/>
              </w:rPr>
            </w:pPr>
            <w:r>
              <w:rPr>
                <w:rFonts w:hint="eastAsia" w:ascii="宋体" w:hAnsi="宋体"/>
                <w:b/>
                <w:kern w:val="10"/>
                <w:szCs w:val="21"/>
              </w:rPr>
              <w:t>数量及单位</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b/>
                <w:kern w:val="10"/>
                <w:szCs w:val="21"/>
              </w:rPr>
            </w:pPr>
            <w:r>
              <w:rPr>
                <w:rFonts w:hint="eastAsia" w:ascii="宋体" w:hAnsi="宋体"/>
                <w:b/>
                <w:kern w:val="10"/>
                <w:szCs w:val="21"/>
              </w:rPr>
              <w:t>单价</w:t>
            </w:r>
          </w:p>
          <w:p>
            <w:pPr>
              <w:spacing w:line="360" w:lineRule="exact"/>
              <w:jc w:val="center"/>
              <w:outlineLvl w:val="0"/>
              <w:rPr>
                <w:rFonts w:ascii="宋体" w:hAnsi="宋体"/>
                <w:b/>
                <w:kern w:val="10"/>
                <w:szCs w:val="21"/>
              </w:rPr>
            </w:pPr>
            <w:r>
              <w:rPr>
                <w:rFonts w:hint="eastAsia" w:ascii="宋体" w:hAnsi="宋体"/>
                <w:b/>
                <w:kern w:val="10"/>
                <w:szCs w:val="21"/>
              </w:rPr>
              <w:t>（元/年/人）</w:t>
            </w: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b/>
                <w:kern w:val="10"/>
                <w:szCs w:val="21"/>
              </w:rPr>
            </w:pPr>
            <w:r>
              <w:rPr>
                <w:rFonts w:hint="eastAsia" w:ascii="宋体" w:hAnsi="宋体"/>
                <w:b/>
                <w:kern w:val="10"/>
                <w:szCs w:val="21"/>
              </w:rPr>
              <w:t>服务年限</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Times New Roman"/>
                <w:b/>
                <w:kern w:val="10"/>
                <w:szCs w:val="21"/>
              </w:rPr>
            </w:pPr>
            <w:r>
              <w:rPr>
                <w:rFonts w:hint="eastAsia" w:ascii="宋体" w:hAnsi="Times New Roman"/>
                <w:b/>
                <w:kern w:val="10"/>
                <w:szCs w:val="21"/>
              </w:rPr>
              <w:t>合价</w:t>
            </w:r>
          </w:p>
          <w:p>
            <w:pPr>
              <w:spacing w:line="360" w:lineRule="exact"/>
              <w:jc w:val="center"/>
              <w:outlineLvl w:val="0"/>
              <w:rPr>
                <w:rFonts w:ascii="宋体" w:hAnsi="Times New Roman"/>
                <w:b/>
                <w:kern w:val="10"/>
                <w:szCs w:val="21"/>
              </w:rPr>
            </w:pPr>
            <w:r>
              <w:rPr>
                <w:rFonts w:hint="eastAsia" w:ascii="宋体" w:hAnsi="宋体"/>
                <w:b/>
                <w:kern w:val="10"/>
                <w:szCs w:val="21"/>
              </w:rPr>
              <w:t>（元/2年）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1</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rPr>
              <w:t>项目经理</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 xml:space="preserve"> 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rPr>
              <w:t>领班</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 xml:space="preserve"> 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3</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rPr>
              <w:t>保洁人员</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 xml:space="preserve"> 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eastAsia="仿宋_GB2312"/>
                <w:kern w:val="10"/>
                <w:szCs w:val="21"/>
              </w:rPr>
            </w:pPr>
            <w:r>
              <w:rPr>
                <w:rFonts w:hint="eastAsia" w:ascii="宋体" w:hAnsi="宋体"/>
                <w:kern w:val="10"/>
                <w:szCs w:val="21"/>
              </w:rPr>
              <w:t>4</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lang w:val="zh-CN"/>
              </w:rPr>
              <w:t>会务及讲解员</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5</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rPr>
              <w:t>保安</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6</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lang w:val="zh-CN"/>
              </w:rPr>
              <w:t>维修电工</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7</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lang w:val="zh-CN"/>
              </w:rPr>
              <w:t>食堂服务人员</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1011" w:type="dxa"/>
            <w:gridSpan w:val="2"/>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8</w:t>
            </w:r>
          </w:p>
        </w:tc>
        <w:tc>
          <w:tcPr>
            <w:tcW w:w="1825" w:type="dxa"/>
            <w:gridSpan w:val="2"/>
            <w:tcBorders>
              <w:top w:val="single" w:color="auto" w:sz="4" w:space="0"/>
              <w:bottom w:val="single" w:color="auto" w:sz="4" w:space="0"/>
              <w:right w:val="single" w:color="auto" w:sz="4" w:space="0"/>
            </w:tcBorders>
            <w:vAlign w:val="center"/>
          </w:tcPr>
          <w:p>
            <w:pPr>
              <w:spacing w:line="360" w:lineRule="exact"/>
              <w:outlineLvl w:val="0"/>
              <w:rPr>
                <w:rFonts w:ascii="宋体" w:hAnsi="宋体"/>
                <w:kern w:val="10"/>
                <w:szCs w:val="21"/>
              </w:rPr>
            </w:pPr>
            <w:r>
              <w:rPr>
                <w:rFonts w:hint="eastAsia" w:ascii="宋体" w:hAnsi="宋体"/>
                <w:kern w:val="10"/>
                <w:szCs w:val="21"/>
                <w:lang w:val="zh-CN"/>
              </w:rPr>
              <w:t>炊事员兼保洁</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人</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p>
        </w:tc>
        <w:tc>
          <w:tcPr>
            <w:tcW w:w="1434"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2年</w:t>
            </w:r>
          </w:p>
        </w:tc>
        <w:tc>
          <w:tcPr>
            <w:tcW w:w="1732" w:type="dxa"/>
            <w:tcBorders>
              <w:top w:val="single" w:color="auto" w:sz="4" w:space="0"/>
              <w:left w:val="single" w:color="auto" w:sz="4" w:space="0"/>
              <w:bottom w:val="single" w:color="auto" w:sz="4" w:space="0"/>
            </w:tcBorders>
            <w:vAlign w:val="center"/>
          </w:tcPr>
          <w:p>
            <w:pPr>
              <w:spacing w:line="360" w:lineRule="exact"/>
              <w:jc w:val="center"/>
              <w:outlineLvl w:val="0"/>
              <w:rPr>
                <w:rFonts w:ascii="宋体" w:hAnsi="宋体"/>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4678" w:type="dxa"/>
            <w:gridSpan w:val="5"/>
            <w:tcBorders>
              <w:top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r>
              <w:rPr>
                <w:rFonts w:hint="eastAsia" w:ascii="宋体" w:hAnsi="Times New Roman"/>
                <w:kern w:val="10"/>
                <w:szCs w:val="21"/>
              </w:rPr>
              <w:t>小   计</w:t>
            </w:r>
          </w:p>
        </w:tc>
        <w:tc>
          <w:tcPr>
            <w:tcW w:w="4820" w:type="dxa"/>
            <w:gridSpan w:val="4"/>
            <w:tcBorders>
              <w:top w:val="single" w:color="auto" w:sz="4" w:space="0"/>
              <w:left w:val="single" w:color="auto" w:sz="4" w:space="0"/>
              <w:bottom w:val="single" w:color="auto" w:sz="4" w:space="0"/>
            </w:tcBorders>
            <w:vAlign w:val="center"/>
          </w:tcPr>
          <w:p>
            <w:pPr>
              <w:spacing w:line="360" w:lineRule="exact"/>
              <w:jc w:val="center"/>
              <w:outlineLvl w:val="0"/>
              <w:rPr>
                <w:rFonts w:ascii="宋体" w:hAnsi="Times New Roman"/>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540" w:hRule="atLeast"/>
        </w:trPr>
        <w:tc>
          <w:tcPr>
            <w:tcW w:w="9498" w:type="dxa"/>
            <w:gridSpan w:val="9"/>
            <w:tcBorders>
              <w:top w:val="single" w:color="auto" w:sz="4" w:space="0"/>
              <w:bottom w:val="single" w:color="auto" w:sz="4" w:space="0"/>
            </w:tcBorders>
            <w:vAlign w:val="center"/>
          </w:tcPr>
          <w:p>
            <w:pPr>
              <w:spacing w:line="360" w:lineRule="exact"/>
              <w:outlineLvl w:val="0"/>
              <w:rPr>
                <w:rFonts w:ascii="宋体" w:hAnsi="Times New Roman"/>
                <w:kern w:val="10"/>
                <w:szCs w:val="21"/>
              </w:rPr>
            </w:pPr>
            <w:r>
              <w:rPr>
                <w:rFonts w:hint="eastAsia" w:ascii="宋体" w:hAnsi="Times New Roman"/>
                <w:b/>
                <w:kern w:val="10"/>
                <w:szCs w:val="21"/>
              </w:rPr>
              <w:t>二、其他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90" w:hRule="atLeast"/>
        </w:trPr>
        <w:tc>
          <w:tcPr>
            <w:tcW w:w="886" w:type="dxa"/>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b/>
                <w:kern w:val="10"/>
                <w:szCs w:val="21"/>
              </w:rPr>
            </w:pPr>
            <w:r>
              <w:rPr>
                <w:rFonts w:hint="eastAsia" w:ascii="宋体" w:hAnsi="宋体"/>
                <w:b/>
                <w:kern w:val="10"/>
                <w:szCs w:val="21"/>
              </w:rPr>
              <w:t>序号</w:t>
            </w:r>
          </w:p>
        </w:tc>
        <w:tc>
          <w:tcPr>
            <w:tcW w:w="1950" w:type="dxa"/>
            <w:gridSpan w:val="3"/>
            <w:tcBorders>
              <w:top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b/>
                <w:kern w:val="10"/>
                <w:szCs w:val="21"/>
              </w:rPr>
            </w:pPr>
            <w:r>
              <w:rPr>
                <w:rFonts w:hint="eastAsia" w:ascii="宋体" w:hAnsi="Times New Roman"/>
                <w:b/>
                <w:kern w:val="10"/>
                <w:szCs w:val="21"/>
              </w:rPr>
              <w:t>内容</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b/>
                <w:kern w:val="10"/>
                <w:szCs w:val="21"/>
              </w:rPr>
            </w:pPr>
            <w:r>
              <w:rPr>
                <w:rFonts w:hint="eastAsia" w:ascii="宋体" w:hAnsi="Times New Roman"/>
                <w:b/>
                <w:kern w:val="10"/>
                <w:szCs w:val="21"/>
              </w:rPr>
              <w:t>数量</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b/>
                <w:kern w:val="10"/>
                <w:szCs w:val="21"/>
              </w:rPr>
            </w:pPr>
            <w:r>
              <w:rPr>
                <w:rFonts w:hint="eastAsia" w:ascii="宋体" w:hAnsi="Times New Roman"/>
                <w:b/>
                <w:kern w:val="10"/>
                <w:szCs w:val="21"/>
              </w:rPr>
              <w:t>合价</w:t>
            </w:r>
            <w:r>
              <w:rPr>
                <w:rFonts w:hint="eastAsia" w:ascii="宋体" w:hAnsi="宋体"/>
                <w:b/>
                <w:kern w:val="10"/>
                <w:szCs w:val="21"/>
              </w:rPr>
              <w:t>（元）</w:t>
            </w:r>
          </w:p>
        </w:tc>
        <w:tc>
          <w:tcPr>
            <w:tcW w:w="1985" w:type="dxa"/>
            <w:gridSpan w:val="2"/>
            <w:tcBorders>
              <w:top w:val="single" w:color="auto" w:sz="4" w:space="0"/>
              <w:left w:val="single" w:color="auto" w:sz="4" w:space="0"/>
              <w:bottom w:val="single" w:color="auto" w:sz="4" w:space="0"/>
            </w:tcBorders>
            <w:vAlign w:val="center"/>
          </w:tcPr>
          <w:p>
            <w:pPr>
              <w:spacing w:line="360" w:lineRule="exact"/>
              <w:jc w:val="center"/>
              <w:outlineLvl w:val="0"/>
              <w:rPr>
                <w:rFonts w:ascii="宋体" w:hAnsi="Times New Roman"/>
                <w:b/>
                <w:kern w:val="10"/>
                <w:szCs w:val="21"/>
              </w:rPr>
            </w:pPr>
            <w:r>
              <w:rPr>
                <w:rFonts w:hint="eastAsia" w:ascii="宋体" w:hAnsi="Times New Roman"/>
                <w:b/>
                <w:kern w:val="10"/>
                <w:szCs w:val="21"/>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690" w:hRule="atLeast"/>
        </w:trPr>
        <w:tc>
          <w:tcPr>
            <w:tcW w:w="886" w:type="dxa"/>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1</w:t>
            </w:r>
          </w:p>
        </w:tc>
        <w:tc>
          <w:tcPr>
            <w:tcW w:w="1950" w:type="dxa"/>
            <w:gridSpan w:val="3"/>
            <w:tcBorders>
              <w:top w:val="single" w:color="auto" w:sz="4" w:space="0"/>
              <w:bottom w:val="single" w:color="auto" w:sz="4" w:space="0"/>
              <w:right w:val="single" w:color="auto" w:sz="4" w:space="0"/>
            </w:tcBorders>
            <w:vAlign w:val="center"/>
          </w:tcPr>
          <w:p>
            <w:pPr>
              <w:spacing w:line="360" w:lineRule="exact"/>
              <w:outlineLvl w:val="0"/>
              <w:rPr>
                <w:rFonts w:ascii="宋体" w:hAnsi="Times New Roman"/>
                <w:kern w:val="10"/>
                <w:szCs w:val="21"/>
              </w:rPr>
            </w:pPr>
            <w:r>
              <w:rPr>
                <w:rFonts w:hint="eastAsia" w:ascii="宋体" w:hAnsi="Times New Roman"/>
                <w:kern w:val="10"/>
                <w:szCs w:val="21"/>
              </w:rPr>
              <w:t>物业服务所需的工具及耗材</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r>
              <w:rPr>
                <w:rFonts w:hint="eastAsia" w:ascii="宋体" w:hAnsi="Times New Roman"/>
                <w:kern w:val="10"/>
                <w:szCs w:val="21"/>
              </w:rPr>
              <w:t>1项</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p>
        </w:tc>
        <w:tc>
          <w:tcPr>
            <w:tcW w:w="1985" w:type="dxa"/>
            <w:gridSpan w:val="2"/>
            <w:tcBorders>
              <w:top w:val="single" w:color="auto" w:sz="4" w:space="0"/>
              <w:left w:val="single" w:color="auto" w:sz="4" w:space="0"/>
              <w:bottom w:val="single" w:color="auto" w:sz="4" w:space="0"/>
            </w:tcBorders>
            <w:vAlign w:val="center"/>
          </w:tcPr>
          <w:p>
            <w:pPr>
              <w:spacing w:line="360" w:lineRule="exact"/>
              <w:jc w:val="center"/>
              <w:outlineLvl w:val="0"/>
              <w:rPr>
                <w:rFonts w:ascii="宋体" w:hAnsi="Times New Roman"/>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385" w:hRule="atLeast"/>
        </w:trPr>
        <w:tc>
          <w:tcPr>
            <w:tcW w:w="886" w:type="dxa"/>
            <w:tcBorders>
              <w:top w:val="single" w:color="auto" w:sz="4" w:space="0"/>
              <w:bottom w:val="single" w:color="auto" w:sz="4" w:space="0"/>
              <w:right w:val="single" w:color="auto" w:sz="4" w:space="0"/>
            </w:tcBorders>
            <w:vAlign w:val="center"/>
          </w:tcPr>
          <w:p>
            <w:pPr>
              <w:spacing w:line="360" w:lineRule="exact"/>
              <w:jc w:val="center"/>
              <w:outlineLvl w:val="0"/>
              <w:rPr>
                <w:rFonts w:ascii="宋体" w:hAnsi="宋体"/>
                <w:kern w:val="10"/>
                <w:szCs w:val="21"/>
              </w:rPr>
            </w:pPr>
            <w:r>
              <w:rPr>
                <w:rFonts w:hint="eastAsia" w:ascii="宋体" w:hAnsi="宋体"/>
                <w:kern w:val="10"/>
                <w:szCs w:val="21"/>
              </w:rPr>
              <w:t>2</w:t>
            </w:r>
          </w:p>
        </w:tc>
        <w:tc>
          <w:tcPr>
            <w:tcW w:w="1950" w:type="dxa"/>
            <w:gridSpan w:val="3"/>
            <w:tcBorders>
              <w:top w:val="single" w:color="auto" w:sz="4" w:space="0"/>
              <w:bottom w:val="single" w:color="auto" w:sz="4" w:space="0"/>
              <w:right w:val="single" w:color="auto" w:sz="4" w:space="0"/>
            </w:tcBorders>
            <w:vAlign w:val="center"/>
          </w:tcPr>
          <w:p>
            <w:pPr>
              <w:spacing w:line="360" w:lineRule="exact"/>
              <w:outlineLvl w:val="0"/>
              <w:rPr>
                <w:rFonts w:ascii="宋体" w:hAnsi="Times New Roman"/>
                <w:kern w:val="10"/>
                <w:szCs w:val="21"/>
              </w:rPr>
            </w:pPr>
            <w:r>
              <w:rPr>
                <w:rFonts w:hint="eastAsia" w:ascii="宋体" w:hAnsi="Times New Roman"/>
                <w:kern w:val="10"/>
                <w:szCs w:val="21"/>
              </w:rPr>
              <w:t>承揽本项目所需的其他一切费用（包括企业管理费、利润、税金、保险费、</w:t>
            </w:r>
            <w:r>
              <w:rPr>
                <w:rFonts w:hint="eastAsia" w:ascii="Times New Roman" w:hAnsi="宋体"/>
                <w:szCs w:val="21"/>
                <w:lang w:val="zh-CN"/>
              </w:rPr>
              <w:t>服装费</w:t>
            </w:r>
            <w:r>
              <w:rPr>
                <w:rFonts w:hint="eastAsia" w:ascii="宋体" w:hAnsi="Times New Roman"/>
                <w:kern w:val="10"/>
                <w:szCs w:val="21"/>
              </w:rPr>
              <w:t>等）</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r>
              <w:rPr>
                <w:rFonts w:hint="eastAsia" w:ascii="宋体" w:hAnsi="Times New Roman"/>
                <w:kern w:val="10"/>
                <w:szCs w:val="21"/>
              </w:rPr>
              <w:t>1项</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p>
        </w:tc>
        <w:tc>
          <w:tcPr>
            <w:tcW w:w="1985" w:type="dxa"/>
            <w:gridSpan w:val="2"/>
            <w:tcBorders>
              <w:top w:val="single" w:color="auto" w:sz="4" w:space="0"/>
              <w:left w:val="single" w:color="auto" w:sz="4" w:space="0"/>
              <w:bottom w:val="single" w:color="auto" w:sz="4" w:space="0"/>
            </w:tcBorders>
            <w:vAlign w:val="center"/>
          </w:tcPr>
          <w:p>
            <w:pPr>
              <w:spacing w:line="360" w:lineRule="exact"/>
              <w:outlineLvl w:val="0"/>
              <w:rPr>
                <w:rFonts w:ascii="宋体" w:hAnsi="Times New Roman"/>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713" w:hRule="atLeast"/>
        </w:trPr>
        <w:tc>
          <w:tcPr>
            <w:tcW w:w="4678" w:type="dxa"/>
            <w:gridSpan w:val="5"/>
            <w:tcBorders>
              <w:top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r>
              <w:rPr>
                <w:rFonts w:hint="eastAsia" w:ascii="宋体" w:hAnsi="Times New Roman"/>
                <w:kern w:val="10"/>
                <w:szCs w:val="21"/>
              </w:rPr>
              <w:t>小计（1+2）</w:t>
            </w:r>
          </w:p>
        </w:tc>
        <w:tc>
          <w:tcPr>
            <w:tcW w:w="283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outlineLvl w:val="0"/>
              <w:rPr>
                <w:rFonts w:ascii="宋体" w:hAnsi="Times New Roman"/>
                <w:kern w:val="10"/>
                <w:szCs w:val="21"/>
              </w:rPr>
            </w:pPr>
          </w:p>
        </w:tc>
        <w:tc>
          <w:tcPr>
            <w:tcW w:w="1985" w:type="dxa"/>
            <w:gridSpan w:val="2"/>
            <w:tcBorders>
              <w:top w:val="single" w:color="auto" w:sz="4" w:space="0"/>
              <w:left w:val="single" w:color="auto" w:sz="4" w:space="0"/>
              <w:bottom w:val="single" w:color="auto" w:sz="4" w:space="0"/>
            </w:tcBorders>
            <w:vAlign w:val="center"/>
          </w:tcPr>
          <w:p>
            <w:pPr>
              <w:spacing w:line="360" w:lineRule="exact"/>
              <w:jc w:val="center"/>
              <w:outlineLvl w:val="0"/>
              <w:rPr>
                <w:rFonts w:ascii="宋体" w:hAnsi="Times New Roman"/>
                <w:kern w:val="1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cantSplit/>
          <w:trHeight w:val="713" w:hRule="atLeast"/>
        </w:trPr>
        <w:tc>
          <w:tcPr>
            <w:tcW w:w="2430" w:type="dxa"/>
            <w:gridSpan w:val="3"/>
            <w:tcBorders>
              <w:top w:val="single" w:color="auto" w:sz="4" w:space="0"/>
              <w:bottom w:val="single" w:color="auto" w:sz="4" w:space="0"/>
              <w:right w:val="single" w:color="auto" w:sz="4" w:space="0"/>
            </w:tcBorders>
            <w:vAlign w:val="center"/>
          </w:tcPr>
          <w:p>
            <w:pPr>
              <w:spacing w:line="360" w:lineRule="exact"/>
              <w:outlineLvl w:val="0"/>
              <w:rPr>
                <w:rFonts w:ascii="宋体" w:hAnsi="Times New Roman"/>
                <w:kern w:val="10"/>
                <w:szCs w:val="21"/>
              </w:rPr>
            </w:pPr>
            <w:r>
              <w:rPr>
                <w:rFonts w:hint="eastAsia" w:ascii="宋体" w:hAnsi="Times New Roman"/>
                <w:b/>
                <w:kern w:val="10"/>
                <w:szCs w:val="21"/>
              </w:rPr>
              <w:t>三、合计（一+二）</w:t>
            </w:r>
          </w:p>
        </w:tc>
        <w:tc>
          <w:tcPr>
            <w:tcW w:w="7068" w:type="dxa"/>
            <w:gridSpan w:val="6"/>
            <w:tcBorders>
              <w:top w:val="single" w:color="auto" w:sz="4" w:space="0"/>
              <w:bottom w:val="single" w:color="auto" w:sz="4" w:space="0"/>
            </w:tcBorders>
            <w:vAlign w:val="center"/>
          </w:tcPr>
          <w:p>
            <w:pPr>
              <w:spacing w:line="360" w:lineRule="exact"/>
              <w:jc w:val="center"/>
              <w:outlineLvl w:val="0"/>
              <w:rPr>
                <w:rFonts w:ascii="宋体" w:hAnsi="Times New Roman"/>
                <w:kern w:val="10"/>
                <w:szCs w:val="21"/>
              </w:rPr>
            </w:pPr>
          </w:p>
        </w:tc>
      </w:tr>
    </w:tbl>
    <w:p>
      <w:pPr>
        <w:snapToGrid w:val="0"/>
        <w:spacing w:line="440" w:lineRule="exact"/>
        <w:rPr>
          <w:rFonts w:ascii="仿宋_GB2312" w:hAnsi="Times New Roman" w:eastAsia="仿宋_GB2312"/>
          <w:color w:val="000000"/>
          <w:sz w:val="28"/>
          <w:szCs w:val="28"/>
        </w:rPr>
      </w:pPr>
      <w:r>
        <w:rPr>
          <w:rFonts w:hint="eastAsia" w:ascii="仿宋_GB2312" w:hAnsi="Times New Roman" w:eastAsia="仿宋_GB2312"/>
          <w:color w:val="000000"/>
          <w:sz w:val="28"/>
          <w:szCs w:val="28"/>
        </w:rPr>
        <w:t>投标人（盖章）：</w:t>
      </w:r>
    </w:p>
    <w:p/>
    <w:p>
      <w:pPr>
        <w:pStyle w:val="288"/>
        <w:jc w:val="left"/>
        <w:rPr>
          <w:rFonts w:ascii="仿宋_GB2312" w:eastAsia="仿宋_GB2312"/>
          <w:sz w:val="28"/>
          <w:szCs w:val="28"/>
        </w:rPr>
      </w:pPr>
      <w:r>
        <w:rPr>
          <w:rFonts w:hint="eastAsia" w:ascii="仿宋_GB2312" w:hAnsi="Times New Roman" w:eastAsia="仿宋_GB2312"/>
          <w:color w:val="000000"/>
          <w:sz w:val="28"/>
          <w:szCs w:val="28"/>
        </w:rPr>
        <w:t xml:space="preserve">日期：       </w:t>
      </w:r>
    </w:p>
    <w:p>
      <w:pPr>
        <w:spacing w:line="460" w:lineRule="atLeast"/>
        <w:ind w:firstLine="560" w:firstLineChars="200"/>
        <w:jc w:val="center"/>
        <w:rPr>
          <w:rFonts w:ascii="宋体"/>
          <w:sz w:val="24"/>
          <w:szCs w:val="24"/>
        </w:rPr>
      </w:pPr>
      <w:r>
        <w:rPr>
          <w:rFonts w:ascii="仿宋_GB2312" w:eastAsia="仿宋_GB2312"/>
          <w:sz w:val="28"/>
          <w:szCs w:val="28"/>
        </w:rPr>
        <w:br w:type="page"/>
      </w:r>
      <w:r>
        <w:rPr>
          <w:rFonts w:hint="eastAsia" w:ascii="仿宋_GB2312" w:eastAsia="仿宋_GB2312"/>
          <w:sz w:val="28"/>
          <w:szCs w:val="28"/>
        </w:rPr>
        <w:t>3、</w:t>
      </w:r>
      <w:r>
        <w:rPr>
          <w:rStyle w:val="173"/>
          <w:rFonts w:hint="eastAsia"/>
        </w:rPr>
        <w:t>中小企业声明函（服务）</w:t>
      </w:r>
    </w:p>
    <w:p>
      <w:pPr>
        <w:pStyle w:val="2"/>
      </w:pPr>
    </w:p>
    <w:p>
      <w:pPr>
        <w:spacing w:line="360" w:lineRule="auto"/>
        <w:ind w:firstLine="480" w:firstLineChars="200"/>
        <w:rPr>
          <w:rFonts w:ascii="宋体" w:cs="宋体"/>
          <w:sz w:val="24"/>
          <w:szCs w:val="24"/>
        </w:rPr>
      </w:pPr>
      <w:r>
        <w:rPr>
          <w:rFonts w:hint="eastAsia" w:ascii="宋体" w:cs="宋体"/>
          <w:sz w:val="24"/>
          <w:szCs w:val="24"/>
        </w:rPr>
        <w:t>本公司郑重声明，根据《政府采购促进中小企业发展管理办法》（财库﹝2020﹞46 号）的规定，本公司参加</w:t>
      </w:r>
      <w:r>
        <w:rPr>
          <w:rFonts w:hint="eastAsia" w:ascii="宋体" w:cs="宋体"/>
          <w:sz w:val="24"/>
          <w:szCs w:val="24"/>
          <w:u w:val="single"/>
        </w:rPr>
        <w:t>（采购单位名称）</w:t>
      </w:r>
      <w:r>
        <w:rPr>
          <w:rFonts w:hint="eastAsia" w:ascii="宋体" w:cs="宋体"/>
          <w:sz w:val="24"/>
          <w:szCs w:val="24"/>
        </w:rPr>
        <w:t>的</w:t>
      </w:r>
      <w:r>
        <w:rPr>
          <w:rFonts w:hint="eastAsia" w:ascii="宋体" w:cs="宋体"/>
          <w:sz w:val="24"/>
          <w:szCs w:val="24"/>
          <w:u w:val="single"/>
        </w:rPr>
        <w:t>（项目名称）</w:t>
      </w:r>
      <w:r>
        <w:rPr>
          <w:rFonts w:hint="eastAsia" w:ascii="宋体" w:cs="宋体"/>
          <w:sz w:val="24"/>
          <w:szCs w:val="24"/>
        </w:rPr>
        <w:t>采购活动，服务全部由符合政策要求的中小企业承接。相关企业（含联合体中的中小企业、签订分包意向协议的中小企业）的具体情况如下：</w:t>
      </w:r>
    </w:p>
    <w:p>
      <w:pPr>
        <w:pStyle w:val="2"/>
        <w:ind w:firstLine="0"/>
        <w:rPr>
          <w:sz w:val="24"/>
          <w:szCs w:val="24"/>
        </w:rPr>
      </w:pPr>
      <w:r>
        <w:rPr>
          <w:rFonts w:hint="eastAsia"/>
          <w:sz w:val="24"/>
          <w:szCs w:val="24"/>
        </w:rPr>
        <w:t xml:space="preserve">    1.</w:t>
      </w:r>
      <w:r>
        <w:rPr>
          <w:rFonts w:hint="eastAsia"/>
          <w:sz w:val="24"/>
          <w:szCs w:val="24"/>
          <w:u w:val="single"/>
        </w:rPr>
        <w:t>（标的名称）</w:t>
      </w:r>
      <w:r>
        <w:rPr>
          <w:rFonts w:hint="eastAsia"/>
          <w:sz w:val="24"/>
          <w:szCs w:val="24"/>
        </w:rPr>
        <w:t xml:space="preserve"> ，属于</w:t>
      </w:r>
      <w:r>
        <w:rPr>
          <w:rFonts w:hint="eastAsia"/>
          <w:sz w:val="24"/>
          <w:szCs w:val="24"/>
          <w:u w:val="single"/>
        </w:rPr>
        <w:t>物业管理</w:t>
      </w:r>
      <w:r>
        <w:rPr>
          <w:rFonts w:hint="eastAsia"/>
          <w:sz w:val="24"/>
          <w:szCs w:val="24"/>
        </w:rPr>
        <w:t>行业；承接企业为</w:t>
      </w:r>
      <w:r>
        <w:rPr>
          <w:rFonts w:hint="eastAsia"/>
          <w:sz w:val="24"/>
          <w:szCs w:val="24"/>
          <w:u w:val="single"/>
        </w:rPr>
        <w:t>（企业名称）</w:t>
      </w:r>
      <w:r>
        <w:rPr>
          <w:rFonts w:hint="eastAsia"/>
          <w:sz w:val="24"/>
          <w:szCs w:val="24"/>
        </w:rPr>
        <w:t>，从业人员人，营业收入为万元</w:t>
      </w:r>
      <w:r>
        <w:rPr>
          <w:rFonts w:hint="eastAsia"/>
          <w:sz w:val="24"/>
          <w:szCs w:val="24"/>
          <w:vertAlign w:val="superscript"/>
        </w:rPr>
        <w:t>1</w:t>
      </w:r>
      <w:r>
        <w:rPr>
          <w:rFonts w:hint="eastAsia"/>
          <w:sz w:val="24"/>
          <w:szCs w:val="24"/>
        </w:rPr>
        <w:t>，资产总额为万元，属于</w:t>
      </w:r>
      <w:r>
        <w:rPr>
          <w:rFonts w:hint="eastAsia"/>
          <w:sz w:val="24"/>
          <w:szCs w:val="24"/>
          <w:u w:val="single"/>
        </w:rPr>
        <w:t>（中型企业、小型企业、微型企业）</w:t>
      </w:r>
      <w:r>
        <w:rPr>
          <w:rFonts w:hint="eastAsia"/>
          <w:sz w:val="24"/>
          <w:szCs w:val="24"/>
        </w:rPr>
        <w:t>；</w:t>
      </w:r>
    </w:p>
    <w:p>
      <w:pPr>
        <w:pStyle w:val="2"/>
        <w:ind w:firstLine="480" w:firstLineChars="200"/>
        <w:rPr>
          <w:sz w:val="24"/>
          <w:szCs w:val="24"/>
        </w:rPr>
      </w:pPr>
      <w:r>
        <w:rPr>
          <w:rFonts w:hint="eastAsia"/>
          <w:sz w:val="24"/>
          <w:szCs w:val="24"/>
          <w:u w:val="single"/>
        </w:rPr>
        <w:t>2.（标的名称）</w:t>
      </w:r>
      <w:r>
        <w:rPr>
          <w:rFonts w:hint="eastAsia"/>
          <w:sz w:val="24"/>
          <w:szCs w:val="24"/>
        </w:rPr>
        <w:t xml:space="preserve"> ，属于</w:t>
      </w:r>
      <w:r>
        <w:rPr>
          <w:rFonts w:hint="eastAsia"/>
          <w:sz w:val="24"/>
          <w:szCs w:val="24"/>
          <w:u w:val="single"/>
        </w:rPr>
        <w:t>物业管理</w:t>
      </w:r>
      <w:r>
        <w:rPr>
          <w:rFonts w:hint="eastAsia"/>
          <w:sz w:val="24"/>
          <w:szCs w:val="24"/>
        </w:rPr>
        <w:t>行业；承接企业为</w:t>
      </w:r>
      <w:r>
        <w:rPr>
          <w:rFonts w:hint="eastAsia"/>
          <w:sz w:val="24"/>
          <w:szCs w:val="24"/>
          <w:u w:val="single"/>
        </w:rPr>
        <w:t>（企业名称）</w:t>
      </w:r>
      <w:r>
        <w:rPr>
          <w:rFonts w:hint="eastAsia"/>
          <w:sz w:val="24"/>
          <w:szCs w:val="24"/>
        </w:rPr>
        <w:t>，从业人员人，营业收入为万元，资产总额为万元，属于</w:t>
      </w:r>
      <w:r>
        <w:rPr>
          <w:rFonts w:hint="eastAsia"/>
          <w:sz w:val="24"/>
          <w:szCs w:val="24"/>
          <w:u w:val="single"/>
        </w:rPr>
        <w:t>（中型企业、小型企业、微型企业）</w:t>
      </w:r>
      <w:r>
        <w:rPr>
          <w:rFonts w:hint="eastAsia"/>
          <w:sz w:val="24"/>
          <w:szCs w:val="24"/>
        </w:rPr>
        <w:t>；</w:t>
      </w:r>
    </w:p>
    <w:p>
      <w:pPr>
        <w:pStyle w:val="2"/>
        <w:ind w:firstLine="480" w:firstLineChars="200"/>
        <w:rPr>
          <w:sz w:val="24"/>
          <w:szCs w:val="24"/>
        </w:rPr>
      </w:pPr>
      <w:r>
        <w:rPr>
          <w:rFonts w:hint="eastAsia"/>
          <w:sz w:val="24"/>
          <w:szCs w:val="24"/>
        </w:rPr>
        <w:t>……</w:t>
      </w:r>
    </w:p>
    <w:p>
      <w:pPr>
        <w:pStyle w:val="2"/>
        <w:ind w:firstLine="480" w:firstLineChars="200"/>
        <w:rPr>
          <w:sz w:val="24"/>
          <w:szCs w:val="24"/>
        </w:rPr>
      </w:pPr>
      <w:r>
        <w:rPr>
          <w:rFonts w:hint="eastAsia"/>
          <w:sz w:val="24"/>
          <w:szCs w:val="24"/>
        </w:rPr>
        <w:t>以上企业，不属于大企业的分支机构，不存在控股股东为大企业的情形，也不存在与大企业的负责人为同一人的情形。</w:t>
      </w:r>
    </w:p>
    <w:p>
      <w:pPr>
        <w:pStyle w:val="2"/>
        <w:ind w:firstLine="480" w:firstLineChars="200"/>
        <w:rPr>
          <w:sz w:val="24"/>
          <w:szCs w:val="24"/>
        </w:rPr>
      </w:pPr>
      <w:r>
        <w:rPr>
          <w:rFonts w:hint="eastAsia"/>
          <w:sz w:val="24"/>
          <w:szCs w:val="24"/>
        </w:rPr>
        <w:t>本企业对上述声明内容的真实性负责。如有虚假，将依法承担相应责任。</w:t>
      </w:r>
    </w:p>
    <w:p>
      <w:pPr>
        <w:spacing w:line="460" w:lineRule="atLeast"/>
        <w:ind w:firstLine="480" w:firstLineChars="200"/>
        <w:jc w:val="right"/>
        <w:rPr>
          <w:rFonts w:ascii="宋体" w:cs="宋体"/>
          <w:sz w:val="24"/>
          <w:szCs w:val="24"/>
        </w:rPr>
      </w:pPr>
      <w:r>
        <w:rPr>
          <w:rFonts w:hint="eastAsia" w:ascii="宋体" w:cs="宋体"/>
          <w:sz w:val="24"/>
          <w:szCs w:val="24"/>
        </w:rPr>
        <w:t xml:space="preserve">    </w:t>
      </w:r>
    </w:p>
    <w:p>
      <w:pPr>
        <w:spacing w:line="460" w:lineRule="atLeast"/>
        <w:ind w:firstLine="482" w:firstLineChars="200"/>
        <w:jc w:val="right"/>
        <w:rPr>
          <w:rFonts w:ascii="宋体" w:cs="宋体"/>
          <w:b/>
          <w:bCs/>
          <w:sz w:val="24"/>
          <w:szCs w:val="24"/>
        </w:rPr>
      </w:pPr>
      <w:r>
        <w:rPr>
          <w:rFonts w:hint="eastAsia" w:ascii="宋体" w:cs="宋体"/>
          <w:b/>
          <w:bCs/>
          <w:sz w:val="24"/>
          <w:szCs w:val="24"/>
        </w:rPr>
        <w:t>企业名称（盖章）：</w:t>
      </w:r>
    </w:p>
    <w:p>
      <w:pPr>
        <w:spacing w:line="460" w:lineRule="atLeast"/>
        <w:ind w:firstLine="723" w:firstLineChars="300"/>
        <w:rPr>
          <w:rFonts w:ascii="宋体" w:cs="宋体"/>
          <w:sz w:val="24"/>
          <w:szCs w:val="24"/>
        </w:rPr>
      </w:pPr>
      <w:r>
        <w:rPr>
          <w:rFonts w:hint="eastAsia" w:ascii="宋体" w:cs="宋体"/>
          <w:b/>
          <w:bCs/>
          <w:sz w:val="24"/>
          <w:szCs w:val="24"/>
        </w:rPr>
        <w:t>日 期：</w:t>
      </w:r>
    </w:p>
    <w:p>
      <w:pPr>
        <w:spacing w:line="460" w:lineRule="atLeast"/>
        <w:rPr>
          <w:rFonts w:ascii="宋体" w:cs="宋体"/>
          <w:sz w:val="22"/>
        </w:rPr>
      </w:pPr>
    </w:p>
    <w:p>
      <w:pPr>
        <w:rPr>
          <w:rFonts w:ascii="Times New Roman" w:hAnsi="Times New Roman"/>
          <w:sz w:val="24"/>
          <w:szCs w:val="24"/>
        </w:rPr>
      </w:pPr>
      <w:r>
        <w:rPr>
          <w:rFonts w:hint="eastAsia" w:ascii="Times New Roman" w:hAnsi="Times New Roman"/>
          <w:sz w:val="24"/>
          <w:szCs w:val="24"/>
        </w:rPr>
        <w:t>注：从业人员、营业收入、资产总额填报上一年度数据，无上一年度数据的新成立企业可不填报数据。</w:t>
      </w:r>
    </w:p>
    <w:p>
      <w:pPr>
        <w:pStyle w:val="224"/>
        <w:spacing w:line="540" w:lineRule="exact"/>
        <w:ind w:firstLine="0" w:firstLineChars="0"/>
        <w:rPr>
          <w:b/>
          <w:spacing w:val="6"/>
          <w:sz w:val="32"/>
          <w:szCs w:val="32"/>
        </w:rPr>
      </w:pPr>
      <w:r>
        <w:rPr>
          <w:rFonts w:hint="eastAsia"/>
          <w:color w:val="000000"/>
          <w:sz w:val="28"/>
        </w:rPr>
        <w:br w:type="page"/>
      </w:r>
    </w:p>
    <w:p>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4、监狱和戒毒企业证明材料</w:t>
      </w:r>
    </w:p>
    <w:p>
      <w:pPr>
        <w:pStyle w:val="288"/>
        <w:jc w:val="center"/>
        <w:rPr>
          <w:rFonts w:ascii="仿宋_GB2312" w:hAnsi="宋体" w:eastAsia="仿宋_GB2312"/>
          <w:b/>
          <w:sz w:val="28"/>
          <w:szCs w:val="28"/>
          <w:lang w:val="en-GB"/>
        </w:rPr>
      </w:pPr>
    </w:p>
    <w:p>
      <w:pPr>
        <w:spacing w:line="560" w:lineRule="exact"/>
        <w:ind w:firstLine="584" w:firstLineChars="200"/>
        <w:rPr>
          <w:rFonts w:ascii="仿宋_GB2312" w:eastAsia="仿宋_GB2312"/>
          <w:spacing w:val="6"/>
          <w:sz w:val="28"/>
          <w:szCs w:val="28"/>
        </w:rPr>
      </w:pPr>
      <w:r>
        <w:rPr>
          <w:rFonts w:hint="eastAsia" w:ascii="仿宋_GB2312" w:eastAsia="仿宋_GB2312"/>
          <w:spacing w:val="6"/>
          <w:sz w:val="28"/>
          <w:szCs w:val="28"/>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pPr>
        <w:spacing w:line="560" w:lineRule="exact"/>
        <w:ind w:firstLine="584" w:firstLineChars="200"/>
        <w:rPr>
          <w:rFonts w:ascii="仿宋_GB2312" w:eastAsia="仿宋_GB2312"/>
          <w:spacing w:val="6"/>
          <w:sz w:val="28"/>
          <w:szCs w:val="28"/>
        </w:rPr>
      </w:pPr>
      <w:r>
        <w:rPr>
          <w:rFonts w:hint="eastAsia" w:ascii="仿宋_GB2312" w:eastAsia="仿宋_GB2312"/>
          <w:spacing w:val="6"/>
          <w:sz w:val="28"/>
          <w:szCs w:val="28"/>
        </w:rPr>
        <w:t>本企业对上述声明的真实性负责。如有虚假，将依法承担相应责任。</w:t>
      </w:r>
    </w:p>
    <w:p>
      <w:pPr>
        <w:spacing w:line="560" w:lineRule="exact"/>
        <w:ind w:firstLine="584" w:firstLineChars="200"/>
        <w:rPr>
          <w:rFonts w:ascii="仿宋_GB2312" w:eastAsia="仿宋_GB2312"/>
          <w:spacing w:val="6"/>
          <w:sz w:val="28"/>
          <w:szCs w:val="28"/>
        </w:rPr>
      </w:pPr>
    </w:p>
    <w:p>
      <w:pPr>
        <w:spacing w:line="560" w:lineRule="exact"/>
        <w:ind w:firstLine="584" w:firstLineChars="200"/>
        <w:rPr>
          <w:rFonts w:ascii="仿宋_GB2312" w:eastAsia="仿宋_GB2312"/>
          <w:spacing w:val="6"/>
          <w:sz w:val="28"/>
          <w:szCs w:val="28"/>
        </w:rPr>
      </w:pPr>
    </w:p>
    <w:p>
      <w:pPr>
        <w:tabs>
          <w:tab w:val="left" w:pos="4860"/>
        </w:tabs>
        <w:spacing w:line="560" w:lineRule="exact"/>
        <w:ind w:right="1560" w:firstLine="584" w:firstLineChars="200"/>
        <w:jc w:val="center"/>
        <w:rPr>
          <w:rFonts w:ascii="仿宋_GB2312" w:eastAsia="仿宋_GB2312"/>
          <w:spacing w:val="6"/>
          <w:sz w:val="28"/>
          <w:szCs w:val="28"/>
        </w:rPr>
      </w:pPr>
      <w:r>
        <w:rPr>
          <w:rFonts w:hint="eastAsia" w:ascii="仿宋_GB2312" w:eastAsia="仿宋_GB2312"/>
          <w:spacing w:val="6"/>
          <w:sz w:val="28"/>
          <w:szCs w:val="28"/>
        </w:rPr>
        <w:t xml:space="preserve">               企业名称（盖章）： </w:t>
      </w:r>
    </w:p>
    <w:p>
      <w:pPr>
        <w:snapToGrid w:val="0"/>
        <w:spacing w:line="540" w:lineRule="exact"/>
        <w:ind w:firstLine="584" w:firstLineChars="200"/>
        <w:rPr>
          <w:rFonts w:ascii="仿宋_GB2312" w:eastAsia="仿宋_GB2312"/>
          <w:sz w:val="28"/>
          <w:szCs w:val="28"/>
        </w:rPr>
        <w:sectPr>
          <w:pgSz w:w="11906" w:h="16838"/>
          <w:pgMar w:top="1389" w:right="1247" w:bottom="1389" w:left="1247" w:header="851" w:footer="992" w:gutter="284"/>
          <w:cols w:space="720" w:num="1"/>
          <w:docGrid w:linePitch="312" w:charSpace="0"/>
        </w:sectPr>
      </w:pPr>
      <w:r>
        <w:rPr>
          <w:rFonts w:hint="eastAsia" w:ascii="仿宋_GB2312" w:eastAsia="仿宋_GB2312"/>
          <w:spacing w:val="6"/>
          <w:sz w:val="28"/>
          <w:szCs w:val="28"/>
        </w:rPr>
        <w:t xml:space="preserve">                      日  期：</w:t>
      </w:r>
    </w:p>
    <w:p>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5、残疾人福利性单位声明函</w:t>
      </w:r>
    </w:p>
    <w:p>
      <w:pPr>
        <w:spacing w:line="588" w:lineRule="exact"/>
        <w:rPr>
          <w:rFonts w:ascii="仿宋_GB2312" w:eastAsia="仿宋_GB2312"/>
          <w:b/>
          <w:spacing w:val="6"/>
          <w:sz w:val="30"/>
          <w:szCs w:val="30"/>
        </w:rPr>
      </w:pP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ascii="仿宋" w:hAnsi="仿宋" w:eastAsia="仿宋"/>
          <w:sz w:val="28"/>
          <w:szCs w:val="28"/>
        </w:rPr>
      </w:pPr>
      <w:r>
        <w:rPr>
          <w:rFonts w:hint="eastAsia" w:ascii="仿宋" w:hAnsi="仿宋" w:eastAsia="仿宋"/>
          <w:sz w:val="28"/>
          <w:szCs w:val="28"/>
        </w:rPr>
        <w:t>本单位对上述声明的真实性负责。如有虚假，将依法承担相应责任。</w:t>
      </w:r>
    </w:p>
    <w:p>
      <w:pPr>
        <w:snapToGrid w:val="0"/>
        <w:spacing w:line="360" w:lineRule="auto"/>
        <w:ind w:firstLine="560" w:firstLineChars="200"/>
        <w:rPr>
          <w:rFonts w:ascii="仿宋" w:hAnsi="仿宋" w:eastAsia="仿宋"/>
          <w:sz w:val="28"/>
          <w:szCs w:val="28"/>
        </w:rPr>
      </w:pPr>
    </w:p>
    <w:p>
      <w:pPr>
        <w:spacing w:line="588" w:lineRule="exact"/>
        <w:ind w:firstLine="624" w:firstLineChars="200"/>
        <w:rPr>
          <w:rFonts w:ascii="仿宋_GB2312" w:eastAsia="仿宋_GB2312"/>
          <w:spacing w:val="6"/>
          <w:sz w:val="30"/>
          <w:szCs w:val="30"/>
        </w:rPr>
      </w:pPr>
    </w:p>
    <w:p>
      <w:pPr>
        <w:snapToGrid w:val="0"/>
        <w:spacing w:line="360" w:lineRule="auto"/>
        <w:ind w:firstLine="560" w:firstLineChars="200"/>
        <w:jc w:val="right"/>
        <w:rPr>
          <w:rFonts w:ascii="仿宋" w:hAnsi="仿宋" w:eastAsia="仿宋"/>
          <w:sz w:val="28"/>
          <w:szCs w:val="28"/>
        </w:rPr>
      </w:pPr>
      <w:r>
        <w:rPr>
          <w:rFonts w:hint="eastAsia" w:ascii="仿宋" w:hAnsi="仿宋" w:eastAsia="仿宋"/>
          <w:sz w:val="28"/>
          <w:szCs w:val="28"/>
        </w:rPr>
        <w:t xml:space="preserve">      单位名称（盖章）：</w:t>
      </w:r>
    </w:p>
    <w:p>
      <w:pPr>
        <w:pStyle w:val="224"/>
        <w:spacing w:line="540" w:lineRule="exact"/>
        <w:ind w:firstLine="0" w:firstLineChars="0"/>
        <w:jc w:val="center"/>
        <w:rPr>
          <w:sz w:val="28"/>
        </w:rPr>
      </w:pPr>
      <w:r>
        <w:rPr>
          <w:rFonts w:hint="eastAsia" w:ascii="仿宋" w:hAnsi="仿宋" w:eastAsia="仿宋"/>
          <w:sz w:val="28"/>
        </w:rPr>
        <w:t xml:space="preserve">                                       日  期：</w:t>
      </w: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jc w:val="center"/>
        <w:rPr>
          <w:rFonts w:ascii="仿宋_GB2312" w:eastAsia="仿宋_GB2312"/>
          <w:sz w:val="28"/>
          <w:szCs w:val="28"/>
        </w:rPr>
      </w:pPr>
    </w:p>
    <w:p>
      <w:pPr>
        <w:pStyle w:val="288"/>
        <w:widowControl/>
        <w:tabs>
          <w:tab w:val="left" w:pos="360"/>
        </w:tabs>
        <w:snapToGrid w:val="0"/>
        <w:spacing w:line="540" w:lineRule="exact"/>
        <w:ind w:right="84" w:rightChars="40"/>
        <w:jc w:val="left"/>
        <w:rPr>
          <w:rFonts w:ascii="仿宋_GB2312" w:eastAsia="仿宋_GB2312"/>
          <w:color w:val="000000"/>
          <w:sz w:val="28"/>
          <w:szCs w:val="28"/>
        </w:rPr>
        <w:sectPr>
          <w:pgSz w:w="11906" w:h="16838"/>
          <w:pgMar w:top="1389" w:right="1247" w:bottom="1389" w:left="1247" w:header="851" w:footer="992" w:gutter="567"/>
          <w:cols w:space="720" w:num="1"/>
          <w:docGrid w:linePitch="312" w:charSpace="0"/>
        </w:sectPr>
      </w:pPr>
    </w:p>
    <w:p>
      <w:pPr>
        <w:rPr>
          <w:rFonts w:ascii="仿宋_GB2312" w:eastAsia="仿宋_GB2312"/>
          <w:sz w:val="28"/>
          <w:szCs w:val="28"/>
        </w:rPr>
      </w:pPr>
    </w:p>
    <w:p>
      <w:pPr>
        <w:autoSpaceDE w:val="0"/>
        <w:autoSpaceDN w:val="0"/>
        <w:adjustRightInd w:val="0"/>
        <w:spacing w:line="540" w:lineRule="exact"/>
        <w:jc w:val="center"/>
        <w:outlineLvl w:val="0"/>
        <w:rPr>
          <w:rFonts w:ascii="仿宋_GB2312" w:eastAsia="仿宋_GB2312"/>
          <w:b/>
          <w:bCs/>
          <w:sz w:val="36"/>
          <w:szCs w:val="36"/>
        </w:rPr>
      </w:pPr>
      <w:bookmarkStart w:id="45" w:name="_Toc316887628"/>
      <w:bookmarkStart w:id="46" w:name="_Toc21537"/>
      <w:bookmarkStart w:id="47" w:name="_Toc354401539"/>
      <w:bookmarkStart w:id="48" w:name="_Toc322352986"/>
      <w:bookmarkStart w:id="49" w:name="_Toc350256317"/>
      <w:r>
        <w:rPr>
          <w:rFonts w:hint="eastAsia" w:ascii="仿宋_GB2312" w:eastAsia="仿宋_GB2312" w:cs="宋体"/>
          <w:b/>
          <w:bCs/>
          <w:sz w:val="36"/>
          <w:szCs w:val="36"/>
          <w:lang w:val="zh-CN"/>
        </w:rPr>
        <w:t>第六章</w:t>
      </w:r>
      <w:bookmarkStart w:id="50" w:name="评标办法及开标程序"/>
      <w:r>
        <w:rPr>
          <w:rFonts w:hint="eastAsia" w:ascii="仿宋_GB2312" w:eastAsia="仿宋_GB2312" w:cs="宋体"/>
          <w:b/>
          <w:bCs/>
          <w:sz w:val="36"/>
          <w:szCs w:val="36"/>
          <w:lang w:val="zh-CN"/>
        </w:rPr>
        <w:t>评标办法及开标程序</w:t>
      </w:r>
      <w:bookmarkEnd w:id="45"/>
      <w:bookmarkEnd w:id="46"/>
      <w:bookmarkEnd w:id="47"/>
      <w:bookmarkEnd w:id="48"/>
      <w:bookmarkEnd w:id="49"/>
      <w:bookmarkEnd w:id="50"/>
    </w:p>
    <w:p>
      <w:pPr>
        <w:autoSpaceDE w:val="0"/>
        <w:autoSpaceDN w:val="0"/>
        <w:adjustRightInd w:val="0"/>
        <w:snapToGrid w:val="0"/>
        <w:spacing w:line="500" w:lineRule="exact"/>
        <w:ind w:left="425"/>
        <w:rPr>
          <w:rFonts w:ascii="仿宋_GB2312" w:eastAsia="仿宋_GB2312" w:cs="宋体"/>
          <w:b/>
          <w:bCs/>
          <w:sz w:val="28"/>
          <w:szCs w:val="28"/>
          <w:lang w:val="zh-CN"/>
        </w:rPr>
      </w:pPr>
      <w:r>
        <w:rPr>
          <w:rFonts w:hint="eastAsia" w:ascii="仿宋_GB2312" w:eastAsia="仿宋_GB2312" w:cs="宋体"/>
          <w:b/>
          <w:bCs/>
          <w:sz w:val="28"/>
          <w:szCs w:val="28"/>
          <w:lang w:val="zh-CN"/>
        </w:rPr>
        <w:t>一、评标委员会的组成</w:t>
      </w:r>
    </w:p>
    <w:p>
      <w:pPr>
        <w:autoSpaceDE w:val="0"/>
        <w:autoSpaceDN w:val="0"/>
        <w:adjustRightInd w:val="0"/>
        <w:snapToGrid w:val="0"/>
        <w:spacing w:line="540" w:lineRule="exact"/>
        <w:ind w:firstLine="560" w:firstLineChars="200"/>
        <w:rPr>
          <w:rFonts w:ascii="仿宋_GB2312" w:eastAsia="仿宋_GB2312"/>
          <w:sz w:val="28"/>
          <w:szCs w:val="28"/>
        </w:rPr>
      </w:pPr>
      <w:r>
        <w:rPr>
          <w:rFonts w:hint="eastAsia" w:ascii="仿宋_GB2312" w:eastAsia="仿宋_GB2312"/>
          <w:sz w:val="28"/>
          <w:szCs w:val="28"/>
        </w:rPr>
        <w:t>1.评标委员会由5人组成，采购单位负责对项目评审质量和结果的审查，但不得担任评标委员会负责人。</w:t>
      </w:r>
    </w:p>
    <w:p>
      <w:pPr>
        <w:autoSpaceDE w:val="0"/>
        <w:autoSpaceDN w:val="0"/>
        <w:adjustRightInd w:val="0"/>
        <w:snapToGrid w:val="0"/>
        <w:spacing w:line="540" w:lineRule="exact"/>
        <w:rPr>
          <w:rFonts w:ascii="仿宋_GB2312" w:eastAsia="仿宋_GB2312"/>
          <w:sz w:val="28"/>
          <w:szCs w:val="28"/>
        </w:rPr>
      </w:pPr>
    </w:p>
    <w:p>
      <w:pPr>
        <w:autoSpaceDE w:val="0"/>
        <w:autoSpaceDN w:val="0"/>
        <w:adjustRightInd w:val="0"/>
        <w:snapToGrid w:val="0"/>
        <w:spacing w:line="500" w:lineRule="exact"/>
        <w:ind w:left="425"/>
        <w:rPr>
          <w:rFonts w:ascii="仿宋_GB2312" w:eastAsia="仿宋_GB2312" w:cs="宋体"/>
          <w:b/>
          <w:bCs/>
          <w:sz w:val="28"/>
          <w:szCs w:val="28"/>
          <w:lang w:val="zh-CN"/>
        </w:rPr>
      </w:pPr>
      <w:r>
        <w:rPr>
          <w:rFonts w:hint="eastAsia" w:ascii="仿宋_GB2312" w:eastAsia="仿宋_GB2312" w:cs="宋体"/>
          <w:b/>
          <w:bCs/>
          <w:sz w:val="28"/>
          <w:szCs w:val="28"/>
          <w:lang w:val="zh-CN"/>
        </w:rPr>
        <w:t>二、评标原则</w:t>
      </w:r>
    </w:p>
    <w:p>
      <w:pPr>
        <w:snapToGrid w:val="0"/>
        <w:spacing w:line="540" w:lineRule="exact"/>
        <w:ind w:firstLine="560" w:firstLineChars="200"/>
        <w:rPr>
          <w:rFonts w:ascii="仿宋_GB2312" w:eastAsia="仿宋_GB2312"/>
          <w:sz w:val="28"/>
          <w:szCs w:val="28"/>
        </w:rPr>
      </w:pPr>
      <w:r>
        <w:rPr>
          <w:rFonts w:hint="eastAsia" w:ascii="仿宋_GB2312" w:eastAsia="仿宋_GB2312"/>
          <w:sz w:val="28"/>
          <w:szCs w:val="28"/>
        </w:rPr>
        <w:t>2.投标人得分由技术商务分和报价分合计组成,满分为100分。</w:t>
      </w:r>
    </w:p>
    <w:p>
      <w:pPr>
        <w:snapToGrid w:val="0"/>
        <w:spacing w:line="540" w:lineRule="exact"/>
        <w:ind w:firstLine="560" w:firstLineChars="200"/>
        <w:rPr>
          <w:rFonts w:ascii="仿宋_GB2312" w:eastAsia="仿宋_GB2312"/>
          <w:sz w:val="28"/>
          <w:szCs w:val="28"/>
        </w:rPr>
      </w:pPr>
      <w:r>
        <w:rPr>
          <w:rFonts w:hint="eastAsia" w:ascii="仿宋_GB2312" w:eastAsia="仿宋_GB2312"/>
          <w:sz w:val="28"/>
          <w:szCs w:val="28"/>
        </w:rPr>
        <w:t>3.技术商务分与报价分合计得分最高者为第一中标候选人，得分次高者为第二中标候选人，总分相同时，价格低者优先，价格也相同时，现场随机抽签确定。</w:t>
      </w:r>
    </w:p>
    <w:p>
      <w:pPr>
        <w:snapToGrid w:val="0"/>
        <w:spacing w:line="540" w:lineRule="exact"/>
        <w:ind w:firstLine="560" w:firstLineChars="200"/>
        <w:rPr>
          <w:rFonts w:ascii="仿宋_GB2312" w:eastAsia="仿宋_GB2312"/>
          <w:sz w:val="28"/>
          <w:szCs w:val="28"/>
        </w:rPr>
      </w:pPr>
      <w:r>
        <w:rPr>
          <w:rFonts w:hint="eastAsia" w:ascii="仿宋_GB2312" w:eastAsia="仿宋_GB2312"/>
          <w:sz w:val="28"/>
          <w:szCs w:val="28"/>
        </w:rPr>
        <w:t>4.评标委员会根据招标文件和投标文件，结合技术商务评分细则对各投标人的技术商务部分进行评审。评标委员会各成员所评分值的算术平均值即为各投标人的技术商务分值（计算时四舍五入保留二位小数）。</w:t>
      </w:r>
    </w:p>
    <w:p>
      <w:pPr>
        <w:snapToGrid w:val="0"/>
        <w:spacing w:line="540" w:lineRule="exact"/>
        <w:ind w:firstLine="560" w:firstLineChars="200"/>
        <w:rPr>
          <w:rFonts w:ascii="仿宋_GB2312" w:eastAsia="仿宋_GB2312"/>
          <w:sz w:val="28"/>
          <w:szCs w:val="28"/>
        </w:rPr>
      </w:pPr>
      <w:r>
        <w:rPr>
          <w:rFonts w:hint="eastAsia" w:ascii="仿宋_GB2312" w:eastAsia="仿宋_GB2312"/>
          <w:sz w:val="28"/>
          <w:szCs w:val="28"/>
        </w:rPr>
        <w:t>5. 评定结果经采购人确定后，衢州市衢江区政府采购中心在中标人确定之日起2个工作日内将以书面形式发出《中标通知书》，并在省级以上人民政府财政部门指定的媒体上公告中标结果。</w:t>
      </w:r>
    </w:p>
    <w:p>
      <w:pPr>
        <w:autoSpaceDE w:val="0"/>
        <w:autoSpaceDN w:val="0"/>
        <w:adjustRightInd w:val="0"/>
        <w:snapToGrid w:val="0"/>
        <w:spacing w:line="500" w:lineRule="exact"/>
        <w:ind w:left="425"/>
        <w:rPr>
          <w:rFonts w:ascii="仿宋_GB2312" w:eastAsia="仿宋_GB2312" w:cs="宋体"/>
          <w:b/>
          <w:bCs/>
          <w:sz w:val="28"/>
          <w:szCs w:val="28"/>
          <w:lang w:val="zh-CN"/>
        </w:rPr>
      </w:pPr>
      <w:r>
        <w:rPr>
          <w:rFonts w:hint="eastAsia" w:ascii="仿宋_GB2312" w:eastAsia="仿宋_GB2312" w:cs="宋体"/>
          <w:b/>
          <w:bCs/>
          <w:sz w:val="28"/>
          <w:szCs w:val="28"/>
          <w:lang w:val="zh-CN"/>
        </w:rPr>
        <w:t>三、注意事项</w:t>
      </w:r>
    </w:p>
    <w:p>
      <w:pPr>
        <w:snapToGrid w:val="0"/>
        <w:spacing w:line="540" w:lineRule="exact"/>
        <w:ind w:firstLine="560" w:firstLineChars="200"/>
        <w:rPr>
          <w:rFonts w:ascii="仿宋_GB2312" w:eastAsia="仿宋_GB2312"/>
          <w:sz w:val="28"/>
          <w:szCs w:val="28"/>
        </w:rPr>
      </w:pPr>
      <w:r>
        <w:rPr>
          <w:rFonts w:hint="eastAsia" w:ascii="仿宋_GB2312" w:eastAsia="仿宋_GB2312"/>
          <w:sz w:val="28"/>
          <w:szCs w:val="28"/>
        </w:rPr>
        <w:t>6. 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autoSpaceDE w:val="0"/>
        <w:autoSpaceDN w:val="0"/>
        <w:adjustRightInd w:val="0"/>
        <w:snapToGrid w:val="0"/>
        <w:spacing w:line="500" w:lineRule="exact"/>
        <w:ind w:left="425"/>
        <w:rPr>
          <w:rFonts w:ascii="仿宋_GB2312" w:eastAsia="仿宋_GB2312" w:cs="宋体"/>
          <w:b/>
          <w:bCs/>
          <w:sz w:val="28"/>
          <w:szCs w:val="28"/>
          <w:lang w:val="zh-CN"/>
        </w:rPr>
      </w:pPr>
      <w:r>
        <w:rPr>
          <w:rFonts w:hint="eastAsia" w:ascii="仿宋_GB2312" w:eastAsia="仿宋_GB2312" w:cs="宋体"/>
          <w:b/>
          <w:bCs/>
          <w:sz w:val="28"/>
          <w:szCs w:val="28"/>
          <w:lang w:val="zh-CN"/>
        </w:rPr>
        <w:t>四、评分标准</w:t>
      </w:r>
    </w:p>
    <w:tbl>
      <w:tblPr>
        <w:tblStyle w:val="69"/>
        <w:tblW w:w="9766" w:type="dxa"/>
        <w:tblInd w:w="-25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20"/>
        <w:gridCol w:w="7330"/>
        <w:gridCol w:w="8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szCs w:val="21"/>
              </w:rPr>
            </w:pPr>
            <w:bookmarkStart w:id="51" w:name="scoringRules2"/>
            <w:bookmarkStart w:id="52" w:name="_Toc356371476"/>
            <w:r>
              <w:rPr>
                <w:rFonts w:hint="eastAsia" w:ascii="仿宋" w:hAnsi="仿宋" w:eastAsia="仿宋" w:cs="仿宋"/>
                <w:sz w:val="28"/>
                <w:szCs w:val="28"/>
              </w:rPr>
              <w:t>评审项目</w:t>
            </w:r>
          </w:p>
        </w:tc>
        <w:tc>
          <w:tcPr>
            <w:tcW w:w="733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szCs w:val="21"/>
              </w:rPr>
            </w:pPr>
            <w:r>
              <w:rPr>
                <w:rFonts w:hint="eastAsia" w:ascii="仿宋" w:hAnsi="仿宋" w:eastAsia="仿宋" w:cs="仿宋"/>
                <w:sz w:val="28"/>
                <w:szCs w:val="28"/>
              </w:rPr>
              <w:t>评分标准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szCs w:val="21"/>
              </w:rPr>
            </w:pPr>
            <w:r>
              <w:rPr>
                <w:rFonts w:hint="eastAsia" w:ascii="仿宋" w:hAnsi="仿宋" w:eastAsia="仿宋" w:cs="仿宋"/>
                <w:sz w:val="28"/>
                <w:szCs w:val="28"/>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szCs w:val="21"/>
              </w:rPr>
            </w:pPr>
            <w:r>
              <w:rPr>
                <w:rFonts w:hint="eastAsia" w:ascii="仿宋" w:hAnsi="仿宋" w:eastAsia="仿宋"/>
                <w:kern w:val="0"/>
                <w:sz w:val="28"/>
                <w:szCs w:val="28"/>
                <w:lang w:val="zh-CN"/>
              </w:rPr>
              <w:t>报价</w:t>
            </w:r>
          </w:p>
        </w:tc>
        <w:tc>
          <w:tcPr>
            <w:tcW w:w="733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szCs w:val="21"/>
              </w:rPr>
            </w:pPr>
            <w:r>
              <w:rPr>
                <w:rFonts w:hint="eastAsia" w:ascii="仿宋" w:hAnsi="仿宋" w:eastAsia="仿宋"/>
                <w:sz w:val="28"/>
                <w:szCs w:val="28"/>
              </w:rPr>
              <w:t>本项目最高限价价：人民币480万元，基准价为满足评标要求且投标价格最低的投标报价，投标报价得分=(基准价／投标报价)×10，四舍五入，保留两位小数。报价高于最高限价的，其投标文件作无效处理。</w:t>
            </w:r>
            <w:r>
              <w:rPr>
                <w:rFonts w:hint="eastAsia" w:ascii="仿宋_GB2312" w:eastAsia="仿宋_GB2312"/>
                <w:sz w:val="28"/>
                <w:szCs w:val="28"/>
              </w:rPr>
              <w:t>（</w:t>
            </w:r>
            <w:r>
              <w:rPr>
                <w:rFonts w:hint="eastAsia" w:ascii="仿宋_GB2312" w:hAnsi="宋体" w:eastAsia="仿宋_GB2312"/>
                <w:sz w:val="28"/>
                <w:szCs w:val="28"/>
              </w:rPr>
              <w:t>注：对于小型和微型企业（</w:t>
            </w:r>
            <w:r>
              <w:rPr>
                <w:rFonts w:hint="eastAsia" w:ascii="仿宋_GB2312" w:eastAsia="仿宋_GB2312"/>
                <w:sz w:val="28"/>
                <w:szCs w:val="28"/>
              </w:rPr>
              <w:t>监狱或戒毒企业、</w:t>
            </w:r>
            <w:r>
              <w:rPr>
                <w:rFonts w:hint="eastAsia" w:ascii="仿宋_GB2312" w:eastAsia="仿宋_GB2312"/>
                <w:bCs/>
                <w:sz w:val="28"/>
                <w:szCs w:val="28"/>
              </w:rPr>
              <w:t>残疾人福利性单位</w:t>
            </w:r>
            <w:r>
              <w:rPr>
                <w:rFonts w:hint="eastAsia" w:ascii="仿宋_GB2312" w:hAnsi="宋体" w:eastAsia="仿宋_GB2312"/>
                <w:sz w:val="28"/>
                <w:szCs w:val="28"/>
              </w:rPr>
              <w:t>）的报价给予</w:t>
            </w:r>
            <w:r>
              <w:rPr>
                <w:rFonts w:hint="eastAsia" w:ascii="仿宋_GB2312" w:hAnsi="宋体" w:eastAsia="仿宋_GB2312"/>
                <w:sz w:val="28"/>
                <w:szCs w:val="28"/>
                <w:lang w:val="en-US" w:eastAsia="zh-CN"/>
              </w:rPr>
              <w:t>20</w:t>
            </w:r>
            <w:r>
              <w:rPr>
                <w:rFonts w:hint="eastAsia" w:ascii="仿宋_GB2312" w:hAnsi="宋体" w:eastAsia="仿宋_GB2312"/>
                <w:sz w:val="28"/>
                <w:szCs w:val="28"/>
              </w:rPr>
              <w:t>%的扣除，用扣除后的价格参与评审。小型和微型企业应提供《中小企业声明函》；监狱或戒毒企业应提供监狱或戒毒企业声明函；残疾人福利性单位应提供残疾人福利性单位声明函。以上材料未提供不享受报价优惠）。</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s="宋体"/>
                <w:sz w:val="28"/>
                <w:szCs w:val="28"/>
              </w:rPr>
            </w:pPr>
            <w:r>
              <w:rPr>
                <w:rFonts w:hint="eastAsia" w:ascii="仿宋" w:hAnsi="仿宋" w:eastAsia="仿宋" w:cs="仿宋"/>
                <w:sz w:val="28"/>
                <w:szCs w:val="28"/>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tcBorders>
              <w:top w:val="single" w:color="000000" w:sz="4" w:space="0"/>
              <w:left w:val="single" w:color="000000" w:sz="4" w:space="0"/>
              <w:right w:val="single" w:color="000000" w:sz="4" w:space="0"/>
            </w:tcBorders>
            <w:vAlign w:val="center"/>
          </w:tcPr>
          <w:p>
            <w:pPr>
              <w:spacing w:line="360" w:lineRule="exact"/>
              <w:jc w:val="center"/>
              <w:rPr>
                <w:rFonts w:ascii="仿宋" w:hAnsi="仿宋" w:eastAsia="仿宋" w:cs="宋体"/>
                <w:kern w:val="0"/>
                <w:sz w:val="28"/>
                <w:szCs w:val="28"/>
              </w:rPr>
            </w:pPr>
            <w:r>
              <w:rPr>
                <w:rFonts w:hint="eastAsia" w:ascii="仿宋" w:hAnsi="仿宋" w:eastAsia="仿宋" w:cs="仿宋"/>
                <w:sz w:val="28"/>
                <w:szCs w:val="28"/>
              </w:rPr>
              <w:t>体系认证</w:t>
            </w:r>
          </w:p>
        </w:tc>
        <w:tc>
          <w:tcPr>
            <w:tcW w:w="7330"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 w:hAnsi="仿宋" w:eastAsia="仿宋"/>
                <w:color w:val="000000"/>
                <w:sz w:val="28"/>
                <w:szCs w:val="28"/>
              </w:rPr>
            </w:pPr>
            <w:r>
              <w:rPr>
                <w:rFonts w:hint="eastAsia" w:ascii="仿宋" w:hAnsi="仿宋" w:eastAsia="仿宋" w:cs="仿宋"/>
                <w:sz w:val="28"/>
                <w:szCs w:val="28"/>
              </w:rPr>
              <w:t>投标人具有有效期内的质量管理认证体系认证、环境管理认证体系认证、职业健康安全管理体系认证、能源管理体系认证、信息安全管理体系认证、HACCP体系认证，每个体系认证得1分，最高得6分。</w:t>
            </w:r>
            <w:r>
              <w:rPr>
                <w:rFonts w:hint="eastAsia" w:ascii="仿宋" w:hAnsi="仿宋" w:eastAsia="仿宋" w:cs="仿宋"/>
                <w:b/>
                <w:bCs/>
                <w:sz w:val="28"/>
                <w:szCs w:val="28"/>
              </w:rPr>
              <w:t>注：提供国家市场监督管理总局创立的</w:t>
            </w:r>
            <w:r>
              <w:fldChar w:fldCharType="begin"/>
            </w:r>
            <w:r>
              <w:instrText xml:space="preserve"> HYPERLINK "https://www.baidu.com/link?url=YPkhsg48RT7Rg7MBsYvXVzC-3GIbXgOyUEWqgtPQkSm&amp;wd=&amp;eqid=9d1f98680003fe07000000045c87a734" \t "https://www.baidu.com/_blank" </w:instrText>
            </w:r>
            <w:r>
              <w:fldChar w:fldCharType="separate"/>
            </w:r>
            <w:r>
              <w:rPr>
                <w:rFonts w:hint="eastAsia" w:ascii="仿宋" w:hAnsi="仿宋" w:eastAsia="仿宋" w:cs="仿宋"/>
                <w:b/>
                <w:bCs/>
                <w:sz w:val="28"/>
                <w:szCs w:val="28"/>
              </w:rPr>
              <w:t>全国认证认可信息公共服务平台</w:t>
            </w:r>
            <w:r>
              <w:rPr>
                <w:rFonts w:hint="eastAsia" w:ascii="仿宋" w:hAnsi="仿宋" w:eastAsia="仿宋" w:cs="仿宋"/>
                <w:b/>
                <w:bCs/>
                <w:sz w:val="28"/>
                <w:szCs w:val="28"/>
              </w:rPr>
              <w:fldChar w:fldCharType="end"/>
            </w:r>
            <w:r>
              <w:rPr>
                <w:rFonts w:hint="eastAsia" w:ascii="仿宋" w:hAnsi="仿宋" w:eastAsia="仿宋" w:cs="仿宋"/>
                <w:b/>
                <w:bCs/>
                <w:sz w:val="28"/>
                <w:szCs w:val="28"/>
              </w:rPr>
              <w:t>的网页截图（http://cx.cnca.cn/CertECloud/index/index/page），否则不得分。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olor w:val="000000"/>
                <w:sz w:val="28"/>
                <w:szCs w:val="28"/>
              </w:rPr>
            </w:pPr>
            <w:r>
              <w:rPr>
                <w:rFonts w:hint="eastAsia" w:ascii="仿宋" w:hAnsi="仿宋" w:eastAsia="仿宋" w:cs="仿宋"/>
                <w:sz w:val="28"/>
                <w:szCs w:val="28"/>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tcBorders>
              <w:left w:val="single" w:color="000000" w:sz="4" w:space="0"/>
              <w:right w:val="single" w:color="000000" w:sz="4" w:space="0"/>
            </w:tcBorders>
            <w:vAlign w:val="center"/>
          </w:tcPr>
          <w:p>
            <w:pPr>
              <w:pStyle w:val="298"/>
              <w:autoSpaceDE/>
              <w:autoSpaceDN/>
              <w:spacing w:line="360" w:lineRule="exact"/>
              <w:ind w:left="0"/>
              <w:jc w:val="center"/>
              <w:rPr>
                <w:rFonts w:ascii="仿宋" w:hAnsi="仿宋" w:eastAsia="仿宋" w:cs="宋体"/>
                <w:sz w:val="28"/>
                <w:szCs w:val="28"/>
                <w:lang w:val="en-US"/>
              </w:rPr>
            </w:pPr>
            <w:r>
              <w:rPr>
                <w:rFonts w:hint="eastAsia" w:ascii="仿宋" w:hAnsi="仿宋" w:eastAsia="仿宋" w:cs="仿宋"/>
                <w:sz w:val="28"/>
                <w:szCs w:val="28"/>
              </w:rPr>
              <w:t>业绩</w:t>
            </w:r>
          </w:p>
        </w:tc>
        <w:tc>
          <w:tcPr>
            <w:tcW w:w="7330"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 w:hAnsi="仿宋" w:eastAsia="仿宋" w:cs="仿宋"/>
                <w:sz w:val="28"/>
                <w:szCs w:val="28"/>
              </w:rPr>
            </w:pPr>
            <w:r>
              <w:rPr>
                <w:rFonts w:hint="eastAsia" w:ascii="仿宋" w:hAnsi="仿宋" w:eastAsia="仿宋" w:cs="仿宋"/>
                <w:sz w:val="28"/>
                <w:szCs w:val="28"/>
              </w:rPr>
              <w:t>2019年1月1日起至投标截止日（以合同签订时间为准），投标人具有同类项目业绩（服务内容同时包含保洁、保安、食堂、会务、工程、绿化等），每个项目得1分，本项最多得1分。</w:t>
            </w:r>
          </w:p>
          <w:p>
            <w:pPr>
              <w:spacing w:line="360" w:lineRule="exact"/>
              <w:rPr>
                <w:rFonts w:ascii="仿宋" w:hAnsi="仿宋" w:eastAsia="仿宋"/>
                <w:color w:val="000000"/>
                <w:sz w:val="28"/>
                <w:szCs w:val="28"/>
              </w:rPr>
            </w:pPr>
            <w:r>
              <w:rPr>
                <w:rFonts w:hint="eastAsia" w:ascii="仿宋" w:hAnsi="仿宋" w:eastAsia="仿宋" w:cs="仿宋"/>
                <w:sz w:val="28"/>
                <w:szCs w:val="28"/>
              </w:rPr>
              <w:t>注：提供合同扫描件，否则不得分。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olor w:val="000000"/>
                <w:sz w:val="28"/>
                <w:szCs w:val="28"/>
              </w:rPr>
            </w:pPr>
            <w:r>
              <w:rPr>
                <w:rFonts w:hint="eastAsia" w:ascii="仿宋" w:hAnsi="仿宋" w:eastAsia="仿宋" w:cs="仿宋"/>
                <w:sz w:val="28"/>
                <w:szCs w:val="28"/>
              </w:rPr>
              <w:t>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tcBorders>
              <w:left w:val="single" w:color="000000" w:sz="4" w:space="0"/>
              <w:bottom w:val="single" w:color="000000" w:sz="4" w:space="0"/>
              <w:right w:val="single" w:color="000000" w:sz="4" w:space="0"/>
            </w:tcBorders>
            <w:vAlign w:val="center"/>
          </w:tcPr>
          <w:p>
            <w:pPr>
              <w:spacing w:line="360" w:lineRule="exact"/>
              <w:jc w:val="center"/>
              <w:rPr>
                <w:rFonts w:ascii="仿宋" w:hAnsi="仿宋" w:eastAsia="仿宋" w:cs="宋体"/>
                <w:kern w:val="0"/>
                <w:sz w:val="28"/>
                <w:szCs w:val="28"/>
              </w:rPr>
            </w:pPr>
            <w:r>
              <w:rPr>
                <w:rFonts w:hint="eastAsia" w:ascii="仿宋" w:hAnsi="仿宋" w:eastAsia="仿宋" w:cs="仿宋"/>
                <w:sz w:val="28"/>
                <w:szCs w:val="28"/>
              </w:rPr>
              <w:t>整体设想及策划</w:t>
            </w:r>
          </w:p>
        </w:tc>
        <w:tc>
          <w:tcPr>
            <w:tcW w:w="7330"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 w:hAnsi="仿宋" w:eastAsia="仿宋" w:cs="仿宋"/>
                <w:sz w:val="28"/>
                <w:szCs w:val="28"/>
              </w:rPr>
            </w:pPr>
            <w:r>
              <w:rPr>
                <w:rFonts w:hint="eastAsia" w:ascii="仿宋" w:hAnsi="仿宋" w:eastAsia="仿宋" w:cs="仿宋"/>
                <w:sz w:val="28"/>
                <w:szCs w:val="28"/>
              </w:rPr>
              <w:t>针对本项目的整体设想及策划、目标等是否与本项目实际情况相符，服务方案详尽、合理、规范等进行评分。</w:t>
            </w:r>
          </w:p>
          <w:p>
            <w:pPr>
              <w:pStyle w:val="5"/>
              <w:adjustRightInd/>
              <w:spacing w:after="0" w:line="360" w:lineRule="exact"/>
              <w:ind w:firstLine="0"/>
              <w:rPr>
                <w:rFonts w:ascii="仿宋" w:hAnsi="仿宋" w:eastAsia="仿宋" w:cs="仿宋"/>
                <w:sz w:val="28"/>
                <w:szCs w:val="28"/>
              </w:rPr>
            </w:pPr>
            <w:r>
              <w:rPr>
                <w:rFonts w:hint="eastAsia" w:ascii="仿宋" w:hAnsi="仿宋" w:eastAsia="仿宋" w:cs="仿宋"/>
                <w:sz w:val="28"/>
                <w:szCs w:val="28"/>
              </w:rPr>
              <w:t>整体设想及策划、目标等与本项目实际情况相符的，方案详尽、合理、规范的，得5分；</w:t>
            </w:r>
          </w:p>
          <w:p>
            <w:pPr>
              <w:spacing w:line="360" w:lineRule="exact"/>
              <w:rPr>
                <w:rFonts w:ascii="仿宋" w:hAnsi="仿宋" w:eastAsia="仿宋" w:cs="仿宋"/>
                <w:sz w:val="28"/>
                <w:szCs w:val="28"/>
              </w:rPr>
            </w:pPr>
            <w:r>
              <w:rPr>
                <w:rFonts w:hint="eastAsia" w:ascii="仿宋" w:hAnsi="仿宋" w:eastAsia="仿宋" w:cs="仿宋"/>
                <w:sz w:val="28"/>
                <w:szCs w:val="28"/>
              </w:rPr>
              <w:t>整体设想及策划、目标等与本项目实际情况欠相符的，方案欠详尽、合理、规范的，得3分；</w:t>
            </w:r>
          </w:p>
          <w:p>
            <w:pPr>
              <w:pStyle w:val="5"/>
              <w:adjustRightInd/>
              <w:spacing w:after="0" w:line="360" w:lineRule="exact"/>
              <w:ind w:firstLine="0"/>
              <w:rPr>
                <w:rFonts w:ascii="仿宋" w:hAnsi="仿宋" w:eastAsia="仿宋"/>
                <w:color w:val="000000"/>
                <w:sz w:val="28"/>
                <w:szCs w:val="28"/>
              </w:rPr>
            </w:pPr>
            <w:r>
              <w:rPr>
                <w:rFonts w:hint="eastAsia" w:ascii="仿宋" w:hAnsi="仿宋" w:eastAsia="仿宋" w:cs="仿宋"/>
                <w:sz w:val="28"/>
                <w:szCs w:val="28"/>
              </w:rPr>
              <w:t>整体设想及策划、目标等与本项目实际情况不相符的，方案不详尽、合理、规范的，得1分；未提供整体设想及策划不得分。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仿宋" w:hAnsi="仿宋" w:eastAsia="仿宋"/>
                <w:color w:val="000000"/>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511" w:hRule="atLeast"/>
        </w:trPr>
        <w:tc>
          <w:tcPr>
            <w:tcW w:w="1620" w:type="dxa"/>
            <w:tcBorders>
              <w:top w:val="single" w:color="000000" w:sz="4" w:space="0"/>
              <w:left w:val="single" w:color="000000" w:sz="4" w:space="0"/>
              <w:right w:val="single" w:color="000000" w:sz="4" w:space="0"/>
            </w:tcBorders>
            <w:vAlign w:val="center"/>
          </w:tcPr>
          <w:p>
            <w:pPr>
              <w:spacing w:line="360" w:lineRule="exact"/>
              <w:jc w:val="center"/>
              <w:rPr>
                <w:rFonts w:ascii="宋体" w:hAnsi="宋体"/>
                <w:szCs w:val="21"/>
              </w:rPr>
            </w:pPr>
            <w:r>
              <w:rPr>
                <w:rFonts w:hint="eastAsia" w:ascii="仿宋" w:hAnsi="仿宋" w:eastAsia="仿宋" w:cs="仿宋"/>
                <w:sz w:val="28"/>
                <w:szCs w:val="28"/>
              </w:rPr>
              <w:t>重难点分析</w:t>
            </w: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5"/>
              <w:adjustRightInd/>
              <w:spacing w:after="0" w:line="360" w:lineRule="exact"/>
              <w:ind w:firstLine="0"/>
              <w:rPr>
                <w:rFonts w:ascii="仿宋" w:hAnsi="仿宋" w:eastAsia="仿宋" w:cs="仿宋"/>
                <w:sz w:val="28"/>
                <w:szCs w:val="28"/>
              </w:rPr>
            </w:pPr>
            <w:r>
              <w:rPr>
                <w:rFonts w:hint="eastAsia" w:ascii="仿宋" w:hAnsi="仿宋" w:eastAsia="仿宋" w:cs="仿宋"/>
                <w:sz w:val="28"/>
                <w:szCs w:val="28"/>
              </w:rPr>
              <w:t>根据投标人对本项目的重点和难点分析的准确性及解决措施的科学性、合理性、全面性进行评分。</w:t>
            </w:r>
          </w:p>
          <w:p>
            <w:pPr>
              <w:spacing w:line="360" w:lineRule="exact"/>
              <w:rPr>
                <w:rFonts w:ascii="仿宋" w:hAnsi="仿宋" w:eastAsia="仿宋" w:cs="仿宋"/>
                <w:sz w:val="28"/>
                <w:szCs w:val="28"/>
              </w:rPr>
            </w:pPr>
            <w:r>
              <w:rPr>
                <w:rFonts w:hint="eastAsia" w:ascii="仿宋" w:hAnsi="仿宋" w:eastAsia="仿宋" w:cs="仿宋"/>
                <w:sz w:val="28"/>
                <w:szCs w:val="28"/>
              </w:rPr>
              <w:t>重点和难点分析的准确、科学、合理、全面的，得5分；</w:t>
            </w:r>
          </w:p>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重点和难点分析的欠准确、科学、合理、全面的，得3分；</w:t>
            </w:r>
          </w:p>
          <w:p>
            <w:pPr>
              <w:pStyle w:val="4"/>
              <w:spacing w:line="360" w:lineRule="exact"/>
              <w:rPr>
                <w:rFonts w:ascii="仿宋" w:hAnsi="仿宋" w:eastAsia="仿宋" w:cs="Arial"/>
                <w:sz w:val="28"/>
                <w:szCs w:val="28"/>
              </w:rPr>
            </w:pPr>
            <w:r>
              <w:rPr>
                <w:rFonts w:hint="eastAsia" w:ascii="仿宋" w:hAnsi="仿宋" w:eastAsia="仿宋" w:cs="仿宋"/>
                <w:b w:val="0"/>
                <w:bCs w:val="0"/>
                <w:spacing w:val="0"/>
                <w:kern w:val="0"/>
                <w:sz w:val="28"/>
                <w:szCs w:val="28"/>
              </w:rPr>
              <w:t>重点和难点分析的不准确、科学、合理、全面的，得1分；无重难点分析不得分。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宋体" w:hAnsi="宋体" w:eastAsia="仿宋"/>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80" w:hRule="atLeast"/>
        </w:trPr>
        <w:tc>
          <w:tcPr>
            <w:tcW w:w="1620" w:type="dxa"/>
            <w:vMerge w:val="restart"/>
            <w:tcBorders>
              <w:top w:val="single" w:color="000000" w:sz="4" w:space="0"/>
              <w:left w:val="single" w:color="000000" w:sz="4" w:space="0"/>
              <w:right w:val="single" w:color="000000" w:sz="4" w:space="0"/>
            </w:tcBorders>
            <w:vAlign w:val="center"/>
          </w:tcPr>
          <w:p>
            <w:pPr>
              <w:spacing w:line="360" w:lineRule="exact"/>
              <w:jc w:val="center"/>
              <w:rPr>
                <w:rFonts w:ascii="仿宋" w:hAnsi="仿宋" w:eastAsia="仿宋" w:cs="宋体"/>
                <w:kern w:val="0"/>
                <w:sz w:val="28"/>
                <w:szCs w:val="28"/>
                <w:shd w:val="clear" w:color="FFFFFF" w:fill="D9D9D9"/>
              </w:rPr>
            </w:pPr>
            <w:r>
              <w:rPr>
                <w:rFonts w:hint="eastAsia" w:ascii="仿宋" w:hAnsi="仿宋" w:eastAsia="仿宋" w:cs="仿宋"/>
                <w:sz w:val="28"/>
                <w:szCs w:val="28"/>
              </w:rPr>
              <w:t>管理机制</w:t>
            </w:r>
          </w:p>
        </w:tc>
        <w:tc>
          <w:tcPr>
            <w:tcW w:w="73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360" w:lineRule="exact"/>
              <w:jc w:val="left"/>
              <w:rPr>
                <w:rFonts w:ascii="仿宋" w:hAnsi="仿宋" w:eastAsia="仿宋"/>
                <w:color w:val="000000"/>
                <w:sz w:val="28"/>
                <w:szCs w:val="28"/>
              </w:rPr>
            </w:pPr>
            <w:r>
              <w:rPr>
                <w:rFonts w:hint="eastAsia" w:ascii="仿宋" w:hAnsi="仿宋" w:eastAsia="仿宋"/>
                <w:color w:val="000000"/>
                <w:sz w:val="28"/>
                <w:szCs w:val="28"/>
              </w:rPr>
              <w:t>1、管理机构设置及管理机构各部门职责评议（3分）</w:t>
            </w:r>
          </w:p>
          <w:p>
            <w:pPr>
              <w:widowControl/>
              <w:snapToGrid w:val="0"/>
              <w:spacing w:line="360" w:lineRule="exact"/>
              <w:jc w:val="left"/>
              <w:rPr>
                <w:rFonts w:ascii="仿宋" w:hAnsi="仿宋" w:eastAsia="仿宋" w:cs="Arial"/>
                <w:sz w:val="28"/>
                <w:szCs w:val="28"/>
              </w:rPr>
            </w:pPr>
            <w:r>
              <w:rPr>
                <w:rFonts w:hint="eastAsia" w:ascii="仿宋" w:hAnsi="仿宋" w:eastAsia="仿宋"/>
                <w:color w:val="000000"/>
                <w:sz w:val="28"/>
                <w:szCs w:val="28"/>
              </w:rPr>
              <w:t>根据投标供应商组织机构设置合理、高效，有明确的管理架构和各部门职责，工作流程完整科学打分，方案科学合理的得3分，方案粗略的得2分，方案不合理的得1分。无机制不得分。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right"/>
              <w:rPr>
                <w:rFonts w:ascii="仿宋" w:hAnsi="仿宋" w:eastAsia="仿宋" w:cs="宋体"/>
                <w:sz w:val="28"/>
                <w:szCs w:val="28"/>
                <w:shd w:val="clear" w:color="FFFFFF" w:fill="D9D9D9"/>
              </w:rPr>
            </w:pPr>
            <w:r>
              <w:rPr>
                <w:rFonts w:hint="eastAsia" w:ascii="仿宋" w:hAnsi="仿宋" w:eastAsia="仿宋" w:cs="仿宋"/>
                <w:sz w:val="28"/>
                <w:szCs w:val="28"/>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vMerge w:val="continue"/>
            <w:tcBorders>
              <w:left w:val="single" w:color="000000" w:sz="4" w:space="0"/>
              <w:bottom w:val="single" w:color="000000" w:sz="4" w:space="0"/>
              <w:right w:val="single" w:color="000000" w:sz="4" w:space="0"/>
            </w:tcBorders>
            <w:vAlign w:val="center"/>
          </w:tcPr>
          <w:p>
            <w:pPr>
              <w:pStyle w:val="4"/>
              <w:spacing w:line="360" w:lineRule="exact"/>
              <w:rPr>
                <w:rFonts w:ascii="仿宋" w:hAnsi="仿宋" w:eastAsia="仿宋"/>
                <w:sz w:val="28"/>
                <w:szCs w:val="28"/>
              </w:rPr>
            </w:pPr>
          </w:p>
        </w:tc>
        <w:tc>
          <w:tcPr>
            <w:tcW w:w="73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360" w:lineRule="exact"/>
              <w:jc w:val="left"/>
              <w:rPr>
                <w:rFonts w:ascii="仿宋" w:hAnsi="仿宋" w:eastAsia="仿宋"/>
                <w:color w:val="000000"/>
                <w:sz w:val="28"/>
                <w:szCs w:val="28"/>
              </w:rPr>
            </w:pPr>
            <w:r>
              <w:rPr>
                <w:rFonts w:hint="eastAsia" w:ascii="仿宋" w:hAnsi="仿宋" w:eastAsia="仿宋"/>
                <w:color w:val="000000"/>
                <w:sz w:val="28"/>
                <w:szCs w:val="28"/>
              </w:rPr>
              <w:t>2、激励与监督机制评议（3分）</w:t>
            </w:r>
          </w:p>
          <w:p>
            <w:pPr>
              <w:widowControl/>
              <w:snapToGrid w:val="0"/>
              <w:spacing w:line="360" w:lineRule="exact"/>
              <w:jc w:val="left"/>
              <w:rPr>
                <w:rFonts w:ascii="仿宋" w:hAnsi="仿宋" w:eastAsia="仿宋" w:cs="Arial"/>
                <w:sz w:val="28"/>
                <w:szCs w:val="28"/>
              </w:rPr>
            </w:pPr>
            <w:r>
              <w:rPr>
                <w:rFonts w:hint="eastAsia" w:ascii="仿宋" w:hAnsi="仿宋" w:eastAsia="仿宋"/>
                <w:color w:val="000000"/>
                <w:sz w:val="28"/>
                <w:szCs w:val="28"/>
              </w:rPr>
              <w:t>根据投标供应商提供的激励与监督机制内容是否详尽、可行进打分，方案科学合理的得3分，方案粗略的得2分，方案不合理的得1分。无机制不得分。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right"/>
              <w:rPr>
                <w:rFonts w:ascii="仿宋" w:hAnsi="仿宋" w:eastAsia="仿宋" w:cs="宋体"/>
                <w:color w:val="000000"/>
                <w:sz w:val="28"/>
                <w:szCs w:val="28"/>
              </w:rPr>
            </w:pPr>
            <w:r>
              <w:rPr>
                <w:rFonts w:hint="eastAsia" w:ascii="仿宋" w:hAnsi="仿宋" w:eastAsia="仿宋" w:cs="仿宋"/>
                <w:sz w:val="28"/>
                <w:szCs w:val="28"/>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0" w:hRule="atLeast"/>
        </w:trPr>
        <w:tc>
          <w:tcPr>
            <w:tcW w:w="1620" w:type="dxa"/>
            <w:vMerge w:val="continue"/>
            <w:tcBorders>
              <w:left w:val="single" w:color="000000" w:sz="4" w:space="0"/>
              <w:bottom w:val="single" w:color="000000" w:sz="4" w:space="0"/>
              <w:right w:val="single" w:color="000000" w:sz="4" w:space="0"/>
            </w:tcBorders>
            <w:vAlign w:val="center"/>
          </w:tcPr>
          <w:p>
            <w:pPr>
              <w:pStyle w:val="4"/>
              <w:spacing w:line="360" w:lineRule="exact"/>
              <w:rPr>
                <w:rFonts w:ascii="仿宋" w:hAnsi="仿宋" w:eastAsia="仿宋"/>
                <w:sz w:val="28"/>
                <w:szCs w:val="28"/>
              </w:rPr>
            </w:pPr>
          </w:p>
        </w:tc>
        <w:tc>
          <w:tcPr>
            <w:tcW w:w="7330" w:type="dxa"/>
            <w:tcBorders>
              <w:top w:val="single" w:color="000000" w:sz="4" w:space="0"/>
              <w:left w:val="single" w:color="000000" w:sz="4" w:space="0"/>
              <w:bottom w:val="single" w:color="000000" w:sz="4" w:space="0"/>
              <w:right w:val="single" w:color="000000" w:sz="4" w:space="0"/>
            </w:tcBorders>
            <w:vAlign w:val="center"/>
          </w:tcPr>
          <w:p>
            <w:pPr>
              <w:widowControl/>
              <w:snapToGrid w:val="0"/>
              <w:spacing w:line="360" w:lineRule="exact"/>
              <w:jc w:val="left"/>
              <w:rPr>
                <w:rFonts w:ascii="仿宋" w:hAnsi="仿宋" w:eastAsia="仿宋"/>
                <w:color w:val="000000"/>
                <w:sz w:val="28"/>
                <w:szCs w:val="28"/>
              </w:rPr>
            </w:pPr>
            <w:r>
              <w:rPr>
                <w:rFonts w:hint="eastAsia" w:ascii="仿宋" w:hAnsi="仿宋" w:eastAsia="仿宋"/>
                <w:color w:val="000000"/>
                <w:sz w:val="28"/>
                <w:szCs w:val="28"/>
              </w:rPr>
              <w:t>3、管理制度及内部考核评议（3分）</w:t>
            </w:r>
          </w:p>
          <w:p>
            <w:pPr>
              <w:widowControl/>
              <w:snapToGrid w:val="0"/>
              <w:spacing w:line="360" w:lineRule="exact"/>
              <w:jc w:val="left"/>
              <w:rPr>
                <w:rFonts w:ascii="仿宋" w:hAnsi="仿宋" w:eastAsia="仿宋"/>
                <w:sz w:val="28"/>
                <w:szCs w:val="28"/>
              </w:rPr>
            </w:pPr>
            <w:r>
              <w:rPr>
                <w:rFonts w:hint="eastAsia" w:ascii="仿宋" w:hAnsi="仿宋" w:eastAsia="仿宋"/>
                <w:color w:val="000000"/>
                <w:sz w:val="28"/>
                <w:szCs w:val="28"/>
              </w:rPr>
              <w:t>根据投标供应商针对本项目的管理制度及内部考核细则制度、职责、考核内容是否详尽、可行进行打分，方案科学合理的得3分，方案粗略的得2分，方案不合理的得1分。无机制不得分。</w:t>
            </w:r>
          </w:p>
        </w:tc>
        <w:tc>
          <w:tcPr>
            <w:tcW w:w="81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right"/>
              <w:rPr>
                <w:rFonts w:ascii="仿宋" w:hAnsi="仿宋" w:eastAsia="仿宋"/>
                <w:sz w:val="28"/>
                <w:szCs w:val="28"/>
              </w:rPr>
            </w:pPr>
            <w:r>
              <w:rPr>
                <w:rFonts w:hint="eastAsia" w:ascii="仿宋" w:hAnsi="仿宋" w:eastAsia="仿宋" w:cs="仿宋"/>
                <w:sz w:val="28"/>
                <w:szCs w:val="28"/>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vMerge w:val="restart"/>
            <w:tcBorders>
              <w:left w:val="single" w:color="000000" w:sz="4" w:space="0"/>
              <w:right w:val="single" w:color="000000" w:sz="4" w:space="0"/>
            </w:tcBorders>
            <w:vAlign w:val="center"/>
          </w:tcPr>
          <w:p>
            <w:pPr>
              <w:widowControl/>
              <w:spacing w:line="360" w:lineRule="exact"/>
              <w:jc w:val="center"/>
              <w:rPr>
                <w:rFonts w:ascii="宋体" w:hAnsi="宋体"/>
                <w:szCs w:val="21"/>
              </w:rPr>
            </w:pPr>
            <w:r>
              <w:rPr>
                <w:rFonts w:hint="eastAsia" w:ascii="仿宋" w:hAnsi="仿宋" w:eastAsia="仿宋" w:cs="仿宋"/>
                <w:sz w:val="28"/>
                <w:szCs w:val="28"/>
              </w:rPr>
              <w:t>服务方案</w:t>
            </w: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保洁服务方案：保洁服务管理措施是否合理和可行，是否与本项目实际情况相符，管理措施是否科学及有无创新；人员与岗位配置是否合理。</w:t>
            </w:r>
            <w:r>
              <w:rPr>
                <w:rFonts w:hint="eastAsia" w:ascii="仿宋" w:hAnsi="仿宋" w:eastAsia="仿宋" w:cs="仿宋"/>
                <w:sz w:val="28"/>
                <w:szCs w:val="28"/>
                <w:lang w:val="en-US"/>
              </w:rPr>
              <w:t>未提供方案不得分。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保洁实施方案合理、可行、科学、有创新的，得</w:t>
            </w:r>
            <w:r>
              <w:rPr>
                <w:rFonts w:hint="eastAsia" w:ascii="仿宋" w:hAnsi="仿宋" w:eastAsia="仿宋" w:cs="仿宋"/>
                <w:sz w:val="28"/>
                <w:szCs w:val="28"/>
                <w:lang w:val="en-US"/>
              </w:rPr>
              <w:t>5分；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保洁实施方案</w:t>
            </w:r>
            <w:r>
              <w:rPr>
                <w:rFonts w:hint="eastAsia" w:ascii="仿宋" w:hAnsi="仿宋" w:eastAsia="仿宋" w:cs="仿宋"/>
                <w:sz w:val="28"/>
                <w:szCs w:val="28"/>
                <w:lang w:val="en-US"/>
              </w:rPr>
              <w:t>欠合理、可行、科学、有创新的，得3分；</w:t>
            </w:r>
          </w:p>
          <w:p>
            <w:pPr>
              <w:pStyle w:val="298"/>
              <w:autoSpaceDE/>
              <w:autoSpaceDN/>
              <w:spacing w:line="360" w:lineRule="exact"/>
              <w:ind w:left="0"/>
              <w:rPr>
                <w:rFonts w:ascii="仿宋" w:hAnsi="仿宋" w:eastAsia="仿宋"/>
                <w:color w:val="000000"/>
                <w:sz w:val="28"/>
                <w:szCs w:val="28"/>
                <w:lang w:val="en-US"/>
              </w:rPr>
            </w:pPr>
            <w:r>
              <w:rPr>
                <w:rFonts w:hint="eastAsia" w:ascii="仿宋" w:hAnsi="仿宋" w:eastAsia="仿宋" w:cs="仿宋"/>
                <w:sz w:val="28"/>
                <w:szCs w:val="28"/>
              </w:rPr>
              <w:t>保洁实施方案</w:t>
            </w:r>
            <w:r>
              <w:rPr>
                <w:rFonts w:hint="eastAsia" w:ascii="仿宋" w:hAnsi="仿宋" w:eastAsia="仿宋" w:cs="仿宋"/>
                <w:sz w:val="28"/>
                <w:szCs w:val="28"/>
                <w:lang w:val="en-US"/>
              </w:rPr>
              <w:t>不合理、可行、科学、没有创新的，得1分。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olor w:val="FF0000"/>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vMerge w:val="continue"/>
            <w:tcBorders>
              <w:left w:val="single" w:color="000000" w:sz="4" w:space="0"/>
              <w:right w:val="single" w:color="000000" w:sz="4" w:space="0"/>
            </w:tcBorders>
            <w:vAlign w:val="center"/>
          </w:tcPr>
          <w:p>
            <w:pPr>
              <w:widowControl/>
              <w:spacing w:line="360" w:lineRule="exact"/>
              <w:jc w:val="center"/>
              <w:rPr>
                <w:rFonts w:ascii="仿宋" w:hAnsi="仿宋" w:eastAsia="仿宋"/>
                <w:sz w:val="28"/>
                <w:szCs w:val="28"/>
              </w:rPr>
            </w:pP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rPr>
              <w:t>会务服务方案：会务服务管理措施是否合理和可行，是否与本项目实际情况相符，管理措施是否科学及有无创新；人员与岗位配置是否合理。</w:t>
            </w:r>
            <w:r>
              <w:rPr>
                <w:rFonts w:hint="eastAsia" w:ascii="仿宋" w:hAnsi="仿宋" w:eastAsia="仿宋" w:cs="仿宋"/>
                <w:sz w:val="28"/>
                <w:szCs w:val="28"/>
                <w:lang w:val="en-US"/>
              </w:rPr>
              <w:t>未提供方案不得分。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会务实施方案合理、可行、科学、有创新的，得</w:t>
            </w:r>
            <w:r>
              <w:rPr>
                <w:rFonts w:hint="eastAsia" w:ascii="仿宋" w:hAnsi="仿宋" w:eastAsia="仿宋" w:cs="仿宋"/>
                <w:sz w:val="28"/>
                <w:szCs w:val="28"/>
                <w:lang w:val="en-US"/>
              </w:rPr>
              <w:t>5分；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会务实施方案</w:t>
            </w:r>
            <w:r>
              <w:rPr>
                <w:rFonts w:hint="eastAsia" w:ascii="仿宋" w:hAnsi="仿宋" w:eastAsia="仿宋" w:cs="仿宋"/>
                <w:sz w:val="28"/>
                <w:szCs w:val="28"/>
                <w:lang w:val="en-US"/>
              </w:rPr>
              <w:t>欠合理、可行、科学、有创新的，得3分；</w:t>
            </w:r>
          </w:p>
          <w:p>
            <w:pPr>
              <w:pStyle w:val="298"/>
              <w:autoSpaceDE/>
              <w:autoSpaceDN/>
              <w:spacing w:line="360" w:lineRule="exact"/>
              <w:ind w:left="0"/>
              <w:rPr>
                <w:rFonts w:ascii="仿宋" w:hAnsi="仿宋" w:eastAsia="仿宋" w:cs="宋体"/>
                <w:color w:val="000000"/>
                <w:kern w:val="2"/>
                <w:sz w:val="28"/>
                <w:szCs w:val="28"/>
                <w:lang w:val="en-US" w:bidi="ar-SA"/>
              </w:rPr>
            </w:pPr>
            <w:r>
              <w:rPr>
                <w:rFonts w:hint="eastAsia" w:ascii="仿宋" w:hAnsi="仿宋" w:eastAsia="仿宋" w:cs="仿宋"/>
                <w:sz w:val="28"/>
                <w:szCs w:val="28"/>
              </w:rPr>
              <w:t>会务实施方案</w:t>
            </w:r>
            <w:r>
              <w:rPr>
                <w:rFonts w:hint="eastAsia" w:ascii="仿宋" w:hAnsi="仿宋" w:eastAsia="仿宋" w:cs="仿宋"/>
                <w:sz w:val="28"/>
                <w:szCs w:val="28"/>
                <w:lang w:val="en-US"/>
              </w:rPr>
              <w:t>不合理、可行、科学、没有创新的，得1分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s="宋体"/>
                <w:color w:val="000000"/>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vMerge w:val="continue"/>
            <w:tcBorders>
              <w:left w:val="single" w:color="000000" w:sz="4" w:space="0"/>
              <w:right w:val="single" w:color="000000" w:sz="4" w:space="0"/>
            </w:tcBorders>
            <w:vAlign w:val="center"/>
          </w:tcPr>
          <w:p>
            <w:pPr>
              <w:widowControl/>
              <w:spacing w:line="360" w:lineRule="exact"/>
              <w:jc w:val="center"/>
              <w:rPr>
                <w:rFonts w:ascii="仿宋" w:hAnsi="仿宋" w:eastAsia="仿宋" w:cs="宋体"/>
                <w:color w:val="000000"/>
                <w:sz w:val="28"/>
                <w:szCs w:val="28"/>
              </w:rPr>
            </w:pP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rPr>
              <w:t>绿化服务方案：绿化服务管理措施是否合理和可行，是否与本项目实际情况相符，管理措施是否科学及有无创新；人员与岗位配置是否合理。</w:t>
            </w:r>
            <w:r>
              <w:rPr>
                <w:rFonts w:hint="eastAsia" w:ascii="仿宋" w:hAnsi="仿宋" w:eastAsia="仿宋" w:cs="仿宋"/>
                <w:sz w:val="28"/>
                <w:szCs w:val="28"/>
                <w:lang w:val="en-US"/>
              </w:rPr>
              <w:t>未提供方案不得分。未提供方案不得分。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绿化实施方案合理、可行、科学、有创新的，得</w:t>
            </w:r>
            <w:r>
              <w:rPr>
                <w:rFonts w:hint="eastAsia" w:ascii="仿宋" w:hAnsi="仿宋" w:eastAsia="仿宋" w:cs="仿宋"/>
                <w:sz w:val="28"/>
                <w:szCs w:val="28"/>
                <w:lang w:val="en-US"/>
              </w:rPr>
              <w:t>5分；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绿化实施方案</w:t>
            </w:r>
            <w:r>
              <w:rPr>
                <w:rFonts w:hint="eastAsia" w:ascii="仿宋" w:hAnsi="仿宋" w:eastAsia="仿宋" w:cs="仿宋"/>
                <w:sz w:val="28"/>
                <w:szCs w:val="28"/>
                <w:lang w:val="en-US"/>
              </w:rPr>
              <w:t>欠合理、可行、科学、有创新的，得3分；</w:t>
            </w:r>
          </w:p>
          <w:p>
            <w:pPr>
              <w:pStyle w:val="298"/>
              <w:autoSpaceDE/>
              <w:autoSpaceDN/>
              <w:spacing w:line="360" w:lineRule="exact"/>
              <w:ind w:left="0"/>
              <w:rPr>
                <w:rFonts w:ascii="仿宋" w:hAnsi="仿宋" w:eastAsia="仿宋" w:cs="宋体"/>
                <w:color w:val="000000"/>
                <w:sz w:val="28"/>
                <w:szCs w:val="28"/>
                <w:lang w:val="en-US"/>
              </w:rPr>
            </w:pPr>
            <w:r>
              <w:rPr>
                <w:rFonts w:hint="eastAsia" w:ascii="仿宋" w:hAnsi="仿宋" w:eastAsia="仿宋" w:cs="仿宋"/>
                <w:sz w:val="28"/>
                <w:szCs w:val="28"/>
              </w:rPr>
              <w:t>绿化实施方案</w:t>
            </w:r>
            <w:r>
              <w:rPr>
                <w:rFonts w:hint="eastAsia" w:ascii="仿宋" w:hAnsi="仿宋" w:eastAsia="仿宋" w:cs="仿宋"/>
                <w:sz w:val="28"/>
                <w:szCs w:val="28"/>
                <w:lang w:val="en-US"/>
              </w:rPr>
              <w:t>不合理、可行、科学、没有创新的，得1分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s="宋体"/>
                <w:color w:val="000000"/>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vMerge w:val="continue"/>
            <w:tcBorders>
              <w:left w:val="single" w:color="000000" w:sz="4" w:space="0"/>
              <w:right w:val="single" w:color="000000" w:sz="4" w:space="0"/>
            </w:tcBorders>
            <w:vAlign w:val="center"/>
          </w:tcPr>
          <w:p>
            <w:pPr>
              <w:widowControl/>
              <w:spacing w:line="360" w:lineRule="exact"/>
              <w:jc w:val="center"/>
              <w:rPr>
                <w:rFonts w:ascii="仿宋" w:hAnsi="仿宋" w:eastAsia="仿宋" w:cs="宋体"/>
                <w:color w:val="000000"/>
                <w:sz w:val="28"/>
                <w:szCs w:val="28"/>
              </w:rPr>
            </w:pP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rPr>
              <w:t>工程服务方案：工程服务管理措施是否合理和可行，是否与本项目实际情况相符，管理措施是否科学及有无创新；人员与岗位配置是否合理。</w:t>
            </w:r>
            <w:r>
              <w:rPr>
                <w:rFonts w:hint="eastAsia" w:ascii="仿宋" w:hAnsi="仿宋" w:eastAsia="仿宋" w:cs="仿宋"/>
                <w:sz w:val="28"/>
                <w:szCs w:val="28"/>
                <w:lang w:val="en-US"/>
              </w:rPr>
              <w:t>未提供方案不得分。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工程实施方案合理、可行、科学、有创新的，得</w:t>
            </w:r>
            <w:r>
              <w:rPr>
                <w:rFonts w:hint="eastAsia" w:ascii="仿宋" w:hAnsi="仿宋" w:eastAsia="仿宋" w:cs="仿宋"/>
                <w:sz w:val="28"/>
                <w:szCs w:val="28"/>
                <w:lang w:val="en-US"/>
              </w:rPr>
              <w:t>5分；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工程实施方案</w:t>
            </w:r>
            <w:r>
              <w:rPr>
                <w:rFonts w:hint="eastAsia" w:ascii="仿宋" w:hAnsi="仿宋" w:eastAsia="仿宋" w:cs="仿宋"/>
                <w:sz w:val="28"/>
                <w:szCs w:val="28"/>
                <w:lang w:val="en-US"/>
              </w:rPr>
              <w:t>欠合理、可行、科学、有创新的，得3分；</w:t>
            </w:r>
          </w:p>
          <w:p>
            <w:pPr>
              <w:pStyle w:val="298"/>
              <w:autoSpaceDE/>
              <w:autoSpaceDN/>
              <w:spacing w:line="360" w:lineRule="exact"/>
              <w:ind w:left="0"/>
              <w:rPr>
                <w:rFonts w:ascii="仿宋" w:hAnsi="仿宋" w:eastAsia="仿宋" w:cs="宋体"/>
                <w:color w:val="000000"/>
                <w:sz w:val="28"/>
                <w:szCs w:val="28"/>
                <w:lang w:val="en-US"/>
              </w:rPr>
            </w:pPr>
            <w:r>
              <w:rPr>
                <w:rFonts w:hint="eastAsia" w:ascii="仿宋" w:hAnsi="仿宋" w:eastAsia="仿宋" w:cs="仿宋"/>
                <w:sz w:val="28"/>
                <w:szCs w:val="28"/>
              </w:rPr>
              <w:t>工程实施方案</w:t>
            </w:r>
            <w:r>
              <w:rPr>
                <w:rFonts w:hint="eastAsia" w:ascii="仿宋" w:hAnsi="仿宋" w:eastAsia="仿宋" w:cs="仿宋"/>
                <w:sz w:val="28"/>
                <w:szCs w:val="28"/>
                <w:lang w:val="en-US"/>
              </w:rPr>
              <w:t>不合理、可行、科学、没有创新的，得1分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s="宋体"/>
                <w:color w:val="000000"/>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14" w:hRule="atLeast"/>
        </w:trPr>
        <w:tc>
          <w:tcPr>
            <w:tcW w:w="1620" w:type="dxa"/>
            <w:vMerge w:val="continue"/>
            <w:tcBorders>
              <w:left w:val="single" w:color="000000" w:sz="4" w:space="0"/>
              <w:right w:val="single" w:color="000000" w:sz="4" w:space="0"/>
            </w:tcBorders>
            <w:vAlign w:val="center"/>
          </w:tcPr>
          <w:p>
            <w:pPr>
              <w:widowControl/>
              <w:spacing w:line="360" w:lineRule="exact"/>
              <w:jc w:val="center"/>
              <w:rPr>
                <w:rFonts w:ascii="宋体" w:hAnsi="宋体"/>
                <w:szCs w:val="21"/>
              </w:rPr>
            </w:pPr>
          </w:p>
        </w:tc>
        <w:tc>
          <w:tcPr>
            <w:tcW w:w="7330" w:type="dxa"/>
            <w:tcBorders>
              <w:top w:val="single" w:color="000000" w:sz="4" w:space="0"/>
              <w:left w:val="single" w:color="000000" w:sz="4" w:space="0"/>
              <w:bottom w:val="single" w:color="auto" w:sz="4" w:space="0"/>
              <w:right w:val="single" w:color="000000" w:sz="4" w:space="0"/>
            </w:tcBorders>
            <w:vAlign w:val="center"/>
          </w:tcPr>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rPr>
              <w:t>保安服务方案：保安服务管理措施是否合理和可行，是否与本项目实际情况相符，管理措施是否科学及有无创新；人员与岗位配置是否合理。</w:t>
            </w:r>
            <w:r>
              <w:rPr>
                <w:rFonts w:hint="eastAsia" w:ascii="仿宋" w:hAnsi="仿宋" w:eastAsia="仿宋" w:cs="仿宋"/>
                <w:sz w:val="28"/>
                <w:szCs w:val="28"/>
                <w:lang w:val="en-US"/>
              </w:rPr>
              <w:t>未提供方案不得分。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保安实施方案合理、可行、科学、有创新的，得</w:t>
            </w:r>
            <w:r>
              <w:rPr>
                <w:rFonts w:hint="eastAsia" w:ascii="仿宋" w:hAnsi="仿宋" w:eastAsia="仿宋" w:cs="仿宋"/>
                <w:sz w:val="28"/>
                <w:szCs w:val="28"/>
                <w:lang w:val="en-US"/>
              </w:rPr>
              <w:t>5分；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保安实施方案</w:t>
            </w:r>
            <w:r>
              <w:rPr>
                <w:rFonts w:hint="eastAsia" w:ascii="仿宋" w:hAnsi="仿宋" w:eastAsia="仿宋" w:cs="仿宋"/>
                <w:sz w:val="28"/>
                <w:szCs w:val="28"/>
                <w:lang w:val="en-US"/>
              </w:rPr>
              <w:t>欠合理、可行、科学、有创新的，得3分；</w:t>
            </w:r>
          </w:p>
          <w:p>
            <w:pPr>
              <w:pStyle w:val="298"/>
              <w:autoSpaceDE/>
              <w:autoSpaceDN/>
              <w:spacing w:line="360" w:lineRule="exact"/>
              <w:ind w:left="0"/>
              <w:rPr>
                <w:sz w:val="28"/>
                <w:szCs w:val="28"/>
              </w:rPr>
            </w:pPr>
            <w:r>
              <w:rPr>
                <w:rFonts w:hint="eastAsia" w:ascii="仿宋" w:hAnsi="仿宋" w:eastAsia="仿宋" w:cs="仿宋"/>
                <w:sz w:val="28"/>
                <w:szCs w:val="28"/>
              </w:rPr>
              <w:t>保安实施方案</w:t>
            </w:r>
            <w:r>
              <w:rPr>
                <w:rFonts w:hint="eastAsia" w:ascii="仿宋" w:hAnsi="仿宋" w:eastAsia="仿宋" w:cs="仿宋"/>
                <w:sz w:val="28"/>
                <w:szCs w:val="28"/>
                <w:lang w:val="en-US"/>
              </w:rPr>
              <w:t>不合理、可行、科学、没有创新的，得1分。</w:t>
            </w:r>
          </w:p>
        </w:tc>
        <w:tc>
          <w:tcPr>
            <w:tcW w:w="816" w:type="dxa"/>
            <w:tcBorders>
              <w:top w:val="single" w:color="000000" w:sz="4" w:space="0"/>
              <w:left w:val="single" w:color="000000" w:sz="4" w:space="0"/>
              <w:bottom w:val="single" w:color="auto" w:sz="4" w:space="0"/>
              <w:right w:val="single" w:color="000000" w:sz="4" w:space="0"/>
            </w:tcBorders>
            <w:vAlign w:val="center"/>
          </w:tcPr>
          <w:p>
            <w:pPr>
              <w:widowControl/>
              <w:spacing w:line="360" w:lineRule="exact"/>
              <w:jc w:val="center"/>
              <w:textAlignment w:val="center"/>
              <w:rPr>
                <w:rFonts w:ascii="宋体" w:hAnsi="宋体" w:eastAsia="仿宋"/>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926" w:hRule="atLeast"/>
        </w:trPr>
        <w:tc>
          <w:tcPr>
            <w:tcW w:w="1620" w:type="dxa"/>
            <w:vMerge w:val="continue"/>
            <w:tcBorders>
              <w:left w:val="single" w:color="000000" w:sz="4" w:space="0"/>
              <w:right w:val="single" w:color="000000" w:sz="4" w:space="0"/>
            </w:tcBorders>
            <w:vAlign w:val="center"/>
          </w:tcPr>
          <w:p>
            <w:pPr>
              <w:widowControl/>
              <w:spacing w:line="360" w:lineRule="exact"/>
              <w:jc w:val="center"/>
              <w:rPr>
                <w:rFonts w:ascii="仿宋" w:hAnsi="仿宋" w:eastAsia="仿宋"/>
                <w:sz w:val="28"/>
                <w:szCs w:val="28"/>
              </w:rPr>
            </w:pPr>
          </w:p>
        </w:tc>
        <w:tc>
          <w:tcPr>
            <w:tcW w:w="7330" w:type="dxa"/>
            <w:tcBorders>
              <w:top w:val="single" w:color="auto"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rPr>
              <w:t>食堂服务方案：食堂服务管理措施是否合理和可行，是否与本项目实际情况相符，管理措施是否科学及有无创新；人员与岗位配置是否合理。</w:t>
            </w:r>
            <w:r>
              <w:rPr>
                <w:rFonts w:hint="eastAsia" w:ascii="仿宋" w:hAnsi="仿宋" w:eastAsia="仿宋" w:cs="仿宋"/>
                <w:sz w:val="28"/>
                <w:szCs w:val="28"/>
                <w:lang w:val="en-US"/>
              </w:rPr>
              <w:t>未提供方案不得分。未提供方案不得分。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食堂实施方案合理、可行、科学、有创新的，得</w:t>
            </w:r>
            <w:r>
              <w:rPr>
                <w:rFonts w:hint="eastAsia" w:ascii="仿宋" w:hAnsi="仿宋" w:eastAsia="仿宋" w:cs="仿宋"/>
                <w:sz w:val="28"/>
                <w:szCs w:val="28"/>
                <w:lang w:val="en-US"/>
              </w:rPr>
              <w:t>5分；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食堂实施方案</w:t>
            </w:r>
            <w:r>
              <w:rPr>
                <w:rFonts w:hint="eastAsia" w:ascii="仿宋" w:hAnsi="仿宋" w:eastAsia="仿宋" w:cs="仿宋"/>
                <w:sz w:val="28"/>
                <w:szCs w:val="28"/>
                <w:lang w:val="en-US"/>
              </w:rPr>
              <w:t>欠合理、可行、科学、有创新的，得3分；</w:t>
            </w:r>
          </w:p>
          <w:p>
            <w:pPr>
              <w:pStyle w:val="298"/>
              <w:autoSpaceDE/>
              <w:autoSpaceDN/>
              <w:spacing w:line="360" w:lineRule="exact"/>
              <w:ind w:left="0"/>
              <w:rPr>
                <w:sz w:val="28"/>
                <w:szCs w:val="28"/>
              </w:rPr>
            </w:pPr>
            <w:r>
              <w:rPr>
                <w:rFonts w:hint="eastAsia" w:ascii="仿宋" w:hAnsi="仿宋" w:eastAsia="仿宋" w:cs="仿宋"/>
                <w:sz w:val="28"/>
                <w:szCs w:val="28"/>
              </w:rPr>
              <w:t>食堂实施方案</w:t>
            </w:r>
            <w:r>
              <w:rPr>
                <w:rFonts w:hint="eastAsia" w:ascii="仿宋" w:hAnsi="仿宋" w:eastAsia="仿宋" w:cs="仿宋"/>
                <w:sz w:val="28"/>
                <w:szCs w:val="28"/>
                <w:lang w:val="en-US"/>
              </w:rPr>
              <w:t>不合理、可行、科学、没有创新的，得1分。</w:t>
            </w:r>
          </w:p>
        </w:tc>
        <w:tc>
          <w:tcPr>
            <w:tcW w:w="816" w:type="dxa"/>
            <w:tcBorders>
              <w:top w:val="single" w:color="auto"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仿宋" w:hAnsi="仿宋" w:eastAsia="仿宋" w:cs="宋体"/>
                <w:color w:val="000000"/>
                <w:sz w:val="28"/>
                <w:szCs w:val="28"/>
              </w:rPr>
            </w:pPr>
            <w:r>
              <w:rPr>
                <w:rFonts w:hint="eastAsia" w:ascii="仿宋" w:hAnsi="仿宋" w:eastAsia="仿宋" w:cs="仿宋"/>
                <w:sz w:val="28"/>
                <w:szCs w:val="28"/>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vMerge w:val="continue"/>
            <w:tcBorders>
              <w:left w:val="single" w:color="000000" w:sz="4" w:space="0"/>
              <w:bottom w:val="single" w:color="000000" w:sz="4" w:space="0"/>
              <w:right w:val="single" w:color="000000" w:sz="4" w:space="0"/>
            </w:tcBorders>
            <w:vAlign w:val="center"/>
          </w:tcPr>
          <w:p>
            <w:pPr>
              <w:widowControl/>
              <w:spacing w:line="360" w:lineRule="exact"/>
              <w:jc w:val="center"/>
              <w:rPr>
                <w:rFonts w:ascii="宋体" w:hAnsi="宋体"/>
                <w:szCs w:val="21"/>
              </w:rPr>
            </w:pP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rPr>
              <w:t>延伸服务和采购人交办的其他工作：</w:t>
            </w:r>
            <w:r>
              <w:rPr>
                <w:rFonts w:hint="eastAsia" w:ascii="仿宋" w:hAnsi="仿宋" w:eastAsia="仿宋" w:cs="仿宋"/>
                <w:sz w:val="28"/>
                <w:szCs w:val="28"/>
                <w:lang w:val="en-US"/>
              </w:rPr>
              <w:t>除档案管理以外采购单位布置的其他服务业务。无服务方案不得分。</w:t>
            </w:r>
          </w:p>
          <w:p>
            <w:pPr>
              <w:pStyle w:val="298"/>
              <w:autoSpaceDE/>
              <w:autoSpaceDN/>
              <w:spacing w:line="360" w:lineRule="exact"/>
              <w:ind w:left="0"/>
              <w:rPr>
                <w:rFonts w:ascii="仿宋" w:hAnsi="仿宋" w:eastAsia="仿宋" w:cs="仿宋"/>
                <w:sz w:val="28"/>
                <w:szCs w:val="28"/>
                <w:lang w:val="en-US"/>
              </w:rPr>
            </w:pPr>
            <w:r>
              <w:rPr>
                <w:rFonts w:hint="eastAsia" w:ascii="仿宋" w:hAnsi="仿宋" w:eastAsia="仿宋" w:cs="仿宋"/>
                <w:sz w:val="28"/>
                <w:szCs w:val="28"/>
                <w:lang w:val="en-US"/>
              </w:rPr>
              <w:t>服务方案科学合理，考虑细致，服务种类齐全，得2分；</w:t>
            </w:r>
          </w:p>
          <w:p>
            <w:pPr>
              <w:pStyle w:val="298"/>
              <w:autoSpaceDE/>
              <w:autoSpaceDN/>
              <w:spacing w:line="360" w:lineRule="exact"/>
              <w:ind w:left="0"/>
              <w:rPr>
                <w:rFonts w:ascii="仿宋" w:hAnsi="仿宋" w:eastAsia="仿宋" w:cs="宋体"/>
                <w:color w:val="000000"/>
                <w:sz w:val="28"/>
                <w:szCs w:val="28"/>
                <w:lang w:val="en-US"/>
              </w:rPr>
            </w:pPr>
            <w:r>
              <w:rPr>
                <w:rFonts w:hint="eastAsia" w:ascii="仿宋" w:hAnsi="仿宋" w:eastAsia="仿宋" w:cs="仿宋"/>
                <w:sz w:val="28"/>
                <w:szCs w:val="28"/>
                <w:lang w:val="en-US"/>
              </w:rPr>
              <w:t>服务方案不够科学合理，考虑细致，服务种类欠齐全，得1分</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eastAsia="仿宋"/>
                <w:sz w:val="28"/>
                <w:szCs w:val="28"/>
              </w:rPr>
            </w:pPr>
            <w:r>
              <w:rPr>
                <w:rFonts w:hint="eastAsia" w:ascii="仿宋" w:hAnsi="仿宋" w:eastAsia="仿宋" w:cs="仿宋"/>
                <w:sz w:val="28"/>
                <w:szCs w:val="28"/>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c>
          <w:tcPr>
            <w:tcW w:w="1620" w:type="dxa"/>
            <w:tcBorders>
              <w:left w:val="single" w:color="000000" w:sz="4" w:space="0"/>
              <w:right w:val="single" w:color="000000" w:sz="4" w:space="0"/>
            </w:tcBorders>
            <w:vAlign w:val="center"/>
          </w:tcPr>
          <w:p>
            <w:pPr>
              <w:widowControl/>
              <w:spacing w:line="360" w:lineRule="exact"/>
              <w:jc w:val="center"/>
              <w:rPr>
                <w:rFonts w:ascii="宋体" w:hAnsi="宋体"/>
                <w:szCs w:val="21"/>
              </w:rPr>
            </w:pPr>
            <w:r>
              <w:rPr>
                <w:rFonts w:hint="eastAsia" w:ascii="仿宋" w:hAnsi="仿宋" w:eastAsia="仿宋" w:cs="仿宋"/>
                <w:sz w:val="28"/>
                <w:szCs w:val="28"/>
              </w:rPr>
              <w:t>投入本项目人员配备情况</w:t>
            </w:r>
          </w:p>
        </w:tc>
        <w:tc>
          <w:tcPr>
            <w:tcW w:w="7330" w:type="dxa"/>
            <w:tcBorders>
              <w:top w:val="single" w:color="000000" w:sz="4" w:space="0"/>
              <w:left w:val="single" w:color="000000" w:sz="4" w:space="0"/>
              <w:bottom w:val="single" w:color="000000" w:sz="4" w:space="0"/>
              <w:right w:val="single" w:color="000000" w:sz="4" w:space="0"/>
            </w:tcBorders>
            <w:vAlign w:val="center"/>
          </w:tcPr>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rPr>
              <w:t>项目经理具有人设部门颁发的</w:t>
            </w:r>
            <w:r>
              <w:rPr>
                <w:rFonts w:hint="eastAsia" w:ascii="仿宋" w:hAnsi="仿宋" w:eastAsia="仿宋" w:cs="仿宋"/>
                <w:sz w:val="28"/>
                <w:szCs w:val="28"/>
                <w:lang w:val="en-US"/>
              </w:rPr>
              <w:t>物业管理师证</w:t>
            </w:r>
            <w:r>
              <w:rPr>
                <w:rFonts w:hint="eastAsia" w:ascii="仿宋" w:hAnsi="仿宋" w:eastAsia="仿宋" w:cs="仿宋"/>
                <w:sz w:val="28"/>
                <w:szCs w:val="28"/>
              </w:rPr>
              <w:t>得</w:t>
            </w:r>
            <w:r>
              <w:rPr>
                <w:rFonts w:hint="eastAsia" w:ascii="仿宋" w:hAnsi="仿宋" w:eastAsia="仿宋" w:cs="仿宋"/>
                <w:sz w:val="28"/>
                <w:szCs w:val="28"/>
                <w:lang w:val="en-US"/>
              </w:rPr>
              <w:t>2</w:t>
            </w:r>
            <w:r>
              <w:rPr>
                <w:rFonts w:hint="eastAsia" w:ascii="仿宋" w:hAnsi="仿宋" w:eastAsia="仿宋" w:cs="仿宋"/>
                <w:sz w:val="28"/>
                <w:szCs w:val="28"/>
              </w:rPr>
              <w:t>分；</w:t>
            </w:r>
          </w:p>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lang w:val="en-US"/>
              </w:rPr>
              <w:t>厨师具有高级技师厨师证的得2分；</w:t>
            </w:r>
          </w:p>
          <w:p>
            <w:pPr>
              <w:pStyle w:val="298"/>
              <w:autoSpaceDE/>
              <w:autoSpaceDN/>
              <w:spacing w:line="360" w:lineRule="exact"/>
              <w:ind w:left="0"/>
              <w:rPr>
                <w:rFonts w:ascii="仿宋" w:hAnsi="仿宋" w:eastAsia="仿宋" w:cs="仿宋"/>
                <w:sz w:val="28"/>
                <w:szCs w:val="28"/>
              </w:rPr>
            </w:pPr>
            <w:r>
              <w:rPr>
                <w:rFonts w:hint="eastAsia" w:ascii="仿宋" w:hAnsi="仿宋" w:eastAsia="仿宋" w:cs="仿宋"/>
                <w:sz w:val="28"/>
                <w:szCs w:val="28"/>
                <w:lang w:val="en-US"/>
              </w:rPr>
              <w:t>保安员具有消控证的，提供3本消控证的不得分，每增加一人的消控证得1分，本项最多2分；</w:t>
            </w:r>
          </w:p>
          <w:p>
            <w:pPr>
              <w:pStyle w:val="298"/>
              <w:autoSpaceDE/>
              <w:autoSpaceDN/>
              <w:spacing w:line="360" w:lineRule="exact"/>
              <w:ind w:left="0"/>
              <w:rPr>
                <w:rFonts w:ascii="宋体" w:hAnsi="宋体"/>
                <w:szCs w:val="21"/>
                <w:lang w:val="en-US"/>
              </w:rPr>
            </w:pPr>
            <w:r>
              <w:rPr>
                <w:rFonts w:hint="eastAsia" w:ascii="仿宋" w:hAnsi="仿宋" w:eastAsia="仿宋" w:cs="仿宋"/>
                <w:sz w:val="28"/>
                <w:szCs w:val="28"/>
              </w:rPr>
              <w:t>(须提供有关职称、职业技能等证书</w:t>
            </w:r>
            <w:r>
              <w:rPr>
                <w:rFonts w:hint="eastAsia" w:ascii="仿宋" w:hAnsi="仿宋" w:eastAsia="仿宋" w:cs="仿宋"/>
                <w:sz w:val="28"/>
                <w:szCs w:val="28"/>
                <w:lang w:val="en-US"/>
              </w:rPr>
              <w:t>扫描</w:t>
            </w:r>
            <w:r>
              <w:rPr>
                <w:rFonts w:hint="eastAsia" w:ascii="仿宋" w:hAnsi="仿宋" w:eastAsia="仿宋" w:cs="仿宋"/>
                <w:sz w:val="28"/>
                <w:szCs w:val="28"/>
              </w:rPr>
              <w:t>件、提供在</w:t>
            </w:r>
            <w:r>
              <w:rPr>
                <w:rFonts w:hint="eastAsia" w:ascii="仿宋" w:hAnsi="仿宋" w:eastAsia="仿宋" w:cs="仿宋"/>
                <w:sz w:val="28"/>
                <w:szCs w:val="28"/>
                <w:lang w:val="en-US"/>
              </w:rPr>
              <w:t>投标单位</w:t>
            </w:r>
            <w:r>
              <w:rPr>
                <w:rFonts w:hint="eastAsia" w:ascii="仿宋" w:hAnsi="仿宋" w:eastAsia="仿宋" w:cs="仿宋"/>
                <w:sz w:val="28"/>
                <w:szCs w:val="28"/>
              </w:rPr>
              <w:t>缴纳近</w:t>
            </w:r>
            <w:r>
              <w:rPr>
                <w:rFonts w:hint="eastAsia" w:ascii="仿宋" w:hAnsi="仿宋" w:eastAsia="仿宋" w:cs="仿宋"/>
                <w:sz w:val="28"/>
                <w:szCs w:val="28"/>
                <w:lang w:val="en-US"/>
              </w:rPr>
              <w:t>2022年任意两</w:t>
            </w:r>
            <w:r>
              <w:rPr>
                <w:rFonts w:hint="eastAsia" w:ascii="仿宋" w:hAnsi="仿宋" w:eastAsia="仿宋" w:cs="仿宋"/>
                <w:sz w:val="28"/>
                <w:szCs w:val="28"/>
              </w:rPr>
              <w:t>个月社保证明，</w:t>
            </w:r>
            <w:r>
              <w:rPr>
                <w:rFonts w:hint="eastAsia" w:ascii="仿宋" w:hAnsi="仿宋" w:eastAsia="仿宋" w:cs="仿宋"/>
                <w:sz w:val="28"/>
                <w:szCs w:val="28"/>
                <w:lang w:val="en-US"/>
              </w:rPr>
              <w:t>未按要求提供不得分</w:t>
            </w:r>
            <w:r>
              <w:rPr>
                <w:rFonts w:hint="eastAsia" w:ascii="仿宋" w:hAnsi="仿宋" w:eastAsia="仿宋" w:cs="仿宋"/>
                <w:sz w:val="28"/>
                <w:szCs w:val="28"/>
              </w:rPr>
              <w:t>)</w:t>
            </w:r>
          </w:p>
        </w:tc>
        <w:tc>
          <w:tcPr>
            <w:tcW w:w="81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center"/>
              <w:rPr>
                <w:rFonts w:ascii="宋体" w:hAnsi="宋体" w:eastAsia="仿宋"/>
                <w:sz w:val="28"/>
                <w:szCs w:val="28"/>
              </w:rPr>
            </w:pPr>
            <w:r>
              <w:rPr>
                <w:rFonts w:hint="eastAsia" w:ascii="仿宋" w:hAnsi="仿宋" w:eastAsia="仿宋" w:cs="仿宋"/>
                <w:sz w:val="28"/>
                <w:szCs w:val="28"/>
              </w:rPr>
              <w:t>6分</w:t>
            </w:r>
          </w:p>
        </w:tc>
      </w:tr>
      <w:bookmarkEnd w:id="51"/>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117"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lang w:bidi="zh-CN"/>
              </w:rPr>
            </w:pPr>
            <w:r>
              <w:rPr>
                <w:rFonts w:hint="eastAsia" w:ascii="仿宋" w:hAnsi="仿宋" w:eastAsia="仿宋" w:cs="仿宋"/>
                <w:sz w:val="28"/>
                <w:szCs w:val="28"/>
                <w:lang w:val="zh-CN" w:bidi="zh-CN"/>
              </w:rPr>
              <w:t>员工稳定性</w:t>
            </w:r>
          </w:p>
        </w:tc>
        <w:tc>
          <w:tcPr>
            <w:tcW w:w="7330" w:type="dxa"/>
            <w:tcBorders>
              <w:top w:val="single" w:color="auto" w:sz="4" w:space="0"/>
              <w:left w:val="single" w:color="auto" w:sz="4" w:space="0"/>
              <w:bottom w:val="single" w:color="auto" w:sz="4" w:space="0"/>
              <w:right w:val="single" w:color="auto" w:sz="4" w:space="0"/>
            </w:tcBorders>
            <w:vAlign w:val="center"/>
          </w:tcPr>
          <w:p>
            <w:pPr>
              <w:tabs>
                <w:tab w:val="left" w:pos="2085"/>
              </w:tabs>
              <w:spacing w:line="360" w:lineRule="exact"/>
              <w:rPr>
                <w:rFonts w:ascii="仿宋" w:hAnsi="仿宋" w:eastAsia="仿宋" w:cs="仿宋"/>
                <w:sz w:val="28"/>
                <w:szCs w:val="28"/>
              </w:rPr>
            </w:pPr>
            <w:r>
              <w:rPr>
                <w:rFonts w:hint="eastAsia" w:ascii="仿宋" w:hAnsi="仿宋" w:eastAsia="仿宋" w:cs="仿宋"/>
                <w:sz w:val="28"/>
                <w:szCs w:val="28"/>
              </w:rPr>
              <w:t>根据员工队伍稳定性承诺及有关措施的有效性情况进行打分。</w:t>
            </w:r>
          </w:p>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员工稳定性措施合理、科学、有效的，得2分；</w:t>
            </w:r>
          </w:p>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员工稳定性措施不够合理、科学、有效的，得1分。未提供措施不得分。</w:t>
            </w:r>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lang w:bidi="zh-CN"/>
              </w:rPr>
            </w:pPr>
            <w:r>
              <w:rPr>
                <w:rFonts w:hint="eastAsia" w:ascii="仿宋" w:hAnsi="仿宋" w:eastAsia="仿宋" w:cs="仿宋"/>
                <w:sz w:val="28"/>
                <w:szCs w:val="28"/>
                <w:lang w:bidi="zh-CN"/>
              </w:rPr>
              <w:t>2分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121"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lang w:val="zh-CN" w:bidi="zh-CN"/>
              </w:rPr>
            </w:pPr>
            <w:r>
              <w:rPr>
                <w:rFonts w:hint="eastAsia" w:ascii="仿宋" w:hAnsi="仿宋" w:eastAsia="仿宋" w:cs="仿宋"/>
                <w:sz w:val="28"/>
                <w:szCs w:val="28"/>
                <w:lang w:val="zh-CN" w:bidi="zh-CN"/>
              </w:rPr>
              <w:t>培训方案</w:t>
            </w:r>
          </w:p>
        </w:tc>
        <w:tc>
          <w:tcPr>
            <w:tcW w:w="7330" w:type="dxa"/>
            <w:tcBorders>
              <w:top w:val="single" w:color="auto" w:sz="4" w:space="0"/>
              <w:left w:val="single" w:color="auto" w:sz="4" w:space="0"/>
              <w:bottom w:val="single" w:color="auto" w:sz="4" w:space="0"/>
              <w:right w:val="single" w:color="auto" w:sz="4" w:space="0"/>
            </w:tcBorders>
            <w:vAlign w:val="center"/>
          </w:tcPr>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根据投标人制定的培训方案的合理性、科学性、有效性进行评分。无培训方案不得分。</w:t>
            </w:r>
          </w:p>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培训方案合理、科学、有效的，得2分；</w:t>
            </w:r>
          </w:p>
          <w:p>
            <w:pPr>
              <w:pStyle w:val="4"/>
              <w:spacing w:line="360" w:lineRule="exact"/>
              <w:rPr>
                <w:rFonts w:ascii="仿宋" w:hAnsi="仿宋" w:eastAsia="仿宋" w:cs="仿宋"/>
                <w:sz w:val="28"/>
                <w:szCs w:val="28"/>
              </w:rPr>
            </w:pPr>
            <w:r>
              <w:rPr>
                <w:rFonts w:hint="eastAsia" w:ascii="仿宋" w:hAnsi="仿宋" w:eastAsia="仿宋" w:cs="仿宋"/>
                <w:b w:val="0"/>
                <w:bCs w:val="0"/>
                <w:spacing w:val="0"/>
                <w:kern w:val="0"/>
                <w:sz w:val="28"/>
                <w:szCs w:val="28"/>
              </w:rPr>
              <w:t>培训方案不够合理、科学、有效的，得1分。</w:t>
            </w:r>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lang w:bidi="zh-CN"/>
              </w:rPr>
            </w:pPr>
            <w:r>
              <w:rPr>
                <w:rFonts w:hint="eastAsia" w:ascii="仿宋" w:hAnsi="仿宋" w:eastAsia="仿宋" w:cs="仿宋"/>
                <w:sz w:val="28"/>
                <w:szCs w:val="28"/>
                <w:lang w:bidi="zh-CN"/>
              </w:rPr>
              <w:t>2分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98"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hint="eastAsia" w:ascii="仿宋" w:hAnsi="仿宋" w:eastAsia="仿宋" w:cs="仿宋"/>
                <w:bCs/>
                <w:sz w:val="28"/>
                <w:szCs w:val="28"/>
                <w:lang w:val="en-US" w:eastAsia="zh-CN"/>
              </w:rPr>
            </w:pPr>
            <w:r>
              <w:rPr>
                <w:rFonts w:hint="eastAsia" w:ascii="仿宋" w:hAnsi="仿宋" w:eastAsia="仿宋" w:cs="仿宋"/>
                <w:sz w:val="28"/>
                <w:szCs w:val="28"/>
              </w:rPr>
              <w:t>拟投入设备</w:t>
            </w:r>
            <w:r>
              <w:rPr>
                <w:rFonts w:hint="eastAsia" w:ascii="仿宋" w:hAnsi="仿宋" w:eastAsia="仿宋" w:cs="仿宋"/>
                <w:sz w:val="28"/>
                <w:szCs w:val="28"/>
                <w:lang w:val="en-US" w:eastAsia="zh-CN"/>
              </w:rPr>
              <w:t>及耗材</w:t>
            </w:r>
          </w:p>
        </w:tc>
        <w:tc>
          <w:tcPr>
            <w:tcW w:w="7330"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 w:hAnsi="仿宋" w:eastAsia="仿宋" w:cs="仿宋"/>
                <w:sz w:val="28"/>
                <w:szCs w:val="28"/>
              </w:rPr>
            </w:pPr>
            <w:r>
              <w:rPr>
                <w:rFonts w:hint="eastAsia" w:ascii="仿宋" w:hAnsi="仿宋" w:eastAsia="仿宋" w:cs="仿宋"/>
                <w:sz w:val="28"/>
                <w:szCs w:val="28"/>
              </w:rPr>
              <w:t>投标人对本项目拟投入的保洁设备</w:t>
            </w:r>
            <w:r>
              <w:rPr>
                <w:rFonts w:hint="eastAsia" w:ascii="仿宋" w:hAnsi="仿宋" w:eastAsia="仿宋" w:cs="仿宋"/>
                <w:sz w:val="28"/>
                <w:szCs w:val="28"/>
                <w:lang w:val="en-US" w:eastAsia="zh-CN"/>
              </w:rPr>
              <w:t>及耗材</w:t>
            </w:r>
            <w:r>
              <w:rPr>
                <w:rFonts w:hint="eastAsia" w:ascii="仿宋" w:hAnsi="仿宋" w:eastAsia="仿宋" w:cs="仿宋"/>
                <w:sz w:val="28"/>
                <w:szCs w:val="28"/>
              </w:rPr>
              <w:t>情况，综合打分。</w:t>
            </w:r>
            <w:r>
              <w:rPr>
                <w:rFonts w:hint="eastAsia" w:ascii="仿宋" w:hAnsi="仿宋" w:eastAsia="仿宋" w:cs="仿宋"/>
                <w:sz w:val="28"/>
                <w:szCs w:val="28"/>
                <w:lang w:val="en-US" w:eastAsia="zh-CN"/>
              </w:rPr>
              <w:t>耗材品目齐全说明具体，</w:t>
            </w:r>
            <w:r>
              <w:rPr>
                <w:rFonts w:hint="eastAsia" w:ascii="仿宋" w:hAnsi="仿宋" w:eastAsia="仿宋" w:cs="仿宋"/>
                <w:sz w:val="28"/>
                <w:szCs w:val="28"/>
              </w:rPr>
              <w:t>设备配置齐全，性能先进的得5分，</w:t>
            </w:r>
            <w:r>
              <w:rPr>
                <w:rFonts w:hint="eastAsia" w:ascii="仿宋" w:hAnsi="仿宋" w:eastAsia="仿宋" w:cs="仿宋"/>
                <w:sz w:val="28"/>
                <w:szCs w:val="28"/>
                <w:lang w:val="en-US" w:eastAsia="zh-CN"/>
              </w:rPr>
              <w:t>耗材品目齐全说明欠具体，</w:t>
            </w:r>
            <w:r>
              <w:rPr>
                <w:rFonts w:hint="eastAsia" w:ascii="仿宋" w:hAnsi="仿宋" w:eastAsia="仿宋" w:cs="仿宋"/>
                <w:sz w:val="28"/>
                <w:szCs w:val="28"/>
              </w:rPr>
              <w:t>设备配置有缺陷、性能能满足招标文件服务要求的得3分，</w:t>
            </w:r>
            <w:r>
              <w:rPr>
                <w:rFonts w:hint="eastAsia" w:ascii="仿宋" w:hAnsi="仿宋" w:eastAsia="仿宋" w:cs="仿宋"/>
                <w:sz w:val="28"/>
                <w:szCs w:val="28"/>
                <w:lang w:val="en-US" w:eastAsia="zh-CN"/>
              </w:rPr>
              <w:t>耗材品目不齐全，</w:t>
            </w:r>
            <w:r>
              <w:rPr>
                <w:rFonts w:hint="eastAsia" w:ascii="仿宋" w:hAnsi="仿宋" w:eastAsia="仿宋" w:cs="仿宋"/>
                <w:sz w:val="28"/>
                <w:szCs w:val="28"/>
              </w:rPr>
              <w:t>设备配置不齐，性能低下的得1分。</w:t>
            </w:r>
          </w:p>
          <w:p>
            <w:pPr>
              <w:spacing w:line="360" w:lineRule="exact"/>
              <w:rPr>
                <w:rFonts w:ascii="仿宋" w:hAnsi="仿宋" w:eastAsia="仿宋" w:cs="仿宋"/>
                <w:sz w:val="28"/>
                <w:szCs w:val="28"/>
              </w:rPr>
            </w:pPr>
            <w:r>
              <w:rPr>
                <w:rFonts w:hint="eastAsia" w:ascii="仿宋" w:hAnsi="仿宋" w:eastAsia="仿宋" w:cs="仿宋"/>
                <w:sz w:val="28"/>
                <w:szCs w:val="28"/>
              </w:rPr>
              <w:t>（注：设备必须是投标人自有，不是自有不得分，最高得5分。提供设备型号、实物图片、购买发票扫描件，否则不得分。）</w:t>
            </w:r>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rPr>
            </w:pPr>
            <w:r>
              <w:rPr>
                <w:rFonts w:hint="eastAsia" w:ascii="仿宋" w:hAnsi="仿宋" w:eastAsia="仿宋" w:cs="仿宋"/>
                <w:sz w:val="28"/>
                <w:szCs w:val="28"/>
              </w:rPr>
              <w:t>5分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117"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iCs/>
                <w:sz w:val="28"/>
                <w:szCs w:val="28"/>
              </w:rPr>
            </w:pPr>
            <w:r>
              <w:rPr>
                <w:rFonts w:hint="eastAsia" w:ascii="仿宋" w:hAnsi="仿宋" w:eastAsia="仿宋" w:cs="仿宋"/>
                <w:sz w:val="28"/>
                <w:szCs w:val="28"/>
              </w:rPr>
              <w:t>档案保管方案</w:t>
            </w:r>
          </w:p>
        </w:tc>
        <w:tc>
          <w:tcPr>
            <w:tcW w:w="7330"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 w:hAnsi="仿宋" w:eastAsia="仿宋" w:cs="仿宋"/>
                <w:sz w:val="28"/>
                <w:szCs w:val="28"/>
              </w:rPr>
            </w:pPr>
            <w:r>
              <w:rPr>
                <w:rFonts w:hint="eastAsia" w:ascii="仿宋" w:hAnsi="仿宋" w:eastAsia="仿宋" w:cs="仿宋"/>
                <w:sz w:val="28"/>
                <w:szCs w:val="28"/>
              </w:rPr>
              <w:t>各投标人对物业管理项目实施过程中的档案资料的保管方案。评委根据方案的完整性、合理性、科学性进行评分。</w:t>
            </w:r>
          </w:p>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档案保管方案完整、合理、科学的，得2分；</w:t>
            </w:r>
          </w:p>
          <w:p>
            <w:pPr>
              <w:pStyle w:val="307"/>
              <w:adjustRightInd/>
              <w:spacing w:line="360" w:lineRule="exact"/>
              <w:rPr>
                <w:rFonts w:ascii="仿宋" w:hAnsi="仿宋" w:eastAsia="仿宋" w:cs="仿宋"/>
                <w:sz w:val="28"/>
                <w:szCs w:val="28"/>
              </w:rPr>
            </w:pPr>
            <w:r>
              <w:rPr>
                <w:rFonts w:hint="eastAsia" w:ascii="仿宋" w:hAnsi="仿宋" w:eastAsia="仿宋" w:cs="仿宋"/>
                <w:sz w:val="28"/>
                <w:szCs w:val="28"/>
              </w:rPr>
              <w:t>档案保管方案不够完整、合理、科学的，得1分。无方案不得分</w:t>
            </w:r>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rPr>
            </w:pPr>
            <w:r>
              <w:rPr>
                <w:rFonts w:hint="eastAsia" w:ascii="仿宋" w:hAnsi="仿宋" w:eastAsia="仿宋" w:cs="仿宋"/>
                <w:sz w:val="28"/>
                <w:szCs w:val="28"/>
              </w:rPr>
              <w:t>2分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117"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pStyle w:val="298"/>
              <w:autoSpaceDE/>
              <w:autoSpaceDN/>
              <w:spacing w:line="360" w:lineRule="exact"/>
              <w:ind w:left="0"/>
              <w:jc w:val="center"/>
              <w:rPr>
                <w:rFonts w:ascii="仿宋" w:hAnsi="仿宋" w:eastAsia="仿宋" w:cs="仿宋"/>
                <w:kern w:val="2"/>
                <w:sz w:val="28"/>
                <w:szCs w:val="28"/>
                <w:lang w:val="en-US" w:bidi="ar-SA"/>
              </w:rPr>
            </w:pPr>
            <w:r>
              <w:rPr>
                <w:rFonts w:hint="eastAsia" w:ascii="仿宋" w:hAnsi="仿宋" w:eastAsia="仿宋" w:cs="仿宋"/>
                <w:kern w:val="2"/>
                <w:sz w:val="28"/>
                <w:szCs w:val="28"/>
                <w:lang w:val="en-US" w:bidi="ar-SA"/>
              </w:rPr>
              <w:t>突发预案</w:t>
            </w:r>
          </w:p>
        </w:tc>
        <w:tc>
          <w:tcPr>
            <w:tcW w:w="7330"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 w:hAnsi="仿宋" w:eastAsia="仿宋" w:cs="仿宋"/>
                <w:sz w:val="28"/>
                <w:szCs w:val="28"/>
              </w:rPr>
            </w:pPr>
            <w:r>
              <w:rPr>
                <w:rFonts w:hint="eastAsia" w:ascii="仿宋" w:hAnsi="仿宋" w:eastAsia="仿宋" w:cs="仿宋"/>
                <w:sz w:val="28"/>
                <w:szCs w:val="28"/>
              </w:rPr>
              <w:t>投标人提供的服务方案中包含有大型会议接待、台风、暴雨、雪灾、防雷等灾害性天气应急处置、**防范、办公区域人员紧急疏散、盗窃事件、斗殴等暴力事件、消防应急、地震灾害、防火应急、环境卫生应急预案，并有突发事故处理和破坏性事故处理工作流程图，突发预案合理、可行的得5分；综合方案欠合理、可行的得3分；突发预案不合理、可行的得1分，无突发预案不得分。</w:t>
            </w:r>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rPr>
            </w:pPr>
            <w:r>
              <w:rPr>
                <w:rFonts w:hint="eastAsia" w:ascii="仿宋" w:hAnsi="仿宋" w:eastAsia="仿宋" w:cs="仿宋"/>
                <w:sz w:val="28"/>
                <w:szCs w:val="28"/>
              </w:rPr>
              <w:t>5分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90"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bCs/>
                <w:iCs/>
                <w:sz w:val="28"/>
                <w:szCs w:val="28"/>
              </w:rPr>
            </w:pPr>
            <w:r>
              <w:rPr>
                <w:rFonts w:hint="eastAsia" w:ascii="仿宋" w:hAnsi="仿宋" w:eastAsia="仿宋" w:cs="仿宋"/>
                <w:sz w:val="28"/>
                <w:szCs w:val="28"/>
                <w:lang w:val="zh-CN" w:bidi="zh-CN"/>
              </w:rPr>
              <w:t>服务质量承诺</w:t>
            </w:r>
          </w:p>
        </w:tc>
        <w:tc>
          <w:tcPr>
            <w:tcW w:w="7330" w:type="dxa"/>
            <w:tcBorders>
              <w:top w:val="single" w:color="auto" w:sz="4" w:space="0"/>
              <w:left w:val="single" w:color="auto" w:sz="4" w:space="0"/>
              <w:bottom w:val="single" w:color="auto" w:sz="4" w:space="0"/>
              <w:right w:val="single" w:color="auto" w:sz="4" w:space="0"/>
            </w:tcBorders>
            <w:vAlign w:val="center"/>
          </w:tcPr>
          <w:p>
            <w:pPr>
              <w:spacing w:line="360" w:lineRule="exact"/>
              <w:rPr>
                <w:rFonts w:hint="eastAsia" w:ascii="仿宋" w:hAnsi="仿宋" w:eastAsia="仿宋_GB2312" w:cs="仿宋"/>
                <w:b/>
                <w:iCs/>
                <w:sz w:val="28"/>
                <w:szCs w:val="28"/>
                <w:lang w:val="en-US" w:eastAsia="zh-CN"/>
              </w:rPr>
            </w:pPr>
            <w:bookmarkStart w:id="53" w:name="_GoBack"/>
            <w:r>
              <w:rPr>
                <w:rFonts w:hint="eastAsia" w:ascii="仿宋" w:hAnsi="仿宋" w:eastAsia="仿宋" w:cs="仿宋"/>
                <w:sz w:val="28"/>
                <w:szCs w:val="28"/>
                <w:lang w:val="zh-CN" w:bidi="zh-CN"/>
              </w:rPr>
              <w:t>根据服务</w:t>
            </w:r>
            <w:r>
              <w:rPr>
                <w:rFonts w:hint="eastAsia" w:ascii="仿宋" w:hAnsi="仿宋" w:eastAsia="仿宋" w:cs="仿宋"/>
                <w:sz w:val="28"/>
                <w:szCs w:val="28"/>
                <w:lang w:val="en-US" w:bidi="zh-CN"/>
              </w:rPr>
              <w:t>要求和目标制定</w:t>
            </w:r>
            <w:r>
              <w:rPr>
                <w:rFonts w:hint="eastAsia" w:ascii="仿宋" w:hAnsi="仿宋" w:eastAsia="仿宋" w:cs="仿宋"/>
                <w:sz w:val="28"/>
                <w:szCs w:val="28"/>
                <w:lang w:val="zh-CN" w:bidi="zh-CN"/>
              </w:rPr>
              <w:t>质量管理保证措施及服务承诺。措施、承诺具体可行、内容完善的，</w:t>
            </w:r>
            <w:r>
              <w:rPr>
                <w:rFonts w:hint="eastAsia" w:ascii="仿宋" w:hAnsi="仿宋" w:eastAsia="仿宋" w:cs="仿宋"/>
                <w:sz w:val="28"/>
                <w:szCs w:val="28"/>
                <w:lang w:bidi="zh-CN"/>
              </w:rPr>
              <w:t>5</w:t>
            </w:r>
            <w:r>
              <w:rPr>
                <w:rFonts w:hint="eastAsia" w:ascii="仿宋" w:hAnsi="仿宋" w:eastAsia="仿宋" w:cs="仿宋"/>
                <w:sz w:val="28"/>
                <w:szCs w:val="28"/>
                <w:lang w:val="zh-CN" w:bidi="zh-CN"/>
              </w:rPr>
              <w:t>分；措施、承诺一般，有缺漏的，</w:t>
            </w:r>
            <w:r>
              <w:rPr>
                <w:rFonts w:hint="eastAsia" w:ascii="仿宋" w:hAnsi="仿宋" w:eastAsia="仿宋" w:cs="仿宋"/>
                <w:sz w:val="28"/>
                <w:szCs w:val="28"/>
                <w:lang w:bidi="zh-CN"/>
              </w:rPr>
              <w:t>3</w:t>
            </w:r>
            <w:r>
              <w:rPr>
                <w:rFonts w:hint="eastAsia" w:ascii="仿宋" w:hAnsi="仿宋" w:eastAsia="仿宋" w:cs="仿宋"/>
                <w:sz w:val="28"/>
                <w:szCs w:val="28"/>
                <w:lang w:val="zh-CN" w:bidi="zh-CN"/>
              </w:rPr>
              <w:t>分；措施、承诺不可行、有严重缺漏的，</w:t>
            </w:r>
            <w:r>
              <w:rPr>
                <w:rFonts w:hint="eastAsia" w:ascii="仿宋" w:hAnsi="仿宋" w:eastAsia="仿宋" w:cs="仿宋"/>
                <w:sz w:val="28"/>
                <w:szCs w:val="28"/>
                <w:lang w:bidi="zh-CN"/>
              </w:rPr>
              <w:t>1</w:t>
            </w:r>
            <w:r>
              <w:rPr>
                <w:rFonts w:hint="eastAsia" w:ascii="仿宋" w:hAnsi="仿宋" w:eastAsia="仿宋" w:cs="仿宋"/>
                <w:sz w:val="28"/>
                <w:szCs w:val="28"/>
                <w:lang w:val="zh-CN" w:bidi="zh-CN"/>
              </w:rPr>
              <w:t>分。</w:t>
            </w:r>
            <w:r>
              <w:rPr>
                <w:rFonts w:hint="eastAsia" w:ascii="仿宋" w:hAnsi="仿宋" w:eastAsia="仿宋" w:cs="仿宋"/>
                <w:sz w:val="28"/>
                <w:szCs w:val="28"/>
                <w:lang w:bidi="zh-CN"/>
              </w:rPr>
              <w:t>无承诺不得分。</w:t>
            </w:r>
            <w:bookmarkEnd w:id="53"/>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rPr>
            </w:pPr>
            <w:r>
              <w:rPr>
                <w:rFonts w:hint="eastAsia" w:ascii="仿宋" w:hAnsi="仿宋" w:eastAsia="仿宋" w:cs="仿宋"/>
                <w:sz w:val="28"/>
                <w:szCs w:val="28"/>
                <w:lang w:bidi="zh-CN"/>
              </w:rPr>
              <w:t>5</w:t>
            </w:r>
            <w:r>
              <w:rPr>
                <w:rFonts w:hint="eastAsia" w:ascii="仿宋" w:hAnsi="仿宋" w:eastAsia="仿宋" w:cs="仿宋"/>
                <w:sz w:val="28"/>
                <w:szCs w:val="28"/>
                <w:lang w:val="zh-CN" w:bidi="zh-CN"/>
              </w:rPr>
              <w:t>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15" w:type="dxa"/>
            <w:left w:w="15" w:type="dxa"/>
            <w:bottom w:w="15" w:type="dxa"/>
            <w:right w:w="15" w:type="dxa"/>
          </w:tblCellMar>
        </w:tblPrEx>
        <w:trPr>
          <w:trHeight w:val="140" w:hRule="atLeast"/>
          <w:jc w:val="center"/>
        </w:trPr>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lang w:val="zh-CN" w:bidi="zh-CN"/>
              </w:rPr>
            </w:pPr>
            <w:r>
              <w:rPr>
                <w:rFonts w:hint="eastAsia" w:ascii="仿宋" w:hAnsi="仿宋" w:eastAsia="仿宋" w:cs="仿宋"/>
                <w:sz w:val="28"/>
                <w:szCs w:val="28"/>
                <w:lang w:val="zh-CN" w:bidi="zh-CN"/>
              </w:rPr>
              <w:t>各类建设及方案</w:t>
            </w:r>
          </w:p>
        </w:tc>
        <w:tc>
          <w:tcPr>
            <w:tcW w:w="7330"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 w:hAnsi="仿宋" w:eastAsia="仿宋" w:cs="仿宋"/>
                <w:sz w:val="28"/>
                <w:szCs w:val="28"/>
              </w:rPr>
            </w:pPr>
            <w:r>
              <w:rPr>
                <w:rFonts w:hint="eastAsia" w:ascii="仿宋" w:hAnsi="仿宋" w:eastAsia="仿宋" w:cs="仿宋"/>
                <w:sz w:val="28"/>
                <w:szCs w:val="28"/>
              </w:rPr>
              <w:t>节约型机关、文明大院、智能后勤创建设想、措施和特色专项方案。无建设方案不得分</w:t>
            </w:r>
          </w:p>
          <w:p>
            <w:pPr>
              <w:pStyle w:val="307"/>
              <w:adjustRightInd/>
              <w:spacing w:line="360" w:lineRule="exact"/>
              <w:rPr>
                <w:rFonts w:ascii="仿宋" w:hAnsi="仿宋" w:eastAsia="仿宋" w:cs="仿宋"/>
                <w:sz w:val="28"/>
                <w:szCs w:val="28"/>
              </w:rPr>
            </w:pPr>
            <w:r>
              <w:rPr>
                <w:rFonts w:hint="eastAsia" w:ascii="仿宋" w:hAnsi="仿宋" w:eastAsia="仿宋" w:cs="仿宋"/>
                <w:snapToGrid w:val="0"/>
                <w:sz w:val="28"/>
                <w:szCs w:val="28"/>
              </w:rPr>
              <w:t>设想、措施和特色专项方案合理、针对性强的，得5分；设想、措施和特色专项方案欠合理的、有针对性的，得3分；设想、措施和特色专项方案不合理的、不具备针对性的，得1分。</w:t>
            </w:r>
          </w:p>
        </w:tc>
        <w:tc>
          <w:tcPr>
            <w:tcW w:w="81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仿宋" w:hAnsi="仿宋" w:eastAsia="仿宋" w:cs="仿宋"/>
                <w:sz w:val="28"/>
                <w:szCs w:val="28"/>
                <w:lang w:bidi="zh-CN"/>
              </w:rPr>
            </w:pPr>
            <w:r>
              <w:rPr>
                <w:rFonts w:hint="eastAsia" w:ascii="仿宋" w:hAnsi="仿宋" w:eastAsia="仿宋" w:cs="仿宋"/>
                <w:sz w:val="28"/>
                <w:szCs w:val="28"/>
                <w:lang w:bidi="zh-CN"/>
              </w:rPr>
              <w:t>5分</w:t>
            </w:r>
          </w:p>
        </w:tc>
      </w:tr>
    </w:tbl>
    <w:p/>
    <w:p>
      <w:pPr>
        <w:autoSpaceDE w:val="0"/>
        <w:autoSpaceDN w:val="0"/>
        <w:adjustRightInd w:val="0"/>
        <w:snapToGrid w:val="0"/>
        <w:spacing w:line="500" w:lineRule="exact"/>
        <w:ind w:left="425"/>
        <w:rPr>
          <w:rFonts w:ascii="仿宋_GB2312" w:eastAsia="仿宋_GB2312" w:cs="宋体"/>
          <w:b/>
          <w:bCs/>
          <w:sz w:val="28"/>
          <w:szCs w:val="28"/>
          <w:lang w:val="zh-CN"/>
        </w:rPr>
      </w:pPr>
      <w:r>
        <w:rPr>
          <w:rFonts w:hint="eastAsia" w:ascii="仿宋_GB2312" w:eastAsia="仿宋_GB2312" w:cs="宋体"/>
          <w:b/>
          <w:bCs/>
          <w:sz w:val="28"/>
          <w:szCs w:val="28"/>
          <w:lang w:val="zh-CN"/>
        </w:rPr>
        <w:t>五、开评标程序</w:t>
      </w:r>
      <w:bookmarkEnd w:id="52"/>
    </w:p>
    <w:p>
      <w:pPr>
        <w:autoSpaceDE w:val="0"/>
        <w:autoSpaceDN w:val="0"/>
        <w:adjustRightInd w:val="0"/>
        <w:snapToGrid w:val="0"/>
        <w:spacing w:line="420" w:lineRule="exact"/>
        <w:ind w:firstLine="560" w:firstLineChars="200"/>
        <w:rPr>
          <w:rFonts w:ascii="仿宋_GB2312" w:hAnsi="Times New Roman" w:eastAsia="仿宋_GB2312" w:cs="宋体"/>
          <w:b/>
          <w:bCs/>
          <w:color w:val="000000"/>
          <w:sz w:val="28"/>
          <w:szCs w:val="28"/>
          <w:lang w:val="zh-CN"/>
        </w:rPr>
      </w:pPr>
      <w:r>
        <w:rPr>
          <w:rFonts w:hint="eastAsia" w:ascii="仿宋_GB2312" w:hAnsi="Times New Roman" w:eastAsia="仿宋_GB2312"/>
          <w:color w:val="000000"/>
          <w:sz w:val="28"/>
          <w:szCs w:val="28"/>
        </w:rPr>
        <w:t>7.主持人宣布投标截止时间，截止时间以国家授时中心标准时间为准，宣布招标会议开始；</w:t>
      </w:r>
    </w:p>
    <w:p>
      <w:pPr>
        <w:autoSpaceDE w:val="0"/>
        <w:autoSpaceDN w:val="0"/>
        <w:adjustRightInd w:val="0"/>
        <w:snapToGrid w:val="0"/>
        <w:spacing w:line="420" w:lineRule="exact"/>
        <w:ind w:firstLine="560" w:firstLineChars="200"/>
        <w:rPr>
          <w:rFonts w:ascii="仿宋_GB2312" w:hAnsi="Times New Roman" w:eastAsia="仿宋_GB2312"/>
          <w:color w:val="000000"/>
          <w:sz w:val="28"/>
          <w:szCs w:val="28"/>
        </w:rPr>
      </w:pPr>
      <w:r>
        <w:rPr>
          <w:rFonts w:hint="eastAsia" w:ascii="仿宋_GB2312" w:hAnsi="Times New Roman" w:eastAsia="仿宋_GB2312"/>
          <w:color w:val="000000"/>
          <w:sz w:val="28"/>
          <w:szCs w:val="28"/>
        </w:rPr>
        <w:t>8.工作人员通过政采云系统下发投标文件解密通知。</w:t>
      </w:r>
    </w:p>
    <w:p>
      <w:pPr>
        <w:autoSpaceDE w:val="0"/>
        <w:autoSpaceDN w:val="0"/>
        <w:adjustRightInd w:val="0"/>
        <w:snapToGrid w:val="0"/>
        <w:spacing w:line="420" w:lineRule="exact"/>
        <w:ind w:firstLine="560" w:firstLineChars="200"/>
        <w:rPr>
          <w:rFonts w:ascii="仿宋_GB2312" w:hAnsi="Times New Roman" w:eastAsia="仿宋_GB2312"/>
          <w:color w:val="000000"/>
          <w:sz w:val="28"/>
          <w:szCs w:val="28"/>
        </w:rPr>
      </w:pPr>
      <w:r>
        <w:rPr>
          <w:rFonts w:hint="eastAsia" w:ascii="仿宋_GB2312" w:hAnsi="Times New Roman" w:eastAsia="仿宋_GB2312"/>
          <w:color w:val="000000"/>
          <w:sz w:val="28"/>
          <w:szCs w:val="28"/>
        </w:rPr>
        <w:t>9.电子投标开标及评审程序；</w:t>
      </w:r>
    </w:p>
    <w:p>
      <w:pPr>
        <w:autoSpaceDE w:val="0"/>
        <w:autoSpaceDN w:val="0"/>
        <w:adjustRightInd w:val="0"/>
        <w:snapToGrid w:val="0"/>
        <w:spacing w:line="420" w:lineRule="exact"/>
        <w:ind w:firstLine="560" w:firstLineChars="200"/>
        <w:rPr>
          <w:rFonts w:ascii="仿宋_GB2312" w:hAnsi="Times New Roman" w:eastAsia="仿宋_GB2312"/>
          <w:color w:val="000000"/>
          <w:sz w:val="28"/>
          <w:szCs w:val="28"/>
        </w:rPr>
      </w:pPr>
      <w:r>
        <w:rPr>
          <w:rFonts w:hint="eastAsia" w:ascii="仿宋_GB2312" w:hAnsi="Times New Roman" w:eastAsia="仿宋_GB2312"/>
          <w:color w:val="000000"/>
          <w:sz w:val="28"/>
          <w:szCs w:val="28"/>
        </w:rPr>
        <w:t>（1）投标截止时间后，投标人登录政采云平台，用“项目采购-开标评标”功能对电子投标文件进行在线解密。在线解密电子投标文件时间为开标时间起半个小时内。</w:t>
      </w:r>
    </w:p>
    <w:p>
      <w:pPr>
        <w:autoSpaceDE w:val="0"/>
        <w:autoSpaceDN w:val="0"/>
        <w:adjustRightInd w:val="0"/>
        <w:snapToGrid w:val="0"/>
        <w:spacing w:line="420" w:lineRule="exact"/>
        <w:ind w:firstLine="560" w:firstLineChars="200"/>
        <w:rPr>
          <w:rFonts w:ascii="仿宋_GB2312" w:hAnsi="Times New Roman" w:eastAsia="仿宋_GB2312"/>
          <w:color w:val="000000"/>
          <w:sz w:val="28"/>
          <w:szCs w:val="28"/>
        </w:rPr>
      </w:pPr>
      <w:r>
        <w:rPr>
          <w:rFonts w:hint="eastAsia" w:ascii="仿宋_GB2312" w:hAnsi="Times New Roman" w:eastAsia="仿宋_GB2312"/>
          <w:color w:val="000000"/>
          <w:sz w:val="28"/>
          <w:szCs w:val="28"/>
        </w:rPr>
        <w:t>（2）由采购人代表对资格审查文件进行评审，评标委员会对技术商务文件、报价文件进行评审；</w:t>
      </w:r>
    </w:p>
    <w:p>
      <w:pPr>
        <w:autoSpaceDE w:val="0"/>
        <w:autoSpaceDN w:val="0"/>
        <w:adjustRightInd w:val="0"/>
        <w:snapToGrid w:val="0"/>
        <w:spacing w:line="420" w:lineRule="exact"/>
        <w:ind w:firstLine="560" w:firstLineChars="200"/>
        <w:rPr>
          <w:rFonts w:ascii="仿宋_GB2312" w:hAnsi="Times New Roman" w:eastAsia="仿宋_GB2312"/>
          <w:color w:val="000000"/>
          <w:sz w:val="28"/>
          <w:szCs w:val="28"/>
        </w:rPr>
      </w:pPr>
      <w:r>
        <w:rPr>
          <w:rFonts w:hint="eastAsia" w:ascii="仿宋_GB2312" w:hAnsi="Times New Roman" w:eastAsia="仿宋_GB2312"/>
          <w:color w:val="000000"/>
          <w:sz w:val="28"/>
          <w:szCs w:val="28"/>
        </w:rPr>
        <w:t>（3）在系统上公布评审结果。</w:t>
      </w:r>
    </w:p>
    <w:p>
      <w:pPr>
        <w:autoSpaceDE w:val="0"/>
        <w:autoSpaceDN w:val="0"/>
        <w:adjustRightInd w:val="0"/>
        <w:snapToGrid w:val="0"/>
        <w:spacing w:line="420" w:lineRule="exact"/>
        <w:ind w:firstLine="560" w:firstLineChars="200"/>
        <w:rPr>
          <w:rFonts w:ascii="仿宋_GB2312" w:hAnsi="Times New Roman" w:eastAsia="仿宋_GB2312"/>
          <w:color w:val="000000"/>
          <w:sz w:val="28"/>
          <w:szCs w:val="28"/>
        </w:rPr>
      </w:pPr>
      <w:r>
        <w:rPr>
          <w:rFonts w:hint="eastAsia" w:ascii="仿宋_GB2312" w:hAnsi="Times New Roman" w:eastAsia="仿宋_GB2312"/>
          <w:color w:val="000000"/>
          <w:sz w:val="28"/>
          <w:szCs w:val="28"/>
        </w:rPr>
        <w:t>特别说明：政采云公司如对电子化开标及评审程序有调整的，按调整后的程序操作。</w:t>
      </w:r>
    </w:p>
    <w:p>
      <w:pPr>
        <w:autoSpaceDE w:val="0"/>
        <w:autoSpaceDN w:val="0"/>
        <w:adjustRightInd w:val="0"/>
        <w:snapToGrid w:val="0"/>
        <w:spacing w:line="420" w:lineRule="exact"/>
        <w:ind w:firstLine="560" w:firstLineChars="200"/>
        <w:rPr>
          <w:sz w:val="28"/>
          <w:szCs w:val="28"/>
        </w:rPr>
      </w:pPr>
      <w:r>
        <w:rPr>
          <w:rFonts w:hint="eastAsia" w:ascii="仿宋_GB2312" w:hAnsi="Times New Roman" w:eastAsia="仿宋_GB2312"/>
          <w:color w:val="000000"/>
          <w:sz w:val="28"/>
          <w:szCs w:val="28"/>
        </w:rPr>
        <w:t>10.开标会结束。</w:t>
      </w:r>
    </w:p>
    <w:sectPr>
      <w:pgSz w:w="11906" w:h="16838"/>
      <w:pgMar w:top="1389" w:right="1247" w:bottom="1389" w:left="1247" w:header="851" w:footer="992" w:gutter="284"/>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Arial (W1)">
    <w:altName w:val="Arial"/>
    <w:panose1 w:val="00000000000000000000"/>
    <w:charset w:val="00"/>
    <w:family w:val="swiss"/>
    <w:pitch w:val="default"/>
    <w:sig w:usb0="00000000" w:usb1="00000000" w:usb2="00000008" w:usb3="00000000" w:csb0="0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仿宋_GB2312">
    <w:panose1 w:val="02010609030101010101"/>
    <w:charset w:val="86"/>
    <w:family w:val="modern"/>
    <w:pitch w:val="default"/>
    <w:sig w:usb0="00000001" w:usb1="080E0000" w:usb2="00000000" w:usb3="00000000" w:csb0="00040000" w:csb1="00000000"/>
  </w:font>
  <w:font w:name="KaiTi_GB2312">
    <w:altName w:val="Segoe Print"/>
    <w:panose1 w:val="02010609060101010101"/>
    <w:charset w:val="00"/>
    <w:family w:val="roman"/>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Courier New">
    <w:panose1 w:val="02070309020205020404"/>
    <w:charset w:val="00"/>
    <w:family w:val="modern"/>
    <w:pitch w:val="default"/>
    <w:sig w:usb0="E0002EFF" w:usb1="C0007843" w:usb2="00000009" w:usb3="00000000" w:csb0="400001FF" w:csb1="FFFF0000"/>
  </w:font>
  <w:font w:name="隶书">
    <w:altName w:val="微软雅黑"/>
    <w:panose1 w:val="02010509060101010101"/>
    <w:charset w:val="86"/>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FuturaA Bk BT">
    <w:altName w:val="Arial"/>
    <w:panose1 w:val="00000000000000000000"/>
    <w:charset w:val="00"/>
    <w:family w:val="swiss"/>
    <w:pitch w:val="default"/>
    <w:sig w:usb0="00000000" w:usb1="00000000" w:usb2="00000000" w:usb3="00000000" w:csb0="0000001B" w:csb1="00000000"/>
  </w:font>
  <w:font w:name="Univers">
    <w:altName w:val="Arial"/>
    <w:panose1 w:val="00000000000000000000"/>
    <w:charset w:val="00"/>
    <w:family w:val="swiss"/>
    <w:pitch w:val="default"/>
    <w:sig w:usb0="00000000" w:usb1="00000000" w:usb2="00000000" w:usb3="00000000" w:csb0="00000001" w:csb1="00000000"/>
  </w:font>
  <w:font w:name="Book Antiqua">
    <w:altName w:val="Segoe Print"/>
    <w:panose1 w:val="02040602050305030304"/>
    <w:charset w:val="00"/>
    <w:family w:val="roman"/>
    <w:pitch w:val="default"/>
    <w:sig w:usb0="00000000" w:usb1="00000000" w:usb2="00000000" w:usb3="00000000" w:csb0="0000009F" w:csb1="00000000"/>
  </w:font>
  <w:font w:name="Garamond">
    <w:altName w:val="PMingLiU-ExtB"/>
    <w:panose1 w:val="02020404030301010803"/>
    <w:charset w:val="00"/>
    <w:family w:val="roman"/>
    <w:pitch w:val="default"/>
    <w:sig w:usb0="00000000" w:usb1="00000000" w:usb2="00000000" w:usb3="00000000" w:csb0="0000009F" w:csb1="00000000"/>
  </w:font>
  <w:font w:name="Arial Unicode MS">
    <w:altName w:val="宋体"/>
    <w:panose1 w:val="020B0604020202020204"/>
    <w:charset w:val="86"/>
    <w:family w:val="swiss"/>
    <w:pitch w:val="default"/>
    <w:sig w:usb0="00000000" w:usb1="00000000" w:usb2="0000003F" w:usb3="00000000" w:csb0="003F01F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等线 Light">
    <w:panose1 w:val="02010600030101010101"/>
    <w:charset w:val="86"/>
    <w:family w:val="roman"/>
    <w:pitch w:val="default"/>
    <w:sig w:usb0="A00002BF" w:usb1="38CF7CFA" w:usb2="00000016" w:usb3="00000000" w:csb0="0004000F" w:csb1="00000000"/>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ヒラギノ角ゴ Pro W3">
    <w:altName w:val="MS Gothic"/>
    <w:panose1 w:val="00000000000000000000"/>
    <w:charset w:val="00"/>
    <w:family w:val="auto"/>
    <w:pitch w:val="default"/>
    <w:sig w:usb0="00000000" w:usb1="00000000" w:usb2="00000012" w:usb3="00000000" w:csb0="0002000D" w:csb1="00000000"/>
  </w:font>
  <w:font w:name="MS Gothic">
    <w:panose1 w:val="020B0609070205080204"/>
    <w:charset w:val="80"/>
    <w:family w:val="auto"/>
    <w:pitch w:val="default"/>
    <w:sig w:usb0="E00002FF" w:usb1="6AC7FDFB" w:usb2="08000012" w:usb3="00000000" w:csb0="4002009F" w:csb1="DFD70000"/>
  </w:font>
  <w:font w:name="helvetica neue">
    <w:altName w:val="微软雅黑"/>
    <w:panose1 w:val="00000000000000000000"/>
    <w:charset w:val="00"/>
    <w:family w:val="auto"/>
    <w:pitch w:val="default"/>
    <w:sig w:usb0="00000000" w:usb1="00000000" w:usb2="00000000" w:usb3="00000000" w:csb0="00040001" w:csb1="00000000"/>
  </w:font>
  <w:font w:name="华文仿宋">
    <w:altName w:val="仿宋"/>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Style w:val="63"/>
      </w:rPr>
    </w:pPr>
    <w:r>
      <w:rPr>
        <w:rFonts w:hint="eastAsia"/>
      </w:rPr>
      <w:t>第</w:t>
    </w:r>
    <w:r>
      <w:fldChar w:fldCharType="begin"/>
    </w:r>
    <w:r>
      <w:rPr>
        <w:rStyle w:val="63"/>
      </w:rPr>
      <w:instrText xml:space="preserve"> PAGE </w:instrText>
    </w:r>
    <w:r>
      <w:fldChar w:fldCharType="separate"/>
    </w:r>
    <w:r>
      <w:rPr>
        <w:rStyle w:val="63"/>
      </w:rPr>
      <w:t>67</w:t>
    </w:r>
    <w:r>
      <w:fldChar w:fldCharType="end"/>
    </w:r>
    <w:r>
      <w:rPr>
        <w:rStyle w:val="63"/>
        <w:rFonts w:hint="eastAsia"/>
      </w:rPr>
      <w:t>页 共</w:t>
    </w:r>
    <w:r>
      <w:fldChar w:fldCharType="begin"/>
    </w:r>
    <w:r>
      <w:rPr>
        <w:rStyle w:val="63"/>
      </w:rPr>
      <w:instrText xml:space="preserve"> NUMPAGES </w:instrText>
    </w:r>
    <w:r>
      <w:fldChar w:fldCharType="separate"/>
    </w:r>
    <w:r>
      <w:rPr>
        <w:rStyle w:val="63"/>
      </w:rPr>
      <w:t>67</w:t>
    </w:r>
    <w:r>
      <w:fldChar w:fldCharType="end"/>
    </w:r>
    <w:r>
      <w:rPr>
        <w:rStyle w:val="63"/>
        <w:rFonts w:hint="eastAsia"/>
      </w:rPr>
      <w:t>页</w:t>
    </w:r>
  </w:p>
  <w:p>
    <w:pPr>
      <w:pStyle w:val="42"/>
      <w:pBdr>
        <w:top w:val="single" w:color="auto" w:sz="4" w:space="1"/>
      </w:pBdr>
      <w:jc w:val="center"/>
    </w:pPr>
    <w:r>
      <w:rPr>
        <w:rFonts w:hint="eastAsia"/>
      </w:rPr>
      <w:t xml:space="preserve">衢州市衢江区政府采购中心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top w:val="none" w:color="auto" w:sz="0" w:space="0"/>
        <w:left w:val="none" w:color="auto" w:sz="0" w:space="0"/>
        <w:bottom w:val="single" w:color="auto" w:sz="4" w:space="1"/>
        <w:right w:val="none" w:color="auto" w:sz="0" w:space="0"/>
      </w:pBdr>
      <w:jc w:val="center"/>
    </w:pPr>
    <w:r>
      <w:rPr>
        <w:rFonts w:hint="eastAsia"/>
        <w:szCs w:val="22"/>
      </w:rPr>
      <w:t>衢江区人民法院物业管理服务项目公</w:t>
    </w:r>
    <w:r>
      <w:rPr>
        <w:rFonts w:hint="eastAsia"/>
      </w:rPr>
      <w:t>开招标采购文件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793C8F"/>
    <w:multiLevelType w:val="singleLevel"/>
    <w:tmpl w:val="99793C8F"/>
    <w:lvl w:ilvl="0" w:tentative="0">
      <w:start w:val="22"/>
      <w:numFmt w:val="decimal"/>
      <w:suff w:val="nothing"/>
      <w:lvlText w:val="%1．"/>
      <w:lvlJc w:val="left"/>
      <w:pPr>
        <w:tabs>
          <w:tab w:val="left" w:pos="0"/>
        </w:tabs>
        <w:ind w:left="82" w:firstLine="315"/>
      </w:pPr>
      <w:rPr>
        <w:rFonts w:hint="default" w:ascii="宋体" w:hAnsi="宋体" w:eastAsia="宋体" w:cs="宋体"/>
      </w:rPr>
    </w:lvl>
  </w:abstractNum>
  <w:abstractNum w:abstractNumId="1">
    <w:nsid w:val="EAB1BC96"/>
    <w:multiLevelType w:val="singleLevel"/>
    <w:tmpl w:val="EAB1BC96"/>
    <w:lvl w:ilvl="0" w:tentative="0">
      <w:start w:val="1"/>
      <w:numFmt w:val="decimal"/>
      <w:lvlText w:val="%1."/>
      <w:lvlJc w:val="left"/>
      <w:pPr>
        <w:tabs>
          <w:tab w:val="left" w:pos="312"/>
        </w:tabs>
        <w:ind w:left="0" w:firstLine="0"/>
      </w:pPr>
    </w:lvl>
  </w:abstractNum>
  <w:abstractNum w:abstractNumId="2">
    <w:nsid w:val="FFFFFF7E"/>
    <w:multiLevelType w:val="singleLevel"/>
    <w:tmpl w:val="FFFFFF7E"/>
    <w:lvl w:ilvl="0" w:tentative="0">
      <w:start w:val="1"/>
      <w:numFmt w:val="decimal"/>
      <w:pStyle w:val="29"/>
      <w:lvlText w:val="%1."/>
      <w:lvlJc w:val="left"/>
      <w:pPr>
        <w:tabs>
          <w:tab w:val="left" w:pos="1200"/>
        </w:tabs>
        <w:ind w:left="1200" w:hanging="360"/>
      </w:pPr>
    </w:lvl>
  </w:abstractNum>
  <w:abstractNum w:abstractNumId="3">
    <w:nsid w:val="0000000A"/>
    <w:multiLevelType w:val="multilevel"/>
    <w:tmpl w:val="0000000A"/>
    <w:lvl w:ilvl="0" w:tentative="0">
      <w:start w:val="1"/>
      <w:numFmt w:val="none"/>
      <w:pStyle w:val="183"/>
      <w:suff w:val="nothing"/>
      <w:lvlText w:val="%1"/>
      <w:lvlJc w:val="left"/>
      <w:pPr>
        <w:ind w:left="0" w:firstLine="0"/>
      </w:pPr>
    </w:lvl>
    <w:lvl w:ilvl="1" w:tentative="0">
      <w:start w:val="1"/>
      <w:numFmt w:val="decimal"/>
      <w:lvlText w:val="%1%2.0"/>
      <w:lvlJc w:val="left"/>
      <w:pPr>
        <w:tabs>
          <w:tab w:val="left" w:pos="576"/>
        </w:tabs>
        <w:ind w:left="576" w:hanging="576"/>
      </w:pPr>
    </w:lvl>
    <w:lvl w:ilvl="2" w:tentative="0">
      <w:start w:val="1"/>
      <w:numFmt w:val="decimal"/>
      <w:lvlText w:val="%1%2.%3"/>
      <w:lvlJc w:val="left"/>
      <w:pPr>
        <w:tabs>
          <w:tab w:val="left" w:pos="576"/>
        </w:tabs>
        <w:ind w:left="576" w:hanging="576"/>
      </w:pPr>
    </w:lvl>
    <w:lvl w:ilvl="3" w:tentative="0">
      <w:start w:val="1"/>
      <w:numFmt w:val="lowerLetter"/>
      <w:lvlText w:val="%1%4."/>
      <w:lvlJc w:val="left"/>
      <w:pPr>
        <w:tabs>
          <w:tab w:val="left" w:pos="720"/>
        </w:tabs>
        <w:ind w:left="360" w:hanging="360"/>
      </w:pPr>
    </w:lvl>
    <w:lvl w:ilvl="4" w:tentative="0">
      <w:start w:val="1"/>
      <w:numFmt w:val="decimal"/>
      <w:lvlText w:val="%5."/>
      <w:lvlJc w:val="left"/>
      <w:pPr>
        <w:tabs>
          <w:tab w:val="left" w:pos="720"/>
        </w:tabs>
        <w:ind w:left="720" w:hanging="360"/>
      </w:pPr>
    </w:lvl>
    <w:lvl w:ilvl="5" w:tentative="0">
      <w:start w:val="1"/>
      <w:numFmt w:val="lowerLetter"/>
      <w:lvlText w:val="%1(%6)"/>
      <w:lvlJc w:val="left"/>
      <w:pPr>
        <w:tabs>
          <w:tab w:val="left" w:pos="1440"/>
        </w:tabs>
        <w:ind w:left="720" w:firstLine="0"/>
      </w:pPr>
    </w:lvl>
    <w:lvl w:ilvl="6" w:tentative="0">
      <w:start w:val="1"/>
      <w:numFmt w:val="lowerRoman"/>
      <w:lvlText w:val="(%7)"/>
      <w:lvlJc w:val="left"/>
      <w:pPr>
        <w:tabs>
          <w:tab w:val="left" w:pos="1800"/>
        </w:tabs>
        <w:ind w:left="1440" w:hanging="360"/>
      </w:pPr>
    </w:lvl>
    <w:lvl w:ilvl="7" w:tentative="0">
      <w:start w:val="1"/>
      <w:numFmt w:val="decimal"/>
      <w:lvlText w:val="(%8)"/>
      <w:lvlJc w:val="left"/>
      <w:pPr>
        <w:tabs>
          <w:tab w:val="left" w:pos="1800"/>
        </w:tabs>
        <w:ind w:left="1800" w:hanging="360"/>
      </w:pPr>
    </w:lvl>
    <w:lvl w:ilvl="8" w:tentative="0">
      <w:start w:val="1"/>
      <w:numFmt w:val="lowerRoman"/>
      <w:lvlText w:val="(%9)"/>
      <w:lvlJc w:val="left"/>
      <w:pPr>
        <w:tabs>
          <w:tab w:val="left" w:pos="2520"/>
        </w:tabs>
        <w:ind w:left="2160" w:hanging="360"/>
      </w:pPr>
    </w:lvl>
  </w:abstractNum>
  <w:abstractNum w:abstractNumId="4">
    <w:nsid w:val="0000000B"/>
    <w:multiLevelType w:val="multilevel"/>
    <w:tmpl w:val="0000000B"/>
    <w:lvl w:ilvl="0" w:tentative="0">
      <w:start w:val="1"/>
      <w:numFmt w:val="bullet"/>
      <w:pStyle w:val="24"/>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0000000E"/>
    <w:multiLevelType w:val="multilevel"/>
    <w:tmpl w:val="0000000E"/>
    <w:lvl w:ilvl="0" w:tentative="0">
      <w:start w:val="1"/>
      <w:numFmt w:val="decimal"/>
      <w:lvlText w:val="2.%1."/>
      <w:lvlJc w:val="left"/>
      <w:pPr>
        <w:ind w:left="420" w:hanging="420"/>
      </w:pPr>
      <w:rPr>
        <w:rFonts w:hint="eastAsia" w:ascii="Times New Roman" w:hAnsi="Times New Roman"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1" w:tentative="0">
      <w:start w:val="1"/>
      <w:numFmt w:val="lowerLetter"/>
      <w:lvlText w:val="%2)"/>
      <w:lvlJc w:val="left"/>
      <w:pPr>
        <w:ind w:left="840" w:hanging="420"/>
      </w:pPr>
    </w:lvl>
    <w:lvl w:ilvl="2" w:tentative="0">
      <w:start w:val="1"/>
      <w:numFmt w:val="lowerRoman"/>
      <w:pStyle w:val="247"/>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00000015"/>
    <w:multiLevelType w:val="singleLevel"/>
    <w:tmpl w:val="00000015"/>
    <w:lvl w:ilvl="0" w:tentative="0">
      <w:start w:val="1"/>
      <w:numFmt w:val="decimal"/>
      <w:pStyle w:val="228"/>
      <w:lvlText w:val="%1．"/>
      <w:lvlJc w:val="left"/>
      <w:pPr>
        <w:tabs>
          <w:tab w:val="left" w:pos="360"/>
        </w:tabs>
        <w:ind w:left="245" w:hanging="245"/>
      </w:pPr>
      <w:rPr>
        <w:rFonts w:ascii="Times New Roman" w:hAnsi="Times New Roman" w:eastAsia="Times New Roman" w:cs="Times New Roman"/>
      </w:rPr>
    </w:lvl>
  </w:abstractNum>
  <w:abstractNum w:abstractNumId="7">
    <w:nsid w:val="00000016"/>
    <w:multiLevelType w:val="multilevel"/>
    <w:tmpl w:val="00000016"/>
    <w:lvl w:ilvl="0" w:tentative="0">
      <w:start w:val="1"/>
      <w:numFmt w:val="decimal"/>
      <w:pStyle w:val="276"/>
      <w:lvlText w:val="3.%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42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00000018"/>
    <w:multiLevelType w:val="multilevel"/>
    <w:tmpl w:val="00000018"/>
    <w:lvl w:ilvl="0" w:tentative="0">
      <w:start w:val="1"/>
      <w:numFmt w:val="bullet"/>
      <w:pStyle w:val="21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9">
    <w:nsid w:val="0000001A"/>
    <w:multiLevelType w:val="multilevel"/>
    <w:tmpl w:val="0000001A"/>
    <w:lvl w:ilvl="0" w:tentative="0">
      <w:start w:val="1"/>
      <w:numFmt w:val="decimal"/>
      <w:pStyle w:val="236"/>
      <w:lvlText w:val="%1."/>
      <w:lvlJc w:val="left"/>
      <w:pPr>
        <w:tabs>
          <w:tab w:val="left" w:pos="720"/>
        </w:tabs>
        <w:ind w:left="720" w:hanging="720"/>
      </w:pPr>
      <w:rPr>
        <w:rFonts w:hint="default"/>
      </w:rPr>
    </w:lvl>
    <w:lvl w:ilvl="1" w:tentative="0">
      <w:start w:val="1"/>
      <w:numFmt w:val="decimal"/>
      <w:lvlText w:val="%2."/>
      <w:lvlJc w:val="left"/>
      <w:pPr>
        <w:tabs>
          <w:tab w:val="left" w:pos="720"/>
        </w:tabs>
        <w:ind w:left="720" w:hanging="720"/>
      </w:pPr>
      <w:rPr>
        <w:rFonts w:hint="default" w:ascii="Arial (W1)" w:hAnsi="Arial (W1)"/>
        <w:b/>
        <w:i w:val="0"/>
        <w:sz w:val="28"/>
      </w:rPr>
    </w:lvl>
    <w:lvl w:ilvl="2" w:tentative="0">
      <w:start w:val="1"/>
      <w:numFmt w:val="decimal"/>
      <w:lvlText w:val="%1.%3."/>
      <w:lvlJc w:val="left"/>
      <w:pPr>
        <w:tabs>
          <w:tab w:val="left" w:pos="720"/>
        </w:tabs>
        <w:ind w:left="720" w:hanging="720"/>
      </w:pPr>
      <w:rPr>
        <w:rFonts w:hint="default"/>
      </w:rPr>
    </w:lvl>
    <w:lvl w:ilvl="3" w:tentative="0">
      <w:start w:val="1"/>
      <w:numFmt w:val="decimal"/>
      <w:lvlText w:val="%1.%3.%4."/>
      <w:lvlJc w:val="left"/>
      <w:pPr>
        <w:tabs>
          <w:tab w:val="left" w:pos="1728"/>
        </w:tabs>
        <w:ind w:left="1728" w:hanging="648"/>
      </w:pPr>
      <w:rPr>
        <w:rFonts w:hint="default"/>
      </w:rPr>
    </w:lvl>
    <w:lvl w:ilvl="4" w:tentative="0">
      <w:start w:val="1"/>
      <w:numFmt w:val="decimal"/>
      <w:lvlText w:val="%1.%2.%3.%4.%5."/>
      <w:lvlJc w:val="left"/>
      <w:pPr>
        <w:tabs>
          <w:tab w:val="left" w:pos="2520"/>
        </w:tabs>
        <w:ind w:left="2232" w:hanging="792"/>
      </w:pPr>
      <w:rPr>
        <w:rFonts w:hint="default"/>
      </w:rPr>
    </w:lvl>
    <w:lvl w:ilvl="5" w:tentative="0">
      <w:start w:val="1"/>
      <w:numFmt w:val="decimal"/>
      <w:lvlText w:val="%1.%2.%3.%4.%5.%6."/>
      <w:lvlJc w:val="left"/>
      <w:pPr>
        <w:tabs>
          <w:tab w:val="left" w:pos="3240"/>
        </w:tabs>
        <w:ind w:left="2736" w:hanging="936"/>
      </w:pPr>
      <w:rPr>
        <w:rFonts w:hint="default"/>
      </w:rPr>
    </w:lvl>
    <w:lvl w:ilvl="6" w:tentative="0">
      <w:start w:val="1"/>
      <w:numFmt w:val="decimal"/>
      <w:lvlText w:val="%1.%2.%3.%4.%5.%6.%7."/>
      <w:lvlJc w:val="left"/>
      <w:pPr>
        <w:tabs>
          <w:tab w:val="left" w:pos="3600"/>
        </w:tabs>
        <w:ind w:left="3240" w:hanging="1080"/>
      </w:pPr>
      <w:rPr>
        <w:rFonts w:hint="default"/>
      </w:rPr>
    </w:lvl>
    <w:lvl w:ilvl="7" w:tentative="0">
      <w:start w:val="1"/>
      <w:numFmt w:val="decimal"/>
      <w:lvlText w:val="%1.%2.%3.%4.%5.%6.%7.%8."/>
      <w:lvlJc w:val="left"/>
      <w:pPr>
        <w:tabs>
          <w:tab w:val="left" w:pos="4320"/>
        </w:tabs>
        <w:ind w:left="3744" w:hanging="1224"/>
      </w:pPr>
      <w:rPr>
        <w:rFonts w:hint="default"/>
      </w:rPr>
    </w:lvl>
    <w:lvl w:ilvl="8" w:tentative="0">
      <w:start w:val="1"/>
      <w:numFmt w:val="decimal"/>
      <w:lvlText w:val="%1.%2.%3.%4.%5.%6.%7.%8.%9."/>
      <w:lvlJc w:val="left"/>
      <w:pPr>
        <w:tabs>
          <w:tab w:val="left" w:pos="5040"/>
        </w:tabs>
        <w:ind w:left="4320" w:hanging="1440"/>
      </w:pPr>
      <w:rPr>
        <w:rFonts w:hint="default"/>
      </w:rPr>
    </w:lvl>
  </w:abstractNum>
  <w:abstractNum w:abstractNumId="10">
    <w:nsid w:val="0000001B"/>
    <w:multiLevelType w:val="multilevel"/>
    <w:tmpl w:val="0000001B"/>
    <w:lvl w:ilvl="0" w:tentative="0">
      <w:start w:val="1"/>
      <w:numFmt w:val="lowerLetter"/>
      <w:lvlText w:val="%1."/>
      <w:lvlJc w:val="left"/>
      <w:pPr>
        <w:tabs>
          <w:tab w:val="left" w:pos="2304"/>
        </w:tabs>
        <w:ind w:left="2304" w:hanging="576"/>
      </w:pPr>
      <w:rPr>
        <w:rFonts w:hint="default"/>
      </w:rPr>
    </w:lvl>
    <w:lvl w:ilvl="1" w:tentative="0">
      <w:start w:val="1"/>
      <w:numFmt w:val="lowerLetter"/>
      <w:lvlText w:val="%2."/>
      <w:lvlJc w:val="left"/>
      <w:pPr>
        <w:tabs>
          <w:tab w:val="left" w:pos="1440"/>
        </w:tabs>
        <w:ind w:left="1440" w:hanging="360"/>
      </w:pPr>
    </w:lvl>
    <w:lvl w:ilvl="2" w:tentative="0">
      <w:start w:val="1"/>
      <w:numFmt w:val="lowerRoman"/>
      <w:pStyle w:val="257"/>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11">
    <w:nsid w:val="0000001D"/>
    <w:multiLevelType w:val="multilevel"/>
    <w:tmpl w:val="0000001D"/>
    <w:lvl w:ilvl="0" w:tentative="0">
      <w:start w:val="1"/>
      <w:numFmt w:val="decimal"/>
      <w:lvlText w:val="%1)"/>
      <w:lvlJc w:val="left"/>
      <w:pPr>
        <w:tabs>
          <w:tab w:val="left" w:pos="840"/>
        </w:tabs>
        <w:ind w:left="840" w:hanging="420"/>
      </w:pPr>
    </w:lvl>
    <w:lvl w:ilvl="1" w:tentative="0">
      <w:start w:val="1"/>
      <w:numFmt w:val="lowerLetter"/>
      <w:lvlText w:val="%2)"/>
      <w:lvlJc w:val="left"/>
      <w:pPr>
        <w:tabs>
          <w:tab w:val="left" w:pos="1260"/>
        </w:tabs>
        <w:ind w:left="1260" w:hanging="420"/>
      </w:pPr>
    </w:lvl>
    <w:lvl w:ilvl="2" w:tentative="0">
      <w:start w:val="1"/>
      <w:numFmt w:val="lowerRoman"/>
      <w:pStyle w:val="249"/>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2">
    <w:nsid w:val="02010656"/>
    <w:multiLevelType w:val="multilevel"/>
    <w:tmpl w:val="0201065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pStyle w:val="227"/>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1AA728CC"/>
    <w:multiLevelType w:val="multilevel"/>
    <w:tmpl w:val="1AA728CC"/>
    <w:lvl w:ilvl="0" w:tentative="0">
      <w:start w:val="1"/>
      <w:numFmt w:val="lowerLetter"/>
      <w:pStyle w:val="10"/>
      <w:lvlText w:val="%1)"/>
      <w:lvlJc w:val="left"/>
      <w:pPr>
        <w:ind w:left="420" w:hanging="420"/>
      </w:pPr>
    </w:lvl>
    <w:lvl w:ilvl="1" w:tentative="0">
      <w:start w:val="1"/>
      <w:numFmt w:val="lowerLetter"/>
      <w:pStyle w:val="208"/>
      <w:lvlText w:val="%2)"/>
      <w:lvlJc w:val="left"/>
      <w:pPr>
        <w:ind w:left="840" w:hanging="420"/>
      </w:pPr>
    </w:lvl>
    <w:lvl w:ilvl="2" w:tentative="0">
      <w:start w:val="1"/>
      <w:numFmt w:val="lowerRoman"/>
      <w:pStyle w:val="240"/>
      <w:lvlText w:val="%3."/>
      <w:lvlJc w:val="right"/>
      <w:pPr>
        <w:ind w:left="1260" w:hanging="420"/>
      </w:pPr>
    </w:lvl>
    <w:lvl w:ilvl="3" w:tentative="0">
      <w:start w:val="1"/>
      <w:numFmt w:val="decimal"/>
      <w:pStyle w:val="235"/>
      <w:lvlText w:val="%4."/>
      <w:lvlJc w:val="left"/>
      <w:pPr>
        <w:ind w:left="1680" w:hanging="420"/>
      </w:pPr>
    </w:lvl>
    <w:lvl w:ilvl="4" w:tentative="0">
      <w:start w:val="1"/>
      <w:numFmt w:val="lowerLetter"/>
      <w:pStyle w:val="229"/>
      <w:lvlText w:val="%5)"/>
      <w:lvlJc w:val="left"/>
      <w:pPr>
        <w:ind w:left="2100" w:hanging="420"/>
      </w:pPr>
    </w:lvl>
    <w:lvl w:ilvl="5" w:tentative="0">
      <w:start w:val="1"/>
      <w:numFmt w:val="lowerRoman"/>
      <w:pStyle w:val="254"/>
      <w:lvlText w:val="%6."/>
      <w:lvlJc w:val="right"/>
      <w:pPr>
        <w:ind w:left="2520" w:hanging="420"/>
      </w:pPr>
    </w:lvl>
    <w:lvl w:ilvl="6" w:tentative="0">
      <w:start w:val="1"/>
      <w:numFmt w:val="decimal"/>
      <w:pStyle w:val="239"/>
      <w:lvlText w:val="%7."/>
      <w:lvlJc w:val="left"/>
      <w:pPr>
        <w:ind w:left="2940" w:hanging="420"/>
      </w:pPr>
    </w:lvl>
    <w:lvl w:ilvl="7" w:tentative="0">
      <w:start w:val="1"/>
      <w:numFmt w:val="lowerLetter"/>
      <w:pStyle w:val="286"/>
      <w:lvlText w:val="%8)"/>
      <w:lvlJc w:val="left"/>
      <w:pPr>
        <w:ind w:left="3360" w:hanging="420"/>
      </w:pPr>
    </w:lvl>
    <w:lvl w:ilvl="8" w:tentative="0">
      <w:start w:val="1"/>
      <w:numFmt w:val="lowerRoman"/>
      <w:pStyle w:val="271"/>
      <w:lvlText w:val="%9."/>
      <w:lvlJc w:val="right"/>
      <w:pPr>
        <w:ind w:left="3780" w:hanging="420"/>
      </w:pPr>
    </w:lvl>
  </w:abstractNum>
  <w:abstractNum w:abstractNumId="14">
    <w:nsid w:val="1C6A3682"/>
    <w:multiLevelType w:val="multilevel"/>
    <w:tmpl w:val="1C6A3682"/>
    <w:lvl w:ilvl="0" w:tentative="0">
      <w:start w:val="1"/>
      <w:numFmt w:val="chineseCountingThousand"/>
      <w:suff w:val="space"/>
      <w:lvlText w:val="%1"/>
      <w:lvlJc w:val="left"/>
      <w:pPr>
        <w:ind w:left="143" w:firstLine="567"/>
      </w:pPr>
      <w:rPr>
        <w:rFonts w:hint="eastAsia"/>
        <w:lang w:val="en-US"/>
      </w:rPr>
    </w:lvl>
    <w:lvl w:ilvl="1" w:tentative="0">
      <w:start w:val="1"/>
      <w:numFmt w:val="decimal"/>
      <w:suff w:val="space"/>
      <w:lvlText w:val="%2."/>
      <w:lvlJc w:val="left"/>
      <w:pPr>
        <w:ind w:left="0" w:firstLine="567"/>
      </w:pPr>
      <w:rPr>
        <w:rFonts w:hint="eastAsia"/>
      </w:rPr>
    </w:lvl>
    <w:lvl w:ilvl="2" w:tentative="0">
      <w:start w:val="1"/>
      <w:numFmt w:val="decimal"/>
      <w:suff w:val="space"/>
      <w:lvlText w:val="%1.%2.%3"/>
      <w:lvlJc w:val="left"/>
      <w:pPr>
        <w:ind w:left="567" w:hanging="567"/>
      </w:pPr>
      <w:rPr>
        <w:rFonts w:hint="eastAsia"/>
      </w:rPr>
    </w:lvl>
    <w:lvl w:ilvl="3" w:tentative="0">
      <w:start w:val="1"/>
      <w:numFmt w:val="decimal"/>
      <w:lvlText w:val="%1.%2.%3.%4"/>
      <w:lvlJc w:val="left"/>
      <w:pPr>
        <w:tabs>
          <w:tab w:val="left" w:pos="1984"/>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1F4131A0"/>
    <w:multiLevelType w:val="multilevel"/>
    <w:tmpl w:val="1F4131A0"/>
    <w:lvl w:ilvl="0" w:tentative="0">
      <w:start w:val="1"/>
      <w:numFmt w:val="chineseCountingThousand"/>
      <w:suff w:val="space"/>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1F9D5B61"/>
    <w:multiLevelType w:val="multilevel"/>
    <w:tmpl w:val="1F9D5B61"/>
    <w:lvl w:ilvl="0" w:tentative="0">
      <w:start w:val="6"/>
      <w:numFmt w:val="chineseCountingThousand"/>
      <w:suff w:val="space"/>
      <w:lvlText w:val="%1"/>
      <w:lvlJc w:val="left"/>
      <w:pPr>
        <w:ind w:left="425" w:firstLine="142"/>
      </w:pPr>
      <w:rPr>
        <w:rFonts w:hint="eastAsia"/>
      </w:rPr>
    </w:lvl>
    <w:lvl w:ilvl="1" w:tentative="0">
      <w:start w:val="36"/>
      <w:numFmt w:val="decimal"/>
      <w:suff w:val="space"/>
      <w:lvlText w:val="%2."/>
      <w:lvlJc w:val="left"/>
      <w:pPr>
        <w:tabs>
          <w:tab w:val="left" w:pos="0"/>
        </w:tabs>
        <w:ind w:left="0" w:firstLine="567"/>
      </w:pPr>
      <w:rPr>
        <w:rFonts w:hint="eastAsia" w:ascii="宋体" w:hAnsi="宋体" w:eastAsia="宋体" w:cs="宋体"/>
        <w:b w:val="0"/>
        <w:i w:val="0"/>
      </w:rPr>
    </w:lvl>
    <w:lvl w:ilvl="2" w:tentative="0">
      <w:start w:val="1"/>
      <w:numFmt w:val="decimal"/>
      <w:suff w:val="nothing"/>
      <w:lvlText w:val="%2.%3"/>
      <w:lvlJc w:val="left"/>
      <w:pPr>
        <w:tabs>
          <w:tab w:val="left" w:pos="420"/>
        </w:tabs>
        <w:ind w:left="0" w:firstLine="567"/>
      </w:pPr>
      <w:rPr>
        <w:rFonts w:hint="eastAsia" w:ascii="宋体" w:hAnsi="宋体" w:eastAsia="宋体" w:cs="宋体"/>
        <w:b w:val="0"/>
        <w:sz w:val="28"/>
        <w:szCs w:val="28"/>
      </w:rPr>
    </w:lvl>
    <w:lvl w:ilvl="3" w:tentative="0">
      <w:start w:val="1"/>
      <w:numFmt w:val="decimal"/>
      <w:suff w:val="nothing"/>
      <w:lvlText w:val="%2.%3.%4"/>
      <w:lvlJc w:val="left"/>
      <w:pPr>
        <w:ind w:left="0" w:firstLine="567"/>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7">
    <w:nsid w:val="297207DF"/>
    <w:multiLevelType w:val="multilevel"/>
    <w:tmpl w:val="297207DF"/>
    <w:lvl w:ilvl="0" w:tentative="0">
      <w:start w:val="6"/>
      <w:numFmt w:val="chineseCountingThousand"/>
      <w:suff w:val="space"/>
      <w:lvlText w:val="%1"/>
      <w:lvlJc w:val="left"/>
      <w:pPr>
        <w:ind w:left="425" w:firstLine="142"/>
      </w:pPr>
      <w:rPr>
        <w:rFonts w:hint="eastAsia"/>
      </w:rPr>
    </w:lvl>
    <w:lvl w:ilvl="1" w:tentative="0">
      <w:start w:val="27"/>
      <w:numFmt w:val="decimal"/>
      <w:suff w:val="space"/>
      <w:lvlText w:val="%2."/>
      <w:lvlJc w:val="left"/>
      <w:pPr>
        <w:tabs>
          <w:tab w:val="left" w:pos="0"/>
        </w:tabs>
        <w:ind w:left="0" w:firstLine="567"/>
      </w:pPr>
      <w:rPr>
        <w:rFonts w:hint="eastAsia" w:ascii="宋体" w:hAnsi="宋体" w:eastAsia="宋体" w:cs="宋体"/>
        <w:b w:val="0"/>
        <w:i w:val="0"/>
      </w:rPr>
    </w:lvl>
    <w:lvl w:ilvl="2" w:tentative="0">
      <w:start w:val="1"/>
      <w:numFmt w:val="decimal"/>
      <w:suff w:val="nothing"/>
      <w:lvlText w:val="%2.%3"/>
      <w:lvlJc w:val="left"/>
      <w:pPr>
        <w:tabs>
          <w:tab w:val="left" w:pos="421"/>
        </w:tabs>
        <w:ind w:left="1" w:firstLine="567"/>
      </w:pPr>
      <w:rPr>
        <w:rFonts w:hint="eastAsia" w:ascii="宋体" w:hAnsi="宋体" w:eastAsia="宋体" w:cs="宋体"/>
        <w:b w:val="0"/>
        <w:sz w:val="28"/>
        <w:szCs w:val="28"/>
      </w:rPr>
    </w:lvl>
    <w:lvl w:ilvl="3" w:tentative="0">
      <w:start w:val="1"/>
      <w:numFmt w:val="decimal"/>
      <w:suff w:val="nothing"/>
      <w:lvlText w:val="%2.%3.%4"/>
      <w:lvlJc w:val="left"/>
      <w:pPr>
        <w:ind w:left="0" w:firstLine="567"/>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8">
    <w:nsid w:val="31F7771A"/>
    <w:multiLevelType w:val="multilevel"/>
    <w:tmpl w:val="31F7771A"/>
    <w:lvl w:ilvl="0" w:tentative="0">
      <w:start w:val="6"/>
      <w:numFmt w:val="chineseCountingThousand"/>
      <w:suff w:val="space"/>
      <w:lvlText w:val="%1"/>
      <w:lvlJc w:val="left"/>
      <w:pPr>
        <w:ind w:left="425" w:firstLine="142"/>
      </w:pPr>
      <w:rPr>
        <w:rFonts w:hint="eastAsia"/>
      </w:rPr>
    </w:lvl>
    <w:lvl w:ilvl="1" w:tentative="0">
      <w:start w:val="18"/>
      <w:numFmt w:val="decimal"/>
      <w:suff w:val="space"/>
      <w:lvlText w:val="%2."/>
      <w:lvlJc w:val="left"/>
      <w:pPr>
        <w:tabs>
          <w:tab w:val="left" w:pos="0"/>
        </w:tabs>
        <w:ind w:left="0" w:firstLine="567"/>
      </w:pPr>
      <w:rPr>
        <w:rFonts w:hint="eastAsia"/>
        <w:b w:val="0"/>
        <w:i w:val="0"/>
      </w:rPr>
    </w:lvl>
    <w:lvl w:ilvl="2" w:tentative="0">
      <w:start w:val="1"/>
      <w:numFmt w:val="decimal"/>
      <w:suff w:val="nothing"/>
      <w:lvlText w:val="%2.%3"/>
      <w:lvlJc w:val="left"/>
      <w:pPr>
        <w:ind w:left="1" w:firstLine="567"/>
      </w:pPr>
      <w:rPr>
        <w:rFonts w:hint="eastAsia"/>
        <w:b w:val="0"/>
        <w:sz w:val="28"/>
        <w:szCs w:val="28"/>
      </w:rPr>
    </w:lvl>
    <w:lvl w:ilvl="3" w:tentative="0">
      <w:start w:val="1"/>
      <w:numFmt w:val="decimal"/>
      <w:suff w:val="nothing"/>
      <w:lvlText w:val="%2.%3.%4"/>
      <w:lvlJc w:val="left"/>
      <w:pPr>
        <w:ind w:left="0" w:firstLine="567"/>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9">
    <w:nsid w:val="47F53821"/>
    <w:multiLevelType w:val="multilevel"/>
    <w:tmpl w:val="47F53821"/>
    <w:lvl w:ilvl="0" w:tentative="0">
      <w:start w:val="3"/>
      <w:numFmt w:val="chineseCountingThousand"/>
      <w:suff w:val="space"/>
      <w:lvlText w:val="%1"/>
      <w:lvlJc w:val="left"/>
      <w:pPr>
        <w:ind w:left="425" w:firstLine="142"/>
      </w:pPr>
      <w:rPr>
        <w:rFonts w:hint="eastAsia"/>
      </w:rPr>
    </w:lvl>
    <w:lvl w:ilvl="1" w:tentative="0">
      <w:start w:val="10"/>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0">
    <w:nsid w:val="5D1F68F7"/>
    <w:multiLevelType w:val="singleLevel"/>
    <w:tmpl w:val="5D1F68F7"/>
    <w:lvl w:ilvl="0" w:tentative="0">
      <w:start w:val="3"/>
      <w:numFmt w:val="chineseCounting"/>
      <w:suff w:val="space"/>
      <w:lvlText w:val="第%1章"/>
      <w:lvlJc w:val="left"/>
    </w:lvl>
  </w:abstractNum>
  <w:abstractNum w:abstractNumId="21">
    <w:nsid w:val="610161A9"/>
    <w:multiLevelType w:val="singleLevel"/>
    <w:tmpl w:val="610161A9"/>
    <w:lvl w:ilvl="0" w:tentative="0">
      <w:start w:val="3"/>
      <w:numFmt w:val="chineseCounting"/>
      <w:suff w:val="nothing"/>
      <w:lvlText w:val="%1、"/>
      <w:lvlJc w:val="left"/>
    </w:lvl>
  </w:abstractNum>
  <w:abstractNum w:abstractNumId="22">
    <w:nsid w:val="62F4C134"/>
    <w:multiLevelType w:val="multilevel"/>
    <w:tmpl w:val="62F4C134"/>
    <w:lvl w:ilvl="0" w:tentative="0">
      <w:start w:val="4"/>
      <w:numFmt w:val="chineseCountingThousand"/>
      <w:suff w:val="space"/>
      <w:lvlText w:val="%1"/>
      <w:lvlJc w:val="left"/>
      <w:pPr>
        <w:ind w:left="425" w:firstLine="142"/>
      </w:pPr>
      <w:rPr>
        <w:rFonts w:hint="eastAsia"/>
      </w:rPr>
    </w:lvl>
    <w:lvl w:ilvl="1" w:tentative="0">
      <w:start w:val="12"/>
      <w:numFmt w:val="decimal"/>
      <w:suff w:val="space"/>
      <w:lvlText w:val="%2"/>
      <w:lvlJc w:val="left"/>
      <w:pPr>
        <w:ind w:left="0" w:firstLine="567"/>
      </w:pPr>
      <w:rPr>
        <w:rFonts w:hint="eastAsia"/>
        <w:b w:val="0"/>
        <w:i w:val="0"/>
      </w:rPr>
    </w:lvl>
    <w:lvl w:ilvl="2" w:tentative="0">
      <w:start w:val="1"/>
      <w:numFmt w:val="decimal"/>
      <w:suff w:val="space"/>
      <w:lvlText w:val="%2.%3"/>
      <w:lvlJc w:val="left"/>
      <w:pPr>
        <w:ind w:left="0" w:firstLine="567"/>
      </w:pPr>
      <w:rPr>
        <w:rFonts w:hint="eastAsia" w:ascii="宋体" w:hAnsi="宋体" w:eastAsia="宋体" w:cs="宋体"/>
      </w:rPr>
    </w:lvl>
    <w:lvl w:ilvl="3" w:tentative="0">
      <w:start w:val="1"/>
      <w:numFmt w:val="decimal"/>
      <w:suff w:val="space"/>
      <w:lvlText w:val="%2.%3.%4"/>
      <w:lvlJc w:val="left"/>
      <w:pPr>
        <w:ind w:left="0" w:firstLine="567"/>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3">
    <w:nsid w:val="705210D5"/>
    <w:multiLevelType w:val="multilevel"/>
    <w:tmpl w:val="705210D5"/>
    <w:lvl w:ilvl="0" w:tentative="0">
      <w:start w:val="9"/>
      <w:numFmt w:val="chineseCountingThousand"/>
      <w:suff w:val="space"/>
      <w:lvlText w:val="%1、"/>
      <w:lvlJc w:val="left"/>
      <w:pPr>
        <w:ind w:left="425" w:firstLine="142"/>
      </w:pPr>
      <w:rPr>
        <w:rFonts w:hint="eastAsia"/>
      </w:rPr>
    </w:lvl>
    <w:lvl w:ilvl="1" w:tentative="0">
      <w:start w:val="34"/>
      <w:numFmt w:val="decimal"/>
      <w:suff w:val="space"/>
      <w:lvlText w:val="%2."/>
      <w:lvlJc w:val="left"/>
      <w:pPr>
        <w:tabs>
          <w:tab w:val="left" w:pos="0"/>
        </w:tabs>
        <w:ind w:left="0" w:firstLine="567"/>
      </w:pPr>
      <w:rPr>
        <w:rFonts w:hint="eastAsia"/>
        <w:b w:val="0"/>
        <w:i w:val="0"/>
      </w:rPr>
    </w:lvl>
    <w:lvl w:ilvl="2" w:tentative="0">
      <w:start w:val="1"/>
      <w:numFmt w:val="decimal"/>
      <w:suff w:val="nothing"/>
      <w:lvlText w:val="%2.%3"/>
      <w:lvlJc w:val="left"/>
      <w:pPr>
        <w:ind w:left="0" w:firstLine="567"/>
      </w:pPr>
      <w:rPr>
        <w:rFonts w:hint="eastAsia"/>
        <w:sz w:val="28"/>
        <w:szCs w:val="28"/>
      </w:rPr>
    </w:lvl>
    <w:lvl w:ilvl="3" w:tentative="0">
      <w:start w:val="1"/>
      <w:numFmt w:val="decimal"/>
      <w:suff w:val="nothing"/>
      <w:lvlText w:val="%2.%3.%4"/>
      <w:lvlJc w:val="left"/>
      <w:pPr>
        <w:ind w:left="0" w:firstLine="567"/>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13"/>
  </w:num>
  <w:num w:numId="2">
    <w:abstractNumId w:val="4"/>
  </w:num>
  <w:num w:numId="3">
    <w:abstractNumId w:val="2"/>
  </w:num>
  <w:num w:numId="4">
    <w:abstractNumId w:val="3"/>
  </w:num>
  <w:num w:numId="5">
    <w:abstractNumId w:val="8"/>
  </w:num>
  <w:num w:numId="6">
    <w:abstractNumId w:val="12"/>
  </w:num>
  <w:num w:numId="7">
    <w:abstractNumId w:val="6"/>
  </w:num>
  <w:num w:numId="8">
    <w:abstractNumId w:val="9"/>
  </w:num>
  <w:num w:numId="9">
    <w:abstractNumId w:val="5"/>
  </w:num>
  <w:num w:numId="10">
    <w:abstractNumId w:val="11"/>
  </w:num>
  <w:num w:numId="11">
    <w:abstractNumId w:val="10"/>
  </w:num>
  <w:num w:numId="12">
    <w:abstractNumId w:val="7"/>
  </w:num>
  <w:num w:numId="13">
    <w:abstractNumId w:val="14"/>
  </w:num>
  <w:num w:numId="14">
    <w:abstractNumId w:val="15"/>
  </w:num>
  <w:num w:numId="15">
    <w:abstractNumId w:val="19"/>
  </w:num>
  <w:num w:numId="16">
    <w:abstractNumId w:val="22"/>
  </w:num>
  <w:num w:numId="17">
    <w:abstractNumId w:val="18"/>
  </w:num>
  <w:num w:numId="18">
    <w:abstractNumId w:val="0"/>
  </w:num>
  <w:num w:numId="19">
    <w:abstractNumId w:val="17"/>
  </w:num>
  <w:num w:numId="20">
    <w:abstractNumId w:val="23"/>
  </w:num>
  <w:num w:numId="21">
    <w:abstractNumId w:val="16"/>
  </w:num>
  <w:num w:numId="22">
    <w:abstractNumId w:val="20"/>
  </w:num>
  <w:num w:numId="23">
    <w:abstractNumId w:val="1"/>
    <w:lvlOverride w:ilvl="0">
      <w:startOverride w:val="1"/>
    </w:lvlOverride>
  </w:num>
  <w:num w:numId="2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val="1"/>
  <w:bordersDoNotSurroundHeader w:val="1"/>
  <w:bordersDoNotSurroundFooter w:val="1"/>
  <w:documentProtection w:enforcement="0"/>
  <w:defaultTabStop w:val="420"/>
  <w:drawingGridVerticalSpacing w:val="156"/>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Dk2NDM2ZDkyNDcwYzE1NDRjMTcwNjE0YzRmODY5MTIifQ=="/>
  </w:docVars>
  <w:rsids>
    <w:rsidRoot w:val="00172A27"/>
    <w:rsid w:val="00001368"/>
    <w:rsid w:val="000054AD"/>
    <w:rsid w:val="00005D4A"/>
    <w:rsid w:val="00006B4E"/>
    <w:rsid w:val="00006DDD"/>
    <w:rsid w:val="000100DD"/>
    <w:rsid w:val="00010879"/>
    <w:rsid w:val="00010D30"/>
    <w:rsid w:val="00011304"/>
    <w:rsid w:val="00011513"/>
    <w:rsid w:val="00012E6D"/>
    <w:rsid w:val="00012F08"/>
    <w:rsid w:val="000141D1"/>
    <w:rsid w:val="0001491E"/>
    <w:rsid w:val="00016FE2"/>
    <w:rsid w:val="00021252"/>
    <w:rsid w:val="0002128C"/>
    <w:rsid w:val="00021E17"/>
    <w:rsid w:val="000227A9"/>
    <w:rsid w:val="000231AD"/>
    <w:rsid w:val="00024BCF"/>
    <w:rsid w:val="000252FD"/>
    <w:rsid w:val="00025414"/>
    <w:rsid w:val="00030418"/>
    <w:rsid w:val="000305AD"/>
    <w:rsid w:val="0003297C"/>
    <w:rsid w:val="0003300E"/>
    <w:rsid w:val="0003452C"/>
    <w:rsid w:val="00034868"/>
    <w:rsid w:val="00035C9C"/>
    <w:rsid w:val="0003664D"/>
    <w:rsid w:val="0003776A"/>
    <w:rsid w:val="00040A06"/>
    <w:rsid w:val="00040E34"/>
    <w:rsid w:val="00041D1D"/>
    <w:rsid w:val="000420B4"/>
    <w:rsid w:val="00044EFC"/>
    <w:rsid w:val="00045B61"/>
    <w:rsid w:val="00045E9D"/>
    <w:rsid w:val="0004606F"/>
    <w:rsid w:val="0004706F"/>
    <w:rsid w:val="00047BE9"/>
    <w:rsid w:val="000504C3"/>
    <w:rsid w:val="00052062"/>
    <w:rsid w:val="000523C3"/>
    <w:rsid w:val="00052ED3"/>
    <w:rsid w:val="000532FB"/>
    <w:rsid w:val="00056192"/>
    <w:rsid w:val="0005682D"/>
    <w:rsid w:val="0005708D"/>
    <w:rsid w:val="0005727F"/>
    <w:rsid w:val="000611BF"/>
    <w:rsid w:val="0006128F"/>
    <w:rsid w:val="000643EB"/>
    <w:rsid w:val="0006566F"/>
    <w:rsid w:val="0006667C"/>
    <w:rsid w:val="00066F33"/>
    <w:rsid w:val="00071083"/>
    <w:rsid w:val="00071707"/>
    <w:rsid w:val="00071829"/>
    <w:rsid w:val="000720A2"/>
    <w:rsid w:val="00073189"/>
    <w:rsid w:val="000734DB"/>
    <w:rsid w:val="00073511"/>
    <w:rsid w:val="0007419F"/>
    <w:rsid w:val="000747D9"/>
    <w:rsid w:val="00075C0A"/>
    <w:rsid w:val="00075D20"/>
    <w:rsid w:val="00076158"/>
    <w:rsid w:val="00080346"/>
    <w:rsid w:val="00080609"/>
    <w:rsid w:val="000808D4"/>
    <w:rsid w:val="000813FA"/>
    <w:rsid w:val="00082ECF"/>
    <w:rsid w:val="00083823"/>
    <w:rsid w:val="00086379"/>
    <w:rsid w:val="00087119"/>
    <w:rsid w:val="0009020B"/>
    <w:rsid w:val="0009031B"/>
    <w:rsid w:val="00092641"/>
    <w:rsid w:val="0009274A"/>
    <w:rsid w:val="00093407"/>
    <w:rsid w:val="00093559"/>
    <w:rsid w:val="00093BD7"/>
    <w:rsid w:val="00095EA6"/>
    <w:rsid w:val="00097E54"/>
    <w:rsid w:val="000A0B2B"/>
    <w:rsid w:val="000A1A2A"/>
    <w:rsid w:val="000A2B29"/>
    <w:rsid w:val="000A4001"/>
    <w:rsid w:val="000A403E"/>
    <w:rsid w:val="000A5789"/>
    <w:rsid w:val="000A6CF4"/>
    <w:rsid w:val="000A6ECD"/>
    <w:rsid w:val="000A7298"/>
    <w:rsid w:val="000B012E"/>
    <w:rsid w:val="000B0802"/>
    <w:rsid w:val="000B083C"/>
    <w:rsid w:val="000B118B"/>
    <w:rsid w:val="000B198C"/>
    <w:rsid w:val="000B238C"/>
    <w:rsid w:val="000B2A27"/>
    <w:rsid w:val="000B2E81"/>
    <w:rsid w:val="000B5EB6"/>
    <w:rsid w:val="000B63D7"/>
    <w:rsid w:val="000B65FD"/>
    <w:rsid w:val="000B6766"/>
    <w:rsid w:val="000C0902"/>
    <w:rsid w:val="000C169E"/>
    <w:rsid w:val="000C68CB"/>
    <w:rsid w:val="000C69BF"/>
    <w:rsid w:val="000C7F0D"/>
    <w:rsid w:val="000D03A1"/>
    <w:rsid w:val="000D0627"/>
    <w:rsid w:val="000D07C3"/>
    <w:rsid w:val="000D184A"/>
    <w:rsid w:val="000D28D5"/>
    <w:rsid w:val="000D4B1F"/>
    <w:rsid w:val="000D55DC"/>
    <w:rsid w:val="000D6319"/>
    <w:rsid w:val="000D7176"/>
    <w:rsid w:val="000D72E2"/>
    <w:rsid w:val="000E12CA"/>
    <w:rsid w:val="000E61C3"/>
    <w:rsid w:val="000E7B99"/>
    <w:rsid w:val="000E7E59"/>
    <w:rsid w:val="000E7EF6"/>
    <w:rsid w:val="000F1C8B"/>
    <w:rsid w:val="000F1DD3"/>
    <w:rsid w:val="000F2DF8"/>
    <w:rsid w:val="000F326C"/>
    <w:rsid w:val="000F3D25"/>
    <w:rsid w:val="000F441D"/>
    <w:rsid w:val="000F6BE1"/>
    <w:rsid w:val="0010006B"/>
    <w:rsid w:val="001011F6"/>
    <w:rsid w:val="00102D4D"/>
    <w:rsid w:val="00103527"/>
    <w:rsid w:val="00103E1F"/>
    <w:rsid w:val="00103EF4"/>
    <w:rsid w:val="00105287"/>
    <w:rsid w:val="00105E66"/>
    <w:rsid w:val="00105EE8"/>
    <w:rsid w:val="001062FC"/>
    <w:rsid w:val="00107490"/>
    <w:rsid w:val="001076D4"/>
    <w:rsid w:val="001148E5"/>
    <w:rsid w:val="00117C63"/>
    <w:rsid w:val="00120B7A"/>
    <w:rsid w:val="00120EA3"/>
    <w:rsid w:val="0012233B"/>
    <w:rsid w:val="00122505"/>
    <w:rsid w:val="00122756"/>
    <w:rsid w:val="00122D07"/>
    <w:rsid w:val="001241FA"/>
    <w:rsid w:val="001243E3"/>
    <w:rsid w:val="00124508"/>
    <w:rsid w:val="00124E1B"/>
    <w:rsid w:val="00124F19"/>
    <w:rsid w:val="00125A04"/>
    <w:rsid w:val="00126E7A"/>
    <w:rsid w:val="00126F46"/>
    <w:rsid w:val="001273DF"/>
    <w:rsid w:val="00130C8C"/>
    <w:rsid w:val="001310E9"/>
    <w:rsid w:val="00132831"/>
    <w:rsid w:val="001329BD"/>
    <w:rsid w:val="00141659"/>
    <w:rsid w:val="001439A4"/>
    <w:rsid w:val="00143D8A"/>
    <w:rsid w:val="001445BC"/>
    <w:rsid w:val="0014479B"/>
    <w:rsid w:val="00146B32"/>
    <w:rsid w:val="00147709"/>
    <w:rsid w:val="00150907"/>
    <w:rsid w:val="00151E87"/>
    <w:rsid w:val="00151F90"/>
    <w:rsid w:val="00152ED7"/>
    <w:rsid w:val="001559E8"/>
    <w:rsid w:val="00155A2E"/>
    <w:rsid w:val="001574C8"/>
    <w:rsid w:val="00157E2C"/>
    <w:rsid w:val="00160B10"/>
    <w:rsid w:val="00160DB6"/>
    <w:rsid w:val="00160F51"/>
    <w:rsid w:val="00161146"/>
    <w:rsid w:val="00163388"/>
    <w:rsid w:val="00167310"/>
    <w:rsid w:val="00170980"/>
    <w:rsid w:val="001712BD"/>
    <w:rsid w:val="00171CB5"/>
    <w:rsid w:val="001720C5"/>
    <w:rsid w:val="001728F6"/>
    <w:rsid w:val="00172A27"/>
    <w:rsid w:val="001736A4"/>
    <w:rsid w:val="00173C6F"/>
    <w:rsid w:val="001761E7"/>
    <w:rsid w:val="00176468"/>
    <w:rsid w:val="00176BD0"/>
    <w:rsid w:val="00180851"/>
    <w:rsid w:val="00180BBE"/>
    <w:rsid w:val="00181833"/>
    <w:rsid w:val="0018246D"/>
    <w:rsid w:val="00182D88"/>
    <w:rsid w:val="001848C9"/>
    <w:rsid w:val="001869E8"/>
    <w:rsid w:val="00191176"/>
    <w:rsid w:val="00193769"/>
    <w:rsid w:val="001938CC"/>
    <w:rsid w:val="00193F73"/>
    <w:rsid w:val="00194C7B"/>
    <w:rsid w:val="00194D7C"/>
    <w:rsid w:val="00195766"/>
    <w:rsid w:val="00196D14"/>
    <w:rsid w:val="001978F2"/>
    <w:rsid w:val="00197BCA"/>
    <w:rsid w:val="00197BE6"/>
    <w:rsid w:val="00197D3F"/>
    <w:rsid w:val="001A0FF0"/>
    <w:rsid w:val="001A2E25"/>
    <w:rsid w:val="001A2E75"/>
    <w:rsid w:val="001A396A"/>
    <w:rsid w:val="001A49FB"/>
    <w:rsid w:val="001A5B84"/>
    <w:rsid w:val="001A5F55"/>
    <w:rsid w:val="001A6292"/>
    <w:rsid w:val="001A6DAA"/>
    <w:rsid w:val="001B3AEC"/>
    <w:rsid w:val="001B3F56"/>
    <w:rsid w:val="001B62F9"/>
    <w:rsid w:val="001C0EE3"/>
    <w:rsid w:val="001C114E"/>
    <w:rsid w:val="001C2B04"/>
    <w:rsid w:val="001C6217"/>
    <w:rsid w:val="001C6CE5"/>
    <w:rsid w:val="001D1B34"/>
    <w:rsid w:val="001D2438"/>
    <w:rsid w:val="001D2AF5"/>
    <w:rsid w:val="001D420C"/>
    <w:rsid w:val="001D4215"/>
    <w:rsid w:val="001D4F84"/>
    <w:rsid w:val="001D5266"/>
    <w:rsid w:val="001D678F"/>
    <w:rsid w:val="001D7DFD"/>
    <w:rsid w:val="001E2AC8"/>
    <w:rsid w:val="001E3FEB"/>
    <w:rsid w:val="001E413D"/>
    <w:rsid w:val="001E6152"/>
    <w:rsid w:val="001E671D"/>
    <w:rsid w:val="001E6DEA"/>
    <w:rsid w:val="001E6FAA"/>
    <w:rsid w:val="001F0EDA"/>
    <w:rsid w:val="001F2338"/>
    <w:rsid w:val="001F2B7D"/>
    <w:rsid w:val="001F3258"/>
    <w:rsid w:val="001F3915"/>
    <w:rsid w:val="001F4F79"/>
    <w:rsid w:val="001F549F"/>
    <w:rsid w:val="001F5D25"/>
    <w:rsid w:val="00200B91"/>
    <w:rsid w:val="0020367B"/>
    <w:rsid w:val="00203A85"/>
    <w:rsid w:val="00203FAA"/>
    <w:rsid w:val="0020439D"/>
    <w:rsid w:val="00204AF9"/>
    <w:rsid w:val="00205458"/>
    <w:rsid w:val="002103C8"/>
    <w:rsid w:val="00213B47"/>
    <w:rsid w:val="0021696E"/>
    <w:rsid w:val="00221449"/>
    <w:rsid w:val="002220B0"/>
    <w:rsid w:val="00226717"/>
    <w:rsid w:val="002272D2"/>
    <w:rsid w:val="002276AE"/>
    <w:rsid w:val="00227A3B"/>
    <w:rsid w:val="00234573"/>
    <w:rsid w:val="0023589C"/>
    <w:rsid w:val="002374D5"/>
    <w:rsid w:val="002406B1"/>
    <w:rsid w:val="00240942"/>
    <w:rsid w:val="00240992"/>
    <w:rsid w:val="00240DFD"/>
    <w:rsid w:val="00240E80"/>
    <w:rsid w:val="00243EF9"/>
    <w:rsid w:val="00245ECC"/>
    <w:rsid w:val="00247559"/>
    <w:rsid w:val="00250056"/>
    <w:rsid w:val="00250DCC"/>
    <w:rsid w:val="00253895"/>
    <w:rsid w:val="00254308"/>
    <w:rsid w:val="00254CDB"/>
    <w:rsid w:val="00255204"/>
    <w:rsid w:val="002554F3"/>
    <w:rsid w:val="00260B9D"/>
    <w:rsid w:val="002610C1"/>
    <w:rsid w:val="00261852"/>
    <w:rsid w:val="0026303D"/>
    <w:rsid w:val="002641DB"/>
    <w:rsid w:val="002648E7"/>
    <w:rsid w:val="00265C1B"/>
    <w:rsid w:val="0027018D"/>
    <w:rsid w:val="00271BEF"/>
    <w:rsid w:val="0027221C"/>
    <w:rsid w:val="002736F3"/>
    <w:rsid w:val="002739D0"/>
    <w:rsid w:val="00273D8B"/>
    <w:rsid w:val="002745D5"/>
    <w:rsid w:val="00276BAA"/>
    <w:rsid w:val="00276BC3"/>
    <w:rsid w:val="00277845"/>
    <w:rsid w:val="00277A29"/>
    <w:rsid w:val="002817B9"/>
    <w:rsid w:val="002818B7"/>
    <w:rsid w:val="002821F0"/>
    <w:rsid w:val="002822CE"/>
    <w:rsid w:val="0028290C"/>
    <w:rsid w:val="0028384F"/>
    <w:rsid w:val="00284A17"/>
    <w:rsid w:val="002864BB"/>
    <w:rsid w:val="00286F22"/>
    <w:rsid w:val="0029097C"/>
    <w:rsid w:val="00297364"/>
    <w:rsid w:val="002A0415"/>
    <w:rsid w:val="002A0756"/>
    <w:rsid w:val="002A3D3F"/>
    <w:rsid w:val="002A52D2"/>
    <w:rsid w:val="002A5D19"/>
    <w:rsid w:val="002A6FA8"/>
    <w:rsid w:val="002A7523"/>
    <w:rsid w:val="002B19B9"/>
    <w:rsid w:val="002B1B2F"/>
    <w:rsid w:val="002B2730"/>
    <w:rsid w:val="002B4036"/>
    <w:rsid w:val="002B5B4F"/>
    <w:rsid w:val="002C22EC"/>
    <w:rsid w:val="002C26CE"/>
    <w:rsid w:val="002C2A05"/>
    <w:rsid w:val="002C2B78"/>
    <w:rsid w:val="002C321C"/>
    <w:rsid w:val="002C34AE"/>
    <w:rsid w:val="002C4265"/>
    <w:rsid w:val="002C4C5C"/>
    <w:rsid w:val="002C5B62"/>
    <w:rsid w:val="002C76EA"/>
    <w:rsid w:val="002C772E"/>
    <w:rsid w:val="002D0794"/>
    <w:rsid w:val="002D0D06"/>
    <w:rsid w:val="002D1D6A"/>
    <w:rsid w:val="002D2407"/>
    <w:rsid w:val="002D3CBC"/>
    <w:rsid w:val="002D4199"/>
    <w:rsid w:val="002D5774"/>
    <w:rsid w:val="002D64AB"/>
    <w:rsid w:val="002E07BF"/>
    <w:rsid w:val="002E2412"/>
    <w:rsid w:val="002E27B4"/>
    <w:rsid w:val="002E2A8C"/>
    <w:rsid w:val="002E433B"/>
    <w:rsid w:val="002E5BBB"/>
    <w:rsid w:val="002E650E"/>
    <w:rsid w:val="002E6510"/>
    <w:rsid w:val="002E6F83"/>
    <w:rsid w:val="002F0489"/>
    <w:rsid w:val="002F182C"/>
    <w:rsid w:val="002F286E"/>
    <w:rsid w:val="002F390E"/>
    <w:rsid w:val="002F435F"/>
    <w:rsid w:val="002F55C3"/>
    <w:rsid w:val="003027DE"/>
    <w:rsid w:val="00303165"/>
    <w:rsid w:val="00303B8A"/>
    <w:rsid w:val="0030410F"/>
    <w:rsid w:val="00304DAB"/>
    <w:rsid w:val="00306149"/>
    <w:rsid w:val="003069EF"/>
    <w:rsid w:val="00307C81"/>
    <w:rsid w:val="003156B6"/>
    <w:rsid w:val="00316674"/>
    <w:rsid w:val="00316AB8"/>
    <w:rsid w:val="00320A65"/>
    <w:rsid w:val="003210AE"/>
    <w:rsid w:val="00321A27"/>
    <w:rsid w:val="00324D93"/>
    <w:rsid w:val="003257DF"/>
    <w:rsid w:val="0032662E"/>
    <w:rsid w:val="003323DC"/>
    <w:rsid w:val="00334C6D"/>
    <w:rsid w:val="00336357"/>
    <w:rsid w:val="0033646D"/>
    <w:rsid w:val="00337297"/>
    <w:rsid w:val="00337851"/>
    <w:rsid w:val="0034020D"/>
    <w:rsid w:val="00340820"/>
    <w:rsid w:val="00342CBB"/>
    <w:rsid w:val="003434B3"/>
    <w:rsid w:val="00344151"/>
    <w:rsid w:val="003446AF"/>
    <w:rsid w:val="00346A1F"/>
    <w:rsid w:val="00347BFA"/>
    <w:rsid w:val="003500D9"/>
    <w:rsid w:val="00350885"/>
    <w:rsid w:val="0035188E"/>
    <w:rsid w:val="003518D9"/>
    <w:rsid w:val="00351B64"/>
    <w:rsid w:val="00354624"/>
    <w:rsid w:val="003550F1"/>
    <w:rsid w:val="00355F5E"/>
    <w:rsid w:val="003565B6"/>
    <w:rsid w:val="0035763B"/>
    <w:rsid w:val="00357E1E"/>
    <w:rsid w:val="0036020D"/>
    <w:rsid w:val="00360A5B"/>
    <w:rsid w:val="00360F0F"/>
    <w:rsid w:val="00361D75"/>
    <w:rsid w:val="00362CBB"/>
    <w:rsid w:val="00363332"/>
    <w:rsid w:val="003647D3"/>
    <w:rsid w:val="00366A37"/>
    <w:rsid w:val="00370EE3"/>
    <w:rsid w:val="00371B75"/>
    <w:rsid w:val="0037468D"/>
    <w:rsid w:val="00376283"/>
    <w:rsid w:val="003803E1"/>
    <w:rsid w:val="00380721"/>
    <w:rsid w:val="00380C99"/>
    <w:rsid w:val="00382C2A"/>
    <w:rsid w:val="00385574"/>
    <w:rsid w:val="003855CD"/>
    <w:rsid w:val="0038586C"/>
    <w:rsid w:val="00392968"/>
    <w:rsid w:val="00392D12"/>
    <w:rsid w:val="00393017"/>
    <w:rsid w:val="003939F6"/>
    <w:rsid w:val="00394131"/>
    <w:rsid w:val="003944CE"/>
    <w:rsid w:val="003960A0"/>
    <w:rsid w:val="00396AE9"/>
    <w:rsid w:val="00396CD1"/>
    <w:rsid w:val="003A1063"/>
    <w:rsid w:val="003A3CAA"/>
    <w:rsid w:val="003A4554"/>
    <w:rsid w:val="003A4609"/>
    <w:rsid w:val="003A6996"/>
    <w:rsid w:val="003A6CE6"/>
    <w:rsid w:val="003B09FA"/>
    <w:rsid w:val="003B0FDE"/>
    <w:rsid w:val="003B149B"/>
    <w:rsid w:val="003B1B30"/>
    <w:rsid w:val="003B2458"/>
    <w:rsid w:val="003B2F26"/>
    <w:rsid w:val="003B3270"/>
    <w:rsid w:val="003B36BC"/>
    <w:rsid w:val="003B4027"/>
    <w:rsid w:val="003B4973"/>
    <w:rsid w:val="003B4FE1"/>
    <w:rsid w:val="003B6688"/>
    <w:rsid w:val="003C0BBB"/>
    <w:rsid w:val="003C230B"/>
    <w:rsid w:val="003C3CF5"/>
    <w:rsid w:val="003C682E"/>
    <w:rsid w:val="003C6E56"/>
    <w:rsid w:val="003C7CB7"/>
    <w:rsid w:val="003D0635"/>
    <w:rsid w:val="003D3A87"/>
    <w:rsid w:val="003D3BBB"/>
    <w:rsid w:val="003D4752"/>
    <w:rsid w:val="003D4BBD"/>
    <w:rsid w:val="003D6027"/>
    <w:rsid w:val="003D680B"/>
    <w:rsid w:val="003D702F"/>
    <w:rsid w:val="003E04E3"/>
    <w:rsid w:val="003E05FA"/>
    <w:rsid w:val="003E0CB1"/>
    <w:rsid w:val="003E19E2"/>
    <w:rsid w:val="003E3217"/>
    <w:rsid w:val="003E34E8"/>
    <w:rsid w:val="003E4C1C"/>
    <w:rsid w:val="003E568D"/>
    <w:rsid w:val="003E56E5"/>
    <w:rsid w:val="003E61B4"/>
    <w:rsid w:val="003E7345"/>
    <w:rsid w:val="003F14F8"/>
    <w:rsid w:val="003F22A9"/>
    <w:rsid w:val="003F3483"/>
    <w:rsid w:val="003F37FD"/>
    <w:rsid w:val="003F395C"/>
    <w:rsid w:val="003F3A15"/>
    <w:rsid w:val="003F48D7"/>
    <w:rsid w:val="003F5203"/>
    <w:rsid w:val="003F523C"/>
    <w:rsid w:val="003F53B2"/>
    <w:rsid w:val="003F5C04"/>
    <w:rsid w:val="003F7A58"/>
    <w:rsid w:val="0040059C"/>
    <w:rsid w:val="004012FE"/>
    <w:rsid w:val="00401573"/>
    <w:rsid w:val="004038BF"/>
    <w:rsid w:val="0040477B"/>
    <w:rsid w:val="00404BC3"/>
    <w:rsid w:val="00405A5C"/>
    <w:rsid w:val="004062FB"/>
    <w:rsid w:val="004071F5"/>
    <w:rsid w:val="00407462"/>
    <w:rsid w:val="00407A46"/>
    <w:rsid w:val="0041026B"/>
    <w:rsid w:val="004104BB"/>
    <w:rsid w:val="00410E7A"/>
    <w:rsid w:val="0041149D"/>
    <w:rsid w:val="00412572"/>
    <w:rsid w:val="00412965"/>
    <w:rsid w:val="00414158"/>
    <w:rsid w:val="00415216"/>
    <w:rsid w:val="00415DAE"/>
    <w:rsid w:val="00420910"/>
    <w:rsid w:val="00420E8C"/>
    <w:rsid w:val="00423390"/>
    <w:rsid w:val="00423877"/>
    <w:rsid w:val="00423B7A"/>
    <w:rsid w:val="00424BCB"/>
    <w:rsid w:val="004272B0"/>
    <w:rsid w:val="00427F3C"/>
    <w:rsid w:val="00430175"/>
    <w:rsid w:val="0043028A"/>
    <w:rsid w:val="004312AA"/>
    <w:rsid w:val="0043167D"/>
    <w:rsid w:val="00431871"/>
    <w:rsid w:val="00431DB1"/>
    <w:rsid w:val="00432DBF"/>
    <w:rsid w:val="00433838"/>
    <w:rsid w:val="004348A1"/>
    <w:rsid w:val="004350D7"/>
    <w:rsid w:val="00436C89"/>
    <w:rsid w:val="00436E52"/>
    <w:rsid w:val="004370F1"/>
    <w:rsid w:val="00440502"/>
    <w:rsid w:val="00440FE1"/>
    <w:rsid w:val="00444723"/>
    <w:rsid w:val="004450C6"/>
    <w:rsid w:val="00445949"/>
    <w:rsid w:val="00445CE6"/>
    <w:rsid w:val="00447EC1"/>
    <w:rsid w:val="00454FDA"/>
    <w:rsid w:val="00456C6F"/>
    <w:rsid w:val="004573C1"/>
    <w:rsid w:val="004573DA"/>
    <w:rsid w:val="004616DB"/>
    <w:rsid w:val="004626A6"/>
    <w:rsid w:val="0046301D"/>
    <w:rsid w:val="00463958"/>
    <w:rsid w:val="00463D24"/>
    <w:rsid w:val="004653D7"/>
    <w:rsid w:val="0046584B"/>
    <w:rsid w:val="00466DBD"/>
    <w:rsid w:val="00471D94"/>
    <w:rsid w:val="00472F89"/>
    <w:rsid w:val="00476823"/>
    <w:rsid w:val="004771EE"/>
    <w:rsid w:val="004775F5"/>
    <w:rsid w:val="00481954"/>
    <w:rsid w:val="004829E4"/>
    <w:rsid w:val="004838BE"/>
    <w:rsid w:val="0048528A"/>
    <w:rsid w:val="00486895"/>
    <w:rsid w:val="00486CFF"/>
    <w:rsid w:val="00486D37"/>
    <w:rsid w:val="00487242"/>
    <w:rsid w:val="00490B79"/>
    <w:rsid w:val="004918AF"/>
    <w:rsid w:val="00491AF4"/>
    <w:rsid w:val="004920FE"/>
    <w:rsid w:val="00492F6C"/>
    <w:rsid w:val="004937AB"/>
    <w:rsid w:val="0049490A"/>
    <w:rsid w:val="00495104"/>
    <w:rsid w:val="0049624A"/>
    <w:rsid w:val="00496DBE"/>
    <w:rsid w:val="00497363"/>
    <w:rsid w:val="004A1047"/>
    <w:rsid w:val="004A1E77"/>
    <w:rsid w:val="004A4060"/>
    <w:rsid w:val="004A4462"/>
    <w:rsid w:val="004A471E"/>
    <w:rsid w:val="004A4877"/>
    <w:rsid w:val="004A4AC6"/>
    <w:rsid w:val="004A6FD1"/>
    <w:rsid w:val="004B0ED1"/>
    <w:rsid w:val="004B1732"/>
    <w:rsid w:val="004B1C43"/>
    <w:rsid w:val="004B20DA"/>
    <w:rsid w:val="004B2195"/>
    <w:rsid w:val="004B3F08"/>
    <w:rsid w:val="004C19CA"/>
    <w:rsid w:val="004C3054"/>
    <w:rsid w:val="004C3970"/>
    <w:rsid w:val="004C3F61"/>
    <w:rsid w:val="004C4EB0"/>
    <w:rsid w:val="004C5079"/>
    <w:rsid w:val="004C50EB"/>
    <w:rsid w:val="004C5362"/>
    <w:rsid w:val="004C7251"/>
    <w:rsid w:val="004D02A8"/>
    <w:rsid w:val="004D0840"/>
    <w:rsid w:val="004D0FD6"/>
    <w:rsid w:val="004D27F7"/>
    <w:rsid w:val="004D2CF5"/>
    <w:rsid w:val="004D3350"/>
    <w:rsid w:val="004D372F"/>
    <w:rsid w:val="004D78B1"/>
    <w:rsid w:val="004D7B43"/>
    <w:rsid w:val="004E1262"/>
    <w:rsid w:val="004E4C97"/>
    <w:rsid w:val="004E6214"/>
    <w:rsid w:val="004E75F6"/>
    <w:rsid w:val="004F0318"/>
    <w:rsid w:val="004F0844"/>
    <w:rsid w:val="004F0A4D"/>
    <w:rsid w:val="004F2355"/>
    <w:rsid w:val="004F243D"/>
    <w:rsid w:val="004F256F"/>
    <w:rsid w:val="004F2600"/>
    <w:rsid w:val="004F2CBF"/>
    <w:rsid w:val="004F2F2D"/>
    <w:rsid w:val="004F36C4"/>
    <w:rsid w:val="004F37A5"/>
    <w:rsid w:val="005015F3"/>
    <w:rsid w:val="00503407"/>
    <w:rsid w:val="00503575"/>
    <w:rsid w:val="00503907"/>
    <w:rsid w:val="0050405D"/>
    <w:rsid w:val="0050426C"/>
    <w:rsid w:val="00504B64"/>
    <w:rsid w:val="00504C12"/>
    <w:rsid w:val="00505AF7"/>
    <w:rsid w:val="00507222"/>
    <w:rsid w:val="00507945"/>
    <w:rsid w:val="00510240"/>
    <w:rsid w:val="00510BA5"/>
    <w:rsid w:val="00512269"/>
    <w:rsid w:val="005204DC"/>
    <w:rsid w:val="005213A2"/>
    <w:rsid w:val="0052180B"/>
    <w:rsid w:val="00521C90"/>
    <w:rsid w:val="00522CA2"/>
    <w:rsid w:val="00523334"/>
    <w:rsid w:val="00523D21"/>
    <w:rsid w:val="00524C40"/>
    <w:rsid w:val="00531868"/>
    <w:rsid w:val="00531D78"/>
    <w:rsid w:val="00533480"/>
    <w:rsid w:val="00534369"/>
    <w:rsid w:val="00535260"/>
    <w:rsid w:val="00535323"/>
    <w:rsid w:val="00535F75"/>
    <w:rsid w:val="005378E3"/>
    <w:rsid w:val="00540CCB"/>
    <w:rsid w:val="005445B8"/>
    <w:rsid w:val="00544D61"/>
    <w:rsid w:val="0054510A"/>
    <w:rsid w:val="00546D69"/>
    <w:rsid w:val="005476E1"/>
    <w:rsid w:val="00547FE8"/>
    <w:rsid w:val="0055039F"/>
    <w:rsid w:val="00551170"/>
    <w:rsid w:val="0055150A"/>
    <w:rsid w:val="0055186B"/>
    <w:rsid w:val="0055189C"/>
    <w:rsid w:val="00552362"/>
    <w:rsid w:val="0055295F"/>
    <w:rsid w:val="00554097"/>
    <w:rsid w:val="005555C7"/>
    <w:rsid w:val="00556209"/>
    <w:rsid w:val="00557BE5"/>
    <w:rsid w:val="00560782"/>
    <w:rsid w:val="00561AEA"/>
    <w:rsid w:val="00564340"/>
    <w:rsid w:val="005657B4"/>
    <w:rsid w:val="00565B0B"/>
    <w:rsid w:val="0056696E"/>
    <w:rsid w:val="00566AE0"/>
    <w:rsid w:val="00566ED9"/>
    <w:rsid w:val="0056757F"/>
    <w:rsid w:val="005700E1"/>
    <w:rsid w:val="00570A35"/>
    <w:rsid w:val="00572579"/>
    <w:rsid w:val="00573BEA"/>
    <w:rsid w:val="00574371"/>
    <w:rsid w:val="00574E5F"/>
    <w:rsid w:val="00576F88"/>
    <w:rsid w:val="005803C5"/>
    <w:rsid w:val="00580E94"/>
    <w:rsid w:val="00580F24"/>
    <w:rsid w:val="00582B1B"/>
    <w:rsid w:val="005840BF"/>
    <w:rsid w:val="0058545F"/>
    <w:rsid w:val="0058699C"/>
    <w:rsid w:val="00587C08"/>
    <w:rsid w:val="005901FB"/>
    <w:rsid w:val="005918C1"/>
    <w:rsid w:val="00592508"/>
    <w:rsid w:val="005930A5"/>
    <w:rsid w:val="0059540B"/>
    <w:rsid w:val="005955C0"/>
    <w:rsid w:val="00596631"/>
    <w:rsid w:val="0059694E"/>
    <w:rsid w:val="00596C2F"/>
    <w:rsid w:val="005972FB"/>
    <w:rsid w:val="005A0C9C"/>
    <w:rsid w:val="005A2C4C"/>
    <w:rsid w:val="005A6357"/>
    <w:rsid w:val="005A74A5"/>
    <w:rsid w:val="005A7E04"/>
    <w:rsid w:val="005A7F0A"/>
    <w:rsid w:val="005B111A"/>
    <w:rsid w:val="005B1300"/>
    <w:rsid w:val="005B3559"/>
    <w:rsid w:val="005B45FB"/>
    <w:rsid w:val="005B48E4"/>
    <w:rsid w:val="005B5A3E"/>
    <w:rsid w:val="005B6A22"/>
    <w:rsid w:val="005B71C6"/>
    <w:rsid w:val="005C0A5F"/>
    <w:rsid w:val="005C2F7F"/>
    <w:rsid w:val="005D0329"/>
    <w:rsid w:val="005D0839"/>
    <w:rsid w:val="005D16A6"/>
    <w:rsid w:val="005D1E14"/>
    <w:rsid w:val="005D26C5"/>
    <w:rsid w:val="005D2B5A"/>
    <w:rsid w:val="005D354F"/>
    <w:rsid w:val="005D4C39"/>
    <w:rsid w:val="005D6A7D"/>
    <w:rsid w:val="005D72E3"/>
    <w:rsid w:val="005E05A1"/>
    <w:rsid w:val="005E13D4"/>
    <w:rsid w:val="005E31CE"/>
    <w:rsid w:val="005E39D5"/>
    <w:rsid w:val="005E4B9B"/>
    <w:rsid w:val="005E4DA7"/>
    <w:rsid w:val="005E5317"/>
    <w:rsid w:val="005E6A83"/>
    <w:rsid w:val="005E72DE"/>
    <w:rsid w:val="005F199D"/>
    <w:rsid w:val="005F233E"/>
    <w:rsid w:val="005F26EA"/>
    <w:rsid w:val="005F27C0"/>
    <w:rsid w:val="005F3288"/>
    <w:rsid w:val="005F3A97"/>
    <w:rsid w:val="005F3D8C"/>
    <w:rsid w:val="005F50D5"/>
    <w:rsid w:val="005F6E63"/>
    <w:rsid w:val="005F7A95"/>
    <w:rsid w:val="006000D3"/>
    <w:rsid w:val="006004FE"/>
    <w:rsid w:val="00600E3D"/>
    <w:rsid w:val="0060425F"/>
    <w:rsid w:val="006045CD"/>
    <w:rsid w:val="00604B8C"/>
    <w:rsid w:val="00604DED"/>
    <w:rsid w:val="00605925"/>
    <w:rsid w:val="00606179"/>
    <w:rsid w:val="00613A79"/>
    <w:rsid w:val="00613B78"/>
    <w:rsid w:val="006151C5"/>
    <w:rsid w:val="00617473"/>
    <w:rsid w:val="006174DF"/>
    <w:rsid w:val="00620D28"/>
    <w:rsid w:val="0062116A"/>
    <w:rsid w:val="00622083"/>
    <w:rsid w:val="0062341C"/>
    <w:rsid w:val="006236C9"/>
    <w:rsid w:val="0062386A"/>
    <w:rsid w:val="00624724"/>
    <w:rsid w:val="00624E37"/>
    <w:rsid w:val="00626076"/>
    <w:rsid w:val="00626DAA"/>
    <w:rsid w:val="006313B5"/>
    <w:rsid w:val="00631CA5"/>
    <w:rsid w:val="006371FD"/>
    <w:rsid w:val="00640002"/>
    <w:rsid w:val="006407B1"/>
    <w:rsid w:val="00640943"/>
    <w:rsid w:val="00642BCE"/>
    <w:rsid w:val="00647F78"/>
    <w:rsid w:val="00650675"/>
    <w:rsid w:val="006521E3"/>
    <w:rsid w:val="0065268F"/>
    <w:rsid w:val="006530C8"/>
    <w:rsid w:val="006531FE"/>
    <w:rsid w:val="0065350D"/>
    <w:rsid w:val="00653886"/>
    <w:rsid w:val="00655893"/>
    <w:rsid w:val="00655E2A"/>
    <w:rsid w:val="00662666"/>
    <w:rsid w:val="006633DD"/>
    <w:rsid w:val="0066358D"/>
    <w:rsid w:val="00664DA8"/>
    <w:rsid w:val="00665D69"/>
    <w:rsid w:val="0067456C"/>
    <w:rsid w:val="00674B0F"/>
    <w:rsid w:val="00674D53"/>
    <w:rsid w:val="006752A4"/>
    <w:rsid w:val="00675BBA"/>
    <w:rsid w:val="00676236"/>
    <w:rsid w:val="00676788"/>
    <w:rsid w:val="006769D6"/>
    <w:rsid w:val="00676E85"/>
    <w:rsid w:val="00677352"/>
    <w:rsid w:val="00680AA9"/>
    <w:rsid w:val="0068124E"/>
    <w:rsid w:val="00682136"/>
    <w:rsid w:val="00682BEF"/>
    <w:rsid w:val="00683E34"/>
    <w:rsid w:val="00684A39"/>
    <w:rsid w:val="00686067"/>
    <w:rsid w:val="00686AE6"/>
    <w:rsid w:val="00691AEA"/>
    <w:rsid w:val="00693F10"/>
    <w:rsid w:val="0069559D"/>
    <w:rsid w:val="00695D5C"/>
    <w:rsid w:val="00696700"/>
    <w:rsid w:val="00696CA7"/>
    <w:rsid w:val="00697D9E"/>
    <w:rsid w:val="006A0370"/>
    <w:rsid w:val="006A0AFE"/>
    <w:rsid w:val="006A13B2"/>
    <w:rsid w:val="006A1C41"/>
    <w:rsid w:val="006A22EA"/>
    <w:rsid w:val="006A2BC4"/>
    <w:rsid w:val="006A4298"/>
    <w:rsid w:val="006A51D4"/>
    <w:rsid w:val="006A548E"/>
    <w:rsid w:val="006A5702"/>
    <w:rsid w:val="006A7EB9"/>
    <w:rsid w:val="006B080E"/>
    <w:rsid w:val="006B2383"/>
    <w:rsid w:val="006B3680"/>
    <w:rsid w:val="006B463B"/>
    <w:rsid w:val="006B4C5A"/>
    <w:rsid w:val="006B5301"/>
    <w:rsid w:val="006B5AFC"/>
    <w:rsid w:val="006B7D23"/>
    <w:rsid w:val="006C05C6"/>
    <w:rsid w:val="006C06EA"/>
    <w:rsid w:val="006C0E05"/>
    <w:rsid w:val="006C0E31"/>
    <w:rsid w:val="006C20A7"/>
    <w:rsid w:val="006C2F47"/>
    <w:rsid w:val="006C4A90"/>
    <w:rsid w:val="006C64D3"/>
    <w:rsid w:val="006D023B"/>
    <w:rsid w:val="006D0505"/>
    <w:rsid w:val="006D1170"/>
    <w:rsid w:val="006D2EB7"/>
    <w:rsid w:val="006D325A"/>
    <w:rsid w:val="006D4754"/>
    <w:rsid w:val="006D51EE"/>
    <w:rsid w:val="006D5A67"/>
    <w:rsid w:val="006D5C08"/>
    <w:rsid w:val="006D61C1"/>
    <w:rsid w:val="006E1860"/>
    <w:rsid w:val="006E26EC"/>
    <w:rsid w:val="006E2CD9"/>
    <w:rsid w:val="006E3859"/>
    <w:rsid w:val="006E4663"/>
    <w:rsid w:val="006E524C"/>
    <w:rsid w:val="006F04D4"/>
    <w:rsid w:val="006F10D9"/>
    <w:rsid w:val="006F2AEC"/>
    <w:rsid w:val="006F2CB0"/>
    <w:rsid w:val="006F38AC"/>
    <w:rsid w:val="00701AE0"/>
    <w:rsid w:val="00702714"/>
    <w:rsid w:val="00703344"/>
    <w:rsid w:val="007069F3"/>
    <w:rsid w:val="00706C65"/>
    <w:rsid w:val="00710A83"/>
    <w:rsid w:val="00711814"/>
    <w:rsid w:val="0071212C"/>
    <w:rsid w:val="00713305"/>
    <w:rsid w:val="007133A5"/>
    <w:rsid w:val="00713571"/>
    <w:rsid w:val="00713743"/>
    <w:rsid w:val="007168B6"/>
    <w:rsid w:val="007179D0"/>
    <w:rsid w:val="007204A5"/>
    <w:rsid w:val="007211A3"/>
    <w:rsid w:val="0072255B"/>
    <w:rsid w:val="0072279C"/>
    <w:rsid w:val="00723F4B"/>
    <w:rsid w:val="007251C2"/>
    <w:rsid w:val="00725D82"/>
    <w:rsid w:val="00732480"/>
    <w:rsid w:val="00732BA8"/>
    <w:rsid w:val="00732D3B"/>
    <w:rsid w:val="00733943"/>
    <w:rsid w:val="00733B64"/>
    <w:rsid w:val="007357AF"/>
    <w:rsid w:val="00735BE4"/>
    <w:rsid w:val="007365A2"/>
    <w:rsid w:val="0073675E"/>
    <w:rsid w:val="0073755E"/>
    <w:rsid w:val="007407C4"/>
    <w:rsid w:val="0074143F"/>
    <w:rsid w:val="00743F16"/>
    <w:rsid w:val="0074466D"/>
    <w:rsid w:val="00744CEA"/>
    <w:rsid w:val="00745569"/>
    <w:rsid w:val="00747B72"/>
    <w:rsid w:val="00750134"/>
    <w:rsid w:val="007502F9"/>
    <w:rsid w:val="0075088B"/>
    <w:rsid w:val="00752149"/>
    <w:rsid w:val="00752661"/>
    <w:rsid w:val="00755A70"/>
    <w:rsid w:val="00755B17"/>
    <w:rsid w:val="00755D2B"/>
    <w:rsid w:val="00756AD7"/>
    <w:rsid w:val="00757CC8"/>
    <w:rsid w:val="007645F0"/>
    <w:rsid w:val="00764C62"/>
    <w:rsid w:val="00764F77"/>
    <w:rsid w:val="00765022"/>
    <w:rsid w:val="00766751"/>
    <w:rsid w:val="0076749F"/>
    <w:rsid w:val="0077423A"/>
    <w:rsid w:val="0077431C"/>
    <w:rsid w:val="0077432E"/>
    <w:rsid w:val="00774609"/>
    <w:rsid w:val="0077523A"/>
    <w:rsid w:val="007766B8"/>
    <w:rsid w:val="0077699D"/>
    <w:rsid w:val="00781FD1"/>
    <w:rsid w:val="00783F9B"/>
    <w:rsid w:val="00784A65"/>
    <w:rsid w:val="007866A3"/>
    <w:rsid w:val="00786B8E"/>
    <w:rsid w:val="0079014E"/>
    <w:rsid w:val="0079104B"/>
    <w:rsid w:val="00791AD5"/>
    <w:rsid w:val="00792A8F"/>
    <w:rsid w:val="00792FB6"/>
    <w:rsid w:val="007937AE"/>
    <w:rsid w:val="00793CC7"/>
    <w:rsid w:val="00795957"/>
    <w:rsid w:val="00796FE9"/>
    <w:rsid w:val="007970DA"/>
    <w:rsid w:val="007A03AD"/>
    <w:rsid w:val="007A15D0"/>
    <w:rsid w:val="007A1C96"/>
    <w:rsid w:val="007A2AD2"/>
    <w:rsid w:val="007A4056"/>
    <w:rsid w:val="007A426A"/>
    <w:rsid w:val="007A465B"/>
    <w:rsid w:val="007A49A7"/>
    <w:rsid w:val="007A5BCB"/>
    <w:rsid w:val="007B06B8"/>
    <w:rsid w:val="007B0CAA"/>
    <w:rsid w:val="007B330D"/>
    <w:rsid w:val="007B3918"/>
    <w:rsid w:val="007B3B06"/>
    <w:rsid w:val="007B518B"/>
    <w:rsid w:val="007B6257"/>
    <w:rsid w:val="007C097F"/>
    <w:rsid w:val="007C14F7"/>
    <w:rsid w:val="007C1770"/>
    <w:rsid w:val="007C29E9"/>
    <w:rsid w:val="007C34FC"/>
    <w:rsid w:val="007C3DB7"/>
    <w:rsid w:val="007C4487"/>
    <w:rsid w:val="007C55EE"/>
    <w:rsid w:val="007C5DDD"/>
    <w:rsid w:val="007C61E1"/>
    <w:rsid w:val="007C6517"/>
    <w:rsid w:val="007C75DB"/>
    <w:rsid w:val="007D2A66"/>
    <w:rsid w:val="007D4AB8"/>
    <w:rsid w:val="007D5EB6"/>
    <w:rsid w:val="007D636D"/>
    <w:rsid w:val="007D709F"/>
    <w:rsid w:val="007E0409"/>
    <w:rsid w:val="007E130C"/>
    <w:rsid w:val="007E15D4"/>
    <w:rsid w:val="007E1702"/>
    <w:rsid w:val="007E184C"/>
    <w:rsid w:val="007E48B7"/>
    <w:rsid w:val="007E4DDA"/>
    <w:rsid w:val="007E7D40"/>
    <w:rsid w:val="007F39C2"/>
    <w:rsid w:val="007F448A"/>
    <w:rsid w:val="007F4EA2"/>
    <w:rsid w:val="007F5A30"/>
    <w:rsid w:val="007F7B28"/>
    <w:rsid w:val="008009A2"/>
    <w:rsid w:val="008016F8"/>
    <w:rsid w:val="00801899"/>
    <w:rsid w:val="0080270D"/>
    <w:rsid w:val="0080304B"/>
    <w:rsid w:val="008044D4"/>
    <w:rsid w:val="008047CE"/>
    <w:rsid w:val="00806ED8"/>
    <w:rsid w:val="00810902"/>
    <w:rsid w:val="00810B34"/>
    <w:rsid w:val="00811B5E"/>
    <w:rsid w:val="00811BD9"/>
    <w:rsid w:val="00811D91"/>
    <w:rsid w:val="00812042"/>
    <w:rsid w:val="0081230E"/>
    <w:rsid w:val="00815997"/>
    <w:rsid w:val="008159EB"/>
    <w:rsid w:val="00817FE3"/>
    <w:rsid w:val="00822FE5"/>
    <w:rsid w:val="00823B3B"/>
    <w:rsid w:val="00824152"/>
    <w:rsid w:val="008251E6"/>
    <w:rsid w:val="00830431"/>
    <w:rsid w:val="008306AE"/>
    <w:rsid w:val="0083152F"/>
    <w:rsid w:val="008318C4"/>
    <w:rsid w:val="00832951"/>
    <w:rsid w:val="00833592"/>
    <w:rsid w:val="00834427"/>
    <w:rsid w:val="008346E2"/>
    <w:rsid w:val="008350C0"/>
    <w:rsid w:val="00836996"/>
    <w:rsid w:val="00837275"/>
    <w:rsid w:val="008412C2"/>
    <w:rsid w:val="008412D6"/>
    <w:rsid w:val="00841EC0"/>
    <w:rsid w:val="00842775"/>
    <w:rsid w:val="008442B7"/>
    <w:rsid w:val="0084499C"/>
    <w:rsid w:val="00844A44"/>
    <w:rsid w:val="00845636"/>
    <w:rsid w:val="0085018C"/>
    <w:rsid w:val="008508EC"/>
    <w:rsid w:val="00850B1C"/>
    <w:rsid w:val="00850DDB"/>
    <w:rsid w:val="00850DF4"/>
    <w:rsid w:val="00852292"/>
    <w:rsid w:val="00852ABD"/>
    <w:rsid w:val="00853568"/>
    <w:rsid w:val="00855012"/>
    <w:rsid w:val="00855302"/>
    <w:rsid w:val="0085625C"/>
    <w:rsid w:val="00860373"/>
    <w:rsid w:val="008669E8"/>
    <w:rsid w:val="00866C7B"/>
    <w:rsid w:val="00867767"/>
    <w:rsid w:val="008708ED"/>
    <w:rsid w:val="00870C74"/>
    <w:rsid w:val="0087189A"/>
    <w:rsid w:val="00872601"/>
    <w:rsid w:val="0087411E"/>
    <w:rsid w:val="008750DB"/>
    <w:rsid w:val="00875271"/>
    <w:rsid w:val="008755C8"/>
    <w:rsid w:val="00875EA3"/>
    <w:rsid w:val="00882452"/>
    <w:rsid w:val="0088361C"/>
    <w:rsid w:val="0088389A"/>
    <w:rsid w:val="00885AD4"/>
    <w:rsid w:val="008905F0"/>
    <w:rsid w:val="008906E6"/>
    <w:rsid w:val="00890D52"/>
    <w:rsid w:val="00890F77"/>
    <w:rsid w:val="008915C9"/>
    <w:rsid w:val="0089318F"/>
    <w:rsid w:val="0089628E"/>
    <w:rsid w:val="008977A0"/>
    <w:rsid w:val="008A0272"/>
    <w:rsid w:val="008A0B50"/>
    <w:rsid w:val="008A20C1"/>
    <w:rsid w:val="008A287C"/>
    <w:rsid w:val="008A4072"/>
    <w:rsid w:val="008A41C3"/>
    <w:rsid w:val="008A52CE"/>
    <w:rsid w:val="008A560A"/>
    <w:rsid w:val="008A74B5"/>
    <w:rsid w:val="008B3B3F"/>
    <w:rsid w:val="008B3D39"/>
    <w:rsid w:val="008B4AA9"/>
    <w:rsid w:val="008B4E91"/>
    <w:rsid w:val="008B4FCE"/>
    <w:rsid w:val="008B60B9"/>
    <w:rsid w:val="008B6129"/>
    <w:rsid w:val="008B64CC"/>
    <w:rsid w:val="008C28D2"/>
    <w:rsid w:val="008C2F50"/>
    <w:rsid w:val="008C3B02"/>
    <w:rsid w:val="008C3C1B"/>
    <w:rsid w:val="008C4A3B"/>
    <w:rsid w:val="008C59BF"/>
    <w:rsid w:val="008C6CAE"/>
    <w:rsid w:val="008C7316"/>
    <w:rsid w:val="008C7D3E"/>
    <w:rsid w:val="008D0EAA"/>
    <w:rsid w:val="008D0F3E"/>
    <w:rsid w:val="008D16FD"/>
    <w:rsid w:val="008D1CAE"/>
    <w:rsid w:val="008D221C"/>
    <w:rsid w:val="008D4112"/>
    <w:rsid w:val="008D71D0"/>
    <w:rsid w:val="008E0282"/>
    <w:rsid w:val="008E0D61"/>
    <w:rsid w:val="008E433B"/>
    <w:rsid w:val="008E57A9"/>
    <w:rsid w:val="008E6D76"/>
    <w:rsid w:val="008F0197"/>
    <w:rsid w:val="008F0617"/>
    <w:rsid w:val="008F299F"/>
    <w:rsid w:val="008F4E6D"/>
    <w:rsid w:val="008F6DAF"/>
    <w:rsid w:val="008F74C6"/>
    <w:rsid w:val="0090210B"/>
    <w:rsid w:val="0090497E"/>
    <w:rsid w:val="00907FA7"/>
    <w:rsid w:val="009102C0"/>
    <w:rsid w:val="00912793"/>
    <w:rsid w:val="00914528"/>
    <w:rsid w:val="00916D24"/>
    <w:rsid w:val="009204BD"/>
    <w:rsid w:val="00920C1F"/>
    <w:rsid w:val="009214E5"/>
    <w:rsid w:val="00922562"/>
    <w:rsid w:val="00922BC5"/>
    <w:rsid w:val="00922C60"/>
    <w:rsid w:val="00922E2C"/>
    <w:rsid w:val="009234FD"/>
    <w:rsid w:val="00923E5A"/>
    <w:rsid w:val="00924CB5"/>
    <w:rsid w:val="00925227"/>
    <w:rsid w:val="009255E6"/>
    <w:rsid w:val="00927A89"/>
    <w:rsid w:val="00934005"/>
    <w:rsid w:val="0093495D"/>
    <w:rsid w:val="009360B3"/>
    <w:rsid w:val="00937511"/>
    <w:rsid w:val="00937589"/>
    <w:rsid w:val="009415AF"/>
    <w:rsid w:val="00943076"/>
    <w:rsid w:val="00944946"/>
    <w:rsid w:val="00944E54"/>
    <w:rsid w:val="00945B65"/>
    <w:rsid w:val="0094674F"/>
    <w:rsid w:val="00946A1B"/>
    <w:rsid w:val="00947F6C"/>
    <w:rsid w:val="00950857"/>
    <w:rsid w:val="00950DC6"/>
    <w:rsid w:val="00951ABA"/>
    <w:rsid w:val="00953AF8"/>
    <w:rsid w:val="00954D82"/>
    <w:rsid w:val="00954F46"/>
    <w:rsid w:val="00955062"/>
    <w:rsid w:val="00956422"/>
    <w:rsid w:val="00957245"/>
    <w:rsid w:val="00957A7D"/>
    <w:rsid w:val="00957DC1"/>
    <w:rsid w:val="0096023B"/>
    <w:rsid w:val="00961391"/>
    <w:rsid w:val="00962966"/>
    <w:rsid w:val="009631A3"/>
    <w:rsid w:val="00964F08"/>
    <w:rsid w:val="009656CA"/>
    <w:rsid w:val="00965BEB"/>
    <w:rsid w:val="009668FC"/>
    <w:rsid w:val="00967794"/>
    <w:rsid w:val="00967AB5"/>
    <w:rsid w:val="00967C1D"/>
    <w:rsid w:val="00970229"/>
    <w:rsid w:val="009703E8"/>
    <w:rsid w:val="00970A3B"/>
    <w:rsid w:val="00971D5C"/>
    <w:rsid w:val="00972629"/>
    <w:rsid w:val="00973629"/>
    <w:rsid w:val="009736C5"/>
    <w:rsid w:val="00973887"/>
    <w:rsid w:val="00974C2C"/>
    <w:rsid w:val="00976F33"/>
    <w:rsid w:val="00977270"/>
    <w:rsid w:val="00980F85"/>
    <w:rsid w:val="00981A48"/>
    <w:rsid w:val="0098226D"/>
    <w:rsid w:val="00984C43"/>
    <w:rsid w:val="00985626"/>
    <w:rsid w:val="009861A1"/>
    <w:rsid w:val="00986E67"/>
    <w:rsid w:val="00986F03"/>
    <w:rsid w:val="009908A1"/>
    <w:rsid w:val="00990D5F"/>
    <w:rsid w:val="00994266"/>
    <w:rsid w:val="0099758F"/>
    <w:rsid w:val="009A0FDA"/>
    <w:rsid w:val="009A1071"/>
    <w:rsid w:val="009A2755"/>
    <w:rsid w:val="009A3691"/>
    <w:rsid w:val="009A3A21"/>
    <w:rsid w:val="009A49E6"/>
    <w:rsid w:val="009A53BC"/>
    <w:rsid w:val="009A5F97"/>
    <w:rsid w:val="009A6837"/>
    <w:rsid w:val="009A7CE3"/>
    <w:rsid w:val="009B0D0E"/>
    <w:rsid w:val="009B518F"/>
    <w:rsid w:val="009B52CE"/>
    <w:rsid w:val="009B554E"/>
    <w:rsid w:val="009B5894"/>
    <w:rsid w:val="009B61EB"/>
    <w:rsid w:val="009B65B9"/>
    <w:rsid w:val="009C13CC"/>
    <w:rsid w:val="009C3716"/>
    <w:rsid w:val="009C587C"/>
    <w:rsid w:val="009C76A4"/>
    <w:rsid w:val="009D06AB"/>
    <w:rsid w:val="009D1366"/>
    <w:rsid w:val="009D2520"/>
    <w:rsid w:val="009D37B8"/>
    <w:rsid w:val="009D3F55"/>
    <w:rsid w:val="009D587B"/>
    <w:rsid w:val="009D5C11"/>
    <w:rsid w:val="009D6FA6"/>
    <w:rsid w:val="009D6FB5"/>
    <w:rsid w:val="009D7D5A"/>
    <w:rsid w:val="009E072F"/>
    <w:rsid w:val="009E07E3"/>
    <w:rsid w:val="009E2007"/>
    <w:rsid w:val="009E3756"/>
    <w:rsid w:val="009E479E"/>
    <w:rsid w:val="009E60B9"/>
    <w:rsid w:val="009F064F"/>
    <w:rsid w:val="009F1D19"/>
    <w:rsid w:val="009F3008"/>
    <w:rsid w:val="009F327C"/>
    <w:rsid w:val="009F3F49"/>
    <w:rsid w:val="009F459D"/>
    <w:rsid w:val="009F51B5"/>
    <w:rsid w:val="00A0000A"/>
    <w:rsid w:val="00A0001A"/>
    <w:rsid w:val="00A00E82"/>
    <w:rsid w:val="00A0149C"/>
    <w:rsid w:val="00A025F9"/>
    <w:rsid w:val="00A02C42"/>
    <w:rsid w:val="00A02C63"/>
    <w:rsid w:val="00A03580"/>
    <w:rsid w:val="00A03EFB"/>
    <w:rsid w:val="00A06010"/>
    <w:rsid w:val="00A105B4"/>
    <w:rsid w:val="00A10944"/>
    <w:rsid w:val="00A10CA3"/>
    <w:rsid w:val="00A1272B"/>
    <w:rsid w:val="00A128B5"/>
    <w:rsid w:val="00A1322E"/>
    <w:rsid w:val="00A13BAB"/>
    <w:rsid w:val="00A13D88"/>
    <w:rsid w:val="00A140D0"/>
    <w:rsid w:val="00A1428F"/>
    <w:rsid w:val="00A14CFA"/>
    <w:rsid w:val="00A150C2"/>
    <w:rsid w:val="00A15519"/>
    <w:rsid w:val="00A164C0"/>
    <w:rsid w:val="00A17029"/>
    <w:rsid w:val="00A172EE"/>
    <w:rsid w:val="00A202E1"/>
    <w:rsid w:val="00A21B21"/>
    <w:rsid w:val="00A23236"/>
    <w:rsid w:val="00A237B5"/>
    <w:rsid w:val="00A23A9A"/>
    <w:rsid w:val="00A24010"/>
    <w:rsid w:val="00A240EC"/>
    <w:rsid w:val="00A24716"/>
    <w:rsid w:val="00A26886"/>
    <w:rsid w:val="00A2730E"/>
    <w:rsid w:val="00A30409"/>
    <w:rsid w:val="00A3156B"/>
    <w:rsid w:val="00A32C22"/>
    <w:rsid w:val="00A33168"/>
    <w:rsid w:val="00A34675"/>
    <w:rsid w:val="00A347C4"/>
    <w:rsid w:val="00A35FF5"/>
    <w:rsid w:val="00A368AA"/>
    <w:rsid w:val="00A42505"/>
    <w:rsid w:val="00A43E5B"/>
    <w:rsid w:val="00A44FFE"/>
    <w:rsid w:val="00A46979"/>
    <w:rsid w:val="00A46A5D"/>
    <w:rsid w:val="00A5023D"/>
    <w:rsid w:val="00A507D9"/>
    <w:rsid w:val="00A53E79"/>
    <w:rsid w:val="00A54D48"/>
    <w:rsid w:val="00A54DAF"/>
    <w:rsid w:val="00A55037"/>
    <w:rsid w:val="00A5572F"/>
    <w:rsid w:val="00A5737B"/>
    <w:rsid w:val="00A57498"/>
    <w:rsid w:val="00A57A95"/>
    <w:rsid w:val="00A60095"/>
    <w:rsid w:val="00A6013E"/>
    <w:rsid w:val="00A61E94"/>
    <w:rsid w:val="00A6242C"/>
    <w:rsid w:val="00A62791"/>
    <w:rsid w:val="00A62CB1"/>
    <w:rsid w:val="00A62F09"/>
    <w:rsid w:val="00A63386"/>
    <w:rsid w:val="00A70F85"/>
    <w:rsid w:val="00A711FF"/>
    <w:rsid w:val="00A71E64"/>
    <w:rsid w:val="00A73795"/>
    <w:rsid w:val="00A7385F"/>
    <w:rsid w:val="00A73B34"/>
    <w:rsid w:val="00A74397"/>
    <w:rsid w:val="00A74A0D"/>
    <w:rsid w:val="00A74E36"/>
    <w:rsid w:val="00A752B0"/>
    <w:rsid w:val="00A763E9"/>
    <w:rsid w:val="00A779D0"/>
    <w:rsid w:val="00A77D52"/>
    <w:rsid w:val="00A80A17"/>
    <w:rsid w:val="00A80DBE"/>
    <w:rsid w:val="00A81DC3"/>
    <w:rsid w:val="00A822EE"/>
    <w:rsid w:val="00A83693"/>
    <w:rsid w:val="00A8497C"/>
    <w:rsid w:val="00A86762"/>
    <w:rsid w:val="00A90125"/>
    <w:rsid w:val="00A902D2"/>
    <w:rsid w:val="00A91E1B"/>
    <w:rsid w:val="00A92490"/>
    <w:rsid w:val="00A93243"/>
    <w:rsid w:val="00A93BF8"/>
    <w:rsid w:val="00A94D39"/>
    <w:rsid w:val="00A95399"/>
    <w:rsid w:val="00A97B05"/>
    <w:rsid w:val="00AA08FD"/>
    <w:rsid w:val="00AA3479"/>
    <w:rsid w:val="00AA3638"/>
    <w:rsid w:val="00AA54A4"/>
    <w:rsid w:val="00AA6AA1"/>
    <w:rsid w:val="00AA763D"/>
    <w:rsid w:val="00AB0426"/>
    <w:rsid w:val="00AB0AD5"/>
    <w:rsid w:val="00AB1C34"/>
    <w:rsid w:val="00AB3AE9"/>
    <w:rsid w:val="00AB44CA"/>
    <w:rsid w:val="00AB4F10"/>
    <w:rsid w:val="00AB7A94"/>
    <w:rsid w:val="00AC303E"/>
    <w:rsid w:val="00AC4144"/>
    <w:rsid w:val="00AC5544"/>
    <w:rsid w:val="00AC71E8"/>
    <w:rsid w:val="00AC7365"/>
    <w:rsid w:val="00AD06C6"/>
    <w:rsid w:val="00AD1C5D"/>
    <w:rsid w:val="00AD274E"/>
    <w:rsid w:val="00AD2808"/>
    <w:rsid w:val="00AD2CBF"/>
    <w:rsid w:val="00AD3A89"/>
    <w:rsid w:val="00AD3E0D"/>
    <w:rsid w:val="00AD5216"/>
    <w:rsid w:val="00AD5AAB"/>
    <w:rsid w:val="00AD5F4C"/>
    <w:rsid w:val="00AE0888"/>
    <w:rsid w:val="00AE21E7"/>
    <w:rsid w:val="00AE4DBA"/>
    <w:rsid w:val="00AF1ACA"/>
    <w:rsid w:val="00AF20F9"/>
    <w:rsid w:val="00AF2876"/>
    <w:rsid w:val="00AF3185"/>
    <w:rsid w:val="00AF32BE"/>
    <w:rsid w:val="00AF3439"/>
    <w:rsid w:val="00AF3F19"/>
    <w:rsid w:val="00AF43E5"/>
    <w:rsid w:val="00AF4FE5"/>
    <w:rsid w:val="00AF7107"/>
    <w:rsid w:val="00AF7D5A"/>
    <w:rsid w:val="00B00078"/>
    <w:rsid w:val="00B001D0"/>
    <w:rsid w:val="00B0128F"/>
    <w:rsid w:val="00B01ED9"/>
    <w:rsid w:val="00B0349D"/>
    <w:rsid w:val="00B03FD6"/>
    <w:rsid w:val="00B04593"/>
    <w:rsid w:val="00B053EC"/>
    <w:rsid w:val="00B059B8"/>
    <w:rsid w:val="00B0675E"/>
    <w:rsid w:val="00B07539"/>
    <w:rsid w:val="00B07B82"/>
    <w:rsid w:val="00B10F85"/>
    <w:rsid w:val="00B112D5"/>
    <w:rsid w:val="00B114A8"/>
    <w:rsid w:val="00B11888"/>
    <w:rsid w:val="00B127DC"/>
    <w:rsid w:val="00B12A24"/>
    <w:rsid w:val="00B12DE7"/>
    <w:rsid w:val="00B137ED"/>
    <w:rsid w:val="00B14025"/>
    <w:rsid w:val="00B147D8"/>
    <w:rsid w:val="00B156EE"/>
    <w:rsid w:val="00B17413"/>
    <w:rsid w:val="00B2144F"/>
    <w:rsid w:val="00B21475"/>
    <w:rsid w:val="00B21EB2"/>
    <w:rsid w:val="00B220D9"/>
    <w:rsid w:val="00B22251"/>
    <w:rsid w:val="00B2232F"/>
    <w:rsid w:val="00B22987"/>
    <w:rsid w:val="00B22CE5"/>
    <w:rsid w:val="00B244A6"/>
    <w:rsid w:val="00B253A9"/>
    <w:rsid w:val="00B26B13"/>
    <w:rsid w:val="00B306AA"/>
    <w:rsid w:val="00B308AA"/>
    <w:rsid w:val="00B30E91"/>
    <w:rsid w:val="00B33244"/>
    <w:rsid w:val="00B33639"/>
    <w:rsid w:val="00B3385F"/>
    <w:rsid w:val="00B34E34"/>
    <w:rsid w:val="00B35A27"/>
    <w:rsid w:val="00B35D95"/>
    <w:rsid w:val="00B35E2D"/>
    <w:rsid w:val="00B36290"/>
    <w:rsid w:val="00B41FD3"/>
    <w:rsid w:val="00B423F0"/>
    <w:rsid w:val="00B42877"/>
    <w:rsid w:val="00B44AFA"/>
    <w:rsid w:val="00B45322"/>
    <w:rsid w:val="00B50C78"/>
    <w:rsid w:val="00B5138F"/>
    <w:rsid w:val="00B53282"/>
    <w:rsid w:val="00B532AA"/>
    <w:rsid w:val="00B569B4"/>
    <w:rsid w:val="00B57385"/>
    <w:rsid w:val="00B6342B"/>
    <w:rsid w:val="00B63885"/>
    <w:rsid w:val="00B63CB3"/>
    <w:rsid w:val="00B65C85"/>
    <w:rsid w:val="00B672EB"/>
    <w:rsid w:val="00B6739E"/>
    <w:rsid w:val="00B67CF6"/>
    <w:rsid w:val="00B71545"/>
    <w:rsid w:val="00B717BE"/>
    <w:rsid w:val="00B73634"/>
    <w:rsid w:val="00B7363F"/>
    <w:rsid w:val="00B73874"/>
    <w:rsid w:val="00B73BC9"/>
    <w:rsid w:val="00B77F03"/>
    <w:rsid w:val="00B81583"/>
    <w:rsid w:val="00B81C1A"/>
    <w:rsid w:val="00B83302"/>
    <w:rsid w:val="00B83B63"/>
    <w:rsid w:val="00B84BE9"/>
    <w:rsid w:val="00B85C3D"/>
    <w:rsid w:val="00B86B12"/>
    <w:rsid w:val="00B91CBD"/>
    <w:rsid w:val="00B91E78"/>
    <w:rsid w:val="00B926A6"/>
    <w:rsid w:val="00B92933"/>
    <w:rsid w:val="00B92C12"/>
    <w:rsid w:val="00B92EE8"/>
    <w:rsid w:val="00B944C4"/>
    <w:rsid w:val="00B963D1"/>
    <w:rsid w:val="00B967DA"/>
    <w:rsid w:val="00B96BCD"/>
    <w:rsid w:val="00B97547"/>
    <w:rsid w:val="00BA0009"/>
    <w:rsid w:val="00BA1504"/>
    <w:rsid w:val="00BA2205"/>
    <w:rsid w:val="00BA35A8"/>
    <w:rsid w:val="00BA41AF"/>
    <w:rsid w:val="00BA4F0A"/>
    <w:rsid w:val="00BA4F13"/>
    <w:rsid w:val="00BA515C"/>
    <w:rsid w:val="00BA750F"/>
    <w:rsid w:val="00BA7D2B"/>
    <w:rsid w:val="00BB0A38"/>
    <w:rsid w:val="00BB184C"/>
    <w:rsid w:val="00BB1DB9"/>
    <w:rsid w:val="00BB21BD"/>
    <w:rsid w:val="00BB3409"/>
    <w:rsid w:val="00BB349E"/>
    <w:rsid w:val="00BB3874"/>
    <w:rsid w:val="00BB3C60"/>
    <w:rsid w:val="00BB4017"/>
    <w:rsid w:val="00BB58A2"/>
    <w:rsid w:val="00BB63E9"/>
    <w:rsid w:val="00BB758E"/>
    <w:rsid w:val="00BC1B99"/>
    <w:rsid w:val="00BC407C"/>
    <w:rsid w:val="00BC4179"/>
    <w:rsid w:val="00BC476E"/>
    <w:rsid w:val="00BC737C"/>
    <w:rsid w:val="00BD1423"/>
    <w:rsid w:val="00BD2449"/>
    <w:rsid w:val="00BD2FD3"/>
    <w:rsid w:val="00BD3975"/>
    <w:rsid w:val="00BD3ABA"/>
    <w:rsid w:val="00BD46FC"/>
    <w:rsid w:val="00BD5762"/>
    <w:rsid w:val="00BD5D12"/>
    <w:rsid w:val="00BD7A0F"/>
    <w:rsid w:val="00BE05D1"/>
    <w:rsid w:val="00BE209D"/>
    <w:rsid w:val="00BE476F"/>
    <w:rsid w:val="00BE51DB"/>
    <w:rsid w:val="00BE5578"/>
    <w:rsid w:val="00BE6705"/>
    <w:rsid w:val="00BE7522"/>
    <w:rsid w:val="00BE7DB5"/>
    <w:rsid w:val="00BF017F"/>
    <w:rsid w:val="00BF02D1"/>
    <w:rsid w:val="00BF127E"/>
    <w:rsid w:val="00BF194B"/>
    <w:rsid w:val="00BF29A1"/>
    <w:rsid w:val="00BF5443"/>
    <w:rsid w:val="00BF6C09"/>
    <w:rsid w:val="00C00A0F"/>
    <w:rsid w:val="00C023C9"/>
    <w:rsid w:val="00C024E0"/>
    <w:rsid w:val="00C0645F"/>
    <w:rsid w:val="00C110BD"/>
    <w:rsid w:val="00C1152B"/>
    <w:rsid w:val="00C11C0E"/>
    <w:rsid w:val="00C12ED8"/>
    <w:rsid w:val="00C134D4"/>
    <w:rsid w:val="00C1412E"/>
    <w:rsid w:val="00C148AD"/>
    <w:rsid w:val="00C14C03"/>
    <w:rsid w:val="00C14D07"/>
    <w:rsid w:val="00C15942"/>
    <w:rsid w:val="00C164F1"/>
    <w:rsid w:val="00C1782E"/>
    <w:rsid w:val="00C17973"/>
    <w:rsid w:val="00C202CC"/>
    <w:rsid w:val="00C209B8"/>
    <w:rsid w:val="00C20A97"/>
    <w:rsid w:val="00C2259D"/>
    <w:rsid w:val="00C234FA"/>
    <w:rsid w:val="00C23A25"/>
    <w:rsid w:val="00C24829"/>
    <w:rsid w:val="00C27975"/>
    <w:rsid w:val="00C27AD1"/>
    <w:rsid w:val="00C3007E"/>
    <w:rsid w:val="00C30E90"/>
    <w:rsid w:val="00C30E9D"/>
    <w:rsid w:val="00C32811"/>
    <w:rsid w:val="00C35F9D"/>
    <w:rsid w:val="00C361D1"/>
    <w:rsid w:val="00C37A4A"/>
    <w:rsid w:val="00C41BBB"/>
    <w:rsid w:val="00C44433"/>
    <w:rsid w:val="00C450FF"/>
    <w:rsid w:val="00C4735F"/>
    <w:rsid w:val="00C50349"/>
    <w:rsid w:val="00C51077"/>
    <w:rsid w:val="00C510E2"/>
    <w:rsid w:val="00C512D8"/>
    <w:rsid w:val="00C52B1D"/>
    <w:rsid w:val="00C5313B"/>
    <w:rsid w:val="00C5600F"/>
    <w:rsid w:val="00C57D39"/>
    <w:rsid w:val="00C60B53"/>
    <w:rsid w:val="00C623F7"/>
    <w:rsid w:val="00C64233"/>
    <w:rsid w:val="00C66FA5"/>
    <w:rsid w:val="00C67CF1"/>
    <w:rsid w:val="00C67F66"/>
    <w:rsid w:val="00C70254"/>
    <w:rsid w:val="00C758EC"/>
    <w:rsid w:val="00C75DA9"/>
    <w:rsid w:val="00C76002"/>
    <w:rsid w:val="00C807F3"/>
    <w:rsid w:val="00C8489E"/>
    <w:rsid w:val="00C84AEF"/>
    <w:rsid w:val="00C90821"/>
    <w:rsid w:val="00C90EB8"/>
    <w:rsid w:val="00C91BA2"/>
    <w:rsid w:val="00C92833"/>
    <w:rsid w:val="00C94350"/>
    <w:rsid w:val="00CA0287"/>
    <w:rsid w:val="00CA0C33"/>
    <w:rsid w:val="00CA1932"/>
    <w:rsid w:val="00CA336E"/>
    <w:rsid w:val="00CA45A8"/>
    <w:rsid w:val="00CA47F6"/>
    <w:rsid w:val="00CA4F91"/>
    <w:rsid w:val="00CA6115"/>
    <w:rsid w:val="00CA62C6"/>
    <w:rsid w:val="00CB0BD3"/>
    <w:rsid w:val="00CB0C3F"/>
    <w:rsid w:val="00CB1E94"/>
    <w:rsid w:val="00CB32E1"/>
    <w:rsid w:val="00CB4258"/>
    <w:rsid w:val="00CB4CDA"/>
    <w:rsid w:val="00CB531F"/>
    <w:rsid w:val="00CB6111"/>
    <w:rsid w:val="00CB6351"/>
    <w:rsid w:val="00CB6A05"/>
    <w:rsid w:val="00CB6FC8"/>
    <w:rsid w:val="00CC12C4"/>
    <w:rsid w:val="00CC1E8E"/>
    <w:rsid w:val="00CC237B"/>
    <w:rsid w:val="00CC2759"/>
    <w:rsid w:val="00CC38FD"/>
    <w:rsid w:val="00CC3C2A"/>
    <w:rsid w:val="00CC6094"/>
    <w:rsid w:val="00CC7830"/>
    <w:rsid w:val="00CD019F"/>
    <w:rsid w:val="00CD1672"/>
    <w:rsid w:val="00CD2365"/>
    <w:rsid w:val="00CD3300"/>
    <w:rsid w:val="00CD33BA"/>
    <w:rsid w:val="00CD6AE7"/>
    <w:rsid w:val="00CD6B1E"/>
    <w:rsid w:val="00CD78A6"/>
    <w:rsid w:val="00CE069C"/>
    <w:rsid w:val="00CE366C"/>
    <w:rsid w:val="00CE5704"/>
    <w:rsid w:val="00CE5868"/>
    <w:rsid w:val="00CF1174"/>
    <w:rsid w:val="00CF1579"/>
    <w:rsid w:val="00CF1649"/>
    <w:rsid w:val="00CF3A32"/>
    <w:rsid w:val="00CF45E8"/>
    <w:rsid w:val="00CF45F3"/>
    <w:rsid w:val="00CF54D5"/>
    <w:rsid w:val="00D001BC"/>
    <w:rsid w:val="00D01AF5"/>
    <w:rsid w:val="00D02BAE"/>
    <w:rsid w:val="00D02DB5"/>
    <w:rsid w:val="00D04F2E"/>
    <w:rsid w:val="00D070AF"/>
    <w:rsid w:val="00D071F2"/>
    <w:rsid w:val="00D07732"/>
    <w:rsid w:val="00D07BA2"/>
    <w:rsid w:val="00D111D5"/>
    <w:rsid w:val="00D11D06"/>
    <w:rsid w:val="00D11E1B"/>
    <w:rsid w:val="00D12EDC"/>
    <w:rsid w:val="00D13434"/>
    <w:rsid w:val="00D13A6C"/>
    <w:rsid w:val="00D15C05"/>
    <w:rsid w:val="00D201AE"/>
    <w:rsid w:val="00D20D77"/>
    <w:rsid w:val="00D211AA"/>
    <w:rsid w:val="00D213D0"/>
    <w:rsid w:val="00D27053"/>
    <w:rsid w:val="00D27FF9"/>
    <w:rsid w:val="00D311C1"/>
    <w:rsid w:val="00D31910"/>
    <w:rsid w:val="00D31AEC"/>
    <w:rsid w:val="00D324F5"/>
    <w:rsid w:val="00D3371D"/>
    <w:rsid w:val="00D339EF"/>
    <w:rsid w:val="00D35E5C"/>
    <w:rsid w:val="00D3620F"/>
    <w:rsid w:val="00D42639"/>
    <w:rsid w:val="00D436E5"/>
    <w:rsid w:val="00D43C6F"/>
    <w:rsid w:val="00D44C17"/>
    <w:rsid w:val="00D4530E"/>
    <w:rsid w:val="00D45380"/>
    <w:rsid w:val="00D506AD"/>
    <w:rsid w:val="00D50AEE"/>
    <w:rsid w:val="00D51C7F"/>
    <w:rsid w:val="00D52F16"/>
    <w:rsid w:val="00D55991"/>
    <w:rsid w:val="00D60868"/>
    <w:rsid w:val="00D608A5"/>
    <w:rsid w:val="00D63AF4"/>
    <w:rsid w:val="00D651BD"/>
    <w:rsid w:val="00D6539E"/>
    <w:rsid w:val="00D65746"/>
    <w:rsid w:val="00D71A85"/>
    <w:rsid w:val="00D71BE1"/>
    <w:rsid w:val="00D7201F"/>
    <w:rsid w:val="00D744D4"/>
    <w:rsid w:val="00D74743"/>
    <w:rsid w:val="00D74A54"/>
    <w:rsid w:val="00D75823"/>
    <w:rsid w:val="00D75A49"/>
    <w:rsid w:val="00D75CAD"/>
    <w:rsid w:val="00D764A5"/>
    <w:rsid w:val="00D77DDC"/>
    <w:rsid w:val="00D80153"/>
    <w:rsid w:val="00D801AD"/>
    <w:rsid w:val="00D84AE8"/>
    <w:rsid w:val="00D86002"/>
    <w:rsid w:val="00D867F5"/>
    <w:rsid w:val="00D911AF"/>
    <w:rsid w:val="00D9173E"/>
    <w:rsid w:val="00D922D4"/>
    <w:rsid w:val="00D93912"/>
    <w:rsid w:val="00D93E9A"/>
    <w:rsid w:val="00D93F0C"/>
    <w:rsid w:val="00D9488C"/>
    <w:rsid w:val="00D95EFE"/>
    <w:rsid w:val="00D975EB"/>
    <w:rsid w:val="00D976F9"/>
    <w:rsid w:val="00DA5834"/>
    <w:rsid w:val="00DA6E1E"/>
    <w:rsid w:val="00DB18F4"/>
    <w:rsid w:val="00DB306D"/>
    <w:rsid w:val="00DB34F6"/>
    <w:rsid w:val="00DB39E4"/>
    <w:rsid w:val="00DB5BFA"/>
    <w:rsid w:val="00DB6BE7"/>
    <w:rsid w:val="00DB6E15"/>
    <w:rsid w:val="00DB6FA9"/>
    <w:rsid w:val="00DB7DC3"/>
    <w:rsid w:val="00DC1177"/>
    <w:rsid w:val="00DC2106"/>
    <w:rsid w:val="00DC32E4"/>
    <w:rsid w:val="00DC3990"/>
    <w:rsid w:val="00DC4B86"/>
    <w:rsid w:val="00DC4D44"/>
    <w:rsid w:val="00DC5F8A"/>
    <w:rsid w:val="00DC7F94"/>
    <w:rsid w:val="00DD019C"/>
    <w:rsid w:val="00DD02A6"/>
    <w:rsid w:val="00DD1C87"/>
    <w:rsid w:val="00DD28E9"/>
    <w:rsid w:val="00DD3FCE"/>
    <w:rsid w:val="00DD4135"/>
    <w:rsid w:val="00DD4A60"/>
    <w:rsid w:val="00DD615D"/>
    <w:rsid w:val="00DD6B8A"/>
    <w:rsid w:val="00DD7AC5"/>
    <w:rsid w:val="00DE00E8"/>
    <w:rsid w:val="00DE191E"/>
    <w:rsid w:val="00DE1931"/>
    <w:rsid w:val="00DE43D9"/>
    <w:rsid w:val="00DE5DC2"/>
    <w:rsid w:val="00DE675A"/>
    <w:rsid w:val="00DE7A0D"/>
    <w:rsid w:val="00DF175B"/>
    <w:rsid w:val="00DF1B80"/>
    <w:rsid w:val="00DF216C"/>
    <w:rsid w:val="00DF37CB"/>
    <w:rsid w:val="00DF42E8"/>
    <w:rsid w:val="00E004CC"/>
    <w:rsid w:val="00E00598"/>
    <w:rsid w:val="00E0225B"/>
    <w:rsid w:val="00E0272D"/>
    <w:rsid w:val="00E03604"/>
    <w:rsid w:val="00E052DA"/>
    <w:rsid w:val="00E073D6"/>
    <w:rsid w:val="00E10C40"/>
    <w:rsid w:val="00E1174E"/>
    <w:rsid w:val="00E12825"/>
    <w:rsid w:val="00E12EC5"/>
    <w:rsid w:val="00E13834"/>
    <w:rsid w:val="00E13BC4"/>
    <w:rsid w:val="00E13E8E"/>
    <w:rsid w:val="00E140B6"/>
    <w:rsid w:val="00E14820"/>
    <w:rsid w:val="00E171BA"/>
    <w:rsid w:val="00E179A4"/>
    <w:rsid w:val="00E211D2"/>
    <w:rsid w:val="00E249F5"/>
    <w:rsid w:val="00E24FE2"/>
    <w:rsid w:val="00E26A6D"/>
    <w:rsid w:val="00E26B0E"/>
    <w:rsid w:val="00E27098"/>
    <w:rsid w:val="00E319AD"/>
    <w:rsid w:val="00E3625E"/>
    <w:rsid w:val="00E369F0"/>
    <w:rsid w:val="00E40312"/>
    <w:rsid w:val="00E415FA"/>
    <w:rsid w:val="00E41CA8"/>
    <w:rsid w:val="00E42382"/>
    <w:rsid w:val="00E42932"/>
    <w:rsid w:val="00E44E53"/>
    <w:rsid w:val="00E46833"/>
    <w:rsid w:val="00E5110A"/>
    <w:rsid w:val="00E51687"/>
    <w:rsid w:val="00E522E8"/>
    <w:rsid w:val="00E52AF8"/>
    <w:rsid w:val="00E52C03"/>
    <w:rsid w:val="00E52C89"/>
    <w:rsid w:val="00E53230"/>
    <w:rsid w:val="00E545BD"/>
    <w:rsid w:val="00E54F0E"/>
    <w:rsid w:val="00E5770F"/>
    <w:rsid w:val="00E578E0"/>
    <w:rsid w:val="00E601D8"/>
    <w:rsid w:val="00E6078B"/>
    <w:rsid w:val="00E612EF"/>
    <w:rsid w:val="00E62133"/>
    <w:rsid w:val="00E637FD"/>
    <w:rsid w:val="00E63968"/>
    <w:rsid w:val="00E64021"/>
    <w:rsid w:val="00E64B68"/>
    <w:rsid w:val="00E64FFE"/>
    <w:rsid w:val="00E67EF4"/>
    <w:rsid w:val="00E7046A"/>
    <w:rsid w:val="00E71A8D"/>
    <w:rsid w:val="00E724A3"/>
    <w:rsid w:val="00E744F2"/>
    <w:rsid w:val="00E74932"/>
    <w:rsid w:val="00E749FD"/>
    <w:rsid w:val="00E755C4"/>
    <w:rsid w:val="00E757A2"/>
    <w:rsid w:val="00E76EC1"/>
    <w:rsid w:val="00E77915"/>
    <w:rsid w:val="00E77FF3"/>
    <w:rsid w:val="00E80226"/>
    <w:rsid w:val="00E81F1A"/>
    <w:rsid w:val="00E83542"/>
    <w:rsid w:val="00E83F1F"/>
    <w:rsid w:val="00E845C4"/>
    <w:rsid w:val="00E846E1"/>
    <w:rsid w:val="00E86432"/>
    <w:rsid w:val="00E90231"/>
    <w:rsid w:val="00E93AFE"/>
    <w:rsid w:val="00E95348"/>
    <w:rsid w:val="00EA3D83"/>
    <w:rsid w:val="00EA6AAC"/>
    <w:rsid w:val="00EA6C10"/>
    <w:rsid w:val="00EA7C09"/>
    <w:rsid w:val="00EB0AED"/>
    <w:rsid w:val="00EB3C27"/>
    <w:rsid w:val="00EB4673"/>
    <w:rsid w:val="00EB5790"/>
    <w:rsid w:val="00EB5A7D"/>
    <w:rsid w:val="00EB72B4"/>
    <w:rsid w:val="00EC0034"/>
    <w:rsid w:val="00EC0529"/>
    <w:rsid w:val="00EC0EDF"/>
    <w:rsid w:val="00EC1F24"/>
    <w:rsid w:val="00EC2624"/>
    <w:rsid w:val="00EC3979"/>
    <w:rsid w:val="00EC5A9B"/>
    <w:rsid w:val="00EC6500"/>
    <w:rsid w:val="00ED1066"/>
    <w:rsid w:val="00ED316F"/>
    <w:rsid w:val="00ED3307"/>
    <w:rsid w:val="00ED4DA9"/>
    <w:rsid w:val="00ED4DC5"/>
    <w:rsid w:val="00ED5557"/>
    <w:rsid w:val="00ED5613"/>
    <w:rsid w:val="00ED660C"/>
    <w:rsid w:val="00ED6759"/>
    <w:rsid w:val="00ED7C6A"/>
    <w:rsid w:val="00EE0A14"/>
    <w:rsid w:val="00EE1634"/>
    <w:rsid w:val="00EE20AC"/>
    <w:rsid w:val="00EE20EE"/>
    <w:rsid w:val="00EE301D"/>
    <w:rsid w:val="00EE47AA"/>
    <w:rsid w:val="00EE4D89"/>
    <w:rsid w:val="00EE513C"/>
    <w:rsid w:val="00EE7223"/>
    <w:rsid w:val="00EF0399"/>
    <w:rsid w:val="00EF1848"/>
    <w:rsid w:val="00EF2ACC"/>
    <w:rsid w:val="00EF42D8"/>
    <w:rsid w:val="00EF4FA1"/>
    <w:rsid w:val="00EF52D7"/>
    <w:rsid w:val="00F01DA8"/>
    <w:rsid w:val="00F02F5C"/>
    <w:rsid w:val="00F036D0"/>
    <w:rsid w:val="00F040DD"/>
    <w:rsid w:val="00F062B5"/>
    <w:rsid w:val="00F0634B"/>
    <w:rsid w:val="00F10040"/>
    <w:rsid w:val="00F1056A"/>
    <w:rsid w:val="00F108FD"/>
    <w:rsid w:val="00F10CDB"/>
    <w:rsid w:val="00F14BD7"/>
    <w:rsid w:val="00F154AA"/>
    <w:rsid w:val="00F2117B"/>
    <w:rsid w:val="00F22522"/>
    <w:rsid w:val="00F23C17"/>
    <w:rsid w:val="00F24080"/>
    <w:rsid w:val="00F243E1"/>
    <w:rsid w:val="00F270EE"/>
    <w:rsid w:val="00F30014"/>
    <w:rsid w:val="00F301F6"/>
    <w:rsid w:val="00F3385F"/>
    <w:rsid w:val="00F3386F"/>
    <w:rsid w:val="00F33B60"/>
    <w:rsid w:val="00F347CA"/>
    <w:rsid w:val="00F35231"/>
    <w:rsid w:val="00F359B0"/>
    <w:rsid w:val="00F36002"/>
    <w:rsid w:val="00F36C4F"/>
    <w:rsid w:val="00F3785F"/>
    <w:rsid w:val="00F42EF8"/>
    <w:rsid w:val="00F44C8E"/>
    <w:rsid w:val="00F47FA4"/>
    <w:rsid w:val="00F51463"/>
    <w:rsid w:val="00F53320"/>
    <w:rsid w:val="00F53E0A"/>
    <w:rsid w:val="00F5416B"/>
    <w:rsid w:val="00F5657E"/>
    <w:rsid w:val="00F56987"/>
    <w:rsid w:val="00F57635"/>
    <w:rsid w:val="00F5789B"/>
    <w:rsid w:val="00F61D43"/>
    <w:rsid w:val="00F61F6B"/>
    <w:rsid w:val="00F62575"/>
    <w:rsid w:val="00F65028"/>
    <w:rsid w:val="00F658AD"/>
    <w:rsid w:val="00F658F6"/>
    <w:rsid w:val="00F65BC0"/>
    <w:rsid w:val="00F66C6B"/>
    <w:rsid w:val="00F67B9F"/>
    <w:rsid w:val="00F67E7A"/>
    <w:rsid w:val="00F7103B"/>
    <w:rsid w:val="00F7348B"/>
    <w:rsid w:val="00F74D92"/>
    <w:rsid w:val="00F7518B"/>
    <w:rsid w:val="00F7658A"/>
    <w:rsid w:val="00F7799C"/>
    <w:rsid w:val="00F800AA"/>
    <w:rsid w:val="00F84343"/>
    <w:rsid w:val="00F86016"/>
    <w:rsid w:val="00F86F12"/>
    <w:rsid w:val="00F9420E"/>
    <w:rsid w:val="00F94A06"/>
    <w:rsid w:val="00F95AAF"/>
    <w:rsid w:val="00F96592"/>
    <w:rsid w:val="00F96C0A"/>
    <w:rsid w:val="00F96CA8"/>
    <w:rsid w:val="00F97075"/>
    <w:rsid w:val="00FA07FF"/>
    <w:rsid w:val="00FA0999"/>
    <w:rsid w:val="00FA1E95"/>
    <w:rsid w:val="00FA300F"/>
    <w:rsid w:val="00FA582C"/>
    <w:rsid w:val="00FA58AF"/>
    <w:rsid w:val="00FA5B89"/>
    <w:rsid w:val="00FA6C63"/>
    <w:rsid w:val="00FA76BB"/>
    <w:rsid w:val="00FA7D1B"/>
    <w:rsid w:val="00FB143C"/>
    <w:rsid w:val="00FB271C"/>
    <w:rsid w:val="00FB2E16"/>
    <w:rsid w:val="00FB2E73"/>
    <w:rsid w:val="00FB373A"/>
    <w:rsid w:val="00FB3CA5"/>
    <w:rsid w:val="00FB3E26"/>
    <w:rsid w:val="00FB50D0"/>
    <w:rsid w:val="00FC03B4"/>
    <w:rsid w:val="00FC3388"/>
    <w:rsid w:val="00FC372D"/>
    <w:rsid w:val="00FC4598"/>
    <w:rsid w:val="00FC631A"/>
    <w:rsid w:val="00FC6DD6"/>
    <w:rsid w:val="00FD1C54"/>
    <w:rsid w:val="00FE24DC"/>
    <w:rsid w:val="00FE3A25"/>
    <w:rsid w:val="00FE3B46"/>
    <w:rsid w:val="00FE43E7"/>
    <w:rsid w:val="00FE4B74"/>
    <w:rsid w:val="00FE5A29"/>
    <w:rsid w:val="00FE5CC1"/>
    <w:rsid w:val="00FF14BC"/>
    <w:rsid w:val="00FF2D72"/>
    <w:rsid w:val="00FF5C54"/>
    <w:rsid w:val="00FF75B6"/>
    <w:rsid w:val="017E0B64"/>
    <w:rsid w:val="01DE076D"/>
    <w:rsid w:val="023A3E0A"/>
    <w:rsid w:val="02E609E9"/>
    <w:rsid w:val="032536AE"/>
    <w:rsid w:val="04033F16"/>
    <w:rsid w:val="040D02C2"/>
    <w:rsid w:val="043E3CA7"/>
    <w:rsid w:val="0456783E"/>
    <w:rsid w:val="04AA1928"/>
    <w:rsid w:val="055756F7"/>
    <w:rsid w:val="06182CB4"/>
    <w:rsid w:val="06D43803"/>
    <w:rsid w:val="09884983"/>
    <w:rsid w:val="0A8167C8"/>
    <w:rsid w:val="0B826FDB"/>
    <w:rsid w:val="0BC605CC"/>
    <w:rsid w:val="0C2566F0"/>
    <w:rsid w:val="0C6111E0"/>
    <w:rsid w:val="0D75331F"/>
    <w:rsid w:val="0D914064"/>
    <w:rsid w:val="0E2E1B48"/>
    <w:rsid w:val="0E4C6F1E"/>
    <w:rsid w:val="0E6472F0"/>
    <w:rsid w:val="0F1A13D3"/>
    <w:rsid w:val="0FB14CD9"/>
    <w:rsid w:val="0FFA5E65"/>
    <w:rsid w:val="1026285C"/>
    <w:rsid w:val="109C1F1C"/>
    <w:rsid w:val="10C25E49"/>
    <w:rsid w:val="111A27E5"/>
    <w:rsid w:val="1139363C"/>
    <w:rsid w:val="11C647F4"/>
    <w:rsid w:val="12AF4491"/>
    <w:rsid w:val="12E049C8"/>
    <w:rsid w:val="12FF3FB7"/>
    <w:rsid w:val="13CF03A7"/>
    <w:rsid w:val="140D3FED"/>
    <w:rsid w:val="14902F50"/>
    <w:rsid w:val="14A54A47"/>
    <w:rsid w:val="14E5207B"/>
    <w:rsid w:val="152A29A7"/>
    <w:rsid w:val="15605307"/>
    <w:rsid w:val="15876482"/>
    <w:rsid w:val="15E00298"/>
    <w:rsid w:val="162714E3"/>
    <w:rsid w:val="1641285C"/>
    <w:rsid w:val="173E1A13"/>
    <w:rsid w:val="17515812"/>
    <w:rsid w:val="184760B1"/>
    <w:rsid w:val="189B1B0D"/>
    <w:rsid w:val="19375116"/>
    <w:rsid w:val="19530545"/>
    <w:rsid w:val="19936E12"/>
    <w:rsid w:val="19E971E0"/>
    <w:rsid w:val="1A931D24"/>
    <w:rsid w:val="1B0F1E55"/>
    <w:rsid w:val="1B945E98"/>
    <w:rsid w:val="1BAB1989"/>
    <w:rsid w:val="1BBB6D39"/>
    <w:rsid w:val="1CA40AEB"/>
    <w:rsid w:val="1DDC35A5"/>
    <w:rsid w:val="1EC83A13"/>
    <w:rsid w:val="20103B08"/>
    <w:rsid w:val="20C21E3C"/>
    <w:rsid w:val="20E52B81"/>
    <w:rsid w:val="20EB74C4"/>
    <w:rsid w:val="213237A0"/>
    <w:rsid w:val="21BC0C49"/>
    <w:rsid w:val="21D754DE"/>
    <w:rsid w:val="21F869A2"/>
    <w:rsid w:val="225C3974"/>
    <w:rsid w:val="22F73250"/>
    <w:rsid w:val="23A72A06"/>
    <w:rsid w:val="23CB2D5E"/>
    <w:rsid w:val="25001C32"/>
    <w:rsid w:val="25302ECF"/>
    <w:rsid w:val="25F12473"/>
    <w:rsid w:val="276161DC"/>
    <w:rsid w:val="27BB3ACC"/>
    <w:rsid w:val="27DB1151"/>
    <w:rsid w:val="28091EB6"/>
    <w:rsid w:val="282C1D33"/>
    <w:rsid w:val="28BC20AD"/>
    <w:rsid w:val="28DA4DFC"/>
    <w:rsid w:val="290F6572"/>
    <w:rsid w:val="295A1040"/>
    <w:rsid w:val="29963528"/>
    <w:rsid w:val="29D52EF9"/>
    <w:rsid w:val="2A572482"/>
    <w:rsid w:val="2A802B31"/>
    <w:rsid w:val="2A8547D8"/>
    <w:rsid w:val="2AB148EB"/>
    <w:rsid w:val="2AFD7F04"/>
    <w:rsid w:val="2B1B4AFC"/>
    <w:rsid w:val="2BFC6AB2"/>
    <w:rsid w:val="2CC3759D"/>
    <w:rsid w:val="2D345AED"/>
    <w:rsid w:val="2D5D6CB1"/>
    <w:rsid w:val="2DE80285"/>
    <w:rsid w:val="2DFE2A4A"/>
    <w:rsid w:val="2EA76C2C"/>
    <w:rsid w:val="2F0F5656"/>
    <w:rsid w:val="2F6010EC"/>
    <w:rsid w:val="2FE81A31"/>
    <w:rsid w:val="2FF360E4"/>
    <w:rsid w:val="2FF91FD3"/>
    <w:rsid w:val="2FFF6848"/>
    <w:rsid w:val="300627FE"/>
    <w:rsid w:val="30726E05"/>
    <w:rsid w:val="30D30304"/>
    <w:rsid w:val="30D629FE"/>
    <w:rsid w:val="313858CA"/>
    <w:rsid w:val="31522BF1"/>
    <w:rsid w:val="32726156"/>
    <w:rsid w:val="332F5C1A"/>
    <w:rsid w:val="335B24AA"/>
    <w:rsid w:val="337236B9"/>
    <w:rsid w:val="34434631"/>
    <w:rsid w:val="3454088F"/>
    <w:rsid w:val="34C92F90"/>
    <w:rsid w:val="34F34FB2"/>
    <w:rsid w:val="35452333"/>
    <w:rsid w:val="365D7C42"/>
    <w:rsid w:val="3717537B"/>
    <w:rsid w:val="374677AB"/>
    <w:rsid w:val="375159EA"/>
    <w:rsid w:val="37A27C9B"/>
    <w:rsid w:val="38C3171A"/>
    <w:rsid w:val="39201E14"/>
    <w:rsid w:val="392115C8"/>
    <w:rsid w:val="39290904"/>
    <w:rsid w:val="39855446"/>
    <w:rsid w:val="399D464D"/>
    <w:rsid w:val="39D57F0C"/>
    <w:rsid w:val="39F06760"/>
    <w:rsid w:val="3A1D173C"/>
    <w:rsid w:val="3A2F06F5"/>
    <w:rsid w:val="3A5C2D12"/>
    <w:rsid w:val="3AFF55F0"/>
    <w:rsid w:val="3B01523B"/>
    <w:rsid w:val="3B0B1813"/>
    <w:rsid w:val="3E594265"/>
    <w:rsid w:val="3EE56B0D"/>
    <w:rsid w:val="3F1F71C3"/>
    <w:rsid w:val="3FEE0DCD"/>
    <w:rsid w:val="401E5D83"/>
    <w:rsid w:val="402466C4"/>
    <w:rsid w:val="40462B93"/>
    <w:rsid w:val="409067C2"/>
    <w:rsid w:val="409863A3"/>
    <w:rsid w:val="40F9125D"/>
    <w:rsid w:val="41363259"/>
    <w:rsid w:val="414032D5"/>
    <w:rsid w:val="41541244"/>
    <w:rsid w:val="418D74D3"/>
    <w:rsid w:val="42567E4C"/>
    <w:rsid w:val="42DF5BE3"/>
    <w:rsid w:val="43964138"/>
    <w:rsid w:val="44395F1B"/>
    <w:rsid w:val="44914BB7"/>
    <w:rsid w:val="44AD7D8C"/>
    <w:rsid w:val="44E67415"/>
    <w:rsid w:val="44F86743"/>
    <w:rsid w:val="467C6F0E"/>
    <w:rsid w:val="46CA3B9E"/>
    <w:rsid w:val="49687DA0"/>
    <w:rsid w:val="499C5FD0"/>
    <w:rsid w:val="4A064DFB"/>
    <w:rsid w:val="4A8E35B1"/>
    <w:rsid w:val="4AFD544E"/>
    <w:rsid w:val="4B1977D5"/>
    <w:rsid w:val="4B7852D3"/>
    <w:rsid w:val="4BCE32C6"/>
    <w:rsid w:val="4BD72D3C"/>
    <w:rsid w:val="4D48339C"/>
    <w:rsid w:val="4D910742"/>
    <w:rsid w:val="4DC57A61"/>
    <w:rsid w:val="4DE75405"/>
    <w:rsid w:val="4DFF0093"/>
    <w:rsid w:val="4E254D93"/>
    <w:rsid w:val="4E2A1660"/>
    <w:rsid w:val="4EFA0CAD"/>
    <w:rsid w:val="4F180674"/>
    <w:rsid w:val="4F32507E"/>
    <w:rsid w:val="4FB84632"/>
    <w:rsid w:val="4FDB6DE6"/>
    <w:rsid w:val="50116C9B"/>
    <w:rsid w:val="501D6CF1"/>
    <w:rsid w:val="50470703"/>
    <w:rsid w:val="51131AAA"/>
    <w:rsid w:val="51253C15"/>
    <w:rsid w:val="51687243"/>
    <w:rsid w:val="51DA41A2"/>
    <w:rsid w:val="52B95EC3"/>
    <w:rsid w:val="53EA1061"/>
    <w:rsid w:val="540E52BD"/>
    <w:rsid w:val="54A70D6A"/>
    <w:rsid w:val="54F83FBF"/>
    <w:rsid w:val="55260F6B"/>
    <w:rsid w:val="5543651D"/>
    <w:rsid w:val="55C43D7C"/>
    <w:rsid w:val="57D80D53"/>
    <w:rsid w:val="583A54F4"/>
    <w:rsid w:val="592D3569"/>
    <w:rsid w:val="597457A2"/>
    <w:rsid w:val="597F037F"/>
    <w:rsid w:val="59994D76"/>
    <w:rsid w:val="59C66AB4"/>
    <w:rsid w:val="59E91DF1"/>
    <w:rsid w:val="5BAD62E9"/>
    <w:rsid w:val="5BDF4147"/>
    <w:rsid w:val="5BFA0E63"/>
    <w:rsid w:val="5C2821E0"/>
    <w:rsid w:val="5CBB221E"/>
    <w:rsid w:val="5D9E53F9"/>
    <w:rsid w:val="5DE337B9"/>
    <w:rsid w:val="5E0F6288"/>
    <w:rsid w:val="5E5C61C3"/>
    <w:rsid w:val="5E7C0A5E"/>
    <w:rsid w:val="5E99317E"/>
    <w:rsid w:val="5EE536A5"/>
    <w:rsid w:val="5EF211FC"/>
    <w:rsid w:val="5F4C2EE0"/>
    <w:rsid w:val="5F6535DA"/>
    <w:rsid w:val="5FAC2B09"/>
    <w:rsid w:val="608857EC"/>
    <w:rsid w:val="60AF2642"/>
    <w:rsid w:val="620C4D4E"/>
    <w:rsid w:val="621C7064"/>
    <w:rsid w:val="63022EF8"/>
    <w:rsid w:val="63F52C03"/>
    <w:rsid w:val="63FC5D9F"/>
    <w:rsid w:val="64A54D21"/>
    <w:rsid w:val="64D56F6F"/>
    <w:rsid w:val="65A57ED0"/>
    <w:rsid w:val="65AB4990"/>
    <w:rsid w:val="65D25F15"/>
    <w:rsid w:val="65E47E23"/>
    <w:rsid w:val="668866CA"/>
    <w:rsid w:val="66A35D7E"/>
    <w:rsid w:val="66CC5AD0"/>
    <w:rsid w:val="66E9163E"/>
    <w:rsid w:val="67173092"/>
    <w:rsid w:val="6754080A"/>
    <w:rsid w:val="679C1F5C"/>
    <w:rsid w:val="67BA1D0D"/>
    <w:rsid w:val="67DC5A98"/>
    <w:rsid w:val="68B00DB3"/>
    <w:rsid w:val="68B17992"/>
    <w:rsid w:val="68B518D4"/>
    <w:rsid w:val="68C23066"/>
    <w:rsid w:val="697F0D7F"/>
    <w:rsid w:val="6B823026"/>
    <w:rsid w:val="6B994B88"/>
    <w:rsid w:val="6D08367C"/>
    <w:rsid w:val="6D677FF2"/>
    <w:rsid w:val="6DE53742"/>
    <w:rsid w:val="6DEA3AF9"/>
    <w:rsid w:val="6E0428ED"/>
    <w:rsid w:val="6E1C3F13"/>
    <w:rsid w:val="6F91277F"/>
    <w:rsid w:val="6FD75EC2"/>
    <w:rsid w:val="707832EE"/>
    <w:rsid w:val="70D82B6C"/>
    <w:rsid w:val="70F80DB0"/>
    <w:rsid w:val="71350FEC"/>
    <w:rsid w:val="71784D63"/>
    <w:rsid w:val="71EC1D35"/>
    <w:rsid w:val="71EF5F7E"/>
    <w:rsid w:val="729A7F63"/>
    <w:rsid w:val="72DD6FCA"/>
    <w:rsid w:val="731D4F28"/>
    <w:rsid w:val="74523249"/>
    <w:rsid w:val="749A0699"/>
    <w:rsid w:val="74DD36FE"/>
    <w:rsid w:val="76001E41"/>
    <w:rsid w:val="762458C4"/>
    <w:rsid w:val="7673179A"/>
    <w:rsid w:val="76980A0D"/>
    <w:rsid w:val="76B64416"/>
    <w:rsid w:val="77523A7F"/>
    <w:rsid w:val="77932AC9"/>
    <w:rsid w:val="77CD5700"/>
    <w:rsid w:val="788E7071"/>
    <w:rsid w:val="791824C8"/>
    <w:rsid w:val="79662601"/>
    <w:rsid w:val="79CB2F72"/>
    <w:rsid w:val="7A047229"/>
    <w:rsid w:val="7A0E587E"/>
    <w:rsid w:val="7A3A0889"/>
    <w:rsid w:val="7A7C4FC3"/>
    <w:rsid w:val="7AE01246"/>
    <w:rsid w:val="7AFA0EEA"/>
    <w:rsid w:val="7B68518F"/>
    <w:rsid w:val="7C822BDE"/>
    <w:rsid w:val="7CA866A4"/>
    <w:rsid w:val="7DA91C06"/>
    <w:rsid w:val="7DF3038F"/>
    <w:rsid w:val="7E564C2E"/>
    <w:rsid w:val="7EC06EA5"/>
    <w:rsid w:val="7F111920"/>
    <w:rsid w:val="7F18324A"/>
    <w:rsid w:val="7F821CE1"/>
    <w:rsid w:val="7FA24619"/>
    <w:rsid w:val="F4F1EA56"/>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unhideWhenUsed="0" w:uiPriority="0" w:semiHidden="0" w:name="List Number"/>
    <w:lsdException w:qFormat="1" w:unhideWhenUsed="0" w:uiPriority="0" w:semiHidden="0" w:name="List 2"/>
    <w:lsdException w:qFormat="1"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qFormat="1"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7">
    <w:name w:val="heading 1"/>
    <w:basedOn w:val="1"/>
    <w:next w:val="1"/>
    <w:link w:val="173"/>
    <w:qFormat/>
    <w:uiPriority w:val="0"/>
    <w:pPr>
      <w:keepNext/>
      <w:keepLines/>
      <w:spacing w:before="340" w:after="330" w:line="578" w:lineRule="auto"/>
      <w:outlineLvl w:val="0"/>
    </w:pPr>
    <w:rPr>
      <w:b/>
      <w:bCs/>
      <w:kern w:val="44"/>
      <w:sz w:val="44"/>
      <w:szCs w:val="44"/>
    </w:rPr>
  </w:style>
  <w:style w:type="paragraph" w:styleId="8">
    <w:name w:val="heading 2"/>
    <w:basedOn w:val="1"/>
    <w:next w:val="1"/>
    <w:link w:val="167"/>
    <w:qFormat/>
    <w:uiPriority w:val="0"/>
    <w:pPr>
      <w:keepNext/>
      <w:keepLines/>
      <w:spacing w:before="260" w:after="260" w:line="416" w:lineRule="auto"/>
      <w:outlineLvl w:val="1"/>
    </w:pPr>
    <w:rPr>
      <w:rFonts w:ascii="Arial" w:hAnsi="Arial" w:eastAsia="黑体"/>
      <w:b/>
      <w:bCs/>
      <w:sz w:val="32"/>
      <w:szCs w:val="32"/>
    </w:rPr>
  </w:style>
  <w:style w:type="paragraph" w:styleId="9">
    <w:name w:val="heading 3"/>
    <w:basedOn w:val="1"/>
    <w:next w:val="1"/>
    <w:link w:val="123"/>
    <w:qFormat/>
    <w:uiPriority w:val="0"/>
    <w:pPr>
      <w:keepNext/>
      <w:keepLines/>
      <w:spacing w:before="260" w:after="260" w:line="416" w:lineRule="auto"/>
      <w:outlineLvl w:val="2"/>
    </w:pPr>
    <w:rPr>
      <w:b/>
      <w:bCs/>
      <w:sz w:val="32"/>
      <w:szCs w:val="32"/>
    </w:rPr>
  </w:style>
  <w:style w:type="paragraph" w:styleId="10">
    <w:name w:val="heading 4"/>
    <w:basedOn w:val="1"/>
    <w:next w:val="1"/>
    <w:link w:val="106"/>
    <w:qFormat/>
    <w:uiPriority w:val="0"/>
    <w:pPr>
      <w:keepNext/>
      <w:keepLines/>
      <w:numPr>
        <w:ilvl w:val="0"/>
        <w:numId w:val="1"/>
      </w:numPr>
      <w:spacing w:before="280" w:after="290" w:line="376" w:lineRule="auto"/>
      <w:outlineLvl w:val="3"/>
    </w:pPr>
    <w:rPr>
      <w:rFonts w:ascii="Cambria" w:hAnsi="Cambria"/>
      <w:b/>
      <w:bCs/>
      <w:sz w:val="28"/>
      <w:szCs w:val="28"/>
    </w:rPr>
  </w:style>
  <w:style w:type="paragraph" w:styleId="11">
    <w:name w:val="heading 5"/>
    <w:basedOn w:val="1"/>
    <w:next w:val="1"/>
    <w:link w:val="169"/>
    <w:qFormat/>
    <w:uiPriority w:val="0"/>
    <w:pPr>
      <w:widowControl/>
      <w:overflowPunct w:val="0"/>
      <w:autoSpaceDE w:val="0"/>
      <w:autoSpaceDN w:val="0"/>
      <w:adjustRightInd w:val="0"/>
      <w:spacing w:before="240" w:after="60"/>
      <w:jc w:val="left"/>
      <w:textAlignment w:val="baseline"/>
      <w:outlineLvl w:val="4"/>
    </w:pPr>
    <w:rPr>
      <w:rFonts w:ascii="Arial" w:hAnsi="Arial"/>
      <w:sz w:val="22"/>
      <w:szCs w:val="28"/>
    </w:rPr>
  </w:style>
  <w:style w:type="paragraph" w:styleId="12">
    <w:name w:val="heading 6"/>
    <w:basedOn w:val="1"/>
    <w:next w:val="1"/>
    <w:link w:val="142"/>
    <w:qFormat/>
    <w:uiPriority w:val="0"/>
    <w:pPr>
      <w:widowControl/>
      <w:overflowPunct w:val="0"/>
      <w:autoSpaceDE w:val="0"/>
      <w:autoSpaceDN w:val="0"/>
      <w:adjustRightInd w:val="0"/>
      <w:spacing w:before="240" w:after="60"/>
      <w:jc w:val="left"/>
      <w:textAlignment w:val="baseline"/>
      <w:outlineLvl w:val="5"/>
    </w:pPr>
    <w:rPr>
      <w:rFonts w:ascii="Arial" w:hAnsi="Arial" w:eastAsia="仿宋_GB2312"/>
      <w:i/>
      <w:kern w:val="0"/>
      <w:sz w:val="22"/>
    </w:rPr>
  </w:style>
  <w:style w:type="paragraph" w:styleId="13">
    <w:name w:val="heading 7"/>
    <w:basedOn w:val="1"/>
    <w:next w:val="1"/>
    <w:link w:val="132"/>
    <w:qFormat/>
    <w:uiPriority w:val="0"/>
    <w:pPr>
      <w:widowControl/>
      <w:overflowPunct w:val="0"/>
      <w:autoSpaceDE w:val="0"/>
      <w:autoSpaceDN w:val="0"/>
      <w:adjustRightInd w:val="0"/>
      <w:spacing w:before="240" w:after="60"/>
      <w:jc w:val="left"/>
      <w:textAlignment w:val="baseline"/>
      <w:outlineLvl w:val="6"/>
    </w:pPr>
    <w:rPr>
      <w:rFonts w:ascii="Arial" w:hAnsi="Arial"/>
      <w:sz w:val="28"/>
      <w:szCs w:val="28"/>
    </w:rPr>
  </w:style>
  <w:style w:type="paragraph" w:styleId="14">
    <w:name w:val="heading 8"/>
    <w:basedOn w:val="1"/>
    <w:next w:val="1"/>
    <w:link w:val="99"/>
    <w:qFormat/>
    <w:uiPriority w:val="0"/>
    <w:pPr>
      <w:widowControl/>
      <w:overflowPunct w:val="0"/>
      <w:autoSpaceDE w:val="0"/>
      <w:autoSpaceDN w:val="0"/>
      <w:adjustRightInd w:val="0"/>
      <w:spacing w:before="240" w:after="60"/>
      <w:jc w:val="left"/>
      <w:textAlignment w:val="baseline"/>
      <w:outlineLvl w:val="7"/>
    </w:pPr>
    <w:rPr>
      <w:rFonts w:ascii="Arial" w:hAnsi="Arial"/>
      <w:i/>
      <w:sz w:val="28"/>
      <w:szCs w:val="28"/>
    </w:rPr>
  </w:style>
  <w:style w:type="paragraph" w:styleId="15">
    <w:name w:val="heading 9"/>
    <w:basedOn w:val="1"/>
    <w:next w:val="1"/>
    <w:link w:val="129"/>
    <w:qFormat/>
    <w:uiPriority w:val="0"/>
    <w:pPr>
      <w:widowControl/>
      <w:overflowPunct w:val="0"/>
      <w:autoSpaceDE w:val="0"/>
      <w:autoSpaceDN w:val="0"/>
      <w:adjustRightInd w:val="0"/>
      <w:spacing w:before="240" w:after="60"/>
      <w:jc w:val="left"/>
      <w:textAlignment w:val="baseline"/>
      <w:outlineLvl w:val="8"/>
    </w:pPr>
    <w:rPr>
      <w:rFonts w:ascii="Arial" w:hAnsi="Arial"/>
      <w:i/>
      <w:sz w:val="18"/>
      <w:szCs w:val="28"/>
    </w:rPr>
  </w:style>
  <w:style w:type="character" w:default="1" w:styleId="60">
    <w:name w:val="Default Paragraph Font"/>
    <w:unhideWhenUsed/>
    <w:qFormat/>
    <w:uiPriority w:val="1"/>
  </w:style>
  <w:style w:type="table" w:default="1" w:styleId="69">
    <w:name w:val="Normal Table"/>
    <w:unhideWhenUsed/>
    <w:qFormat/>
    <w:uiPriority w:val="99"/>
    <w:tblPr>
      <w:tblLayout w:type="fixed"/>
      <w:tblCellMar>
        <w:top w:w="0" w:type="dxa"/>
        <w:left w:w="108" w:type="dxa"/>
        <w:bottom w:w="0" w:type="dxa"/>
        <w:right w:w="108" w:type="dxa"/>
      </w:tblCellMar>
    </w:tblPr>
  </w:style>
  <w:style w:type="paragraph" w:styleId="2">
    <w:name w:val="Body Text First Indent 2"/>
    <w:basedOn w:val="3"/>
    <w:next w:val="4"/>
    <w:qFormat/>
    <w:uiPriority w:val="99"/>
    <w:pPr>
      <w:ind w:firstLine="420"/>
    </w:pPr>
    <w:rPr>
      <w:rFonts w:cs="Calibri"/>
      <w:sz w:val="21"/>
      <w:szCs w:val="21"/>
    </w:rPr>
  </w:style>
  <w:style w:type="paragraph" w:styleId="3">
    <w:name w:val="Body Text Indent"/>
    <w:basedOn w:val="1"/>
    <w:next w:val="1"/>
    <w:link w:val="126"/>
    <w:qFormat/>
    <w:uiPriority w:val="0"/>
    <w:pPr>
      <w:spacing w:line="360" w:lineRule="auto"/>
      <w:ind w:firstLine="435"/>
    </w:pPr>
    <w:rPr>
      <w:sz w:val="28"/>
      <w:szCs w:val="24"/>
    </w:rPr>
  </w:style>
  <w:style w:type="paragraph" w:styleId="4">
    <w:name w:val="Body Text"/>
    <w:basedOn w:val="1"/>
    <w:next w:val="5"/>
    <w:link w:val="81"/>
    <w:qFormat/>
    <w:uiPriority w:val="0"/>
    <w:rPr>
      <w:rFonts w:eastAsia="黑体"/>
      <w:b/>
      <w:bCs/>
      <w:spacing w:val="20"/>
      <w:kern w:val="52"/>
      <w:sz w:val="56"/>
      <w:szCs w:val="24"/>
    </w:rPr>
  </w:style>
  <w:style w:type="paragraph" w:styleId="5">
    <w:name w:val="Body Text First Indent"/>
    <w:basedOn w:val="4"/>
    <w:next w:val="6"/>
    <w:link w:val="165"/>
    <w:qFormat/>
    <w:uiPriority w:val="0"/>
    <w:pPr>
      <w:adjustRightInd w:val="0"/>
      <w:spacing w:after="120" w:line="360" w:lineRule="auto"/>
      <w:ind w:firstLine="420"/>
      <w:textAlignment w:val="baseline"/>
    </w:pPr>
    <w:rPr>
      <w:rFonts w:eastAsia="KaiTi_GB2312"/>
      <w:b w:val="0"/>
      <w:bCs w:val="0"/>
      <w:spacing w:val="0"/>
      <w:kern w:val="0"/>
      <w:sz w:val="24"/>
      <w:szCs w:val="20"/>
    </w:rPr>
  </w:style>
  <w:style w:type="paragraph" w:styleId="6">
    <w:name w:val="toc 6"/>
    <w:basedOn w:val="1"/>
    <w:next w:val="1"/>
    <w:qFormat/>
    <w:uiPriority w:val="0"/>
    <w:pPr>
      <w:ind w:left="1050"/>
      <w:jc w:val="left"/>
    </w:pPr>
    <w:rPr>
      <w:rFonts w:ascii="仿宋_GB2312" w:eastAsia="仿宋_GB2312"/>
      <w:sz w:val="18"/>
      <w:szCs w:val="18"/>
    </w:rPr>
  </w:style>
  <w:style w:type="paragraph" w:styleId="16">
    <w:name w:val="List 3"/>
    <w:basedOn w:val="1"/>
    <w:unhideWhenUsed/>
    <w:qFormat/>
    <w:uiPriority w:val="0"/>
    <w:pPr>
      <w:ind w:left="100" w:leftChars="400" w:hanging="200" w:hangingChars="200"/>
    </w:pPr>
  </w:style>
  <w:style w:type="paragraph" w:styleId="17">
    <w:name w:val="annotation subject"/>
    <w:basedOn w:val="18"/>
    <w:next w:val="18"/>
    <w:link w:val="80"/>
    <w:qFormat/>
    <w:uiPriority w:val="0"/>
    <w:rPr>
      <w:rFonts w:ascii="Times New Roman" w:eastAsia="宋体"/>
      <w:b/>
      <w:bCs/>
      <w:sz w:val="21"/>
      <w:szCs w:val="24"/>
    </w:rPr>
  </w:style>
  <w:style w:type="paragraph" w:styleId="18">
    <w:name w:val="annotation text"/>
    <w:basedOn w:val="1"/>
    <w:link w:val="176"/>
    <w:unhideWhenUsed/>
    <w:qFormat/>
    <w:uiPriority w:val="99"/>
    <w:pPr>
      <w:jc w:val="left"/>
    </w:pPr>
    <w:rPr>
      <w:rFonts w:ascii="仿宋_GB2312" w:eastAsia="仿宋_GB2312"/>
      <w:sz w:val="28"/>
      <w:szCs w:val="28"/>
    </w:rPr>
  </w:style>
  <w:style w:type="paragraph" w:styleId="19">
    <w:name w:val="toc 7"/>
    <w:basedOn w:val="1"/>
    <w:next w:val="1"/>
    <w:qFormat/>
    <w:uiPriority w:val="0"/>
    <w:pPr>
      <w:ind w:left="1260"/>
      <w:jc w:val="left"/>
    </w:pPr>
    <w:rPr>
      <w:rFonts w:ascii="仿宋_GB2312" w:eastAsia="仿宋_GB2312"/>
      <w:sz w:val="18"/>
      <w:szCs w:val="18"/>
    </w:rPr>
  </w:style>
  <w:style w:type="paragraph" w:styleId="20">
    <w:name w:val="index 8"/>
    <w:basedOn w:val="1"/>
    <w:next w:val="1"/>
    <w:qFormat/>
    <w:uiPriority w:val="0"/>
    <w:pPr>
      <w:widowControl/>
      <w:ind w:left="1920" w:hanging="240"/>
      <w:jc w:val="left"/>
    </w:pPr>
    <w:rPr>
      <w:rFonts w:ascii="仿宋_GB2312" w:eastAsia="仿宋_GB2312"/>
      <w:kern w:val="0"/>
      <w:sz w:val="24"/>
      <w:szCs w:val="28"/>
    </w:rPr>
  </w:style>
  <w:style w:type="paragraph" w:styleId="21">
    <w:name w:val="Normal Indent"/>
    <w:basedOn w:val="1"/>
    <w:link w:val="74"/>
    <w:qFormat/>
    <w:uiPriority w:val="0"/>
    <w:pPr>
      <w:widowControl/>
      <w:adjustRightInd w:val="0"/>
      <w:snapToGrid w:val="0"/>
      <w:spacing w:line="480" w:lineRule="exact"/>
      <w:ind w:firstLine="567"/>
    </w:pPr>
    <w:rPr>
      <w:rFonts w:ascii="宋体"/>
      <w:snapToGrid w:val="0"/>
      <w:color w:val="000000"/>
      <w:kern w:val="28"/>
      <w:sz w:val="28"/>
    </w:rPr>
  </w:style>
  <w:style w:type="paragraph" w:styleId="22">
    <w:name w:val="caption"/>
    <w:basedOn w:val="1"/>
    <w:next w:val="1"/>
    <w:qFormat/>
    <w:uiPriority w:val="0"/>
    <w:pPr>
      <w:widowControl/>
      <w:spacing w:after="480"/>
      <w:jc w:val="left"/>
    </w:pPr>
    <w:rPr>
      <w:b/>
      <w:bCs/>
      <w:color w:val="4F81BD"/>
      <w:kern w:val="0"/>
      <w:sz w:val="18"/>
      <w:szCs w:val="18"/>
      <w:lang w:eastAsia="en-US" w:bidi="en-US"/>
    </w:rPr>
  </w:style>
  <w:style w:type="paragraph" w:styleId="23">
    <w:name w:val="index 5"/>
    <w:basedOn w:val="1"/>
    <w:next w:val="1"/>
    <w:qFormat/>
    <w:uiPriority w:val="0"/>
    <w:pPr>
      <w:widowControl/>
      <w:ind w:left="1200" w:hanging="240"/>
      <w:jc w:val="left"/>
    </w:pPr>
    <w:rPr>
      <w:rFonts w:ascii="仿宋_GB2312" w:eastAsia="仿宋_GB2312"/>
      <w:kern w:val="0"/>
      <w:sz w:val="24"/>
      <w:szCs w:val="28"/>
    </w:rPr>
  </w:style>
  <w:style w:type="paragraph" w:styleId="24">
    <w:name w:val="List Bullet"/>
    <w:basedOn w:val="25"/>
    <w:qFormat/>
    <w:uiPriority w:val="0"/>
    <w:pPr>
      <w:widowControl/>
      <w:numPr>
        <w:ilvl w:val="0"/>
        <w:numId w:val="2"/>
      </w:numPr>
      <w:tabs>
        <w:tab w:val="left" w:pos="840"/>
      </w:tabs>
      <w:spacing w:line="360" w:lineRule="auto"/>
      <w:ind w:right="720" w:firstLine="0" w:firstLineChars="0"/>
      <w:jc w:val="left"/>
    </w:pPr>
    <w:rPr>
      <w:kern w:val="0"/>
      <w:sz w:val="24"/>
      <w:szCs w:val="20"/>
    </w:rPr>
  </w:style>
  <w:style w:type="paragraph" w:styleId="25">
    <w:name w:val="List"/>
    <w:basedOn w:val="1"/>
    <w:qFormat/>
    <w:uiPriority w:val="0"/>
    <w:pPr>
      <w:ind w:left="200" w:hanging="200" w:hangingChars="200"/>
    </w:pPr>
    <w:rPr>
      <w:rFonts w:ascii="仿宋_GB2312" w:eastAsia="仿宋_GB2312"/>
      <w:sz w:val="28"/>
      <w:szCs w:val="28"/>
    </w:rPr>
  </w:style>
  <w:style w:type="paragraph" w:styleId="26">
    <w:name w:val="Document Map"/>
    <w:basedOn w:val="1"/>
    <w:link w:val="130"/>
    <w:qFormat/>
    <w:uiPriority w:val="0"/>
    <w:pPr>
      <w:shd w:val="clear" w:color="auto" w:fill="000080"/>
    </w:pPr>
    <w:rPr>
      <w:kern w:val="0"/>
      <w:sz w:val="20"/>
      <w:szCs w:val="24"/>
      <w:shd w:val="clear" w:color="auto" w:fill="000080"/>
    </w:rPr>
  </w:style>
  <w:style w:type="paragraph" w:styleId="27">
    <w:name w:val="index 6"/>
    <w:basedOn w:val="1"/>
    <w:next w:val="1"/>
    <w:qFormat/>
    <w:uiPriority w:val="0"/>
    <w:pPr>
      <w:widowControl/>
      <w:ind w:left="1440" w:hanging="240"/>
      <w:jc w:val="left"/>
    </w:pPr>
    <w:rPr>
      <w:rFonts w:ascii="仿宋_GB2312" w:eastAsia="仿宋_GB2312"/>
      <w:kern w:val="0"/>
      <w:sz w:val="24"/>
      <w:szCs w:val="28"/>
    </w:rPr>
  </w:style>
  <w:style w:type="paragraph" w:styleId="28">
    <w:name w:val="Body Text 3"/>
    <w:basedOn w:val="1"/>
    <w:link w:val="94"/>
    <w:qFormat/>
    <w:uiPriority w:val="0"/>
    <w:rPr>
      <w:rFonts w:ascii="宋体" w:hAnsi="宋体"/>
      <w:b/>
      <w:bCs/>
      <w:sz w:val="24"/>
      <w:szCs w:val="24"/>
    </w:rPr>
  </w:style>
  <w:style w:type="paragraph" w:styleId="29">
    <w:name w:val="List Number 3"/>
    <w:basedOn w:val="1"/>
    <w:qFormat/>
    <w:uiPriority w:val="0"/>
    <w:pPr>
      <w:numPr>
        <w:ilvl w:val="0"/>
        <w:numId w:val="3"/>
      </w:numPr>
      <w:contextualSpacing/>
    </w:pPr>
    <w:rPr>
      <w:rFonts w:ascii="仿宋_GB2312" w:eastAsia="仿宋_GB2312"/>
      <w:sz w:val="28"/>
      <w:szCs w:val="28"/>
    </w:rPr>
  </w:style>
  <w:style w:type="paragraph" w:styleId="30">
    <w:name w:val="List 2"/>
    <w:basedOn w:val="25"/>
    <w:qFormat/>
    <w:uiPriority w:val="0"/>
    <w:pPr>
      <w:spacing w:after="120" w:line="400" w:lineRule="exact"/>
      <w:ind w:left="0" w:firstLine="0" w:firstLineChars="0"/>
    </w:pPr>
    <w:rPr>
      <w:sz w:val="24"/>
      <w:szCs w:val="20"/>
    </w:rPr>
  </w:style>
  <w:style w:type="paragraph" w:styleId="31">
    <w:name w:val="List Bullet 2"/>
    <w:basedOn w:val="1"/>
    <w:qFormat/>
    <w:uiPriority w:val="0"/>
    <w:pPr>
      <w:widowControl/>
      <w:tabs>
        <w:tab w:val="left" w:pos="1440"/>
      </w:tabs>
      <w:ind w:left="1440" w:hanging="720"/>
      <w:jc w:val="left"/>
    </w:pPr>
    <w:rPr>
      <w:rFonts w:ascii="Tahoma" w:hAnsi="Tahoma" w:eastAsia="仿宋_GB2312" w:cs="Tahoma"/>
      <w:kern w:val="0"/>
      <w:sz w:val="24"/>
      <w:szCs w:val="28"/>
      <w:lang w:eastAsia="en-US"/>
    </w:rPr>
  </w:style>
  <w:style w:type="paragraph" w:styleId="32">
    <w:name w:val="index 4"/>
    <w:basedOn w:val="1"/>
    <w:next w:val="1"/>
    <w:qFormat/>
    <w:uiPriority w:val="0"/>
    <w:pPr>
      <w:widowControl/>
      <w:ind w:left="960" w:hanging="240"/>
      <w:jc w:val="left"/>
    </w:pPr>
    <w:rPr>
      <w:rFonts w:ascii="仿宋_GB2312" w:eastAsia="仿宋_GB2312"/>
      <w:kern w:val="0"/>
      <w:sz w:val="24"/>
      <w:szCs w:val="28"/>
    </w:rPr>
  </w:style>
  <w:style w:type="paragraph" w:styleId="33">
    <w:name w:val="toc 5"/>
    <w:basedOn w:val="1"/>
    <w:next w:val="1"/>
    <w:qFormat/>
    <w:uiPriority w:val="0"/>
    <w:pPr>
      <w:ind w:left="840"/>
      <w:jc w:val="left"/>
    </w:pPr>
    <w:rPr>
      <w:rFonts w:ascii="仿宋_GB2312" w:eastAsia="仿宋_GB2312"/>
      <w:sz w:val="18"/>
      <w:szCs w:val="18"/>
    </w:rPr>
  </w:style>
  <w:style w:type="paragraph" w:styleId="34">
    <w:name w:val="toc 3"/>
    <w:basedOn w:val="1"/>
    <w:next w:val="1"/>
    <w:qFormat/>
    <w:uiPriority w:val="0"/>
    <w:pPr>
      <w:ind w:left="420"/>
      <w:jc w:val="left"/>
    </w:pPr>
    <w:rPr>
      <w:rFonts w:ascii="仿宋_GB2312" w:eastAsia="仿宋_GB2312"/>
      <w:i/>
      <w:iCs/>
      <w:sz w:val="20"/>
    </w:rPr>
  </w:style>
  <w:style w:type="paragraph" w:styleId="35">
    <w:name w:val="Plain Text"/>
    <w:basedOn w:val="1"/>
    <w:next w:val="1"/>
    <w:link w:val="122"/>
    <w:qFormat/>
    <w:uiPriority w:val="0"/>
    <w:rPr>
      <w:rFonts w:ascii="宋体" w:hAnsi="Courier New"/>
    </w:rPr>
  </w:style>
  <w:style w:type="paragraph" w:styleId="36">
    <w:name w:val="toc 8"/>
    <w:basedOn w:val="1"/>
    <w:next w:val="1"/>
    <w:qFormat/>
    <w:uiPriority w:val="0"/>
    <w:pPr>
      <w:ind w:left="1470"/>
      <w:jc w:val="left"/>
    </w:pPr>
    <w:rPr>
      <w:rFonts w:ascii="仿宋_GB2312" w:eastAsia="仿宋_GB2312"/>
      <w:sz w:val="18"/>
      <w:szCs w:val="18"/>
    </w:rPr>
  </w:style>
  <w:style w:type="paragraph" w:styleId="37">
    <w:name w:val="index 3"/>
    <w:basedOn w:val="1"/>
    <w:next w:val="1"/>
    <w:qFormat/>
    <w:uiPriority w:val="0"/>
    <w:pPr>
      <w:widowControl/>
      <w:ind w:left="720" w:hanging="240"/>
      <w:jc w:val="left"/>
    </w:pPr>
    <w:rPr>
      <w:rFonts w:ascii="仿宋_GB2312" w:eastAsia="仿宋_GB2312"/>
      <w:kern w:val="0"/>
      <w:sz w:val="24"/>
      <w:szCs w:val="28"/>
    </w:rPr>
  </w:style>
  <w:style w:type="paragraph" w:styleId="38">
    <w:name w:val="Date"/>
    <w:basedOn w:val="1"/>
    <w:next w:val="1"/>
    <w:link w:val="147"/>
    <w:qFormat/>
    <w:uiPriority w:val="0"/>
    <w:pPr>
      <w:ind w:left="100" w:leftChars="2500"/>
    </w:pPr>
  </w:style>
  <w:style w:type="paragraph" w:styleId="39">
    <w:name w:val="Body Text Indent 2"/>
    <w:basedOn w:val="1"/>
    <w:link w:val="97"/>
    <w:qFormat/>
    <w:uiPriority w:val="0"/>
    <w:pPr>
      <w:spacing w:line="432" w:lineRule="auto"/>
      <w:ind w:firstLine="480" w:firstLineChars="200"/>
    </w:pPr>
    <w:rPr>
      <w:sz w:val="24"/>
      <w:szCs w:val="21"/>
    </w:rPr>
  </w:style>
  <w:style w:type="paragraph" w:styleId="40">
    <w:name w:val="endnote text"/>
    <w:basedOn w:val="1"/>
    <w:link w:val="121"/>
    <w:qFormat/>
    <w:uiPriority w:val="0"/>
    <w:pPr>
      <w:snapToGrid w:val="0"/>
      <w:jc w:val="left"/>
    </w:pPr>
    <w:rPr>
      <w:rFonts w:ascii="仿宋_GB2312" w:eastAsia="仿宋_GB2312"/>
      <w:sz w:val="28"/>
      <w:szCs w:val="28"/>
    </w:rPr>
  </w:style>
  <w:style w:type="paragraph" w:styleId="41">
    <w:name w:val="Balloon Text"/>
    <w:basedOn w:val="1"/>
    <w:link w:val="109"/>
    <w:semiHidden/>
    <w:qFormat/>
    <w:uiPriority w:val="0"/>
    <w:rPr>
      <w:sz w:val="18"/>
      <w:szCs w:val="18"/>
    </w:rPr>
  </w:style>
  <w:style w:type="paragraph" w:styleId="42">
    <w:name w:val="footer"/>
    <w:basedOn w:val="1"/>
    <w:link w:val="152"/>
    <w:qFormat/>
    <w:uiPriority w:val="0"/>
    <w:pPr>
      <w:tabs>
        <w:tab w:val="center" w:pos="4153"/>
        <w:tab w:val="right" w:pos="8306"/>
      </w:tabs>
      <w:snapToGrid w:val="0"/>
      <w:jc w:val="left"/>
    </w:pPr>
    <w:rPr>
      <w:sz w:val="18"/>
      <w:szCs w:val="18"/>
    </w:rPr>
  </w:style>
  <w:style w:type="paragraph" w:styleId="43">
    <w:name w:val="header"/>
    <w:basedOn w:val="1"/>
    <w:link w:val="124"/>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4">
    <w:name w:val="toc 1"/>
    <w:basedOn w:val="1"/>
    <w:next w:val="1"/>
    <w:qFormat/>
    <w:uiPriority w:val="39"/>
    <w:pPr>
      <w:spacing w:line="360" w:lineRule="auto"/>
    </w:pPr>
    <w:rPr>
      <w:rFonts w:eastAsia="仿宋_GB2312"/>
      <w:sz w:val="32"/>
    </w:rPr>
  </w:style>
  <w:style w:type="paragraph" w:styleId="45">
    <w:name w:val="toc 4"/>
    <w:basedOn w:val="1"/>
    <w:next w:val="1"/>
    <w:qFormat/>
    <w:uiPriority w:val="0"/>
    <w:pPr>
      <w:ind w:left="630"/>
      <w:jc w:val="left"/>
    </w:pPr>
    <w:rPr>
      <w:rFonts w:ascii="仿宋_GB2312" w:eastAsia="仿宋_GB2312"/>
      <w:sz w:val="18"/>
      <w:szCs w:val="18"/>
    </w:rPr>
  </w:style>
  <w:style w:type="paragraph" w:styleId="46">
    <w:name w:val="index heading"/>
    <w:basedOn w:val="1"/>
    <w:next w:val="47"/>
    <w:qFormat/>
    <w:uiPriority w:val="0"/>
    <w:pPr>
      <w:widowControl/>
      <w:jc w:val="left"/>
    </w:pPr>
    <w:rPr>
      <w:rFonts w:ascii="仿宋_GB2312" w:eastAsia="仿宋_GB2312"/>
      <w:kern w:val="0"/>
      <w:sz w:val="24"/>
      <w:szCs w:val="28"/>
    </w:rPr>
  </w:style>
  <w:style w:type="paragraph" w:styleId="47">
    <w:name w:val="index 1"/>
    <w:basedOn w:val="1"/>
    <w:next w:val="1"/>
    <w:qFormat/>
    <w:uiPriority w:val="0"/>
    <w:pPr>
      <w:widowControl/>
      <w:spacing w:line="360" w:lineRule="auto"/>
      <w:ind w:left="240" w:hanging="240"/>
      <w:jc w:val="left"/>
    </w:pPr>
    <w:rPr>
      <w:rFonts w:ascii="Arial" w:hAnsi="Arial" w:eastAsia="仿宋_GB2312" w:cs="Arial"/>
      <w:kern w:val="0"/>
      <w:sz w:val="28"/>
      <w:szCs w:val="21"/>
    </w:rPr>
  </w:style>
  <w:style w:type="paragraph" w:styleId="48">
    <w:name w:val="Subtitle"/>
    <w:basedOn w:val="1"/>
    <w:next w:val="1"/>
    <w:qFormat/>
    <w:uiPriority w:val="0"/>
    <w:pPr>
      <w:widowControl/>
      <w:spacing w:after="480" w:line="276" w:lineRule="auto"/>
      <w:jc w:val="left"/>
    </w:pPr>
    <w:rPr>
      <w:rFonts w:ascii="Cambria" w:hAnsi="Cambria"/>
      <w:i/>
      <w:iCs/>
      <w:color w:val="4F81BD"/>
      <w:spacing w:val="15"/>
      <w:kern w:val="0"/>
      <w:sz w:val="24"/>
      <w:szCs w:val="24"/>
      <w:lang w:eastAsia="en-US" w:bidi="en-US"/>
    </w:rPr>
  </w:style>
  <w:style w:type="paragraph" w:styleId="49">
    <w:name w:val="footnote text"/>
    <w:basedOn w:val="1"/>
    <w:link w:val="82"/>
    <w:qFormat/>
    <w:uiPriority w:val="0"/>
    <w:pPr>
      <w:snapToGrid w:val="0"/>
      <w:jc w:val="left"/>
    </w:pPr>
    <w:rPr>
      <w:rFonts w:ascii="仿宋_GB2312" w:eastAsia="仿宋_GB2312"/>
      <w:sz w:val="18"/>
      <w:szCs w:val="18"/>
    </w:rPr>
  </w:style>
  <w:style w:type="paragraph" w:styleId="50">
    <w:name w:val="Body Text Indent 3"/>
    <w:basedOn w:val="1"/>
    <w:link w:val="174"/>
    <w:qFormat/>
    <w:uiPriority w:val="0"/>
    <w:pPr>
      <w:spacing w:line="540" w:lineRule="exact"/>
      <w:ind w:left="479" w:leftChars="228"/>
    </w:pPr>
    <w:rPr>
      <w:rFonts w:ascii="隶书" w:hAnsi="宋体" w:eastAsia="隶书"/>
      <w:szCs w:val="24"/>
    </w:rPr>
  </w:style>
  <w:style w:type="paragraph" w:styleId="51">
    <w:name w:val="index 7"/>
    <w:basedOn w:val="1"/>
    <w:next w:val="1"/>
    <w:qFormat/>
    <w:uiPriority w:val="0"/>
    <w:pPr>
      <w:widowControl/>
      <w:ind w:left="1680" w:hanging="240"/>
      <w:jc w:val="left"/>
    </w:pPr>
    <w:rPr>
      <w:rFonts w:ascii="仿宋_GB2312" w:eastAsia="仿宋_GB2312"/>
      <w:kern w:val="0"/>
      <w:sz w:val="24"/>
      <w:szCs w:val="28"/>
    </w:rPr>
  </w:style>
  <w:style w:type="paragraph" w:styleId="52">
    <w:name w:val="index 9"/>
    <w:basedOn w:val="1"/>
    <w:next w:val="1"/>
    <w:qFormat/>
    <w:uiPriority w:val="0"/>
    <w:pPr>
      <w:widowControl/>
      <w:ind w:left="2160" w:hanging="240"/>
      <w:jc w:val="left"/>
    </w:pPr>
    <w:rPr>
      <w:rFonts w:ascii="仿宋_GB2312" w:eastAsia="仿宋_GB2312"/>
      <w:kern w:val="0"/>
      <w:sz w:val="24"/>
      <w:szCs w:val="28"/>
    </w:rPr>
  </w:style>
  <w:style w:type="paragraph" w:styleId="53">
    <w:name w:val="table of figures"/>
    <w:basedOn w:val="1"/>
    <w:next w:val="1"/>
    <w:qFormat/>
    <w:uiPriority w:val="0"/>
    <w:pPr>
      <w:widowControl/>
      <w:ind w:left="480" w:hanging="480"/>
      <w:jc w:val="left"/>
    </w:pPr>
    <w:rPr>
      <w:rFonts w:ascii="仿宋_GB2312" w:eastAsia="仿宋_GB2312"/>
      <w:kern w:val="0"/>
      <w:sz w:val="24"/>
      <w:szCs w:val="28"/>
    </w:rPr>
  </w:style>
  <w:style w:type="paragraph" w:styleId="54">
    <w:name w:val="toc 2"/>
    <w:basedOn w:val="1"/>
    <w:next w:val="1"/>
    <w:qFormat/>
    <w:uiPriority w:val="39"/>
    <w:pPr>
      <w:ind w:left="210"/>
      <w:jc w:val="left"/>
    </w:pPr>
    <w:rPr>
      <w:rFonts w:ascii="仿宋_GB2312" w:eastAsia="仿宋_GB2312"/>
      <w:smallCaps/>
      <w:sz w:val="20"/>
    </w:rPr>
  </w:style>
  <w:style w:type="paragraph" w:styleId="55">
    <w:name w:val="toc 9"/>
    <w:basedOn w:val="1"/>
    <w:next w:val="1"/>
    <w:qFormat/>
    <w:uiPriority w:val="0"/>
    <w:pPr>
      <w:ind w:left="1680"/>
      <w:jc w:val="left"/>
    </w:pPr>
    <w:rPr>
      <w:rFonts w:ascii="仿宋_GB2312" w:eastAsia="仿宋_GB2312"/>
      <w:sz w:val="18"/>
      <w:szCs w:val="18"/>
    </w:rPr>
  </w:style>
  <w:style w:type="paragraph" w:styleId="56">
    <w:name w:val="Body Text 2"/>
    <w:basedOn w:val="1"/>
    <w:link w:val="90"/>
    <w:qFormat/>
    <w:uiPriority w:val="0"/>
    <w:pPr>
      <w:spacing w:line="360" w:lineRule="auto"/>
    </w:pPr>
    <w:rPr>
      <w:sz w:val="24"/>
      <w:szCs w:val="24"/>
    </w:rPr>
  </w:style>
  <w:style w:type="paragraph" w:styleId="57">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58">
    <w:name w:val="index 2"/>
    <w:basedOn w:val="1"/>
    <w:next w:val="1"/>
    <w:qFormat/>
    <w:uiPriority w:val="0"/>
    <w:pPr>
      <w:widowControl/>
      <w:ind w:left="480" w:hanging="240"/>
      <w:jc w:val="left"/>
    </w:pPr>
    <w:rPr>
      <w:rFonts w:ascii="仿宋_GB2312" w:eastAsia="仿宋_GB2312"/>
      <w:kern w:val="0"/>
      <w:sz w:val="24"/>
      <w:szCs w:val="28"/>
    </w:rPr>
  </w:style>
  <w:style w:type="paragraph" w:styleId="59">
    <w:name w:val="Title"/>
    <w:basedOn w:val="1"/>
    <w:next w:val="1"/>
    <w:link w:val="168"/>
    <w:qFormat/>
    <w:uiPriority w:val="0"/>
    <w:pPr>
      <w:jc w:val="center"/>
    </w:pPr>
    <w:rPr>
      <w:rFonts w:ascii="Arial" w:hAnsi="Arial"/>
      <w:b/>
      <w:kern w:val="0"/>
      <w:sz w:val="36"/>
      <w:lang w:eastAsia="en-US"/>
    </w:rPr>
  </w:style>
  <w:style w:type="character" w:styleId="61">
    <w:name w:val="Strong"/>
    <w:qFormat/>
    <w:uiPriority w:val="0"/>
    <w:rPr>
      <w:b/>
      <w:bCs/>
    </w:rPr>
  </w:style>
  <w:style w:type="character" w:styleId="62">
    <w:name w:val="endnote reference"/>
    <w:qFormat/>
    <w:uiPriority w:val="0"/>
    <w:rPr>
      <w:vertAlign w:val="superscript"/>
    </w:rPr>
  </w:style>
  <w:style w:type="character" w:styleId="63">
    <w:name w:val="page number"/>
    <w:basedOn w:val="60"/>
    <w:qFormat/>
    <w:uiPriority w:val="0"/>
  </w:style>
  <w:style w:type="character" w:styleId="64">
    <w:name w:val="FollowedHyperlink"/>
    <w:qFormat/>
    <w:uiPriority w:val="0"/>
    <w:rPr>
      <w:color w:val="800080"/>
      <w:u w:val="single"/>
    </w:rPr>
  </w:style>
  <w:style w:type="character" w:styleId="65">
    <w:name w:val="Emphasis"/>
    <w:qFormat/>
    <w:uiPriority w:val="0"/>
    <w:rPr>
      <w:color w:val="CC0000"/>
    </w:rPr>
  </w:style>
  <w:style w:type="character" w:styleId="66">
    <w:name w:val="Hyperlink"/>
    <w:qFormat/>
    <w:uiPriority w:val="99"/>
    <w:rPr>
      <w:color w:val="0000FF"/>
      <w:u w:val="single"/>
    </w:rPr>
  </w:style>
  <w:style w:type="character" w:styleId="67">
    <w:name w:val="annotation reference"/>
    <w:qFormat/>
    <w:uiPriority w:val="99"/>
    <w:rPr>
      <w:sz w:val="21"/>
      <w:szCs w:val="21"/>
    </w:rPr>
  </w:style>
  <w:style w:type="character" w:styleId="68">
    <w:name w:val="footnote reference"/>
    <w:qFormat/>
    <w:uiPriority w:val="0"/>
    <w:rPr>
      <w:vertAlign w:val="superscript"/>
    </w:rPr>
  </w:style>
  <w:style w:type="table" w:styleId="70">
    <w:name w:val="Table Grid"/>
    <w:basedOn w:val="6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table" w:styleId="71">
    <w:name w:val="Table Elegant"/>
    <w:basedOn w:val="69"/>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cPr>
      <w:shd w:val="clear" w:color="auto" w:fill="auto"/>
    </w:tcPr>
    <w:tblStylePr w:type="firstRow">
      <w:rPr>
        <w:caps/>
        <w:color w:val="auto"/>
      </w:rPr>
      <w:tblPr>
        <w:tblLayout w:type="fixed"/>
      </w:tblPr>
      <w:tcPr>
        <w:tcBorders>
          <w:top w:val="nil"/>
          <w:left w:val="nil"/>
          <w:bottom w:val="nil"/>
          <w:right w:val="nil"/>
          <w:insideH w:val="nil"/>
          <w:insideV w:val="nil"/>
          <w:tl2br w:val="nil"/>
          <w:tr2bl w:val="nil"/>
        </w:tcBorders>
      </w:tcPr>
    </w:tblStylePr>
  </w:style>
  <w:style w:type="table" w:styleId="72">
    <w:name w:val="Table Classic 1"/>
    <w:basedOn w:val="69"/>
    <w:qFormat/>
    <w:uiPriority w:val="0"/>
    <w:pPr>
      <w:widowControl w:val="0"/>
      <w:jc w:val="both"/>
    </w:pPr>
    <w:tblPr>
      <w:tblBorders>
        <w:top w:val="single" w:color="000000" w:sz="12" w:space="0"/>
        <w:bottom w:val="single" w:color="000000" w:sz="12" w:space="0"/>
      </w:tblBorders>
      <w:tblLayout w:type="fixed"/>
      <w:tblCellMar>
        <w:top w:w="0" w:type="dxa"/>
        <w:left w:w="108" w:type="dxa"/>
        <w:bottom w:w="0" w:type="dxa"/>
        <w:right w:w="108" w:type="dxa"/>
      </w:tblCellMar>
    </w:tblPr>
    <w:tcPr>
      <w:shd w:val="clear" w:color="auto" w:fill="auto"/>
    </w:tcPr>
    <w:tblStylePr w:type="firstRow">
      <w:rPr>
        <w:i/>
        <w:iCs/>
      </w:rPr>
      <w:tblPr>
        <w:tblLayout w:type="fixed"/>
      </w:tblPr>
      <w:tcPr>
        <w:tcBorders>
          <w:top w:val="nil"/>
          <w:left w:val="nil"/>
          <w:bottom w:val="single" w:color="000000" w:sz="6" w:space="0"/>
          <w:right w:val="nil"/>
          <w:insideH w:val="nil"/>
          <w:insideV w:val="nil"/>
          <w:tl2br w:val="nil"/>
          <w:tr2bl w:val="nil"/>
        </w:tcBorders>
      </w:tcPr>
    </w:tblStylePr>
    <w:tblStylePr w:type="lastRow">
      <w:rPr>
        <w:color w:val="auto"/>
      </w:rPr>
      <w:tblPr>
        <w:tblLayout w:type="fixed"/>
      </w:tblPr>
      <w:tcPr>
        <w:tcBorders>
          <w:top w:val="single" w:color="000000" w:sz="6" w:space="0"/>
          <w:left w:val="nil"/>
          <w:bottom w:val="nil"/>
          <w:right w:val="nil"/>
          <w:insideH w:val="nil"/>
          <w:insideV w:val="nil"/>
          <w:tl2br w:val="nil"/>
          <w:tr2bl w:val="nil"/>
        </w:tcBorders>
      </w:tcPr>
    </w:tblStylePr>
    <w:tblStylePr w:type="firstCol">
      <w:tblPr>
        <w:tblLayout w:type="fixed"/>
      </w:tblPr>
      <w:tcPr>
        <w:tcBorders>
          <w:top w:val="nil"/>
          <w:left w:val="nil"/>
          <w:bottom w:val="nil"/>
          <w:right w:val="single" w:color="000000" w:sz="6" w:space="0"/>
          <w:insideH w:val="nil"/>
          <w:insideV w:val="nil"/>
          <w:tl2br w:val="nil"/>
          <w:tr2bl w:val="nil"/>
        </w:tcBorders>
      </w:tcPr>
    </w:tblStylePr>
    <w:tblStylePr w:type="neCell">
      <w:rPr>
        <w:b/>
        <w:bCs/>
        <w:i w:val="0"/>
        <w:iCs w:val="0"/>
      </w:rPr>
      <w:tblPr>
        <w:tblLayout w:type="fixed"/>
      </w:tblPr>
      <w:tcPr>
        <w:tcBorders>
          <w:top w:val="nil"/>
          <w:left w:val="nil"/>
          <w:bottom w:val="nil"/>
          <w:right w:val="nil"/>
          <w:insideH w:val="nil"/>
          <w:insideV w:val="nil"/>
          <w:tl2br w:val="nil"/>
          <w:tr2bl w:val="nil"/>
        </w:tcBorders>
      </w:tcPr>
    </w:tblStylePr>
    <w:tblStylePr w:type="swCell">
      <w:rPr>
        <w:b/>
        <w:bCs/>
      </w:rPr>
      <w:tblPr>
        <w:tblLayout w:type="fixed"/>
      </w:tblPr>
      <w:tcPr>
        <w:tcBorders>
          <w:top w:val="nil"/>
          <w:left w:val="nil"/>
          <w:bottom w:val="nil"/>
          <w:right w:val="nil"/>
          <w:insideH w:val="nil"/>
          <w:insideV w:val="nil"/>
          <w:tl2br w:val="nil"/>
          <w:tr2bl w:val="nil"/>
        </w:tcBorders>
      </w:tcPr>
    </w:tblStylePr>
  </w:style>
  <w:style w:type="character" w:customStyle="1" w:styleId="73">
    <w:name w:val="番茄花园"/>
    <w:qFormat/>
    <w:uiPriority w:val="0"/>
    <w:rPr>
      <w:rFonts w:ascii="Arial" w:hAnsi="Arial" w:eastAsia="宋体" w:cs="Arial"/>
      <w:color w:val="000080"/>
      <w:sz w:val="18"/>
      <w:szCs w:val="20"/>
    </w:rPr>
  </w:style>
  <w:style w:type="character" w:customStyle="1" w:styleId="74">
    <w:name w:val="正文缩进 Char"/>
    <w:link w:val="21"/>
    <w:qFormat/>
    <w:uiPriority w:val="0"/>
    <w:rPr>
      <w:rFonts w:ascii="宋体" w:eastAsia="宋体"/>
      <w:snapToGrid w:val="0"/>
      <w:color w:val="000000"/>
      <w:kern w:val="28"/>
      <w:sz w:val="28"/>
      <w:lang w:val="en-US" w:eastAsia="zh-CN" w:bidi="ar-SA"/>
    </w:rPr>
  </w:style>
  <w:style w:type="character" w:customStyle="1" w:styleId="75">
    <w:name w:val="Char Char18"/>
    <w:qFormat/>
    <w:uiPriority w:val="0"/>
    <w:rPr>
      <w:rFonts w:ascii="Cambria" w:hAnsi="Cambria" w:eastAsia="宋体" w:cs="Times New Roman"/>
      <w:i/>
      <w:iCs/>
      <w:color w:val="404040"/>
      <w:sz w:val="20"/>
      <w:szCs w:val="20"/>
    </w:rPr>
  </w:style>
  <w:style w:type="character" w:customStyle="1" w:styleId="76">
    <w:name w:val="H5 Char"/>
    <w:qFormat/>
    <w:uiPriority w:val="0"/>
    <w:rPr>
      <w:rFonts w:ascii="Arial" w:hAnsi="Arial"/>
      <w:sz w:val="22"/>
    </w:rPr>
  </w:style>
  <w:style w:type="character" w:customStyle="1" w:styleId="77">
    <w:name w:val="H6 Char1"/>
    <w:qFormat/>
    <w:uiPriority w:val="0"/>
    <w:rPr>
      <w:rFonts w:ascii="Arial" w:hAnsi="Arial" w:eastAsia="宋体" w:cs="Times New Roman"/>
      <w:i/>
      <w:sz w:val="22"/>
      <w:szCs w:val="28"/>
    </w:rPr>
  </w:style>
  <w:style w:type="character" w:customStyle="1" w:styleId="78">
    <w:name w:val="g1"/>
    <w:qFormat/>
    <w:uiPriority w:val="0"/>
    <w:rPr>
      <w:color w:val="008000"/>
    </w:rPr>
  </w:style>
  <w:style w:type="character" w:customStyle="1" w:styleId="79">
    <w:name w:val="文档结构图 Char1"/>
    <w:semiHidden/>
    <w:qFormat/>
    <w:uiPriority w:val="0"/>
    <w:rPr>
      <w:rFonts w:ascii="宋体" w:hAnsi="Times New Roman" w:eastAsia="宋体" w:cs="Times New Roman"/>
      <w:sz w:val="18"/>
      <w:szCs w:val="18"/>
    </w:rPr>
  </w:style>
  <w:style w:type="character" w:customStyle="1" w:styleId="80">
    <w:name w:val="批注主题 Char"/>
    <w:link w:val="17"/>
    <w:qFormat/>
    <w:uiPriority w:val="0"/>
    <w:rPr>
      <w:rFonts w:eastAsia="宋体"/>
      <w:b/>
      <w:bCs/>
      <w:kern w:val="2"/>
      <w:sz w:val="21"/>
      <w:szCs w:val="24"/>
      <w:lang w:val="en-US" w:eastAsia="zh-CN" w:bidi="ar-SA"/>
    </w:rPr>
  </w:style>
  <w:style w:type="character" w:customStyle="1" w:styleId="81">
    <w:name w:val="正文文本 Char2"/>
    <w:link w:val="4"/>
    <w:qFormat/>
    <w:uiPriority w:val="0"/>
    <w:rPr>
      <w:rFonts w:eastAsia="黑体"/>
      <w:b/>
      <w:bCs/>
      <w:spacing w:val="20"/>
      <w:kern w:val="52"/>
      <w:sz w:val="56"/>
      <w:szCs w:val="24"/>
      <w:lang w:val="en-US" w:eastAsia="zh-CN" w:bidi="ar-SA"/>
    </w:rPr>
  </w:style>
  <w:style w:type="character" w:customStyle="1" w:styleId="82">
    <w:name w:val="脚注文本 Char"/>
    <w:link w:val="49"/>
    <w:qFormat/>
    <w:uiPriority w:val="0"/>
    <w:rPr>
      <w:rFonts w:ascii="仿宋_GB2312" w:eastAsia="仿宋_GB2312"/>
      <w:kern w:val="2"/>
      <w:sz w:val="18"/>
      <w:szCs w:val="18"/>
      <w:lang w:val="en-US" w:eastAsia="zh-CN" w:bidi="ar-SA"/>
    </w:rPr>
  </w:style>
  <w:style w:type="character" w:customStyle="1" w:styleId="83">
    <w:name w:val="普通文字 Char Char6"/>
    <w:qFormat/>
    <w:uiPriority w:val="0"/>
    <w:rPr>
      <w:rFonts w:ascii="宋体" w:hAnsi="Courier New" w:eastAsia="仿宋_GB2312" w:cs="Times New Roman"/>
      <w:kern w:val="0"/>
      <w:sz w:val="28"/>
      <w:szCs w:val="20"/>
      <w:lang w:val="en-US" w:eastAsia="zh-CN"/>
    </w:rPr>
  </w:style>
  <w:style w:type="character" w:customStyle="1" w:styleId="84">
    <w:name w:val="h1 Char"/>
    <w:qFormat/>
    <w:uiPriority w:val="0"/>
    <w:rPr>
      <w:rFonts w:ascii="Calibri" w:hAnsi="Calibri"/>
      <w:b/>
      <w:bCs/>
      <w:kern w:val="44"/>
      <w:sz w:val="44"/>
      <w:szCs w:val="44"/>
    </w:rPr>
  </w:style>
  <w:style w:type="character" w:customStyle="1" w:styleId="85">
    <w:name w:val="书籍标题1"/>
    <w:qFormat/>
    <w:uiPriority w:val="0"/>
    <w:rPr>
      <w:b/>
      <w:bCs/>
      <w:smallCaps/>
      <w:spacing w:val="5"/>
    </w:rPr>
  </w:style>
  <w:style w:type="character" w:customStyle="1" w:styleId="86">
    <w:name w:val="EHPT Char"/>
    <w:qFormat/>
    <w:uiPriority w:val="0"/>
    <w:rPr>
      <w:rFonts w:ascii="Calibri" w:hAnsi="Calibri" w:eastAsia="宋体"/>
      <w:kern w:val="2"/>
      <w:sz w:val="21"/>
      <w:szCs w:val="22"/>
      <w:lang w:val="en-US" w:eastAsia="zh-CN" w:bidi="ar-SA"/>
    </w:rPr>
  </w:style>
  <w:style w:type="character" w:customStyle="1" w:styleId="87">
    <w:name w:val="不明显强调1"/>
    <w:qFormat/>
    <w:uiPriority w:val="0"/>
    <w:rPr>
      <w:i/>
      <w:iCs/>
      <w:color w:val="808080"/>
    </w:rPr>
  </w:style>
  <w:style w:type="character" w:customStyle="1" w:styleId="88">
    <w:name w:val="Char Char20"/>
    <w:qFormat/>
    <w:uiPriority w:val="0"/>
    <w:rPr>
      <w:rFonts w:ascii="Cambria" w:hAnsi="Cambria" w:eastAsia="宋体" w:cs="Times New Roman"/>
      <w:i/>
      <w:iCs/>
      <w:color w:val="404040"/>
    </w:rPr>
  </w:style>
  <w:style w:type="character" w:customStyle="1" w:styleId="89">
    <w:name w:val="PI Char1"/>
    <w:qFormat/>
    <w:uiPriority w:val="0"/>
    <w:rPr>
      <w:rFonts w:ascii="仿宋_GB2312" w:eastAsia="仿宋_GB2312"/>
      <w:kern w:val="2"/>
      <w:sz w:val="28"/>
      <w:szCs w:val="28"/>
      <w:lang w:val="zh-CN" w:eastAsia="zh-CN" w:bidi="ar-SA"/>
    </w:rPr>
  </w:style>
  <w:style w:type="character" w:customStyle="1" w:styleId="90">
    <w:name w:val="正文文本 2 Char"/>
    <w:link w:val="56"/>
    <w:qFormat/>
    <w:uiPriority w:val="0"/>
    <w:rPr>
      <w:rFonts w:eastAsia="宋体"/>
      <w:kern w:val="2"/>
      <w:sz w:val="24"/>
      <w:szCs w:val="24"/>
      <w:lang w:val="en-US" w:eastAsia="zh-CN" w:bidi="ar-SA"/>
    </w:rPr>
  </w:style>
  <w:style w:type="character" w:customStyle="1" w:styleId="91">
    <w:name w:val="标书正文格式 Char"/>
    <w:link w:val="92"/>
    <w:qFormat/>
    <w:uiPriority w:val="0"/>
    <w:rPr>
      <w:rFonts w:ascii="KaiTi_GB2312" w:eastAsia="KaiTi_GB2312"/>
      <w:color w:val="000000"/>
      <w:kern w:val="2"/>
      <w:sz w:val="24"/>
      <w:szCs w:val="24"/>
      <w:lang w:val="en-US" w:eastAsia="zh-CN" w:bidi="ar-SA"/>
    </w:rPr>
  </w:style>
  <w:style w:type="paragraph" w:customStyle="1" w:styleId="92">
    <w:name w:val="标书正文格式"/>
    <w:link w:val="91"/>
    <w:qFormat/>
    <w:uiPriority w:val="0"/>
    <w:pPr>
      <w:spacing w:line="360" w:lineRule="auto"/>
      <w:ind w:firstLine="480" w:firstLineChars="200"/>
    </w:pPr>
    <w:rPr>
      <w:rFonts w:ascii="KaiTi_GB2312" w:hAnsi="Calibri" w:eastAsia="KaiTi_GB2312" w:cs="Times New Roman"/>
      <w:color w:val="000000"/>
      <w:kern w:val="2"/>
      <w:sz w:val="24"/>
      <w:szCs w:val="24"/>
      <w:lang w:val="en-US" w:eastAsia="zh-CN" w:bidi="ar-SA"/>
    </w:rPr>
  </w:style>
  <w:style w:type="character" w:customStyle="1" w:styleId="93">
    <w:name w:val="普通文字 Char Char8"/>
    <w:qFormat/>
    <w:uiPriority w:val="0"/>
    <w:rPr>
      <w:rFonts w:ascii="宋体" w:hAnsi="Courier New" w:eastAsia="宋体"/>
    </w:rPr>
  </w:style>
  <w:style w:type="character" w:customStyle="1" w:styleId="94">
    <w:name w:val="正文文本 3 Char"/>
    <w:link w:val="28"/>
    <w:qFormat/>
    <w:uiPriority w:val="0"/>
    <w:rPr>
      <w:rFonts w:ascii="宋体" w:hAnsi="宋体" w:eastAsia="宋体"/>
      <w:b/>
      <w:bCs/>
      <w:kern w:val="2"/>
      <w:sz w:val="24"/>
      <w:szCs w:val="24"/>
      <w:lang w:val="en-US" w:eastAsia="zh-CN" w:bidi="ar-SA"/>
    </w:rPr>
  </w:style>
  <w:style w:type="character" w:customStyle="1" w:styleId="95">
    <w:name w:val="页脚 Char1"/>
    <w:semiHidden/>
    <w:qFormat/>
    <w:uiPriority w:val="0"/>
    <w:rPr>
      <w:rFonts w:ascii="仿宋_GB2312" w:hAnsi="Times New Roman" w:eastAsia="仿宋_GB2312" w:cs="Times New Roman"/>
      <w:sz w:val="18"/>
      <w:szCs w:val="18"/>
    </w:rPr>
  </w:style>
  <w:style w:type="character" w:customStyle="1" w:styleId="96">
    <w:name w:val="正文文本 Char1"/>
    <w:semiHidden/>
    <w:qFormat/>
    <w:uiPriority w:val="0"/>
    <w:rPr>
      <w:rFonts w:ascii="仿宋_GB2312" w:hAnsi="Times New Roman" w:eastAsia="仿宋_GB2312" w:cs="Times New Roman"/>
      <w:sz w:val="28"/>
      <w:szCs w:val="28"/>
    </w:rPr>
  </w:style>
  <w:style w:type="character" w:customStyle="1" w:styleId="97">
    <w:name w:val="正文文本缩进 2 Char"/>
    <w:link w:val="39"/>
    <w:semiHidden/>
    <w:qFormat/>
    <w:uiPriority w:val="0"/>
    <w:rPr>
      <w:rFonts w:eastAsia="宋体"/>
      <w:kern w:val="2"/>
      <w:sz w:val="24"/>
      <w:szCs w:val="21"/>
      <w:lang w:val="en-US" w:eastAsia="zh-CN" w:bidi="ar-SA"/>
    </w:rPr>
  </w:style>
  <w:style w:type="character" w:customStyle="1" w:styleId="98">
    <w:name w:val="text9"/>
    <w:basedOn w:val="60"/>
    <w:qFormat/>
    <w:uiPriority w:val="0"/>
  </w:style>
  <w:style w:type="character" w:customStyle="1" w:styleId="99">
    <w:name w:val="标题 8 Char"/>
    <w:link w:val="14"/>
    <w:qFormat/>
    <w:uiPriority w:val="0"/>
    <w:rPr>
      <w:rFonts w:ascii="Arial" w:hAnsi="Arial" w:eastAsia="宋体"/>
      <w:i/>
      <w:kern w:val="2"/>
      <w:sz w:val="28"/>
      <w:szCs w:val="28"/>
      <w:lang w:val="en-US" w:eastAsia="zh-CN" w:bidi="ar-SA"/>
    </w:rPr>
  </w:style>
  <w:style w:type="character" w:customStyle="1" w:styleId="100">
    <w:name w:val="标题 3 Char Char"/>
    <w:qFormat/>
    <w:uiPriority w:val="0"/>
    <w:rPr>
      <w:rFonts w:ascii="宋体" w:hAnsi="宋体" w:eastAsia="宋体"/>
      <w:color w:val="666666"/>
      <w:kern w:val="2"/>
      <w:sz w:val="28"/>
      <w:szCs w:val="28"/>
      <w:lang w:val="en-US" w:eastAsia="zh-CN" w:bidi="ar-SA"/>
    </w:rPr>
  </w:style>
  <w:style w:type="character" w:customStyle="1" w:styleId="101">
    <w:name w:val="apple-converted-space"/>
    <w:basedOn w:val="60"/>
    <w:qFormat/>
    <w:uiPriority w:val="0"/>
  </w:style>
  <w:style w:type="character" w:customStyle="1" w:styleId="102">
    <w:name w:val="EHPT Char1"/>
    <w:qFormat/>
    <w:uiPriority w:val="0"/>
    <w:rPr>
      <w:rFonts w:ascii="Calibri" w:hAnsi="Calibri" w:eastAsia="宋体"/>
      <w:kern w:val="2"/>
      <w:sz w:val="21"/>
      <w:szCs w:val="22"/>
      <w:lang w:val="en-US" w:eastAsia="zh-CN" w:bidi="ar-SA"/>
    </w:rPr>
  </w:style>
  <w:style w:type="character" w:customStyle="1" w:styleId="103">
    <w:name w:val="Char Char19"/>
    <w:qFormat/>
    <w:uiPriority w:val="0"/>
    <w:rPr>
      <w:rFonts w:ascii="Cambria" w:hAnsi="Cambria" w:eastAsia="宋体" w:cs="Times New Roman"/>
      <w:color w:val="4F81BD"/>
      <w:sz w:val="20"/>
      <w:szCs w:val="20"/>
    </w:rPr>
  </w:style>
  <w:style w:type="character" w:customStyle="1" w:styleId="104">
    <w:name w:val="Char Char4"/>
    <w:qFormat/>
    <w:uiPriority w:val="0"/>
    <w:rPr>
      <w:rFonts w:ascii="仿宋_GB2312" w:eastAsia="仿宋_GB2312"/>
      <w:kern w:val="2"/>
      <w:sz w:val="28"/>
      <w:szCs w:val="28"/>
      <w:lang w:val="zh-CN" w:eastAsia="zh-CN" w:bidi="ar-SA"/>
    </w:rPr>
  </w:style>
  <w:style w:type="character" w:customStyle="1" w:styleId="105">
    <w:name w:val="EmailStyle191"/>
    <w:semiHidden/>
    <w:qFormat/>
    <w:uiPriority w:val="0"/>
    <w:rPr>
      <w:rFonts w:ascii="Arial" w:hAnsi="Arial" w:eastAsia="宋体" w:cs="Arial"/>
      <w:color w:val="000080"/>
      <w:sz w:val="18"/>
      <w:szCs w:val="20"/>
    </w:rPr>
  </w:style>
  <w:style w:type="character" w:customStyle="1" w:styleId="106">
    <w:name w:val="标题 4 Char"/>
    <w:link w:val="10"/>
    <w:qFormat/>
    <w:uiPriority w:val="0"/>
    <w:rPr>
      <w:rFonts w:ascii="Cambria" w:hAnsi="Cambria" w:eastAsia="宋体"/>
      <w:b/>
      <w:bCs/>
      <w:kern w:val="2"/>
      <w:sz w:val="28"/>
      <w:szCs w:val="28"/>
      <w:lang w:val="en-US" w:eastAsia="zh-CN" w:bidi="ar-SA"/>
    </w:rPr>
  </w:style>
  <w:style w:type="character" w:customStyle="1" w:styleId="107">
    <w:name w:val="正文文本 3 Char1"/>
    <w:semiHidden/>
    <w:qFormat/>
    <w:uiPriority w:val="0"/>
    <w:rPr>
      <w:rFonts w:ascii="仿宋_GB2312" w:hAnsi="Times New Roman" w:eastAsia="仿宋_GB2312" w:cs="Times New Roman"/>
      <w:sz w:val="16"/>
      <w:szCs w:val="16"/>
    </w:rPr>
  </w:style>
  <w:style w:type="character" w:customStyle="1" w:styleId="108">
    <w:name w:val="标题 2 Char"/>
    <w:qFormat/>
    <w:uiPriority w:val="0"/>
    <w:rPr>
      <w:rFonts w:ascii="宋体" w:hAnsi="宋体" w:eastAsia="黑体"/>
      <w:b/>
      <w:bCs/>
      <w:kern w:val="2"/>
      <w:sz w:val="24"/>
      <w:szCs w:val="32"/>
      <w:lang w:val="en-US" w:eastAsia="zh-CN" w:bidi="ar-SA"/>
    </w:rPr>
  </w:style>
  <w:style w:type="character" w:customStyle="1" w:styleId="109">
    <w:name w:val="批注框文本 Char"/>
    <w:link w:val="41"/>
    <w:semiHidden/>
    <w:qFormat/>
    <w:uiPriority w:val="0"/>
    <w:rPr>
      <w:rFonts w:eastAsia="宋体"/>
      <w:kern w:val="2"/>
      <w:sz w:val="18"/>
      <w:szCs w:val="18"/>
      <w:lang w:val="en-US" w:eastAsia="zh-CN" w:bidi="ar-SA"/>
    </w:rPr>
  </w:style>
  <w:style w:type="character" w:customStyle="1" w:styleId="110">
    <w:name w:val="maincontenttable1"/>
    <w:qFormat/>
    <w:uiPriority w:val="0"/>
    <w:rPr>
      <w:sz w:val="18"/>
      <w:szCs w:val="18"/>
    </w:rPr>
  </w:style>
  <w:style w:type="character" w:customStyle="1" w:styleId="111">
    <w:name w:val="纯文本 Char1"/>
    <w:semiHidden/>
    <w:qFormat/>
    <w:uiPriority w:val="0"/>
    <w:rPr>
      <w:rFonts w:ascii="宋体" w:hAnsi="Courier New" w:eastAsia="宋体" w:cs="Courier New"/>
      <w:szCs w:val="21"/>
    </w:rPr>
  </w:style>
  <w:style w:type="character" w:customStyle="1" w:styleId="112">
    <w:name w:val="PI Char"/>
    <w:qFormat/>
    <w:uiPriority w:val="0"/>
    <w:rPr>
      <w:rFonts w:ascii="仿宋_GB2312" w:eastAsia="仿宋_GB2312"/>
      <w:kern w:val="2"/>
      <w:sz w:val="28"/>
      <w:szCs w:val="28"/>
      <w:lang w:val="zh-CN" w:eastAsia="zh-CN" w:bidi="ar-SA"/>
    </w:rPr>
  </w:style>
  <w:style w:type="character" w:customStyle="1" w:styleId="113">
    <w:name w:val="批注主题 Char1"/>
    <w:semiHidden/>
    <w:qFormat/>
    <w:uiPriority w:val="0"/>
    <w:rPr>
      <w:rFonts w:ascii="仿宋_GB2312" w:eastAsia="仿宋_GB2312"/>
      <w:b/>
      <w:bCs/>
      <w:kern w:val="2"/>
      <w:sz w:val="28"/>
      <w:szCs w:val="28"/>
      <w:lang w:val="en-US" w:eastAsia="zh-CN" w:bidi="ar-SA"/>
    </w:rPr>
  </w:style>
  <w:style w:type="character" w:customStyle="1" w:styleId="114">
    <w:name w:val="明显引用 Char"/>
    <w:link w:val="115"/>
    <w:qFormat/>
    <w:uiPriority w:val="0"/>
    <w:rPr>
      <w:rFonts w:ascii="Calibri" w:hAnsi="Calibri" w:eastAsia="宋体"/>
      <w:b/>
      <w:bCs/>
      <w:i/>
      <w:iCs/>
      <w:color w:val="4F81BD"/>
      <w:sz w:val="22"/>
      <w:szCs w:val="22"/>
      <w:lang w:val="en-US" w:eastAsia="en-US" w:bidi="en-US"/>
    </w:rPr>
  </w:style>
  <w:style w:type="paragraph" w:customStyle="1" w:styleId="115">
    <w:name w:val="明显引用1"/>
    <w:basedOn w:val="1"/>
    <w:next w:val="1"/>
    <w:link w:val="114"/>
    <w:qFormat/>
    <w:uiPriority w:val="0"/>
    <w:pPr>
      <w:widowControl/>
      <w:pBdr>
        <w:bottom w:val="single" w:color="4F81BD" w:sz="4" w:space="4"/>
      </w:pBdr>
      <w:spacing w:before="200" w:after="280" w:line="276" w:lineRule="auto"/>
      <w:ind w:left="936" w:right="936"/>
      <w:jc w:val="left"/>
    </w:pPr>
    <w:rPr>
      <w:b/>
      <w:bCs/>
      <w:i/>
      <w:iCs/>
      <w:color w:val="4F81BD"/>
      <w:kern w:val="0"/>
      <w:sz w:val="22"/>
      <w:szCs w:val="22"/>
      <w:lang w:eastAsia="en-US" w:bidi="en-US"/>
    </w:rPr>
  </w:style>
  <w:style w:type="character" w:customStyle="1" w:styleId="116">
    <w:name w:val="font11"/>
    <w:qFormat/>
    <w:uiPriority w:val="0"/>
    <w:rPr>
      <w:rFonts w:hint="eastAsia" w:ascii="KaiTi_GB2312" w:eastAsia="KaiTi_GB2312"/>
      <w:color w:val="000000"/>
      <w:sz w:val="21"/>
      <w:szCs w:val="21"/>
      <w:u w:val="none"/>
    </w:rPr>
  </w:style>
  <w:style w:type="character" w:customStyle="1" w:styleId="117">
    <w:name w:val="文字 Char"/>
    <w:link w:val="118"/>
    <w:qFormat/>
    <w:uiPriority w:val="0"/>
    <w:rPr>
      <w:rFonts w:ascii="宋体" w:hAnsi="宋体" w:eastAsia="宋体"/>
      <w:sz w:val="28"/>
      <w:lang w:bidi="ar-SA"/>
    </w:rPr>
  </w:style>
  <w:style w:type="paragraph" w:customStyle="1" w:styleId="118">
    <w:name w:val="文字"/>
    <w:basedOn w:val="1"/>
    <w:link w:val="117"/>
    <w:qFormat/>
    <w:uiPriority w:val="0"/>
    <w:pPr>
      <w:tabs>
        <w:tab w:val="left" w:pos="8520"/>
      </w:tabs>
      <w:spacing w:line="312" w:lineRule="auto"/>
      <w:ind w:right="-210" w:firstLine="556"/>
    </w:pPr>
    <w:rPr>
      <w:rFonts w:ascii="宋体" w:hAnsi="宋体"/>
      <w:kern w:val="0"/>
      <w:sz w:val="28"/>
    </w:rPr>
  </w:style>
  <w:style w:type="character" w:customStyle="1" w:styleId="119">
    <w:name w:val="访问过的超链接1"/>
    <w:qFormat/>
    <w:uiPriority w:val="0"/>
    <w:rPr>
      <w:color w:val="800080"/>
      <w:u w:val="single"/>
    </w:rPr>
  </w:style>
  <w:style w:type="character" w:customStyle="1" w:styleId="120">
    <w:name w:val="正文文本缩进 Char"/>
    <w:qFormat/>
    <w:uiPriority w:val="0"/>
    <w:rPr>
      <w:rFonts w:ascii="仿宋_GB2312" w:hAnsi="Times New Roman" w:eastAsia="仿宋_GB2312" w:cs="Times New Roman"/>
      <w:sz w:val="28"/>
      <w:szCs w:val="28"/>
    </w:rPr>
  </w:style>
  <w:style w:type="character" w:customStyle="1" w:styleId="121">
    <w:name w:val="尾注文本 Char"/>
    <w:link w:val="40"/>
    <w:qFormat/>
    <w:uiPriority w:val="0"/>
    <w:rPr>
      <w:rFonts w:ascii="仿宋_GB2312" w:eastAsia="仿宋_GB2312"/>
      <w:kern w:val="2"/>
      <w:sz w:val="28"/>
      <w:szCs w:val="28"/>
      <w:lang w:val="en-US" w:eastAsia="zh-CN" w:bidi="ar-SA"/>
    </w:rPr>
  </w:style>
  <w:style w:type="character" w:customStyle="1" w:styleId="122">
    <w:name w:val="纯文本 Char"/>
    <w:link w:val="35"/>
    <w:qFormat/>
    <w:locked/>
    <w:uiPriority w:val="0"/>
    <w:rPr>
      <w:rFonts w:ascii="宋体" w:hAnsi="Courier New" w:eastAsia="宋体"/>
      <w:kern w:val="2"/>
      <w:sz w:val="21"/>
      <w:lang w:val="en-US" w:eastAsia="zh-CN" w:bidi="ar-SA"/>
    </w:rPr>
  </w:style>
  <w:style w:type="character" w:customStyle="1" w:styleId="123">
    <w:name w:val="标题 3 Char"/>
    <w:link w:val="9"/>
    <w:qFormat/>
    <w:uiPriority w:val="0"/>
    <w:rPr>
      <w:rFonts w:eastAsia="宋体"/>
      <w:b/>
      <w:bCs/>
      <w:kern w:val="2"/>
      <w:sz w:val="32"/>
      <w:szCs w:val="32"/>
      <w:lang w:val="en-US" w:eastAsia="zh-CN" w:bidi="ar-SA"/>
    </w:rPr>
  </w:style>
  <w:style w:type="character" w:customStyle="1" w:styleId="124">
    <w:name w:val="页眉 Char"/>
    <w:link w:val="43"/>
    <w:qFormat/>
    <w:uiPriority w:val="0"/>
    <w:rPr>
      <w:rFonts w:eastAsia="宋体"/>
      <w:kern w:val="2"/>
      <w:sz w:val="18"/>
      <w:lang w:val="en-US" w:eastAsia="zh-CN" w:bidi="ar-SA"/>
    </w:rPr>
  </w:style>
  <w:style w:type="character" w:customStyle="1" w:styleId="125">
    <w:name w:val="Heading 2 Hidden Char2"/>
    <w:qFormat/>
    <w:uiPriority w:val="0"/>
    <w:rPr>
      <w:rFonts w:ascii="Cambria" w:hAnsi="Cambria" w:eastAsia="宋体" w:cs="Times New Roman"/>
      <w:b/>
      <w:bCs/>
      <w:color w:val="4F81BD"/>
      <w:sz w:val="26"/>
      <w:szCs w:val="26"/>
    </w:rPr>
  </w:style>
  <w:style w:type="character" w:customStyle="1" w:styleId="126">
    <w:name w:val="正文文本缩进 Char2"/>
    <w:link w:val="3"/>
    <w:qFormat/>
    <w:uiPriority w:val="0"/>
    <w:rPr>
      <w:rFonts w:eastAsia="宋体"/>
      <w:kern w:val="2"/>
      <w:sz w:val="28"/>
      <w:szCs w:val="24"/>
      <w:lang w:val="en-US" w:eastAsia="zh-CN" w:bidi="ar-SA"/>
    </w:rPr>
  </w:style>
  <w:style w:type="character" w:customStyle="1" w:styleId="127">
    <w:name w:val="正文文本 Char"/>
    <w:qFormat/>
    <w:uiPriority w:val="0"/>
    <w:rPr>
      <w:rFonts w:ascii="仿宋_GB2312" w:hAnsi="Times New Roman" w:eastAsia="仿宋_GB2312" w:cs="Times New Roman"/>
      <w:sz w:val="28"/>
      <w:szCs w:val="28"/>
    </w:rPr>
  </w:style>
  <w:style w:type="character" w:customStyle="1" w:styleId="128">
    <w:name w:val="ca-9"/>
    <w:basedOn w:val="60"/>
    <w:qFormat/>
    <w:uiPriority w:val="0"/>
  </w:style>
  <w:style w:type="character" w:customStyle="1" w:styleId="129">
    <w:name w:val="标题 9 Char"/>
    <w:link w:val="15"/>
    <w:qFormat/>
    <w:uiPriority w:val="0"/>
    <w:rPr>
      <w:rFonts w:ascii="Arial" w:hAnsi="Arial" w:eastAsia="宋体"/>
      <w:i/>
      <w:kern w:val="2"/>
      <w:sz w:val="18"/>
      <w:szCs w:val="28"/>
      <w:lang w:val="en-US" w:eastAsia="zh-CN" w:bidi="ar-SA"/>
    </w:rPr>
  </w:style>
  <w:style w:type="character" w:customStyle="1" w:styleId="130">
    <w:name w:val="文档结构图 Char"/>
    <w:link w:val="26"/>
    <w:qFormat/>
    <w:uiPriority w:val="0"/>
    <w:rPr>
      <w:rFonts w:eastAsia="宋体"/>
      <w:szCs w:val="24"/>
      <w:shd w:val="clear" w:color="auto" w:fill="000080"/>
      <w:lang w:bidi="ar-SA"/>
    </w:rPr>
  </w:style>
  <w:style w:type="character" w:customStyle="1" w:styleId="131">
    <w:name w:val="EHPT Char2"/>
    <w:qFormat/>
    <w:uiPriority w:val="0"/>
    <w:rPr>
      <w:rFonts w:ascii="Calibri" w:hAnsi="Calibri"/>
      <w:kern w:val="2"/>
      <w:sz w:val="21"/>
      <w:szCs w:val="22"/>
    </w:rPr>
  </w:style>
  <w:style w:type="character" w:customStyle="1" w:styleId="132">
    <w:name w:val="标题 7 Char"/>
    <w:link w:val="13"/>
    <w:qFormat/>
    <w:uiPriority w:val="0"/>
    <w:rPr>
      <w:rFonts w:ascii="Arial" w:hAnsi="Arial" w:eastAsia="宋体"/>
      <w:kern w:val="2"/>
      <w:sz w:val="28"/>
      <w:szCs w:val="28"/>
      <w:lang w:val="en-US" w:eastAsia="zh-CN" w:bidi="ar-SA"/>
    </w:rPr>
  </w:style>
  <w:style w:type="character" w:customStyle="1" w:styleId="133">
    <w:name w:val="text1"/>
    <w:qFormat/>
    <w:uiPriority w:val="0"/>
    <w:rPr>
      <w:rFonts w:hint="eastAsia" w:ascii="宋体" w:hAnsi="宋体" w:eastAsia="宋体"/>
      <w:color w:val="000099"/>
      <w:sz w:val="18"/>
      <w:szCs w:val="18"/>
    </w:rPr>
  </w:style>
  <w:style w:type="character" w:customStyle="1" w:styleId="134">
    <w:name w:val="明显参考1"/>
    <w:qFormat/>
    <w:uiPriority w:val="0"/>
    <w:rPr>
      <w:b/>
      <w:bCs/>
      <w:smallCaps/>
      <w:color w:val="C0504D"/>
      <w:spacing w:val="5"/>
      <w:u w:val="single"/>
    </w:rPr>
  </w:style>
  <w:style w:type="character" w:customStyle="1" w:styleId="135">
    <w:name w:val="bei2"/>
    <w:basedOn w:val="60"/>
    <w:qFormat/>
    <w:uiPriority w:val="0"/>
  </w:style>
  <w:style w:type="character" w:customStyle="1" w:styleId="136">
    <w:name w:val="明显强调1"/>
    <w:qFormat/>
    <w:uiPriority w:val="0"/>
    <w:rPr>
      <w:b/>
      <w:bCs/>
      <w:i/>
      <w:iCs/>
      <w:color w:val="4F81BD"/>
    </w:rPr>
  </w:style>
  <w:style w:type="character" w:customStyle="1" w:styleId="137">
    <w:name w:val="PI Char2"/>
    <w:qFormat/>
    <w:uiPriority w:val="0"/>
    <w:rPr>
      <w:rFonts w:ascii="仿宋_GB2312" w:eastAsia="仿宋_GB2312"/>
      <w:kern w:val="2"/>
      <w:sz w:val="28"/>
      <w:szCs w:val="28"/>
      <w:lang w:val="zh-CN" w:eastAsia="zh-CN" w:bidi="ar-SA"/>
    </w:rPr>
  </w:style>
  <w:style w:type="character" w:customStyle="1" w:styleId="138">
    <w:name w:val="EHPT Char4"/>
    <w:qFormat/>
    <w:uiPriority w:val="0"/>
    <w:rPr>
      <w:rFonts w:eastAsia="黑体"/>
      <w:b/>
      <w:bCs/>
      <w:spacing w:val="20"/>
      <w:kern w:val="52"/>
      <w:sz w:val="56"/>
      <w:szCs w:val="24"/>
      <w:lang w:val="en-US" w:eastAsia="zh-CN" w:bidi="ar-SA"/>
    </w:rPr>
  </w:style>
  <w:style w:type="character" w:customStyle="1" w:styleId="139">
    <w:name w:val="www序号1) Char"/>
    <w:link w:val="140"/>
    <w:qFormat/>
    <w:uiPriority w:val="0"/>
    <w:rPr>
      <w:rFonts w:eastAsia="宋体"/>
      <w:sz w:val="24"/>
      <w:szCs w:val="24"/>
      <w:lang w:bidi="ar-SA"/>
    </w:rPr>
  </w:style>
  <w:style w:type="paragraph" w:customStyle="1" w:styleId="140">
    <w:name w:val="www序号1)"/>
    <w:basedOn w:val="1"/>
    <w:link w:val="139"/>
    <w:qFormat/>
    <w:uiPriority w:val="0"/>
    <w:pPr>
      <w:tabs>
        <w:tab w:val="left" w:pos="2160"/>
      </w:tabs>
      <w:ind w:left="2160" w:hanging="420"/>
    </w:pPr>
    <w:rPr>
      <w:kern w:val="0"/>
      <w:sz w:val="24"/>
      <w:szCs w:val="24"/>
    </w:rPr>
  </w:style>
  <w:style w:type="character" w:customStyle="1" w:styleId="141">
    <w:name w:val="正文文本 2 Char1"/>
    <w:semiHidden/>
    <w:qFormat/>
    <w:uiPriority w:val="0"/>
    <w:rPr>
      <w:rFonts w:ascii="仿宋_GB2312" w:hAnsi="Times New Roman" w:eastAsia="仿宋_GB2312" w:cs="Times New Roman"/>
      <w:sz w:val="28"/>
      <w:szCs w:val="28"/>
    </w:rPr>
  </w:style>
  <w:style w:type="character" w:customStyle="1" w:styleId="142">
    <w:name w:val="标题 6 Char"/>
    <w:link w:val="12"/>
    <w:qFormat/>
    <w:uiPriority w:val="0"/>
    <w:rPr>
      <w:rFonts w:ascii="Arial" w:hAnsi="Arial" w:eastAsia="仿宋_GB2312"/>
      <w:i/>
      <w:sz w:val="22"/>
      <w:lang w:val="en-US" w:eastAsia="zh-CN" w:bidi="ar-SA"/>
    </w:rPr>
  </w:style>
  <w:style w:type="character" w:customStyle="1" w:styleId="143">
    <w:name w:val="正文首行缩进 Char1"/>
    <w:basedOn w:val="127"/>
    <w:semiHidden/>
    <w:qFormat/>
    <w:uiPriority w:val="0"/>
    <w:rPr>
      <w:rFonts w:ascii="仿宋_GB2312" w:hAnsi="Times New Roman" w:eastAsia="仿宋_GB2312" w:cs="Times New Roman"/>
      <w:sz w:val="28"/>
      <w:szCs w:val="28"/>
    </w:rPr>
  </w:style>
  <w:style w:type="character" w:customStyle="1" w:styleId="144">
    <w:name w:val="large1"/>
    <w:qFormat/>
    <w:uiPriority w:val="0"/>
    <w:rPr>
      <w:rFonts w:hint="eastAsia" w:ascii="宋体" w:hAnsi="宋体" w:eastAsia="宋体"/>
      <w:sz w:val="21"/>
      <w:szCs w:val="21"/>
    </w:rPr>
  </w:style>
  <w:style w:type="character" w:customStyle="1" w:styleId="145">
    <w:name w:val="标题 Char1"/>
    <w:qFormat/>
    <w:uiPriority w:val="0"/>
    <w:rPr>
      <w:rFonts w:ascii="Cambria" w:hAnsi="Cambria" w:eastAsia="宋体" w:cs="Times New Roman"/>
      <w:b/>
      <w:bCs/>
      <w:sz w:val="32"/>
      <w:szCs w:val="32"/>
    </w:rPr>
  </w:style>
  <w:style w:type="character" w:customStyle="1" w:styleId="146">
    <w:name w:val="unnamed11"/>
    <w:qFormat/>
    <w:uiPriority w:val="0"/>
    <w:rPr>
      <w:sz w:val="18"/>
      <w:szCs w:val="18"/>
    </w:rPr>
  </w:style>
  <w:style w:type="character" w:customStyle="1" w:styleId="147">
    <w:name w:val="日期 Char"/>
    <w:link w:val="38"/>
    <w:qFormat/>
    <w:uiPriority w:val="0"/>
    <w:rPr>
      <w:rFonts w:eastAsia="宋体"/>
      <w:kern w:val="2"/>
      <w:sz w:val="21"/>
      <w:lang w:val="en-US" w:eastAsia="zh-CN" w:bidi="ar-SA"/>
    </w:rPr>
  </w:style>
  <w:style w:type="character" w:customStyle="1" w:styleId="148">
    <w:name w:val="表正文 Char"/>
    <w:qFormat/>
    <w:uiPriority w:val="0"/>
    <w:rPr>
      <w:rFonts w:ascii="仿宋_GB2312" w:eastAsia="仿宋_GB2312"/>
      <w:kern w:val="2"/>
      <w:sz w:val="28"/>
    </w:rPr>
  </w:style>
  <w:style w:type="character" w:customStyle="1" w:styleId="149">
    <w:name w:val="Heading 2 Hidden Char1"/>
    <w:qFormat/>
    <w:uiPriority w:val="0"/>
    <w:rPr>
      <w:rFonts w:ascii="Arial" w:hAnsi="Arial" w:eastAsia="黑体"/>
      <w:b/>
      <w:bCs/>
      <w:kern w:val="2"/>
      <w:sz w:val="32"/>
      <w:szCs w:val="32"/>
    </w:rPr>
  </w:style>
  <w:style w:type="character" w:customStyle="1" w:styleId="150">
    <w:name w:val="引用 Char"/>
    <w:link w:val="151"/>
    <w:qFormat/>
    <w:uiPriority w:val="0"/>
    <w:rPr>
      <w:rFonts w:ascii="Calibri" w:hAnsi="Calibri" w:eastAsia="宋体"/>
      <w:i/>
      <w:iCs/>
      <w:color w:val="000000"/>
      <w:sz w:val="22"/>
      <w:szCs w:val="22"/>
      <w:lang w:val="en-US" w:eastAsia="en-US" w:bidi="en-US"/>
    </w:rPr>
  </w:style>
  <w:style w:type="paragraph" w:customStyle="1" w:styleId="151">
    <w:name w:val="引用1"/>
    <w:basedOn w:val="1"/>
    <w:next w:val="1"/>
    <w:link w:val="150"/>
    <w:qFormat/>
    <w:uiPriority w:val="0"/>
    <w:pPr>
      <w:widowControl/>
      <w:spacing w:after="480" w:line="276" w:lineRule="auto"/>
      <w:jc w:val="left"/>
    </w:pPr>
    <w:rPr>
      <w:i/>
      <w:iCs/>
      <w:color w:val="000000"/>
      <w:kern w:val="0"/>
      <w:sz w:val="22"/>
      <w:szCs w:val="22"/>
      <w:lang w:eastAsia="en-US" w:bidi="en-US"/>
    </w:rPr>
  </w:style>
  <w:style w:type="character" w:customStyle="1" w:styleId="152">
    <w:name w:val="页脚 Char"/>
    <w:link w:val="42"/>
    <w:qFormat/>
    <w:uiPriority w:val="0"/>
    <w:rPr>
      <w:rFonts w:eastAsia="宋体"/>
      <w:kern w:val="2"/>
      <w:sz w:val="18"/>
      <w:szCs w:val="18"/>
      <w:lang w:val="en-US" w:eastAsia="zh-CN" w:bidi="ar-SA"/>
    </w:rPr>
  </w:style>
  <w:style w:type="character" w:customStyle="1" w:styleId="153">
    <w:name w:val="正文2 Char Char"/>
    <w:link w:val="154"/>
    <w:qFormat/>
    <w:uiPriority w:val="0"/>
    <w:rPr>
      <w:kern w:val="2"/>
      <w:sz w:val="24"/>
    </w:rPr>
  </w:style>
  <w:style w:type="paragraph" w:customStyle="1" w:styleId="154">
    <w:name w:val="正文2"/>
    <w:basedOn w:val="1"/>
    <w:link w:val="153"/>
    <w:qFormat/>
    <w:uiPriority w:val="0"/>
    <w:pPr>
      <w:adjustRightInd w:val="0"/>
      <w:spacing w:before="156" w:line="360" w:lineRule="auto"/>
      <w:ind w:firstLine="510" w:firstLineChars="200"/>
    </w:pPr>
    <w:rPr>
      <w:sz w:val="24"/>
    </w:rPr>
  </w:style>
  <w:style w:type="character" w:customStyle="1" w:styleId="155">
    <w:name w:val="不明显参考1"/>
    <w:qFormat/>
    <w:uiPriority w:val="0"/>
    <w:rPr>
      <w:smallCaps/>
      <w:color w:val="C0504D"/>
      <w:u w:val="single"/>
    </w:rPr>
  </w:style>
  <w:style w:type="character" w:customStyle="1" w:styleId="156">
    <w:name w:val="14normal1"/>
    <w:qFormat/>
    <w:uiPriority w:val="0"/>
    <w:rPr>
      <w:rFonts w:hint="default" w:ascii="ˎ̥" w:hAnsi="ˎ̥"/>
      <w:color w:val="000000"/>
      <w:sz w:val="21"/>
      <w:szCs w:val="21"/>
    </w:rPr>
  </w:style>
  <w:style w:type="character" w:customStyle="1" w:styleId="157">
    <w:name w:val="EHPT Char3"/>
    <w:qFormat/>
    <w:uiPriority w:val="0"/>
    <w:rPr>
      <w:rFonts w:ascii="Calibri" w:hAnsi="Calibri" w:eastAsia="宋体"/>
    </w:rPr>
  </w:style>
  <w:style w:type="character" w:customStyle="1" w:styleId="158">
    <w:name w:val="批注文字 Char"/>
    <w:qFormat/>
    <w:uiPriority w:val="99"/>
    <w:rPr>
      <w:rFonts w:eastAsia="宋体"/>
      <w:kern w:val="2"/>
      <w:sz w:val="21"/>
      <w:szCs w:val="24"/>
      <w:lang w:val="en-US" w:eastAsia="zh-CN" w:bidi="ar-SA"/>
    </w:rPr>
  </w:style>
  <w:style w:type="character" w:customStyle="1" w:styleId="159">
    <w:name w:val="正文文本缩进 Char1"/>
    <w:semiHidden/>
    <w:qFormat/>
    <w:uiPriority w:val="0"/>
    <w:rPr>
      <w:rFonts w:ascii="仿宋_GB2312" w:hAnsi="Times New Roman" w:eastAsia="仿宋_GB2312" w:cs="Times New Roman"/>
      <w:sz w:val="28"/>
      <w:szCs w:val="28"/>
    </w:rPr>
  </w:style>
  <w:style w:type="character" w:customStyle="1" w:styleId="160">
    <w:name w:val="Char Char14"/>
    <w:qFormat/>
    <w:uiPriority w:val="0"/>
    <w:rPr>
      <w:rFonts w:ascii="宋体" w:hAnsi="Courier New" w:eastAsia="宋体"/>
      <w:sz w:val="21"/>
      <w:lang w:val="en-US" w:eastAsia="zh-CN" w:bidi="ar-SA"/>
    </w:rPr>
  </w:style>
  <w:style w:type="character" w:customStyle="1" w:styleId="161">
    <w:name w:val="正文文本缩进 3 Char1"/>
    <w:semiHidden/>
    <w:qFormat/>
    <w:uiPriority w:val="0"/>
    <w:rPr>
      <w:rFonts w:ascii="仿宋_GB2312" w:hAnsi="Times New Roman" w:eastAsia="仿宋_GB2312" w:cs="Times New Roman"/>
      <w:sz w:val="16"/>
      <w:szCs w:val="16"/>
    </w:rPr>
  </w:style>
  <w:style w:type="character" w:customStyle="1" w:styleId="162">
    <w:name w:val="font21"/>
    <w:basedOn w:val="60"/>
    <w:qFormat/>
    <w:uiPriority w:val="0"/>
    <w:rPr>
      <w:rFonts w:hint="eastAsia" w:ascii="KaiTi_GB2312" w:eastAsia="KaiTi_GB2312"/>
      <w:color w:val="000000"/>
      <w:sz w:val="21"/>
      <w:szCs w:val="21"/>
      <w:u w:val="single"/>
    </w:rPr>
  </w:style>
  <w:style w:type="character" w:customStyle="1" w:styleId="163">
    <w:name w:val="ca-10"/>
    <w:basedOn w:val="60"/>
    <w:qFormat/>
    <w:uiPriority w:val="0"/>
  </w:style>
  <w:style w:type="character" w:customStyle="1" w:styleId="164">
    <w:name w:val="style321"/>
    <w:qFormat/>
    <w:uiPriority w:val="0"/>
    <w:rPr>
      <w:b/>
      <w:bCs/>
      <w:color w:val="FF9900"/>
      <w:sz w:val="23"/>
      <w:szCs w:val="23"/>
    </w:rPr>
  </w:style>
  <w:style w:type="character" w:customStyle="1" w:styleId="165">
    <w:name w:val="正文首行缩进 Char"/>
    <w:link w:val="5"/>
    <w:qFormat/>
    <w:uiPriority w:val="0"/>
    <w:rPr>
      <w:rFonts w:ascii="Calibri" w:hAnsi="Calibri" w:eastAsia="KaiTi_GB2312"/>
      <w:sz w:val="24"/>
      <w:lang w:bidi="ar-SA"/>
    </w:rPr>
  </w:style>
  <w:style w:type="character" w:customStyle="1" w:styleId="166">
    <w:name w:val="font1"/>
    <w:qFormat/>
    <w:uiPriority w:val="0"/>
    <w:rPr>
      <w:color w:val="333333"/>
      <w:sz w:val="18"/>
      <w:szCs w:val="18"/>
      <w:u w:val="none"/>
    </w:rPr>
  </w:style>
  <w:style w:type="character" w:customStyle="1" w:styleId="167">
    <w:name w:val="标题 2 Char1"/>
    <w:link w:val="8"/>
    <w:qFormat/>
    <w:uiPriority w:val="0"/>
    <w:rPr>
      <w:rFonts w:ascii="Arial" w:hAnsi="Arial" w:eastAsia="黑体"/>
      <w:b/>
      <w:bCs/>
      <w:kern w:val="2"/>
      <w:sz w:val="32"/>
      <w:szCs w:val="32"/>
      <w:lang w:val="en-US" w:eastAsia="zh-CN" w:bidi="ar-SA"/>
    </w:rPr>
  </w:style>
  <w:style w:type="character" w:customStyle="1" w:styleId="168">
    <w:name w:val="标题 Char"/>
    <w:link w:val="59"/>
    <w:qFormat/>
    <w:uiPriority w:val="0"/>
    <w:rPr>
      <w:rFonts w:ascii="Arial" w:hAnsi="Arial" w:eastAsia="宋体"/>
      <w:b/>
      <w:sz w:val="36"/>
      <w:lang w:eastAsia="en-US" w:bidi="ar-SA"/>
    </w:rPr>
  </w:style>
  <w:style w:type="character" w:customStyle="1" w:styleId="169">
    <w:name w:val="标题 5 Char"/>
    <w:link w:val="11"/>
    <w:qFormat/>
    <w:uiPriority w:val="0"/>
    <w:rPr>
      <w:rFonts w:ascii="Arial" w:hAnsi="Arial" w:eastAsia="宋体"/>
      <w:kern w:val="2"/>
      <w:sz w:val="22"/>
      <w:szCs w:val="28"/>
      <w:lang w:val="en-US" w:eastAsia="zh-CN" w:bidi="ar-SA"/>
    </w:rPr>
  </w:style>
  <w:style w:type="character" w:customStyle="1" w:styleId="170">
    <w:name w:val="bulletintext1"/>
    <w:qFormat/>
    <w:uiPriority w:val="0"/>
    <w:rPr>
      <w:color w:val="000000"/>
      <w:sz w:val="18"/>
      <w:szCs w:val="18"/>
    </w:rPr>
  </w:style>
  <w:style w:type="character" w:customStyle="1" w:styleId="171">
    <w:name w:val="普通文字 Char Char4"/>
    <w:qFormat/>
    <w:uiPriority w:val="0"/>
    <w:rPr>
      <w:rFonts w:ascii="宋体" w:hAnsi="Courier New" w:eastAsia="宋体"/>
      <w:sz w:val="21"/>
      <w:lang w:val="en-US" w:eastAsia="zh-CN" w:bidi="ar-SA"/>
    </w:rPr>
  </w:style>
  <w:style w:type="character" w:customStyle="1" w:styleId="172">
    <w:name w:val="PI Char3"/>
    <w:qFormat/>
    <w:uiPriority w:val="0"/>
    <w:rPr>
      <w:rFonts w:ascii="仿宋_GB2312" w:eastAsia="仿宋_GB2312"/>
      <w:kern w:val="2"/>
      <w:sz w:val="28"/>
      <w:szCs w:val="28"/>
      <w:lang w:val="zh-CN"/>
    </w:rPr>
  </w:style>
  <w:style w:type="character" w:customStyle="1" w:styleId="173">
    <w:name w:val="标题 1 Char"/>
    <w:link w:val="7"/>
    <w:qFormat/>
    <w:uiPriority w:val="0"/>
    <w:rPr>
      <w:rFonts w:eastAsia="宋体"/>
      <w:b/>
      <w:bCs/>
      <w:kern w:val="44"/>
      <w:sz w:val="44"/>
      <w:szCs w:val="44"/>
      <w:lang w:val="en-US" w:eastAsia="zh-CN" w:bidi="ar-SA"/>
    </w:rPr>
  </w:style>
  <w:style w:type="character" w:customStyle="1" w:styleId="174">
    <w:name w:val="正文文本缩进 3 Char"/>
    <w:link w:val="50"/>
    <w:qFormat/>
    <w:uiPriority w:val="0"/>
    <w:rPr>
      <w:rFonts w:ascii="隶书" w:hAnsi="宋体" w:eastAsia="隶书"/>
      <w:kern w:val="2"/>
      <w:sz w:val="21"/>
      <w:szCs w:val="24"/>
      <w:lang w:val="en-US" w:eastAsia="zh-CN" w:bidi="ar-SA"/>
    </w:rPr>
  </w:style>
  <w:style w:type="character" w:customStyle="1" w:styleId="175">
    <w:name w:val="日期 Char1"/>
    <w:semiHidden/>
    <w:qFormat/>
    <w:uiPriority w:val="0"/>
    <w:rPr>
      <w:rFonts w:ascii="仿宋_GB2312" w:hAnsi="Times New Roman" w:eastAsia="仿宋_GB2312" w:cs="Times New Roman"/>
      <w:sz w:val="28"/>
      <w:szCs w:val="28"/>
    </w:rPr>
  </w:style>
  <w:style w:type="character" w:customStyle="1" w:styleId="176">
    <w:name w:val="批注文字 Char1"/>
    <w:link w:val="18"/>
    <w:qFormat/>
    <w:uiPriority w:val="0"/>
    <w:rPr>
      <w:rFonts w:ascii="仿宋_GB2312" w:eastAsia="仿宋_GB2312"/>
      <w:kern w:val="2"/>
      <w:sz w:val="28"/>
      <w:szCs w:val="28"/>
      <w:lang w:val="en-US" w:eastAsia="zh-CN" w:bidi="ar-SA"/>
    </w:rPr>
  </w:style>
  <w:style w:type="character" w:customStyle="1" w:styleId="177">
    <w:name w:val="bullet Char"/>
    <w:qFormat/>
    <w:uiPriority w:val="0"/>
    <w:rPr>
      <w:b/>
      <w:i/>
      <w:sz w:val="24"/>
    </w:rPr>
  </w:style>
  <w:style w:type="character" w:customStyle="1" w:styleId="178">
    <w:name w:val="Char Char"/>
    <w:qFormat/>
    <w:uiPriority w:val="0"/>
    <w:rPr>
      <w:rFonts w:ascii="宋体" w:hAnsi="宋体" w:eastAsia="宋体"/>
      <w:sz w:val="24"/>
      <w:szCs w:val="24"/>
      <w:lang w:val="en-US" w:eastAsia="zh-CN" w:bidi="ar-SA"/>
    </w:rPr>
  </w:style>
  <w:style w:type="character" w:customStyle="1" w:styleId="179">
    <w:name w:val="Heading 3 - old Char"/>
    <w:qFormat/>
    <w:uiPriority w:val="0"/>
    <w:rPr>
      <w:rFonts w:ascii="Calibri" w:hAnsi="Calibri"/>
      <w:b/>
      <w:bCs/>
      <w:kern w:val="2"/>
      <w:sz w:val="32"/>
      <w:szCs w:val="32"/>
    </w:rPr>
  </w:style>
  <w:style w:type="character" w:customStyle="1" w:styleId="180">
    <w:name w:val="ca-3"/>
    <w:basedOn w:val="60"/>
    <w:qFormat/>
    <w:uiPriority w:val="0"/>
  </w:style>
  <w:style w:type="character" w:customStyle="1" w:styleId="181">
    <w:name w:val="表格 Char Char"/>
    <w:link w:val="182"/>
    <w:qFormat/>
    <w:uiPriority w:val="0"/>
    <w:rPr>
      <w:rFonts w:ascii="宋体" w:hAnsi="宋体"/>
      <w:lang w:bidi="ar-SA"/>
    </w:rPr>
  </w:style>
  <w:style w:type="paragraph" w:customStyle="1" w:styleId="182">
    <w:name w:val="表格"/>
    <w:basedOn w:val="1"/>
    <w:link w:val="181"/>
    <w:qFormat/>
    <w:uiPriority w:val="0"/>
    <w:pPr>
      <w:snapToGrid w:val="0"/>
      <w:ind w:firstLine="42" w:firstLineChars="21"/>
    </w:pPr>
    <w:rPr>
      <w:rFonts w:ascii="宋体" w:hAnsi="宋体"/>
      <w:kern w:val="0"/>
      <w:sz w:val="20"/>
    </w:rPr>
  </w:style>
  <w:style w:type="paragraph" w:customStyle="1" w:styleId="183">
    <w:name w:val="RFI List 2"/>
    <w:basedOn w:val="184"/>
    <w:qFormat/>
    <w:uiPriority w:val="0"/>
    <w:pPr>
      <w:numPr>
        <w:ilvl w:val="0"/>
        <w:numId w:val="4"/>
      </w:numPr>
      <w:tabs>
        <w:tab w:val="left" w:pos="360"/>
        <w:tab w:val="left" w:pos="720"/>
        <w:tab w:val="left" w:pos="1800"/>
      </w:tabs>
      <w:ind w:left="720" w:hanging="720"/>
    </w:pPr>
    <w:rPr>
      <w:rFonts w:eastAsia="Times New Roman"/>
      <w:b w:val="0"/>
      <w:bCs/>
    </w:rPr>
  </w:style>
  <w:style w:type="paragraph" w:customStyle="1" w:styleId="184">
    <w:name w:val="RFI List 1"/>
    <w:basedOn w:val="185"/>
    <w:qFormat/>
    <w:uiPriority w:val="0"/>
    <w:pPr>
      <w:tabs>
        <w:tab w:val="left" w:pos="360"/>
        <w:tab w:val="left" w:pos="720"/>
        <w:tab w:val="left" w:pos="1800"/>
      </w:tabs>
      <w:spacing w:before="240" w:after="160"/>
      <w:ind w:left="720" w:hanging="720"/>
      <w:outlineLvl w:val="0"/>
    </w:pPr>
    <w:rPr>
      <w:b/>
      <w:color w:val="auto"/>
    </w:rPr>
  </w:style>
  <w:style w:type="paragraph" w:customStyle="1" w:styleId="185">
    <w:name w:val="RFI Heading 3rd Level"/>
    <w:basedOn w:val="1"/>
    <w:qFormat/>
    <w:uiPriority w:val="0"/>
    <w:pPr>
      <w:widowControl/>
      <w:tabs>
        <w:tab w:val="left" w:pos="720"/>
      </w:tabs>
      <w:ind w:left="420" w:hanging="420"/>
      <w:jc w:val="left"/>
    </w:pPr>
    <w:rPr>
      <w:rFonts w:ascii="Arial (W1)" w:hAnsi="Arial (W1)" w:eastAsia="仿宋_GB2312"/>
      <w:color w:val="000000"/>
      <w:kern w:val="0"/>
      <w:sz w:val="24"/>
      <w:szCs w:val="28"/>
      <w:lang w:val="en-GB" w:eastAsia="en-US"/>
    </w:rPr>
  </w:style>
  <w:style w:type="paragraph" w:customStyle="1" w:styleId="186">
    <w:name w:val="Style Body Text Indent 2 + 11 pt Line spacing:  1.5 lines"/>
    <w:basedOn w:val="39"/>
    <w:qFormat/>
    <w:uiPriority w:val="0"/>
    <w:pPr>
      <w:widowControl/>
      <w:tabs>
        <w:tab w:val="left" w:pos="900"/>
      </w:tabs>
      <w:spacing w:line="360" w:lineRule="auto"/>
      <w:ind w:firstLine="0" w:firstLineChars="0"/>
    </w:pPr>
    <w:rPr>
      <w:rFonts w:ascii="宋体" w:hAnsi="宋体"/>
      <w:kern w:val="0"/>
      <w:sz w:val="22"/>
      <w:szCs w:val="20"/>
      <w:lang w:val="en-GB"/>
    </w:rPr>
  </w:style>
  <w:style w:type="paragraph" w:customStyle="1" w:styleId="187">
    <w:name w:val="项目符号2"/>
    <w:basedOn w:val="1"/>
    <w:qFormat/>
    <w:uiPriority w:val="0"/>
    <w:pPr>
      <w:tabs>
        <w:tab w:val="left" w:pos="2591"/>
      </w:tabs>
      <w:snapToGrid w:val="0"/>
      <w:spacing w:line="300" w:lineRule="auto"/>
      <w:ind w:left="2155" w:hanging="284"/>
    </w:pPr>
    <w:rPr>
      <w:rFonts w:ascii="宋体" w:eastAsia="仿宋_GB2312"/>
      <w:sz w:val="24"/>
    </w:rPr>
  </w:style>
  <w:style w:type="paragraph" w:customStyle="1" w:styleId="188">
    <w:name w:val="标题3正文"/>
    <w:basedOn w:val="1"/>
    <w:qFormat/>
    <w:uiPriority w:val="0"/>
    <w:pPr>
      <w:snapToGrid w:val="0"/>
      <w:spacing w:line="360" w:lineRule="auto"/>
      <w:ind w:firstLine="480" w:firstLineChars="200"/>
    </w:pPr>
    <w:rPr>
      <w:sz w:val="24"/>
      <w:szCs w:val="24"/>
    </w:rPr>
  </w:style>
  <w:style w:type="paragraph" w:customStyle="1" w:styleId="189">
    <w:name w:val="Style Left:  0.81&quot; First line:  0&quot; Line spacing:  1.5 lines Char"/>
    <w:basedOn w:val="1"/>
    <w:qFormat/>
    <w:uiPriority w:val="0"/>
    <w:pPr>
      <w:widowControl/>
      <w:spacing w:line="360" w:lineRule="auto"/>
      <w:ind w:left="1152"/>
    </w:pPr>
    <w:rPr>
      <w:rFonts w:ascii="仿宋_GB2312" w:eastAsia="仿宋_GB2312"/>
      <w:kern w:val="0"/>
      <w:sz w:val="24"/>
      <w:lang w:eastAsia="en-US"/>
    </w:rPr>
  </w:style>
  <w:style w:type="paragraph" w:customStyle="1" w:styleId="190">
    <w:name w:val="无间隔1"/>
    <w:qFormat/>
    <w:uiPriority w:val="0"/>
    <w:rPr>
      <w:rFonts w:ascii="Calibri" w:hAnsi="Calibri" w:eastAsia="宋体" w:cs="Times New Roman"/>
      <w:sz w:val="22"/>
      <w:szCs w:val="22"/>
      <w:lang w:val="en-US" w:eastAsia="en-US" w:bidi="en-US"/>
    </w:rPr>
  </w:style>
  <w:style w:type="paragraph" w:customStyle="1" w:styleId="191">
    <w:name w:val="样式 样式1 + 加粗 行距: 固定值 20 磅"/>
    <w:basedOn w:val="192"/>
    <w:qFormat/>
    <w:uiPriority w:val="0"/>
    <w:pPr>
      <w:keepNext w:val="0"/>
      <w:keepLines w:val="0"/>
      <w:adjustRightInd w:val="0"/>
      <w:spacing w:before="0" w:after="0" w:line="400" w:lineRule="exact"/>
      <w:jc w:val="both"/>
      <w:textAlignment w:val="baseline"/>
    </w:pPr>
    <w:rPr>
      <w:rFonts w:eastAsia="宋体"/>
      <w:kern w:val="0"/>
      <w:sz w:val="21"/>
      <w:szCs w:val="20"/>
    </w:rPr>
  </w:style>
  <w:style w:type="paragraph" w:customStyle="1" w:styleId="192">
    <w:name w:val="样式1"/>
    <w:basedOn w:val="8"/>
    <w:qFormat/>
    <w:uiPriority w:val="0"/>
    <w:pPr>
      <w:spacing w:line="415" w:lineRule="auto"/>
      <w:jc w:val="center"/>
    </w:pPr>
    <w:rPr>
      <w:rFonts w:ascii="宋体" w:hAnsi="宋体"/>
      <w:sz w:val="36"/>
      <w:szCs w:val="36"/>
    </w:rPr>
  </w:style>
  <w:style w:type="paragraph" w:customStyle="1" w:styleId="193">
    <w:name w:val="文档正文"/>
    <w:basedOn w:val="1"/>
    <w:qFormat/>
    <w:uiPriority w:val="0"/>
    <w:rPr>
      <w:rFonts w:ascii="Arial" w:hAnsi="Arial" w:eastAsia="仿宋_GB2312" w:cs="Arial"/>
      <w:bCs/>
      <w:sz w:val="24"/>
      <w:szCs w:val="28"/>
    </w:rPr>
  </w:style>
  <w:style w:type="paragraph" w:customStyle="1" w:styleId="194">
    <w:name w:val="BodyText"/>
    <w:basedOn w:val="1"/>
    <w:qFormat/>
    <w:uiPriority w:val="0"/>
    <w:pPr>
      <w:widowControl/>
      <w:spacing w:after="120"/>
      <w:jc w:val="left"/>
    </w:pPr>
    <w:rPr>
      <w:rFonts w:ascii="FuturaA Bk BT" w:hAnsi="FuturaA Bk BT" w:eastAsia="仿宋_GB2312"/>
      <w:kern w:val="0"/>
      <w:sz w:val="20"/>
    </w:rPr>
  </w:style>
  <w:style w:type="paragraph" w:customStyle="1" w:styleId="195">
    <w:name w:val="RFI text from 3rd Level"/>
    <w:basedOn w:val="196"/>
    <w:qFormat/>
    <w:uiPriority w:val="0"/>
    <w:pPr>
      <w:tabs>
        <w:tab w:val="left" w:pos="360"/>
        <w:tab w:val="left" w:pos="720"/>
        <w:tab w:val="left" w:pos="1080"/>
      </w:tabs>
    </w:pPr>
    <w:rPr>
      <w:b w:val="0"/>
      <w:lang w:eastAsia="zh-CN"/>
    </w:rPr>
  </w:style>
  <w:style w:type="paragraph" w:customStyle="1" w:styleId="196">
    <w:name w:val="RFI text from 2nd Level"/>
    <w:basedOn w:val="185"/>
    <w:qFormat/>
    <w:uiPriority w:val="0"/>
    <w:pPr>
      <w:tabs>
        <w:tab w:val="left" w:pos="360"/>
      </w:tabs>
      <w:ind w:left="720"/>
    </w:pPr>
    <w:rPr>
      <w:b/>
      <w:bCs/>
      <w:color w:val="auto"/>
    </w:rPr>
  </w:style>
  <w:style w:type="paragraph" w:customStyle="1" w:styleId="197">
    <w:name w:val="1 Char Char Char Char"/>
    <w:basedOn w:val="1"/>
    <w:qFormat/>
    <w:uiPriority w:val="0"/>
    <w:rPr>
      <w:rFonts w:ascii="Tahoma" w:hAnsi="Tahoma"/>
      <w:sz w:val="24"/>
    </w:rPr>
  </w:style>
  <w:style w:type="paragraph" w:customStyle="1" w:styleId="198">
    <w:name w:val="Body"/>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199">
    <w:name w:val="Char Char Char Char Char Char Char Char1 Char"/>
    <w:basedOn w:val="1"/>
    <w:qFormat/>
    <w:uiPriority w:val="0"/>
    <w:rPr>
      <w:rFonts w:ascii="仿宋_GB2312" w:eastAsia="仿宋_GB2312"/>
      <w:sz w:val="28"/>
    </w:rPr>
  </w:style>
  <w:style w:type="paragraph" w:customStyle="1" w:styleId="200">
    <w:name w:val="kx"/>
    <w:basedOn w:val="1"/>
    <w:qFormat/>
    <w:uiPriority w:val="0"/>
    <w:pPr>
      <w:widowControl/>
      <w:spacing w:before="100" w:beforeAutospacing="1" w:after="100" w:afterAutospacing="1"/>
      <w:jc w:val="left"/>
    </w:pPr>
    <w:rPr>
      <w:rFonts w:ascii="宋体" w:hAnsi="宋体"/>
      <w:kern w:val="0"/>
      <w:sz w:val="24"/>
      <w:szCs w:val="24"/>
    </w:rPr>
  </w:style>
  <w:style w:type="paragraph" w:customStyle="1" w:styleId="201">
    <w:name w:val="xl26"/>
    <w:basedOn w:val="1"/>
    <w:qFormat/>
    <w:uiPriority w:val="0"/>
    <w:pPr>
      <w:widowControl/>
      <w:spacing w:before="100" w:beforeAutospacing="1" w:after="100" w:afterAutospacing="1"/>
      <w:jc w:val="center"/>
    </w:pPr>
    <w:rPr>
      <w:rFonts w:hint="eastAsia" w:ascii="仿宋_GB2312" w:hAnsi="宋体" w:eastAsia="仿宋_GB2312"/>
      <w:kern w:val="0"/>
      <w:sz w:val="24"/>
      <w:szCs w:val="28"/>
    </w:rPr>
  </w:style>
  <w:style w:type="paragraph" w:customStyle="1" w:styleId="202">
    <w:name w:val="Reset levels"/>
    <w:basedOn w:val="1"/>
    <w:qFormat/>
    <w:uiPriority w:val="0"/>
    <w:pPr>
      <w:widowControl/>
      <w:ind w:left="420" w:hanging="420"/>
      <w:jc w:val="left"/>
    </w:pPr>
    <w:rPr>
      <w:rFonts w:ascii="Arial" w:hAnsi="Arial" w:eastAsia="仿宋_GB2312"/>
      <w:b/>
      <w:kern w:val="0"/>
      <w:sz w:val="24"/>
      <w:lang w:eastAsia="en-US"/>
    </w:rPr>
  </w:style>
  <w:style w:type="paragraph" w:customStyle="1" w:styleId="203">
    <w:name w:val="Char1"/>
    <w:basedOn w:val="1"/>
    <w:qFormat/>
    <w:uiPriority w:val="0"/>
    <w:rPr>
      <w:rFonts w:ascii="仿宋_GB2312" w:eastAsia="仿宋_GB2312"/>
      <w:b/>
      <w:sz w:val="32"/>
      <w:szCs w:val="32"/>
    </w:rPr>
  </w:style>
  <w:style w:type="paragraph" w:customStyle="1" w:styleId="204">
    <w:name w:val="小四缩进"/>
    <w:basedOn w:val="1"/>
    <w:qFormat/>
    <w:uiPriority w:val="0"/>
    <w:pPr>
      <w:spacing w:line="360" w:lineRule="auto"/>
      <w:ind w:firstLine="480" w:firstLineChars="200"/>
    </w:pPr>
    <w:rPr>
      <w:sz w:val="24"/>
      <w:szCs w:val="24"/>
    </w:rPr>
  </w:style>
  <w:style w:type="paragraph" w:customStyle="1" w:styleId="205">
    <w:name w:val="Char11"/>
    <w:basedOn w:val="1"/>
    <w:qFormat/>
    <w:uiPriority w:val="0"/>
    <w:rPr>
      <w:rFonts w:ascii="Tahoma" w:hAnsi="Tahoma" w:eastAsia="仿宋_GB2312"/>
      <w:sz w:val="24"/>
    </w:rPr>
  </w:style>
  <w:style w:type="paragraph" w:customStyle="1" w:styleId="206">
    <w:name w:val="默认段落字体 Para Char"/>
    <w:basedOn w:val="1"/>
    <w:qFormat/>
    <w:uiPriority w:val="0"/>
    <w:pPr>
      <w:spacing w:line="360" w:lineRule="auto"/>
      <w:ind w:firstLine="200" w:firstLineChars="200"/>
    </w:pPr>
    <w:rPr>
      <w:rFonts w:ascii="宋体" w:hAnsi="宋体" w:eastAsia="仿宋_GB2312" w:cs="宋体"/>
      <w:sz w:val="24"/>
      <w:szCs w:val="28"/>
    </w:rPr>
  </w:style>
  <w:style w:type="paragraph" w:customStyle="1" w:styleId="207">
    <w:name w:val="Normal 1.0"/>
    <w:basedOn w:val="1"/>
    <w:qFormat/>
    <w:uiPriority w:val="0"/>
    <w:pPr>
      <w:keepLines/>
      <w:widowControl/>
      <w:spacing w:before="180" w:after="120"/>
      <w:ind w:left="1440"/>
    </w:pPr>
    <w:rPr>
      <w:rFonts w:ascii="仿宋_GB2312" w:eastAsia="仿宋_GB2312"/>
      <w:kern w:val="0"/>
      <w:sz w:val="24"/>
      <w:szCs w:val="28"/>
      <w:lang w:val="en-GB" w:eastAsia="en-US"/>
    </w:rPr>
  </w:style>
  <w:style w:type="paragraph" w:customStyle="1" w:styleId="208">
    <w:name w:val="Head1"/>
    <w:qFormat/>
    <w:uiPriority w:val="0"/>
    <w:pPr>
      <w:numPr>
        <w:ilvl w:val="1"/>
        <w:numId w:val="1"/>
      </w:numPr>
      <w:pBdr>
        <w:top w:val="single" w:color="auto" w:sz="6" w:space="1"/>
      </w:pBdr>
      <w:tabs>
        <w:tab w:val="left" w:pos="576"/>
      </w:tabs>
      <w:spacing w:before="28" w:after="28"/>
      <w:outlineLvl w:val="1"/>
    </w:pPr>
    <w:rPr>
      <w:rFonts w:ascii="Arial" w:hAnsi="Arial" w:eastAsia="宋体" w:cs="Times New Roman"/>
      <w:b/>
      <w:sz w:val="22"/>
      <w:lang w:val="en-US" w:eastAsia="en-US" w:bidi="ar-SA"/>
    </w:rPr>
  </w:style>
  <w:style w:type="paragraph" w:customStyle="1" w:styleId="209">
    <w:name w:val="标题2正文 Char"/>
    <w:basedOn w:val="1"/>
    <w:qFormat/>
    <w:uiPriority w:val="0"/>
    <w:pPr>
      <w:snapToGrid w:val="0"/>
      <w:spacing w:line="360" w:lineRule="auto"/>
      <w:ind w:firstLine="480" w:firstLineChars="200"/>
    </w:pPr>
    <w:rPr>
      <w:sz w:val="24"/>
      <w:szCs w:val="24"/>
    </w:rPr>
  </w:style>
  <w:style w:type="paragraph" w:customStyle="1" w:styleId="210">
    <w:name w:val="正文文本 21"/>
    <w:basedOn w:val="1"/>
    <w:qFormat/>
    <w:uiPriority w:val="0"/>
    <w:pPr>
      <w:adjustRightInd w:val="0"/>
      <w:spacing w:line="300" w:lineRule="auto"/>
      <w:jc w:val="center"/>
    </w:pPr>
    <w:rPr>
      <w:rFonts w:hint="eastAsia" w:ascii="宋体" w:hAnsi="宋体"/>
      <w:sz w:val="24"/>
    </w:rPr>
  </w:style>
  <w:style w:type="paragraph" w:customStyle="1" w:styleId="211">
    <w:name w:val="Proposals body"/>
    <w:basedOn w:val="1"/>
    <w:next w:val="1"/>
    <w:qFormat/>
    <w:uiPriority w:val="0"/>
    <w:pPr>
      <w:widowControl/>
      <w:spacing w:line="360" w:lineRule="auto"/>
      <w:jc w:val="left"/>
    </w:pPr>
    <w:rPr>
      <w:rFonts w:ascii="宋体" w:eastAsia="仿宋_GB2312"/>
      <w:snapToGrid w:val="0"/>
      <w:color w:val="000000"/>
      <w:kern w:val="0"/>
      <w:sz w:val="24"/>
    </w:rPr>
  </w:style>
  <w:style w:type="paragraph" w:customStyle="1" w:styleId="212">
    <w:name w:val="Bullet 1"/>
    <w:basedOn w:val="1"/>
    <w:qFormat/>
    <w:uiPriority w:val="0"/>
    <w:pPr>
      <w:widowControl/>
      <w:jc w:val="left"/>
    </w:pPr>
    <w:rPr>
      <w:rFonts w:ascii="Tahoma" w:hAnsi="Tahoma" w:eastAsia="仿宋_GB2312" w:cs="Tahoma"/>
      <w:kern w:val="0"/>
      <w:sz w:val="24"/>
      <w:szCs w:val="28"/>
      <w:lang w:eastAsia="en-US"/>
    </w:rPr>
  </w:style>
  <w:style w:type="paragraph" w:customStyle="1" w:styleId="213">
    <w:name w:val="Content Bullet"/>
    <w:basedOn w:val="1"/>
    <w:qFormat/>
    <w:uiPriority w:val="0"/>
    <w:pPr>
      <w:widowControl/>
      <w:tabs>
        <w:tab w:val="left" w:pos="420"/>
        <w:tab w:val="left" w:pos="696"/>
        <w:tab w:val="left" w:pos="3060"/>
        <w:tab w:val="left" w:pos="3600"/>
      </w:tabs>
      <w:spacing w:after="120"/>
      <w:ind w:left="720" w:hanging="720"/>
      <w:jc w:val="left"/>
    </w:pPr>
    <w:rPr>
      <w:rFonts w:ascii="Book Antiqua" w:hAnsi="Book Antiqua" w:eastAsia="仿宋_GB2312"/>
      <w:kern w:val="0"/>
      <w:sz w:val="22"/>
      <w:lang w:val="en-GB" w:eastAsia="en-US"/>
    </w:rPr>
  </w:style>
  <w:style w:type="paragraph" w:customStyle="1" w:styleId="214">
    <w:name w:val="Char Char Char Char Char Char Char Char1 Char1"/>
    <w:basedOn w:val="1"/>
    <w:qFormat/>
    <w:uiPriority w:val="0"/>
    <w:rPr>
      <w:rFonts w:ascii="仿宋_GB2312" w:eastAsia="仿宋_GB2312"/>
      <w:sz w:val="28"/>
    </w:rPr>
  </w:style>
  <w:style w:type="paragraph" w:customStyle="1" w:styleId="215">
    <w:name w:val="列出段落1"/>
    <w:basedOn w:val="1"/>
    <w:qFormat/>
    <w:uiPriority w:val="0"/>
    <w:pPr>
      <w:ind w:firstLine="420" w:firstLineChars="200"/>
    </w:pPr>
    <w:rPr>
      <w:rFonts w:eastAsia="仿宋_GB2312"/>
      <w:sz w:val="28"/>
      <w:szCs w:val="22"/>
    </w:rPr>
  </w:style>
  <w:style w:type="paragraph" w:customStyle="1" w:styleId="216">
    <w:name w:val="标题 3.5"/>
    <w:basedOn w:val="9"/>
    <w:qFormat/>
    <w:uiPriority w:val="0"/>
    <w:pPr>
      <w:keepNext w:val="0"/>
      <w:keepLines w:val="0"/>
      <w:spacing w:before="0" w:after="0" w:line="600" w:lineRule="exact"/>
      <w:outlineLvl w:val="9"/>
    </w:pPr>
    <w:rPr>
      <w:rFonts w:ascii="仿宋_GB2312" w:eastAsia="仿宋_GB2312"/>
      <w:b w:val="0"/>
      <w:bCs w:val="0"/>
      <w:sz w:val="31"/>
      <w:szCs w:val="24"/>
    </w:rPr>
  </w:style>
  <w:style w:type="paragraph" w:customStyle="1" w:styleId="217">
    <w:name w:val="Achievement"/>
    <w:basedOn w:val="4"/>
    <w:qFormat/>
    <w:uiPriority w:val="0"/>
    <w:pPr>
      <w:widowControl/>
      <w:numPr>
        <w:ilvl w:val="0"/>
        <w:numId w:val="5"/>
      </w:numPr>
      <w:spacing w:after="60" w:line="220" w:lineRule="atLeast"/>
    </w:pPr>
    <w:rPr>
      <w:rFonts w:ascii="Arial" w:hAnsi="Arial" w:eastAsia="宋体"/>
      <w:b w:val="0"/>
      <w:bCs w:val="0"/>
      <w:spacing w:val="-5"/>
      <w:kern w:val="0"/>
      <w:sz w:val="20"/>
      <w:szCs w:val="20"/>
    </w:rPr>
  </w:style>
  <w:style w:type="paragraph" w:customStyle="1" w:styleId="218">
    <w:name w:val="Char"/>
    <w:basedOn w:val="1"/>
    <w:qFormat/>
    <w:uiPriority w:val="0"/>
    <w:rPr>
      <w:rFonts w:ascii="仿宋_GB2312" w:eastAsia="仿宋_GB2312"/>
      <w:sz w:val="28"/>
      <w:szCs w:val="28"/>
    </w:rPr>
  </w:style>
  <w:style w:type="paragraph" w:customStyle="1" w:styleId="219">
    <w:name w:val="标题2正文"/>
    <w:basedOn w:val="1"/>
    <w:qFormat/>
    <w:uiPriority w:val="0"/>
    <w:pPr>
      <w:snapToGrid w:val="0"/>
      <w:spacing w:line="360" w:lineRule="auto"/>
      <w:ind w:firstLine="480" w:firstLineChars="200"/>
    </w:pPr>
    <w:rPr>
      <w:sz w:val="24"/>
      <w:szCs w:val="24"/>
    </w:rPr>
  </w:style>
  <w:style w:type="paragraph" w:customStyle="1" w:styleId="220">
    <w:name w:val="Char Char2 Char Char"/>
    <w:basedOn w:val="26"/>
    <w:qFormat/>
    <w:uiPriority w:val="0"/>
    <w:pPr>
      <w:spacing w:line="436" w:lineRule="exact"/>
    </w:pPr>
    <w:rPr>
      <w:rFonts w:ascii="Tahoma" w:hAnsi="Tahoma"/>
      <w:kern w:val="2"/>
      <w:sz w:val="24"/>
      <w:szCs w:val="20"/>
      <w:shd w:val="clear" w:color="auto" w:fill="auto"/>
    </w:rPr>
  </w:style>
  <w:style w:type="paragraph" w:customStyle="1" w:styleId="221">
    <w:name w:val="kp"/>
    <w:basedOn w:val="1"/>
    <w:qFormat/>
    <w:uiPriority w:val="0"/>
    <w:pPr>
      <w:autoSpaceDE w:val="0"/>
      <w:autoSpaceDN w:val="0"/>
      <w:adjustRightInd w:val="0"/>
      <w:spacing w:line="600" w:lineRule="exact"/>
      <w:ind w:firstLine="560"/>
    </w:pPr>
    <w:rPr>
      <w:rFonts w:ascii="仿宋_GB2312" w:eastAsia="仿宋_GB2312"/>
      <w:sz w:val="28"/>
      <w:szCs w:val="28"/>
      <w:lang w:val="zh-CN"/>
    </w:rPr>
  </w:style>
  <w:style w:type="paragraph" w:customStyle="1" w:styleId="222">
    <w:name w:val="水印"/>
    <w:basedOn w:val="1"/>
    <w:qFormat/>
    <w:uiPriority w:val="0"/>
    <w:pPr>
      <w:adjustRightInd w:val="0"/>
      <w:spacing w:line="240" w:lineRule="atLeast"/>
      <w:textAlignment w:val="baseline"/>
    </w:pPr>
    <w:rPr>
      <w:rFonts w:ascii="仿宋_GB2312" w:eastAsia="仿宋_GB2312"/>
      <w:kern w:val="0"/>
      <w:sz w:val="28"/>
    </w:rPr>
  </w:style>
  <w:style w:type="paragraph" w:customStyle="1" w:styleId="223">
    <w:name w:val="正文无缩进"/>
    <w:basedOn w:val="224"/>
    <w:qFormat/>
    <w:uiPriority w:val="0"/>
    <w:pPr>
      <w:ind w:firstLine="0" w:firstLineChars="0"/>
    </w:pPr>
  </w:style>
  <w:style w:type="paragraph" w:customStyle="1" w:styleId="224">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225">
    <w:name w:val="标题6"/>
    <w:basedOn w:val="1"/>
    <w:next w:val="7"/>
    <w:qFormat/>
    <w:uiPriority w:val="0"/>
    <w:pPr>
      <w:widowControl/>
      <w:snapToGrid w:val="0"/>
      <w:spacing w:beforeLines="50" w:afterLines="50" w:line="520" w:lineRule="atLeast"/>
      <w:ind w:firstLine="200" w:firstLineChars="200"/>
    </w:pPr>
    <w:rPr>
      <w:rFonts w:cs="Arial"/>
      <w:b/>
      <w:sz w:val="24"/>
      <w:szCs w:val="24"/>
    </w:rPr>
  </w:style>
  <w:style w:type="paragraph" w:customStyle="1" w:styleId="226">
    <w:name w:val="p23"/>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27">
    <w:name w:val="项目1"/>
    <w:basedOn w:val="21"/>
    <w:next w:val="21"/>
    <w:qFormat/>
    <w:uiPriority w:val="0"/>
    <w:pPr>
      <w:widowControl w:val="0"/>
      <w:numPr>
        <w:ilvl w:val="3"/>
        <w:numId w:val="6"/>
      </w:numPr>
      <w:adjustRightInd/>
      <w:snapToGrid/>
      <w:spacing w:beforeLines="50" w:afterLines="50" w:line="360" w:lineRule="auto"/>
      <w:ind w:left="-4" w:leftChars="-2" w:firstLine="468" w:firstLineChars="195"/>
      <w:jc w:val="left"/>
    </w:pPr>
    <w:rPr>
      <w:rFonts w:hAnsi="宋体" w:eastAsia="仿宋_GB2312"/>
      <w:bCs/>
      <w:snapToGrid/>
      <w:color w:val="auto"/>
      <w:kern w:val="2"/>
      <w:sz w:val="24"/>
      <w:szCs w:val="24"/>
    </w:rPr>
  </w:style>
  <w:style w:type="paragraph" w:customStyle="1" w:styleId="228">
    <w:name w:val="RFI abc 1st Level"/>
    <w:basedOn w:val="1"/>
    <w:qFormat/>
    <w:uiPriority w:val="0"/>
    <w:pPr>
      <w:widowControl/>
      <w:numPr>
        <w:ilvl w:val="0"/>
        <w:numId w:val="7"/>
      </w:numPr>
      <w:tabs>
        <w:tab w:val="left" w:pos="1440"/>
      </w:tabs>
      <w:ind w:left="1440"/>
    </w:pPr>
    <w:rPr>
      <w:rFonts w:ascii="Arial (W1)" w:hAnsi="Arial (W1)" w:eastAsia="仿宋_GB2312"/>
      <w:kern w:val="0"/>
      <w:sz w:val="24"/>
      <w:szCs w:val="28"/>
      <w:lang w:val="en-GB" w:eastAsia="en-US"/>
    </w:rPr>
  </w:style>
  <w:style w:type="paragraph" w:customStyle="1" w:styleId="229">
    <w:name w:val="Level 2: 1."/>
    <w:qFormat/>
    <w:uiPriority w:val="0"/>
    <w:pPr>
      <w:numPr>
        <w:ilvl w:val="4"/>
        <w:numId w:val="1"/>
      </w:numPr>
      <w:tabs>
        <w:tab w:val="left" w:pos="720"/>
      </w:tabs>
      <w:spacing w:before="72" w:after="72"/>
      <w:jc w:val="both"/>
      <w:outlineLvl w:val="4"/>
    </w:pPr>
    <w:rPr>
      <w:rFonts w:ascii="Arial" w:hAnsi="Arial" w:eastAsia="宋体" w:cs="Times New Roman"/>
      <w:lang w:val="en-US" w:eastAsia="en-US" w:bidi="ar-SA"/>
    </w:rPr>
  </w:style>
  <w:style w:type="paragraph" w:customStyle="1" w:styleId="230">
    <w:name w:val="Char1 Char Char Char"/>
    <w:basedOn w:val="1"/>
    <w:qFormat/>
    <w:uiPriority w:val="0"/>
    <w:pPr>
      <w:ind w:left="420" w:hanging="420"/>
    </w:pPr>
    <w:rPr>
      <w:rFonts w:ascii="仿宋_GB2312" w:eastAsia="仿宋_GB2312"/>
      <w:sz w:val="24"/>
      <w:szCs w:val="28"/>
    </w:rPr>
  </w:style>
  <w:style w:type="paragraph" w:customStyle="1" w:styleId="231">
    <w:name w:val="PDGInstructions"/>
    <w:basedOn w:val="1"/>
    <w:qFormat/>
    <w:uiPriority w:val="0"/>
    <w:pPr>
      <w:widowControl/>
      <w:spacing w:before="60" w:after="60"/>
      <w:ind w:right="360"/>
      <w:jc w:val="left"/>
    </w:pPr>
    <w:rPr>
      <w:rFonts w:ascii="Garamond" w:hAnsi="Garamond"/>
      <w:color w:val="FF0000"/>
      <w:kern w:val="0"/>
      <w:sz w:val="24"/>
      <w:lang w:eastAsia="en-US"/>
    </w:rPr>
  </w:style>
  <w:style w:type="paragraph" w:customStyle="1" w:styleId="232">
    <w:name w:val="正文段"/>
    <w:basedOn w:val="1"/>
    <w:qFormat/>
    <w:uiPriority w:val="0"/>
    <w:pPr>
      <w:widowControl/>
      <w:snapToGrid w:val="0"/>
      <w:spacing w:afterLines="50"/>
      <w:ind w:firstLine="200" w:firstLineChars="200"/>
    </w:pPr>
    <w:rPr>
      <w:kern w:val="0"/>
      <w:sz w:val="24"/>
    </w:rPr>
  </w:style>
  <w:style w:type="paragraph" w:customStyle="1" w:styleId="233">
    <w:name w:val="RFI Heading 2nd Level Char"/>
    <w:basedOn w:val="1"/>
    <w:qFormat/>
    <w:uiPriority w:val="0"/>
    <w:pPr>
      <w:widowControl/>
      <w:tabs>
        <w:tab w:val="left" w:pos="1152"/>
      </w:tabs>
      <w:spacing w:before="240" w:after="240"/>
      <w:ind w:left="1152" w:hanging="1152"/>
      <w:jc w:val="left"/>
      <w:outlineLvl w:val="1"/>
    </w:pPr>
    <w:rPr>
      <w:rFonts w:ascii="Arial (W1)" w:hAnsi="Arial (W1)" w:eastAsia="Times New Roman"/>
      <w:b/>
      <w:bCs/>
      <w:color w:val="3366FF"/>
      <w:kern w:val="0"/>
      <w:sz w:val="24"/>
      <w:szCs w:val="28"/>
      <w:lang w:val="en-GB" w:eastAsia="en-US"/>
    </w:rPr>
  </w:style>
  <w:style w:type="paragraph" w:customStyle="1" w:styleId="234">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仿宋_GB2312"/>
      <w:kern w:val="0"/>
      <w:sz w:val="22"/>
      <w:szCs w:val="22"/>
    </w:rPr>
  </w:style>
  <w:style w:type="paragraph" w:customStyle="1" w:styleId="235">
    <w:name w:val="Level 1: a."/>
    <w:qFormat/>
    <w:uiPriority w:val="0"/>
    <w:pPr>
      <w:numPr>
        <w:ilvl w:val="3"/>
        <w:numId w:val="1"/>
      </w:numPr>
      <w:tabs>
        <w:tab w:val="left" w:pos="360"/>
      </w:tabs>
      <w:spacing w:before="72" w:after="72"/>
      <w:jc w:val="both"/>
      <w:outlineLvl w:val="3"/>
    </w:pPr>
    <w:rPr>
      <w:rFonts w:ascii="Arial" w:hAnsi="Arial" w:eastAsia="宋体" w:cs="Times New Roman"/>
      <w:lang w:val="en-US" w:eastAsia="en-US" w:bidi="ar-SA"/>
    </w:rPr>
  </w:style>
  <w:style w:type="paragraph" w:customStyle="1" w:styleId="236">
    <w:name w:val="项目"/>
    <w:basedOn w:val="4"/>
    <w:next w:val="4"/>
    <w:qFormat/>
    <w:uiPriority w:val="0"/>
    <w:pPr>
      <w:numPr>
        <w:ilvl w:val="0"/>
        <w:numId w:val="8"/>
      </w:numPr>
      <w:tabs>
        <w:tab w:val="left" w:pos="420"/>
      </w:tabs>
      <w:spacing w:line="360" w:lineRule="auto"/>
      <w:ind w:left="420"/>
    </w:pPr>
    <w:rPr>
      <w:rFonts w:eastAsia="宋体"/>
      <w:b w:val="0"/>
      <w:bCs w:val="0"/>
      <w:spacing w:val="0"/>
      <w:kern w:val="0"/>
      <w:sz w:val="24"/>
      <w:szCs w:val="20"/>
    </w:rPr>
  </w:style>
  <w:style w:type="paragraph" w:customStyle="1" w:styleId="237">
    <w:name w:val="xl48"/>
    <w:basedOn w:val="1"/>
    <w:qFormat/>
    <w:uiPriority w:val="0"/>
    <w:pPr>
      <w:widowControl/>
      <w:pBdr>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8"/>
    </w:rPr>
  </w:style>
  <w:style w:type="paragraph" w:customStyle="1" w:styleId="238">
    <w:name w:val="Char Char1 Char Char"/>
    <w:basedOn w:val="1"/>
    <w:semiHidden/>
    <w:qFormat/>
    <w:uiPriority w:val="0"/>
    <w:rPr>
      <w:rFonts w:ascii="仿宋_GB2312" w:eastAsia="仿宋_GB2312"/>
      <w:sz w:val="28"/>
      <w:szCs w:val="28"/>
    </w:rPr>
  </w:style>
  <w:style w:type="paragraph" w:customStyle="1" w:styleId="239">
    <w:name w:val="Level 4: (i)"/>
    <w:basedOn w:val="1"/>
    <w:qFormat/>
    <w:uiPriority w:val="0"/>
    <w:pPr>
      <w:widowControl/>
      <w:numPr>
        <w:ilvl w:val="6"/>
        <w:numId w:val="1"/>
      </w:numPr>
      <w:tabs>
        <w:tab w:val="left" w:pos="1440"/>
      </w:tabs>
      <w:spacing w:before="72" w:after="72"/>
      <w:outlineLvl w:val="6"/>
    </w:pPr>
    <w:rPr>
      <w:rFonts w:ascii="Arial" w:hAnsi="Arial" w:eastAsia="仿宋_GB2312"/>
      <w:kern w:val="0"/>
      <w:sz w:val="20"/>
      <w:lang w:eastAsia="en-US"/>
    </w:rPr>
  </w:style>
  <w:style w:type="paragraph" w:customStyle="1" w:styleId="240">
    <w:name w:val="Head2"/>
    <w:qFormat/>
    <w:uiPriority w:val="0"/>
    <w:pPr>
      <w:numPr>
        <w:ilvl w:val="2"/>
        <w:numId w:val="1"/>
      </w:numPr>
      <w:tabs>
        <w:tab w:val="left" w:pos="576"/>
      </w:tabs>
      <w:spacing w:before="28" w:after="28"/>
      <w:outlineLvl w:val="2"/>
    </w:pPr>
    <w:rPr>
      <w:rFonts w:ascii="Arial" w:hAnsi="Arial" w:eastAsia="宋体" w:cs="Times New Roman"/>
      <w:b/>
      <w:lang w:val="en-US" w:eastAsia="en-US" w:bidi="ar-SA"/>
    </w:rPr>
  </w:style>
  <w:style w:type="paragraph" w:customStyle="1" w:styleId="241">
    <w:name w:val="批注框文本1"/>
    <w:basedOn w:val="1"/>
    <w:qFormat/>
    <w:uiPriority w:val="0"/>
    <w:pPr>
      <w:widowControl/>
      <w:spacing w:before="120" w:line="360" w:lineRule="auto"/>
      <w:jc w:val="left"/>
    </w:pPr>
    <w:rPr>
      <w:rFonts w:ascii="Tahoma" w:hAnsi="Tahoma" w:eastAsia="仿宋_GB2312" w:cs="Tahoma"/>
      <w:kern w:val="0"/>
      <w:sz w:val="16"/>
      <w:szCs w:val="16"/>
      <w:lang w:val="en-GB" w:eastAsia="en-US"/>
    </w:rPr>
  </w:style>
  <w:style w:type="paragraph" w:customStyle="1" w:styleId="242">
    <w:name w:val="规范正文"/>
    <w:basedOn w:val="1"/>
    <w:qFormat/>
    <w:uiPriority w:val="0"/>
    <w:pPr>
      <w:adjustRightInd w:val="0"/>
      <w:spacing w:line="360" w:lineRule="auto"/>
      <w:ind w:left="480"/>
      <w:textAlignment w:val="baseline"/>
    </w:pPr>
    <w:rPr>
      <w:rFonts w:ascii="仿宋_GB2312" w:eastAsia="仿宋_GB2312"/>
      <w:kern w:val="0"/>
      <w:sz w:val="24"/>
    </w:rPr>
  </w:style>
  <w:style w:type="paragraph" w:customStyle="1" w:styleId="243">
    <w:name w:val="Normal 0.51"/>
    <w:basedOn w:val="1"/>
    <w:qFormat/>
    <w:uiPriority w:val="0"/>
    <w:pPr>
      <w:keepNext/>
      <w:keepLines/>
      <w:widowControl/>
      <w:spacing w:before="180" w:after="120"/>
      <w:ind w:left="720"/>
    </w:pPr>
    <w:rPr>
      <w:rFonts w:ascii="仿宋_GB2312" w:eastAsia="仿宋_GB2312"/>
      <w:kern w:val="0"/>
      <w:sz w:val="24"/>
      <w:lang w:val="en-GB" w:eastAsia="en-US"/>
    </w:rPr>
  </w:style>
  <w:style w:type="paragraph" w:customStyle="1" w:styleId="244">
    <w:name w:val="小条目 Char Char"/>
    <w:basedOn w:val="1"/>
    <w:qFormat/>
    <w:uiPriority w:val="0"/>
    <w:pPr>
      <w:tabs>
        <w:tab w:val="left" w:pos="360"/>
        <w:tab w:val="left" w:pos="2160"/>
      </w:tabs>
      <w:spacing w:line="360" w:lineRule="auto"/>
      <w:ind w:left="6" w:firstLine="420"/>
    </w:pPr>
    <w:rPr>
      <w:rFonts w:ascii="宋体" w:hAnsi="Arial" w:eastAsia="仿宋_GB2312" w:cs="Arial"/>
      <w:b/>
      <w:bCs/>
      <w:caps/>
      <w:kern w:val="44"/>
      <w:sz w:val="24"/>
      <w:szCs w:val="44"/>
    </w:rPr>
  </w:style>
  <w:style w:type="paragraph" w:customStyle="1" w:styleId="245">
    <w:name w:val="RFI Heading 1st Level"/>
    <w:basedOn w:val="1"/>
    <w:qFormat/>
    <w:uiPriority w:val="0"/>
    <w:pPr>
      <w:widowControl/>
      <w:spacing w:before="120" w:after="240"/>
      <w:jc w:val="left"/>
    </w:pPr>
    <w:rPr>
      <w:rFonts w:ascii="Arial (W1)" w:hAnsi="Arial (W1)" w:eastAsia="仿宋_GB2312"/>
      <w:b/>
      <w:bCs/>
      <w:color w:val="0000FF"/>
      <w:kern w:val="0"/>
      <w:sz w:val="32"/>
      <w:szCs w:val="28"/>
      <w:lang w:val="en-GB"/>
    </w:rPr>
  </w:style>
  <w:style w:type="paragraph" w:customStyle="1" w:styleId="246">
    <w:name w:val="Default Text:1"/>
    <w:basedOn w:val="1"/>
    <w:qFormat/>
    <w:uiPriority w:val="0"/>
    <w:pPr>
      <w:widowControl/>
      <w:jc w:val="left"/>
    </w:pPr>
    <w:rPr>
      <w:rFonts w:ascii="Tahoma" w:hAnsi="Tahoma" w:eastAsia="仿宋_GB2312" w:cs="Tahoma"/>
      <w:kern w:val="0"/>
      <w:sz w:val="24"/>
      <w:szCs w:val="28"/>
      <w:lang w:eastAsia="en-US"/>
    </w:rPr>
  </w:style>
  <w:style w:type="paragraph" w:customStyle="1" w:styleId="247">
    <w:name w:val="Style Heading 3 + Line spacing:  1.5 lines"/>
    <w:basedOn w:val="9"/>
    <w:qFormat/>
    <w:uiPriority w:val="0"/>
    <w:pPr>
      <w:keepLines w:val="0"/>
      <w:widowControl/>
      <w:numPr>
        <w:ilvl w:val="2"/>
        <w:numId w:val="9"/>
      </w:numPr>
      <w:tabs>
        <w:tab w:val="left" w:pos="1152"/>
        <w:tab w:val="left" w:pos="1680"/>
      </w:tabs>
      <w:spacing w:before="0" w:after="0" w:line="360" w:lineRule="auto"/>
      <w:ind w:left="236" w:leftChars="236"/>
    </w:pPr>
    <w:rPr>
      <w:rFonts w:ascii="仿宋_GB2312" w:eastAsia="黑体"/>
      <w:sz w:val="28"/>
      <w:szCs w:val="28"/>
    </w:rPr>
  </w:style>
  <w:style w:type="paragraph" w:customStyle="1" w:styleId="248">
    <w:name w:val="Char1 Char Char Char Char Char Char Char Char Char Char Char Char Char Char Char"/>
    <w:basedOn w:val="1"/>
    <w:qFormat/>
    <w:uiPriority w:val="0"/>
    <w:rPr>
      <w:szCs w:val="24"/>
    </w:rPr>
  </w:style>
  <w:style w:type="paragraph" w:customStyle="1" w:styleId="249">
    <w:name w:val="1.1.1Head2"/>
    <w:qFormat/>
    <w:uiPriority w:val="0"/>
    <w:pPr>
      <w:numPr>
        <w:ilvl w:val="2"/>
        <w:numId w:val="10"/>
      </w:numPr>
      <w:tabs>
        <w:tab w:val="left" w:pos="2880"/>
      </w:tabs>
      <w:spacing w:before="28" w:after="28"/>
      <w:outlineLvl w:val="2"/>
    </w:pPr>
    <w:rPr>
      <w:rFonts w:ascii="Arial" w:hAnsi="Arial" w:eastAsia="宋体" w:cs="Times New Roman"/>
      <w:b/>
      <w:lang w:val="en-US" w:eastAsia="en-US" w:bidi="ar-SA"/>
    </w:rPr>
  </w:style>
  <w:style w:type="paragraph" w:customStyle="1" w:styleId="250">
    <w:name w:val="RFI Heading 4th Level"/>
    <w:basedOn w:val="185"/>
    <w:qFormat/>
    <w:uiPriority w:val="0"/>
    <w:pPr>
      <w:tabs>
        <w:tab w:val="left" w:pos="1152"/>
        <w:tab w:val="clear" w:pos="720"/>
      </w:tabs>
      <w:spacing w:before="240" w:after="160"/>
      <w:ind w:left="1152" w:hanging="1152"/>
      <w:jc w:val="both"/>
      <w:outlineLvl w:val="2"/>
    </w:pPr>
    <w:rPr>
      <w:rFonts w:eastAsia="Times New Roman"/>
      <w:bCs/>
      <w:color w:val="auto"/>
    </w:rPr>
  </w:style>
  <w:style w:type="paragraph" w:customStyle="1" w:styleId="251">
    <w:name w:val="方案正文-样式 小四 行距: 1.5 倍行距"/>
    <w:basedOn w:val="1"/>
    <w:qFormat/>
    <w:uiPriority w:val="0"/>
    <w:pPr>
      <w:spacing w:line="360" w:lineRule="auto"/>
      <w:ind w:firstLine="480" w:firstLineChars="200"/>
    </w:pPr>
    <w:rPr>
      <w:rFonts w:ascii="仿宋_GB2312" w:eastAsia="仿宋_GB2312"/>
      <w:sz w:val="24"/>
      <w:szCs w:val="28"/>
    </w:rPr>
  </w:style>
  <w:style w:type="paragraph" w:customStyle="1" w:styleId="252">
    <w:name w:val="标题 3.1"/>
    <w:basedOn w:val="9"/>
    <w:qFormat/>
    <w:uiPriority w:val="0"/>
    <w:pPr>
      <w:tabs>
        <w:tab w:val="left" w:pos="5614"/>
      </w:tabs>
      <w:spacing w:line="600" w:lineRule="exact"/>
    </w:pPr>
    <w:rPr>
      <w:rFonts w:ascii="仿宋_GB2312"/>
      <w:sz w:val="36"/>
    </w:rPr>
  </w:style>
  <w:style w:type="paragraph" w:customStyle="1" w:styleId="253">
    <w:name w:val="Char Char Char Char"/>
    <w:basedOn w:val="1"/>
    <w:qFormat/>
    <w:uiPriority w:val="0"/>
    <w:pPr>
      <w:widowControl/>
      <w:spacing w:line="400" w:lineRule="exact"/>
      <w:jc w:val="center"/>
    </w:pPr>
    <w:rPr>
      <w:rFonts w:ascii="Verdana" w:hAnsi="Verdana" w:eastAsia="仿宋_GB2312"/>
      <w:kern w:val="0"/>
      <w:sz w:val="28"/>
      <w:lang w:eastAsia="en-US"/>
    </w:rPr>
  </w:style>
  <w:style w:type="paragraph" w:customStyle="1" w:styleId="254">
    <w:name w:val="Level 3: (a)"/>
    <w:basedOn w:val="1"/>
    <w:qFormat/>
    <w:uiPriority w:val="0"/>
    <w:pPr>
      <w:widowControl/>
      <w:numPr>
        <w:ilvl w:val="5"/>
        <w:numId w:val="1"/>
      </w:numPr>
      <w:tabs>
        <w:tab w:val="left" w:pos="1080"/>
      </w:tabs>
      <w:spacing w:before="72" w:after="72"/>
      <w:outlineLvl w:val="5"/>
    </w:pPr>
    <w:rPr>
      <w:rFonts w:ascii="Arial" w:hAnsi="Arial" w:eastAsia="仿宋_GB2312"/>
      <w:kern w:val="0"/>
      <w:sz w:val="20"/>
      <w:lang w:eastAsia="en-US"/>
    </w:rPr>
  </w:style>
  <w:style w:type="paragraph" w:customStyle="1" w:styleId="255">
    <w:name w:val="金保标题正文"/>
    <w:qFormat/>
    <w:uiPriority w:val="0"/>
    <w:pPr>
      <w:spacing w:line="360" w:lineRule="auto"/>
      <w:ind w:firstLine="200" w:firstLineChars="200"/>
    </w:pPr>
    <w:rPr>
      <w:rFonts w:ascii="Calibri" w:hAnsi="Calibri" w:eastAsia="宋体" w:cs="Times New Roman"/>
      <w:kern w:val="2"/>
      <w:sz w:val="24"/>
      <w:szCs w:val="22"/>
      <w:lang w:val="en-US" w:eastAsia="zh-CN" w:bidi="ar-SA"/>
    </w:rPr>
  </w:style>
  <w:style w:type="paragraph" w:customStyle="1" w:styleId="256">
    <w:name w:val="Char1 Char Char Char Char Char Char"/>
    <w:basedOn w:val="1"/>
    <w:qFormat/>
    <w:uiPriority w:val="0"/>
    <w:pPr>
      <w:adjustRightInd w:val="0"/>
    </w:pPr>
    <w:rPr>
      <w:rFonts w:ascii="Tahoma" w:hAnsi="Tahoma"/>
      <w:sz w:val="24"/>
    </w:rPr>
  </w:style>
  <w:style w:type="paragraph" w:customStyle="1" w:styleId="257">
    <w:name w:val="1.1.1.1Heading3"/>
    <w:basedOn w:val="9"/>
    <w:qFormat/>
    <w:uiPriority w:val="0"/>
    <w:pPr>
      <w:keepLines w:val="0"/>
      <w:widowControl/>
      <w:numPr>
        <w:ilvl w:val="2"/>
        <w:numId w:val="11"/>
      </w:numPr>
      <w:tabs>
        <w:tab w:val="left" w:pos="2292"/>
        <w:tab w:val="clear" w:pos="2160"/>
      </w:tabs>
      <w:spacing w:before="120" w:after="120" w:line="240" w:lineRule="auto"/>
      <w:ind w:left="2292" w:leftChars="236" w:right="-156" w:hanging="420"/>
      <w:jc w:val="left"/>
    </w:pPr>
    <w:rPr>
      <w:rFonts w:ascii="Arial" w:hAnsi="Arial" w:eastAsia="黑体" w:cs="Arial"/>
      <w:b w:val="0"/>
      <w:sz w:val="24"/>
      <w:szCs w:val="16"/>
    </w:rPr>
  </w:style>
  <w:style w:type="paragraph" w:customStyle="1" w:styleId="258">
    <w:name w:val="Char2"/>
    <w:basedOn w:val="1"/>
    <w:qFormat/>
    <w:uiPriority w:val="0"/>
    <w:rPr>
      <w:rFonts w:ascii="仿宋_GB2312" w:eastAsia="仿宋_GB2312"/>
      <w:b/>
      <w:sz w:val="32"/>
      <w:szCs w:val="32"/>
    </w:rPr>
  </w:style>
  <w:style w:type="paragraph" w:customStyle="1" w:styleId="259">
    <w:name w:val="Char3"/>
    <w:basedOn w:val="1"/>
    <w:qFormat/>
    <w:uiPriority w:val="0"/>
    <w:rPr>
      <w:rFonts w:ascii="仿宋_GB2312" w:eastAsia="仿宋_GB2312"/>
      <w:b/>
      <w:sz w:val="32"/>
      <w:szCs w:val="32"/>
    </w:rPr>
  </w:style>
  <w:style w:type="paragraph" w:customStyle="1" w:styleId="260">
    <w:name w:val="tabletextchar"/>
    <w:basedOn w:val="1"/>
    <w:qFormat/>
    <w:uiPriority w:val="0"/>
    <w:pPr>
      <w:widowControl/>
      <w:spacing w:before="100" w:beforeAutospacing="1" w:after="100" w:afterAutospacing="1" w:line="240" w:lineRule="atLeast"/>
      <w:jc w:val="left"/>
    </w:pPr>
    <w:rPr>
      <w:rFonts w:ascii="宋体" w:hAnsi="宋体" w:eastAsia="仿宋_GB2312" w:cs="宋体"/>
      <w:kern w:val="0"/>
      <w:sz w:val="18"/>
      <w:szCs w:val="18"/>
    </w:rPr>
  </w:style>
  <w:style w:type="paragraph" w:customStyle="1" w:styleId="261">
    <w:name w:val="p0"/>
    <w:basedOn w:val="1"/>
    <w:qFormat/>
    <w:uiPriority w:val="0"/>
    <w:pPr>
      <w:widowControl/>
    </w:pPr>
    <w:rPr>
      <w:rFonts w:ascii="仿宋_GB2312" w:hAnsi="宋体" w:eastAsia="仿宋_GB2312" w:cs="宋体"/>
      <w:kern w:val="0"/>
      <w:sz w:val="28"/>
      <w:szCs w:val="28"/>
    </w:rPr>
  </w:style>
  <w:style w:type="paragraph" w:customStyle="1" w:styleId="262">
    <w:name w:val="Default Text"/>
    <w:basedOn w:val="1"/>
    <w:qFormat/>
    <w:uiPriority w:val="0"/>
    <w:pPr>
      <w:widowControl/>
      <w:jc w:val="left"/>
    </w:pPr>
    <w:rPr>
      <w:rFonts w:ascii="Tahoma" w:hAnsi="Tahoma" w:eastAsia="仿宋_GB2312" w:cs="Tahoma"/>
      <w:kern w:val="0"/>
      <w:sz w:val="24"/>
      <w:szCs w:val="28"/>
      <w:lang w:eastAsia="en-US"/>
    </w:rPr>
  </w:style>
  <w:style w:type="paragraph" w:customStyle="1" w:styleId="263">
    <w:name w:val="p18"/>
    <w:basedOn w:val="1"/>
    <w:qFormat/>
    <w:uiPriority w:val="0"/>
    <w:pPr>
      <w:widowControl/>
      <w:spacing w:before="156" w:after="156" w:line="400" w:lineRule="atLeast"/>
    </w:pPr>
    <w:rPr>
      <w:rFonts w:ascii="宋体" w:hAnsi="宋体" w:cs="宋体"/>
      <w:kern w:val="0"/>
      <w:sz w:val="24"/>
      <w:szCs w:val="24"/>
    </w:rPr>
  </w:style>
  <w:style w:type="paragraph" w:customStyle="1" w:styleId="264">
    <w:name w:val="List Paragraph1"/>
    <w:basedOn w:val="1"/>
    <w:qFormat/>
    <w:uiPriority w:val="0"/>
    <w:pPr>
      <w:ind w:firstLine="420" w:firstLineChars="200"/>
    </w:pPr>
    <w:rPr>
      <w:szCs w:val="24"/>
    </w:rPr>
  </w:style>
  <w:style w:type="paragraph" w:customStyle="1" w:styleId="265">
    <w:name w:val="Style Heading 3 + 11 pt Line spacing:  1.5 lines"/>
    <w:basedOn w:val="9"/>
    <w:qFormat/>
    <w:uiPriority w:val="0"/>
    <w:pPr>
      <w:keepLines w:val="0"/>
      <w:widowControl/>
      <w:tabs>
        <w:tab w:val="left" w:pos="1260"/>
      </w:tabs>
      <w:spacing w:before="0" w:after="0" w:line="360" w:lineRule="auto"/>
      <w:ind w:left="236" w:leftChars="236"/>
    </w:pPr>
    <w:rPr>
      <w:rFonts w:ascii="仿宋_GB2312" w:eastAsia="黑体"/>
      <w:b w:val="0"/>
      <w:sz w:val="28"/>
      <w:szCs w:val="28"/>
    </w:rPr>
  </w:style>
  <w:style w:type="paragraph" w:customStyle="1" w:styleId="266">
    <w:name w:val="RFI Bullet 1st Level"/>
    <w:basedOn w:val="1"/>
    <w:qFormat/>
    <w:uiPriority w:val="0"/>
    <w:pPr>
      <w:widowControl/>
      <w:spacing w:before="60" w:after="60"/>
      <w:ind w:left="1440" w:hanging="360"/>
    </w:pPr>
    <w:rPr>
      <w:rFonts w:ascii="Arial (W1)" w:hAnsi="Arial (W1)" w:eastAsia="仿宋_GB2312"/>
      <w:kern w:val="0"/>
      <w:sz w:val="24"/>
      <w:szCs w:val="28"/>
      <w:lang w:val="en-GB" w:eastAsia="en-US"/>
    </w:rPr>
  </w:style>
  <w:style w:type="paragraph" w:customStyle="1" w:styleId="267">
    <w:name w:val="TOC 标题1"/>
    <w:basedOn w:val="7"/>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268">
    <w:name w:val="Char21"/>
    <w:basedOn w:val="1"/>
    <w:qFormat/>
    <w:uiPriority w:val="0"/>
    <w:rPr>
      <w:rFonts w:ascii="仿宋_GB2312" w:eastAsia="仿宋_GB2312"/>
      <w:b/>
      <w:sz w:val="32"/>
      <w:szCs w:val="32"/>
    </w:rPr>
  </w:style>
  <w:style w:type="paragraph" w:customStyle="1" w:styleId="269">
    <w:name w:val="标题3"/>
    <w:basedOn w:val="1"/>
    <w:next w:val="1"/>
    <w:qFormat/>
    <w:uiPriority w:val="0"/>
    <w:pPr>
      <w:keepNext/>
      <w:keepLines/>
      <w:spacing w:beforeLines="50" w:afterLines="50" w:line="360" w:lineRule="auto"/>
      <w:outlineLvl w:val="2"/>
    </w:pPr>
    <w:rPr>
      <w:rFonts w:ascii="仿宋_GB2312" w:eastAsia="仿宋_GB2312"/>
      <w:b/>
      <w:sz w:val="28"/>
      <w:szCs w:val="28"/>
    </w:rPr>
  </w:style>
  <w:style w:type="paragraph" w:customStyle="1" w:styleId="270">
    <w:name w:val="RFI Heading 2nd Level"/>
    <w:basedOn w:val="1"/>
    <w:qFormat/>
    <w:uiPriority w:val="0"/>
    <w:pPr>
      <w:widowControl/>
      <w:tabs>
        <w:tab w:val="left" w:pos="720"/>
      </w:tabs>
      <w:ind w:left="840" w:hanging="420"/>
      <w:jc w:val="left"/>
    </w:pPr>
    <w:rPr>
      <w:rFonts w:ascii="Arial (W1)" w:hAnsi="Arial (W1)" w:eastAsia="仿宋_GB2312"/>
      <w:b/>
      <w:bCs/>
      <w:color w:val="0000FF"/>
      <w:kern w:val="0"/>
      <w:sz w:val="28"/>
      <w:szCs w:val="28"/>
      <w:lang w:val="en-GB" w:eastAsia="en-US"/>
    </w:rPr>
  </w:style>
  <w:style w:type="paragraph" w:customStyle="1" w:styleId="271">
    <w:name w:val="Level 6: (i)"/>
    <w:basedOn w:val="1"/>
    <w:qFormat/>
    <w:uiPriority w:val="0"/>
    <w:pPr>
      <w:widowControl/>
      <w:numPr>
        <w:ilvl w:val="8"/>
        <w:numId w:val="1"/>
      </w:numPr>
      <w:tabs>
        <w:tab w:val="left" w:pos="2160"/>
      </w:tabs>
      <w:spacing w:before="72" w:after="72"/>
      <w:outlineLvl w:val="8"/>
    </w:pPr>
    <w:rPr>
      <w:rFonts w:ascii="Arial" w:hAnsi="Arial" w:eastAsia="仿宋_GB2312"/>
      <w:kern w:val="0"/>
      <w:sz w:val="20"/>
      <w:lang w:eastAsia="en-US"/>
    </w:rPr>
  </w:style>
  <w:style w:type="paragraph" w:customStyle="1" w:styleId="272">
    <w:name w:val="正文缩进4格"/>
    <w:basedOn w:val="224"/>
    <w:qFormat/>
    <w:uiPriority w:val="0"/>
    <w:pPr>
      <w:ind w:left="651" w:leftChars="310" w:firstLine="608" w:firstLineChars="196"/>
    </w:pPr>
    <w:rPr>
      <w:color w:val="000000"/>
    </w:rPr>
  </w:style>
  <w:style w:type="paragraph" w:customStyle="1" w:styleId="273">
    <w:name w:val="Char Char Char Char Char Char Char Char Char Char"/>
    <w:basedOn w:val="1"/>
    <w:qFormat/>
    <w:uiPriority w:val="0"/>
    <w:rPr>
      <w:rFonts w:ascii="Tahoma" w:hAnsi="Tahoma"/>
      <w:sz w:val="24"/>
    </w:rPr>
  </w:style>
  <w:style w:type="paragraph" w:customStyle="1" w:styleId="274">
    <w:name w:val="www正文"/>
    <w:basedOn w:val="1"/>
    <w:qFormat/>
    <w:uiPriority w:val="0"/>
    <w:pPr>
      <w:ind w:firstLine="480" w:firstLineChars="200"/>
    </w:pPr>
    <w:rPr>
      <w:rFonts w:ascii="仿宋_GB2312" w:eastAsia="仿宋_GB2312"/>
      <w:sz w:val="24"/>
      <w:szCs w:val="28"/>
    </w:rPr>
  </w:style>
  <w:style w:type="paragraph" w:customStyle="1" w:styleId="275">
    <w:name w:val="列表内容"/>
    <w:basedOn w:val="1"/>
    <w:next w:val="1"/>
    <w:qFormat/>
    <w:uiPriority w:val="0"/>
    <w:pPr>
      <w:widowControl/>
      <w:tabs>
        <w:tab w:val="left" w:pos="840"/>
      </w:tabs>
      <w:ind w:left="420" w:hanging="420"/>
      <w:jc w:val="left"/>
    </w:pPr>
    <w:rPr>
      <w:rFonts w:ascii="仿宋_GB2312" w:eastAsia="仿宋_GB2312"/>
      <w:kern w:val="0"/>
      <w:sz w:val="18"/>
      <w:szCs w:val="28"/>
    </w:rPr>
  </w:style>
  <w:style w:type="paragraph" w:customStyle="1" w:styleId="276">
    <w:name w:val="条目2"/>
    <w:basedOn w:val="35"/>
    <w:qFormat/>
    <w:uiPriority w:val="0"/>
    <w:pPr>
      <w:numPr>
        <w:ilvl w:val="0"/>
        <w:numId w:val="12"/>
      </w:numPr>
      <w:tabs>
        <w:tab w:val="left" w:pos="420"/>
      </w:tabs>
      <w:spacing w:line="360" w:lineRule="auto"/>
    </w:pPr>
    <w:rPr>
      <w:rFonts w:cs="Courier New"/>
      <w:color w:val="000000"/>
      <w:sz w:val="24"/>
      <w:szCs w:val="21"/>
    </w:rPr>
  </w:style>
  <w:style w:type="paragraph" w:customStyle="1" w:styleId="277">
    <w:name w:val="简单回函地址"/>
    <w:basedOn w:val="1"/>
    <w:qFormat/>
    <w:uiPriority w:val="0"/>
    <w:rPr>
      <w:rFonts w:ascii="宋体" w:hAnsi="宋体" w:eastAsia="仿宋_GB2312"/>
      <w:color w:val="000000"/>
      <w:sz w:val="28"/>
      <w:szCs w:val="21"/>
    </w:rPr>
  </w:style>
  <w:style w:type="paragraph" w:customStyle="1" w:styleId="278">
    <w:name w:val="Tabletext"/>
    <w:basedOn w:val="1"/>
    <w:qFormat/>
    <w:uiPriority w:val="0"/>
    <w:pPr>
      <w:keepLines/>
      <w:spacing w:after="120" w:line="240" w:lineRule="atLeast"/>
      <w:jc w:val="left"/>
    </w:pPr>
    <w:rPr>
      <w:rFonts w:ascii="仿宋_GB2312" w:eastAsia="仿宋_GB2312"/>
      <w:kern w:val="0"/>
      <w:sz w:val="24"/>
      <w:lang w:eastAsia="en-US"/>
    </w:rPr>
  </w:style>
  <w:style w:type="paragraph" w:customStyle="1" w:styleId="279">
    <w:name w:val="标题四正文"/>
    <w:basedOn w:val="1"/>
    <w:qFormat/>
    <w:uiPriority w:val="0"/>
    <w:pPr>
      <w:snapToGrid w:val="0"/>
      <w:spacing w:line="360" w:lineRule="auto"/>
      <w:ind w:firstLine="480" w:firstLineChars="200"/>
      <w:jc w:val="left"/>
    </w:pPr>
    <w:rPr>
      <w:rFonts w:ascii="宋体" w:hAnsi="宋体"/>
      <w:kern w:val="0"/>
      <w:sz w:val="24"/>
      <w:szCs w:val="24"/>
    </w:rPr>
  </w:style>
  <w:style w:type="paragraph" w:customStyle="1" w:styleId="280">
    <w:name w:val="图"/>
    <w:basedOn w:val="1"/>
    <w:qFormat/>
    <w:uiPriority w:val="0"/>
    <w:pPr>
      <w:keepNext/>
      <w:adjustRightInd w:val="0"/>
      <w:spacing w:before="60" w:after="60" w:line="300" w:lineRule="auto"/>
      <w:jc w:val="center"/>
      <w:textAlignment w:val="center"/>
    </w:pPr>
    <w:rPr>
      <w:rFonts w:ascii="仿宋_GB2312" w:eastAsia="仿宋_GB2312"/>
      <w:snapToGrid w:val="0"/>
      <w:spacing w:val="20"/>
      <w:kern w:val="0"/>
      <w:sz w:val="24"/>
    </w:rPr>
  </w:style>
  <w:style w:type="paragraph" w:customStyle="1" w:styleId="281">
    <w:name w:val="正文（缩进）"/>
    <w:basedOn w:val="1"/>
    <w:qFormat/>
    <w:uiPriority w:val="0"/>
    <w:pPr>
      <w:spacing w:beforeLines="50" w:afterLines="50" w:line="360" w:lineRule="auto"/>
      <w:ind w:firstLine="480" w:firstLineChars="200"/>
    </w:pPr>
    <w:rPr>
      <w:rFonts w:ascii="仿宋_GB2312" w:eastAsia="仿宋_GB2312"/>
      <w:sz w:val="24"/>
      <w:szCs w:val="28"/>
    </w:rPr>
  </w:style>
  <w:style w:type="paragraph" w:customStyle="1" w:styleId="282">
    <w:name w:val="1.1 Header2"/>
    <w:basedOn w:val="1"/>
    <w:qFormat/>
    <w:uiPriority w:val="0"/>
    <w:pPr>
      <w:widowControl/>
      <w:jc w:val="left"/>
    </w:pPr>
    <w:rPr>
      <w:rFonts w:ascii="宋体" w:hAnsi="宋体" w:eastAsia="仿宋_GB2312"/>
      <w:color w:val="000000"/>
      <w:kern w:val="0"/>
      <w:sz w:val="24"/>
      <w:szCs w:val="21"/>
    </w:rPr>
  </w:style>
  <w:style w:type="paragraph" w:customStyle="1" w:styleId="283">
    <w:name w:val="日期右"/>
    <w:basedOn w:val="38"/>
    <w:qFormat/>
    <w:uiPriority w:val="0"/>
    <w:pPr>
      <w:spacing w:line="600" w:lineRule="exact"/>
      <w:ind w:left="0" w:leftChars="0"/>
      <w:jc w:val="right"/>
    </w:pPr>
    <w:rPr>
      <w:rFonts w:eastAsia="仿宋_GB2312"/>
      <w:sz w:val="31"/>
      <w:szCs w:val="24"/>
    </w:rPr>
  </w:style>
  <w:style w:type="paragraph" w:customStyle="1" w:styleId="284">
    <w:name w:val="正文缩进6格"/>
    <w:basedOn w:val="272"/>
    <w:qFormat/>
    <w:uiPriority w:val="0"/>
    <w:pPr>
      <w:ind w:left="1758" w:leftChars="854"/>
    </w:pPr>
  </w:style>
  <w:style w:type="paragraph" w:customStyle="1" w:styleId="285">
    <w:name w:val="Char1 Char Char Char1"/>
    <w:basedOn w:val="1"/>
    <w:qFormat/>
    <w:uiPriority w:val="0"/>
    <w:pPr>
      <w:ind w:left="420" w:hanging="420"/>
    </w:pPr>
    <w:rPr>
      <w:rFonts w:ascii="仿宋_GB2312" w:eastAsia="仿宋_GB2312"/>
      <w:sz w:val="24"/>
      <w:szCs w:val="28"/>
    </w:rPr>
  </w:style>
  <w:style w:type="paragraph" w:customStyle="1" w:styleId="286">
    <w:name w:val="Level 5: (1)"/>
    <w:basedOn w:val="1"/>
    <w:qFormat/>
    <w:uiPriority w:val="0"/>
    <w:pPr>
      <w:widowControl/>
      <w:numPr>
        <w:ilvl w:val="7"/>
        <w:numId w:val="1"/>
      </w:numPr>
      <w:tabs>
        <w:tab w:val="left" w:pos="1800"/>
      </w:tabs>
      <w:spacing w:before="72" w:after="72"/>
      <w:outlineLvl w:val="7"/>
    </w:pPr>
    <w:rPr>
      <w:rFonts w:ascii="Arial" w:hAnsi="Arial" w:eastAsia="仿宋_GB2312"/>
      <w:kern w:val="0"/>
      <w:sz w:val="20"/>
      <w:lang w:eastAsia="en-US"/>
    </w:rPr>
  </w:style>
  <w:style w:type="paragraph" w:customStyle="1" w:styleId="287">
    <w:name w:val="Table Text"/>
    <w:basedOn w:val="1"/>
    <w:qFormat/>
    <w:uiPriority w:val="0"/>
    <w:pPr>
      <w:widowControl/>
      <w:spacing w:before="60" w:after="60"/>
      <w:jc w:val="left"/>
    </w:pPr>
    <w:rPr>
      <w:kern w:val="0"/>
      <w:szCs w:val="24"/>
    </w:rPr>
  </w:style>
  <w:style w:type="paragraph" w:customStyle="1" w:styleId="288">
    <w:name w:val="正文_17"/>
    <w:qFormat/>
    <w:uiPriority w:val="0"/>
    <w:pPr>
      <w:widowControl w:val="0"/>
      <w:jc w:val="both"/>
    </w:pPr>
    <w:rPr>
      <w:rFonts w:ascii="Calibri" w:hAnsi="Calibri" w:eastAsia="宋体" w:cs="Times New Roman"/>
      <w:kern w:val="2"/>
      <w:sz w:val="21"/>
      <w:szCs w:val="24"/>
      <w:lang w:val="en-US" w:eastAsia="zh-CN" w:bidi="ar-SA"/>
    </w:rPr>
  </w:style>
  <w:style w:type="paragraph" w:customStyle="1" w:styleId="289">
    <w:name w:val="正文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290">
    <w:name w:val="列出段落11"/>
    <w:basedOn w:val="1"/>
    <w:qFormat/>
    <w:uiPriority w:val="0"/>
    <w:pPr>
      <w:ind w:firstLine="420" w:firstLineChars="200"/>
    </w:pPr>
    <w:rPr>
      <w:kern w:val="0"/>
      <w:sz w:val="20"/>
      <w:szCs w:val="24"/>
    </w:rPr>
  </w:style>
  <w:style w:type="paragraph" w:customStyle="1" w:styleId="291">
    <w:name w:val="列出段落3"/>
    <w:basedOn w:val="1"/>
    <w:qFormat/>
    <w:uiPriority w:val="0"/>
    <w:pPr>
      <w:ind w:left="420" w:firstLine="420" w:firstLineChars="200"/>
    </w:pPr>
    <w:rPr>
      <w:kern w:val="0"/>
      <w:sz w:val="20"/>
    </w:rPr>
  </w:style>
  <w:style w:type="paragraph" w:customStyle="1" w:styleId="292">
    <w:name w:val="张世超样式-正文文本1"/>
    <w:basedOn w:val="1"/>
    <w:qFormat/>
    <w:uiPriority w:val="0"/>
    <w:pPr>
      <w:spacing w:beforeLines="50"/>
      <w:ind w:firstLine="200" w:firstLineChars="200"/>
    </w:pPr>
    <w:rPr>
      <w:rFonts w:ascii="Times New Roman" w:hAnsi="Times New Roman"/>
    </w:rPr>
  </w:style>
  <w:style w:type="paragraph" w:customStyle="1" w:styleId="293">
    <w:name w:val="文章正文 Char Char1"/>
    <w:basedOn w:val="1"/>
    <w:qFormat/>
    <w:uiPriority w:val="0"/>
    <w:pPr>
      <w:spacing w:beforeLines="40" w:line="360" w:lineRule="auto"/>
      <w:ind w:firstLine="420"/>
    </w:pPr>
    <w:rPr>
      <w:sz w:val="24"/>
      <w:szCs w:val="24"/>
    </w:rPr>
  </w:style>
  <w:style w:type="paragraph" w:customStyle="1" w:styleId="294">
    <w:name w:val="Fließtext"/>
    <w:basedOn w:val="1"/>
    <w:qFormat/>
    <w:uiPriority w:val="99"/>
    <w:pPr>
      <w:overflowPunct w:val="0"/>
      <w:autoSpaceDE w:val="0"/>
      <w:autoSpaceDN w:val="0"/>
      <w:adjustRightInd w:val="0"/>
      <w:textAlignment w:val="baseline"/>
    </w:pPr>
    <w:rPr>
      <w:kern w:val="28"/>
    </w:rPr>
  </w:style>
  <w:style w:type="paragraph" w:customStyle="1" w:styleId="295">
    <w:name w:val="正文 A"/>
    <w:qFormat/>
    <w:uiPriority w:val="0"/>
    <w:pPr>
      <w:widowControl w:val="0"/>
      <w:jc w:val="both"/>
    </w:pPr>
    <w:rPr>
      <w:rFonts w:ascii="Times New Roman" w:hAnsi="Times New Roman" w:eastAsia="Times New Roman" w:cs="Times New Roman"/>
      <w:color w:val="000000"/>
      <w:kern w:val="2"/>
      <w:sz w:val="21"/>
      <w:szCs w:val="21"/>
      <w:lang w:val="en-US" w:eastAsia="zh-CN" w:bidi="ar-SA"/>
    </w:rPr>
  </w:style>
  <w:style w:type="paragraph" w:customStyle="1" w:styleId="296">
    <w:name w:val="列出段落2"/>
    <w:basedOn w:val="1"/>
    <w:unhideWhenUsed/>
    <w:qFormat/>
    <w:uiPriority w:val="99"/>
    <w:pPr>
      <w:ind w:firstLine="420" w:firstLineChars="200"/>
    </w:pPr>
    <w:rPr>
      <w:rFonts w:asciiTheme="minorHAnsi" w:hAnsiTheme="minorHAnsi" w:eastAsiaTheme="minorEastAsia" w:cstheme="minorBidi"/>
      <w:szCs w:val="24"/>
    </w:rPr>
  </w:style>
  <w:style w:type="character" w:customStyle="1" w:styleId="297">
    <w:name w:val="不明显强调2"/>
    <w:qFormat/>
    <w:uiPriority w:val="0"/>
    <w:rPr>
      <w:i/>
      <w:iCs/>
      <w:color w:val="808080"/>
    </w:rPr>
  </w:style>
  <w:style w:type="paragraph" w:customStyle="1" w:styleId="298">
    <w:name w:val="Table Paragraph"/>
    <w:basedOn w:val="1"/>
    <w:qFormat/>
    <w:uiPriority w:val="1"/>
    <w:pPr>
      <w:autoSpaceDE w:val="0"/>
      <w:autoSpaceDN w:val="0"/>
      <w:ind w:left="107"/>
      <w:jc w:val="left"/>
    </w:pPr>
    <w:rPr>
      <w:rFonts w:ascii="Arial Unicode MS" w:hAnsi="Arial Unicode MS" w:eastAsia="Arial Unicode MS" w:cs="Arial Unicode MS"/>
      <w:kern w:val="0"/>
      <w:sz w:val="22"/>
      <w:szCs w:val="22"/>
      <w:lang w:val="zh-CN" w:bidi="zh-CN"/>
    </w:rPr>
  </w:style>
  <w:style w:type="character" w:customStyle="1" w:styleId="299">
    <w:name w:val="font71"/>
    <w:basedOn w:val="60"/>
    <w:qFormat/>
    <w:uiPriority w:val="0"/>
    <w:rPr>
      <w:rFonts w:hint="eastAsia" w:ascii="宋体" w:hAnsi="宋体" w:eastAsia="宋体" w:cs="宋体"/>
      <w:b/>
      <w:color w:val="000000"/>
      <w:sz w:val="28"/>
      <w:szCs w:val="28"/>
      <w:u w:val="none"/>
    </w:rPr>
  </w:style>
  <w:style w:type="character" w:customStyle="1" w:styleId="300">
    <w:name w:val="font51"/>
    <w:basedOn w:val="60"/>
    <w:qFormat/>
    <w:uiPriority w:val="0"/>
    <w:rPr>
      <w:rFonts w:hint="eastAsia" w:ascii="宋体" w:hAnsi="宋体" w:eastAsia="宋体" w:cs="宋体"/>
      <w:color w:val="000000"/>
      <w:sz w:val="24"/>
      <w:szCs w:val="24"/>
      <w:u w:val="none"/>
    </w:rPr>
  </w:style>
  <w:style w:type="character" w:customStyle="1" w:styleId="301">
    <w:name w:val="font41"/>
    <w:basedOn w:val="60"/>
    <w:qFormat/>
    <w:uiPriority w:val="0"/>
    <w:rPr>
      <w:rFonts w:hint="eastAsia" w:ascii="宋体" w:hAnsi="宋体" w:eastAsia="宋体" w:cs="宋体"/>
      <w:color w:val="000000"/>
      <w:sz w:val="24"/>
      <w:szCs w:val="24"/>
      <w:u w:val="single"/>
    </w:rPr>
  </w:style>
  <w:style w:type="character" w:customStyle="1" w:styleId="302">
    <w:name w:val="font151"/>
    <w:basedOn w:val="60"/>
    <w:qFormat/>
    <w:uiPriority w:val="0"/>
    <w:rPr>
      <w:rFonts w:hint="eastAsia" w:ascii="微软雅黑" w:hAnsi="微软雅黑" w:eastAsia="微软雅黑" w:cs="微软雅黑"/>
      <w:b/>
      <w:color w:val="000000"/>
      <w:sz w:val="24"/>
      <w:szCs w:val="24"/>
      <w:u w:val="none"/>
    </w:rPr>
  </w:style>
  <w:style w:type="character" w:customStyle="1" w:styleId="303">
    <w:name w:val="font01"/>
    <w:basedOn w:val="60"/>
    <w:qFormat/>
    <w:uiPriority w:val="0"/>
    <w:rPr>
      <w:rFonts w:hint="eastAsia" w:ascii="宋体" w:hAnsi="宋体" w:eastAsia="宋体" w:cs="宋体"/>
      <w:b/>
      <w:color w:val="000000"/>
      <w:sz w:val="24"/>
      <w:szCs w:val="24"/>
      <w:u w:val="none"/>
    </w:rPr>
  </w:style>
  <w:style w:type="character" w:customStyle="1" w:styleId="304">
    <w:name w:val="font31"/>
    <w:basedOn w:val="60"/>
    <w:qFormat/>
    <w:uiPriority w:val="0"/>
    <w:rPr>
      <w:rFonts w:hint="eastAsia" w:ascii="宋体" w:hAnsi="宋体" w:eastAsia="宋体" w:cs="宋体"/>
      <w:b/>
      <w:color w:val="000000"/>
      <w:sz w:val="28"/>
      <w:szCs w:val="28"/>
      <w:u w:val="none"/>
    </w:rPr>
  </w:style>
  <w:style w:type="character" w:customStyle="1" w:styleId="305">
    <w:name w:val="font61"/>
    <w:basedOn w:val="60"/>
    <w:qFormat/>
    <w:uiPriority w:val="0"/>
    <w:rPr>
      <w:rFonts w:hint="eastAsia" w:ascii="宋体" w:hAnsi="宋体" w:eastAsia="宋体" w:cs="宋体"/>
      <w:color w:val="000000"/>
      <w:sz w:val="24"/>
      <w:szCs w:val="24"/>
      <w:u w:val="none"/>
    </w:rPr>
  </w:style>
  <w:style w:type="paragraph" w:customStyle="1" w:styleId="306">
    <w:name w:val="Body Text First Indent 21"/>
    <w:basedOn w:val="1"/>
    <w:qFormat/>
    <w:uiPriority w:val="0"/>
    <w:pPr>
      <w:spacing w:after="120"/>
      <w:ind w:left="420" w:leftChars="200" w:firstLine="420"/>
    </w:pPr>
    <w:rPr>
      <w:rFonts w:ascii="Times New Roman" w:hAnsi="Times New Roman"/>
    </w:rPr>
  </w:style>
  <w:style w:type="paragraph" w:customStyle="1" w:styleId="307">
    <w:name w:val="表格文字"/>
    <w:basedOn w:val="1"/>
    <w:next w:val="4"/>
    <w:qFormat/>
    <w:uiPriority w:val="0"/>
    <w:pPr>
      <w:adjustRightInd w:val="0"/>
      <w:spacing w:line="420" w:lineRule="atLeast"/>
      <w:jc w:val="left"/>
      <w:textAlignment w:val="baseline"/>
    </w:pPr>
    <w:rPr>
      <w:kern w:val="0"/>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header2.xml" Type="http://schemas.openxmlformats.org/officeDocument/2006/relationships/header"/><Relationship Id="rId6" Target="footer2.xml" Type="http://schemas.openxmlformats.org/officeDocument/2006/relationships/footer"/><Relationship Id="rId7" Target="theme/theme1.xml" Type="http://schemas.openxmlformats.org/officeDocument/2006/relationships/theme"/><Relationship Id="rId8" Target="../customXml/item1.xml" Type="http://schemas.openxmlformats.org/officeDocument/2006/relationships/customXml"/><Relationship Id="rId9" Target="numbering.xml" Type="http://schemas.openxmlformats.org/officeDocument/2006/relationships/numberi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衢州市政府采购中心</Company>
  <Pages>67</Pages>
  <Words>5873</Words>
  <Characters>33477</Characters>
  <Lines>278</Lines>
  <Paragraphs>78</Paragraphs>
  <TotalTime>2</TotalTime>
  <ScaleCrop>false</ScaleCrop>
  <LinksUpToDate>false</LinksUpToDate>
  <CharactersWithSpaces>39272</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2020-06-16T21:46:00Z</dcterms:created>
  <dc:creator>W</dc:creator>
  <cp:lastModifiedBy>Administrator</cp:lastModifiedBy>
  <cp:lastPrinted>2021-03-16T09:58:00Z</cp:lastPrinted>
  <dcterms:modified xsi:type="dcterms:W3CDTF">2022-08-11T10:19:39Z</dcterms:modified>
  <cp:revision>7</cp:revision>
  <dc:title>政府采购招标文件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y fmtid="{D5CDD505-2E9C-101B-9397-08002B2CF9AE}" pid="3" name="ICV">
    <vt:lpwstr>5898F596AAF042E9908E5B6C32C2CD29</vt:lpwstr>
  </property>
</Properties>
</file>