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0" w:beforeLines="250"/>
        <w:jc w:val="center"/>
        <w:rPr>
          <w:rFonts w:ascii="仿宋_GB2312" w:eastAsia="仿宋_GB2312"/>
          <w:b/>
          <w:sz w:val="72"/>
          <w:szCs w:val="72"/>
        </w:rPr>
      </w:pPr>
      <w:r>
        <w:rPr>
          <w:rFonts w:hint="eastAsia" w:ascii="仿宋_GB2312" w:eastAsia="仿宋_GB2312"/>
          <w:b/>
          <w:sz w:val="72"/>
          <w:szCs w:val="72"/>
        </w:rPr>
        <w:t>政府采购公开招标文件</w:t>
      </w:r>
    </w:p>
    <w:p>
      <w:pPr>
        <w:jc w:val="cente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560" w:lineRule="exact"/>
        <w:ind w:left="2815" w:leftChars="609" w:hanging="1536" w:hangingChars="480"/>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eastAsia="zh-CN"/>
        </w:rPr>
        <w:t>衢州市公安局衢江分局公安机关办案功能区物联网管控系统及配套智能设备项目</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项目编号：</w:t>
      </w:r>
      <w:r>
        <w:rPr>
          <w:rFonts w:hint="eastAsia" w:ascii="仿宋_GB2312" w:eastAsia="仿宋_GB2312"/>
          <w:sz w:val="32"/>
          <w:szCs w:val="32"/>
          <w:lang w:eastAsia="zh-CN"/>
        </w:rPr>
        <w:t>QJCG202102</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委托单位：</w:t>
      </w:r>
      <w:r>
        <w:rPr>
          <w:rFonts w:hint="eastAsia" w:ascii="仿宋_GB2312" w:eastAsia="仿宋_GB2312"/>
          <w:sz w:val="32"/>
          <w:szCs w:val="32"/>
          <w:lang w:eastAsia="zh-CN"/>
        </w:rPr>
        <w:t>衢州市公安局衢江分局</w:t>
      </w: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rPr>
          <w:rFonts w:ascii="仿宋_GB2312" w:eastAsia="仿宋_GB2312"/>
          <w:sz w:val="32"/>
          <w:szCs w:val="32"/>
        </w:rPr>
      </w:pPr>
    </w:p>
    <w:p>
      <w:pPr>
        <w:ind w:firstLine="1280" w:firstLineChars="400"/>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采购机构：衢州市衢江区政府采购中心 </w:t>
      </w:r>
    </w:p>
    <w:p>
      <w:pPr>
        <w:jc w:val="center"/>
        <w:rPr>
          <w:rFonts w:ascii="仿宋_GB2312" w:hAnsi="宋体" w:eastAsia="仿宋_GB2312" w:cs="宋体"/>
          <w:sz w:val="32"/>
          <w:szCs w:val="32"/>
        </w:rPr>
        <w:sectPr>
          <w:headerReference r:id="rId3" w:type="default"/>
          <w:footerReference r:id="rId4" w:type="default"/>
          <w:pgSz w:w="11906" w:h="16838"/>
          <w:pgMar w:top="1389" w:right="1247" w:bottom="1389" w:left="1247" w:header="851" w:footer="992" w:gutter="397"/>
          <w:cols w:space="720" w:num="1"/>
          <w:docGrid w:linePitch="312" w:charSpace="0"/>
        </w:sectPr>
      </w:pPr>
      <w:r>
        <w:rPr>
          <w:rFonts w:hint="eastAsia" w:ascii="仿宋_GB2312" w:eastAsia="仿宋_GB2312"/>
          <w:sz w:val="32"/>
          <w:szCs w:val="32"/>
        </w:rPr>
        <w:t>二</w:t>
      </w:r>
      <w:r>
        <w:rPr>
          <w:rFonts w:hint="eastAsia" w:ascii="仿宋_GB2312" w:hAnsi="宋体" w:cs="宋体"/>
          <w:sz w:val="32"/>
          <w:szCs w:val="32"/>
        </w:rPr>
        <w:t>〇</w:t>
      </w:r>
      <w:r>
        <w:rPr>
          <w:rFonts w:hint="eastAsia" w:ascii="仿宋_GB2312" w:eastAsia="仿宋_GB2312"/>
          <w:sz w:val="32"/>
          <w:szCs w:val="32"/>
        </w:rPr>
        <w:t>二</w:t>
      </w:r>
      <w:r>
        <w:rPr>
          <w:rFonts w:hint="eastAsia" w:ascii="仿宋_GB2312" w:eastAsia="仿宋_GB2312"/>
          <w:sz w:val="32"/>
          <w:szCs w:val="32"/>
          <w:lang w:val="en-US" w:eastAsia="zh-CN"/>
        </w:rPr>
        <w:t>一</w:t>
      </w:r>
      <w:r>
        <w:rPr>
          <w:rFonts w:hint="eastAsia" w:ascii="仿宋_GB2312" w:hAnsi="宋体" w:eastAsia="仿宋_GB2312" w:cs="宋体"/>
          <w:sz w:val="32"/>
          <w:szCs w:val="32"/>
        </w:rPr>
        <w:t>年</w:t>
      </w:r>
      <w:r>
        <w:rPr>
          <w:rFonts w:hint="eastAsia" w:ascii="仿宋_GB2312" w:eastAsia="仿宋_GB2312"/>
          <w:sz w:val="32"/>
          <w:szCs w:val="32"/>
          <w:lang w:val="en-US" w:eastAsia="zh-CN"/>
        </w:rPr>
        <w:t>二</w:t>
      </w:r>
      <w:r>
        <w:rPr>
          <w:rFonts w:hint="eastAsia" w:ascii="仿宋_GB2312" w:hAnsi="宋体" w:eastAsia="仿宋_GB2312" w:cs="宋体"/>
          <w:sz w:val="32"/>
          <w:szCs w:val="32"/>
        </w:rPr>
        <w:t>月</w:t>
      </w:r>
    </w:p>
    <w:p>
      <w:pPr>
        <w:snapToGrid w:val="0"/>
        <w:jc w:val="center"/>
        <w:rPr>
          <w:rFonts w:ascii="仿宋_GB2312" w:hAnsi="宋体" w:eastAsia="仿宋_GB2312" w:cs="宋体"/>
          <w:b/>
          <w:sz w:val="28"/>
          <w:szCs w:val="28"/>
        </w:rPr>
      </w:pPr>
      <w:bookmarkStart w:id="0" w:name="_Toc350256312"/>
      <w:bookmarkStart w:id="1" w:name="_Toc354401488"/>
      <w:bookmarkStart w:id="2" w:name="_Toc322352981"/>
      <w:r>
        <w:rPr>
          <w:rFonts w:hint="eastAsia" w:ascii="仿宋_GB2312" w:hAnsi="宋体" w:eastAsia="仿宋_GB2312" w:cs="宋体"/>
          <w:b/>
          <w:sz w:val="40"/>
          <w:szCs w:val="32"/>
        </w:rPr>
        <w:t>目 录</w:t>
      </w:r>
    </w:p>
    <w:p>
      <w:pPr>
        <w:pStyle w:val="41"/>
        <w:tabs>
          <w:tab w:val="right" w:leader="dot" w:pos="9128"/>
        </w:tabs>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TOC \o "1-3" \h \z \u </w:instrText>
      </w:r>
      <w:r>
        <w:rPr>
          <w:rFonts w:hint="eastAsia" w:ascii="仿宋" w:hAnsi="仿宋" w:eastAsia="仿宋" w:cs="宋体"/>
          <w:sz w:val="28"/>
          <w:szCs w:val="28"/>
        </w:rPr>
        <w:fldChar w:fldCharType="separate"/>
      </w:r>
      <w:r>
        <w:rPr>
          <w:rFonts w:hint="eastAsia" w:ascii="仿宋" w:hAnsi="仿宋" w:eastAsia="仿宋" w:cs="宋体"/>
          <w:szCs w:val="28"/>
        </w:rPr>
        <w:fldChar w:fldCharType="begin"/>
      </w:r>
      <w:r>
        <w:rPr>
          <w:rFonts w:hint="eastAsia" w:ascii="仿宋" w:hAnsi="仿宋" w:eastAsia="仿宋" w:cs="宋体"/>
          <w:szCs w:val="28"/>
        </w:rPr>
        <w:instrText xml:space="preserve"> HYPERLINK \l _Toc17200 </w:instrText>
      </w:r>
      <w:r>
        <w:rPr>
          <w:rFonts w:hint="eastAsia" w:ascii="仿宋" w:hAnsi="仿宋" w:eastAsia="仿宋" w:cs="宋体"/>
          <w:szCs w:val="28"/>
        </w:rPr>
        <w:fldChar w:fldCharType="separate"/>
      </w:r>
      <w:r>
        <w:rPr>
          <w:rFonts w:hint="eastAsia" w:ascii="仿宋_GB2312" w:hAnsi="宋体" w:eastAsia="仿宋_GB2312" w:cs="宋体"/>
          <w:szCs w:val="32"/>
        </w:rPr>
        <w:t>第一章  招标公告</w:t>
      </w:r>
      <w:r>
        <w:tab/>
      </w:r>
      <w:r>
        <w:fldChar w:fldCharType="begin"/>
      </w:r>
      <w:r>
        <w:instrText xml:space="preserve"> PAGEREF _Toc17200 \h </w:instrText>
      </w:r>
      <w:r>
        <w:fldChar w:fldCharType="separate"/>
      </w:r>
      <w:r>
        <w:t>3</w:t>
      </w:r>
      <w:r>
        <w:fldChar w:fldCharType="end"/>
      </w:r>
      <w:r>
        <w:rPr>
          <w:rFonts w:hint="eastAsia" w:ascii="仿宋" w:hAnsi="仿宋" w:eastAsia="仿宋" w:cs="宋体"/>
          <w:szCs w:val="28"/>
        </w:rPr>
        <w:fldChar w:fldCharType="end"/>
      </w:r>
    </w:p>
    <w:p>
      <w:pPr>
        <w:pStyle w:val="41"/>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_Toc2060 </w:instrText>
      </w:r>
      <w:r>
        <w:rPr>
          <w:rFonts w:hint="eastAsia" w:ascii="仿宋" w:hAnsi="仿宋" w:eastAsia="仿宋" w:cs="宋体"/>
          <w:szCs w:val="28"/>
        </w:rPr>
        <w:fldChar w:fldCharType="separate"/>
      </w:r>
      <w:r>
        <w:rPr>
          <w:rFonts w:hint="eastAsia" w:ascii="仿宋_GB2312" w:hAnsi="宋体" w:eastAsia="仿宋_GB2312" w:cs="宋体"/>
          <w:szCs w:val="32"/>
        </w:rPr>
        <w:t>第二章  投标须知前附表及投标须知</w:t>
      </w:r>
      <w:r>
        <w:tab/>
      </w:r>
      <w:r>
        <w:fldChar w:fldCharType="begin"/>
      </w:r>
      <w:r>
        <w:instrText xml:space="preserve"> PAGEREF _Toc2060 \h </w:instrText>
      </w:r>
      <w:r>
        <w:fldChar w:fldCharType="separate"/>
      </w:r>
      <w:r>
        <w:t>6</w:t>
      </w:r>
      <w:r>
        <w:fldChar w:fldCharType="end"/>
      </w:r>
      <w:r>
        <w:rPr>
          <w:rFonts w:hint="eastAsia" w:ascii="仿宋" w:hAnsi="仿宋" w:eastAsia="仿宋" w:cs="宋体"/>
          <w:szCs w:val="28"/>
        </w:rPr>
        <w:fldChar w:fldCharType="end"/>
      </w:r>
    </w:p>
    <w:p>
      <w:pPr>
        <w:pStyle w:val="41"/>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_Toc8461 </w:instrText>
      </w:r>
      <w:r>
        <w:rPr>
          <w:rFonts w:hint="eastAsia" w:ascii="仿宋" w:hAnsi="仿宋" w:eastAsia="仿宋" w:cs="宋体"/>
          <w:szCs w:val="28"/>
        </w:rPr>
        <w:fldChar w:fldCharType="separate"/>
      </w:r>
      <w:r>
        <w:rPr>
          <w:rFonts w:ascii="仿宋_GB2312" w:hAnsi="宋体" w:eastAsia="仿宋_GB2312" w:cs="宋体"/>
          <w:szCs w:val="32"/>
        </w:rPr>
        <w:t xml:space="preserve">第三章 </w:t>
      </w:r>
      <w:r>
        <w:rPr>
          <w:rFonts w:hint="eastAsia" w:ascii="仿宋_GB2312" w:hAnsi="宋体" w:eastAsia="仿宋_GB2312" w:cs="宋体"/>
          <w:szCs w:val="32"/>
        </w:rPr>
        <w:t>采购内容及要求</w:t>
      </w:r>
      <w:r>
        <w:tab/>
      </w:r>
      <w:r>
        <w:fldChar w:fldCharType="begin"/>
      </w:r>
      <w:r>
        <w:instrText xml:space="preserve"> PAGEREF _Toc8461 \h </w:instrText>
      </w:r>
      <w:r>
        <w:fldChar w:fldCharType="separate"/>
      </w:r>
      <w:r>
        <w:t>2</w:t>
      </w:r>
      <w:r>
        <w:rPr>
          <w:rFonts w:hint="eastAsia"/>
          <w:lang w:val="en-US" w:eastAsia="zh-CN"/>
        </w:rPr>
        <w:t>1</w:t>
      </w:r>
      <w:r>
        <w:fldChar w:fldCharType="end"/>
      </w:r>
      <w:r>
        <w:rPr>
          <w:rFonts w:hint="eastAsia" w:ascii="仿宋" w:hAnsi="仿宋" w:eastAsia="仿宋" w:cs="宋体"/>
          <w:szCs w:val="28"/>
        </w:rPr>
        <w:fldChar w:fldCharType="end"/>
      </w:r>
    </w:p>
    <w:p>
      <w:pPr>
        <w:pStyle w:val="41"/>
        <w:tabs>
          <w:tab w:val="right" w:leader="dot" w:pos="9128"/>
        </w:tabs>
        <w:rPr>
          <w:rFonts w:hint="eastAsia"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_Toc14367 </w:instrText>
      </w:r>
      <w:r>
        <w:rPr>
          <w:rFonts w:hint="eastAsia" w:ascii="仿宋" w:hAnsi="仿宋" w:eastAsia="仿宋" w:cs="宋体"/>
          <w:szCs w:val="28"/>
        </w:rPr>
        <w:fldChar w:fldCharType="separate"/>
      </w:r>
      <w:r>
        <w:rPr>
          <w:rFonts w:hint="eastAsia" w:ascii="仿宋_GB2312" w:hAnsi="宋体" w:eastAsia="仿宋_GB2312" w:cs="宋体"/>
          <w:szCs w:val="32"/>
        </w:rPr>
        <w:t>第四章  合同文本</w:t>
      </w:r>
      <w:r>
        <w:tab/>
      </w:r>
      <w:r>
        <w:rPr>
          <w:rFonts w:hint="eastAsia"/>
          <w:lang w:val="en-US" w:eastAsia="zh-CN"/>
        </w:rPr>
        <w:t>3</w:t>
      </w:r>
      <w:r>
        <w:rPr>
          <w:rFonts w:hint="eastAsia" w:ascii="仿宋" w:hAnsi="仿宋" w:eastAsia="仿宋" w:cs="宋体"/>
          <w:szCs w:val="28"/>
        </w:rPr>
        <w:fldChar w:fldCharType="end"/>
      </w:r>
      <w:r>
        <w:rPr>
          <w:rFonts w:hint="eastAsia" w:ascii="仿宋" w:hAnsi="仿宋" w:eastAsia="仿宋" w:cs="宋体"/>
          <w:szCs w:val="28"/>
          <w:lang w:val="en-US" w:eastAsia="zh-CN"/>
        </w:rPr>
        <w:t>3</w:t>
      </w:r>
    </w:p>
    <w:p>
      <w:pPr>
        <w:pStyle w:val="41"/>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_Toc4751 </w:instrText>
      </w:r>
      <w:r>
        <w:rPr>
          <w:rFonts w:hint="eastAsia" w:ascii="仿宋" w:hAnsi="仿宋" w:eastAsia="仿宋" w:cs="宋体"/>
          <w:szCs w:val="28"/>
        </w:rPr>
        <w:fldChar w:fldCharType="separate"/>
      </w:r>
      <w:r>
        <w:rPr>
          <w:rFonts w:hint="eastAsia" w:ascii="仿宋_GB2312" w:hAnsi="宋体" w:eastAsia="仿宋_GB2312" w:cs="宋体"/>
          <w:szCs w:val="32"/>
        </w:rPr>
        <w:t>第五章  应提交的有关格式范例</w:t>
      </w:r>
      <w:r>
        <w:tab/>
      </w:r>
      <w:r>
        <w:fldChar w:fldCharType="begin"/>
      </w:r>
      <w:r>
        <w:instrText xml:space="preserve"> PAGEREF _Toc4751 \h </w:instrText>
      </w:r>
      <w:r>
        <w:fldChar w:fldCharType="separate"/>
      </w:r>
      <w:r>
        <w:t>3</w:t>
      </w:r>
      <w:r>
        <w:rPr>
          <w:rFonts w:hint="eastAsia"/>
          <w:lang w:val="en-US" w:eastAsia="zh-CN"/>
        </w:rPr>
        <w:t>8</w:t>
      </w:r>
      <w:r>
        <w:fldChar w:fldCharType="end"/>
      </w:r>
      <w:r>
        <w:rPr>
          <w:rFonts w:hint="eastAsia" w:ascii="仿宋" w:hAnsi="仿宋" w:eastAsia="仿宋" w:cs="宋体"/>
          <w:szCs w:val="28"/>
        </w:rPr>
        <w:fldChar w:fldCharType="end"/>
      </w:r>
    </w:p>
    <w:p>
      <w:pPr>
        <w:pStyle w:val="41"/>
        <w:tabs>
          <w:tab w:val="right" w:leader="dot" w:pos="9128"/>
        </w:tabs>
        <w:rPr>
          <w:rFonts w:hint="default"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_Toc21537 </w:instrText>
      </w:r>
      <w:r>
        <w:rPr>
          <w:rFonts w:hint="eastAsia" w:ascii="仿宋" w:hAnsi="仿宋" w:eastAsia="仿宋" w:cs="宋体"/>
          <w:szCs w:val="28"/>
        </w:rPr>
        <w:fldChar w:fldCharType="separate"/>
      </w:r>
      <w:r>
        <w:rPr>
          <w:rFonts w:hint="eastAsia" w:ascii="仿宋_GB2312" w:eastAsia="仿宋_GB2312" w:cs="宋体"/>
          <w:bCs/>
          <w:szCs w:val="36"/>
          <w:lang w:val="zh-CN"/>
        </w:rPr>
        <w:t>第六章评标办法及开标程序</w:t>
      </w:r>
      <w:r>
        <w:tab/>
      </w:r>
      <w:r>
        <w:rPr>
          <w:rFonts w:hint="eastAsia" w:ascii="仿宋" w:hAnsi="仿宋" w:eastAsia="仿宋" w:cs="宋体"/>
          <w:szCs w:val="28"/>
        </w:rPr>
        <w:fldChar w:fldCharType="end"/>
      </w:r>
      <w:r>
        <w:rPr>
          <w:rFonts w:hint="eastAsia" w:ascii="仿宋" w:hAnsi="仿宋" w:eastAsia="仿宋" w:cs="宋体"/>
          <w:szCs w:val="28"/>
          <w:lang w:val="en-US" w:eastAsia="zh-CN"/>
        </w:rPr>
        <w:t>52</w:t>
      </w:r>
    </w:p>
    <w:p>
      <w:pPr>
        <w:snapToGrid w:val="0"/>
        <w:spacing w:line="480" w:lineRule="exact"/>
        <w:jc w:val="center"/>
        <w:outlineLvl w:val="0"/>
        <w:rPr>
          <w:rFonts w:ascii="仿宋_GB2312" w:hAnsi="宋体" w:eastAsia="仿宋_GB2312" w:cs="宋体"/>
          <w:b/>
          <w:sz w:val="32"/>
          <w:szCs w:val="32"/>
        </w:rPr>
      </w:pPr>
      <w:r>
        <w:rPr>
          <w:rFonts w:hint="eastAsia" w:ascii="仿宋" w:hAnsi="仿宋" w:eastAsia="仿宋" w:cs="宋体"/>
          <w:szCs w:val="28"/>
        </w:rPr>
        <w:fldChar w:fldCharType="end"/>
      </w:r>
      <w:bookmarkEnd w:id="0"/>
      <w:bookmarkEnd w:id="1"/>
      <w:bookmarkEnd w:id="2"/>
      <w:bookmarkStart w:id="3" w:name="_Toc354491895"/>
      <w:bookmarkStart w:id="4" w:name="_Toc356371429"/>
      <w:bookmarkStart w:id="5" w:name="_Toc17200"/>
      <w:r>
        <w:rPr>
          <w:rFonts w:ascii="仿宋_GB2312" w:hAnsi="宋体" w:eastAsia="仿宋_GB2312" w:cs="宋体"/>
          <w:sz w:val="28"/>
          <w:szCs w:val="28"/>
        </w:rPr>
        <w:br w:type="page"/>
      </w:r>
      <w:r>
        <w:rPr>
          <w:rFonts w:hint="eastAsia" w:ascii="仿宋_GB2312" w:hAnsi="宋体" w:eastAsia="仿宋_GB2312" w:cs="宋体"/>
          <w:b/>
          <w:sz w:val="32"/>
          <w:szCs w:val="32"/>
        </w:rPr>
        <w:t xml:space="preserve">第一章  </w:t>
      </w:r>
      <w:bookmarkEnd w:id="3"/>
      <w:r>
        <w:rPr>
          <w:rFonts w:hint="eastAsia" w:ascii="仿宋_GB2312" w:hAnsi="宋体" w:eastAsia="仿宋_GB2312" w:cs="宋体"/>
          <w:b/>
          <w:sz w:val="32"/>
          <w:szCs w:val="32"/>
        </w:rPr>
        <w:t>招标公告</w:t>
      </w:r>
      <w:bookmarkEnd w:id="4"/>
      <w:bookmarkEnd w:id="5"/>
    </w:p>
    <w:p>
      <w:pPr>
        <w:jc w:val="center"/>
        <w:rPr>
          <w:rFonts w:ascii="仿宋_GB2312" w:hAnsi="宋体" w:eastAsia="仿宋_GB2312" w:cs="宋体"/>
          <w:b/>
          <w:sz w:val="32"/>
          <w:szCs w:val="32"/>
        </w:rPr>
      </w:pP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根据《中华人民共和国政府采购法》等有关规定，衢州市衢江区政府采购中心受</w:t>
      </w:r>
      <w:r>
        <w:rPr>
          <w:rFonts w:hint="eastAsia" w:ascii="仿宋_GB2312" w:eastAsia="仿宋_GB2312"/>
          <w:sz w:val="28"/>
          <w:szCs w:val="28"/>
          <w:lang w:eastAsia="zh-CN"/>
        </w:rPr>
        <w:t>衢州市公安局衢江分局</w:t>
      </w:r>
      <w:r>
        <w:rPr>
          <w:rFonts w:hint="eastAsia" w:ascii="仿宋_GB2312" w:eastAsia="仿宋_GB2312"/>
          <w:sz w:val="28"/>
          <w:szCs w:val="28"/>
        </w:rPr>
        <w:t>委托，就</w:t>
      </w:r>
      <w:r>
        <w:rPr>
          <w:rFonts w:hint="eastAsia" w:ascii="仿宋_GB2312" w:eastAsia="仿宋_GB2312"/>
          <w:sz w:val="28"/>
          <w:szCs w:val="28"/>
          <w:lang w:eastAsia="zh-CN"/>
        </w:rPr>
        <w:t>衢州市公安局衢江分局公安机关办案功能区物联网管控系统及配套智能设备项目</w:t>
      </w:r>
      <w:r>
        <w:rPr>
          <w:rFonts w:hint="eastAsia" w:ascii="仿宋_GB2312" w:eastAsia="仿宋_GB2312"/>
          <w:sz w:val="28"/>
          <w:szCs w:val="28"/>
        </w:rPr>
        <w:t>进行公开招标，欢迎国内合格的投标人前来投标。</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lang w:eastAsia="zh-CN"/>
        </w:rPr>
        <w:t>QJCG202102</w:t>
      </w:r>
    </w:p>
    <w:p>
      <w:pPr>
        <w:snapToGrid w:val="0"/>
        <w:spacing w:line="480" w:lineRule="exact"/>
        <w:ind w:firstLine="1400" w:firstLineChars="50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衢州市公安局衢江分局公安机关办案功能区物联网管控系统及配套智能设备项目</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、招标项目概况：</w:t>
      </w:r>
    </w:p>
    <w:tbl>
      <w:tblPr>
        <w:tblStyle w:val="60"/>
        <w:tblW w:w="7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81"/>
        <w:gridCol w:w="900"/>
        <w:gridCol w:w="90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38"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2781"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90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2291"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38"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781"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hint="eastAsia" w:ascii="仿宋_GB2312" w:hAnsi="宋体" w:eastAsia="仿宋_GB2312" w:cs="宋体"/>
                <w:kern w:val="0"/>
                <w:sz w:val="28"/>
                <w:szCs w:val="28"/>
                <w:lang w:eastAsia="zh-CN"/>
              </w:rPr>
            </w:pPr>
            <w:r>
              <w:rPr>
                <w:rFonts w:hint="eastAsia" w:ascii="仿宋_GB2312" w:eastAsia="仿宋_GB2312"/>
                <w:sz w:val="28"/>
                <w:szCs w:val="28"/>
                <w:lang w:eastAsia="zh-CN"/>
              </w:rPr>
              <w:t>衢州市公安局衢江分局公安机关办案功能区物联网管控系统及配套智能设备项目</w:t>
            </w:r>
          </w:p>
        </w:tc>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0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批</w:t>
            </w:r>
          </w:p>
        </w:tc>
        <w:tc>
          <w:tcPr>
            <w:tcW w:w="2291" w:type="dxa"/>
            <w:tcBorders>
              <w:top w:val="single" w:color="auto" w:sz="4" w:space="0"/>
              <w:left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96</w:t>
            </w:r>
            <w:r>
              <w:rPr>
                <w:rFonts w:hint="eastAsia" w:ascii="仿宋_GB2312" w:hAnsi="宋体" w:eastAsia="仿宋_GB2312" w:cs="宋体"/>
                <w:kern w:val="0"/>
                <w:sz w:val="28"/>
                <w:szCs w:val="28"/>
              </w:rPr>
              <w:t>万元</w:t>
            </w:r>
          </w:p>
        </w:tc>
      </w:tr>
    </w:tbl>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详细技术要求见招标文件第三章。</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、投标人资格要求:</w:t>
      </w:r>
    </w:p>
    <w:p>
      <w:pPr>
        <w:numPr>
          <w:ilvl w:val="1"/>
          <w:numId w:val="13"/>
        </w:numPr>
        <w:snapToGrid w:val="0"/>
        <w:spacing w:line="460" w:lineRule="exact"/>
        <w:rPr>
          <w:rFonts w:ascii="仿宋_GB2312" w:eastAsia="仿宋_GB2312"/>
          <w:sz w:val="28"/>
          <w:szCs w:val="28"/>
        </w:rPr>
      </w:pPr>
      <w:r>
        <w:rPr>
          <w:rFonts w:hint="eastAsia" w:ascii="仿宋_GB2312" w:eastAsia="仿宋_GB2312"/>
          <w:sz w:val="28"/>
          <w:szCs w:val="28"/>
        </w:rPr>
        <w:t>符合《中华人民共和国政府采购法》第二十二条要求,且必须为未被列入“信用中国”网站(</w:t>
      </w:r>
      <w:r>
        <w:fldChar w:fldCharType="begin"/>
      </w:r>
      <w:r>
        <w:instrText xml:space="preserve"> HYPERLINK "http://www.creditchina.gov.cn/" \t "_blank" </w:instrText>
      </w:r>
      <w:r>
        <w:fldChar w:fldCharType="separate"/>
      </w:r>
      <w:r>
        <w:rPr>
          <w:rStyle w:val="70"/>
          <w:rFonts w:hint="eastAsia" w:ascii="仿宋_GB2312" w:eastAsia="仿宋_GB2312"/>
          <w:color w:val="auto"/>
          <w:sz w:val="28"/>
          <w:szCs w:val="28"/>
        </w:rPr>
        <w:t>www.creditchina.gov.cn</w:t>
      </w:r>
      <w:r>
        <w:rPr>
          <w:rStyle w:val="70"/>
          <w:rFonts w:hint="eastAsia" w:ascii="仿宋_GB2312" w:eastAsia="仿宋_GB2312"/>
          <w:color w:val="auto"/>
          <w:sz w:val="28"/>
          <w:szCs w:val="28"/>
        </w:rPr>
        <w:fldChar w:fldCharType="end"/>
      </w:r>
      <w:r>
        <w:rPr>
          <w:rFonts w:hint="eastAsia" w:ascii="仿宋_GB2312" w:eastAsia="仿宋_GB2312"/>
          <w:sz w:val="28"/>
          <w:szCs w:val="28"/>
        </w:rPr>
        <w:t>)、中国政府采购网(</w:t>
      </w:r>
      <w:r>
        <w:fldChar w:fldCharType="begin"/>
      </w:r>
      <w:r>
        <w:instrText xml:space="preserve"> HYPERLINK "http://www.ccgp.gov.cn/" \t "_blank" </w:instrText>
      </w:r>
      <w:r>
        <w:fldChar w:fldCharType="separate"/>
      </w:r>
      <w:r>
        <w:rPr>
          <w:rStyle w:val="70"/>
          <w:rFonts w:hint="eastAsia" w:ascii="仿宋_GB2312" w:eastAsia="仿宋_GB2312"/>
          <w:color w:val="auto"/>
          <w:sz w:val="28"/>
          <w:szCs w:val="28"/>
        </w:rPr>
        <w:t>www.ccgp.gov.cn</w:t>
      </w:r>
      <w:r>
        <w:rPr>
          <w:rStyle w:val="70"/>
          <w:rFonts w:hint="eastAsia" w:ascii="仿宋_GB2312" w:eastAsia="仿宋_GB2312"/>
          <w:color w:val="auto"/>
          <w:sz w:val="28"/>
          <w:szCs w:val="28"/>
        </w:rPr>
        <w:fldChar w:fldCharType="end"/>
      </w:r>
      <w:r>
        <w:rPr>
          <w:rFonts w:hint="eastAsia" w:ascii="仿宋_GB2312" w:eastAsia="仿宋_GB2312"/>
          <w:sz w:val="28"/>
          <w:szCs w:val="28"/>
        </w:rPr>
        <w:t>)渠道信用记录失信被执行人、重大税收违法案件当事人名单、政府采购严重违法失信行为记录名单的投标人。</w:t>
      </w:r>
    </w:p>
    <w:p>
      <w:pPr>
        <w:numPr>
          <w:ilvl w:val="1"/>
          <w:numId w:val="13"/>
        </w:numPr>
        <w:snapToGrid w:val="0"/>
        <w:spacing w:line="460" w:lineRule="exact"/>
        <w:rPr>
          <w:rFonts w:ascii="仿宋_GB2312" w:eastAsia="仿宋_GB2312"/>
          <w:sz w:val="28"/>
          <w:szCs w:val="28"/>
        </w:rPr>
      </w:pPr>
      <w:r>
        <w:rPr>
          <w:rFonts w:hint="eastAsia" w:ascii="仿宋_GB2312" w:eastAsia="仿宋_GB2312"/>
          <w:sz w:val="28"/>
          <w:szCs w:val="28"/>
        </w:rPr>
        <w:t>在中华人民共和国境内注册，能承担本项目的投标人,分公司参与投标的，需提供总公司授权书和总公司的《企业法人营业执照》</w:t>
      </w:r>
      <w:r>
        <w:rPr>
          <w:rFonts w:hint="eastAsia" w:ascii="仿宋_GB2312" w:eastAsia="仿宋_GB2312"/>
          <w:sz w:val="28"/>
          <w:szCs w:val="28"/>
          <w:lang w:val="en-US" w:eastAsia="zh-CN"/>
        </w:rPr>
        <w:t>原件扫描</w:t>
      </w:r>
      <w:r>
        <w:rPr>
          <w:rFonts w:hint="eastAsia" w:ascii="仿宋_GB2312" w:eastAsia="仿宋_GB2312"/>
          <w:sz w:val="28"/>
          <w:szCs w:val="28"/>
        </w:rPr>
        <w:t>件。</w:t>
      </w:r>
    </w:p>
    <w:p>
      <w:pPr>
        <w:numPr>
          <w:ilvl w:val="0"/>
          <w:numId w:val="0"/>
        </w:numPr>
        <w:snapToGrid w:val="0"/>
        <w:spacing w:line="460" w:lineRule="exact"/>
        <w:ind w:firstLine="560" w:firstLineChars="200"/>
        <w:rPr>
          <w:rFonts w:hint="eastAsia" w:eastAsia="宋体"/>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单位负责人为同一人或者存在直接控股、管理关系的不同投标人，不得</w:t>
      </w:r>
      <w:r>
        <w:rPr>
          <w:rFonts w:hint="eastAsia" w:ascii="仿宋_GB2312" w:eastAsia="仿宋_GB2312"/>
          <w:sz w:val="28"/>
          <w:szCs w:val="28"/>
          <w:lang w:val="en-US" w:eastAsia="zh-CN"/>
        </w:rPr>
        <w:t>同时</w:t>
      </w:r>
      <w:r>
        <w:rPr>
          <w:rFonts w:hint="eastAsia" w:ascii="仿宋_GB2312" w:eastAsia="仿宋_GB2312"/>
          <w:sz w:val="28"/>
          <w:szCs w:val="28"/>
        </w:rPr>
        <w:t>参加同一合同项下的政府采购活动</w:t>
      </w:r>
      <w:r>
        <w:rPr>
          <w:rFonts w:hint="eastAsia" w:ascii="仿宋_GB2312" w:eastAsia="仿宋_GB2312"/>
          <w:sz w:val="28"/>
          <w:szCs w:val="28"/>
          <w:lang w:eastAsia="zh-CN"/>
        </w:rPr>
        <w:t>。</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、获取招标文件方式</w:t>
      </w:r>
    </w:p>
    <w:p>
      <w:pPr>
        <w:spacing w:line="500" w:lineRule="exact"/>
        <w:ind w:left="567"/>
        <w:rPr>
          <w:rFonts w:ascii="仿宋_GB2312" w:eastAsia="仿宋_GB2312"/>
          <w:sz w:val="28"/>
          <w:szCs w:val="28"/>
        </w:rPr>
      </w:pPr>
      <w:r>
        <w:rPr>
          <w:rFonts w:hint="eastAsia" w:ascii="仿宋_GB2312" w:eastAsia="仿宋_GB2312"/>
          <w:sz w:val="28"/>
          <w:szCs w:val="28"/>
        </w:rPr>
        <w:t>1．获取时间：公告发布之日起至投标文件递交截止时间前。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本项目无需报名。已在浙江省政府采购网注册的正式供应商，可以登陆https://login.zcygov.cn/login进行网上获取招标文件。招标文件由投标人在浙江政府采购网（http://zfcg.czt.zj.gov.cn）免费下载。招标公告附件里的招标文件仅供阅览使用，用政采云账号登录浙江政府采购网并点击获取本项目招标文件为依法获取招标文件的方式。</w:t>
      </w:r>
    </w:p>
    <w:p>
      <w:pPr>
        <w:pStyle w:val="59"/>
        <w:rPr>
          <w:rFonts w:ascii="仿宋_GB2312" w:eastAsia="仿宋_GB2312" w:cs="Times New Roman"/>
          <w:sz w:val="28"/>
          <w:szCs w:val="28"/>
        </w:rPr>
      </w:pPr>
      <w:r>
        <w:rPr>
          <w:rFonts w:hint="eastAsia" w:ascii="仿宋_GB2312" w:eastAsia="仿宋_GB2312" w:cs="Times New Roman"/>
          <w:sz w:val="28"/>
          <w:szCs w:val="28"/>
        </w:rPr>
        <w:t>五、投标说明</w:t>
      </w:r>
    </w:p>
    <w:p>
      <w:pPr>
        <w:pStyle w:val="59"/>
        <w:rPr>
          <w:rFonts w:ascii="仿宋_GB2312" w:eastAsia="仿宋_GB2312" w:cs="Times New Roman"/>
          <w:sz w:val="28"/>
          <w:szCs w:val="28"/>
        </w:rPr>
      </w:pPr>
      <w:r>
        <w:rPr>
          <w:rFonts w:hint="eastAsia" w:ascii="仿宋_GB2312" w:eastAsia="仿宋_GB2312" w:cs="Times New Roman"/>
          <w:sz w:val="28"/>
          <w:szCs w:val="28"/>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59"/>
        <w:rPr>
          <w:rFonts w:ascii="仿宋_GB2312" w:eastAsia="仿宋_GB2312" w:cs="Times New Roman"/>
          <w:sz w:val="28"/>
          <w:szCs w:val="28"/>
        </w:rPr>
      </w:pPr>
      <w:r>
        <w:rPr>
          <w:rFonts w:hint="eastAsia" w:ascii="仿宋_GB2312" w:eastAsia="仿宋_GB2312" w:cs="Times New Roman"/>
          <w:sz w:val="28"/>
          <w:szCs w:val="28"/>
        </w:rPr>
        <w:t>2、投标人应在开标前完成CA数字证书办理。（办理流程详见http://zfcg.czt.zj.gov.cn/bidClientTemplate/2019-05-27/12945.html）。完成CA数字证书办理预计一周左右，建议各投标人抓紧时间办理。</w:t>
      </w:r>
    </w:p>
    <w:p>
      <w:pPr>
        <w:pStyle w:val="59"/>
        <w:rPr>
          <w:rFonts w:ascii="仿宋_GB2312" w:eastAsia="仿宋_GB2312" w:cs="Times New Roman"/>
          <w:sz w:val="28"/>
          <w:szCs w:val="28"/>
        </w:rPr>
      </w:pPr>
      <w:r>
        <w:rPr>
          <w:rFonts w:hint="eastAsia" w:ascii="仿宋_GB2312" w:eastAsia="仿宋_GB2312" w:cs="Times New Roman"/>
          <w:sz w:val="28"/>
          <w:szCs w:val="28"/>
        </w:rPr>
        <w:t>3、投标人通过政采云平台电子投标工具制作投标文件，电子投标工具请供应商自行前往浙江省政府采购网下载并安装，（下载网址：http://zfcg.czt.zj.gov.cn/bidClientTemplate/2019-05-27/12946.html）。</w:t>
      </w:r>
    </w:p>
    <w:p>
      <w:pPr>
        <w:pStyle w:val="59"/>
        <w:rPr>
          <w:rFonts w:ascii="仿宋_GB2312" w:eastAsia="仿宋_GB2312" w:cs="Times New Roman"/>
          <w:sz w:val="28"/>
          <w:szCs w:val="28"/>
        </w:rPr>
      </w:pPr>
      <w:r>
        <w:rPr>
          <w:rFonts w:hint="eastAsia" w:ascii="仿宋_GB2312" w:eastAsia="仿宋_GB2312" w:cs="Times New Roman"/>
          <w:sz w:val="28"/>
          <w:szCs w:val="28"/>
        </w:rPr>
        <w:t>4、本项目采用远程异地开评标，投标人</w:t>
      </w:r>
      <w:r>
        <w:rPr>
          <w:rFonts w:hint="eastAsia" w:ascii="仿宋_GB2312" w:eastAsia="仿宋_GB2312" w:cs="Times New Roman"/>
          <w:sz w:val="28"/>
          <w:szCs w:val="28"/>
          <w:lang w:val="en-US" w:eastAsia="zh-CN"/>
        </w:rPr>
        <w:t>可以不</w:t>
      </w:r>
      <w:r>
        <w:rPr>
          <w:rFonts w:hint="eastAsia" w:ascii="仿宋_GB2312" w:eastAsia="仿宋_GB2312" w:cs="Times New Roman"/>
          <w:sz w:val="28"/>
          <w:szCs w:val="28"/>
        </w:rPr>
        <w:t>到现场投标，投标截止时间后投标人凭CA数字证书完成投标文件解密。投标人的联系电话在投标当天保持通信畅通，因通信问题无法联系到投标人造成的后果由投标人自行承担。</w:t>
      </w:r>
    </w:p>
    <w:p>
      <w:pPr>
        <w:snapToGrid w:val="0"/>
        <w:spacing w:line="460" w:lineRule="exact"/>
        <w:ind w:left="567"/>
        <w:rPr>
          <w:rFonts w:ascii="仿宋_GB2312" w:hAnsi="宋体" w:eastAsia="仿宋_GB2312" w:cs="宋体"/>
          <w:sz w:val="28"/>
          <w:szCs w:val="28"/>
        </w:rPr>
      </w:pPr>
      <w:r>
        <w:rPr>
          <w:rFonts w:hint="eastAsia" w:ascii="仿宋_GB2312" w:eastAsia="仿宋_GB2312"/>
          <w:sz w:val="28"/>
          <w:szCs w:val="28"/>
          <w:highlight w:val="lightGray"/>
        </w:rPr>
        <w:t>六</w:t>
      </w:r>
      <w:r>
        <w:rPr>
          <w:rFonts w:hint="eastAsia" w:ascii="仿宋_GB2312" w:eastAsia="仿宋_GB2312"/>
          <w:sz w:val="28"/>
          <w:szCs w:val="28"/>
        </w:rPr>
        <w:t>、投标文件递交截止时间：202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03</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w:t>
      </w:r>
      <w:r>
        <w:rPr>
          <w:rFonts w:hint="eastAsia" w:ascii="仿宋_GB2312"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60" w:lineRule="exact"/>
        <w:ind w:left="567"/>
        <w:rPr>
          <w:rFonts w:ascii="仿宋_GB2312" w:eastAsia="仿宋_GB2312"/>
          <w:sz w:val="28"/>
          <w:szCs w:val="28"/>
        </w:rPr>
      </w:pPr>
      <w:r>
        <w:rPr>
          <w:rFonts w:hint="eastAsia" w:ascii="仿宋_GB2312" w:eastAsia="仿宋_GB2312"/>
          <w:sz w:val="28"/>
          <w:szCs w:val="28"/>
          <w:highlight w:val="lightGray"/>
        </w:rPr>
        <w:t>七</w:t>
      </w:r>
      <w:r>
        <w:rPr>
          <w:rFonts w:hint="eastAsia" w:ascii="仿宋_GB2312" w:eastAsia="仿宋_GB2312"/>
          <w:sz w:val="28"/>
          <w:szCs w:val="28"/>
        </w:rPr>
        <w:t>、开标时间：202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03</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w:t>
      </w:r>
      <w:r>
        <w:rPr>
          <w:rFonts w:hint="eastAsia" w:ascii="仿宋_GB2312"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p>
    <w:p>
      <w:pPr>
        <w:snapToGrid w:val="0"/>
        <w:spacing w:line="460" w:lineRule="exact"/>
        <w:ind w:left="568"/>
        <w:rPr>
          <w:rFonts w:ascii="仿宋_GB2312" w:eastAsia="仿宋_GB2312"/>
          <w:sz w:val="28"/>
          <w:szCs w:val="28"/>
        </w:rPr>
      </w:pPr>
      <w:r>
        <w:rPr>
          <w:rFonts w:hint="eastAsia" w:ascii="仿宋_GB2312" w:eastAsia="仿宋_GB2312"/>
          <w:sz w:val="28"/>
          <w:szCs w:val="28"/>
        </w:rPr>
        <w:t>八、开标地点： 衢州市衢江区公共资源交易中心第</w:t>
      </w:r>
      <w:r>
        <w:rPr>
          <w:rFonts w:hint="eastAsia" w:ascii="仿宋_GB2312" w:eastAsia="仿宋_GB2312"/>
          <w:sz w:val="28"/>
          <w:szCs w:val="28"/>
          <w:lang w:val="en-US" w:eastAsia="zh-CN"/>
        </w:rPr>
        <w:t>一</w:t>
      </w:r>
      <w:r>
        <w:rPr>
          <w:rFonts w:hint="eastAsia" w:ascii="仿宋_GB2312" w:eastAsia="仿宋_GB2312"/>
          <w:sz w:val="28"/>
          <w:szCs w:val="28"/>
        </w:rPr>
        <w:t>开标厅（衢州市衢江区振兴东路268号六楼）</w:t>
      </w:r>
    </w:p>
    <w:p>
      <w:pPr>
        <w:snapToGrid w:val="0"/>
        <w:spacing w:line="460" w:lineRule="exact"/>
        <w:ind w:left="710"/>
        <w:rPr>
          <w:rFonts w:ascii="仿宋_GB2312" w:eastAsia="仿宋_GB2312"/>
          <w:sz w:val="28"/>
          <w:szCs w:val="28"/>
        </w:rPr>
      </w:pPr>
      <w:r>
        <w:rPr>
          <w:rFonts w:hint="eastAsia" w:ascii="仿宋_GB2312" w:eastAsia="仿宋_GB2312"/>
          <w:sz w:val="28"/>
          <w:szCs w:val="28"/>
        </w:rPr>
        <w:t>九、投标保证金</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本项目无需缴纳投标保证金</w:t>
      </w:r>
    </w:p>
    <w:p>
      <w:pPr>
        <w:snapToGrid w:val="0"/>
        <w:spacing w:line="460" w:lineRule="exact"/>
        <w:ind w:left="710"/>
        <w:rPr>
          <w:rFonts w:ascii="仿宋_GB2312" w:eastAsia="仿宋_GB2312"/>
          <w:sz w:val="28"/>
          <w:szCs w:val="28"/>
        </w:rPr>
      </w:pPr>
      <w:r>
        <w:rPr>
          <w:rFonts w:hint="eastAsia" w:ascii="仿宋_GB2312" w:eastAsia="仿宋_GB2312"/>
          <w:sz w:val="28"/>
          <w:szCs w:val="28"/>
        </w:rPr>
        <w:t>十、</w:t>
      </w:r>
      <w:r>
        <w:rPr>
          <w:rFonts w:hint="eastAsia" w:ascii="仿宋_GB2312" w:hAnsi="宋体" w:eastAsia="仿宋_GB2312" w:cs="宋体"/>
          <w:sz w:val="28"/>
          <w:szCs w:val="28"/>
        </w:rPr>
        <w:t>质疑和投诉</w:t>
      </w:r>
    </w:p>
    <w:p>
      <w:pPr>
        <w:snapToGrid w:val="0"/>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投标人如认为招标文件、采购过程和中标结果使自身的合法权益受到损害的，可以在知道或者应知其权益受到损害之日起七个工作日内，以书面形式向采购人提出质疑（联系人：</w:t>
      </w:r>
      <w:r>
        <w:rPr>
          <w:rFonts w:hint="eastAsia" w:ascii="仿宋_GB2312" w:hAnsi="宋体" w:eastAsia="仿宋_GB2312" w:cs="宋体"/>
          <w:sz w:val="28"/>
          <w:szCs w:val="28"/>
          <w:lang w:val="en-US" w:eastAsia="zh-CN"/>
        </w:rPr>
        <w:t>方志军</w:t>
      </w:r>
      <w:r>
        <w:rPr>
          <w:rFonts w:hint="eastAsia" w:ascii="仿宋_GB2312" w:hAnsi="宋体" w:eastAsia="仿宋_GB2312" w:cs="宋体"/>
          <w:sz w:val="28"/>
          <w:szCs w:val="28"/>
        </w:rPr>
        <w:t>，电话：0570-</w:t>
      </w:r>
      <w:r>
        <w:rPr>
          <w:rFonts w:hint="eastAsia" w:ascii="仿宋_GB2312" w:hAnsi="宋体" w:eastAsia="仿宋_GB2312" w:cs="宋体"/>
          <w:sz w:val="28"/>
          <w:szCs w:val="28"/>
          <w:lang w:val="en-US" w:eastAsia="zh-CN"/>
        </w:rPr>
        <w:t>3689538</w:t>
      </w:r>
      <w:r>
        <w:rPr>
          <w:rFonts w:hint="eastAsia" w:ascii="仿宋_GB2312" w:hAnsi="宋体" w:eastAsia="仿宋_GB2312" w:cs="宋体"/>
          <w:sz w:val="28"/>
          <w:szCs w:val="28"/>
        </w:rPr>
        <w:t>）；投标人对采购人的质疑答复不满意或者采购人未在规定时间内作出答复的，可以在答复期满后十五个工作日内向衢州市衢江区财政局政府采购监管科投诉（联系人：</w:t>
      </w:r>
      <w:r>
        <w:rPr>
          <w:rFonts w:hint="eastAsia" w:ascii="仿宋_GB2312" w:eastAsia="仿宋_GB2312"/>
          <w:sz w:val="28"/>
          <w:szCs w:val="28"/>
        </w:rPr>
        <w:t>杨女士</w:t>
      </w:r>
      <w:r>
        <w:rPr>
          <w:rFonts w:hint="eastAsia" w:ascii="仿宋_GB2312" w:hAnsi="宋体" w:eastAsia="仿宋_GB2312" w:cs="宋体"/>
          <w:sz w:val="28"/>
          <w:szCs w:val="28"/>
        </w:rPr>
        <w:t>；电话：0570-8762709）。</w:t>
      </w:r>
    </w:p>
    <w:p>
      <w:pPr>
        <w:snapToGrid w:val="0"/>
        <w:spacing w:line="460" w:lineRule="exact"/>
        <w:ind w:left="567"/>
        <w:rPr>
          <w:rFonts w:ascii="仿宋_GB2312" w:hAnsi="宋体" w:eastAsia="仿宋_GB2312" w:cs="宋体"/>
          <w:sz w:val="28"/>
          <w:szCs w:val="28"/>
        </w:rPr>
      </w:pPr>
      <w:r>
        <w:rPr>
          <w:rFonts w:hint="eastAsia" w:ascii="仿宋_GB2312" w:hAnsi="宋体" w:eastAsia="仿宋_GB2312" w:cs="宋体"/>
          <w:sz w:val="28"/>
          <w:szCs w:val="28"/>
        </w:rPr>
        <w:t>十</w:t>
      </w:r>
      <w:r>
        <w:rPr>
          <w:rFonts w:hint="eastAsia" w:ascii="仿宋_GB2312" w:hAnsi="宋体" w:eastAsia="仿宋_GB2312" w:cs="宋体"/>
          <w:sz w:val="28"/>
          <w:szCs w:val="28"/>
          <w:lang w:val="en-US" w:eastAsia="zh-CN"/>
        </w:rPr>
        <w:t>一</w:t>
      </w:r>
      <w:r>
        <w:rPr>
          <w:rFonts w:hint="eastAsia" w:ascii="仿宋_GB2312" w:hAnsi="宋体" w:eastAsia="仿宋_GB2312" w:cs="宋体"/>
          <w:sz w:val="28"/>
          <w:szCs w:val="28"/>
        </w:rPr>
        <w:t>、</w:t>
      </w:r>
      <w:r>
        <w:rPr>
          <w:rFonts w:hint="eastAsia" w:ascii="仿宋_GB2312" w:eastAsia="仿宋_GB2312"/>
          <w:sz w:val="28"/>
          <w:szCs w:val="28"/>
        </w:rPr>
        <w:t>公告期限：本招标公告自发布之日起公告期限为5个工作日。</w:t>
      </w:r>
    </w:p>
    <w:p>
      <w:pPr>
        <w:snapToGrid w:val="0"/>
        <w:spacing w:line="460" w:lineRule="exact"/>
        <w:ind w:left="567"/>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二</w:t>
      </w:r>
      <w:r>
        <w:rPr>
          <w:rFonts w:hint="eastAsia" w:ascii="仿宋_GB2312" w:eastAsia="仿宋_GB2312"/>
          <w:sz w:val="28"/>
          <w:szCs w:val="28"/>
        </w:rPr>
        <w:t>、联系方式</w:t>
      </w:r>
    </w:p>
    <w:p>
      <w:pPr>
        <w:snapToGrid w:val="0"/>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采购人：</w:t>
      </w:r>
      <w:r>
        <w:rPr>
          <w:rFonts w:hint="eastAsia" w:ascii="仿宋_GB2312" w:eastAsia="仿宋_GB2312"/>
          <w:sz w:val="28"/>
          <w:szCs w:val="28"/>
          <w:lang w:eastAsia="zh-CN"/>
        </w:rPr>
        <w:t>衢州市公安局衢江分局</w:t>
      </w:r>
    </w:p>
    <w:p>
      <w:pPr>
        <w:snapToGrid w:val="0"/>
        <w:spacing w:line="460" w:lineRule="exact"/>
        <w:ind w:firstLine="560" w:firstLineChars="200"/>
        <w:rPr>
          <w:rFonts w:hint="eastAsia" w:ascii="仿宋_GB2312" w:eastAsia="仿宋_GB2312"/>
          <w:sz w:val="28"/>
          <w:szCs w:val="28"/>
          <w:lang w:val="en-US"/>
        </w:rPr>
      </w:pPr>
      <w:r>
        <w:rPr>
          <w:rFonts w:hint="eastAsia" w:ascii="仿宋_GB2312" w:eastAsia="仿宋_GB2312"/>
          <w:sz w:val="28"/>
          <w:szCs w:val="28"/>
        </w:rPr>
        <w:t>联系人：</w:t>
      </w:r>
      <w:r>
        <w:rPr>
          <w:rFonts w:hint="eastAsia" w:ascii="仿宋_GB2312" w:eastAsia="仿宋_GB2312"/>
          <w:sz w:val="28"/>
          <w:szCs w:val="28"/>
          <w:lang w:val="en-US" w:eastAsia="zh-CN"/>
        </w:rPr>
        <w:t>方志军</w:t>
      </w:r>
      <w:r>
        <w:rPr>
          <w:rFonts w:hint="eastAsia" w:ascii="仿宋_GB2312" w:eastAsia="仿宋_GB2312"/>
          <w:sz w:val="28"/>
          <w:szCs w:val="28"/>
        </w:rPr>
        <w:t>，联系电话：0570-</w:t>
      </w:r>
      <w:r>
        <w:rPr>
          <w:rFonts w:hint="eastAsia" w:ascii="仿宋_GB2312" w:eastAsia="仿宋_GB2312"/>
          <w:sz w:val="28"/>
          <w:szCs w:val="28"/>
          <w:lang w:val="en-US" w:eastAsia="zh-CN"/>
        </w:rPr>
        <w:t>3689538</w:t>
      </w:r>
    </w:p>
    <w:p>
      <w:pPr>
        <w:snapToGrid w:val="0"/>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采购人地址：衢州市衢江区</w:t>
      </w:r>
      <w:r>
        <w:rPr>
          <w:rFonts w:hint="eastAsia" w:ascii="仿宋_GB2312" w:eastAsia="仿宋_GB2312"/>
          <w:sz w:val="28"/>
          <w:szCs w:val="28"/>
          <w:lang w:val="en-US" w:eastAsia="zh-CN"/>
        </w:rPr>
        <w:t>信安东路39号</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采购代理机构名称：衢州市衢江区政府采购中心 </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联系电话：0570-3838411</w:t>
      </w:r>
    </w:p>
    <w:p>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eastAsia="仿宋_GB2312"/>
          <w:sz w:val="28"/>
          <w:szCs w:val="28"/>
        </w:rPr>
        <w:t>地址：</w:t>
      </w:r>
      <w:r>
        <w:rPr>
          <w:rFonts w:hint="eastAsia" w:ascii="仿宋_GB2312" w:hAnsi="宋体" w:eastAsia="仿宋_GB2312"/>
          <w:sz w:val="28"/>
          <w:szCs w:val="28"/>
        </w:rPr>
        <w:t>衢州市衢江区公共资源交易中心611室（衢州市衢江区振兴东路268号六楼）。</w:t>
      </w:r>
    </w:p>
    <w:p>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监督管理部门：衢江区政府采购监督管理办公室</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联系人：杨女士</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联系电话：0570-8762709</w:t>
      </w:r>
    </w:p>
    <w:p>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eastAsia="仿宋_GB2312"/>
          <w:sz w:val="28"/>
          <w:szCs w:val="28"/>
        </w:rPr>
        <w:t>地址：衢州市衢江区信安大道附近政和路6号</w:t>
      </w:r>
    </w:p>
    <w:p>
      <w:pPr>
        <w:snapToGrid w:val="0"/>
        <w:spacing w:line="460" w:lineRule="exact"/>
        <w:ind w:firstLine="420" w:firstLineChars="150"/>
        <w:rPr>
          <w:rFonts w:ascii="仿宋_GB2312" w:eastAsia="仿宋_GB2312"/>
          <w:sz w:val="28"/>
          <w:szCs w:val="28"/>
        </w:rPr>
      </w:pPr>
      <w:r>
        <w:rPr>
          <w:rFonts w:hint="eastAsia" w:ascii="仿宋_GB2312" w:eastAsia="仿宋_GB2312"/>
          <w:sz w:val="28"/>
          <w:szCs w:val="28"/>
        </w:rPr>
        <w:t xml:space="preserve">                                      </w:t>
      </w:r>
    </w:p>
    <w:p>
      <w:pPr>
        <w:snapToGrid w:val="0"/>
        <w:spacing w:line="460" w:lineRule="exact"/>
        <w:ind w:firstLine="420" w:firstLineChars="150"/>
        <w:jc w:val="right"/>
        <w:rPr>
          <w:rFonts w:ascii="仿宋_GB2312" w:eastAsia="仿宋_GB2312"/>
          <w:sz w:val="28"/>
          <w:szCs w:val="28"/>
        </w:rPr>
      </w:pPr>
      <w:r>
        <w:rPr>
          <w:rFonts w:hint="eastAsia" w:ascii="仿宋_GB2312" w:eastAsia="仿宋_GB2312"/>
          <w:sz w:val="28"/>
          <w:szCs w:val="28"/>
        </w:rPr>
        <w:t xml:space="preserve">衢州市衢江区政府采购中心 </w:t>
      </w:r>
    </w:p>
    <w:p>
      <w:pPr>
        <w:snapToGrid w:val="0"/>
        <w:spacing w:line="460" w:lineRule="exact"/>
        <w:ind w:firstLine="420" w:firstLineChars="15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2021</w:t>
      </w:r>
      <w:r>
        <w:rPr>
          <w:rFonts w:hint="eastAsia" w:ascii="仿宋_GB2312" w:eastAsia="仿宋_GB2312"/>
          <w:sz w:val="28"/>
          <w:szCs w:val="28"/>
        </w:rPr>
        <w:t>年</w:t>
      </w:r>
      <w:r>
        <w:rPr>
          <w:rFonts w:hint="eastAsia" w:ascii="仿宋_GB2312" w:eastAsia="仿宋_GB2312"/>
          <w:sz w:val="28"/>
          <w:szCs w:val="28"/>
          <w:lang w:val="en-US" w:eastAsia="zh-CN"/>
        </w:rPr>
        <w:t>02</w:t>
      </w:r>
      <w:r>
        <w:rPr>
          <w:rFonts w:hint="eastAsia" w:ascii="仿宋_GB2312" w:eastAsia="仿宋_GB2312"/>
          <w:sz w:val="28"/>
          <w:szCs w:val="28"/>
        </w:rPr>
        <w:t>月</w:t>
      </w:r>
    </w:p>
    <w:p>
      <w:pPr>
        <w:snapToGrid w:val="0"/>
        <w:spacing w:before="120" w:beforeLines="50" w:after="120" w:afterLines="50" w:line="500" w:lineRule="exact"/>
        <w:ind w:firstLine="1760"/>
        <w:outlineLvl w:val="0"/>
        <w:rPr>
          <w:rFonts w:ascii="仿宋_GB2312" w:hAnsi="宋体" w:eastAsia="仿宋_GB2312" w:cs="宋体"/>
          <w:b/>
          <w:sz w:val="32"/>
          <w:szCs w:val="32"/>
        </w:rPr>
      </w:pPr>
      <w:bookmarkStart w:id="6" w:name="_Toc354491896"/>
      <w:bookmarkStart w:id="7" w:name="_Toc322352982"/>
      <w:bookmarkStart w:id="8" w:name="_Toc356371430"/>
      <w:r>
        <w:rPr>
          <w:rFonts w:ascii="仿宋_GB2312" w:hAnsi="宋体" w:eastAsia="仿宋_GB2312" w:cs="宋体"/>
          <w:b/>
          <w:sz w:val="32"/>
          <w:szCs w:val="32"/>
        </w:rPr>
        <w:br w:type="page"/>
      </w:r>
      <w:bookmarkStart w:id="9" w:name="_Toc2060"/>
      <w:r>
        <w:rPr>
          <w:rFonts w:hint="eastAsia" w:ascii="仿宋_GB2312" w:hAnsi="宋体" w:eastAsia="仿宋_GB2312" w:cs="宋体"/>
          <w:b/>
          <w:sz w:val="32"/>
          <w:szCs w:val="32"/>
        </w:rPr>
        <w:t>第二章  投标</w:t>
      </w:r>
      <w:bookmarkEnd w:id="6"/>
      <w:bookmarkEnd w:id="7"/>
      <w:r>
        <w:rPr>
          <w:rFonts w:hint="eastAsia" w:ascii="仿宋_GB2312" w:hAnsi="宋体" w:eastAsia="仿宋_GB2312" w:cs="宋体"/>
          <w:b/>
          <w:sz w:val="32"/>
          <w:szCs w:val="32"/>
        </w:rPr>
        <w:t>须知前附表及投标须知</w:t>
      </w:r>
      <w:bookmarkEnd w:id="8"/>
      <w:bookmarkEnd w:id="9"/>
    </w:p>
    <w:p>
      <w:pPr>
        <w:numPr>
          <w:ilvl w:val="0"/>
          <w:numId w:val="14"/>
        </w:numPr>
        <w:snapToGrid w:val="0"/>
        <w:spacing w:before="120" w:beforeLines="50" w:after="120" w:afterLines="50" w:line="500" w:lineRule="exact"/>
        <w:rPr>
          <w:rFonts w:ascii="仿宋_GB2312" w:hAnsi="宋体" w:eastAsia="仿宋_GB2312" w:cs="宋体"/>
          <w:b/>
          <w:sz w:val="28"/>
          <w:szCs w:val="28"/>
        </w:rPr>
      </w:pPr>
      <w:bookmarkStart w:id="10" w:name="_Toc356371431"/>
      <w:r>
        <w:rPr>
          <w:rFonts w:hint="eastAsia" w:ascii="仿宋_GB2312" w:hAnsi="宋体" w:eastAsia="仿宋_GB2312" w:cs="宋体"/>
          <w:b/>
          <w:sz w:val="28"/>
          <w:szCs w:val="28"/>
        </w:rPr>
        <w:t>投标须知前附表</w:t>
      </w:r>
      <w:bookmarkEnd w:id="10"/>
    </w:p>
    <w:tbl>
      <w:tblPr>
        <w:tblStyle w:val="60"/>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2629"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内  容</w:t>
            </w:r>
          </w:p>
        </w:tc>
        <w:tc>
          <w:tcPr>
            <w:tcW w:w="588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采购人</w:t>
            </w:r>
          </w:p>
        </w:tc>
        <w:tc>
          <w:tcPr>
            <w:tcW w:w="5880" w:type="dxa"/>
            <w:vAlign w:val="center"/>
          </w:tcPr>
          <w:p>
            <w:pPr>
              <w:pStyle w:val="32"/>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衢州市公安局衢江分局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项目名称</w:t>
            </w:r>
          </w:p>
        </w:tc>
        <w:tc>
          <w:tcPr>
            <w:tcW w:w="5880" w:type="dxa"/>
            <w:vAlign w:val="center"/>
          </w:tcPr>
          <w:p>
            <w:pPr>
              <w:pStyle w:val="32"/>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衢州市公安局衢江分局公安机关办案功能区物联网管控系统及配套智能设备项目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采购预算</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96</w:t>
            </w:r>
            <w:r>
              <w:rPr>
                <w:rFonts w:hint="eastAsia" w:ascii="仿宋_GB2312" w:hAnsi="宋体"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投标有效期</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eastAsia="仿宋_GB2312"/>
                <w:sz w:val="28"/>
                <w:szCs w:val="28"/>
              </w:rPr>
              <w:t>投标保证金</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eastAsia="仿宋_GB2312"/>
                <w:sz w:val="28"/>
                <w:szCs w:val="28"/>
              </w:rPr>
              <w:t>本项目无需投标保证金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投标文件递交份数</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投标人请准备电子投标文件：</w:t>
            </w:r>
          </w:p>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（1）电子投标文件，按政采云平台供应商项目采购-电子招投标操作指南（网址：https://service.zcygov.cn/#/knowledges/CW1EtGwBFdiHxlNd6I3m/6IMVAG0BFdiHxlNdQ8Na）及本招标文件要求递交。</w:t>
            </w:r>
          </w:p>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（2）投标文件均由资格审查文件、技术商务文件、报价文件组成。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2629" w:type="dxa"/>
            <w:vAlign w:val="center"/>
          </w:tcPr>
          <w:p>
            <w:pPr>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投标文件递交截止时间</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03</w:t>
            </w:r>
            <w:r>
              <w:rPr>
                <w:rFonts w:hint="eastAsia" w:ascii="仿宋_GB2312" w:hAnsi="宋体" w:eastAsia="仿宋_GB2312"/>
                <w:sz w:val="28"/>
                <w:szCs w:val="28"/>
              </w:rPr>
              <w:t>月</w:t>
            </w:r>
            <w:r>
              <w:rPr>
                <w:rFonts w:hint="eastAsia" w:ascii="仿宋_GB2312" w:hAnsi="宋体" w:eastAsia="仿宋_GB2312" w:cs="宋体"/>
                <w:sz w:val="28"/>
                <w:szCs w:val="28"/>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2629" w:type="dxa"/>
            <w:vAlign w:val="center"/>
          </w:tcPr>
          <w:p>
            <w:pPr>
              <w:pStyle w:val="32"/>
              <w:snapToGrid w:val="0"/>
              <w:spacing w:line="380" w:lineRule="exact"/>
              <w:rPr>
                <w:rFonts w:ascii="仿宋_GB2312" w:hAnsi="宋体" w:eastAsia="仿宋_GB2312"/>
                <w:spacing w:val="-20"/>
                <w:sz w:val="28"/>
                <w:szCs w:val="28"/>
              </w:rPr>
            </w:pPr>
            <w:r>
              <w:rPr>
                <w:rFonts w:hint="eastAsia" w:ascii="仿宋_GB2312" w:hAnsi="宋体" w:eastAsia="仿宋_GB2312"/>
                <w:spacing w:val="-20"/>
                <w:sz w:val="28"/>
                <w:szCs w:val="28"/>
              </w:rPr>
              <w:t>开标地点</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eastAsia="仿宋_GB2312"/>
                <w:sz w:val="28"/>
                <w:szCs w:val="28"/>
              </w:rPr>
              <w:t>衢州市衢江区公共资源交易中心第</w:t>
            </w:r>
            <w:r>
              <w:rPr>
                <w:rFonts w:hint="eastAsia" w:ascii="仿宋_GB2312" w:eastAsia="仿宋_GB2312"/>
                <w:color w:val="FF0000"/>
                <w:sz w:val="28"/>
                <w:szCs w:val="28"/>
                <w:lang w:val="en-US" w:eastAsia="zh-CN"/>
              </w:rPr>
              <w:t>一</w:t>
            </w:r>
            <w:r>
              <w:rPr>
                <w:rFonts w:hint="eastAsia" w:ascii="仿宋_GB2312" w:eastAsia="仿宋_GB2312"/>
                <w:sz w:val="28"/>
                <w:szCs w:val="28"/>
              </w:rPr>
              <w:t>开标厅（衢州市衢江区振兴东路268号六楼）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2629" w:type="dxa"/>
            <w:vAlign w:val="center"/>
          </w:tcPr>
          <w:p>
            <w:pPr>
              <w:pStyle w:val="32"/>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开标时间</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2021</w:t>
            </w:r>
            <w:r>
              <w:rPr>
                <w:rFonts w:hint="eastAsia" w:ascii="仿宋_GB2312" w:hAnsi="宋体" w:eastAsia="仿宋_GB2312"/>
                <w:sz w:val="28"/>
                <w:szCs w:val="28"/>
              </w:rPr>
              <w:t>年</w:t>
            </w:r>
            <w:r>
              <w:rPr>
                <w:rFonts w:hint="eastAsia" w:ascii="仿宋_GB2312" w:hAnsi="宋体" w:eastAsia="仿宋_GB2312" w:cs="宋体"/>
                <w:sz w:val="28"/>
                <w:szCs w:val="28"/>
                <w:lang w:val="en-US" w:eastAsia="zh-CN"/>
              </w:rPr>
              <w:t>03</w:t>
            </w:r>
            <w:r>
              <w:rPr>
                <w:rFonts w:hint="eastAsia" w:ascii="仿宋_GB2312" w:hAnsi="宋体" w:eastAsia="仿宋_GB2312"/>
                <w:sz w:val="28"/>
                <w:szCs w:val="28"/>
              </w:rPr>
              <w:t>月</w:t>
            </w:r>
            <w:r>
              <w:rPr>
                <w:rFonts w:hint="eastAsia" w:ascii="仿宋_GB2312" w:hAnsi="宋体" w:eastAsia="仿宋_GB2312"/>
                <w:sz w:val="28"/>
                <w:szCs w:val="28"/>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629" w:type="dxa"/>
            <w:vAlign w:val="center"/>
          </w:tcPr>
          <w:p>
            <w:pPr>
              <w:pStyle w:val="32"/>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签订合同</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中标通知书发出后</w:t>
            </w:r>
            <w:r>
              <w:rPr>
                <w:rFonts w:hint="eastAsia" w:ascii="仿宋_GB2312" w:hAnsi="宋体" w:eastAsia="仿宋_GB2312"/>
                <w:color w:val="FF0000"/>
                <w:sz w:val="28"/>
                <w:szCs w:val="28"/>
                <w:lang w:eastAsia="zh-CN"/>
              </w:rPr>
              <w:t>七</w:t>
            </w:r>
            <w:r>
              <w:rPr>
                <w:rFonts w:hint="eastAsia" w:ascii="仿宋_GB2312" w:hAnsi="宋体" w:eastAsia="仿宋_GB2312"/>
                <w:sz w:val="28"/>
                <w:szCs w:val="28"/>
              </w:rPr>
              <w:t xml:space="preserve">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中标人履约保证金交纳</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eastAsia="仿宋_GB2312" w:cs="宋体"/>
                <w:sz w:val="28"/>
                <w:szCs w:val="28"/>
                <w:lang w:val="zh-CN"/>
              </w:rPr>
              <w:t>中标人向采购人交纳中标金额</w:t>
            </w:r>
            <w:r>
              <w:rPr>
                <w:rFonts w:hint="eastAsia" w:ascii="仿宋_GB2312" w:eastAsia="仿宋_GB2312" w:cs="宋体"/>
                <w:sz w:val="28"/>
                <w:szCs w:val="28"/>
              </w:rPr>
              <w:t>5</w:t>
            </w:r>
            <w:r>
              <w:rPr>
                <w:rFonts w:hint="eastAsia" w:ascii="仿宋_GB2312" w:eastAsia="仿宋_GB2312" w:cs="宋体"/>
                <w:sz w:val="28"/>
                <w:szCs w:val="28"/>
                <w:lang w:val="zh-CN"/>
              </w:rPr>
              <w:t>%的履约保证金（</w:t>
            </w:r>
            <w:r>
              <w:rPr>
                <w:rFonts w:hint="eastAsia" w:ascii="仿宋_GB2312" w:eastAsia="仿宋_GB2312" w:cs="宋体"/>
                <w:sz w:val="28"/>
                <w:szCs w:val="28"/>
              </w:rPr>
              <w:t>非现金交纳）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12</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联合体投标</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2629" w:type="dxa"/>
            <w:vAlign w:val="center"/>
          </w:tcPr>
          <w:p>
            <w:pPr>
              <w:pStyle w:val="32"/>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sz w:val="28"/>
                <w:szCs w:val="28"/>
              </w:rPr>
              <w:t>联系人</w:t>
            </w:r>
          </w:p>
        </w:tc>
        <w:tc>
          <w:tcPr>
            <w:tcW w:w="5880" w:type="dxa"/>
            <w:vAlign w:val="center"/>
          </w:tcPr>
          <w:p>
            <w:pPr>
              <w:pStyle w:val="32"/>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cs="宋体"/>
                <w:sz w:val="28"/>
                <w:szCs w:val="28"/>
              </w:rPr>
              <w:t>邵先生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4</w:t>
            </w:r>
          </w:p>
        </w:tc>
        <w:tc>
          <w:tcPr>
            <w:tcW w:w="2629" w:type="dxa"/>
            <w:vAlign w:val="center"/>
          </w:tcPr>
          <w:p>
            <w:pPr>
              <w:pStyle w:val="32"/>
              <w:spacing w:line="380" w:lineRule="exact"/>
              <w:rPr>
                <w:rFonts w:ascii="仿宋_GB2312" w:hAnsi="宋体" w:eastAsia="仿宋_GB2312"/>
                <w:sz w:val="28"/>
                <w:szCs w:val="28"/>
              </w:rPr>
            </w:pPr>
            <w:r>
              <w:rPr>
                <w:rFonts w:hint="eastAsia" w:ascii="仿宋_GB2312" w:hAnsi="宋体" w:eastAsia="仿宋_GB2312"/>
                <w:sz w:val="28"/>
                <w:szCs w:val="28"/>
              </w:rPr>
              <w:t>联系电话（传真）</w:t>
            </w:r>
          </w:p>
        </w:tc>
        <w:tc>
          <w:tcPr>
            <w:tcW w:w="5880" w:type="dxa"/>
            <w:vAlign w:val="center"/>
          </w:tcPr>
          <w:p>
            <w:pPr>
              <w:pStyle w:val="32"/>
              <w:spacing w:line="380" w:lineRule="exact"/>
              <w:rPr>
                <w:rFonts w:ascii="仿宋_GB2312" w:hAnsi="宋体" w:eastAsia="仿宋_GB2312"/>
                <w:sz w:val="28"/>
                <w:szCs w:val="28"/>
              </w:rPr>
            </w:pPr>
            <w:r>
              <w:rPr>
                <w:rFonts w:hint="eastAsia" w:ascii="仿宋_GB2312" w:hAnsi="宋体" w:eastAsia="仿宋_GB2312"/>
                <w:sz w:val="28"/>
                <w:szCs w:val="28"/>
              </w:rPr>
              <w:t>0570-3838411 ; 0570-3836302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信用查询</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根据《关于在政府采购活动中查询及使用信用记录有关问题的通知》财库[2016]125号的规定：</w:t>
            </w:r>
          </w:p>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1）采购人或采购代理机构将对本项目投标人的信用记录进行查询。查询渠道为信用中国网站（www.creditchina.gov.cn）、中国政府采购网（www.ccgp.gov.cn）；</w:t>
            </w:r>
          </w:p>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2）截止时点：提交投标文件（响应文件）截止时间前3年内；</w:t>
            </w:r>
          </w:p>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3）查询记录和证据的留存：信用信息查询记录和证据以网页截图等方式留存。</w:t>
            </w:r>
          </w:p>
          <w:p>
            <w:pPr>
              <w:pStyle w:val="32"/>
              <w:snapToGrid w:val="0"/>
              <w:spacing w:line="380" w:lineRule="exact"/>
              <w:rPr>
                <w:rFonts w:ascii="仿宋_GB2312" w:hAnsi="宋体" w:eastAsia="仿宋_GB2312" w:cs="宋体"/>
                <w:sz w:val="28"/>
                <w:szCs w:val="28"/>
                <w:lang w:val="zh-CN"/>
              </w:rPr>
            </w:pPr>
            <w:r>
              <w:rPr>
                <w:rFonts w:hint="eastAsia" w:ascii="仿宋_GB2312" w:hAnsi="宋体" w:eastAsia="仿宋_GB2312"/>
                <w:sz w:val="28"/>
                <w:szCs w:val="28"/>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6</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采购公告，更正公告，中标公示发布网址</w:t>
            </w:r>
          </w:p>
        </w:tc>
        <w:tc>
          <w:tcPr>
            <w:tcW w:w="5880" w:type="dxa"/>
            <w:vAlign w:val="center"/>
          </w:tcPr>
          <w:p>
            <w:pPr>
              <w:pStyle w:val="32"/>
              <w:snapToGrid w:val="0"/>
              <w:spacing w:line="380" w:lineRule="exact"/>
              <w:rPr>
                <w:rFonts w:ascii="仿宋_GB2312" w:eastAsia="仿宋_GB2312"/>
                <w:sz w:val="28"/>
                <w:szCs w:val="28"/>
              </w:rPr>
            </w:pPr>
            <w:r>
              <w:rPr>
                <w:rFonts w:hint="eastAsia"/>
              </w:rPr>
              <w:t>http://zfcg.czt.zj.gov.cn</w:t>
            </w:r>
            <w:r>
              <w:rPr>
                <w:rStyle w:val="144"/>
                <w:rFonts w:hint="default" w:ascii="仿宋_GB2312" w:eastAsia="仿宋_GB2312"/>
                <w:bCs/>
                <w:sz w:val="28"/>
                <w:szCs w:val="28"/>
              </w:rPr>
              <w:t>（浙江省政府采购网）</w:t>
            </w:r>
          </w:p>
          <w:p>
            <w:pPr>
              <w:pStyle w:val="32"/>
              <w:snapToGrid w:val="0"/>
              <w:spacing w:line="380" w:lineRule="exac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电子投标文件的传输递交</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2"/>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8</w:t>
            </w:r>
          </w:p>
        </w:tc>
        <w:tc>
          <w:tcPr>
            <w:tcW w:w="2629"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注意事项</w:t>
            </w:r>
          </w:p>
        </w:tc>
        <w:tc>
          <w:tcPr>
            <w:tcW w:w="5880" w:type="dxa"/>
            <w:vAlign w:val="center"/>
          </w:tcPr>
          <w:p>
            <w:pPr>
              <w:pStyle w:val="32"/>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个小时内。</w:t>
            </w:r>
          </w:p>
        </w:tc>
      </w:tr>
    </w:tbl>
    <w:p>
      <w:pPr>
        <w:jc w:val="center"/>
        <w:rPr>
          <w:rFonts w:ascii="仿宋_GB2312" w:hAnsi="宋体" w:eastAsia="仿宋_GB2312" w:cs="宋体"/>
          <w:b/>
          <w:sz w:val="32"/>
          <w:szCs w:val="32"/>
        </w:rPr>
      </w:pPr>
    </w:p>
    <w:p>
      <w:pPr>
        <w:numPr>
          <w:ilvl w:val="0"/>
          <w:numId w:val="14"/>
        </w:numPr>
        <w:snapToGrid w:val="0"/>
        <w:spacing w:before="120" w:beforeLines="50" w:after="120" w:afterLines="50" w:line="500" w:lineRule="exact"/>
        <w:rPr>
          <w:rFonts w:ascii="仿宋_GB2312" w:eastAsia="仿宋_GB2312"/>
          <w:b/>
          <w:sz w:val="28"/>
          <w:szCs w:val="28"/>
        </w:rPr>
      </w:pPr>
      <w:bookmarkStart w:id="11" w:name="_Toc356371433"/>
      <w:r>
        <w:rPr>
          <w:rFonts w:hint="eastAsia" w:ascii="仿宋_GB2312" w:eastAsia="仿宋_GB2312"/>
          <w:b/>
          <w:sz w:val="28"/>
          <w:szCs w:val="28"/>
        </w:rPr>
        <w:t>投标须知</w:t>
      </w:r>
      <w:bookmarkEnd w:id="11"/>
    </w:p>
    <w:p>
      <w:pPr>
        <w:numPr>
          <w:ilvl w:val="1"/>
          <w:numId w:val="14"/>
        </w:numPr>
        <w:snapToGrid w:val="0"/>
        <w:spacing w:line="500" w:lineRule="exact"/>
        <w:rPr>
          <w:rFonts w:ascii="仿宋_GB2312" w:eastAsia="仿宋_GB2312"/>
          <w:b/>
          <w:sz w:val="28"/>
          <w:szCs w:val="28"/>
        </w:rPr>
      </w:pPr>
      <w:r>
        <w:rPr>
          <w:rFonts w:hint="eastAsia" w:ascii="仿宋_GB2312" w:eastAsia="仿宋_GB2312"/>
          <w:sz w:val="28"/>
          <w:szCs w:val="28"/>
        </w:rPr>
        <w:t>适用范围</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定义</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“招标人”系指组织本次招标的衢州市衢江区政府采购中心 。</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“采购人”系指提出本次采购的委托单位：</w:t>
      </w:r>
      <w:r>
        <w:rPr>
          <w:rFonts w:hint="eastAsia" w:ascii="仿宋_GB2312" w:eastAsia="仿宋_GB2312"/>
          <w:sz w:val="28"/>
          <w:szCs w:val="28"/>
          <w:lang w:eastAsia="zh-CN"/>
        </w:rPr>
        <w:t>衢州市公安局衢江分局</w:t>
      </w:r>
      <w:r>
        <w:rPr>
          <w:rFonts w:hint="eastAsia" w:ascii="仿宋_GB2312" w:eastAsia="仿宋_GB2312"/>
          <w:sz w:val="28"/>
          <w:szCs w:val="28"/>
        </w:rPr>
        <w:t>。</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“投标人”系指向招标方提交投标文件的供应商。</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“货物”系指投标人按招标文件规定向采购人提供的</w:t>
      </w:r>
      <w:r>
        <w:rPr>
          <w:rFonts w:hint="eastAsia" w:ascii="仿宋_GB2312" w:eastAsia="仿宋_GB2312"/>
          <w:sz w:val="28"/>
          <w:szCs w:val="28"/>
          <w:lang w:val="en-US" w:eastAsia="zh-CN"/>
        </w:rPr>
        <w:t>各类设备、软件</w:t>
      </w:r>
      <w:r>
        <w:rPr>
          <w:rFonts w:hint="eastAsia" w:ascii="仿宋_GB2312" w:eastAsia="仿宋_GB2312"/>
          <w:sz w:val="28"/>
          <w:szCs w:val="28"/>
        </w:rPr>
        <w:t>、技术资料及使用手册等。</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“服务”系指根据本合同规定，中标人必须承担安装、调试、技术协助、培训以及其他类似的义务。</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“▲”系指实质性要求条款。</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投标费用</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招标方式</w:t>
      </w:r>
    </w:p>
    <w:p>
      <w:pPr>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本次招标采用公开招标方式进行。</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联合体投标</w:t>
      </w:r>
    </w:p>
    <w:p>
      <w:pPr>
        <w:snapToGrid w:val="0"/>
        <w:spacing w:line="50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本项目不接受联合体投标。</w:t>
      </w:r>
    </w:p>
    <w:p>
      <w:pPr>
        <w:numPr>
          <w:ilvl w:val="1"/>
          <w:numId w:val="14"/>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p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特别说明：</w:t>
      </w:r>
    </w:p>
    <w:p>
      <w:pPr>
        <w:numPr>
          <w:ilvl w:val="2"/>
          <w:numId w:val="14"/>
        </w:numPr>
        <w:snapToGrid w:val="0"/>
        <w:spacing w:line="500" w:lineRule="exact"/>
        <w:ind w:firstLine="560" w:firstLineChars="200"/>
        <w:rPr>
          <w:rFonts w:ascii="仿宋_GB2312" w:hAnsi="ˎ̥" w:eastAsia="仿宋_GB2312" w:cs="宋体"/>
          <w:kern w:val="0"/>
          <w:sz w:val="28"/>
          <w:szCs w:val="28"/>
        </w:rPr>
      </w:pPr>
      <w:r>
        <w:rPr>
          <w:rFonts w:hint="eastAsia" w:ascii="仿宋_GB2312" w:hAnsi="宋体" w:eastAsia="仿宋_GB2312"/>
          <w:sz w:val="28"/>
          <w:szCs w:val="28"/>
        </w:rPr>
        <w:t>▲</w:t>
      </w:r>
      <w:r>
        <w:rPr>
          <w:rFonts w:hint="eastAsia" w:ascii="仿宋_GB2312" w:hAnsi="宋体" w:eastAsia="仿宋_GB2312" w:cs="宋体"/>
          <w:kern w:val="0"/>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numPr>
          <w:ilvl w:val="2"/>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pPr>
        <w:numPr>
          <w:ilvl w:val="2"/>
          <w:numId w:val="14"/>
        </w:numPr>
        <w:snapToGrid w:val="0"/>
        <w:spacing w:line="500" w:lineRule="exact"/>
        <w:rPr>
          <w:rFonts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560" w:firstLineChars="200"/>
        <w:jc w:val="left"/>
        <w:textAlignment w:val="auto"/>
        <w:rPr>
          <w:rFonts w:ascii="仿宋_GB2312" w:hAnsi="宋体" w:eastAsia="仿宋_GB2312"/>
          <w:b/>
          <w:sz w:val="28"/>
          <w:szCs w:val="28"/>
        </w:rPr>
      </w:pPr>
      <w:r>
        <w:rPr>
          <w:rFonts w:hint="eastAsia" w:ascii="仿宋_GB2312" w:hAnsi="宋体" w:eastAsia="仿宋_GB2312"/>
          <w:sz w:val="28"/>
          <w:szCs w:val="28"/>
          <w:lang w:val="en-US" w:eastAsia="zh-CN"/>
        </w:rPr>
        <w:t>8.非单一产品采购项目中，多家投标人提供的核心产品品牌相同的，按一家投标人认定。</w:t>
      </w:r>
      <w:r>
        <w:rPr>
          <w:rFonts w:hint="eastAsia" w:ascii="仿宋_GB2312" w:hAnsi="宋体" w:eastAsia="仿宋_GB2312"/>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9.关于中小企业、监狱和戒毒企业和残疾人福利性单位参与政府采购活动的规定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1、在货物采购项目中，货物由中小企业制造，即货物由中小企业生产且使用该中小企业商号或者注册商标；</w:t>
      </w:r>
    </w:p>
    <w:p>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rPr>
        <w:t>2、在工程采购项目中，工程由中小企业承建，即工程施工单位为中小企业</w:t>
      </w:r>
      <w:r>
        <w:rPr>
          <w:rFonts w:hint="eastAsia" w:ascii="仿宋_GB2312" w:eastAsia="仿宋_GB2312"/>
          <w:bCs/>
          <w:sz w:val="28"/>
          <w:szCs w:val="28"/>
          <w:lang w:eastAsia="zh-CN"/>
        </w:rPr>
        <w:t>；</w:t>
      </w:r>
    </w:p>
    <w:p>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lang w:val="en-US" w:eastAsia="zh-CN"/>
        </w:rPr>
        <w:t>3、在服务采购项目中，服务由中小企业承接，即提供服务的人员为中小企业依照《中华人民共和国劳动合同法》订立劳动合同的从业人员</w:t>
      </w:r>
      <w:r>
        <w:rPr>
          <w:rFonts w:hint="eastAsia" w:ascii="仿宋_GB2312" w:eastAsia="仿宋_GB2312"/>
          <w:bCs/>
          <w:sz w:val="28"/>
          <w:szCs w:val="28"/>
          <w:lang w:eastAsia="zh-CN"/>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在货物采购项目中，供应商提供的货物既有中小企业制造货物，也有大型企业制造货物的，不享受本办法规定的中小企业扶持政策。。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以联合体形式参加政府采购活动，联合体各方均为中小企业的，联合体视同中小企业。其中，联合体各方均为小微企业的，联合体视同小微企业。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9.2根据财政部《司法部关于政府采购支持监狱企业发展有关问题》的通知（财库〔2014〕68号）的有关规定，监狱和戒毒企业参与政府采购活动的视同小型、微型企业，享受评审中价格扣除政策。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9.3根据财库[2017]141号的相关规定，在政府采购活动中，残疾人福利性单位视同小型、微型企业，享受评审中价格扣除政策。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9.4小型、微型企业参加投标时，应提供《中小企业声明函》</w:t>
      </w:r>
      <w:r>
        <w:rPr>
          <w:rFonts w:hint="eastAsia" w:ascii="仿宋_GB2312" w:eastAsia="仿宋_GB2312"/>
          <w:sz w:val="28"/>
          <w:szCs w:val="28"/>
        </w:rPr>
        <w:t>；监狱和戒毒企业参加投标时应提供由省级以上监狱管理局、戒毒管理局（含新疆生产建设兵团）出具的属于监狱企业的证明文件；</w:t>
      </w:r>
      <w:r>
        <w:rPr>
          <w:rFonts w:hint="eastAsia" w:ascii="仿宋_GB2312" w:eastAsia="仿宋_GB2312"/>
          <w:bCs/>
          <w:sz w:val="28"/>
          <w:szCs w:val="28"/>
        </w:rPr>
        <w:t>残疾人福利性单位参加投标时应提供残疾人福利性单位声明函。不提供以上材料的投标人将不享受评审中价格扣除优惠。</w:t>
      </w:r>
    </w:p>
    <w:p>
      <w:pPr>
        <w:numPr>
          <w:ilvl w:val="0"/>
          <w:numId w:val="14"/>
        </w:numPr>
        <w:snapToGrid w:val="0"/>
        <w:spacing w:before="120" w:beforeLines="50" w:after="120" w:afterLines="50" w:line="500" w:lineRule="exact"/>
        <w:rPr>
          <w:rFonts w:ascii="仿宋_GB2312" w:eastAsia="仿宋_GB2312"/>
          <w:b/>
          <w:sz w:val="28"/>
          <w:szCs w:val="28"/>
        </w:rPr>
      </w:pPr>
      <w:bookmarkStart w:id="12" w:name="_Toc356371434"/>
      <w:r>
        <w:rPr>
          <w:rFonts w:hint="eastAsia" w:ascii="仿宋_GB2312" w:eastAsia="仿宋_GB2312"/>
          <w:b/>
          <w:sz w:val="28"/>
          <w:szCs w:val="28"/>
        </w:rPr>
        <w:t>招标文件说明</w:t>
      </w:r>
      <w:bookmarkEnd w:id="12"/>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招标文件的组成</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招标公告；</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投标须知前附表及投标须知；</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采购内容及要求；</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合同文本；</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应提交的有关格式范例；</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评标办法及开标程序。</w:t>
      </w:r>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招标文件的澄清及修改</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numPr>
          <w:ilvl w:val="0"/>
          <w:numId w:val="14"/>
        </w:numPr>
        <w:snapToGrid w:val="0"/>
        <w:spacing w:before="120" w:beforeLines="50" w:after="120" w:afterLines="50" w:line="500" w:lineRule="exact"/>
        <w:rPr>
          <w:rFonts w:ascii="仿宋_GB2312" w:eastAsia="仿宋_GB2312"/>
          <w:b/>
          <w:sz w:val="28"/>
          <w:szCs w:val="28"/>
        </w:rPr>
      </w:pPr>
      <w:bookmarkStart w:id="13" w:name="_Toc356371435"/>
      <w:r>
        <w:rPr>
          <w:rFonts w:hint="eastAsia" w:ascii="仿宋_GB2312" w:eastAsia="仿宋_GB2312"/>
          <w:b/>
          <w:sz w:val="28"/>
          <w:szCs w:val="28"/>
        </w:rPr>
        <w:t>投标文件的编制</w:t>
      </w:r>
      <w:bookmarkEnd w:id="13"/>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总体要求</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投标人应按本文件中提供的文件格式、内容和要求制作投标文件。投标文件应装订成册。</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投标文件的组成及份数</w:t>
      </w:r>
    </w:p>
    <w:p>
      <w:pPr>
        <w:tabs>
          <w:tab w:val="left" w:pos="0"/>
          <w:tab w:val="left" w:pos="900"/>
          <w:tab w:val="left" w:pos="7020"/>
          <w:tab w:val="left" w:pos="8460"/>
        </w:tabs>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sz w:val="28"/>
          <w:szCs w:val="28"/>
        </w:rPr>
        <w:t>投标文件应分为【资格审查文件】、【技术商务文件】和【报价文件】。电子投标文件中须加盖公章部分均采用CA签章。</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【资格审查文件】（未注明扫描件的，应为原件。）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▲投标函扫描件；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▲符合《中华人民共和国政府采购法》第二十二条要求的承诺函扫描件【格式见附件】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▲有效的投标人《营业执照》扫描件；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▲分公司参与投标的，须提供总公司的《企业法人营业执照》复印件及总公司的授权书扫描件；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▲法定代表人（负责人）授权委托书扫描件；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▲法定代表人（负责人）或法人（负责人）授权代表身份证扫描件；</w:t>
      </w:r>
    </w:p>
    <w:p>
      <w:pPr>
        <w:numPr>
          <w:ilvl w:val="3"/>
          <w:numId w:val="16"/>
        </w:numPr>
        <w:snapToGrid w:val="0"/>
        <w:spacing w:line="500" w:lineRule="exact"/>
        <w:rPr>
          <w:rFonts w:ascii="仿宋_GB2312" w:eastAsia="仿宋_GB2312"/>
          <w:sz w:val="28"/>
          <w:szCs w:val="28"/>
        </w:rPr>
      </w:pPr>
      <w:r>
        <w:rPr>
          <w:rFonts w:hint="eastAsia" w:ascii="仿宋_GB2312" w:eastAsia="仿宋_GB2312" w:cs="宋体"/>
          <w:bCs/>
          <w:sz w:val="28"/>
          <w:szCs w:val="28"/>
        </w:rPr>
        <w:t>▲开标日期开始前三年内，投标人、投标人法定代表人及本次投标的授权代表无行贿犯罪承诺书</w:t>
      </w:r>
      <w:r>
        <w:rPr>
          <w:rFonts w:hint="eastAsia" w:ascii="仿宋_GB2312" w:eastAsia="仿宋_GB2312"/>
          <w:sz w:val="28"/>
          <w:szCs w:val="28"/>
        </w:rPr>
        <w:t>扫描件</w:t>
      </w:r>
      <w:r>
        <w:rPr>
          <w:rFonts w:hint="eastAsia" w:ascii="仿宋_GB2312" w:eastAsia="仿宋_GB2312" w:cs="宋体"/>
          <w:bCs/>
          <w:sz w:val="28"/>
          <w:szCs w:val="28"/>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【技术商务文件】（未注明扫描件的，应为原件。）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lang w:val="en-US" w:eastAsia="zh-CN"/>
        </w:rPr>
        <w:t>自</w:t>
      </w:r>
      <w:r>
        <w:rPr>
          <w:rFonts w:hint="eastAsia" w:ascii="仿宋_GB2312" w:eastAsia="仿宋_GB2312"/>
          <w:sz w:val="28"/>
          <w:szCs w:val="28"/>
        </w:rPr>
        <w:t>评分表</w:t>
      </w:r>
      <w:r>
        <w:rPr>
          <w:rFonts w:hint="eastAsia" w:ascii="仿宋_GB2312" w:eastAsia="仿宋_GB2312"/>
          <w:sz w:val="28"/>
          <w:szCs w:val="28"/>
          <w:lang w:eastAsia="zh-CN"/>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cs="宋体"/>
          <w:bCs/>
          <w:sz w:val="28"/>
          <w:szCs w:val="28"/>
        </w:rPr>
        <w:t>▲</w:t>
      </w:r>
      <w:r>
        <w:rPr>
          <w:rFonts w:hint="eastAsia" w:ascii="仿宋_GB2312" w:eastAsia="仿宋_GB2312"/>
          <w:sz w:val="28"/>
          <w:szCs w:val="28"/>
        </w:rPr>
        <w:t>与浙江省执法办案综合应用系统的对接承诺函</w:t>
      </w:r>
      <w:r>
        <w:rPr>
          <w:rFonts w:hint="eastAsia" w:ascii="仿宋_GB2312" w:eastAsia="仿宋_GB2312"/>
          <w:sz w:val="28"/>
          <w:szCs w:val="28"/>
          <w:lang w:eastAsia="zh-CN"/>
        </w:rPr>
        <w:t>（</w:t>
      </w:r>
      <w:r>
        <w:rPr>
          <w:rFonts w:hint="eastAsia" w:ascii="仿宋_GB2312" w:eastAsia="仿宋_GB2312"/>
          <w:sz w:val="28"/>
          <w:szCs w:val="28"/>
          <w:lang w:val="en-US" w:eastAsia="zh-CN"/>
        </w:rPr>
        <w:t>格式自定）</w:t>
      </w:r>
      <w:r>
        <w:rPr>
          <w:rFonts w:hint="eastAsia" w:ascii="仿宋_GB2312" w:eastAsia="仿宋_GB2312"/>
          <w:sz w:val="28"/>
          <w:szCs w:val="28"/>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2018年1月以来，投标人实施的类似软件项目的成功案例，须提供政府集中采购项目合同及中标（成交）通知书扫描件；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售后服务网点介绍、服务内容、措施和售后服务承诺书（加盖单位公章）；</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技术支持及服务承诺书</w:t>
      </w:r>
      <w:r>
        <w:rPr>
          <w:rFonts w:hint="eastAsia" w:ascii="仿宋_GB2312" w:eastAsia="仿宋_GB2312"/>
          <w:sz w:val="28"/>
          <w:szCs w:val="28"/>
          <w:lang w:eastAsia="zh-CN"/>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cs="宋体"/>
          <w:bCs/>
          <w:sz w:val="28"/>
          <w:szCs w:val="28"/>
        </w:rPr>
        <w:t>▲</w:t>
      </w:r>
      <w:r>
        <w:rPr>
          <w:rFonts w:hint="eastAsia" w:ascii="仿宋_GB2312" w:eastAsia="仿宋_GB2312" w:cs="宋体"/>
          <w:bCs/>
          <w:sz w:val="28"/>
          <w:szCs w:val="28"/>
          <w:lang w:val="en-US" w:eastAsia="zh-CN"/>
        </w:rPr>
        <w:t>电视机和激光打印机在中国政府采购网节能产品查询截图</w:t>
      </w:r>
      <w:r>
        <w:rPr>
          <w:rFonts w:hint="eastAsia" w:ascii="仿宋_GB2312" w:eastAsia="仿宋_GB2312"/>
          <w:sz w:val="28"/>
          <w:szCs w:val="28"/>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详细的产品清单及软硬件简要说明一览表；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产品主要技术资料和性能的详细描述；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技术偏离</w:t>
      </w:r>
      <w:r>
        <w:rPr>
          <w:rFonts w:hint="eastAsia" w:ascii="仿宋_GB2312" w:eastAsia="仿宋_GB2312"/>
          <w:sz w:val="28"/>
          <w:szCs w:val="28"/>
          <w:lang w:val="en-US" w:eastAsia="zh-CN"/>
        </w:rPr>
        <w:t>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开标时投标人提供</w:t>
      </w:r>
      <w:r>
        <w:rPr>
          <w:rFonts w:hint="eastAsia" w:ascii="仿宋_GB2312" w:eastAsia="仿宋_GB2312"/>
          <w:sz w:val="28"/>
          <w:szCs w:val="28"/>
          <w:lang w:val="en-US" w:eastAsia="zh-CN"/>
        </w:rPr>
        <w:t>15</w:t>
      </w:r>
      <w:r>
        <w:rPr>
          <w:rFonts w:hint="eastAsia" w:ascii="仿宋_GB2312" w:eastAsia="仿宋_GB2312"/>
          <w:sz w:val="28"/>
          <w:szCs w:val="28"/>
        </w:rPr>
        <w:t>分钟的功能演示</w:t>
      </w:r>
      <w:r>
        <w:rPr>
          <w:rFonts w:hint="eastAsia" w:ascii="仿宋_GB2312" w:eastAsia="仿宋_GB2312"/>
          <w:sz w:val="28"/>
          <w:szCs w:val="28"/>
          <w:lang w:eastAsia="zh-CN"/>
        </w:rPr>
        <w:t>（</w:t>
      </w:r>
      <w:r>
        <w:rPr>
          <w:rFonts w:hint="eastAsia" w:ascii="仿宋_GB2312" w:eastAsia="仿宋_GB2312"/>
          <w:sz w:val="28"/>
          <w:szCs w:val="28"/>
          <w:lang w:val="en-US" w:eastAsia="zh-CN"/>
        </w:rPr>
        <w:t>不包括专家提问时间）</w:t>
      </w:r>
      <w:r>
        <w:rPr>
          <w:rFonts w:hint="eastAsia" w:ascii="仿宋_GB2312" w:eastAsia="仿宋_GB2312"/>
          <w:sz w:val="28"/>
          <w:szCs w:val="28"/>
          <w:lang w:eastAsia="zh-CN"/>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详细的培训计划；</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针对本项目的</w:t>
      </w:r>
      <w:r>
        <w:rPr>
          <w:rFonts w:hint="eastAsia" w:ascii="仿宋_GB2312" w:eastAsia="仿宋_GB2312"/>
          <w:sz w:val="28"/>
          <w:szCs w:val="28"/>
          <w:lang w:val="en-US" w:eastAsia="zh-CN"/>
        </w:rPr>
        <w:t>总体</w:t>
      </w:r>
      <w:r>
        <w:rPr>
          <w:rFonts w:hint="eastAsia" w:ascii="仿宋_GB2312" w:eastAsia="仿宋_GB2312"/>
          <w:sz w:val="28"/>
          <w:szCs w:val="28"/>
        </w:rPr>
        <w:t>方案；</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投标人认为需要的其他技术资料。</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【报价文件】（包括以下内容，装订成一本）</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▲开标一览表；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▲报价明细表。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《中小企业声明函》（符合小微企业相关政策的投标人提供）；</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《产品适用中小企业政策情况表》（符合小微企业相关政策的投标人提供）；</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监狱和戒毒企业应提供由省级以上监狱管理局、戒毒管理局（含新疆生产建设兵团）出具的属于监狱企业的证明文件。</w:t>
      </w:r>
    </w:p>
    <w:p>
      <w:pPr>
        <w:numPr>
          <w:ilvl w:val="3"/>
          <w:numId w:val="16"/>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z w:val="28"/>
          <w:szCs w:val="28"/>
        </w:rPr>
        <w:t>监狱和戒毒企业</w:t>
      </w:r>
      <w:r>
        <w:rPr>
          <w:rFonts w:hint="eastAsia" w:ascii="仿宋_GB2312" w:hAnsi="宋体" w:eastAsia="仿宋_GB2312"/>
          <w:sz w:val="28"/>
          <w:szCs w:val="28"/>
          <w:lang w:val="en-GB"/>
        </w:rPr>
        <w:t>政策情况表》；</w:t>
      </w:r>
    </w:p>
    <w:p>
      <w:pPr>
        <w:numPr>
          <w:ilvl w:val="3"/>
          <w:numId w:val="16"/>
        </w:numPr>
        <w:snapToGrid w:val="0"/>
        <w:spacing w:line="500" w:lineRule="exact"/>
        <w:rPr>
          <w:rFonts w:ascii="仿宋_GB2312" w:eastAsia="仿宋_GB2312"/>
          <w:sz w:val="28"/>
          <w:szCs w:val="28"/>
        </w:rPr>
      </w:pPr>
      <w:r>
        <w:rPr>
          <w:rFonts w:hint="eastAsia" w:ascii="仿宋_GB2312" w:eastAsia="仿宋_GB2312"/>
          <w:bCs/>
          <w:sz w:val="28"/>
          <w:szCs w:val="28"/>
        </w:rPr>
        <w:t>残疾人福利性单位应提供残疾人福利性单位声明函。</w:t>
      </w:r>
    </w:p>
    <w:p>
      <w:pPr>
        <w:numPr>
          <w:ilvl w:val="3"/>
          <w:numId w:val="16"/>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政策情况表》；</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投标文件内容填写说明 </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电子投标文件按政采云平台供应商项目采购-电子招投标操作指南（网址：https://service.zcygov.cn/#/knowledges/CW1EtGwBFdiHxlNd6I3m/6IMVAG0BFdiHxlNdQ8Na）及本招标文件要求制作、加密。</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由于字迹模糊或表达不清引起的后果由投标人负责。</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技术偏离表：所投产品如与采购产品在型号、规格、技术参数、性能、工艺、材料、质量等方面有偏离或对产品配置有好的建议，应填写《技术偏离表》，否则认为响应招标文件要求。</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投标报价</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投标报价应按招标文件中相关附表格式填写。</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报价中必须包含货物及零配件的购置安装、运输保险、装卸、培训辅导、质保期售后服务、全额含税发票、雇员费用、合同实施过程中的应预见和不可预见费用等（与招标文件第三章采购内容及要求里车辆报价要求有冲突的，以后者为准）。</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投标文件只允许有一个报价，有选择的或有条件的报价将不予接受。</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投标有效期</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▲投标文件从投标文件递交截止之日起，有效期为90天；</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pPr>
        <w:numPr>
          <w:ilvl w:val="0"/>
          <w:numId w:val="14"/>
        </w:numPr>
        <w:snapToGrid w:val="0"/>
        <w:spacing w:before="120" w:beforeLines="50" w:after="120" w:afterLines="50" w:line="500" w:lineRule="exact"/>
        <w:rPr>
          <w:rFonts w:ascii="仿宋_GB2312" w:eastAsia="仿宋_GB2312"/>
          <w:b/>
          <w:sz w:val="28"/>
          <w:szCs w:val="28"/>
        </w:rPr>
      </w:pPr>
      <w:bookmarkStart w:id="14" w:name="_Toc356371436"/>
      <w:r>
        <w:rPr>
          <w:rFonts w:hint="eastAsia" w:ascii="仿宋_GB2312" w:eastAsia="仿宋_GB2312"/>
          <w:b/>
          <w:sz w:val="28"/>
          <w:szCs w:val="28"/>
        </w:rPr>
        <w:t>投标保证金</w:t>
      </w:r>
      <w:bookmarkEnd w:id="14"/>
    </w:p>
    <w:p>
      <w:pPr>
        <w:snapToGrid w:val="0"/>
        <w:spacing w:line="500" w:lineRule="exact"/>
        <w:ind w:left="567"/>
        <w:rPr>
          <w:rFonts w:ascii="仿宋_GB2312" w:eastAsia="仿宋_GB2312"/>
          <w:sz w:val="28"/>
          <w:szCs w:val="28"/>
        </w:rPr>
      </w:pPr>
      <w:r>
        <w:rPr>
          <w:rFonts w:hint="eastAsia" w:ascii="仿宋_GB2312" w:eastAsia="仿宋_GB2312"/>
          <w:sz w:val="28"/>
          <w:szCs w:val="28"/>
        </w:rPr>
        <w:t>17 本项目无需缴纳投标保证金</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投标文件的签署及规定</w:t>
      </w:r>
    </w:p>
    <w:p>
      <w:pPr>
        <w:tabs>
          <w:tab w:val="left" w:pos="0"/>
          <w:tab w:val="left" w:pos="900"/>
          <w:tab w:val="left" w:pos="7020"/>
          <w:tab w:val="left" w:pos="8460"/>
        </w:tabs>
        <w:snapToGrid w:val="0"/>
        <w:spacing w:before="120" w:after="120" w:line="500" w:lineRule="exact"/>
        <w:ind w:firstLine="560" w:firstLineChars="200"/>
        <w:rPr>
          <w:rFonts w:ascii="仿宋_GB2312" w:eastAsia="仿宋_GB2312"/>
          <w:sz w:val="28"/>
          <w:szCs w:val="28"/>
        </w:rPr>
      </w:pPr>
      <w:r>
        <w:rPr>
          <w:rFonts w:hint="eastAsia" w:ascii="仿宋_GB2312" w:eastAsia="仿宋_GB2312"/>
          <w:sz w:val="28"/>
          <w:szCs w:val="28"/>
        </w:rPr>
        <w:t>电子投标文件按政采云平台供应商项目采购-电子招投标操作指南（网址：https://service.zcygov.cn/#/knowledges/CW1EtGwBFdiHxlNd6I3m/6IMVAG0BFdiHxlNdQ8Na）及本招标文件要求制作、加密。</w:t>
      </w:r>
    </w:p>
    <w:p>
      <w:pPr>
        <w:numPr>
          <w:ilvl w:val="0"/>
          <w:numId w:val="14"/>
        </w:numPr>
        <w:snapToGrid w:val="0"/>
        <w:spacing w:before="120" w:beforeLines="50" w:after="120" w:afterLines="50" w:line="500" w:lineRule="exact"/>
        <w:rPr>
          <w:rFonts w:ascii="仿宋_GB2312" w:eastAsia="仿宋_GB2312"/>
          <w:b/>
          <w:sz w:val="28"/>
          <w:szCs w:val="28"/>
        </w:rPr>
      </w:pPr>
      <w:bookmarkStart w:id="15" w:name="_Toc356371437"/>
      <w:r>
        <w:rPr>
          <w:rFonts w:hint="eastAsia" w:ascii="仿宋_GB2312" w:eastAsia="仿宋_GB2312"/>
          <w:b/>
          <w:sz w:val="28"/>
          <w:szCs w:val="28"/>
        </w:rPr>
        <w:t>投标文件的递交</w:t>
      </w:r>
      <w:bookmarkEnd w:id="15"/>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w:t>
      </w:r>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本项目原则上采用远程异地开评标，投标人无需到开标现场，但须准时在线参加，直至评审结束（项目中</w:t>
      </w:r>
      <w:r>
        <w:rPr>
          <w:rFonts w:hint="eastAsia" w:ascii="仿宋_GB2312" w:eastAsia="仿宋_GB2312"/>
          <w:sz w:val="28"/>
          <w:szCs w:val="28"/>
          <w:lang w:val="en-US" w:eastAsia="zh-CN"/>
        </w:rPr>
        <w:t>如果</w:t>
      </w:r>
      <w:r>
        <w:rPr>
          <w:rFonts w:hint="eastAsia" w:ascii="仿宋_GB2312" w:eastAsia="仿宋_GB2312"/>
          <w:sz w:val="28"/>
          <w:szCs w:val="28"/>
        </w:rPr>
        <w:t>要求提供功能演示的项目，有演示内容的投标人参与现场投标）。</w:t>
      </w:r>
    </w:p>
    <w:p>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投标文件的修改和撤销</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在递交投标文件后，可以修改或撤回其投标文件，递交投标文件截止时间之前补充或者修改电子投标文件的，应当先行撤回原文件，补充、修改后重新传输递交。投标人修改后的投标文件应按原来的规定编制、密封、标记和递交。</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投标人修改后的投标文件应按原来的规定编制、密封、标记和递交。</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递交投标文件截止期后，投标人不得撤回其投标文件，在递交投标文件截止期之后，投标人不得对其投标文件做任何修改。</w:t>
      </w:r>
    </w:p>
    <w:p>
      <w:pPr>
        <w:numPr>
          <w:ilvl w:val="2"/>
          <w:numId w:val="17"/>
        </w:numPr>
        <w:snapToGrid w:val="0"/>
        <w:spacing w:line="500" w:lineRule="exact"/>
        <w:rPr>
          <w:rFonts w:ascii="仿宋_GB2312" w:hAnsi="宋体" w:eastAsia="仿宋_GB2312"/>
          <w:b/>
          <w:sz w:val="28"/>
          <w:szCs w:val="28"/>
        </w:rPr>
      </w:pPr>
      <w:r>
        <w:rPr>
          <w:rFonts w:hint="eastAsia" w:ascii="仿宋_GB2312" w:eastAsia="仿宋_GB2312"/>
          <w:sz w:val="28"/>
          <w:szCs w:val="28"/>
        </w:rPr>
        <w:t>实质上没有响应本文件要求的投标文件将被拒绝。投标人不得通过修正或撤销不合要求的偏离或保留从而使其投标文件成为实质上响应的文件。</w:t>
      </w:r>
    </w:p>
    <w:p>
      <w:pPr>
        <w:snapToGrid w:val="0"/>
        <w:spacing w:line="500" w:lineRule="exact"/>
        <w:ind w:left="567"/>
        <w:rPr>
          <w:rFonts w:ascii="仿宋_GB2312" w:hAnsi="宋体" w:eastAsia="仿宋_GB2312"/>
          <w:b/>
          <w:sz w:val="28"/>
          <w:szCs w:val="28"/>
        </w:rPr>
      </w:pPr>
    </w:p>
    <w:p>
      <w:pPr>
        <w:numPr>
          <w:ilvl w:val="0"/>
          <w:numId w:val="14"/>
        </w:numPr>
        <w:snapToGrid w:val="0"/>
        <w:spacing w:before="120" w:beforeLines="50" w:after="120" w:afterLines="50" w:line="500" w:lineRule="exact"/>
        <w:rPr>
          <w:rFonts w:ascii="仿宋_GB2312" w:eastAsia="仿宋_GB2312"/>
          <w:b/>
          <w:sz w:val="28"/>
          <w:szCs w:val="28"/>
        </w:rPr>
      </w:pPr>
      <w:bookmarkStart w:id="16" w:name="_Toc356371438"/>
      <w:r>
        <w:rPr>
          <w:rFonts w:hint="eastAsia" w:ascii="仿宋_GB2312" w:eastAsia="仿宋_GB2312"/>
          <w:b/>
          <w:sz w:val="28"/>
          <w:szCs w:val="28"/>
        </w:rPr>
        <w:t>投标无效的情形</w:t>
      </w:r>
      <w:bookmarkEnd w:id="16"/>
    </w:p>
    <w:p>
      <w:pPr>
        <w:numPr>
          <w:ilvl w:val="1"/>
          <w:numId w:val="17"/>
        </w:numPr>
        <w:snapToGrid w:val="0"/>
        <w:spacing w:line="500" w:lineRule="exact"/>
        <w:rPr>
          <w:rFonts w:ascii="仿宋_GB2312" w:eastAsia="仿宋_GB2312"/>
          <w:sz w:val="28"/>
          <w:szCs w:val="28"/>
        </w:rPr>
      </w:pPr>
      <w:bookmarkStart w:id="17" w:name="_Toc356371439"/>
      <w:r>
        <w:rPr>
          <w:rFonts w:hint="eastAsia" w:ascii="仿宋_GB2312" w:eastAsia="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不具备招标文件规定资格要求；</w:t>
      </w:r>
    </w:p>
    <w:p>
      <w:pPr>
        <w:numPr>
          <w:ilvl w:val="2"/>
          <w:numId w:val="17"/>
        </w:numPr>
        <w:snapToGrid w:val="0"/>
        <w:spacing w:line="500" w:lineRule="exact"/>
        <w:rPr>
          <w:rFonts w:ascii="仿宋_GB2312" w:hAnsi="宋体" w:eastAsia="仿宋_GB2312"/>
          <w:bCs/>
          <w:sz w:val="28"/>
          <w:szCs w:val="28"/>
        </w:rPr>
      </w:pPr>
      <w:r>
        <w:rPr>
          <w:rFonts w:hint="eastAsia" w:ascii="仿宋_GB2312" w:eastAsia="仿宋_GB2312"/>
          <w:sz w:val="28"/>
          <w:szCs w:val="28"/>
        </w:rPr>
        <w:t>投标文件未有效授权的;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招标文件中有▲处条款投标人未作实质性响应的；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资格审查或技术商务文件中包含投标报价的；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投标文件含有采购人不能接受的附加条件的；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报价超出招标文件中规定的预算金额或者最高限价的；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投标人串通投标的；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电子投标文件规定时间未解密的或者电子投标文件未按规定要求提供电子签章的；</w:t>
      </w:r>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不符合法律、法规和招标文件规定的其他实质性要求的。</w:t>
      </w:r>
    </w:p>
    <w:p>
      <w:pPr>
        <w:snapToGrid w:val="0"/>
        <w:spacing w:line="500" w:lineRule="exact"/>
        <w:rPr>
          <w:rFonts w:ascii="仿宋_GB2312" w:eastAsia="仿宋_GB2312"/>
          <w:sz w:val="28"/>
          <w:szCs w:val="28"/>
        </w:rPr>
      </w:pPr>
    </w:p>
    <w:p>
      <w:pPr>
        <w:numPr>
          <w:ilvl w:val="0"/>
          <w:numId w:val="14"/>
        </w:numPr>
        <w:snapToGrid w:val="0"/>
        <w:spacing w:before="120" w:beforeLines="50" w:after="120" w:afterLines="50" w:line="500" w:lineRule="exact"/>
        <w:rPr>
          <w:rFonts w:ascii="仿宋_GB2312" w:eastAsia="仿宋_GB2312"/>
          <w:b/>
          <w:sz w:val="28"/>
          <w:szCs w:val="28"/>
        </w:rPr>
      </w:pPr>
      <w:bookmarkStart w:id="18" w:name="_Toc359592368"/>
      <w:r>
        <w:rPr>
          <w:rFonts w:hint="eastAsia" w:ascii="仿宋_GB2312" w:hAnsi="宋体" w:eastAsia="仿宋_GB2312"/>
          <w:b/>
          <w:bCs/>
          <w:sz w:val="28"/>
          <w:szCs w:val="28"/>
        </w:rPr>
        <w:t>串通投标的情形</w:t>
      </w:r>
    </w:p>
    <w:p>
      <w:pPr>
        <w:numPr>
          <w:ilvl w:val="0"/>
          <w:numId w:val="18"/>
        </w:numPr>
        <w:snapToGrid w:val="0"/>
        <w:spacing w:before="120" w:beforeLines="50" w:after="120" w:afterLines="50" w:line="500" w:lineRule="exact"/>
        <w:ind w:left="82" w:leftChars="0" w:firstLine="315" w:firstLineChars="0"/>
        <w:rPr>
          <w:rFonts w:ascii="仿宋_GB2312" w:eastAsia="仿宋_GB2312"/>
          <w:sz w:val="28"/>
          <w:szCs w:val="28"/>
        </w:rPr>
      </w:pPr>
      <w:r>
        <w:rPr>
          <w:rFonts w:hint="eastAsia" w:ascii="仿宋_GB2312" w:hAnsi="宋体" w:eastAsia="仿宋_GB2312"/>
          <w:bCs/>
          <w:sz w:val="28"/>
          <w:szCs w:val="28"/>
        </w:rPr>
        <w:t>不同投标人的投标文件由同一单位或者个人编制；</w:t>
      </w:r>
    </w:p>
    <w:p>
      <w:pPr>
        <w:numPr>
          <w:ilvl w:val="0"/>
          <w:numId w:val="18"/>
        </w:numPr>
        <w:snapToGrid w:val="0"/>
        <w:spacing w:before="120" w:beforeLines="50" w:after="120" w:afterLines="50" w:line="500" w:lineRule="exact"/>
        <w:ind w:left="82" w:leftChars="0" w:firstLine="315" w:firstLineChars="0"/>
        <w:rPr>
          <w:rFonts w:ascii="仿宋_GB2312" w:eastAsia="仿宋_GB2312"/>
          <w:sz w:val="28"/>
          <w:szCs w:val="28"/>
        </w:rPr>
      </w:pPr>
      <w:r>
        <w:rPr>
          <w:rFonts w:hint="eastAsia" w:ascii="仿宋_GB2312" w:hAnsi="宋体" w:eastAsia="仿宋_GB2312"/>
          <w:bCs/>
          <w:sz w:val="28"/>
          <w:szCs w:val="28"/>
        </w:rPr>
        <w:t>不同投标人委托同一单位或者个人办理投标事宜；</w:t>
      </w:r>
    </w:p>
    <w:p>
      <w:pPr>
        <w:numPr>
          <w:ilvl w:val="0"/>
          <w:numId w:val="18"/>
        </w:numPr>
        <w:snapToGrid w:val="0"/>
        <w:spacing w:before="120" w:beforeLines="50" w:after="120" w:afterLines="50" w:line="500" w:lineRule="exact"/>
        <w:ind w:left="82" w:leftChars="0" w:firstLine="315" w:firstLineChars="0"/>
        <w:rPr>
          <w:rFonts w:ascii="仿宋_GB2312" w:eastAsia="仿宋_GB2312"/>
          <w:sz w:val="28"/>
          <w:szCs w:val="28"/>
        </w:rPr>
      </w:pPr>
      <w:r>
        <w:rPr>
          <w:rFonts w:hint="eastAsia" w:ascii="仿宋_GB2312" w:hAnsi="宋体" w:eastAsia="仿宋_GB2312"/>
          <w:bCs/>
          <w:sz w:val="28"/>
          <w:szCs w:val="28"/>
        </w:rPr>
        <w:t>不同投标人的投标文件载明的项目管理成员或者联系人员为同一人；</w:t>
      </w:r>
    </w:p>
    <w:p>
      <w:pPr>
        <w:numPr>
          <w:ilvl w:val="0"/>
          <w:numId w:val="18"/>
        </w:numPr>
        <w:snapToGrid w:val="0"/>
        <w:spacing w:before="120" w:beforeLines="50" w:after="120" w:afterLines="50" w:line="500" w:lineRule="exact"/>
        <w:ind w:left="82" w:leftChars="0" w:firstLine="315" w:firstLineChars="0"/>
        <w:rPr>
          <w:rFonts w:ascii="仿宋_GB2312" w:eastAsia="仿宋_GB2312"/>
          <w:sz w:val="28"/>
          <w:szCs w:val="28"/>
        </w:rPr>
      </w:pPr>
      <w:r>
        <w:rPr>
          <w:rFonts w:hint="eastAsia" w:ascii="仿宋_GB2312" w:hAnsi="宋体" w:eastAsia="仿宋_GB2312"/>
          <w:bCs/>
          <w:sz w:val="28"/>
          <w:szCs w:val="28"/>
        </w:rPr>
        <w:t>不同投标人的投标文件异常一致或者投标报价呈规律性差异；</w:t>
      </w:r>
    </w:p>
    <w:p>
      <w:pPr>
        <w:numPr>
          <w:ilvl w:val="0"/>
          <w:numId w:val="18"/>
        </w:numPr>
        <w:snapToGrid w:val="0"/>
        <w:spacing w:before="120" w:beforeLines="50" w:after="120" w:afterLines="50" w:line="500" w:lineRule="exact"/>
        <w:ind w:left="82" w:leftChars="0" w:firstLine="315" w:firstLineChars="0"/>
        <w:rPr>
          <w:rFonts w:ascii="仿宋_GB2312" w:eastAsia="仿宋_GB2312"/>
          <w:b/>
          <w:sz w:val="28"/>
          <w:szCs w:val="28"/>
        </w:rPr>
      </w:pPr>
      <w:r>
        <w:rPr>
          <w:rFonts w:hint="eastAsia" w:ascii="仿宋_GB2312" w:hAnsi="宋体" w:eastAsia="仿宋_GB2312"/>
          <w:bCs/>
          <w:sz w:val="28"/>
          <w:szCs w:val="28"/>
        </w:rPr>
        <w:t>不同投标人的投标文件相互混装；</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废标的情形</w:t>
      </w:r>
      <w:bookmarkEnd w:id="18"/>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采购中，出现下列情形之一的，应予废标，废标后，采购人将废标理由通知所有投标人：</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符合专业条件的投标人或对招标文件作实质性响应的投标人不足三家的；</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出现影响采购公正的违法、违规行为的；</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投标人的报价均超过了采购预算（最高限价），采购人不能支付的；</w:t>
      </w:r>
    </w:p>
    <w:p>
      <w:pPr>
        <w:numPr>
          <w:ilvl w:val="2"/>
          <w:numId w:val="19"/>
        </w:numPr>
        <w:snapToGrid w:val="0"/>
        <w:spacing w:line="500" w:lineRule="exact"/>
        <w:ind w:left="1" w:leftChars="0" w:firstLine="567" w:firstLineChars="0"/>
        <w:rPr>
          <w:rFonts w:ascii="仿宋_GB2312" w:hAnsi="宋体" w:eastAsia="仿宋_GB2312"/>
          <w:bCs/>
          <w:sz w:val="28"/>
          <w:szCs w:val="28"/>
        </w:rPr>
      </w:pPr>
      <w:r>
        <w:rPr>
          <w:rFonts w:hint="eastAsia" w:ascii="仿宋_GB2312" w:eastAsia="仿宋_GB2312"/>
          <w:sz w:val="28"/>
          <w:szCs w:val="28"/>
        </w:rPr>
        <w:t>因重大变故，采购任务取消的</w:t>
      </w:r>
      <w:r>
        <w:rPr>
          <w:rFonts w:hint="eastAsia" w:ascii="仿宋_GB2312" w:eastAsia="仿宋_GB2312"/>
          <w:sz w:val="28"/>
          <w:szCs w:val="28"/>
          <w:lang w:eastAsia="zh-CN"/>
        </w:rPr>
        <w:t>。</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开标</w:t>
      </w:r>
      <w:bookmarkEnd w:id="17"/>
      <w:r>
        <w:rPr>
          <w:rFonts w:hint="eastAsia" w:ascii="仿宋_GB2312" w:eastAsia="仿宋_GB2312"/>
          <w:b/>
          <w:sz w:val="28"/>
          <w:szCs w:val="28"/>
        </w:rPr>
        <w:t>和评标</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开标</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招标人在规定的日期、时间和地点组织招标会。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截止时间后，投标人登录政采云平台，用“项目采购-开标评标”功能对电子投标文件进行在线解密。在线解密电子投标文件时间为开标时间起半个小时内。由采购人代表评审资格审查文件，若资格审查不符合招标文件要求，即终止其参与投标资格。</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评标委员会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采购代理机构和采购人将根据采购货物的特点组建评标委员会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在评标期间,若有需要投标人应派代表参加询标。</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对投标文件的审查和响应性的确定</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评标委员会将审查投标文件是否真实、完整,总体编排是否有序,文件签署是否正确,有无计算上的错误等。</w:t>
      </w:r>
    </w:p>
    <w:p>
      <w:pPr>
        <w:numPr>
          <w:ilvl w:val="2"/>
          <w:numId w:val="19"/>
        </w:numPr>
        <w:snapToGrid w:val="0"/>
        <w:spacing w:line="500" w:lineRule="exact"/>
        <w:ind w:left="1" w:leftChars="0" w:firstLine="567" w:firstLineChars="0"/>
        <w:rPr>
          <w:rFonts w:ascii="仿宋_GB2312" w:eastAsia="仿宋_GB2312"/>
          <w:bCs/>
          <w:sz w:val="28"/>
          <w:szCs w:val="28"/>
        </w:rPr>
      </w:pPr>
      <w:r>
        <w:rPr>
          <w:rFonts w:hint="eastAsia" w:ascii="仿宋_GB2312" w:eastAsia="仿宋_GB2312"/>
          <w:sz w:val="28"/>
          <w:szCs w:val="28"/>
        </w:rPr>
        <w:t>算术错误将按以下方法更正:</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bCs/>
          <w:sz w:val="28"/>
          <w:szCs w:val="28"/>
        </w:rPr>
        <w:t>评标</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评定原则：根据符合采购需求、质量和服务等要求，综合评分</w:t>
      </w:r>
      <w:r>
        <w:rPr>
          <w:rFonts w:hint="eastAsia" w:ascii="仿宋_GB2312" w:eastAsia="仿宋_GB2312"/>
          <w:sz w:val="28"/>
          <w:szCs w:val="28"/>
          <w:lang w:val="en-US" w:eastAsia="zh-CN"/>
        </w:rPr>
        <w:t>最高者</w:t>
      </w:r>
      <w:r>
        <w:rPr>
          <w:rFonts w:hint="eastAsia" w:ascii="仿宋_GB2312" w:eastAsia="仿宋_GB2312"/>
          <w:sz w:val="28"/>
          <w:szCs w:val="28"/>
        </w:rPr>
        <w:t>确定</w:t>
      </w:r>
      <w:r>
        <w:rPr>
          <w:rFonts w:hint="eastAsia" w:ascii="仿宋_GB2312" w:eastAsia="仿宋_GB2312"/>
          <w:sz w:val="28"/>
          <w:szCs w:val="28"/>
          <w:lang w:val="en-US" w:eastAsia="zh-CN"/>
        </w:rPr>
        <w:t>为</w:t>
      </w:r>
      <w:r>
        <w:rPr>
          <w:rFonts w:hint="eastAsia" w:ascii="仿宋_GB2312" w:eastAsia="仿宋_GB2312"/>
          <w:sz w:val="28"/>
          <w:szCs w:val="28"/>
        </w:rPr>
        <w:t xml:space="preserve">中标人。 </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电子形式提交。</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评标报告：评标委员会完成评定后，向招标人提交经各评标委员会成员签字的评定结果报告，并按评定办法推荐中标候选人。</w:t>
      </w:r>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保密</w:t>
      </w:r>
    </w:p>
    <w:p>
      <w:pPr>
        <w:numPr>
          <w:ilvl w:val="2"/>
          <w:numId w:val="19"/>
        </w:numPr>
        <w:snapToGrid w:val="0"/>
        <w:spacing w:line="500" w:lineRule="exact"/>
        <w:ind w:left="1" w:leftChars="0" w:firstLine="567" w:firstLineChars="0"/>
        <w:rPr>
          <w:rFonts w:ascii="仿宋_GB2312" w:eastAsia="仿宋_GB2312"/>
          <w:sz w:val="28"/>
          <w:szCs w:val="28"/>
        </w:rPr>
      </w:pPr>
      <w:bookmarkStart w:id="19" w:name="_Toc356371440"/>
      <w:r>
        <w:rPr>
          <w:rFonts w:hint="eastAsia" w:ascii="仿宋_GB2312" w:eastAsia="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19"/>
        </w:numPr>
        <w:snapToGrid w:val="0"/>
        <w:spacing w:line="500" w:lineRule="exact"/>
        <w:ind w:left="1" w:leftChars="0" w:firstLine="567" w:firstLineChars="0"/>
        <w:rPr>
          <w:rFonts w:ascii="仿宋_GB2312" w:eastAsia="仿宋_GB2312"/>
          <w:sz w:val="24"/>
        </w:rPr>
      </w:pPr>
      <w:r>
        <w:rPr>
          <w:rFonts w:hint="eastAsia" w:ascii="仿宋_GB2312" w:eastAsia="仿宋_GB2312"/>
          <w:sz w:val="28"/>
          <w:szCs w:val="28"/>
        </w:rPr>
        <w:t>投标人对评标、比较或授予合同决定的过程施加影响的企图和行为,都可能导致其投标被拒绝</w:t>
      </w:r>
      <w:r>
        <w:rPr>
          <w:rFonts w:hint="eastAsia" w:ascii="仿宋_GB2312" w:eastAsia="仿宋_GB2312"/>
          <w:sz w:val="24"/>
        </w:rPr>
        <w:t>。</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授予合同</w:t>
      </w:r>
      <w:bookmarkEnd w:id="19"/>
    </w:p>
    <w:p>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中标通知和合同授予</w:t>
      </w:r>
    </w:p>
    <w:p>
      <w:pPr>
        <w:snapToGrid w:val="0"/>
        <w:spacing w:line="600" w:lineRule="exact"/>
        <w:ind w:firstLine="560" w:firstLineChars="200"/>
        <w:rPr>
          <w:rFonts w:ascii="仿宋_GB2312" w:eastAsia="仿宋_GB2312"/>
          <w:bCs/>
          <w:sz w:val="28"/>
          <w:szCs w:val="28"/>
        </w:rPr>
      </w:pPr>
      <w:r>
        <w:rPr>
          <w:rFonts w:hint="eastAsia" w:ascii="仿宋_GB2312" w:eastAsia="仿宋_GB2312"/>
          <w:sz w:val="28"/>
          <w:szCs w:val="28"/>
        </w:rPr>
        <w:t>评定结果经采购人确定后，衢州市衢江区政府采购中心在中标人确定之日起2个工作日内将以书面形式发出《中标通知书》。中标通知书于中标公告发布之日签发，中标人应于本公告发布之日起两个工作日内，凭法人（负责人）授权委托书及被授权人身份证原件至</w:t>
      </w:r>
      <w:r>
        <w:rPr>
          <w:rFonts w:hint="eastAsia" w:ascii="仿宋_GB2312" w:hAnsi="宋体" w:eastAsia="仿宋_GB2312"/>
          <w:sz w:val="28"/>
          <w:szCs w:val="28"/>
        </w:rPr>
        <w:t>衢江区政府采购中心领取中标通知书，逾期领取的后果自负。</w:t>
      </w:r>
      <w:r>
        <w:rPr>
          <w:rFonts w:hint="eastAsia" w:ascii="仿宋_GB2312" w:eastAsia="仿宋_GB2312"/>
          <w:sz w:val="28"/>
          <w:szCs w:val="28"/>
        </w:rPr>
        <w:t>中标人</w:t>
      </w:r>
      <w:r>
        <w:rPr>
          <w:rFonts w:hint="eastAsia" w:ascii="仿宋_GB2312" w:hAnsi="宋体" w:eastAsia="仿宋_GB2312"/>
          <w:sz w:val="28"/>
          <w:szCs w:val="28"/>
        </w:rPr>
        <w:t>与采购单位须按本公告发出两个工作日后的三十天内签订合同，并经衢州市衢江区政府采购中心 签证后生效。</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《中标通知书》一经发出即发生法律效力。招标人无义务向未中标人解释落选原因，不退回投标文件。《中标通知书》将作为签订合同的依据。</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履约保证金：中标人向采购人交纳中标金额5%的履约保证金。</w:t>
      </w:r>
      <w:r>
        <w:rPr>
          <w:rFonts w:hint="eastAsia" w:ascii="仿宋_GB2312" w:eastAsia="仿宋_GB2312" w:cs="宋体"/>
          <w:sz w:val="28"/>
          <w:szCs w:val="28"/>
          <w:lang w:val="zh-CN"/>
        </w:rPr>
        <w:t>（</w:t>
      </w:r>
      <w:r>
        <w:rPr>
          <w:rFonts w:hint="eastAsia" w:ascii="仿宋_GB2312" w:eastAsia="仿宋_GB2312" w:cs="宋体"/>
          <w:sz w:val="28"/>
          <w:szCs w:val="28"/>
        </w:rPr>
        <w:t>非现金交纳）</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签订合同：中标人按《中标通知书》指定的时间、地点与采购人直接签订合同,并经衢州市衢江区政府采购中心 签证后生效。在有合理证据证明中标人在投标过程中承诺的内容不能实质响应的，采购人有权拒签合同。</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招标文件、澄清文件、投标文件等，均为签订合同的依据。中标人接到中标通知书后在规定的时间内与采购人签订合同，并交衢州市衢江区政府采购中心鉴证。</w:t>
      </w:r>
    </w:p>
    <w:p>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中标人不遵守投标文件的要约、承诺，擅自修改投标文件的内容或在接到中标通知书规定的时间内，借故拖延、拒签合同者，采购人将取消该投标人的中标资格。</w:t>
      </w:r>
    </w:p>
    <w:p>
      <w:pPr>
        <w:numPr>
          <w:ilvl w:val="0"/>
          <w:numId w:val="14"/>
        </w:numPr>
        <w:snapToGrid w:val="0"/>
        <w:spacing w:before="120" w:beforeLines="50" w:after="120" w:afterLines="50" w:line="500" w:lineRule="exact"/>
        <w:rPr>
          <w:rFonts w:ascii="仿宋_GB2312" w:eastAsia="仿宋_GB2312"/>
          <w:b/>
          <w:sz w:val="28"/>
          <w:szCs w:val="28"/>
        </w:rPr>
      </w:pPr>
      <w:bookmarkStart w:id="20" w:name="_Toc356371441"/>
      <w:r>
        <w:rPr>
          <w:rFonts w:hint="eastAsia" w:ascii="仿宋_GB2312" w:hAnsi="宋体" w:eastAsia="仿宋_GB2312"/>
          <w:b/>
          <w:sz w:val="28"/>
          <w:szCs w:val="28"/>
        </w:rPr>
        <w:t>质疑与投诉</w:t>
      </w:r>
    </w:p>
    <w:p>
      <w:pPr>
        <w:snapToGrid w:val="0"/>
        <w:spacing w:before="120" w:beforeLines="50" w:after="120" w:afterLines="50" w:line="500" w:lineRule="exact"/>
        <w:ind w:firstLine="560" w:firstLineChars="200"/>
        <w:rPr>
          <w:rFonts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w:t>
      </w:r>
      <w:r>
        <w:rPr>
          <w:rFonts w:hint="eastAsia" w:ascii="仿宋_GB2312" w:hAnsi="微软雅黑" w:eastAsia="仿宋_GB2312"/>
          <w:sz w:val="28"/>
          <w:szCs w:val="28"/>
          <w:shd w:val="clear" w:color="auto" w:fill="FFFFFF"/>
        </w:rPr>
        <w:t>《政府采购质疑和投诉办法》</w:t>
      </w:r>
      <w:r>
        <w:rPr>
          <w:rFonts w:hint="eastAsia" w:ascii="仿宋_GB2312" w:hAnsi="宋体" w:eastAsia="仿宋_GB2312"/>
          <w:sz w:val="28"/>
          <w:szCs w:val="28"/>
          <w:lang w:val="zh-CN"/>
        </w:rPr>
        <w:t>(</w:t>
      </w:r>
      <w:r>
        <w:rPr>
          <w:rStyle w:val="65"/>
          <w:rFonts w:hint="eastAsia" w:ascii="仿宋_GB2312" w:hAnsi="微软雅黑" w:eastAsia="仿宋_GB2312"/>
          <w:sz w:val="28"/>
          <w:szCs w:val="28"/>
          <w:shd w:val="clear" w:color="auto" w:fill="FFFFFF"/>
        </w:rPr>
        <w:t>财政部令第94号</w:t>
      </w:r>
      <w:r>
        <w:rPr>
          <w:rFonts w:hint="eastAsia" w:ascii="仿宋_GB2312" w:hAnsi="宋体" w:eastAsia="仿宋_GB2312"/>
          <w:sz w:val="28"/>
          <w:szCs w:val="28"/>
          <w:lang w:val="zh-CN"/>
        </w:rPr>
        <w:t>)，政府采购供应商可以依法提起质疑和投诉。</w:t>
      </w:r>
    </w:p>
    <w:p>
      <w:pPr>
        <w:numPr>
          <w:ilvl w:val="1"/>
          <w:numId w:val="20"/>
        </w:numPr>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供应商质疑</w:t>
      </w:r>
    </w:p>
    <w:p>
      <w:pPr>
        <w:numPr>
          <w:ilvl w:val="2"/>
          <w:numId w:val="20"/>
        </w:numPr>
        <w:snapToGrid w:val="0"/>
        <w:spacing w:line="500" w:lineRule="exact"/>
        <w:ind w:left="0" w:leftChars="0" w:firstLine="567" w:firstLineChars="0"/>
        <w:rPr>
          <w:rFonts w:ascii="仿宋_GB2312" w:eastAsia="仿宋_GB2312"/>
          <w:bCs/>
          <w:sz w:val="28"/>
          <w:szCs w:val="28"/>
        </w:rPr>
      </w:pPr>
      <w:r>
        <w:rPr>
          <w:rFonts w:hint="eastAsia" w:ascii="仿宋_GB2312" w:hAnsi="宋体" w:eastAsia="仿宋_GB2312"/>
          <w:bCs/>
          <w:sz w:val="28"/>
          <w:szCs w:val="28"/>
        </w:rPr>
        <w:t>供应商认为招标文件、采购过程和中标、成交结果使自己的权益受到损害的，可以在知道或者应知其权益受到损害之日起七个工作日内，以书面形式向采购机构提出质疑。</w:t>
      </w:r>
    </w:p>
    <w:p>
      <w:pPr>
        <w:snapToGrid w:val="0"/>
        <w:spacing w:before="120" w:beforeLines="50" w:after="120" w:afterLines="50" w:line="500" w:lineRule="exact"/>
        <w:ind w:left="567"/>
        <w:rPr>
          <w:rFonts w:ascii="仿宋_GB2312" w:hAnsi="宋体" w:eastAsia="仿宋_GB2312"/>
          <w:bCs/>
          <w:sz w:val="28"/>
          <w:szCs w:val="28"/>
        </w:rPr>
      </w:pPr>
      <w:r>
        <w:rPr>
          <w:rFonts w:hint="eastAsia" w:ascii="仿宋_GB2312" w:hAnsi="宋体" w:eastAsia="仿宋_GB2312"/>
          <w:bCs/>
          <w:sz w:val="28"/>
          <w:szCs w:val="28"/>
        </w:rPr>
        <w:t>政府采购法第五十二条规定的供应商应知其权益受到损害之日，是指：</w:t>
      </w:r>
    </w:p>
    <w:p>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（1）对采购文件提出质疑的，应当在获取采购文件或者采购文件公告期限届满之日起7个工作日内提出。</w:t>
      </w:r>
    </w:p>
    <w:p>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（2）对采购过程提出质疑的，为各采购程序环节结束之日；</w:t>
      </w:r>
    </w:p>
    <w:p>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hAnsi="宋体" w:eastAsia="仿宋_GB2312"/>
          <w:bCs/>
          <w:sz w:val="28"/>
          <w:szCs w:val="28"/>
        </w:rPr>
        <w:t>（3）对中标结果提出质疑的，为中标结果公告期限届满之日。</w:t>
      </w:r>
    </w:p>
    <w:p>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Cs/>
          <w:sz w:val="28"/>
          <w:szCs w:val="28"/>
        </w:rPr>
        <w:t>供应商质疑应当有明确的请求和必要的证明材料。供应商提交的质疑书需一式三份，由法定代表人</w:t>
      </w:r>
      <w:r>
        <w:rPr>
          <w:rFonts w:hint="eastAsia" w:ascii="仿宋_GB2312" w:hAnsi="宋体" w:eastAsia="仿宋_GB2312"/>
          <w:sz w:val="28"/>
          <w:szCs w:val="28"/>
        </w:rPr>
        <w:t>（负责人）</w:t>
      </w:r>
      <w:r>
        <w:rPr>
          <w:rFonts w:hint="eastAsia" w:ascii="仿宋_GB2312" w:hAnsi="宋体" w:eastAsia="仿宋_GB2312"/>
          <w:bCs/>
          <w:sz w:val="28"/>
          <w:szCs w:val="28"/>
        </w:rPr>
        <w:t>签字（或盖章）并加盖单位公章。质疑</w:t>
      </w:r>
      <w:r>
        <w:rPr>
          <w:rFonts w:hint="eastAsia" w:ascii="仿宋_GB2312" w:hAnsi="宋体" w:eastAsia="仿宋_GB2312"/>
          <w:bCs/>
          <w:sz w:val="28"/>
          <w:szCs w:val="28"/>
          <w:lang w:val="en-US" w:eastAsia="zh-CN"/>
        </w:rPr>
        <w:t>也可以通过政采云系统向采购人网上发起</w:t>
      </w:r>
      <w:r>
        <w:rPr>
          <w:rFonts w:ascii="仿宋_GB2312" w:hAnsi="宋体" w:eastAsia="仿宋_GB2312"/>
          <w:bCs/>
          <w:sz w:val="28"/>
          <w:szCs w:val="28"/>
        </w:rPr>
        <w:t>。</w:t>
      </w:r>
    </w:p>
    <w:p>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20"/>
        </w:numPr>
        <w:tabs>
          <w:tab w:val="left" w:pos="420"/>
          <w:tab w:val="clear" w:pos="0"/>
        </w:tabs>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供应商投诉</w:t>
      </w:r>
    </w:p>
    <w:p>
      <w:pPr>
        <w:snapToGrid w:val="0"/>
        <w:spacing w:before="120" w:beforeLines="50" w:after="120" w:afterLines="50" w:line="500" w:lineRule="exact"/>
        <w:ind w:firstLine="560" w:firstLineChars="200"/>
        <w:rPr>
          <w:rFonts w:ascii="仿宋_GB2312" w:eastAsia="仿宋_GB2312"/>
          <w:b/>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法律责任</w:t>
      </w:r>
      <w:bookmarkEnd w:id="20"/>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bookmarkStart w:id="81" w:name="_GoBack"/>
      <w:bookmarkEnd w:id="81"/>
      <w:r>
        <w:rPr>
          <w:rFonts w:hint="eastAsia" w:ascii="仿宋_GB2312" w:eastAsia="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提供虚假材料谋取中标的;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采取不正当手段诋毁、排挤其他投标人的;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与采购人、采购代理机构、其他投标人恶意串通的;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向采购人、采购代理机构行贿或者提供其他不正当利益的;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在招标过程中与采购人进行协商谈判、不按照招标文件和中标人的投标文件订立合同,或者与采购人另行订立背离合同实质性内容的协议的;</w:t>
      </w:r>
    </w:p>
    <w:p>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拒绝有关部门监督检查或者提供虚假情况的；</w:t>
      </w:r>
    </w:p>
    <w:p>
      <w:pPr>
        <w:numPr>
          <w:ilvl w:val="0"/>
          <w:numId w:val="14"/>
        </w:numPr>
        <w:snapToGrid w:val="0"/>
        <w:spacing w:before="120" w:beforeLines="50" w:after="120" w:afterLines="50" w:line="500" w:lineRule="exact"/>
        <w:rPr>
          <w:rFonts w:ascii="仿宋_GB2312" w:eastAsia="仿宋_GB2312"/>
          <w:b/>
          <w:sz w:val="28"/>
          <w:szCs w:val="28"/>
        </w:rPr>
      </w:pPr>
      <w:bookmarkStart w:id="21" w:name="_Toc356371442"/>
      <w:r>
        <w:rPr>
          <w:rFonts w:hint="eastAsia" w:ascii="仿宋_GB2312" w:eastAsia="仿宋_GB2312"/>
          <w:b/>
          <w:sz w:val="28"/>
          <w:szCs w:val="28"/>
        </w:rPr>
        <w:t>其他</w:t>
      </w:r>
      <w:bookmarkEnd w:id="21"/>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联系方式：所有与招标有关的函电请按下面联系</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通讯地址：衢州市衢江区公共资源交易中心（衢州市衢江区振兴东路268号六楼611室）    邮编：324000</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答疑咨询电话：0570-3838411</w:t>
      </w:r>
    </w:p>
    <w:p>
      <w:pPr>
        <w:spacing w:line="540" w:lineRule="exact"/>
        <w:ind w:firstLine="560" w:firstLineChars="200"/>
        <w:jc w:val="center"/>
        <w:outlineLvl w:val="0"/>
        <w:rPr>
          <w:rFonts w:ascii="仿宋_GB2312" w:eastAsia="仿宋_GB2312"/>
          <w:sz w:val="28"/>
          <w:szCs w:val="28"/>
        </w:rPr>
        <w:sectPr>
          <w:headerReference r:id="rId5" w:type="default"/>
          <w:footerReference r:id="rId6" w:type="default"/>
          <w:pgSz w:w="11906" w:h="16838"/>
          <w:pgMar w:top="1389" w:right="1247" w:bottom="1389" w:left="1247" w:header="851" w:footer="992" w:gutter="284"/>
          <w:cols w:space="720" w:num="1"/>
          <w:docGrid w:linePitch="312" w:charSpace="0"/>
        </w:sectPr>
      </w:pPr>
    </w:p>
    <w:p>
      <w:pPr>
        <w:numPr>
          <w:ilvl w:val="0"/>
          <w:numId w:val="22"/>
        </w:numPr>
        <w:spacing w:line="540" w:lineRule="exact"/>
        <w:jc w:val="center"/>
        <w:outlineLvl w:val="0"/>
        <w:rPr>
          <w:rFonts w:ascii="仿宋_GB2312" w:hAnsi="宋体" w:eastAsia="仿宋_GB2312" w:cs="宋体"/>
          <w:b/>
          <w:sz w:val="32"/>
          <w:szCs w:val="32"/>
        </w:rPr>
      </w:pPr>
      <w:bookmarkStart w:id="22" w:name="_Toc354401531"/>
      <w:bookmarkStart w:id="23" w:name="_Toc350256314"/>
      <w:bookmarkStart w:id="24" w:name="_Toc322352983"/>
      <w:r>
        <w:rPr>
          <w:rFonts w:hint="eastAsia" w:ascii="仿宋_GB2312" w:hAnsi="宋体" w:eastAsia="仿宋_GB2312" w:cs="宋体"/>
          <w:b/>
          <w:sz w:val="32"/>
          <w:szCs w:val="32"/>
        </w:rPr>
        <w:t xml:space="preserve"> </w:t>
      </w:r>
      <w:bookmarkStart w:id="25" w:name="_Toc8461"/>
      <w:r>
        <w:rPr>
          <w:rFonts w:hint="eastAsia" w:ascii="仿宋_GB2312" w:hAnsi="宋体" w:eastAsia="仿宋_GB2312" w:cs="宋体"/>
          <w:b/>
          <w:sz w:val="32"/>
          <w:szCs w:val="32"/>
        </w:rPr>
        <w:t>采购内容及要求</w:t>
      </w:r>
      <w:bookmarkEnd w:id="22"/>
      <w:bookmarkEnd w:id="23"/>
      <w:bookmarkEnd w:id="24"/>
      <w:bookmarkEnd w:id="25"/>
    </w:p>
    <w:p>
      <w:pPr>
        <w:pStyle w:val="3"/>
        <w:bidi w:val="0"/>
        <w:rPr>
          <w:rFonts w:hint="eastAsia" w:ascii="Calibri" w:hAnsi="Calibri" w:eastAsia="宋体" w:cs="Times New Roman"/>
          <w:b/>
          <w:bCs/>
          <w:kern w:val="44"/>
          <w:sz w:val="36"/>
          <w:szCs w:val="44"/>
          <w:lang w:val="en-US" w:eastAsia="zh-CN" w:bidi="ar-SA"/>
        </w:rPr>
      </w:pPr>
      <w:bookmarkStart w:id="26" w:name="_Toc322352984"/>
      <w:bookmarkStart w:id="27" w:name="_Toc354401534"/>
      <w:bookmarkStart w:id="28" w:name="_Toc350256315"/>
      <w:bookmarkStart w:id="29" w:name="_Toc14367"/>
      <w:r>
        <w:rPr>
          <w:rFonts w:hint="eastAsia" w:ascii="Calibri" w:hAnsi="Calibri" w:eastAsia="宋体" w:cs="Times New Roman"/>
          <w:b/>
          <w:bCs/>
          <w:kern w:val="44"/>
          <w:sz w:val="36"/>
          <w:szCs w:val="44"/>
          <w:lang w:val="en-US" w:eastAsia="zh-CN" w:bidi="ar-SA"/>
        </w:rPr>
        <w:t>一、办案区物联网管控系统功能要求</w:t>
      </w:r>
    </w:p>
    <w:p>
      <w:pPr>
        <w:spacing w:line="360" w:lineRule="auto"/>
        <w:ind w:firstLine="480" w:firstLineChars="200"/>
        <w:rPr>
          <w:rFonts w:ascii="宋体" w:hAnsi="宋体" w:cs="宋体"/>
          <w:bCs/>
          <w:sz w:val="24"/>
        </w:rPr>
      </w:pPr>
      <w:r>
        <w:rPr>
          <w:rFonts w:hint="eastAsia" w:ascii="宋体" w:hAnsi="宋体" w:cs="宋体"/>
          <w:bCs/>
          <w:sz w:val="24"/>
        </w:rPr>
        <w:t>（1）办案区人员信息登记</w:t>
      </w:r>
    </w:p>
    <w:p>
      <w:pPr>
        <w:spacing w:line="360" w:lineRule="auto"/>
        <w:ind w:firstLine="480" w:firstLineChars="200"/>
        <w:rPr>
          <w:rFonts w:ascii="宋体" w:hAnsi="宋体" w:cs="宋体"/>
          <w:bCs/>
          <w:sz w:val="24"/>
        </w:rPr>
      </w:pPr>
      <w:r>
        <w:rPr>
          <w:rFonts w:hint="eastAsia" w:ascii="宋体" w:hAnsi="宋体" w:cs="宋体"/>
          <w:bCs/>
          <w:sz w:val="24"/>
        </w:rPr>
        <w:t>人员进入办案区后，使用身份证刷卡，系统根据身份证号自动获取该人员的基本信息；并自动将获取的数据填充到页面，减少办案民警进行手动输入的工作量。</w:t>
      </w:r>
    </w:p>
    <w:p>
      <w:pPr>
        <w:spacing w:line="360" w:lineRule="auto"/>
        <w:ind w:firstLine="480" w:firstLineChars="200"/>
        <w:rPr>
          <w:rFonts w:ascii="宋体" w:hAnsi="宋体" w:cs="宋体"/>
          <w:bCs/>
          <w:sz w:val="24"/>
        </w:rPr>
      </w:pPr>
      <w:r>
        <w:rPr>
          <w:rFonts w:hint="eastAsia" w:ascii="宋体" w:hAnsi="宋体" w:cs="宋体"/>
          <w:bCs/>
          <w:sz w:val="24"/>
        </w:rPr>
        <w:t>（2）随身物品关联分配</w:t>
      </w:r>
    </w:p>
    <w:p>
      <w:pPr>
        <w:spacing w:line="360" w:lineRule="auto"/>
        <w:ind w:firstLine="480" w:firstLineChars="200"/>
        <w:rPr>
          <w:rFonts w:ascii="宋体" w:hAnsi="宋体" w:cs="宋体"/>
          <w:bCs/>
          <w:sz w:val="24"/>
        </w:rPr>
      </w:pPr>
      <w:r>
        <w:rPr>
          <w:rFonts w:hint="eastAsia" w:ascii="宋体" w:hAnsi="宋体" w:cs="宋体"/>
          <w:bCs/>
          <w:sz w:val="24"/>
        </w:rPr>
        <w:t>当事人主动将随身物品放入储物盒，此时全程摄像并拍照固定。系统通过手环将办案区人员的基本信息，随身物品信息等自动关联并且根据智能柜的空闲情况自动分配可用的储物格，同时让当事人亲自存入智能柜。</w:t>
      </w:r>
    </w:p>
    <w:p>
      <w:pPr>
        <w:spacing w:line="360" w:lineRule="auto"/>
        <w:ind w:firstLine="480" w:firstLineChars="200"/>
        <w:rPr>
          <w:rFonts w:ascii="宋体" w:hAnsi="宋体" w:cs="宋体"/>
          <w:bCs/>
          <w:sz w:val="24"/>
        </w:rPr>
      </w:pPr>
      <w:r>
        <w:rPr>
          <w:rFonts w:hint="eastAsia" w:ascii="宋体" w:hAnsi="宋体" w:cs="宋体"/>
          <w:bCs/>
          <w:sz w:val="24"/>
        </w:rPr>
        <w:t>（3）等候室分配</w:t>
      </w:r>
    </w:p>
    <w:p>
      <w:pPr>
        <w:spacing w:line="360" w:lineRule="auto"/>
        <w:ind w:firstLine="480" w:firstLineChars="200"/>
        <w:rPr>
          <w:rFonts w:ascii="宋体" w:hAnsi="宋体" w:cs="宋体"/>
          <w:bCs/>
          <w:sz w:val="24"/>
        </w:rPr>
      </w:pPr>
      <w:r>
        <w:rPr>
          <w:rFonts w:hint="eastAsia" w:ascii="宋体" w:hAnsi="宋体" w:cs="宋体"/>
          <w:bCs/>
          <w:sz w:val="24"/>
        </w:rPr>
        <w:t>系统会根据各等候室的人员数量，人员性别，是否同案等条件，智能分配到最适合的等候室，同时等候室的LED屏上会显示该人员的姓名。</w:t>
      </w:r>
    </w:p>
    <w:p>
      <w:pPr>
        <w:spacing w:line="360" w:lineRule="auto"/>
        <w:ind w:firstLine="480" w:firstLineChars="200"/>
        <w:rPr>
          <w:rFonts w:ascii="宋体" w:hAnsi="宋体" w:cs="宋体"/>
          <w:bCs/>
          <w:sz w:val="24"/>
        </w:rPr>
      </w:pPr>
      <w:r>
        <w:rPr>
          <w:rFonts w:hint="eastAsia" w:ascii="宋体" w:hAnsi="宋体" w:cs="宋体"/>
          <w:bCs/>
          <w:sz w:val="24"/>
        </w:rPr>
        <w:t>除了自动分配等候室以外，也提供了手动分配等候室的功能，系统会将每个等候室中的人员以图形化界面展示，可根据实际情况将人员分配到最适合的等候室。</w:t>
      </w:r>
    </w:p>
    <w:p>
      <w:pPr>
        <w:spacing w:line="360" w:lineRule="auto"/>
        <w:ind w:firstLine="480" w:firstLineChars="200"/>
        <w:rPr>
          <w:rFonts w:ascii="宋体" w:hAnsi="宋体" w:cs="宋体"/>
          <w:bCs/>
          <w:sz w:val="24"/>
        </w:rPr>
      </w:pPr>
      <w:r>
        <w:rPr>
          <w:rFonts w:hint="eastAsia" w:ascii="宋体" w:hAnsi="宋体" w:cs="宋体"/>
          <w:bCs/>
          <w:sz w:val="24"/>
        </w:rPr>
        <w:t>（4）审讯室分配</w:t>
      </w:r>
    </w:p>
    <w:p>
      <w:pPr>
        <w:spacing w:line="360" w:lineRule="auto"/>
        <w:ind w:firstLine="480" w:firstLineChars="200"/>
        <w:rPr>
          <w:rFonts w:ascii="宋体" w:hAnsi="宋体" w:cs="宋体"/>
          <w:bCs/>
          <w:sz w:val="24"/>
        </w:rPr>
      </w:pPr>
      <w:r>
        <w:rPr>
          <w:rFonts w:hint="eastAsia" w:ascii="宋体" w:hAnsi="宋体" w:cs="宋体"/>
          <w:bCs/>
          <w:sz w:val="24"/>
        </w:rPr>
        <w:t>人员进入等候区后，可以刷手环进行自动分配，系统会自动将人员分配到空闲的审讯室，人员类别为犯罪嫌疑人的，房间LED自动显示为讯问室；人员类别为违法行为的，房间LED自动显示为询问室，并且分配信息会在所分配的审讯室门上的LED显示。</w:t>
      </w:r>
    </w:p>
    <w:p>
      <w:pPr>
        <w:spacing w:line="360" w:lineRule="auto"/>
        <w:ind w:firstLine="480" w:firstLineChars="200"/>
        <w:rPr>
          <w:rFonts w:ascii="宋体" w:hAnsi="宋体" w:cs="宋体"/>
          <w:bCs/>
          <w:sz w:val="24"/>
        </w:rPr>
      </w:pPr>
      <w:r>
        <w:rPr>
          <w:rFonts w:hint="eastAsia" w:ascii="宋体" w:hAnsi="宋体" w:cs="宋体"/>
          <w:bCs/>
          <w:sz w:val="24"/>
        </w:rPr>
        <w:t>人员分配到审讯室后，审讯室房间里的电源会自动打开，审讯桌开始工作；人员做完笔录后，审讯室会在15分钟后自动断电，同时LED屏显示该审讯室为空闲状态。</w:t>
      </w:r>
    </w:p>
    <w:p>
      <w:pPr>
        <w:spacing w:line="360" w:lineRule="auto"/>
        <w:ind w:firstLine="480" w:firstLineChars="200"/>
        <w:rPr>
          <w:rFonts w:ascii="宋体" w:hAnsi="宋体" w:cs="宋体"/>
          <w:bCs/>
          <w:sz w:val="24"/>
        </w:rPr>
      </w:pPr>
      <w:r>
        <w:rPr>
          <w:rFonts w:hint="eastAsia" w:ascii="宋体" w:hAnsi="宋体" w:cs="宋体"/>
          <w:bCs/>
          <w:sz w:val="24"/>
        </w:rPr>
        <w:t>（5）刷卡取物</w:t>
      </w:r>
    </w:p>
    <w:p>
      <w:pPr>
        <w:spacing w:line="360" w:lineRule="auto"/>
        <w:ind w:firstLine="480" w:firstLineChars="200"/>
        <w:rPr>
          <w:rFonts w:ascii="宋体" w:hAnsi="宋体" w:cs="宋体"/>
          <w:bCs/>
          <w:sz w:val="24"/>
        </w:rPr>
      </w:pPr>
      <w:r>
        <w:rPr>
          <w:rFonts w:hint="eastAsia" w:ascii="宋体" w:hAnsi="宋体" w:cs="宋体"/>
          <w:bCs/>
          <w:sz w:val="24"/>
        </w:rPr>
        <w:t>办案区人员在出所审批获得通过后，使用手环进行刷卡取物，系统调取人员入所时的随身物品照片，并自动打开随身物品柜，再次拍照确认，由当事人签字后出所。</w:t>
      </w:r>
    </w:p>
    <w:p>
      <w:pPr>
        <w:spacing w:line="360" w:lineRule="auto"/>
        <w:ind w:firstLine="480" w:firstLineChars="200"/>
        <w:rPr>
          <w:rFonts w:ascii="宋体" w:hAnsi="宋体" w:cs="宋体"/>
          <w:bCs/>
          <w:sz w:val="24"/>
        </w:rPr>
      </w:pPr>
      <w:r>
        <w:rPr>
          <w:rFonts w:hint="eastAsia" w:ascii="宋体" w:hAnsi="宋体" w:cs="宋体"/>
          <w:bCs/>
          <w:sz w:val="24"/>
        </w:rPr>
        <w:t>（6）智能笔录</w:t>
      </w:r>
    </w:p>
    <w:p>
      <w:pPr>
        <w:spacing w:line="360" w:lineRule="auto"/>
        <w:ind w:firstLine="480" w:firstLineChars="200"/>
        <w:rPr>
          <w:rFonts w:ascii="宋体" w:hAnsi="宋体" w:cs="宋体"/>
          <w:bCs/>
          <w:sz w:val="24"/>
        </w:rPr>
      </w:pPr>
      <w:r>
        <w:rPr>
          <w:rFonts w:hint="eastAsia" w:ascii="宋体" w:hAnsi="宋体" w:cs="宋体"/>
          <w:bCs/>
          <w:sz w:val="24"/>
        </w:rPr>
        <w:t>制作笔录时，支持画中画功能（审讯室全景画面，被询问人画面），可将审讯时的音视频进行同步刻录，并能在光盘表面打印自定义封面。</w:t>
      </w:r>
    </w:p>
    <w:p>
      <w:pPr>
        <w:spacing w:line="360" w:lineRule="auto"/>
        <w:ind w:firstLine="480" w:firstLineChars="200"/>
        <w:rPr>
          <w:rFonts w:ascii="宋体" w:hAnsi="宋体" w:cs="宋体"/>
          <w:bCs/>
          <w:sz w:val="24"/>
        </w:rPr>
      </w:pPr>
      <w:r>
        <w:rPr>
          <w:rFonts w:hint="eastAsia" w:ascii="宋体" w:hAnsi="宋体" w:cs="宋体"/>
          <w:bCs/>
          <w:sz w:val="24"/>
        </w:rPr>
        <w:t>民警在制作笔录同时被询问人也能通过分屏看到笔录一问一答得内容，系统还可以自动识别笔录内容并朗读相关内容。</w:t>
      </w:r>
    </w:p>
    <w:p>
      <w:pPr>
        <w:spacing w:line="360" w:lineRule="auto"/>
        <w:ind w:firstLine="480" w:firstLineChars="200"/>
        <w:rPr>
          <w:rFonts w:ascii="宋体" w:hAnsi="宋体" w:cs="宋体"/>
          <w:bCs/>
          <w:sz w:val="24"/>
        </w:rPr>
      </w:pPr>
      <w:r>
        <w:rPr>
          <w:rFonts w:hint="eastAsia" w:ascii="宋体" w:hAnsi="宋体" w:cs="宋体"/>
          <w:bCs/>
          <w:sz w:val="24"/>
        </w:rPr>
        <w:t>（7）智能笔录</w:t>
      </w:r>
    </w:p>
    <w:p>
      <w:pPr>
        <w:spacing w:line="360" w:lineRule="auto"/>
        <w:ind w:firstLine="480" w:firstLineChars="200"/>
        <w:rPr>
          <w:rFonts w:ascii="宋体" w:hAnsi="宋体" w:cs="宋体"/>
          <w:bCs/>
          <w:sz w:val="24"/>
        </w:rPr>
      </w:pPr>
      <w:r>
        <w:rPr>
          <w:rFonts w:hint="eastAsia" w:ascii="宋体" w:hAnsi="宋体" w:cs="宋体"/>
          <w:bCs/>
          <w:sz w:val="24"/>
        </w:rPr>
        <w:t>制作笔录时，支持画中画功能（审讯室全景画面，被询问人画面），可将审讯时的音视频进行同步刻录，并能在光盘表面打印自定义封面。</w:t>
      </w:r>
    </w:p>
    <w:p>
      <w:pPr>
        <w:spacing w:line="360" w:lineRule="auto"/>
        <w:ind w:firstLine="480" w:firstLineChars="200"/>
        <w:rPr>
          <w:rFonts w:ascii="宋体" w:hAnsi="宋体" w:cs="宋体"/>
          <w:bCs/>
          <w:sz w:val="24"/>
        </w:rPr>
      </w:pPr>
      <w:r>
        <w:rPr>
          <w:rFonts w:hint="eastAsia" w:ascii="宋体" w:hAnsi="宋体" w:cs="宋体"/>
          <w:bCs/>
          <w:sz w:val="24"/>
        </w:rPr>
        <w:t>民警在制作笔录同时被询问人也能通过分屏看到笔录一问一答得内容，系统还可以自动识别笔录内容并朗读相关内容。</w:t>
      </w:r>
    </w:p>
    <w:p>
      <w:pPr>
        <w:spacing w:line="360" w:lineRule="auto"/>
        <w:ind w:firstLine="480" w:firstLineChars="200"/>
        <w:rPr>
          <w:rFonts w:ascii="宋体" w:hAnsi="宋体" w:cs="宋体"/>
          <w:bCs/>
          <w:sz w:val="24"/>
        </w:rPr>
      </w:pPr>
      <w:r>
        <w:rPr>
          <w:rFonts w:hint="eastAsia" w:ascii="宋体" w:hAnsi="宋体" w:cs="宋体"/>
          <w:bCs/>
          <w:sz w:val="24"/>
        </w:rPr>
        <w:t>（8）人员定位</w:t>
      </w:r>
    </w:p>
    <w:p>
      <w:pPr>
        <w:spacing w:line="360" w:lineRule="auto"/>
        <w:ind w:firstLine="480" w:firstLineChars="200"/>
        <w:rPr>
          <w:rFonts w:ascii="宋体" w:hAnsi="宋体" w:cs="宋体"/>
          <w:bCs/>
          <w:sz w:val="24"/>
        </w:rPr>
      </w:pPr>
      <w:r>
        <w:rPr>
          <w:rFonts w:hint="eastAsia" w:ascii="宋体" w:hAnsi="宋体" w:cs="宋体"/>
          <w:bCs/>
          <w:sz w:val="24"/>
        </w:rPr>
        <w:t>人员识别定位系统通过半有源电子标签的应用，以电子标签作为目前最先进的标识码，将其安装在受控目标上，作为目标的唯一标识进行追踪和定位。工作时，管理人员通过联网的无线识别基站进行追踪和定位目标。</w:t>
      </w:r>
    </w:p>
    <w:p>
      <w:pPr>
        <w:spacing w:line="360" w:lineRule="auto"/>
        <w:ind w:firstLine="480" w:firstLineChars="200"/>
        <w:rPr>
          <w:rFonts w:ascii="宋体" w:hAnsi="宋体" w:cs="宋体"/>
          <w:bCs/>
          <w:sz w:val="24"/>
        </w:rPr>
      </w:pPr>
      <w:r>
        <w:rPr>
          <w:rFonts w:hint="eastAsia" w:ascii="宋体" w:hAnsi="宋体" w:cs="宋体"/>
          <w:bCs/>
          <w:sz w:val="24"/>
        </w:rPr>
        <w:t>“RFID智能手环”每隔一定时间会主动向外周围发送电磁波，电磁波上载着标签的编号和其他定位信息。布设在标签周围的定位AP会时时的接收标签通过电磁波发出信息，因为每个定位AP所处的物理位置不同，所接收受到的标签信息除编号相同外，其他定位信息会有所不同。定位AP接收到标签信息之后会上传给定位服务器采集端程序，定位系统就是通过对各个定位AP接收到的标签定位信息的微小的差异来计算出，定位标签所处的位置。</w:t>
      </w:r>
    </w:p>
    <w:p>
      <w:pPr>
        <w:spacing w:line="360" w:lineRule="auto"/>
        <w:ind w:firstLine="480" w:firstLineChars="200"/>
        <w:rPr>
          <w:rFonts w:ascii="宋体" w:hAnsi="宋体" w:cs="宋体"/>
          <w:bCs/>
          <w:sz w:val="24"/>
        </w:rPr>
      </w:pPr>
      <w:r>
        <w:rPr>
          <w:rFonts w:hint="eastAsia" w:ascii="宋体" w:hAnsi="宋体" w:cs="宋体"/>
          <w:bCs/>
          <w:sz w:val="24"/>
        </w:rPr>
        <w:t>（9）远程提审</w:t>
      </w:r>
    </w:p>
    <w:p>
      <w:pPr>
        <w:spacing w:line="360" w:lineRule="auto"/>
        <w:ind w:firstLine="420"/>
        <w:rPr>
          <w:rFonts w:cs="微软雅黑" w:asciiTheme="minorEastAsia" w:hAnsiTheme="minorEastAsia"/>
          <w:sz w:val="24"/>
        </w:rPr>
      </w:pPr>
      <w:r>
        <w:rPr>
          <w:rFonts w:hint="eastAsia" w:cs="微软雅黑" w:asciiTheme="minorEastAsia" w:hAnsiTheme="minorEastAsia"/>
          <w:sz w:val="24"/>
        </w:rPr>
        <w:t>提审开始前，看守所人员需开启提审室相关设备：远程视频设备、电视机，电脑，远程提审端，并将嫌疑人带至提审室并固定。</w:t>
      </w:r>
    </w:p>
    <w:p>
      <w:pPr>
        <w:spacing w:line="360" w:lineRule="auto"/>
        <w:ind w:firstLine="420"/>
        <w:rPr>
          <w:rFonts w:cs="微软雅黑" w:asciiTheme="minorEastAsia" w:hAnsiTheme="minorEastAsia"/>
          <w:sz w:val="24"/>
        </w:rPr>
      </w:pPr>
      <w:r>
        <w:rPr>
          <w:rFonts w:hint="eastAsia" w:cs="微软雅黑" w:asciiTheme="minorEastAsia" w:hAnsiTheme="minorEastAsia"/>
          <w:sz w:val="24"/>
        </w:rPr>
        <w:t>民警通过笔录提审客户端连线到远程单位开始提审，建立视音频双向传输，同时，民警可以通过笔录提审客户端向被提审人展示笔录内容、示证等操作。</w:t>
      </w:r>
    </w:p>
    <w:p>
      <w:pPr>
        <w:spacing w:line="360" w:lineRule="auto"/>
        <w:ind w:firstLine="420"/>
        <w:rPr>
          <w:rFonts w:ascii="宋体" w:hAnsi="宋体" w:cs="宋体"/>
          <w:bCs/>
          <w:sz w:val="24"/>
        </w:rPr>
      </w:pPr>
      <w:r>
        <w:rPr>
          <w:rFonts w:hint="eastAsia" w:cs="微软雅黑" w:asciiTheme="minorEastAsia" w:hAnsiTheme="minorEastAsia"/>
          <w:sz w:val="24"/>
        </w:rPr>
        <w:t>笔录制作完成后，生成笔录文件传输至远程提审客户端并向被提审人展示，被提审人核对无误后通过电子签名捺印设备签名捺印，并把提审人已完成签名捺印的笔录文件传输至提审笔录客户端，民警通过电子签章设备进行签名，完成后由民警上传执法办案综合应用系统。提审结束后，民警可将提审过程音视频（远程提审双向音视频）进行刻录。</w:t>
      </w:r>
    </w:p>
    <w:p>
      <w:pPr>
        <w:pStyle w:val="3"/>
        <w:bidi w:val="0"/>
        <w:rPr>
          <w:rFonts w:hint="eastAsia" w:ascii="Calibri" w:hAnsi="Calibri" w:eastAsia="宋体" w:cs="Times New Roman"/>
          <w:b/>
          <w:bCs/>
          <w:kern w:val="44"/>
          <w:sz w:val="36"/>
          <w:szCs w:val="44"/>
          <w:lang w:val="en-US" w:eastAsia="zh-CN" w:bidi="ar-SA"/>
        </w:rPr>
      </w:pPr>
      <w:r>
        <w:rPr>
          <w:rFonts w:hint="eastAsia" w:ascii="Calibri" w:hAnsi="Calibri" w:eastAsia="宋体" w:cs="Times New Roman"/>
          <w:b/>
          <w:bCs/>
          <w:kern w:val="44"/>
          <w:sz w:val="36"/>
          <w:szCs w:val="44"/>
          <w:lang w:val="en-US" w:eastAsia="zh-CN" w:bidi="ar-SA"/>
        </w:rPr>
        <w:t>二、数据对接要求</w:t>
      </w:r>
    </w:p>
    <w:p>
      <w:pPr>
        <w:spacing w:line="360" w:lineRule="auto"/>
        <w:ind w:firstLine="480" w:firstLineChars="200"/>
        <w:rPr>
          <w:rFonts w:hint="eastAsia" w:ascii="宋体" w:hAnsi="宋体" w:eastAsia="宋体" w:cs="宋体"/>
          <w:bCs/>
          <w:sz w:val="24"/>
          <w:lang w:eastAsia="zh-CN"/>
        </w:rPr>
      </w:pPr>
      <w:r>
        <w:rPr>
          <w:rFonts w:hint="eastAsia" w:ascii="宋体" w:hAnsi="宋体" w:cs="宋体"/>
          <w:sz w:val="24"/>
        </w:rPr>
        <w:t>对接浙江省执法办案综合应用系统。</w:t>
      </w:r>
      <w:r>
        <w:rPr>
          <w:rFonts w:hint="eastAsia" w:ascii="宋体" w:hAnsi="宋体" w:cs="宋体"/>
          <w:bCs/>
          <w:sz w:val="24"/>
        </w:rPr>
        <w:t>本系统需与浙江省执法办案综合应用系统实现无缝对接，实现人员、案件、视音频资料、笔录等内容与执法办案综合应用系统的同步与共享</w:t>
      </w:r>
      <w:r>
        <w:rPr>
          <w:rFonts w:hint="eastAsia" w:ascii="宋体" w:hAnsi="宋体" w:cs="宋体"/>
          <w:bCs/>
          <w:sz w:val="24"/>
          <w:lang w:eastAsia="zh-CN"/>
        </w:rPr>
        <w:t>。</w:t>
      </w:r>
    </w:p>
    <w:p>
      <w:pPr>
        <w:spacing w:line="360" w:lineRule="auto"/>
        <w:ind w:firstLine="360" w:firstLineChars="200"/>
        <w:rPr>
          <w:rFonts w:hint="eastAsia" w:ascii="宋体" w:hAnsi="宋体" w:cs="宋体"/>
          <w:bCs/>
          <w:sz w:val="24"/>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bCs/>
          <w:sz w:val="24"/>
        </w:rPr>
        <w:t>投标时提供与浙江省执法办案综合应用系统的对接承诺函</w:t>
      </w:r>
      <w:r>
        <w:rPr>
          <w:rFonts w:hint="eastAsia" w:ascii="宋体" w:hAnsi="宋体" w:cs="宋体"/>
          <w:bCs/>
          <w:sz w:val="24"/>
          <w:lang w:eastAsia="zh-CN"/>
        </w:rPr>
        <w:t>（</w:t>
      </w:r>
      <w:r>
        <w:rPr>
          <w:rFonts w:hint="eastAsia" w:ascii="宋体" w:hAnsi="宋体" w:cs="宋体"/>
          <w:bCs/>
          <w:sz w:val="24"/>
          <w:lang w:val="en-US" w:eastAsia="zh-CN"/>
        </w:rPr>
        <w:t>格式自定）</w:t>
      </w:r>
      <w:r>
        <w:rPr>
          <w:rFonts w:hint="eastAsia" w:ascii="宋体" w:hAnsi="宋体" w:cs="宋体"/>
          <w:bCs/>
          <w:sz w:val="24"/>
        </w:rPr>
        <w:t>。</w:t>
      </w:r>
    </w:p>
    <w:p>
      <w:pPr>
        <w:pStyle w:val="2"/>
        <w:spacing w:line="360" w:lineRule="auto"/>
        <w:rPr>
          <w:sz w:val="36"/>
        </w:rPr>
      </w:pPr>
      <w:r>
        <w:rPr>
          <w:rFonts w:hint="eastAsia"/>
          <w:sz w:val="36"/>
          <w:lang w:val="en-US" w:eastAsia="zh-CN"/>
        </w:rPr>
        <w:t>三、</w:t>
      </w:r>
      <w:r>
        <w:rPr>
          <w:rFonts w:hint="eastAsia"/>
          <w:sz w:val="36"/>
        </w:rPr>
        <w:t>商务条款</w:t>
      </w:r>
    </w:p>
    <w:p>
      <w:pPr>
        <w:spacing w:line="360" w:lineRule="auto"/>
        <w:rPr>
          <w:rFonts w:hint="eastAsia" w:ascii="宋体" w:hAnsi="宋体"/>
          <w:bCs/>
          <w:sz w:val="24"/>
        </w:rPr>
      </w:pPr>
      <w:r>
        <w:rPr>
          <w:rFonts w:hint="eastAsia" w:ascii="宋体" w:hAnsi="宋体"/>
          <w:b/>
          <w:bCs/>
          <w:sz w:val="24"/>
        </w:rPr>
        <w:t>1、质保期：</w:t>
      </w:r>
      <w:r>
        <w:rPr>
          <w:rFonts w:hint="eastAsia" w:ascii="宋体" w:hAnsi="宋体"/>
          <w:bCs/>
          <w:sz w:val="24"/>
        </w:rPr>
        <w:t>智能设备自交付安装并通过验收之日起设备</w:t>
      </w:r>
      <w:r>
        <w:rPr>
          <w:rFonts w:hint="eastAsia" w:ascii="宋体" w:hAnsi="宋体"/>
          <w:bCs/>
          <w:sz w:val="24"/>
          <w:lang w:val="en-US" w:eastAsia="zh-CN"/>
        </w:rPr>
        <w:t>1</w:t>
      </w:r>
      <w:r>
        <w:rPr>
          <w:rFonts w:hint="eastAsia" w:ascii="宋体" w:hAnsi="宋体"/>
          <w:bCs/>
          <w:sz w:val="24"/>
        </w:rPr>
        <w:t>年、软件</w:t>
      </w:r>
      <w:r>
        <w:rPr>
          <w:rFonts w:hint="eastAsia" w:ascii="宋体" w:hAnsi="宋体"/>
          <w:bCs/>
          <w:sz w:val="24"/>
          <w:lang w:val="en-US" w:eastAsia="zh-CN"/>
        </w:rPr>
        <w:t>2</w:t>
      </w:r>
      <w:r>
        <w:rPr>
          <w:rFonts w:hint="eastAsia" w:ascii="宋体" w:hAnsi="宋体"/>
          <w:bCs/>
          <w:sz w:val="24"/>
        </w:rPr>
        <w:t>年质保期。硬件:质保期内因产品本身缺陷（非人为因素）造成各种故障应由成交供应商免费技术服务和维修、更换。质保期外，投标人需提供终身的维修服务</w:t>
      </w:r>
      <w:r>
        <w:rPr>
          <w:rFonts w:hint="eastAsia" w:ascii="宋体" w:hAnsi="宋体"/>
          <w:bCs/>
          <w:sz w:val="24"/>
          <w:lang w:eastAsia="zh-CN"/>
        </w:rPr>
        <w:t>，收取材料成本费</w:t>
      </w:r>
      <w:r>
        <w:rPr>
          <w:rFonts w:hint="eastAsia" w:ascii="宋体" w:hAnsi="宋体"/>
          <w:bCs/>
          <w:sz w:val="24"/>
        </w:rPr>
        <w:t>。软件:质保期内在无重大功能调整的情况下,要确保正常运行。</w:t>
      </w:r>
      <w:r>
        <w:rPr>
          <w:rFonts w:hint="eastAsia" w:ascii="宋体" w:hAnsi="宋体" w:cs="宋体"/>
          <w:sz w:val="24"/>
          <w:szCs w:val="24"/>
        </w:rPr>
        <w:t>提供所有软件系统</w:t>
      </w:r>
      <w:r>
        <w:rPr>
          <w:rFonts w:hint="eastAsia" w:ascii="宋体" w:hAnsi="宋体" w:cs="宋体"/>
          <w:sz w:val="24"/>
          <w:szCs w:val="24"/>
          <w:lang w:val="en-US" w:eastAsia="zh-CN"/>
        </w:rPr>
        <w:t>免费升级</w:t>
      </w:r>
      <w:r>
        <w:rPr>
          <w:rFonts w:hint="eastAsia" w:ascii="宋体" w:hAnsi="宋体" w:cs="宋体"/>
          <w:sz w:val="24"/>
          <w:szCs w:val="24"/>
          <w:lang w:eastAsia="zh-CN"/>
        </w:rPr>
        <w:t>。</w:t>
      </w:r>
    </w:p>
    <w:p>
      <w:pPr>
        <w:spacing w:line="360" w:lineRule="auto"/>
        <w:rPr>
          <w:rFonts w:hint="eastAsia" w:ascii="宋体" w:hAnsi="宋体"/>
          <w:bCs/>
          <w:sz w:val="24"/>
        </w:rPr>
      </w:pPr>
      <w:r>
        <w:rPr>
          <w:rFonts w:hint="eastAsia" w:ascii="宋体" w:hAnsi="宋体"/>
          <w:b/>
          <w:bCs/>
          <w:sz w:val="24"/>
        </w:rPr>
        <w:t>2、工期</w:t>
      </w:r>
      <w:r>
        <w:rPr>
          <w:rFonts w:hint="eastAsia" w:ascii="宋体" w:hAnsi="宋体"/>
          <w:bCs/>
          <w:sz w:val="24"/>
        </w:rPr>
        <w:t>：自合同签订之日后甲方确认可以入场施工之日起，60个日历日。</w:t>
      </w:r>
    </w:p>
    <w:p>
      <w:pPr>
        <w:spacing w:line="360" w:lineRule="auto"/>
        <w:rPr>
          <w:rFonts w:ascii="宋体" w:hAnsi="宋体"/>
          <w:bCs/>
          <w:sz w:val="24"/>
        </w:rPr>
      </w:pPr>
      <w:r>
        <w:rPr>
          <w:rFonts w:hint="eastAsia" w:ascii="宋体" w:hAnsi="宋体"/>
          <w:b/>
          <w:bCs/>
          <w:sz w:val="24"/>
        </w:rPr>
        <w:t>3、培训</w:t>
      </w:r>
      <w:r>
        <w:rPr>
          <w:rFonts w:hint="eastAsia" w:ascii="宋体" w:hAnsi="宋体"/>
          <w:bCs/>
          <w:sz w:val="24"/>
        </w:rPr>
        <w:t>：（采购内容部分有特殊产品培训要求的，以特殊要求为准）。成交供应商有义务对采购人采购设备的正常使用和维护提供必要的培训；培训的内容包括主要设备和软件的安装、使用、配置管理、性能优化以及硬件基本维护知识、</w:t>
      </w:r>
      <w:r>
        <w:rPr>
          <w:rFonts w:hint="eastAsia" w:ascii="宋体" w:hAnsi="宋体"/>
          <w:bCs/>
          <w:color w:val="auto"/>
          <w:sz w:val="24"/>
        </w:rPr>
        <w:t>操作方法等。</w:t>
      </w:r>
    </w:p>
    <w:p>
      <w:pPr>
        <w:spacing w:line="360" w:lineRule="auto"/>
        <w:rPr>
          <w:rFonts w:hint="eastAsia" w:ascii="宋体" w:hAnsi="宋体"/>
          <w:bCs/>
          <w:sz w:val="24"/>
        </w:rPr>
      </w:pPr>
      <w:r>
        <w:rPr>
          <w:rFonts w:hint="eastAsia" w:ascii="宋体" w:hAnsi="宋体"/>
          <w:b/>
          <w:bCs/>
          <w:sz w:val="24"/>
        </w:rPr>
        <w:t>4、付款方式：</w:t>
      </w:r>
      <w:r>
        <w:rPr>
          <w:rFonts w:hint="eastAsia" w:ascii="宋体" w:hAnsi="宋体"/>
          <w:bCs/>
          <w:sz w:val="24"/>
        </w:rPr>
        <w:t>采购人在合同签订之后，10个工作日内支付合同总价款的</w:t>
      </w:r>
      <w:r>
        <w:rPr>
          <w:rFonts w:hint="eastAsia" w:ascii="宋体" w:hAnsi="宋体"/>
          <w:bCs/>
          <w:sz w:val="24"/>
          <w:lang w:val="en-US" w:eastAsia="zh-CN"/>
        </w:rPr>
        <w:t>3</w:t>
      </w:r>
      <w:r>
        <w:rPr>
          <w:rFonts w:hint="eastAsia" w:ascii="宋体" w:hAnsi="宋体"/>
          <w:bCs/>
          <w:sz w:val="24"/>
        </w:rPr>
        <w:t>0%作为首付款；设备到达甲方指定现场，所有产品安装调试结束且验收完毕并交付使用后10个工作日内支付至合同总价款的</w:t>
      </w:r>
      <w:r>
        <w:rPr>
          <w:rFonts w:ascii="宋体" w:hAnsi="宋体"/>
          <w:bCs/>
          <w:sz w:val="24"/>
        </w:rPr>
        <w:t>9</w:t>
      </w:r>
      <w:r>
        <w:rPr>
          <w:rFonts w:hint="eastAsia" w:ascii="宋体" w:hAnsi="宋体"/>
          <w:bCs/>
          <w:sz w:val="24"/>
        </w:rPr>
        <w:t>5%，剩余5%款项在验收合格日起12个月后无质量与售后服务问题，5个工作日内支付完毕，不计利息。</w:t>
      </w:r>
    </w:p>
    <w:p>
      <w:pPr>
        <w:spacing w:line="360" w:lineRule="auto"/>
        <w:rPr>
          <w:rFonts w:hint="eastAsia" w:ascii="宋体" w:hAnsi="宋体" w:cs="宋体"/>
          <w:sz w:val="24"/>
          <w:szCs w:val="24"/>
          <w:lang w:eastAsia="zh-CN"/>
        </w:rPr>
      </w:pPr>
      <w:r>
        <w:rPr>
          <w:rFonts w:hint="eastAsia" w:ascii="宋体" w:hAnsi="宋体" w:cs="宋体"/>
          <w:b/>
          <w:bCs/>
          <w:sz w:val="24"/>
          <w:szCs w:val="24"/>
          <w:lang w:val="en-US" w:eastAsia="zh-CN"/>
        </w:rPr>
        <w:t>5.售后服务响应时间：</w:t>
      </w:r>
      <w:r>
        <w:rPr>
          <w:rFonts w:hint="eastAsia" w:ascii="宋体" w:hAnsi="宋体" w:cs="宋体"/>
          <w:sz w:val="24"/>
          <w:szCs w:val="24"/>
        </w:rPr>
        <w:t>质保期内故障恢复时间：对故障最迟2分钟电话响应，4小时以内到现场，8小时以内解决问题；不能当场修复的，必须采取提供备品、备件或备机等措施，12小时内保证系统投入正常使用</w:t>
      </w:r>
      <w:r>
        <w:rPr>
          <w:rFonts w:hint="eastAsia" w:ascii="宋体" w:hAnsi="宋体" w:cs="宋体"/>
          <w:sz w:val="24"/>
          <w:szCs w:val="24"/>
          <w:lang w:eastAsia="zh-CN"/>
        </w:rPr>
        <w:t>。</w:t>
      </w:r>
    </w:p>
    <w:p>
      <w:pPr>
        <w:spacing w:line="360" w:lineRule="auto"/>
        <w:rPr>
          <w:rFonts w:hint="eastAsia" w:ascii="宋体" w:hAnsi="宋体"/>
          <w:bCs/>
          <w:sz w:val="24"/>
          <w:lang w:val="en-US" w:eastAsia="zh-CN"/>
        </w:rPr>
      </w:pPr>
      <w:r>
        <w:rPr>
          <w:rFonts w:hint="eastAsia" w:ascii="宋体" w:hAnsi="宋体" w:cs="宋体"/>
          <w:sz w:val="24"/>
          <w:szCs w:val="24"/>
          <w:lang w:val="en-US" w:eastAsia="zh-CN"/>
        </w:rPr>
        <w:t>6.</w:t>
      </w:r>
      <w:r>
        <w:rPr>
          <w:rFonts w:hint="eastAsia" w:ascii="宋体" w:hAnsi="宋体" w:cs="宋体"/>
          <w:b/>
          <w:bCs/>
          <w:sz w:val="24"/>
          <w:szCs w:val="24"/>
          <w:lang w:val="en-US" w:eastAsia="zh-CN"/>
        </w:rPr>
        <w:t>技术要求：</w:t>
      </w:r>
      <w:r>
        <w:rPr>
          <w:rFonts w:hint="eastAsia" w:ascii="宋体" w:hAnsi="宋体"/>
          <w:bCs/>
          <w:sz w:val="24"/>
          <w:lang w:val="en-US" w:eastAsia="zh-CN"/>
        </w:rPr>
        <w:t>办案区物联网管控平台所有软件、硬件需要与浙江省公安机关执法办案综合应用平台系统二期的标准接口实现数据无缝对接。</w:t>
      </w:r>
    </w:p>
    <w:p>
      <w:pPr>
        <w:spacing w:line="360" w:lineRule="auto"/>
        <w:rPr>
          <w:rFonts w:hint="eastAsia" w:ascii="宋体" w:hAnsi="宋体"/>
          <w:bCs/>
          <w:sz w:val="24"/>
          <w:lang w:val="en-US" w:eastAsia="zh-CN"/>
        </w:rPr>
      </w:pPr>
      <w:r>
        <w:rPr>
          <w:rFonts w:hint="eastAsia" w:ascii="宋体" w:hAnsi="宋体"/>
          <w:b/>
          <w:bCs w:val="0"/>
          <w:sz w:val="24"/>
          <w:lang w:val="en-US" w:eastAsia="zh-CN"/>
        </w:rPr>
        <w:t>7.</w:t>
      </w:r>
      <w:r>
        <w:rPr>
          <w:rFonts w:hint="eastAsia" w:ascii="宋体" w:hAnsi="宋体"/>
          <w:bCs/>
          <w:sz w:val="24"/>
          <w:lang w:val="en-US" w:eastAsia="zh-CN"/>
        </w:rPr>
        <w:t>本项目为交钥匙工程，供应商报价应包括软件、设备、安装调试、培训等全部费用；所有产品的质量及安装要达到国家或国际标准。</w:t>
      </w:r>
    </w:p>
    <w:p>
      <w:pPr>
        <w:keepNext/>
        <w:keepLines/>
        <w:widowControl w:val="0"/>
        <w:numPr>
          <w:ilvl w:val="0"/>
          <w:numId w:val="0"/>
        </w:numPr>
        <w:bidi w:val="0"/>
        <w:spacing w:before="340" w:after="330" w:line="240" w:lineRule="auto"/>
        <w:ind w:leftChars="0"/>
        <w:jc w:val="both"/>
        <w:outlineLvl w:val="0"/>
        <w:rPr>
          <w:rFonts w:ascii="Times New Roman" w:hAnsi="Times New Roman" w:eastAsia="宋体" w:cs="Times New Roman"/>
          <w:b/>
          <w:bCs/>
          <w:kern w:val="44"/>
          <w:sz w:val="44"/>
          <w:szCs w:val="44"/>
          <w:lang w:val="en-US" w:eastAsia="zh-CN" w:bidi="ar-SA"/>
        </w:rPr>
      </w:pPr>
      <w:r>
        <w:rPr>
          <w:rFonts w:hint="eastAsia" w:ascii="Times New Roman" w:hAnsi="Times New Roman" w:eastAsia="宋体" w:cs="Times New Roman"/>
          <w:b/>
          <w:bCs/>
          <w:kern w:val="44"/>
          <w:sz w:val="44"/>
          <w:szCs w:val="44"/>
          <w:lang w:val="en-US" w:eastAsia="zh-CN" w:bidi="ar-SA"/>
        </w:rPr>
        <w:t>四、采购清单</w:t>
      </w:r>
    </w:p>
    <w:tbl>
      <w:tblPr>
        <w:tblStyle w:val="60"/>
        <w:tblW w:w="8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625"/>
        <w:gridCol w:w="1098"/>
        <w:gridCol w:w="1"/>
        <w:gridCol w:w="964"/>
        <w:gridCol w:w="3935"/>
        <w:gridCol w:w="1"/>
        <w:gridCol w:w="620"/>
        <w:gridCol w:w="1"/>
        <w:gridCol w:w="596"/>
        <w:gridCol w:w="1"/>
        <w:gridCol w:w="58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7842" w:type="dxa"/>
            <w:gridSpan w:val="10"/>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 xml:space="preserve">衢江分局樟谭***办案功能区物联网管控系统及配套智能设备清单     </w:t>
            </w:r>
            <w:r>
              <w:rPr>
                <w:rFonts w:hint="eastAsia" w:ascii="宋体" w:hAnsi="宋体" w:eastAsia="宋体" w:cs="宋体"/>
                <w:b/>
                <w:i w:val="0"/>
                <w:color w:val="000000"/>
                <w:kern w:val="0"/>
                <w:sz w:val="18"/>
                <w:szCs w:val="18"/>
                <w:u w:val="none"/>
                <w:lang w:val="en-US" w:eastAsia="zh-CN" w:bidi="ar"/>
              </w:rPr>
              <w:t xml:space="preserve">                   </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物品名称</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功能/参数</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7842" w:type="dxa"/>
            <w:gridSpan w:val="10"/>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一、办案功能区管控系统</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62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公安机关办案区物联网管控平台软件</w:t>
            </w:r>
          </w:p>
        </w:tc>
        <w:tc>
          <w:tcPr>
            <w:tcW w:w="96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基础模块</w:t>
            </w:r>
          </w:p>
        </w:tc>
        <w:tc>
          <w:tcPr>
            <w:tcW w:w="393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1、人员信息登记：对入所人员的基本信息，入所原因等进行登记，支持读取身份证信息；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2、人身安全检查登记：对人身安全检查情况信息进行登记；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3、随身物品管理：对嫌疑人的随身物品进行拍照登记管理；支持关联随身物品柜，实现人物关联对应管理。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4、出所管理：对嫌疑人出所进行审批管理，并对出所人员物品进行拍照。；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5、轨迹管理：可对办案区人员活动情况进行登记管理；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6、电子台账：系统对嫌疑人信息、安全检查情况、物品信息、活动根轨迹等数据统一生成办案区人员信息登记表。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7、电子签名：支持办案区人员信息登记表相关内容能够的电子签名捺印。</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position w:val="-10"/>
                <w:sz w:val="18"/>
                <w:szCs w:val="18"/>
                <w:u w:val="none"/>
                <w:lang w:val="en-US" w:eastAsia="zh-CN" w:bidi="ar"/>
              </w:rPr>
              <w:object>
                <v:shape id="_x0000_i1025" o:spt="75" type="#_x0000_t75" style="height:17pt;width:72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continue"/>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099" w:type="dxa"/>
            <w:gridSpan w:val="2"/>
            <w:vMerge w:val="continue"/>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96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人员定位模块</w:t>
            </w:r>
          </w:p>
        </w:tc>
        <w:tc>
          <w:tcPr>
            <w:tcW w:w="393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通过定位引擎，实现人员室内定位；实现同案混关、男女混关的预警分析（无展示）、自动记录办案区人员登记表中人员的活动轨迹。</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数据对接接口费用</w:t>
            </w:r>
          </w:p>
        </w:tc>
        <w:tc>
          <w:tcPr>
            <w:tcW w:w="96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浙江公安云资源管理平台对接</w:t>
            </w:r>
          </w:p>
        </w:tc>
        <w:tc>
          <w:tcPr>
            <w:tcW w:w="393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对接组织机构、用户、人员、案件、涉案财物相关数据</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案管中心管控平台软件</w:t>
            </w:r>
          </w:p>
        </w:tc>
        <w:tc>
          <w:tcPr>
            <w:tcW w:w="96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基础模块</w:t>
            </w:r>
          </w:p>
        </w:tc>
        <w:tc>
          <w:tcPr>
            <w:tcW w:w="393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1、案件登记，对需关联的案件进行登记，支持数据同步。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2、二维码管理，对案卷实行一案一码管理，可打印粘贴在案卷上。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3、案卷借阅，分为案卷借阅，案卷归还，对案卷借出以及案卷归还进行相关登记。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4、案卷移交：本单位不再需要该案卷，或者不属于本单位案卷，进行移交记录。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5、案卷流转记录，记录民警存取卷宗的操作记录。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6、案卷柜配置管理，案卷柜注册指定案卷柜的布局信息，通讯信息，及使用的单位和有效时间。案卷柜分配指定哪些用户可以使用哪些柜子，明确各个使用人的操作权限。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7、智能柜分配使用情况：查看当前单位柜子的使用情况查询柜子内案卷信息和案卷的存储日志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8、用户管理：方便法制员或管理员，在用户进行增、删、改以及分配权限的操作</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公安机关远程辅助办案系统软件</w:t>
            </w:r>
          </w:p>
        </w:tc>
        <w:tc>
          <w:tcPr>
            <w:tcW w:w="964"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远程提审模块</w:t>
            </w:r>
          </w:p>
        </w:tc>
        <w:tc>
          <w:tcPr>
            <w:tcW w:w="393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现代信息化技术为支撑，以公安专网为载体，建成连接看守所与公安局及所队办案区的远程提审系统，实现远程音视频可视对讲、远程刻录、远程打印、远程签字捺印等，大幅度提高公安机关的提审效率，同时保障了提审的安全性。</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间</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7842" w:type="dxa"/>
            <w:gridSpan w:val="10"/>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二、配套智能设备</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物品名称</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功能/参数</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1、办案区</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b/>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待检区</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b/>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电视机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1.屏幕尺寸：5</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2.分辨率：4K分辨率（3840*2160）；64位机芯；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3.1.5GB DDR+8GB eMMC；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4.DTS音频处理技术；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5.支持USB-CAM；H.264+H.265双解码；Android</w:t>
            </w:r>
            <w:r>
              <w:rPr>
                <w:rFonts w:hint="eastAsia" w:ascii="宋体" w:hAnsi="宋体" w:cs="宋体"/>
                <w:i w:val="0"/>
                <w:color w:val="000000"/>
                <w:kern w:val="0"/>
                <w:sz w:val="18"/>
                <w:szCs w:val="18"/>
                <w:u w:val="none"/>
                <w:lang w:val="en-US" w:eastAsia="zh-CN" w:bidi="ar"/>
              </w:rPr>
              <w:t xml:space="preserve"> 7</w:t>
            </w:r>
            <w:r>
              <w:rPr>
                <w:rFonts w:hint="eastAsia" w:ascii="宋体" w:hAnsi="宋体" w:eastAsia="宋体" w:cs="宋体"/>
                <w:i w:val="0"/>
                <w:color w:val="000000"/>
                <w:kern w:val="0"/>
                <w:sz w:val="18"/>
                <w:szCs w:val="18"/>
                <w:u w:val="none"/>
                <w:lang w:val="en-US" w:eastAsia="zh-CN" w:bidi="ar"/>
              </w:rPr>
              <w:t>.0+TUI 3.X；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6.功率：115W；</w:t>
            </w:r>
            <w:r>
              <w:rPr>
                <w:rFonts w:hint="eastAsia" w:ascii="宋体" w:hAnsi="宋体" w:cs="宋体"/>
                <w:i w:val="0"/>
                <w:color w:val="000000"/>
                <w:kern w:val="0"/>
                <w:sz w:val="18"/>
                <w:szCs w:val="18"/>
                <w:u w:val="none"/>
                <w:lang w:val="en-US" w:eastAsia="zh-CN" w:bidi="ar"/>
              </w:rPr>
              <w:t>能效等级：二级，板类型：A+级屏，带墙上固定支架或移动支架</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可视分机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1.尺寸：约180x90x32.5mm；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2.接口：标准RJ45接口；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3.网络协议：TCP/IP、UDP、IGMP、RTP；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4.音频采样率：16K～48K 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5.音频模式：16位立体声CD音质；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6.广播音频格式：MP3、WAV；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7.输出频率：20 Hz～20K 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8.谐波失真：&lt; 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9.信噪比：≥ 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10.扬声器功率：5W；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11.MIC输入灵敏度：10mV；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12.音频码流：16Kb～192Kb；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13.录音输出电平(峰峰值)：&lt; 3V；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14.联动输出极点负载：24V/3A；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15.摄像头：500万像素；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16.视频码流：512Kb～4Mb；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17.功耗：&lt; 6W；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18.工作电压：DC12V～24V；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19.工作温度：-20℃-60℃/湿度：10% ～ 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20.建议安装高度：设备底部距地面约1.4米；</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信息登记采集区</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b/>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智能存取管理设备（随身物品双面管理嵌入式软件）</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1.使用场景：应用于办案内对嫌疑人随身物品进行存放；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实现功能：双向随身物品存取设备，通过物品智能存取管理设备，规范执法对象随身物品存取，能够实现与办案区系统无缝对接，是实现软、硬件与人、案、物集成关联集成电子化台账配套设备；集成智能存取控制程序，接收上级平台软件指令自动分配储物柜，控制柜门开启，并记录存取，显示屏显示各个储物柜的使用情况；控制模块驱动导轨控制取物口托盘工作时弹出，平时隐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3.双向存取，出入口分离，避免多个嫌疑人之间接触。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★4.设备具有电子签名屏，且支持电子签名捺印功能。（投标人提供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前生效的公安部相关检测机构出具的检测报告并加盖公章。）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★5.设备具备密码存物和刷卡存物两种方式。（投标人提供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前生效的公安部相关检测机构出具的检测报告并加盖公章。）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★6.设备具有语音播报功能。（投标人提供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前生效的公安部相关检测机构出具的检测报告并加盖公章。）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参数：1.柜体：双向存取；尺寸：长约900mm，宽约500mm，高约1980mm；共2个隔口,可用尺寸：约355mm*595mm；柜体材质：不小于1.0mm冷轧钢板/镀锌钢板；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2.显示器：双屏显示；存物操作屏尺寸：不小于42英寸；分辨率：不低于1080*1920；输入接口：VGA&amp;DVI;取物操作屏尺寸：不小于21.5英寸；分辨率：不低于1920*1080；输入接口：VGA&amp;DVI;触摸类型：红外/电容；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工控机：数量：不小于2个；配置：不小于i5CPU；不小于120G固态硬盘；不小于4G内存；支持系统：win7/win8/win10/Linux；工作电压：DC12V-5A；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读卡器：接口：USB;工作频率：13.56MHz；射频标准：ISO14443A；读卡类型：FM11RF08、FM11RF32、MIFARE Mini、MIFARE Classic 1K(S50)、MIFARE Classic 4K(S70)、Ultralight、Ultralight C、NTAG、其它兼容卡；系统兼容：Windows 98/2000/NT/XP/Vista/7/8、Linux、Android、OS X、其它支持USB键盘的系统； </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highlight w:val="yellow"/>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智能存取管理设备（随身物品双面管理嵌入式软件）</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功能：双向随身物品存取设备副柜。能够实现与办案区系统无缝对接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参数：长960mm，宽500mm，高1980mm；双面开启。</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高拍仪</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业人脸识别镜头，CMOS镜头，200万像素，分辨率1600*1200；非即插式设计，稳固大方，不会松动和丢失；副头水平方向可270°旋转，一周视角全覆盖；垂直45°可调；景深范围：0.3米~5米，带补光功能，在光线较暗的情况下仍然可识别人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可以支持各种来源的证件照片：公安部二代证照片库、二代证证件内存储小照片、证件(身份证/驾照/护照)扫描或者抓拍等。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适合对非固定人群或未知对象的身份证与人的核对。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适用于对固定人群或已知对象身份证与人的核对，需要提前建人脸库。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人脸识别镜头，CMOS镜头，200万像素，分辨率1600*1200；非即插式设计，稳固大方，不会松动和丢失；副头水平方向可270°旋转，一周视角全覆盖；垂直45°可调；景深范围：0.3米~5米，带补光功能，在光线较暗的情况下仍然可识别人脸。</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信息登记拼接桌</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功能：信息登记拼接单位，用于放置随身物品，可读取手环信息，二代身份证信息。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参数：尺寸：785mm*690mm*640mm，2.0mm冷轧钢板，钣金定制 ，集成RFID读卡器：完全支持uem4100兼容格式ID卡(64bits,Manchester编码)；产品尺寸96mm×61mm。二代证读卡器：采用USB接口，无需外接电源，可直接使用。随机阅读软件自动设置通讯口和通讯参数，自动找卡和读卡采集人员信息。</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智能球型摄像机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1.增益控制 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2.信噪比 大于52dB；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3.3D数字降噪 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4.背光补偿 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5.区域曝光/聚焦 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6.电子快门 1/1-1/30,000s；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7.日夜模式 自动ICR彩转黑；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8.数字变倍 16倍；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9.隐私遮蔽 最多8块区域；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10.聚焦模式 自动/半自动/手动焦距 2.8-12mm，4倍光学；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11.变倍速度 大约1秒(广角-望远)；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12.水平视角 105–33度(广角-望远)；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13.近摄距 10-1500mm(广角-望远)；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14.光圈数 F1.6-F2.7；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15.视频压缩 H.265/H.264/MJPEG；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16.音频压缩 G.711alaw/G.711ulaw/G.722.1/G.726/MP2L2/AAC/PCM；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17.白平衡 自动/手动/自动跟踪白平衡/室外/室内/日光灯白平衡/钠灯白平衡；</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手持式金属探测器</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功能：通过金属探测仪对执法对象进行人身安全检查，防止夹带金属物品进入执法办案功能区。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参数：采用智能节能技术，可连续工作超40个小时，低电量自动告警，测距大于9CM。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color w:val="000000"/>
                <w:kern w:val="0"/>
                <w:sz w:val="18"/>
                <w:szCs w:val="18"/>
                <w:u w:val="none"/>
                <w:lang w:val="en-US" w:eastAsia="zh-CN" w:bidi="ar"/>
              </w:rPr>
              <w:t>6</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额温枪</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1.电源电压：DC3V；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2.尺寸：约155*100*40mm；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3.测量范围：体温：32-42.9℃；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4.功耗≤450mW；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5.测量距离：3-5cm；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智能电子防拆腕带</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应用于办案区，戴在嫌疑人手上，能够实现与办案区系统无缝对接，识别距离：0~150米；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2.识别速度：120公里/小时；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3.识别能力：具备200张/秒的防冲突性能；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4.识别方式：全向识别；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5.工作频段：2.4GHz&amp;有源125KHz&amp;13.56M；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6.通讯速率：250Kb/s、1Mb/s、2Mb/s；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7.通信机制 ：基于时分多址和码分多址同步通信机制；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8.电池配置：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容量：550mAh；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使用寿命 ：1~1.5 年，使用授权密钥可更换电池；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9.腕带材质 ：TPSIV+ABS材质；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10.环境特性 ：工作温度－40℃ ～85℃ ，工作湿度＜95％；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11.防水等级 ：IP68；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12.尺寸 ：约15.14×45.90×280mm；</w:t>
            </w:r>
          </w:p>
          <w:p>
            <w:pPr>
              <w:keepNext w:val="0"/>
              <w:keepLines w:val="0"/>
              <w:widowControl/>
              <w:suppressLineNumbers w:val="0"/>
              <w:spacing w:line="240" w:lineRule="auto"/>
              <w:jc w:val="left"/>
              <w:textAlignment w:val="center"/>
              <w:rPr>
                <w:rFonts w:hint="eastAsia" w:ascii="Times New Roman" w:hAnsi="Times New Roman" w:cs="Times New Roman"/>
                <w:szCs w:val="24"/>
              </w:rPr>
            </w:pPr>
            <w:r>
              <w:rPr>
                <w:rFonts w:hint="eastAsia" w:ascii="宋体" w:hAnsi="宋体" w:eastAsia="宋体" w:cs="宋体"/>
                <w:i w:val="0"/>
                <w:color w:val="000000"/>
                <w:kern w:val="0"/>
                <w:sz w:val="18"/>
                <w:szCs w:val="18"/>
                <w:u w:val="none"/>
                <w:lang w:val="en-US" w:eastAsia="zh-CN" w:bidi="ar"/>
              </w:rPr>
              <w:t>13.提供原厂三年质保函。</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智能讯（询）问室</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智能询讯问专用终端</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1.i5CPU、120G固态硬盘、4G内存、21.5寸双屏显示器、</w:t>
            </w:r>
            <w:r>
              <w:rPr>
                <w:rFonts w:hint="eastAsia" w:ascii="宋体" w:hAnsi="宋体" w:cs="宋体"/>
                <w:i w:val="0"/>
                <w:color w:val="000000"/>
                <w:kern w:val="0"/>
                <w:sz w:val="18"/>
                <w:szCs w:val="18"/>
                <w:u w:val="none"/>
                <w:lang w:val="en-US" w:eastAsia="zh-CN" w:bidi="ar"/>
              </w:rPr>
              <w:t>彩色激光</w:t>
            </w:r>
            <w:r>
              <w:rPr>
                <w:rFonts w:hint="eastAsia" w:ascii="宋体" w:hAnsi="宋体" w:eastAsia="宋体" w:cs="宋体"/>
                <w:i w:val="0"/>
                <w:color w:val="000000"/>
                <w:kern w:val="0"/>
                <w:sz w:val="18"/>
                <w:szCs w:val="18"/>
                <w:u w:val="none"/>
                <w:lang w:val="en-US" w:eastAsia="zh-CN" w:bidi="ar"/>
              </w:rPr>
              <w:t>打印机、应急报警、报警装置对接总机、摄像机、当事人阅读屏等，尺寸：长1640mm*宽770mm*高935mm；配备罗技鼠标、键盘。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2.内置终端软件实现自助播报执法对象权利义务告知。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3.集成所有案件类型电子笔录审讯提纲方便民警快速办案、与同步刻录系统无缝对接，可刻录案件审讯信息等。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★4.具有语音播报功能，内容包括笔录制作流程、权利义务告知阅读及被讯（询）问人签字捺印流程等（以提供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前签发的由由公安部安全防范报警系统产品质量监督检验测试中心出具的检测报告并加盖投标人公章证明）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★5.具有对讲功能，支持与看守区主机进行语音通话互动（以提供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前签发的由公安部安全防范报警系统产品质量监督检验测试中心出具的检测报告并加盖投标人公章证明）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★6.具有探照灯功能，能支持特殊案件办理（以提供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前签发的由由公安部安全防范报警系统产品质量监督检验测试中心出具的检测报告并加盖投标人公章证明）</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讯（询）问椅</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功能：讯（询）问椅，阿基里斯皮，手部采用U型锁约束，胸部及腰部以约束带束缚；腿部以环形脚踏锁带手脚铐，控制嫌疑人。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参数：1.尺寸：约700mm*720mm*950mm。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★2.椅凳类强度和耐久性满足：左面冲击试验（180mm，冲击10次）、椅背冲击试验（210mm，冲击10次）条件下，零部件应无断裂或不严重影响使用（以提供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前签发的由通过CNAS、CMA认证的检验（检测）机构出具的检测报告并加盖投标人公章证明）</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带秒温湿度显示屏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1.显示范围：温度：-9℃ ～99℃ ，湿度：0％ ～99％；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2.功耗：≤15W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3.显示时间精确到秒（年月日、时分秒）；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4.供电电压： AC 100V～220V；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5.环境温度-10℃ ～50℃；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6.外观尺寸：约580mm(长) x 380mm(宽) x 37mm(高)；</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功能：通过与智能防拆电子腕带相关联，LED显示屏可以显示执法对象在办案区的状态。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参数：LED屏显：304*152，尺寸：650*200*50mm；内扫描16扫，亚克力材质，双色显示。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未成年人讯（询）问室</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智能询讯问专用终端</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1产品尺寸：长约1640mm*宽约770mm*高约935mm；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2.材质：≥2.0mm冷轧钢板/镀锌板；侧板材质：实木；侧板厚度：约20mm；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3.配置：i5CPU</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≥6核；内存≥8G；硬盘≥120G；显卡≥2G独显；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4.显示器（双屏）：显示尺寸：21.5英寸；分辨率：1920*1080；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5.打印机：最大打印幅面：A4；打印类型：彩色激光；接口类型：USB；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7.摄像头：最高有效像素：1920 (H) *1080 (V)；灵敏度：3300mV/Lux-sec；Pixel Size：3µm x3µm；Image area：5856µmx3276µm；输出图像格式：MJPEG  / YUV2（YUYV）；对焦：自动；物距：5CM-100M；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8.射灯类型：LED;射灯供电：DC12V；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9.音响设备：输出匹配：4-8欧；频响范围：14-100Kz；信噪比：100db；输出声道：2个；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10.供电：220V；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11.接口：USB3.0*2；USB充电口：2个；（预留外网接口、音频接口）；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12.光驱：接口：SATA；光盘格式：Audio CD DVD；</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讯（询）问椅</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参数：尺寸：700mm*720mm*950mm；阿基里斯皮，手部采用U型锁约束，胸部及腰部以约束带束缚；腿部以环形脚踏锁带手脚铐，控制嫌疑人。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带秒温湿度显示屏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1.显示范围：温度：-9℃ ～99℃ ，湿度：0％ ～99％；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2.功耗：≤15W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3.显示时间精确到秒（年月日、时分秒）；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4.供电电压： AC 100V～220V；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5.环境温度-10℃ ～50℃；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6.外观尺寸：约580mm(长) x 380mm(宽) x 37mm(高)；</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功能：通过与智能防拆电子腕带相关联，LED显示屏可以显示执法对象在办案区的状态。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参数：LED屏显：304*152，尺寸：650*200*50mm；内扫描16扫，亚克力材质，双色显示。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特殊讯（询）问室</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智能询讯问专用终端</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1产品尺寸：长约1640mm*宽约770mm*高约935mm；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2.材质：≥2.0mm冷轧钢板/镀锌板；侧板材质：实木；侧板厚度：约20mm；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3.配置：i5CPU</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≥6核；内存≥8G；硬盘≥120G；显卡≥2G独显；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4.显示器（双屏）：显示尺寸：21.5英寸；分辨率：1920*1080；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5.打印机：最大打印幅面：A4；打印类型：彩色激光；接口类型：USB；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7.摄像头：最高有效像素：1920 (H) *1080 (V)；灵敏度：3300mV/Lux-sec；Pixel Size：3µm x3µm；Image area：5856µmx3276µm；输出图像格式：MJPEG  / YUV2（YUYV）；对焦：自动；物距：5CM-100M；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8.射灯类型：LED;射灯供电：DC12V；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9.音响设备：输出匹配：4-8欧；频响范围：14-100Kz；信噪比：100db；输出声道：2个；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10.供电：220V；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11.接口：USB3.0*2；USB充电口：2个；（预留外网接口、音频接口）；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12.光驱：接口：SATA；光盘格式：Audio CD DVD；</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讯（询）问椅</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参数：尺寸：700mm*720mm*</w:t>
            </w:r>
            <w:r>
              <w:rPr>
                <w:rFonts w:hint="eastAsia" w:ascii="宋体" w:hAnsi="宋体" w:cs="宋体"/>
                <w:i w:val="0"/>
                <w:color w:val="000000"/>
                <w:kern w:val="0"/>
                <w:sz w:val="18"/>
                <w:szCs w:val="18"/>
                <w:u w:val="none"/>
                <w:lang w:val="en-US" w:eastAsia="zh-CN" w:bidi="ar"/>
              </w:rPr>
              <w:t>95</w:t>
            </w:r>
            <w:r>
              <w:rPr>
                <w:rFonts w:hint="eastAsia" w:ascii="宋体" w:hAnsi="宋体" w:eastAsia="宋体" w:cs="宋体"/>
                <w:i w:val="0"/>
                <w:color w:val="000000"/>
                <w:kern w:val="0"/>
                <w:sz w:val="18"/>
                <w:szCs w:val="18"/>
                <w:u w:val="none"/>
                <w:lang w:val="en-US" w:eastAsia="zh-CN" w:bidi="ar"/>
              </w:rPr>
              <w:t>0mm；阿基里斯皮，手部采用U型锁约束，胸部及腰部以约束带束缚；腿部以环形脚踏锁带手脚铐，控制嫌疑人。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带秒温湿度显示屏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1.显示范围：温度：-9℃ ～99℃ ，湿度：0％ ～99％；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2.功耗：≤15W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3.显示时间精确到秒（年月日、时分秒）；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4.供电电压： AC 100V～220V；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5.环境温度-10℃ ～50℃；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6.外观尺寸：约580mm(长) x 380mm(宽) x 37mm(高)；</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功能：通过与智能防拆电子腕带相关联，LED显示屏可以显示执法对象在办案区的状态。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参数：LED屏显：304*152，尺寸：650*200*50mm；内扫描16扫，亚克力材质，双色显示。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窗口对讲机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1.工作电压 (V)：DC18V；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2.工作电流 (mA)：500mA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3.主机输出功率：10W；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4.话筒灵敏度:-46dB±2dB 20Hz~16KHz；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5.材质与工艺:优质铝合金；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6.外形尺寸（mm）主机：约128*98*110mm ；</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等候室</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成品坐凳</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功能：钣金坐凳，2人位，不带侧板。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参数：材质：2.0冷轧钢板，2人座位尺寸：420mm高*800mm长*420mm宽；</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continue"/>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成品坐凳</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功能：钣金坐凳，2人位，带侧板。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参数：材质：2.0冷轧钢板，2人座位尺寸：420mm高*800mm长*420mm宽；侧板材质：20mm黑胡桃木，侧板方向：一左一右(两块)；</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vMerge w:val="continue"/>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成品坐凳</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功能：钣金坐凳,转角位</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参数：材质：2.0冷轧钢板，钣金坐凳转角尺寸：420mm高*500mm长*500mm宽。</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看管区</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IP网络可视对讲主机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可全屏显示高清视频画面，并提供网络视频数据，上大屏显示。·广播播放：可用MP3文件对所有分机进行全区、分区、定时广播、消防广播；支持喊话广播、外接音源广播。·监听、监视：可循环监听、监视或单个监听、监视分机。·报警联动：分机报警时，通过TCP连接与其它平台联动。如：开启监控摄像头。·语音播报：可语音播报呼叫的分机备注信息或分机号。·录音录像：可对通话过程录音录像，并能查询播放、储存、上传至服务器2寸数字真彩显示屏，电容式。</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RUK网络读卡器</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外形尺寸(长×宽×高）：14cm×10cm×3cm。12V直流供电，最大工作负载电流&lt;0.08A，支持点对点通讯线最大长度在50m~80m之间（受双绞线质量和外围干扰）。感应离距离在0~10cm。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集成看管台</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功能：钣金定制集成看守台，可集成报警主机、网络读卡设备、亲情电话，可通过通过手环自动分配讯询问室，可拨打亲情电话，可与审讯进行通讯。</w:t>
            </w:r>
            <w:r>
              <w:rPr>
                <w:rFonts w:hint="eastAsia" w:ascii="宋体" w:hAnsi="宋体" w:cs="宋体"/>
                <w:i w:val="0"/>
                <w:color w:val="000000"/>
                <w:kern w:val="0"/>
                <w:sz w:val="18"/>
                <w:szCs w:val="18"/>
                <w:u w:val="none"/>
                <w:lang w:val="en-US" w:eastAsia="zh-CN" w:bidi="ar"/>
              </w:rPr>
              <w:t>外壳高强度不锈钢304材料。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参数：尺寸：160cm*75cm*76cm，材质：2.0mm冷轧钢板、钣金定制、黑胡桃木侧板，集成亲情电话，预留报警主机、网络读卡器2个嵌入孔。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★金属件外观管材应无裂缝、叠缝，外露管口端面应封闭；焊接件处应无脱焊、虚焊、焊穿、错位；焊疤表面波纹应均匀、高低之差应不大于1mm（以提供</w:t>
            </w:r>
            <w:r>
              <w:rPr>
                <w:rFonts w:hint="eastAsia" w:ascii="宋体" w:hAnsi="宋体" w:cs="宋体"/>
                <w:i w:val="0"/>
                <w:color w:val="000000"/>
                <w:kern w:val="0"/>
                <w:sz w:val="18"/>
                <w:szCs w:val="18"/>
                <w:u w:val="none"/>
                <w:lang w:val="en-US" w:eastAsia="zh-CN" w:bidi="ar"/>
              </w:rPr>
              <w:t>开标时间之</w:t>
            </w:r>
            <w:r>
              <w:rPr>
                <w:rFonts w:hint="eastAsia" w:ascii="宋体" w:hAnsi="宋体" w:eastAsia="宋体" w:cs="宋体"/>
                <w:i w:val="0"/>
                <w:color w:val="000000"/>
                <w:kern w:val="0"/>
                <w:sz w:val="18"/>
                <w:szCs w:val="18"/>
                <w:u w:val="none"/>
                <w:lang w:val="en-US" w:eastAsia="zh-CN" w:bidi="ar"/>
              </w:rPr>
              <w:t>前签发的由通过CNAS、CMA的检验（检测）机构出具的检测报告并加盖投标人公章证明）</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约束椅</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结构设计合理，固定安全可靠，后靠背可调节角度，椅腿可固定在地面上，布料采用优质皮，尺寸约720mm*790mm*1240mm。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功能：通过与智能防拆电子腕带相关联，LED显示屏可以显示执法对象在办案区的状态。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参数：LED屏显：304*152，尺寸：650*200*50mm；内扫描16扫，亚克力材质，双色显示。</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网络设备</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服务器</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 X  Bronze 3104 6C/6T 1.7GHz 8.25M 85W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X 8GB/DDR4/2133或2400MHz/ECC/REG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X 900G/10000RPM/2.5寸/企业级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X LS382E/SAS 12Gb/半高/PCIe 3.0 x8/3008IT/SFF8643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X 上架导轨套件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X 2U 550W 1+1 冗余电源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2.产品配件：显示器、鼠键套；</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激光</w:t>
            </w:r>
            <w:r>
              <w:rPr>
                <w:rFonts w:hint="eastAsia" w:ascii="宋体" w:hAnsi="宋体" w:eastAsia="宋体" w:cs="宋体"/>
                <w:i w:val="0"/>
                <w:color w:val="000000"/>
                <w:kern w:val="0"/>
                <w:sz w:val="18"/>
                <w:szCs w:val="18"/>
                <w:u w:val="none"/>
                <w:lang w:val="en-US" w:eastAsia="zh-CN" w:bidi="ar"/>
              </w:rPr>
              <w:t>打印机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要求：USB接口，打印分辨率1200×1200dpi以上，自动双面打印，内存64M以上，A4幅面，打印速度不低于38ppm</w:t>
            </w:r>
            <w:r>
              <w:rPr>
                <w:rFonts w:hint="eastAsia" w:ascii="宋体" w:hAnsi="宋体" w:cs="宋体"/>
                <w:i w:val="0"/>
                <w:color w:val="000000"/>
                <w:kern w:val="0"/>
                <w:sz w:val="18"/>
                <w:szCs w:val="18"/>
                <w:u w:val="none"/>
                <w:lang w:val="en-US" w:eastAsia="zh-CN" w:bidi="ar"/>
              </w:rPr>
              <w:t>，首页输出少于8.5秒</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图形工作站</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1.酷睿六核i7-8700 级别 内存:32G 硬盘：SSD 256G固态硬盘+4T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.网卡：Intel 1219-LM 千兆网卡；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.光驱：DVD-RW；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.电源：300w；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显卡</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1、5GB GDDR5 内存容量2、4*DP 1.4 显示接头</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RFID定位器</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功能：通过人员身份辨识设备支撑智能防拆电子腕带的正常运行，从而达到实时掌控执法对象在办案区的活动轨迹，能够实现与办案区系统无缝对接，全面实现通过驱动办案区弱电和办案软件使办案程序有序进行。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参数：识别距离： 最远可达150米(空旷距离测试），识别速度： 120Km/h，识别能力： 同时识别200张以上的标签，识别角度： 全向，工作频段： 2.4GHz、125KHz，重量</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258g，尺寸： 直径160mm,高100mm，防水等级 ： IP67，重量 ：720g，尺寸：240*240*40mm，安装方式 ：吊顶或墙面安装</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案管设备</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智能案卷柜（智能案卷管理嵌入式软件）</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1.使用场景：应用于案卷中心内；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2.实现功能：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基于公安网通过安全可靠的通信协议和软件系统对接；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结合二维码技术对案卷进行管理；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集成公安机关已有的智能IC卡进行案卷相关权限管理；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具有大屏触摸显示器方便查看相关案卷信息和操作案卷柜；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支持人脸比对实现对案卷的存取管理；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1、长860 mm*宽430mm*高2000mm；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2、集成I5工控机、19寸触摸显示屏、二维码扫描仪、IC读卡器，设备控制模块等，单面开启，可接入一个副柜。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3、支持人脸识别</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智能案卷柜（智能案卷管理嵌入式软件）</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1、参数：长860 mm*宽430mm*高2000mm/10门*1板开透视窗。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2、门控系统等,单面开启.</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条码打印机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参数：二维码打印，兼容一维码打印，2-4inch/s，双感应式定位，USB接口，大齿轮，带撕纸位</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发卡器</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参数：完全支持uem4100兼容格式ID卡(64bits,Manchester编码)；产品尺寸96mm×61mm。。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远程提审设备</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gridAfter w:val="1"/>
          <w:wAfter w:w="1" w:type="dxa"/>
          <w:trHeight w:val="0" w:hRule="atLeast"/>
        </w:trPr>
        <w:tc>
          <w:tcPr>
            <w:tcW w:w="172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***端</w:t>
            </w:r>
          </w:p>
        </w:tc>
        <w:tc>
          <w:tcPr>
            <w:tcW w:w="4900" w:type="dxa"/>
            <w:gridSpan w:val="3"/>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621"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97"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583" w:type="dxa"/>
            <w:gridSpan w:val="2"/>
            <w:tcBorders>
              <w:tl2br w:val="nil"/>
              <w:tr2bl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智能球型摄像机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黑白：0.002Lux @(F1.6，AGC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信噪比大于55dB，支持背光补偿、宽动态、光学变焦等；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支持16倍数字变倍及20倍光学变焦等；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支持红外遥控、预置点视频冻结、智能运动跟踪、300个预置点设置等；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支持三码流输出、H.264等视频编码标准，G.722/G.711等多种音频编码标准；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支持音频输入/输出，报警输入/输出/联动，支持扩展存储卡；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支持多种安装方式，重力感应等；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图像传感器 1/2.8 Progressive Scan CMOS；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 彩色：0.02Lux @ (F1.6，AGC ON)；黑白：0.002Lux @(F1.6，AGC ON)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分辨率及帧率 主码流：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50Hz: 25fps(1920×1080,1280×960,1280×720),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60Hz: 30fps(1920×1080,1280×960,1280×720)；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子码流：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50Hz: 25fps(704×576,352×288,176×144),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60Hz: 30fps(704×480,352×240,176×120)；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第三码流：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50Hz: 25fps(1920×1080,1280×960,1280×720,704×576,352×288,176×144),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60Hz: 30fps(1920×1080,1280×960,1280×720,704×480,352×240,176×120)；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 H.264/MJPEG/MPEG4；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音频压缩： G.711alaw/G.711ulaw/G.722/G.726/MP2L2/AAC/PCM；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 自动/手动/自动跟踪白平衡/室外/室内/日光灯白平衡/钠灯白平衡；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增益控制： 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信噪比：≥55dB；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3D数字降噪： 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背光补偿： 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区域曝光/聚焦：支持；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电子快门：1/1-1/30,000s；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日夜模式： 自动ICR彩转黑；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数字变倍：16倍；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隐私遮蔽： 最多24块区域；支持马赛克、多种颜色可选；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聚焦模式： 自动/半自动/手动</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喇叭</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低音：5.25"聚丙烯振膜，橡胶折环，12oz磁钢，25mm（1"）音圈。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高音：天然蚕丝球顶音膜，25mm（1"）音圈 ，磁液冷却，钕铁硼磁钢。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分频器：改性酚醛树脂PCB板，-12dB/Oct低通滤波器，-12dB/Oct高通滤波器，高音PTC过载保护。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谐振频率：65Hz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频率响应：50Hz-20KHz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灵敏度：86dB/W/M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推荐功放功率：10-80W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阻抗：8Ω</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功放</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 154x129x39（mm） 额定电压 12-18V 额定功率 20*2+40W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额定频率 20-20KHZ 失真率 0.4% 信噪比 80DB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阻抗 4-8欧 功放类型 HIFI功放 材质 铝合金</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展台</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输入：VGA接口2组，3.5mm音频接口3组，USB接口一组，RCA1组 ，6.3mm麦克风插口1组；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2.输出：VGA接口2组，RCA1组/微型DIN4 1组，3.5mm音频接口1组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3.展开体积(mm)：约510x530x570mm；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4.收拢体积(mm)：约510x410x120mm；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5.电源输入：DC12V；6.像素500万，变焦：220倍放大</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视频会议终端</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分体式6进5出终端 (输出1个同源)，多路分体式视频会议终端，采用分体式设计， 支持6路视频输入和5路视频输出， 支持7路音频输入和6路音频输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 支持4K高清和H.265编解码， 支持召开6方1080P MCU多点会议。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视频编解码协议 ：H.265、 H.264 BP、 H.264 HP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音频编解码协议： G.711alaw、 G.711ulaw、 G.722.1、 G.722.1.C、 G.728、 G.729、 Opus、 AAC-LC、 AAC-LD、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MP3、 G.719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安防视频编码分辨率 主码流： 1080P@30fps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子码流： D1@30fps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设备支持AI智能功能，具备人脸识别、人员标签、人数统计功能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 ：2 个 RJ45 10M/100M/1000Mbps 自适应以太网口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 ：1 个 mini XLR， 1 个 XLR， 1 个 TRS 6.5 mm， 1 个 LINE 3.5 mm, 2 个 HDMI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 1 个 TRS 6.5 mm， 1 个 RCA， 1 个 LINE 3.5 mm， 2 个 HDMI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视频输入 ：2 个 HDMI 输入口、2 个 DVI 输入口（支持转换为 HDMI， VGA， YPbPr， CVBS）、2 个 3G-SDI 输入口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视频输出 ：2 个 HDMI 输出口：2 个 DVI 输出口：1 个 3G-SDI 输出口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串行接口 ：2 个 RS-232/485 串口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 接口 ：2 个 USB 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电源接口 12 VDC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IR 红外接收器，配合遥控器使用（配件 1 个遥控器）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 ， 100～240 VAC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 60 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 0～40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工作湿度 10%～90%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 （长×宽×高） 484.6 × 304 × 82.7 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 ≤ 4 kg</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网络标准IEEE 802.3 、IEEE 802.3u、IEEE 802.3ab、IEEE 802.3x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端口8个10/100/1000Mbps RJ45 端口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MAC地址表支持4K的MAC地址表深度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尺寸158mm x 100mm x 25mm</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音频设备</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频率响应:40HZ-16KHz;指向性:超心型;输出阻抗:75Ω,灵敏度（+/—2dB）:-40dB.供电电压:DC3V/幻象48V.咪管长度（mm）:445;咪线配置:8米双芯、卡龙母+卡龙公;重量:0.73kg.</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电视机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1.屏幕尺寸：5</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2.分辨率：4K分辨率（3840*2160）；64位机芯；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3.1.5GB DDR+8GB eMMC；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4.DTS音频处理技术；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5.支持USB-CAM；H.264+H.265双解码；Android 6.0+TUI 3.X；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6.功率：115W；</w:t>
            </w:r>
            <w:r>
              <w:rPr>
                <w:rFonts w:hint="eastAsia" w:ascii="宋体" w:hAnsi="宋体" w:cs="宋体"/>
                <w:i w:val="0"/>
                <w:color w:val="000000"/>
                <w:kern w:val="0"/>
                <w:sz w:val="18"/>
                <w:szCs w:val="18"/>
                <w:u w:val="none"/>
                <w:lang w:val="en-US" w:eastAsia="zh-CN" w:bidi="ar"/>
              </w:rPr>
              <w:t>能效等级：二级，板类型：A+级屏，带墙上固定支架或移动支架</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光盘打印刻录一体机</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功能：通过同步刻录音视频设备与智能询讯问专用桌相关联，实现案件电子光盘化，有效节约纸张成本。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要求：USB接口，打印区域120mm,支持光盘打印，包括（BD-R，DVD±R，CD-R；普通或防水可打印光盘），操作系统Windows 2000/XP/Vista/7，Mac OS X v10.2或更高，381x375x178mm，4.1kg。</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0" w:hRule="atLeast"/>
        </w:trPr>
        <w:tc>
          <w:tcPr>
            <w:tcW w:w="6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9"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工作站</w:t>
            </w:r>
          </w:p>
        </w:tc>
        <w:tc>
          <w:tcPr>
            <w:tcW w:w="4900" w:type="dxa"/>
            <w:gridSpan w:val="3"/>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I5-9400/8G/1T/DVDRW/GT730 2G</w:t>
            </w:r>
          </w:p>
        </w:tc>
        <w:tc>
          <w:tcPr>
            <w:tcW w:w="62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97"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583"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18"/>
                <w:szCs w:val="18"/>
                <w:u w:val="none"/>
                <w:lang w:val="en-US" w:eastAsia="zh-CN" w:bidi="ar"/>
              </w:rPr>
            </w:pPr>
          </w:p>
        </w:tc>
      </w:tr>
    </w:tbl>
    <w:p>
      <w:pPr>
        <w:rPr>
          <w:rFonts w:hint="eastAsia" w:ascii="仿宋_GB2312" w:hAnsi="宋体" w:eastAsia="仿宋_GB2312" w:cs="宋体"/>
          <w:b/>
          <w:sz w:val="32"/>
          <w:szCs w:val="32"/>
        </w:rPr>
      </w:pPr>
    </w:p>
    <w:p>
      <w:pPr>
        <w:rPr>
          <w:rFonts w:hint="eastAsia" w:ascii="仿宋_GB2312" w:hAnsi="宋体" w:eastAsia="仿宋_GB2312" w:cs="宋体"/>
          <w:b/>
          <w:sz w:val="32"/>
          <w:szCs w:val="32"/>
        </w:rPr>
      </w:pPr>
      <w:r>
        <w:rPr>
          <w:rFonts w:hint="eastAsia" w:ascii="宋体" w:hAnsi="宋体" w:cs="宋体"/>
          <w:i w:val="0"/>
          <w:color w:val="FF0000"/>
          <w:kern w:val="0"/>
          <w:sz w:val="18"/>
          <w:szCs w:val="18"/>
          <w:u w:val="none"/>
          <w:lang w:val="en-US" w:eastAsia="zh-CN" w:bidi="ar"/>
        </w:rPr>
        <w:t>标“</w:t>
      </w: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w:t>
      </w:r>
      <w:r>
        <w:rPr>
          <w:rFonts w:hint="eastAsia" w:ascii="宋体" w:hAnsi="宋体" w:cs="宋体"/>
          <w:i w:val="0"/>
          <w:color w:val="FF0000"/>
          <w:kern w:val="0"/>
          <w:sz w:val="18"/>
          <w:szCs w:val="18"/>
          <w:u w:val="none"/>
          <w:lang w:val="en-US" w:eastAsia="zh-CN" w:bidi="ar"/>
        </w:rPr>
        <w:t>”为本项目核心产品</w:t>
      </w:r>
      <w:r>
        <w:rPr>
          <w:rFonts w:hint="eastAsia" w:ascii="仿宋_GB2312" w:hAnsi="宋体" w:eastAsia="仿宋_GB2312" w:cs="宋体"/>
          <w:b/>
          <w:sz w:val="32"/>
          <w:szCs w:val="32"/>
        </w:rPr>
        <w:br w:type="page"/>
      </w:r>
    </w:p>
    <w:p>
      <w:pPr>
        <w:spacing w:line="540" w:lineRule="exact"/>
        <w:jc w:val="center"/>
        <w:outlineLvl w:val="0"/>
        <w:rPr>
          <w:rFonts w:ascii="仿宋_GB2312" w:hAnsi="宋体" w:eastAsia="仿宋_GB2312" w:cs="宋体"/>
          <w:b/>
          <w:sz w:val="32"/>
          <w:szCs w:val="32"/>
        </w:rPr>
      </w:pPr>
      <w:r>
        <w:rPr>
          <w:rFonts w:hint="eastAsia" w:ascii="仿宋_GB2312" w:hAnsi="宋体" w:eastAsia="仿宋_GB2312" w:cs="宋体"/>
          <w:b/>
          <w:sz w:val="32"/>
          <w:szCs w:val="32"/>
        </w:rPr>
        <w:t>第四章  合同</w:t>
      </w:r>
      <w:bookmarkEnd w:id="26"/>
      <w:bookmarkEnd w:id="27"/>
      <w:bookmarkEnd w:id="28"/>
      <w:r>
        <w:rPr>
          <w:rFonts w:hint="eastAsia" w:ascii="仿宋_GB2312" w:hAnsi="宋体" w:eastAsia="仿宋_GB2312" w:cs="宋体"/>
          <w:b/>
          <w:sz w:val="32"/>
          <w:szCs w:val="32"/>
        </w:rPr>
        <w:t>文本</w:t>
      </w:r>
      <w:bookmarkEnd w:id="29"/>
    </w:p>
    <w:p>
      <w:pPr>
        <w:jc w:val="center"/>
        <w:rPr>
          <w:rFonts w:ascii="仿宋_GB2312" w:hAnsi="宋体" w:eastAsia="仿宋_GB2312"/>
          <w:b/>
          <w:bCs/>
          <w:sz w:val="28"/>
          <w:szCs w:val="28"/>
        </w:rPr>
      </w:pPr>
    </w:p>
    <w:p>
      <w:pPr>
        <w:autoSpaceDE w:val="0"/>
        <w:autoSpaceDN w:val="0"/>
        <w:adjustRightInd w:val="0"/>
        <w:snapToGrid w:val="0"/>
        <w:spacing w:line="500" w:lineRule="exact"/>
        <w:jc w:val="center"/>
        <w:outlineLvl w:val="1"/>
        <w:rPr>
          <w:rFonts w:hint="eastAsia" w:ascii="仿宋_GB2312" w:eastAsia="仿宋_GB2312" w:cs="宋体"/>
          <w:b/>
          <w:bCs/>
          <w:sz w:val="28"/>
          <w:szCs w:val="28"/>
          <w:lang w:val="zh-CN"/>
        </w:rPr>
      </w:pPr>
      <w:bookmarkStart w:id="30" w:name="_Toc476644704"/>
      <w:bookmarkStart w:id="31" w:name="_Toc322352985"/>
      <w:bookmarkStart w:id="32" w:name="_Toc354491899"/>
      <w:bookmarkStart w:id="33" w:name="_Toc356371458"/>
      <w:bookmarkStart w:id="34" w:name="_Toc4751"/>
      <w:r>
        <w:rPr>
          <w:rFonts w:hint="eastAsia" w:ascii="仿宋_GB2312" w:eastAsia="仿宋_GB2312" w:cs="宋体"/>
          <w:b/>
          <w:bCs/>
          <w:sz w:val="28"/>
          <w:szCs w:val="28"/>
          <w:lang w:val="zh-CN"/>
        </w:rPr>
        <w:t>一、通用条款</w:t>
      </w:r>
      <w:bookmarkEnd w:id="30"/>
    </w:p>
    <w:p>
      <w:pPr>
        <w:spacing w:line="500" w:lineRule="exact"/>
        <w:rPr>
          <w:rFonts w:hint="eastAsia" w:ascii="仿宋_GB2312" w:hAnsi="宋体" w:eastAsia="仿宋_GB2312"/>
          <w:kern w:val="0"/>
          <w:sz w:val="28"/>
          <w:szCs w:val="28"/>
        </w:rPr>
      </w:pPr>
      <w:r>
        <w:rPr>
          <w:rFonts w:hint="eastAsia" w:ascii="仿宋_GB2312" w:hAnsi="宋体" w:eastAsia="仿宋_GB2312"/>
          <w:kern w:val="0"/>
          <w:sz w:val="28"/>
          <w:szCs w:val="28"/>
        </w:rPr>
        <w:t>合同编号：</w:t>
      </w:r>
      <w:r>
        <w:rPr>
          <w:rFonts w:hint="eastAsia" w:ascii="仿宋_GB2312" w:hAnsi="宋体" w:eastAsia="仿宋_GB2312"/>
          <w:b/>
          <w:kern w:val="0"/>
          <w:sz w:val="28"/>
          <w:szCs w:val="28"/>
        </w:rPr>
        <w:t>QCGHT+项目编号</w:t>
      </w:r>
    </w:p>
    <w:p>
      <w:pPr>
        <w:spacing w:line="500" w:lineRule="exact"/>
        <w:rPr>
          <w:rFonts w:hint="eastAsia" w:ascii="仿宋_GB2312" w:eastAsia="仿宋_GB2312"/>
          <w:sz w:val="28"/>
          <w:szCs w:val="28"/>
        </w:rPr>
      </w:pPr>
      <w:r>
        <w:rPr>
          <w:rFonts w:hint="eastAsia" w:ascii="仿宋_GB2312" w:eastAsia="仿宋_GB2312"/>
          <w:sz w:val="28"/>
          <w:szCs w:val="28"/>
        </w:rPr>
        <w:t>甲方（货物及服务购买方）：</w:t>
      </w:r>
    </w:p>
    <w:p>
      <w:pPr>
        <w:spacing w:line="500" w:lineRule="exact"/>
        <w:rPr>
          <w:rFonts w:hint="eastAsia" w:ascii="仿宋_GB2312" w:eastAsia="仿宋_GB2312"/>
          <w:sz w:val="28"/>
          <w:szCs w:val="28"/>
        </w:rPr>
      </w:pPr>
      <w:r>
        <w:rPr>
          <w:rFonts w:hint="eastAsia" w:ascii="仿宋_GB2312" w:eastAsia="仿宋_GB2312"/>
          <w:sz w:val="28"/>
          <w:szCs w:val="28"/>
        </w:rPr>
        <w:t>乙方（货物及服务提供或出让方）：</w:t>
      </w:r>
    </w:p>
    <w:p>
      <w:pPr>
        <w:numPr>
          <w:ilvl w:val="0"/>
          <w:numId w:val="23"/>
        </w:numPr>
        <w:spacing w:line="500" w:lineRule="exact"/>
        <w:ind w:left="0"/>
        <w:rPr>
          <w:rFonts w:hint="eastAsia" w:ascii="仿宋_GB2312" w:hAnsi="宋体" w:eastAsia="仿宋_GB2312"/>
          <w:sz w:val="28"/>
          <w:szCs w:val="28"/>
        </w:rPr>
      </w:pPr>
      <w:bookmarkStart w:id="35" w:name="_Toc56917319"/>
      <w:r>
        <w:rPr>
          <w:rFonts w:hint="eastAsia" w:ascii="仿宋_GB2312" w:hAnsi="宋体" w:eastAsia="仿宋_GB2312"/>
          <w:sz w:val="28"/>
          <w:szCs w:val="28"/>
        </w:rPr>
        <w:t>货物和服务的名称、技术规范和数量</w:t>
      </w:r>
      <w:bookmarkEnd w:id="35"/>
      <w:r>
        <w:rPr>
          <w:rFonts w:hint="eastAsia" w:ascii="仿宋_GB2312" w:hAnsi="宋体" w:eastAsia="仿宋_GB2312"/>
          <w:sz w:val="28"/>
          <w:szCs w:val="28"/>
        </w:rPr>
        <w:t>应与招标文件及投标人提供的文件相一致。</w:t>
      </w:r>
    </w:p>
    <w:p>
      <w:pPr>
        <w:numPr>
          <w:ilvl w:val="0"/>
          <w:numId w:val="23"/>
        </w:numPr>
        <w:spacing w:line="500" w:lineRule="exact"/>
        <w:ind w:left="0"/>
        <w:rPr>
          <w:rFonts w:hint="eastAsia" w:ascii="仿宋_GB2312" w:hAnsi="宋体" w:eastAsia="仿宋_GB2312"/>
          <w:sz w:val="28"/>
          <w:szCs w:val="28"/>
        </w:rPr>
      </w:pPr>
      <w:bookmarkStart w:id="36" w:name="_Toc56917320"/>
      <w:r>
        <w:rPr>
          <w:rFonts w:hint="eastAsia" w:ascii="仿宋_GB2312" w:hAnsi="宋体" w:eastAsia="仿宋_GB2312"/>
          <w:sz w:val="28"/>
          <w:szCs w:val="28"/>
        </w:rPr>
        <w:t>货物和服务的质量、技术标准</w:t>
      </w:r>
      <w:bookmarkEnd w:id="36"/>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合同货物和服务的质量、技术标准如在招标文件中无相应说明，则按中华人民共和国有关部门颁发的最新的国标或专业（部）标准执行及相应的国际标准。没有国家或专业(部)标准的，按企业标准执行。</w:t>
      </w:r>
    </w:p>
    <w:p>
      <w:pPr>
        <w:numPr>
          <w:ilvl w:val="0"/>
          <w:numId w:val="23"/>
        </w:numPr>
        <w:spacing w:line="500" w:lineRule="exact"/>
        <w:ind w:left="0"/>
        <w:rPr>
          <w:rFonts w:hint="eastAsia" w:ascii="仿宋_GB2312" w:hAnsi="宋体" w:eastAsia="仿宋_GB2312"/>
          <w:sz w:val="28"/>
          <w:szCs w:val="28"/>
        </w:rPr>
      </w:pPr>
      <w:bookmarkStart w:id="37" w:name="_Toc56917321"/>
      <w:r>
        <w:rPr>
          <w:rFonts w:hint="eastAsia" w:ascii="仿宋_GB2312" w:hAnsi="宋体" w:eastAsia="仿宋_GB2312"/>
          <w:sz w:val="28"/>
          <w:szCs w:val="28"/>
        </w:rPr>
        <w:t>专利权</w:t>
      </w:r>
      <w:bookmarkEnd w:id="37"/>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乙方对—切可能的侵权指控负责。</w:t>
      </w:r>
    </w:p>
    <w:p>
      <w:pPr>
        <w:numPr>
          <w:ilvl w:val="0"/>
          <w:numId w:val="23"/>
        </w:numPr>
        <w:spacing w:line="500" w:lineRule="exact"/>
        <w:ind w:left="0"/>
        <w:rPr>
          <w:rFonts w:hint="eastAsia" w:ascii="仿宋_GB2312" w:hAnsi="宋体" w:eastAsia="仿宋_GB2312"/>
          <w:sz w:val="28"/>
          <w:szCs w:val="28"/>
        </w:rPr>
      </w:pPr>
      <w:bookmarkStart w:id="38" w:name="_Toc56917322"/>
      <w:r>
        <w:rPr>
          <w:rFonts w:hint="eastAsia" w:ascii="仿宋_GB2312" w:hAnsi="宋体" w:eastAsia="仿宋_GB2312"/>
          <w:sz w:val="28"/>
          <w:szCs w:val="28"/>
        </w:rPr>
        <w:t>风险责任</w:t>
      </w:r>
      <w:bookmarkEnd w:id="38"/>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执行本合同的过程中，确因在现有水平和条件下难以克服的技术困难，导致部分或全部失败所造成的损失，风险责任由乙方全部承担。</w:t>
      </w:r>
    </w:p>
    <w:p>
      <w:pPr>
        <w:numPr>
          <w:ilvl w:val="0"/>
          <w:numId w:val="23"/>
        </w:numPr>
        <w:spacing w:line="500" w:lineRule="exact"/>
        <w:ind w:left="0"/>
        <w:rPr>
          <w:rFonts w:hint="eastAsia" w:ascii="仿宋_GB2312" w:hAnsi="宋体" w:eastAsia="仿宋_GB2312"/>
          <w:sz w:val="28"/>
          <w:szCs w:val="28"/>
        </w:rPr>
      </w:pPr>
      <w:bookmarkStart w:id="39" w:name="_Toc56917323"/>
      <w:r>
        <w:rPr>
          <w:rFonts w:hint="eastAsia" w:ascii="仿宋_GB2312" w:hAnsi="宋体" w:eastAsia="仿宋_GB2312"/>
          <w:sz w:val="28"/>
          <w:szCs w:val="28"/>
        </w:rPr>
        <w:t>无瑕疵条款</w:t>
      </w:r>
      <w:bookmarkEnd w:id="39"/>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乙方在交付货物和服务后发现有瑕疵或漏项的，乙方应负担由此而产生的一切损失。</w:t>
      </w:r>
    </w:p>
    <w:p>
      <w:pPr>
        <w:numPr>
          <w:ilvl w:val="0"/>
          <w:numId w:val="23"/>
        </w:numPr>
        <w:spacing w:line="500" w:lineRule="exact"/>
        <w:ind w:left="0"/>
        <w:rPr>
          <w:rFonts w:hint="eastAsia" w:ascii="仿宋_GB2312" w:hAnsi="宋体" w:eastAsia="仿宋_GB2312"/>
          <w:sz w:val="28"/>
          <w:szCs w:val="28"/>
        </w:rPr>
      </w:pPr>
      <w:bookmarkStart w:id="40" w:name="_Toc56917326"/>
      <w:r>
        <w:rPr>
          <w:rFonts w:hint="eastAsia" w:ascii="仿宋_GB2312" w:hAnsi="宋体" w:eastAsia="仿宋_GB2312"/>
          <w:sz w:val="28"/>
          <w:szCs w:val="28"/>
        </w:rPr>
        <w:t>合同转让和分包</w:t>
      </w:r>
      <w:bookmarkEnd w:id="40"/>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本合同不得转让。未经甲方书面同意，乙方不得将合同内容分包给第三方。</w:t>
      </w:r>
    </w:p>
    <w:p>
      <w:pPr>
        <w:numPr>
          <w:ilvl w:val="0"/>
          <w:numId w:val="23"/>
        </w:numPr>
        <w:spacing w:line="500" w:lineRule="exact"/>
        <w:ind w:left="0"/>
        <w:rPr>
          <w:rFonts w:hint="eastAsia" w:ascii="仿宋_GB2312" w:hAnsi="宋体" w:eastAsia="仿宋_GB2312"/>
          <w:sz w:val="28"/>
          <w:szCs w:val="28"/>
        </w:rPr>
      </w:pPr>
      <w:bookmarkStart w:id="41" w:name="_Toc56917327"/>
      <w:r>
        <w:rPr>
          <w:rFonts w:hint="eastAsia" w:ascii="仿宋_GB2312" w:hAnsi="宋体" w:eastAsia="仿宋_GB2312"/>
          <w:sz w:val="28"/>
          <w:szCs w:val="28"/>
        </w:rPr>
        <w:t>合同修改</w:t>
      </w:r>
      <w:bookmarkEnd w:id="41"/>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甲方与乙方双方的任何一方对合同内容提出修改，均应以书面形式通知对方，并达成由双方签署的合同修改书。在合同签证时由</w:t>
      </w:r>
      <w:r>
        <w:rPr>
          <w:rFonts w:hint="eastAsia" w:ascii="仿宋_GB2312" w:hAnsi="宋体" w:eastAsia="仿宋_GB2312"/>
          <w:sz w:val="28"/>
          <w:szCs w:val="28"/>
          <w:lang w:eastAsia="zh-CN"/>
        </w:rPr>
        <w:t>衢州市衢江区政府采购中心</w:t>
      </w:r>
      <w:r>
        <w:rPr>
          <w:rFonts w:hint="eastAsia" w:ascii="仿宋_GB2312" w:hAnsi="宋体" w:eastAsia="仿宋_GB2312"/>
          <w:sz w:val="28"/>
          <w:szCs w:val="28"/>
        </w:rPr>
        <w:t>审核。原则性条款不允许修改。</w:t>
      </w:r>
    </w:p>
    <w:p>
      <w:pPr>
        <w:numPr>
          <w:ilvl w:val="0"/>
          <w:numId w:val="23"/>
        </w:numPr>
        <w:spacing w:line="500" w:lineRule="exact"/>
        <w:ind w:left="0"/>
        <w:rPr>
          <w:rFonts w:hint="eastAsia" w:ascii="仿宋_GB2312" w:eastAsia="仿宋_GB2312"/>
          <w:sz w:val="28"/>
          <w:szCs w:val="28"/>
        </w:rPr>
      </w:pPr>
      <w:r>
        <w:rPr>
          <w:rFonts w:hint="eastAsia" w:ascii="仿宋_GB2312" w:eastAsia="仿宋_GB2312"/>
          <w:bCs/>
          <w:sz w:val="28"/>
          <w:szCs w:val="28"/>
        </w:rPr>
        <w:t>不可抗力事件处理</w:t>
      </w:r>
    </w:p>
    <w:p>
      <w:pPr>
        <w:numPr>
          <w:ilvl w:val="1"/>
          <w:numId w:val="23"/>
        </w:numPr>
        <w:tabs>
          <w:tab w:val="left" w:pos="987"/>
        </w:tabs>
        <w:spacing w:line="500" w:lineRule="exact"/>
        <w:ind w:left="0"/>
        <w:rPr>
          <w:rFonts w:hint="eastAsia" w:ascii="仿宋_GB2312" w:eastAsia="仿宋_GB2312"/>
          <w:sz w:val="28"/>
          <w:szCs w:val="28"/>
        </w:rPr>
      </w:pPr>
      <w:r>
        <w:rPr>
          <w:rFonts w:hint="eastAsia" w:ascii="仿宋_GB2312" w:hAnsi="宋体" w:eastAsia="仿宋_GB2312"/>
          <w:sz w:val="28"/>
          <w:szCs w:val="28"/>
        </w:rPr>
        <w:t>在</w:t>
      </w:r>
      <w:r>
        <w:rPr>
          <w:rFonts w:hint="eastAsia" w:ascii="仿宋_GB2312" w:eastAsia="仿宋_GB2312"/>
          <w:sz w:val="28"/>
          <w:szCs w:val="28"/>
        </w:rPr>
        <w:t>执行合同期限内，任何一方因不可抗力事件所致不能履行合同，则合同履行期可延长，延长期与不可抗力影响期相同。</w:t>
      </w:r>
    </w:p>
    <w:p>
      <w:pPr>
        <w:numPr>
          <w:ilvl w:val="1"/>
          <w:numId w:val="23"/>
        </w:numPr>
        <w:tabs>
          <w:tab w:val="left" w:pos="987"/>
        </w:tabs>
        <w:spacing w:line="500" w:lineRule="exact"/>
        <w:ind w:left="0"/>
        <w:rPr>
          <w:rFonts w:hint="eastAsia" w:ascii="仿宋_GB2312" w:eastAsia="仿宋_GB2312"/>
          <w:sz w:val="28"/>
          <w:szCs w:val="28"/>
        </w:rPr>
      </w:pPr>
      <w:r>
        <w:rPr>
          <w:rFonts w:hint="eastAsia" w:ascii="仿宋_GB2312" w:hAnsi="宋体" w:eastAsia="仿宋_GB2312"/>
          <w:sz w:val="28"/>
          <w:szCs w:val="28"/>
        </w:rPr>
        <w:t>不可抗力</w:t>
      </w:r>
      <w:r>
        <w:rPr>
          <w:rFonts w:hint="eastAsia" w:ascii="仿宋_GB2312" w:eastAsia="仿宋_GB2312"/>
          <w:sz w:val="28"/>
          <w:szCs w:val="28"/>
        </w:rPr>
        <w:t xml:space="preserve">事件发生后，应立即通知对方，并寄送有关权威机构出具的证明。 </w:t>
      </w:r>
    </w:p>
    <w:p>
      <w:pPr>
        <w:numPr>
          <w:ilvl w:val="1"/>
          <w:numId w:val="23"/>
        </w:numPr>
        <w:tabs>
          <w:tab w:val="left" w:pos="987"/>
        </w:tabs>
        <w:spacing w:line="500" w:lineRule="exact"/>
        <w:ind w:left="0"/>
        <w:rPr>
          <w:rFonts w:hint="eastAsia" w:ascii="仿宋_GB2312" w:eastAsia="仿宋_GB2312"/>
          <w:bCs/>
          <w:sz w:val="28"/>
          <w:szCs w:val="28"/>
          <w:lang w:val="zh-CN"/>
        </w:rPr>
      </w:pPr>
      <w:r>
        <w:rPr>
          <w:rFonts w:hint="eastAsia" w:ascii="仿宋_GB2312" w:eastAsia="仿宋_GB2312"/>
          <w:sz w:val="28"/>
          <w:szCs w:val="28"/>
        </w:rPr>
        <w:t>不可抗力事件延续</w:t>
      </w:r>
      <w:r>
        <w:rPr>
          <w:rFonts w:hint="eastAsia" w:ascii="仿宋_GB2312" w:eastAsia="仿宋_GB2312"/>
          <w:sz w:val="28"/>
          <w:szCs w:val="28"/>
          <w:u w:val="single"/>
        </w:rPr>
        <w:t>__60___</w:t>
      </w:r>
      <w:r>
        <w:rPr>
          <w:rFonts w:hint="eastAsia" w:ascii="仿宋_GB2312" w:eastAsia="仿宋_GB2312"/>
          <w:sz w:val="28"/>
          <w:szCs w:val="28"/>
        </w:rPr>
        <w:t>天以上，双方应通过友好协商，确定是否继续履行合同。</w:t>
      </w:r>
    </w:p>
    <w:p>
      <w:pPr>
        <w:numPr>
          <w:ilvl w:val="0"/>
          <w:numId w:val="23"/>
        </w:numPr>
        <w:spacing w:line="500" w:lineRule="exact"/>
        <w:ind w:left="0"/>
        <w:rPr>
          <w:rFonts w:hint="eastAsia" w:ascii="仿宋_GB2312" w:eastAsia="仿宋_GB2312"/>
          <w:bCs/>
          <w:sz w:val="28"/>
          <w:szCs w:val="28"/>
        </w:rPr>
      </w:pPr>
      <w:r>
        <w:rPr>
          <w:rFonts w:hint="eastAsia" w:ascii="仿宋_GB2312" w:eastAsia="仿宋_GB2312"/>
          <w:bCs/>
          <w:sz w:val="28"/>
          <w:szCs w:val="28"/>
        </w:rPr>
        <w:t>违约责任</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 xml:space="preserve">甲方无正当理由拒收服务、拒付服务款的，甲方向乙方偿付合同总价的5%违约金。 </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 xml:space="preserve">甲方未按合同规定的期限向乙方支付服务款的，每逾期1天甲方向乙方偿付欠款总额的5‰滞纳金，但累计滞纳金总额不超过欠款总额 的5% 。 </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如乙方不能交付服务的，甲方有权扣留全部履约保证金；同时乙方应向甲方支付合同总价5%的违约金。</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 xml:space="preserve"> .乙方逾期交付的，每逾期1天，乙方向甲方偿付合同总额的5‰的滞纳金。如乙方逾期交付达10天，甲方有权解除合同，解除合同的通知 自到达乙方时生效。 </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 xml:space="preserve">乙方所交付的服务不符合合同规定的，甲方有权拒收。甲方拒收的，乙方应向甲方支付合同总款5%的违约金。 </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在乙方承诺的或国家规定的质量保证期内（取两者中最长的期限），如经乙方两次整改仍不能达到合同约定的质量标准，乙方应退回全部合同价款，并按第9.3款处理，同时，乙方还须赔偿甲方因此遭受的损失。</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 xml:space="preserve"> 乙方未按本合同的规定和服务承诺提供伴随服务/售后服务的，应按合同总价款的5%向甲方承担违约责任。 </w:t>
      </w:r>
    </w:p>
    <w:p>
      <w:pPr>
        <w:numPr>
          <w:ilvl w:val="1"/>
          <w:numId w:val="23"/>
        </w:numPr>
        <w:spacing w:line="500" w:lineRule="exact"/>
        <w:rPr>
          <w:rFonts w:hint="eastAsia" w:ascii="仿宋_GB2312" w:hAnsi="宋体" w:eastAsia="仿宋_GB2312"/>
          <w:kern w:val="0"/>
          <w:sz w:val="28"/>
          <w:szCs w:val="28"/>
        </w:rPr>
      </w:pPr>
      <w:r>
        <w:rPr>
          <w:rFonts w:hint="eastAsia" w:ascii="仿宋_GB2312" w:eastAsia="仿宋_GB2312"/>
          <w:sz w:val="28"/>
          <w:szCs w:val="28"/>
        </w:rPr>
        <w:t>乙方在承担上述9.4-9.7款一项或多项违约责任后，仍应继续履行合同规定的义务（甲方解除合同的除外）。甲方未能及时追究乙方的任何一项违约责任并不表明甲方放弃追究乙方该项或其他违约责任。</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eastAsia="仿宋_GB2312"/>
          <w:sz w:val="28"/>
          <w:szCs w:val="28"/>
        </w:rPr>
        <w:t xml:space="preserve"> 乙方响应属虚假承诺，或经权威部门监测提供的服务不能满足投标文件要求，或是由于乙方的过错造成合同无法继续履行的，乙方履约保证金不予退还外，还应向甲方支付不少于合同总价30%赔偿金。</w:t>
      </w:r>
    </w:p>
    <w:p>
      <w:pPr>
        <w:numPr>
          <w:ilvl w:val="0"/>
          <w:numId w:val="23"/>
        </w:numPr>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争议的解决</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双方在履行合同过程中产生争议时</w:t>
      </w:r>
      <w:r>
        <w:rPr>
          <w:rFonts w:ascii="仿宋_GB2312" w:hAnsi="宋体" w:eastAsia="仿宋_GB2312"/>
          <w:sz w:val="28"/>
          <w:szCs w:val="28"/>
        </w:rPr>
        <w:t>(1)</w:t>
      </w:r>
      <w:r>
        <w:rPr>
          <w:rFonts w:hint="eastAsia" w:ascii="仿宋_GB2312" w:hAnsi="宋体" w:eastAsia="仿宋_GB2312"/>
          <w:sz w:val="28"/>
          <w:szCs w:val="28"/>
        </w:rPr>
        <w:t>请政府采购监管部门调解; (2)直接向合同签订地人民法院提请诉讼。</w:t>
      </w:r>
    </w:p>
    <w:p>
      <w:pPr>
        <w:autoSpaceDE w:val="0"/>
        <w:autoSpaceDN w:val="0"/>
        <w:adjustRightInd w:val="0"/>
        <w:snapToGrid w:val="0"/>
        <w:spacing w:line="500" w:lineRule="exact"/>
        <w:jc w:val="center"/>
        <w:outlineLvl w:val="1"/>
        <w:rPr>
          <w:rFonts w:hint="eastAsia" w:ascii="仿宋_GB2312" w:eastAsia="仿宋_GB2312" w:cs="宋体"/>
          <w:b/>
          <w:bCs/>
          <w:sz w:val="28"/>
          <w:szCs w:val="28"/>
          <w:lang w:val="zh-CN"/>
        </w:rPr>
      </w:pPr>
      <w:bookmarkStart w:id="42" w:name="_Toc476644518"/>
      <w:r>
        <w:rPr>
          <w:rFonts w:hint="eastAsia" w:ascii="仿宋_GB2312" w:eastAsia="仿宋_GB2312" w:cs="宋体"/>
          <w:b/>
          <w:bCs/>
          <w:sz w:val="28"/>
          <w:szCs w:val="28"/>
          <w:lang w:val="zh-CN"/>
        </w:rPr>
        <w:t>二、专用条款</w:t>
      </w:r>
      <w:bookmarkEnd w:id="42"/>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甲、乙双方根据（项目编号：__________）项目招标结果和招标文件的要求，并经双方协调一致，订立本采购合同。</w:t>
      </w:r>
    </w:p>
    <w:p>
      <w:pPr>
        <w:numPr>
          <w:ilvl w:val="0"/>
          <w:numId w:val="23"/>
        </w:numPr>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合同文件</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本合同书</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中标/成交通知书</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中标单位投标文件</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变更补充文件</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招标文件</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本合同专用条款</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本合同通用条款</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标准、规范、图纸及有关技术文件</w:t>
      </w:r>
    </w:p>
    <w:p>
      <w:pPr>
        <w:numPr>
          <w:ilvl w:val="1"/>
          <w:numId w:val="23"/>
        </w:numPr>
        <w:tabs>
          <w:tab w:val="left" w:pos="987"/>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其他</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上述所指合同文件应认为是互相补充和解释的，但是有模棱两可或互相矛盾之处，以其所列内容顺序为准。</w:t>
      </w:r>
    </w:p>
    <w:p>
      <w:pPr>
        <w:numPr>
          <w:ilvl w:val="0"/>
          <w:numId w:val="23"/>
        </w:numPr>
        <w:tabs>
          <w:tab w:val="left" w:pos="0"/>
        </w:tabs>
        <w:spacing w:line="500" w:lineRule="exact"/>
        <w:ind w:left="0"/>
        <w:rPr>
          <w:rFonts w:hint="eastAsia" w:ascii="仿宋_GB2312" w:hAnsi="宋体" w:eastAsia="仿宋_GB2312"/>
          <w:sz w:val="28"/>
          <w:szCs w:val="28"/>
        </w:rPr>
      </w:pPr>
      <w:r>
        <w:rPr>
          <w:rFonts w:hint="eastAsia" w:ascii="仿宋_GB2312" w:hAnsi="宋体" w:eastAsia="仿宋_GB2312"/>
          <w:sz w:val="28"/>
          <w:szCs w:val="28"/>
        </w:rPr>
        <w:t>合同金额：</w:t>
      </w:r>
      <w:r>
        <w:rPr>
          <w:rFonts w:hint="eastAsia" w:ascii="仿宋_GB2312" w:hAnsi="宋体" w:eastAsia="仿宋_GB2312"/>
          <w:sz w:val="28"/>
          <w:szCs w:val="28"/>
          <w:u w:val="single"/>
        </w:rPr>
        <w:t xml:space="preserve">                                       </w:t>
      </w:r>
      <w:r>
        <w:rPr>
          <w:rFonts w:hint="eastAsia" w:ascii="仿宋_GB2312" w:hAnsi="宋体" w:eastAsia="仿宋_GB2312"/>
          <w:sz w:val="28"/>
          <w:szCs w:val="28"/>
        </w:rPr>
        <w:t>（大写）</w:t>
      </w:r>
      <w:r>
        <w:rPr>
          <w:rFonts w:ascii="仿宋_GB2312" w:hAnsi="宋体" w:eastAsia="仿宋_GB2312"/>
          <w:sz w:val="28"/>
          <w:szCs w:val="28"/>
        </w:rPr>
        <w:br w:type="textWrapping"/>
      </w:r>
      <w:r>
        <w:rPr>
          <w:rFonts w:hint="eastAsia" w:ascii="仿宋_GB2312" w:hAnsi="宋体" w:eastAsia="仿宋_GB2312"/>
          <w:sz w:val="28"/>
          <w:szCs w:val="28"/>
        </w:rPr>
        <w:t>包括货款、标准附件、专用工具、包装、运输、装卸、保险、税金、货到检查以及安装、调试、培训、保修等一切税金和费用。</w:t>
      </w:r>
      <w:r>
        <w:rPr>
          <w:rFonts w:hint="eastAsia" w:ascii="仿宋_GB2312" w:hAnsi="宋体" w:eastAsia="仿宋_GB2312"/>
          <w:bCs/>
          <w:sz w:val="28"/>
          <w:szCs w:val="28"/>
          <w:u w:val="single"/>
        </w:rPr>
        <w:t>另验收未通过的，验收费用由乙方支付</w:t>
      </w:r>
      <w:r>
        <w:rPr>
          <w:rFonts w:hint="eastAsia" w:ascii="仿宋_GB2312" w:hAnsi="宋体" w:eastAsia="仿宋_GB2312"/>
          <w:sz w:val="28"/>
          <w:szCs w:val="28"/>
        </w:rPr>
        <w:t>。</w:t>
      </w:r>
    </w:p>
    <w:p>
      <w:pPr>
        <w:spacing w:line="500" w:lineRule="exact"/>
        <w:ind w:firstLine="137" w:firstLineChars="49"/>
        <w:rPr>
          <w:rFonts w:hint="eastAsia" w:ascii="仿宋_GB2312" w:hAnsi="宋体" w:eastAsia="仿宋_GB2312"/>
          <w:kern w:val="0"/>
          <w:sz w:val="28"/>
          <w:szCs w:val="28"/>
        </w:rPr>
      </w:pPr>
      <w:r>
        <w:rPr>
          <w:rFonts w:hint="eastAsia" w:ascii="仿宋_GB2312" w:hAnsi="宋体" w:eastAsia="仿宋_GB2312"/>
          <w:kern w:val="0"/>
          <w:sz w:val="28"/>
          <w:szCs w:val="28"/>
        </w:rPr>
        <w:t>项目名称：</w:t>
      </w:r>
    </w:p>
    <w:p>
      <w:pPr>
        <w:spacing w:line="500" w:lineRule="exact"/>
        <w:ind w:firstLine="137" w:firstLineChars="49"/>
        <w:rPr>
          <w:rFonts w:hint="eastAsia" w:ascii="仿宋_GB2312" w:hAnsi="宋体" w:eastAsia="仿宋_GB2312"/>
          <w:sz w:val="28"/>
          <w:szCs w:val="28"/>
        </w:rPr>
      </w:pPr>
      <w:r>
        <w:rPr>
          <w:rFonts w:hint="eastAsia" w:ascii="仿宋_GB2312" w:hAnsi="宋体" w:eastAsia="仿宋_GB2312"/>
          <w:kern w:val="0"/>
          <w:sz w:val="28"/>
          <w:szCs w:val="28"/>
        </w:rPr>
        <w:t>项目编号：                                       单位：元</w:t>
      </w:r>
    </w:p>
    <w:tbl>
      <w:tblPr>
        <w:tblStyle w:val="60"/>
        <w:tblW w:w="911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64"/>
        <w:gridCol w:w="2090"/>
        <w:gridCol w:w="323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序号</w:t>
            </w:r>
          </w:p>
        </w:tc>
        <w:tc>
          <w:tcPr>
            <w:tcW w:w="1764" w:type="dxa"/>
            <w:vAlign w:val="top"/>
          </w:tcPr>
          <w:p>
            <w:pPr>
              <w:pStyle w:val="224"/>
              <w:spacing w:line="500" w:lineRule="exact"/>
              <w:ind w:firstLine="0" w:firstLineChars="0"/>
              <w:rPr>
                <w:rFonts w:hint="eastAsia" w:hAnsi="Times New Roman"/>
                <w:sz w:val="28"/>
              </w:rPr>
            </w:pPr>
            <w:r>
              <w:rPr>
                <w:rFonts w:hint="eastAsia" w:hAnsi="Times New Roman"/>
                <w:sz w:val="28"/>
              </w:rPr>
              <w:t>名称</w:t>
            </w:r>
          </w:p>
        </w:tc>
        <w:tc>
          <w:tcPr>
            <w:tcW w:w="6560" w:type="dxa"/>
            <w:gridSpan w:val="3"/>
            <w:vAlign w:val="top"/>
          </w:tcPr>
          <w:p>
            <w:pPr>
              <w:pStyle w:val="224"/>
              <w:spacing w:line="500" w:lineRule="exact"/>
              <w:ind w:firstLine="0" w:firstLineChars="0"/>
              <w:jc w:val="center"/>
              <w:rPr>
                <w:rFonts w:hint="eastAsia" w:hAnsi="Times New Roman"/>
                <w:sz w:val="28"/>
              </w:rPr>
            </w:pPr>
            <w:r>
              <w:rPr>
                <w:rFonts w:hint="eastAsia" w:hAnsi="Times New Roman"/>
                <w:sz w:val="28"/>
              </w:rPr>
              <w:t>具体分项由投标人提供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一</w:t>
            </w:r>
          </w:p>
        </w:tc>
        <w:tc>
          <w:tcPr>
            <w:tcW w:w="1764" w:type="dxa"/>
            <w:vAlign w:val="top"/>
          </w:tcPr>
          <w:p>
            <w:pPr>
              <w:pStyle w:val="224"/>
              <w:spacing w:line="500" w:lineRule="exact"/>
              <w:ind w:firstLine="0" w:firstLineChars="0"/>
              <w:rPr>
                <w:rFonts w:hint="eastAsia" w:hAnsi="Times New Roman"/>
                <w:sz w:val="28"/>
              </w:rPr>
            </w:pP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firstLine="0" w:firstLineChars="0"/>
              <w:rPr>
                <w:rFonts w:hint="eastAsia" w:hAnsi="Times New Roman"/>
                <w:sz w:val="28"/>
              </w:rPr>
            </w:pPr>
          </w:p>
        </w:tc>
        <w:tc>
          <w:tcPr>
            <w:tcW w:w="1237" w:type="dxa"/>
            <w:vAlign w:val="top"/>
          </w:tcPr>
          <w:p>
            <w:pPr>
              <w:pStyle w:val="224"/>
              <w:spacing w:line="500" w:lineRule="exact"/>
              <w:ind w:firstLine="0" w:firstLineChars="0"/>
              <w:rPr>
                <w:rFonts w:hint="eastAsia"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w:t>
            </w:r>
          </w:p>
        </w:tc>
        <w:tc>
          <w:tcPr>
            <w:tcW w:w="1764" w:type="dxa"/>
            <w:vAlign w:val="top"/>
          </w:tcPr>
          <w:p>
            <w:pPr>
              <w:pStyle w:val="224"/>
              <w:spacing w:line="500" w:lineRule="exact"/>
              <w:ind w:firstLine="0" w:firstLineChars="0"/>
              <w:rPr>
                <w:rFonts w:hint="eastAsia" w:hAnsi="Times New Roman"/>
                <w:sz w:val="28"/>
              </w:rPr>
            </w:pP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firstLine="0" w:firstLineChars="0"/>
              <w:rPr>
                <w:rFonts w:hint="eastAsia" w:hAnsi="Times New Roman"/>
                <w:sz w:val="28"/>
              </w:rPr>
            </w:pPr>
          </w:p>
        </w:tc>
        <w:tc>
          <w:tcPr>
            <w:tcW w:w="1237" w:type="dxa"/>
            <w:vAlign w:val="top"/>
          </w:tcPr>
          <w:p>
            <w:pPr>
              <w:pStyle w:val="224"/>
              <w:spacing w:line="500" w:lineRule="exact"/>
              <w:ind w:firstLine="0" w:firstLineChars="0"/>
              <w:rPr>
                <w:rFonts w:hint="eastAsia"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二</w:t>
            </w:r>
          </w:p>
        </w:tc>
        <w:tc>
          <w:tcPr>
            <w:tcW w:w="1764" w:type="dxa"/>
            <w:vAlign w:val="top"/>
          </w:tcPr>
          <w:p>
            <w:pPr>
              <w:pStyle w:val="224"/>
              <w:spacing w:line="500" w:lineRule="exact"/>
              <w:ind w:firstLine="0" w:firstLineChars="0"/>
              <w:rPr>
                <w:rFonts w:hint="eastAsia" w:hAnsi="Times New Roman"/>
                <w:sz w:val="28"/>
              </w:rPr>
            </w:pP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firstLine="0" w:firstLineChars="0"/>
              <w:rPr>
                <w:rFonts w:hint="eastAsia" w:hAnsi="Times New Roman"/>
                <w:sz w:val="28"/>
              </w:rPr>
            </w:pPr>
          </w:p>
        </w:tc>
        <w:tc>
          <w:tcPr>
            <w:tcW w:w="1237" w:type="dxa"/>
            <w:vAlign w:val="top"/>
          </w:tcPr>
          <w:p>
            <w:pPr>
              <w:pStyle w:val="224"/>
              <w:spacing w:line="500" w:lineRule="exact"/>
              <w:ind w:firstLine="0" w:firstLineChars="0"/>
              <w:rPr>
                <w:rFonts w:hint="eastAsia"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w:t>
            </w:r>
          </w:p>
        </w:tc>
        <w:tc>
          <w:tcPr>
            <w:tcW w:w="1764" w:type="dxa"/>
            <w:vAlign w:val="top"/>
          </w:tcPr>
          <w:p>
            <w:pPr>
              <w:pStyle w:val="224"/>
              <w:spacing w:line="500" w:lineRule="exact"/>
              <w:ind w:firstLine="0" w:firstLineChars="0"/>
              <w:rPr>
                <w:rFonts w:hint="eastAsia" w:hAnsi="Times New Roman"/>
                <w:sz w:val="28"/>
              </w:rPr>
            </w:pP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firstLine="0" w:firstLineChars="0"/>
              <w:rPr>
                <w:rFonts w:hint="eastAsia" w:hAnsi="Times New Roman"/>
                <w:sz w:val="28"/>
              </w:rPr>
            </w:pPr>
          </w:p>
        </w:tc>
        <w:tc>
          <w:tcPr>
            <w:tcW w:w="1237" w:type="dxa"/>
            <w:vAlign w:val="top"/>
          </w:tcPr>
          <w:p>
            <w:pPr>
              <w:pStyle w:val="224"/>
              <w:spacing w:line="500" w:lineRule="exact"/>
              <w:ind w:firstLine="0" w:firstLineChars="0"/>
              <w:rPr>
                <w:rFonts w:hint="eastAsia"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w:t>
            </w:r>
          </w:p>
        </w:tc>
        <w:tc>
          <w:tcPr>
            <w:tcW w:w="1764" w:type="dxa"/>
            <w:vAlign w:val="top"/>
          </w:tcPr>
          <w:p>
            <w:pPr>
              <w:pStyle w:val="224"/>
              <w:spacing w:line="500" w:lineRule="exact"/>
              <w:ind w:firstLine="0" w:firstLineChars="0"/>
              <w:rPr>
                <w:rFonts w:hint="eastAsia" w:hAnsi="Times New Roman"/>
                <w:sz w:val="28"/>
              </w:rPr>
            </w:pP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firstLine="0" w:firstLineChars="0"/>
              <w:rPr>
                <w:rFonts w:hint="eastAsia" w:hAnsi="Times New Roman"/>
                <w:sz w:val="28"/>
              </w:rPr>
            </w:pPr>
          </w:p>
        </w:tc>
        <w:tc>
          <w:tcPr>
            <w:tcW w:w="1237" w:type="dxa"/>
            <w:vAlign w:val="top"/>
          </w:tcPr>
          <w:p>
            <w:pPr>
              <w:pStyle w:val="224"/>
              <w:spacing w:line="500" w:lineRule="exact"/>
              <w:ind w:firstLine="0" w:firstLineChars="0"/>
              <w:rPr>
                <w:rFonts w:hint="eastAsia"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500" w:lineRule="exact"/>
              <w:ind w:firstLine="0" w:firstLineChars="0"/>
              <w:rPr>
                <w:rFonts w:hint="eastAsia" w:hAnsi="Times New Roman"/>
                <w:sz w:val="28"/>
              </w:rPr>
            </w:pPr>
            <w:r>
              <w:rPr>
                <w:rFonts w:hint="eastAsia" w:hAnsi="Times New Roman"/>
                <w:sz w:val="28"/>
              </w:rPr>
              <w:t>三</w:t>
            </w:r>
          </w:p>
        </w:tc>
        <w:tc>
          <w:tcPr>
            <w:tcW w:w="1764" w:type="dxa"/>
            <w:vAlign w:val="top"/>
          </w:tcPr>
          <w:p>
            <w:pPr>
              <w:pStyle w:val="224"/>
              <w:spacing w:line="500" w:lineRule="exact"/>
              <w:ind w:firstLine="0" w:firstLineChars="0"/>
              <w:rPr>
                <w:rFonts w:hint="eastAsia" w:hAnsi="Times New Roman"/>
                <w:sz w:val="28"/>
              </w:rPr>
            </w:pPr>
            <w:r>
              <w:rPr>
                <w:rFonts w:hint="eastAsia" w:hAnsi="Times New Roman"/>
                <w:sz w:val="28"/>
              </w:rPr>
              <w:t>总计</w:t>
            </w:r>
          </w:p>
        </w:tc>
        <w:tc>
          <w:tcPr>
            <w:tcW w:w="2090" w:type="dxa"/>
            <w:vAlign w:val="top"/>
          </w:tcPr>
          <w:p>
            <w:pPr>
              <w:pStyle w:val="224"/>
              <w:spacing w:line="500" w:lineRule="exact"/>
              <w:ind w:firstLine="0" w:firstLineChars="0"/>
              <w:rPr>
                <w:rFonts w:hint="eastAsia" w:hAnsi="Times New Roman"/>
                <w:sz w:val="28"/>
              </w:rPr>
            </w:pPr>
          </w:p>
        </w:tc>
        <w:tc>
          <w:tcPr>
            <w:tcW w:w="3233" w:type="dxa"/>
            <w:vAlign w:val="top"/>
          </w:tcPr>
          <w:p>
            <w:pPr>
              <w:pStyle w:val="224"/>
              <w:spacing w:line="500" w:lineRule="exact"/>
              <w:ind w:left="661" w:firstLine="0" w:firstLineChars="0"/>
              <w:rPr>
                <w:rFonts w:hint="eastAsia" w:hAnsi="Times New Roman"/>
                <w:sz w:val="28"/>
              </w:rPr>
            </w:pPr>
          </w:p>
        </w:tc>
        <w:tc>
          <w:tcPr>
            <w:tcW w:w="1237" w:type="dxa"/>
            <w:vAlign w:val="top"/>
          </w:tcPr>
          <w:p>
            <w:pPr>
              <w:pStyle w:val="224"/>
              <w:spacing w:line="500" w:lineRule="exact"/>
              <w:ind w:left="661" w:firstLine="0" w:firstLineChars="0"/>
              <w:rPr>
                <w:rFonts w:hint="eastAsia" w:hAnsi="Times New Roman"/>
                <w:sz w:val="28"/>
              </w:rPr>
            </w:pPr>
          </w:p>
        </w:tc>
      </w:tr>
    </w:tbl>
    <w:p>
      <w:pPr>
        <w:spacing w:line="500" w:lineRule="exact"/>
        <w:rPr>
          <w:rFonts w:hint="eastAsia" w:ascii="仿宋_GB2312" w:hAnsi="宋体" w:eastAsia="仿宋_GB2312"/>
          <w:b/>
          <w:sz w:val="28"/>
          <w:szCs w:val="28"/>
        </w:rPr>
      </w:pPr>
    </w:p>
    <w:p>
      <w:pPr>
        <w:numPr>
          <w:ilvl w:val="0"/>
          <w:numId w:val="23"/>
        </w:numPr>
        <w:spacing w:line="500" w:lineRule="exact"/>
        <w:ind w:left="0"/>
        <w:rPr>
          <w:rFonts w:hint="eastAsia" w:ascii="仿宋_GB2312" w:hAnsi="宋体" w:eastAsia="仿宋_GB2312"/>
          <w:sz w:val="28"/>
          <w:szCs w:val="28"/>
        </w:rPr>
      </w:pPr>
      <w:r>
        <w:rPr>
          <w:rFonts w:hint="eastAsia" w:ascii="仿宋_GB2312" w:eastAsia="仿宋_GB2312"/>
          <w:bCs/>
          <w:sz w:val="28"/>
          <w:szCs w:val="28"/>
        </w:rPr>
        <w:t>质量保证</w:t>
      </w:r>
      <w:r>
        <w:rPr>
          <w:rFonts w:hint="eastAsia" w:ascii="仿宋_GB2312" w:hAnsi="宋体" w:eastAsia="仿宋_GB2312"/>
          <w:sz w:val="28"/>
          <w:szCs w:val="28"/>
          <w:u w:val="single"/>
        </w:rPr>
        <w:t>（视项目需要可具体细化）</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付款方式</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hAnsi="宋体" w:eastAsia="仿宋_GB2312"/>
          <w:sz w:val="28"/>
          <w:szCs w:val="28"/>
        </w:rPr>
        <w:t>付款方式详见采购需求,请自行添加。</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培训</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培训在项目实施过程中按采购人确定的时间进行。</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验收与售后服务</w:t>
      </w:r>
      <w:r>
        <w:rPr>
          <w:rFonts w:hint="eastAsia" w:ascii="仿宋_GB2312" w:eastAsia="仿宋_GB2312"/>
          <w:sz w:val="28"/>
          <w:szCs w:val="28"/>
          <w:u w:val="single"/>
          <w:lang w:val="zh-CN"/>
        </w:rPr>
        <w:t>（</w:t>
      </w:r>
      <w:r>
        <w:rPr>
          <w:rFonts w:hint="eastAsia" w:ascii="仿宋_GB2312" w:hAnsi="宋体" w:eastAsia="仿宋_GB2312"/>
          <w:sz w:val="28"/>
          <w:szCs w:val="28"/>
          <w:u w:val="single"/>
        </w:rPr>
        <w:t>详见采购需求,请自行添加</w:t>
      </w:r>
      <w:r>
        <w:rPr>
          <w:rFonts w:hint="eastAsia" w:ascii="仿宋_GB2312" w:eastAsia="仿宋_GB2312"/>
          <w:sz w:val="28"/>
          <w:szCs w:val="28"/>
          <w:u w:val="single"/>
          <w:lang w:val="zh-CN"/>
        </w:rPr>
        <w:t>）</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hAnsi="宋体" w:eastAsia="仿宋_GB2312"/>
          <w:sz w:val="28"/>
          <w:szCs w:val="28"/>
        </w:rPr>
        <w:t>售后服务内容以乙方承诺及相关要求等为准。</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乙方应明确承诺售后服务保证，提供详细的服务地点、联系人、电话等有关资料；</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 xml:space="preserve">质保期符合或优于国家标准（采购需求表中另有约定的例外）。在质保期内，维修和保养所发生的一切费用均由乙方承担； </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签约的同时，双方签订质保期满后的维修保养协议或合同。</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hAnsi="宋体" w:eastAsia="仿宋_GB2312"/>
          <w:sz w:val="28"/>
          <w:szCs w:val="28"/>
          <w:u w:val="single"/>
        </w:rPr>
        <w:t>（视项目需要可具体细化）</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工期要求</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hAnsi="宋体" w:eastAsia="仿宋_GB2312"/>
          <w:sz w:val="28"/>
          <w:szCs w:val="28"/>
        </w:rPr>
        <w:t xml:space="preserve"> 合同签订后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内完成项目初验。</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hAnsi="宋体" w:eastAsia="仿宋_GB2312"/>
          <w:sz w:val="28"/>
          <w:szCs w:val="28"/>
        </w:rPr>
        <w:t>项目终验时间为：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单位变动情况处理</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乙方发生收购、兼并、重组等单位变动情况，责任顺延至收购方、兼并方、重组方等新主体。</w:t>
      </w:r>
    </w:p>
    <w:p>
      <w:pPr>
        <w:numPr>
          <w:ilvl w:val="0"/>
          <w:numId w:val="23"/>
        </w:numPr>
        <w:spacing w:line="500" w:lineRule="exact"/>
        <w:ind w:left="0"/>
        <w:rPr>
          <w:rFonts w:hint="eastAsia" w:ascii="仿宋_GB2312" w:eastAsia="仿宋_GB2312"/>
          <w:sz w:val="28"/>
          <w:szCs w:val="28"/>
          <w:lang w:val="zh-CN"/>
        </w:rPr>
      </w:pPr>
      <w:r>
        <w:rPr>
          <w:rFonts w:hint="eastAsia" w:ascii="仿宋_GB2312" w:eastAsia="仿宋_GB2312"/>
          <w:sz w:val="28"/>
          <w:szCs w:val="28"/>
          <w:lang w:val="zh-CN"/>
        </w:rPr>
        <w:t>合同的生效</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rPr>
        <w:t>本合同经甲方、乙方法定代表人（负责人）或其委托人签字并加盖双方公章，</w:t>
      </w:r>
      <w:r>
        <w:rPr>
          <w:rFonts w:hint="eastAsia" w:ascii="仿宋_GB2312" w:eastAsia="仿宋_GB2312"/>
          <w:sz w:val="28"/>
          <w:szCs w:val="28"/>
          <w:lang w:eastAsia="zh-CN"/>
        </w:rPr>
        <w:t>衢州市衢江区政府采购中心</w:t>
      </w:r>
      <w:r>
        <w:rPr>
          <w:rFonts w:hint="eastAsia" w:ascii="仿宋_GB2312" w:eastAsia="仿宋_GB2312"/>
          <w:sz w:val="28"/>
          <w:szCs w:val="28"/>
        </w:rPr>
        <w:t>加盖鉴证章后生效。</w:t>
      </w:r>
    </w:p>
    <w:p>
      <w:pPr>
        <w:numPr>
          <w:ilvl w:val="1"/>
          <w:numId w:val="23"/>
        </w:numPr>
        <w:tabs>
          <w:tab w:val="left" w:pos="987"/>
        </w:tabs>
        <w:spacing w:line="500" w:lineRule="exact"/>
        <w:ind w:left="0"/>
        <w:rPr>
          <w:rFonts w:hint="eastAsia" w:ascii="仿宋_GB2312" w:eastAsia="仿宋_GB2312"/>
          <w:sz w:val="28"/>
          <w:szCs w:val="28"/>
          <w:lang w:val="zh-CN"/>
        </w:rPr>
      </w:pPr>
      <w:r>
        <w:rPr>
          <w:rFonts w:hint="eastAsia" w:ascii="仿宋_GB2312" w:eastAsia="仿宋_GB2312"/>
          <w:sz w:val="28"/>
          <w:szCs w:val="28"/>
        </w:rPr>
        <w:t>本合同一式叁份，甲、乙双方各执壹份，</w:t>
      </w:r>
      <w:r>
        <w:rPr>
          <w:rFonts w:hint="eastAsia" w:ascii="仿宋_GB2312" w:eastAsia="仿宋_GB2312"/>
          <w:sz w:val="28"/>
          <w:szCs w:val="28"/>
          <w:lang w:eastAsia="zh-CN"/>
        </w:rPr>
        <w:t>衢州市衢江区政府采购中心</w:t>
      </w:r>
      <w:r>
        <w:rPr>
          <w:rFonts w:hint="eastAsia" w:ascii="仿宋_GB2312" w:eastAsia="仿宋_GB2312"/>
          <w:sz w:val="28"/>
          <w:szCs w:val="28"/>
        </w:rPr>
        <w:t>执壹份。</w:t>
      </w:r>
    </w:p>
    <w:p>
      <w:pPr>
        <w:snapToGrid w:val="0"/>
        <w:spacing w:line="500" w:lineRule="exact"/>
        <w:ind w:firstLine="560" w:firstLineChars="200"/>
        <w:rPr>
          <w:rFonts w:hint="eastAsia" w:ascii="仿宋_GB2312" w:eastAsia="仿宋_GB2312"/>
          <w:sz w:val="28"/>
          <w:szCs w:val="28"/>
        </w:rPr>
      </w:pP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甲方：（盖章）                  乙方：（盖章）</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授权代表：                      授权代表：</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联系电话：                      联系电话：</w:t>
      </w:r>
    </w:p>
    <w:p>
      <w:pPr>
        <w:snapToGrid w:val="0"/>
        <w:spacing w:line="500" w:lineRule="exact"/>
        <w:ind w:firstLine="560" w:firstLineChars="200"/>
        <w:rPr>
          <w:rFonts w:hint="eastAsia" w:ascii="仿宋_GB2312" w:eastAsia="仿宋_GB2312"/>
          <w:sz w:val="28"/>
          <w:szCs w:val="28"/>
        </w:rPr>
      </w:pPr>
    </w:p>
    <w:p>
      <w:pPr>
        <w:snapToGrid w:val="0"/>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鉴证方: （盖章）</w:t>
      </w:r>
      <w:r>
        <w:rPr>
          <w:rFonts w:hint="eastAsia" w:ascii="仿宋_GB2312" w:eastAsia="仿宋_GB2312"/>
          <w:sz w:val="28"/>
          <w:szCs w:val="28"/>
          <w:lang w:eastAsia="zh-CN"/>
        </w:rPr>
        <w:t>衢州市衢江区政府采购中心</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经办人：</w:t>
      </w:r>
    </w:p>
    <w:p>
      <w:pPr>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联系电话:                          </w:t>
      </w:r>
    </w:p>
    <w:p>
      <w:pPr>
        <w:snapToGrid w:val="0"/>
        <w:spacing w:line="50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日    期：</w:t>
      </w:r>
    </w:p>
    <w:p>
      <w:pPr>
        <w:rPr>
          <w:rFonts w:hint="eastAsia" w:ascii="仿宋_GB2312" w:hAnsi="宋体" w:eastAsia="仿宋_GB2312" w:cs="宋体"/>
          <w:b/>
          <w:sz w:val="32"/>
          <w:szCs w:val="32"/>
        </w:rPr>
      </w:pPr>
      <w:r>
        <w:rPr>
          <w:rFonts w:hint="eastAsia" w:ascii="仿宋_GB2312" w:hAnsi="宋体" w:eastAsia="仿宋_GB2312" w:cs="宋体"/>
          <w:b/>
          <w:sz w:val="32"/>
          <w:szCs w:val="32"/>
        </w:rPr>
        <w:br w:type="page"/>
      </w:r>
    </w:p>
    <w:p>
      <w:pPr>
        <w:snapToGrid w:val="0"/>
        <w:spacing w:line="500" w:lineRule="exact"/>
        <w:ind w:firstLine="1600"/>
        <w:outlineLvl w:val="0"/>
        <w:rPr>
          <w:rFonts w:ascii="仿宋_GB2312" w:hAnsi="宋体" w:eastAsia="仿宋_GB2312" w:cs="宋体"/>
          <w:b/>
          <w:sz w:val="32"/>
          <w:szCs w:val="32"/>
        </w:rPr>
      </w:pPr>
      <w:r>
        <w:rPr>
          <w:rFonts w:hint="eastAsia" w:ascii="仿宋_GB2312" w:hAnsi="宋体" w:eastAsia="仿宋_GB2312" w:cs="宋体"/>
          <w:b/>
          <w:sz w:val="32"/>
          <w:szCs w:val="32"/>
        </w:rPr>
        <w:t>第五章  应提交的有关格式范例</w:t>
      </w:r>
      <w:bookmarkEnd w:id="31"/>
      <w:bookmarkEnd w:id="32"/>
      <w:bookmarkEnd w:id="33"/>
      <w:bookmarkEnd w:id="34"/>
    </w:p>
    <w:p>
      <w:pPr>
        <w:snapToGrid w:val="0"/>
        <w:spacing w:line="500" w:lineRule="exact"/>
        <w:ind w:firstLine="2783" w:firstLineChars="990"/>
        <w:rPr>
          <w:rFonts w:ascii="仿宋_GB2312" w:hAnsi="宋体" w:eastAsia="仿宋_GB2312" w:cs="宋体"/>
          <w:b/>
          <w:sz w:val="32"/>
          <w:szCs w:val="32"/>
        </w:rPr>
      </w:pPr>
      <w:r>
        <w:rPr>
          <w:rStyle w:val="108"/>
          <w:rFonts w:hint="eastAsia" w:ascii="仿宋_GB2312" w:hAnsi="黑体" w:eastAsia="仿宋_GB2312"/>
          <w:sz w:val="28"/>
          <w:szCs w:val="28"/>
        </w:rPr>
        <w:t>一、投标文件封面</w:t>
      </w:r>
    </w:p>
    <w:p>
      <w:pPr>
        <w:ind w:left="1800" w:leftChars="857"/>
        <w:jc w:val="right"/>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520" w:lineRule="exact"/>
        <w:ind w:firstLine="3251" w:firstLineChars="739"/>
        <w:rPr>
          <w:rFonts w:ascii="仿宋_GB2312" w:eastAsia="仿宋_GB2312"/>
          <w:sz w:val="44"/>
          <w:szCs w:val="44"/>
        </w:rPr>
      </w:pPr>
      <w:r>
        <w:rPr>
          <w:rFonts w:hint="eastAsia" w:ascii="仿宋_GB2312" w:eastAsia="仿宋_GB2312"/>
          <w:sz w:val="44"/>
          <w:szCs w:val="44"/>
        </w:rPr>
        <w:t>资格审查文件</w:t>
      </w:r>
    </w:p>
    <w:p>
      <w:pPr>
        <w:snapToGrid w:val="0"/>
        <w:spacing w:line="520" w:lineRule="exact"/>
        <w:jc w:val="center"/>
        <w:rPr>
          <w:rFonts w:ascii="仿宋_GB2312" w:eastAsia="仿宋_GB2312"/>
          <w:sz w:val="44"/>
          <w:szCs w:val="44"/>
        </w:rPr>
      </w:pPr>
      <w:bookmarkStart w:id="43" w:name="_Toc357410801"/>
      <w:r>
        <w:rPr>
          <w:rFonts w:hint="eastAsia" w:ascii="仿宋_GB2312" w:eastAsia="仿宋_GB2312"/>
          <w:sz w:val="44"/>
          <w:szCs w:val="44"/>
        </w:rPr>
        <w:t>（技术商务文件、报价文件）</w:t>
      </w:r>
      <w:bookmarkEnd w:id="43"/>
    </w:p>
    <w:p>
      <w:pPr>
        <w:snapToGrid w:val="0"/>
        <w:spacing w:line="520" w:lineRule="exact"/>
        <w:ind w:firstLine="1962" w:firstLineChars="698"/>
        <w:rPr>
          <w:rFonts w:ascii="仿宋_GB2312" w:eastAsia="仿宋_GB2312"/>
          <w:b/>
          <w:sz w:val="28"/>
          <w:szCs w:val="28"/>
        </w:rPr>
      </w:pPr>
    </w:p>
    <w:p>
      <w:pPr>
        <w:snapToGrid w:val="0"/>
        <w:spacing w:line="600" w:lineRule="exact"/>
        <w:rPr>
          <w:rFonts w:ascii="仿宋_GB2312" w:hAnsi="宋体" w:eastAsia="仿宋_GB2312"/>
          <w:sz w:val="28"/>
          <w:szCs w:val="28"/>
          <w:u w:val="single"/>
        </w:rPr>
      </w:pPr>
      <w:bookmarkStart w:id="44" w:name="_Toc357410802"/>
      <w:r>
        <w:rPr>
          <w:rFonts w:hint="eastAsia" w:ascii="仿宋_GB2312" w:hAnsi="宋体" w:eastAsia="仿宋_GB2312"/>
          <w:sz w:val="28"/>
          <w:szCs w:val="28"/>
        </w:rPr>
        <w:t>项目名称：</w:t>
      </w:r>
      <w:bookmarkEnd w:id="44"/>
    </w:p>
    <w:p>
      <w:pPr>
        <w:snapToGrid w:val="0"/>
        <w:spacing w:line="600" w:lineRule="exact"/>
        <w:rPr>
          <w:rFonts w:ascii="仿宋_GB2312" w:hAnsi="宋体" w:eastAsia="仿宋_GB2312"/>
          <w:sz w:val="28"/>
          <w:szCs w:val="28"/>
          <w:u w:val="single"/>
        </w:rPr>
      </w:pPr>
      <w:bookmarkStart w:id="45" w:name="_Toc357410803"/>
      <w:r>
        <w:rPr>
          <w:rFonts w:hint="eastAsia" w:ascii="仿宋_GB2312" w:hAnsi="宋体" w:eastAsia="仿宋_GB2312"/>
          <w:sz w:val="28"/>
          <w:szCs w:val="28"/>
        </w:rPr>
        <w:t>项目编号：</w:t>
      </w:r>
      <w:bookmarkEnd w:id="45"/>
    </w:p>
    <w:p>
      <w:pPr>
        <w:snapToGrid w:val="0"/>
        <w:spacing w:line="600" w:lineRule="exact"/>
        <w:rPr>
          <w:rFonts w:ascii="仿宋_GB2312" w:hAnsi="宋体" w:eastAsia="仿宋_GB2312"/>
          <w:sz w:val="28"/>
          <w:szCs w:val="28"/>
        </w:rPr>
      </w:pPr>
      <w:bookmarkStart w:id="46" w:name="_Toc357410804"/>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（盖单位公章）</w:t>
      </w:r>
      <w:bookmarkEnd w:id="46"/>
    </w:p>
    <w:p>
      <w:pPr>
        <w:snapToGrid w:val="0"/>
        <w:spacing w:line="600" w:lineRule="exact"/>
        <w:rPr>
          <w:rFonts w:ascii="仿宋_GB2312" w:eastAsia="仿宋_GB2312"/>
          <w:sz w:val="28"/>
          <w:szCs w:val="28"/>
        </w:rPr>
      </w:pPr>
      <w:bookmarkStart w:id="47" w:name="_Toc357410805"/>
      <w:r>
        <w:rPr>
          <w:rFonts w:hint="eastAsia" w:ascii="仿宋_GB2312" w:hAnsi="宋体" w:eastAsia="仿宋_GB2312"/>
          <w:sz w:val="28"/>
          <w:szCs w:val="28"/>
        </w:rPr>
        <w:t>日期：</w:t>
      </w:r>
      <w:r>
        <w:rPr>
          <w:rFonts w:hint="eastAsia" w:ascii="仿宋_GB2312" w:eastAsia="仿宋_GB2312"/>
          <w:sz w:val="28"/>
          <w:szCs w:val="28"/>
        </w:rPr>
        <w:t>年月 日</w:t>
      </w:r>
      <w:bookmarkEnd w:id="47"/>
    </w:p>
    <w:p>
      <w:pPr>
        <w:snapToGrid w:val="0"/>
        <w:spacing w:line="500" w:lineRule="exact"/>
        <w:jc w:val="center"/>
        <w:rPr>
          <w:rStyle w:val="108"/>
          <w:rFonts w:ascii="仿宋_GB2312" w:hAnsi="黑体" w:eastAsia="仿宋_GB2312"/>
          <w:sz w:val="28"/>
          <w:szCs w:val="28"/>
        </w:rPr>
      </w:pPr>
      <w:r>
        <w:rPr>
          <w:rStyle w:val="108"/>
          <w:rFonts w:ascii="仿宋_GB2312" w:hAnsi="黑体" w:eastAsia="仿宋_GB2312"/>
          <w:sz w:val="28"/>
          <w:szCs w:val="28"/>
        </w:rPr>
        <w:br w:type="page"/>
      </w:r>
      <w:bookmarkStart w:id="48" w:name="_Toc476645118"/>
      <w:r>
        <w:rPr>
          <w:rStyle w:val="108"/>
          <w:rFonts w:hint="eastAsia" w:ascii="仿宋_GB2312" w:hAnsi="黑体" w:eastAsia="仿宋_GB2312"/>
          <w:sz w:val="28"/>
          <w:szCs w:val="28"/>
        </w:rPr>
        <w:t>二、资格审查文件</w:t>
      </w:r>
      <w:bookmarkEnd w:id="48"/>
    </w:p>
    <w:p>
      <w:pPr>
        <w:jc w:val="center"/>
        <w:rPr>
          <w:rStyle w:val="108"/>
          <w:rFonts w:ascii="仿宋_GB2312" w:hAnsi="黑体" w:eastAsia="仿宋_GB2312"/>
          <w:b w:val="0"/>
          <w:sz w:val="28"/>
          <w:szCs w:val="28"/>
        </w:rPr>
      </w:pPr>
      <w:r>
        <w:rPr>
          <w:rStyle w:val="108"/>
          <w:rFonts w:hint="eastAsia" w:ascii="仿宋_GB2312" w:hAnsi="黑体" w:eastAsia="仿宋_GB2312"/>
          <w:b w:val="0"/>
          <w:sz w:val="28"/>
          <w:szCs w:val="28"/>
        </w:rPr>
        <w:t>1 投标函</w:t>
      </w:r>
    </w:p>
    <w:p>
      <w:pPr>
        <w:ind w:firstLine="3920"/>
        <w:rPr>
          <w:rFonts w:ascii="仿宋_GB2312" w:eastAsia="仿宋_GB2312"/>
          <w:sz w:val="28"/>
          <w:szCs w:val="28"/>
        </w:rPr>
      </w:pP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致：衢州市衢江区政府采购中心：</w:t>
      </w:r>
    </w:p>
    <w:p>
      <w:pPr>
        <w:snapToGrid w:val="0"/>
        <w:spacing w:line="50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根据贵方为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项目的招标公告（项目编号：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），签字代表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（全名）经正式授权并代表投标人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（投标人名称）提交资格审查文件、技术商务文件、报价文件。</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据此函，签字代表宣布同意如下：</w:t>
      </w:r>
    </w:p>
    <w:p>
      <w:pPr>
        <w:pStyle w:val="32"/>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Cs w:val="21"/>
        </w:rPr>
        <w:t xml:space="preserve"> </w:t>
      </w:r>
      <w:r>
        <w:rPr>
          <w:rFonts w:hint="eastAsia" w:ascii="仿宋_GB2312" w:hAnsi="宋体" w:eastAsia="仿宋_GB2312"/>
          <w:color w:val="000000"/>
          <w:sz w:val="28"/>
          <w:szCs w:val="28"/>
        </w:rPr>
        <w:t>我方向贵方提交的所有投标文件、资料都是准确的和真实的。</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 我方在投标之前已经与贵方进行了充分的沟通，完全理解并接受招标文件的各项规定和要求，对招标文件的合理性、合法性不再有异议。</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4.本投标有效期自开标日起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5.如中标，本投标文件至本项目合同履行完毕止均保持有效，本投标人将按“招标文件”及政府采购法律、法规的规定履行合同责任和义务。</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6.我方同意按照贵方要求提供与投标有关的一切数据或资料。</w:t>
      </w:r>
    </w:p>
    <w:p>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7.与本投标有关的一切正式往来信函请寄：</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地址：</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邮编：</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电话：</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投标人代表姓名：</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职务：</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投标人名称(公章):</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银行帐号：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被授权代表签字:</w:t>
      </w:r>
      <w:r>
        <w:rPr>
          <w:rFonts w:hint="eastAsia" w:ascii="仿宋_GB2312" w:hAnsi="宋体" w:eastAsia="仿宋_GB2312"/>
          <w:color w:val="000000"/>
          <w:sz w:val="28"/>
          <w:szCs w:val="28"/>
          <w:u w:val="single"/>
        </w:rPr>
        <w:t xml:space="preserve">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spacing w:line="560" w:lineRule="exact"/>
        <w:ind w:firstLine="560" w:firstLineChars="200"/>
        <w:rPr>
          <w:rFonts w:ascii="仿宋_GB2312" w:hAnsi="宋体" w:eastAsia="仿宋_GB2312"/>
          <w:color w:val="000000"/>
          <w:sz w:val="28"/>
          <w:szCs w:val="28"/>
        </w:rPr>
        <w:sectPr>
          <w:pgSz w:w="11906" w:h="16838"/>
          <w:pgMar w:top="1389" w:right="1247" w:bottom="1389" w:left="1247" w:header="851" w:footer="992" w:gutter="284"/>
          <w:cols w:space="720" w:num="1"/>
          <w:docGrid w:linePitch="312" w:charSpace="0"/>
        </w:sectPr>
      </w:pPr>
    </w:p>
    <w:p>
      <w:pPr>
        <w:spacing w:line="600" w:lineRule="exact"/>
        <w:jc w:val="center"/>
        <w:rPr>
          <w:rFonts w:hAnsi="黑体"/>
        </w:rPr>
      </w:pPr>
      <w:r>
        <w:rPr>
          <w:rFonts w:hint="eastAsia" w:ascii="仿宋_GB2312" w:eastAsia="仿宋_GB2312"/>
          <w:bCs/>
          <w:sz w:val="28"/>
          <w:szCs w:val="28"/>
        </w:rPr>
        <w:t>2 法定代表人（负责人）授权书</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衢州市衢江区政府采购中心 ：</w:t>
      </w:r>
    </w:p>
    <w:p>
      <w:pPr>
        <w:spacing w:line="360" w:lineRule="auto"/>
        <w:ind w:left="139" w:leftChars="66"/>
        <w:rPr>
          <w:rFonts w:ascii="仿宋_GB2312" w:eastAsia="仿宋_GB2312"/>
          <w:sz w:val="28"/>
          <w:szCs w:val="28"/>
        </w:rPr>
      </w:pPr>
      <w:r>
        <w:rPr>
          <w:rFonts w:hint="eastAsia" w:ascii="仿宋_GB2312" w:eastAsia="仿宋_GB2312"/>
          <w:sz w:val="28"/>
          <w:szCs w:val="28"/>
        </w:rPr>
        <w:t>（投标人全称）法定代表人（负责人）授权（全权代表姓名）为全权代表，参加贵方组织的项目</w:t>
      </w:r>
      <w:r>
        <w:rPr>
          <w:rFonts w:hint="eastAsia" w:ascii="仿宋_GB2312" w:eastAsia="仿宋_GB2312"/>
          <w:sz w:val="28"/>
          <w:szCs w:val="28"/>
          <w:u w:val="single"/>
        </w:rPr>
        <w:t xml:space="preserve">    </w:t>
      </w:r>
      <w:r>
        <w:rPr>
          <w:rFonts w:hint="eastAsia" w:ascii="仿宋_GB2312" w:eastAsia="仿宋_GB2312"/>
          <w:sz w:val="28"/>
          <w:szCs w:val="28"/>
        </w:rPr>
        <w:t>（项目编号：），并全权处理采购活动中的一切事宜。</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签字或盖章：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投标人全称（公章）：</w:t>
      </w:r>
    </w:p>
    <w:p>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日  期：</w:t>
      </w:r>
    </w:p>
    <w:p>
      <w:pPr>
        <w:spacing w:line="360" w:lineRule="auto"/>
        <w:rPr>
          <w:rFonts w:ascii="仿宋_GB2312" w:eastAsia="仿宋_GB2312"/>
          <w:sz w:val="28"/>
          <w:szCs w:val="28"/>
        </w:rPr>
      </w:pPr>
      <w:r>
        <w:rPr>
          <w:rFonts w:hint="eastAsia" w:ascii="仿宋_GB2312" w:eastAsia="仿宋_GB2312"/>
          <w:sz w:val="28"/>
          <w:szCs w:val="28"/>
        </w:rPr>
        <w:t>附：</w:t>
      </w:r>
    </w:p>
    <w:p>
      <w:pPr>
        <w:spacing w:line="360" w:lineRule="auto"/>
        <w:rPr>
          <w:rFonts w:ascii="仿宋_GB2312" w:eastAsia="仿宋_GB2312"/>
          <w:sz w:val="28"/>
          <w:szCs w:val="28"/>
        </w:rPr>
      </w:pPr>
      <w:r>
        <w:rPr>
          <w:rFonts w:hint="eastAsia" w:ascii="仿宋_GB2312" w:eastAsia="仿宋_GB2312"/>
          <w:sz w:val="28"/>
          <w:szCs w:val="28"/>
        </w:rPr>
        <w:t>被授权代表姓名：           性别：</w:t>
      </w:r>
    </w:p>
    <w:p>
      <w:pPr>
        <w:spacing w:line="360" w:lineRule="auto"/>
        <w:rPr>
          <w:rFonts w:ascii="仿宋_GB2312" w:eastAsia="仿宋_GB2312"/>
          <w:sz w:val="28"/>
          <w:szCs w:val="28"/>
        </w:rPr>
      </w:pPr>
      <w:r>
        <w:rPr>
          <w:rFonts w:hint="eastAsia" w:ascii="仿宋_GB2312" w:eastAsia="仿宋_GB2312"/>
          <w:sz w:val="28"/>
          <w:szCs w:val="28"/>
        </w:rPr>
        <w:t>职务：                   职称：</w:t>
      </w:r>
    </w:p>
    <w:p>
      <w:pPr>
        <w:spacing w:line="360" w:lineRule="auto"/>
        <w:rPr>
          <w:rFonts w:ascii="仿宋_GB2312" w:eastAsia="仿宋_GB2312"/>
          <w:sz w:val="28"/>
          <w:szCs w:val="28"/>
        </w:rPr>
      </w:pPr>
      <w:r>
        <w:rPr>
          <w:rFonts w:hint="eastAsia" w:ascii="仿宋_GB2312" w:eastAsia="仿宋_GB2312"/>
          <w:sz w:val="28"/>
          <w:szCs w:val="28"/>
        </w:rPr>
        <w:t>详细通讯地址：</w:t>
      </w:r>
    </w:p>
    <w:p>
      <w:pPr>
        <w:spacing w:line="360" w:lineRule="auto"/>
        <w:rPr>
          <w:rFonts w:ascii="仿宋_GB2312" w:eastAsia="仿宋_GB2312"/>
          <w:sz w:val="28"/>
          <w:szCs w:val="28"/>
        </w:rPr>
      </w:pPr>
      <w:r>
        <w:rPr>
          <w:rFonts w:hint="eastAsia" w:ascii="仿宋_GB2312" w:eastAsia="仿宋_GB2312"/>
          <w:sz w:val="28"/>
          <w:szCs w:val="28"/>
        </w:rPr>
        <w:t>电话：                   传真：</w:t>
      </w:r>
    </w:p>
    <w:p>
      <w:pPr>
        <w:spacing w:line="360" w:lineRule="auto"/>
        <w:rPr>
          <w:rFonts w:ascii="仿宋_GB2312" w:eastAsia="仿宋_GB2312"/>
          <w:sz w:val="28"/>
          <w:szCs w:val="28"/>
        </w:rPr>
      </w:pPr>
      <w:r>
        <w:rPr>
          <w:rFonts w:hint="eastAsia" w:ascii="仿宋_GB2312" w:eastAsia="仿宋_GB2312"/>
          <w:sz w:val="28"/>
          <w:szCs w:val="28"/>
        </w:rPr>
        <w:t>移动电话：</w:t>
      </w:r>
    </w:p>
    <w:p>
      <w:pPr>
        <w:spacing w:line="360" w:lineRule="auto"/>
        <w:rPr>
          <w:rFonts w:ascii="仿宋_GB2312" w:eastAsia="仿宋_GB2312"/>
          <w:sz w:val="28"/>
          <w:szCs w:val="28"/>
        </w:rPr>
      </w:pPr>
      <w:r>
        <w:rPr>
          <w:rFonts w:hint="eastAsia" w:ascii="仿宋_GB2312" w:eastAsia="仿宋_GB2312"/>
          <w:sz w:val="28"/>
          <w:szCs w:val="28"/>
        </w:rPr>
        <w:t>邮政编码：</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500" w:lineRule="exact"/>
        <w:jc w:val="center"/>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3  符合《中华人民共和国政府采购法》第二十二条要求的承诺函</w:t>
      </w:r>
    </w:p>
    <w:p>
      <w:pPr>
        <w:pStyle w:val="224"/>
        <w:spacing w:line="540" w:lineRule="exact"/>
        <w:ind w:firstLine="0" w:firstLineChars="0"/>
        <w:jc w:val="center"/>
        <w:rPr>
          <w:sz w:val="28"/>
          <w:lang w:val="zh-CN"/>
        </w:rPr>
      </w:pPr>
    </w:p>
    <w:p>
      <w:pPr>
        <w:pStyle w:val="224"/>
        <w:spacing w:line="540" w:lineRule="exact"/>
        <w:ind w:firstLine="0" w:firstLineChars="0"/>
        <w:jc w:val="left"/>
        <w:rPr>
          <w:sz w:val="28"/>
          <w:lang w:val="zh-CN"/>
        </w:rPr>
      </w:pPr>
      <w:r>
        <w:rPr>
          <w:rFonts w:hint="eastAsia"/>
          <w:sz w:val="28"/>
          <w:lang w:val="zh-CN"/>
        </w:rPr>
        <w:t>（采购人名称）     ：</w:t>
      </w:r>
    </w:p>
    <w:p>
      <w:pPr>
        <w:pStyle w:val="224"/>
        <w:spacing w:line="540" w:lineRule="exact"/>
        <w:ind w:firstLine="0" w:firstLineChars="0"/>
        <w:jc w:val="center"/>
        <w:rPr>
          <w:sz w:val="28"/>
          <w:lang w:val="zh-CN"/>
        </w:rPr>
      </w:pPr>
    </w:p>
    <w:p>
      <w:pPr>
        <w:pStyle w:val="224"/>
        <w:spacing w:line="540" w:lineRule="exact"/>
        <w:ind w:firstLine="560" w:firstLineChars="200"/>
        <w:jc w:val="left"/>
        <w:rPr>
          <w:sz w:val="28"/>
          <w:lang w:val="zh-CN"/>
        </w:rPr>
      </w:pPr>
      <w:r>
        <w:rPr>
          <w:rFonts w:hint="eastAsia"/>
          <w:sz w:val="28"/>
          <w:lang w:val="zh-CN"/>
        </w:rPr>
        <w:t>根据贵方        项目（项目编号：     ）采购文件要求，我公司在完全理解采购文件技术要求、商务条款及其他内容的基础上，决定参与该项目的投标活动。并承诺，我公司符合政府采购法第二十二条规定的资格条件。</w:t>
      </w:r>
    </w:p>
    <w:p>
      <w:pPr>
        <w:pStyle w:val="224"/>
        <w:spacing w:line="540" w:lineRule="exact"/>
        <w:ind w:firstLine="560" w:firstLineChars="200"/>
        <w:jc w:val="left"/>
        <w:rPr>
          <w:sz w:val="28"/>
          <w:lang w:val="zh-CN"/>
        </w:rPr>
      </w:pPr>
      <w:r>
        <w:rPr>
          <w:rFonts w:hint="eastAsia"/>
          <w:sz w:val="28"/>
          <w:lang w:val="zh-CN"/>
        </w:rPr>
        <w:t>（一）</w:t>
      </w:r>
      <w:r>
        <w:rPr>
          <w:rFonts w:hint="eastAsia"/>
          <w:sz w:val="28"/>
        </w:rPr>
        <w:t>本公司</w:t>
      </w:r>
      <w:r>
        <w:rPr>
          <w:rFonts w:hint="eastAsia"/>
          <w:sz w:val="28"/>
          <w:lang w:val="zh-CN"/>
        </w:rPr>
        <w:t>具有独立承担民事责任的能力；</w:t>
      </w:r>
    </w:p>
    <w:p>
      <w:pPr>
        <w:pStyle w:val="224"/>
        <w:spacing w:line="540" w:lineRule="exact"/>
        <w:ind w:firstLine="560" w:firstLineChars="200"/>
        <w:jc w:val="left"/>
        <w:rPr>
          <w:sz w:val="28"/>
          <w:lang w:val="zh-CN"/>
        </w:rPr>
      </w:pPr>
      <w:r>
        <w:rPr>
          <w:rFonts w:hint="eastAsia"/>
          <w:sz w:val="28"/>
          <w:lang w:val="zh-CN"/>
        </w:rPr>
        <w:t>（二）</w:t>
      </w:r>
      <w:r>
        <w:rPr>
          <w:rFonts w:hint="eastAsia"/>
          <w:sz w:val="28"/>
        </w:rPr>
        <w:t>本公司</w:t>
      </w:r>
      <w:r>
        <w:rPr>
          <w:rFonts w:hint="eastAsia"/>
          <w:sz w:val="28"/>
          <w:lang w:val="zh-CN"/>
        </w:rPr>
        <w:t>具有良好的商业信誉和健全的财务会计制度；</w:t>
      </w:r>
    </w:p>
    <w:p>
      <w:pPr>
        <w:pStyle w:val="224"/>
        <w:spacing w:line="540" w:lineRule="exact"/>
        <w:ind w:firstLine="560" w:firstLineChars="200"/>
        <w:jc w:val="left"/>
        <w:rPr>
          <w:sz w:val="28"/>
          <w:lang w:val="zh-CN"/>
        </w:rPr>
      </w:pPr>
      <w:r>
        <w:rPr>
          <w:rFonts w:hint="eastAsia"/>
          <w:sz w:val="28"/>
          <w:lang w:val="zh-CN"/>
        </w:rPr>
        <w:t>（三）</w:t>
      </w:r>
      <w:r>
        <w:rPr>
          <w:rFonts w:hint="eastAsia"/>
          <w:sz w:val="28"/>
        </w:rPr>
        <w:t>本公司</w:t>
      </w:r>
      <w:r>
        <w:rPr>
          <w:rFonts w:hint="eastAsia"/>
          <w:sz w:val="28"/>
          <w:lang w:val="zh-CN"/>
        </w:rPr>
        <w:t>具有履行合同所必需的设备和专业技术能力；</w:t>
      </w:r>
    </w:p>
    <w:p>
      <w:pPr>
        <w:pStyle w:val="224"/>
        <w:spacing w:line="540" w:lineRule="exact"/>
        <w:ind w:firstLine="560" w:firstLineChars="200"/>
        <w:jc w:val="left"/>
        <w:rPr>
          <w:sz w:val="28"/>
          <w:lang w:val="zh-CN"/>
        </w:rPr>
      </w:pPr>
      <w:r>
        <w:rPr>
          <w:rFonts w:hint="eastAsia"/>
          <w:sz w:val="28"/>
          <w:lang w:val="zh-CN"/>
        </w:rPr>
        <w:t>（四）</w:t>
      </w:r>
      <w:r>
        <w:rPr>
          <w:rFonts w:hint="eastAsia"/>
          <w:sz w:val="28"/>
        </w:rPr>
        <w:t>本公司</w:t>
      </w:r>
      <w:r>
        <w:rPr>
          <w:rFonts w:hint="eastAsia"/>
          <w:sz w:val="28"/>
          <w:lang w:val="zh-CN"/>
        </w:rPr>
        <w:t>有依法缴纳税收和社会保障资金的良好记录；</w:t>
      </w:r>
    </w:p>
    <w:p>
      <w:pPr>
        <w:pStyle w:val="224"/>
        <w:spacing w:line="540" w:lineRule="exact"/>
        <w:ind w:firstLine="560" w:firstLineChars="200"/>
        <w:jc w:val="left"/>
        <w:rPr>
          <w:sz w:val="28"/>
          <w:lang w:val="zh-CN"/>
        </w:rPr>
      </w:pPr>
      <w:r>
        <w:rPr>
          <w:rFonts w:hint="eastAsia"/>
          <w:sz w:val="28"/>
          <w:lang w:val="zh-CN"/>
        </w:rPr>
        <w:t>（五）</w:t>
      </w:r>
      <w:r>
        <w:rPr>
          <w:rFonts w:hint="eastAsia"/>
          <w:sz w:val="28"/>
        </w:rPr>
        <w:t>本公司</w:t>
      </w:r>
      <w:r>
        <w:rPr>
          <w:rFonts w:hint="eastAsia"/>
          <w:sz w:val="28"/>
          <w:lang w:val="zh-CN"/>
        </w:rPr>
        <w:t>参加政府采购活动前三年内，在经营活动中没有重大违法记录；</w:t>
      </w:r>
    </w:p>
    <w:p>
      <w:pPr>
        <w:pStyle w:val="224"/>
        <w:spacing w:line="540" w:lineRule="exact"/>
        <w:ind w:firstLine="560" w:firstLineChars="200"/>
        <w:jc w:val="left"/>
        <w:rPr>
          <w:sz w:val="28"/>
          <w:lang w:val="zh-CN"/>
        </w:rPr>
      </w:pPr>
      <w:r>
        <w:rPr>
          <w:rFonts w:hint="eastAsia"/>
          <w:sz w:val="28"/>
          <w:lang w:val="zh-CN"/>
        </w:rPr>
        <w:t>（六）</w:t>
      </w:r>
      <w:r>
        <w:rPr>
          <w:rFonts w:hint="eastAsia"/>
          <w:sz w:val="28"/>
        </w:rPr>
        <w:t>本公司符合</w:t>
      </w:r>
      <w:r>
        <w:rPr>
          <w:rFonts w:hint="eastAsia"/>
          <w:sz w:val="28"/>
          <w:lang w:val="zh-CN"/>
        </w:rPr>
        <w:t>法律、行政法规规定的其他条件。</w:t>
      </w:r>
    </w:p>
    <w:p>
      <w:pPr>
        <w:pStyle w:val="224"/>
        <w:spacing w:line="540" w:lineRule="exact"/>
        <w:ind w:firstLine="560" w:firstLineChars="200"/>
        <w:jc w:val="left"/>
        <w:rPr>
          <w:sz w:val="28"/>
          <w:lang w:val="zh-CN"/>
        </w:rPr>
      </w:pPr>
      <w:r>
        <w:rPr>
          <w:rFonts w:hint="eastAsia"/>
          <w:sz w:val="28"/>
          <w:lang w:val="zh-CN"/>
        </w:rPr>
        <w:t>本</w:t>
      </w:r>
      <w:r>
        <w:rPr>
          <w:rFonts w:hint="eastAsia"/>
          <w:sz w:val="28"/>
        </w:rPr>
        <w:t>公司</w:t>
      </w:r>
      <w:r>
        <w:rPr>
          <w:rFonts w:hint="eastAsia"/>
          <w:sz w:val="28"/>
          <w:lang w:val="zh-CN"/>
        </w:rPr>
        <w:t>对上述承诺的真实性负责，如有虚假，我</w:t>
      </w:r>
      <w:r>
        <w:rPr>
          <w:rFonts w:hint="eastAsia"/>
          <w:sz w:val="28"/>
        </w:rPr>
        <w:t>公司</w:t>
      </w:r>
      <w:r>
        <w:rPr>
          <w:rFonts w:hint="eastAsia"/>
          <w:sz w:val="28"/>
          <w:lang w:val="zh-CN"/>
        </w:rPr>
        <w:t>同意按我方提供虚假材料谋取中标（成交）处理，并依法承担相应法律责任。</w:t>
      </w:r>
    </w:p>
    <w:p>
      <w:pPr>
        <w:pStyle w:val="224"/>
        <w:spacing w:line="540" w:lineRule="exact"/>
        <w:ind w:firstLine="560" w:firstLineChars="200"/>
        <w:jc w:val="left"/>
        <w:rPr>
          <w:sz w:val="28"/>
          <w:lang w:val="zh-CN"/>
        </w:rPr>
      </w:pPr>
      <w:r>
        <w:rPr>
          <w:rFonts w:hint="eastAsia"/>
          <w:sz w:val="28"/>
          <w:lang w:val="zh-CN"/>
        </w:rPr>
        <w:t>特此承诺。</w:t>
      </w:r>
    </w:p>
    <w:p>
      <w:pPr>
        <w:pStyle w:val="224"/>
        <w:spacing w:line="540" w:lineRule="exact"/>
        <w:ind w:firstLine="0" w:firstLineChars="0"/>
        <w:jc w:val="center"/>
        <w:rPr>
          <w:sz w:val="28"/>
          <w:lang w:val="zh-CN"/>
        </w:rPr>
      </w:pPr>
    </w:p>
    <w:p>
      <w:pPr>
        <w:pStyle w:val="224"/>
        <w:spacing w:line="540" w:lineRule="exact"/>
        <w:ind w:firstLine="0" w:firstLineChars="0"/>
        <w:jc w:val="right"/>
        <w:rPr>
          <w:sz w:val="28"/>
          <w:lang w:val="zh-CN"/>
        </w:rPr>
      </w:pPr>
      <w:r>
        <w:rPr>
          <w:rFonts w:hint="eastAsia"/>
          <w:sz w:val="28"/>
          <w:lang w:val="zh-CN"/>
        </w:rPr>
        <w:t xml:space="preserve">投标人（盖章）：                               </w:t>
      </w:r>
    </w:p>
    <w:p>
      <w:pPr>
        <w:pStyle w:val="224"/>
        <w:spacing w:line="540" w:lineRule="exact"/>
        <w:ind w:firstLine="0" w:firstLineChars="0"/>
        <w:jc w:val="right"/>
        <w:rPr>
          <w:sz w:val="28"/>
          <w:lang w:val="zh-CN"/>
        </w:rPr>
      </w:pPr>
    </w:p>
    <w:p>
      <w:pPr>
        <w:pStyle w:val="224"/>
        <w:spacing w:line="540" w:lineRule="exact"/>
        <w:ind w:firstLine="0" w:firstLineChars="0"/>
        <w:jc w:val="right"/>
        <w:rPr>
          <w:sz w:val="28"/>
          <w:lang w:val="zh-CN"/>
        </w:rPr>
      </w:pPr>
      <w:r>
        <w:rPr>
          <w:rFonts w:hint="eastAsia"/>
          <w:sz w:val="28"/>
          <w:lang w:val="zh-CN"/>
        </w:rPr>
        <w:t xml:space="preserve">法定代表人或授权代表（签字）：                 </w:t>
      </w:r>
    </w:p>
    <w:p>
      <w:pPr>
        <w:pStyle w:val="224"/>
        <w:spacing w:line="540" w:lineRule="exact"/>
        <w:ind w:firstLine="0" w:firstLineChars="0"/>
        <w:jc w:val="right"/>
        <w:rPr>
          <w:sz w:val="28"/>
          <w:lang w:val="zh-CN"/>
        </w:rPr>
      </w:pPr>
    </w:p>
    <w:p>
      <w:pPr>
        <w:pStyle w:val="224"/>
        <w:spacing w:line="540" w:lineRule="exact"/>
        <w:ind w:firstLine="0" w:firstLineChars="0"/>
        <w:jc w:val="right"/>
        <w:rPr>
          <w:sz w:val="28"/>
          <w:lang w:val="zh-CN"/>
        </w:rPr>
      </w:pPr>
      <w:r>
        <w:rPr>
          <w:rFonts w:hint="eastAsia"/>
          <w:sz w:val="28"/>
          <w:lang w:val="zh-CN"/>
        </w:rPr>
        <w:t xml:space="preserve">日   期：            </w:t>
      </w:r>
    </w:p>
    <w:p>
      <w:pPr>
        <w:pStyle w:val="224"/>
        <w:spacing w:line="540" w:lineRule="exact"/>
        <w:ind w:firstLine="0" w:firstLineChars="0"/>
        <w:jc w:val="right"/>
        <w:rPr>
          <w:rFonts w:ascii="Times New Roman" w:hAnsi="Times New Roman" w:eastAsia="宋体"/>
          <w:sz w:val="24"/>
          <w:szCs w:val="20"/>
          <w:u w:val="single"/>
        </w:rPr>
      </w:pPr>
    </w:p>
    <w:p>
      <w:pPr>
        <w:jc w:val="center"/>
        <w:rPr>
          <w:b/>
          <w:sz w:val="24"/>
        </w:rPr>
      </w:pPr>
      <w:r>
        <w:rPr>
          <w:rFonts w:ascii="Times New Roman" w:hAnsi="Times New Roman"/>
          <w:sz w:val="24"/>
          <w:u w:val="single"/>
        </w:rPr>
        <w:br w:type="page"/>
      </w:r>
      <w:bookmarkStart w:id="49" w:name="_Toc476645123"/>
      <w:r>
        <w:rPr>
          <w:rFonts w:hint="eastAsia" w:ascii="Times New Roman" w:hAnsi="Times New Roman"/>
          <w:sz w:val="28"/>
          <w:szCs w:val="28"/>
        </w:rPr>
        <w:t xml:space="preserve">4 </w:t>
      </w:r>
      <w:r>
        <w:rPr>
          <w:rFonts w:hint="eastAsia"/>
          <w:b/>
          <w:sz w:val="24"/>
        </w:rPr>
        <w:t>投标人、投标人法定代表人及本次投标的授权代表无行贿犯罪承诺表</w:t>
      </w:r>
    </w:p>
    <w:p>
      <w:pPr>
        <w:spacing w:line="360" w:lineRule="auto"/>
        <w:rPr>
          <w:rFonts w:ascii="宋体" w:hAnsi="宋体"/>
          <w:b/>
          <w:spacing w:val="20"/>
        </w:rPr>
      </w:pPr>
    </w:p>
    <w:tbl>
      <w:tblPr>
        <w:tblStyle w:val="6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pacing w:val="2"/>
              </w:rPr>
            </w:pPr>
            <w:r>
              <w:rPr>
                <w:rFonts w:hint="eastAsia"/>
                <w:spacing w:val="2"/>
              </w:rPr>
              <w:t>内容</w:t>
            </w:r>
          </w:p>
        </w:tc>
        <w:tc>
          <w:tcPr>
            <w:tcW w:w="6264" w:type="dxa"/>
            <w:tcBorders>
              <w:top w:val="single" w:color="auto" w:sz="4" w:space="0"/>
              <w:left w:val="single" w:color="auto" w:sz="4" w:space="0"/>
              <w:bottom w:val="single" w:color="auto" w:sz="4" w:space="0"/>
              <w:right w:val="single" w:color="auto" w:sz="4" w:space="0"/>
            </w:tcBorders>
            <w:vAlign w:val="center"/>
          </w:tcPr>
          <w:p>
            <w:pPr>
              <w:jc w:val="center"/>
              <w:rPr>
                <w:spacing w:val="2"/>
              </w:rPr>
            </w:pPr>
            <w:r>
              <w:rPr>
                <w:rFonts w:hint="eastAsia"/>
                <w:spacing w:val="2"/>
              </w:rPr>
              <w:t>投标截止之日起前3年内行贿犯罪情况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2592" w:type="dxa"/>
            <w:tcBorders>
              <w:top w:val="single" w:color="auto" w:sz="4" w:space="0"/>
              <w:left w:val="single" w:color="auto" w:sz="4" w:space="0"/>
              <w:bottom w:val="single" w:color="auto" w:sz="4" w:space="0"/>
              <w:right w:val="single" w:color="auto" w:sz="4" w:space="0"/>
            </w:tcBorders>
            <w:vAlign w:val="center"/>
          </w:tcPr>
          <w:p>
            <w:pPr>
              <w:rPr>
                <w:spacing w:val="2"/>
              </w:rPr>
            </w:pPr>
            <w:r>
              <w:rPr>
                <w:spacing w:val="2"/>
              </w:rPr>
              <w:t>1</w:t>
            </w:r>
            <w:r>
              <w:rPr>
                <w:rFonts w:hint="eastAsia"/>
                <w:spacing w:val="2"/>
              </w:rPr>
              <w:t>、投标人行贿犯罪记录</w:t>
            </w:r>
          </w:p>
        </w:tc>
        <w:tc>
          <w:tcPr>
            <w:tcW w:w="6264" w:type="dxa"/>
            <w:tcBorders>
              <w:top w:val="single" w:color="auto" w:sz="4" w:space="0"/>
              <w:left w:val="single" w:color="auto" w:sz="4" w:space="0"/>
              <w:bottom w:val="single" w:color="auto" w:sz="4" w:space="0"/>
              <w:right w:val="single" w:color="auto" w:sz="4" w:space="0"/>
            </w:tcBorders>
            <w:vAlign w:val="center"/>
          </w:tcPr>
          <w:p>
            <w:pPr>
              <w:rPr>
                <w:spacing w:val="2"/>
              </w:rPr>
            </w:pPr>
            <w:r>
              <w:rPr>
                <w:rFonts w:hint="eastAsia"/>
                <w:spacing w:val="2"/>
              </w:rPr>
              <w:t>投标人无行贿犯罪记录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592" w:type="dxa"/>
            <w:tcBorders>
              <w:top w:val="single" w:color="auto" w:sz="4" w:space="0"/>
              <w:left w:val="single" w:color="auto" w:sz="4" w:space="0"/>
              <w:bottom w:val="single" w:color="auto" w:sz="4" w:space="0"/>
              <w:right w:val="single" w:color="auto" w:sz="4" w:space="0"/>
            </w:tcBorders>
            <w:vAlign w:val="center"/>
          </w:tcPr>
          <w:p>
            <w:pPr>
              <w:rPr>
                <w:spacing w:val="2"/>
              </w:rPr>
            </w:pPr>
            <w:r>
              <w:rPr>
                <w:spacing w:val="2"/>
              </w:rPr>
              <w:t>2</w:t>
            </w:r>
            <w:r>
              <w:rPr>
                <w:rFonts w:hint="eastAsia"/>
                <w:spacing w:val="2"/>
              </w:rPr>
              <w:t>、投标人法定代表人行贿犯罪记录</w:t>
            </w:r>
          </w:p>
        </w:tc>
        <w:tc>
          <w:tcPr>
            <w:tcW w:w="6264" w:type="dxa"/>
            <w:tcBorders>
              <w:top w:val="single" w:color="auto" w:sz="4" w:space="0"/>
              <w:left w:val="single" w:color="auto" w:sz="4" w:space="0"/>
              <w:bottom w:val="single" w:color="auto" w:sz="4" w:space="0"/>
              <w:right w:val="single" w:color="auto" w:sz="4" w:space="0"/>
            </w:tcBorders>
            <w:vAlign w:val="center"/>
          </w:tcPr>
          <w:p>
            <w:pPr>
              <w:rPr>
                <w:spacing w:val="2"/>
              </w:rPr>
            </w:pPr>
            <w:r>
              <w:rPr>
                <w:rFonts w:hint="eastAsia"/>
                <w:spacing w:val="2"/>
              </w:rPr>
              <w:t>投标人法定代表人（姓名：、身份证号码：）无行贿犯罪记录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trPr>
        <w:tc>
          <w:tcPr>
            <w:tcW w:w="2592" w:type="dxa"/>
            <w:tcBorders>
              <w:top w:val="single" w:color="auto" w:sz="4" w:space="0"/>
              <w:left w:val="single" w:color="auto" w:sz="4" w:space="0"/>
              <w:bottom w:val="single" w:color="auto" w:sz="4" w:space="0"/>
              <w:right w:val="single" w:color="auto" w:sz="4" w:space="0"/>
            </w:tcBorders>
            <w:vAlign w:val="center"/>
          </w:tcPr>
          <w:p>
            <w:pPr>
              <w:rPr>
                <w:spacing w:val="2"/>
              </w:rPr>
            </w:pPr>
            <w:r>
              <w:rPr>
                <w:spacing w:val="2"/>
              </w:rPr>
              <w:t>3</w:t>
            </w:r>
            <w:r>
              <w:rPr>
                <w:rFonts w:hint="eastAsia"/>
                <w:spacing w:val="2"/>
              </w:rPr>
              <w:t>、本次投标授权代表行贿犯罪记录</w:t>
            </w:r>
          </w:p>
        </w:tc>
        <w:tc>
          <w:tcPr>
            <w:tcW w:w="6264" w:type="dxa"/>
            <w:tcBorders>
              <w:top w:val="single" w:color="auto" w:sz="4" w:space="0"/>
              <w:left w:val="single" w:color="auto" w:sz="4" w:space="0"/>
              <w:bottom w:val="single" w:color="auto" w:sz="4" w:space="0"/>
              <w:right w:val="single" w:color="auto" w:sz="4" w:space="0"/>
            </w:tcBorders>
            <w:vAlign w:val="center"/>
          </w:tcPr>
          <w:p>
            <w:pPr>
              <w:rPr>
                <w:spacing w:val="2"/>
              </w:rPr>
            </w:pPr>
            <w:r>
              <w:rPr>
                <w:rFonts w:hint="eastAsia"/>
                <w:spacing w:val="2"/>
              </w:rPr>
              <w:t>本次投标授权代表（姓名：、身份证号码：）无行贿犯罪记录</w:t>
            </w:r>
          </w:p>
        </w:tc>
      </w:tr>
    </w:tbl>
    <w:p>
      <w:pPr>
        <w:spacing w:line="360" w:lineRule="auto"/>
        <w:rPr>
          <w:b/>
          <w:spacing w:val="20"/>
          <w:sz w:val="24"/>
        </w:rPr>
      </w:pPr>
    </w:p>
    <w:p>
      <w:pPr>
        <w:spacing w:line="360" w:lineRule="auto"/>
        <w:rPr>
          <w:b/>
          <w:spacing w:val="20"/>
        </w:rPr>
      </w:pPr>
    </w:p>
    <w:p>
      <w:pPr>
        <w:rPr>
          <w:b/>
        </w:rPr>
      </w:pPr>
      <w:r>
        <w:rPr>
          <w:rFonts w:hint="eastAsia"/>
          <w:b/>
        </w:rPr>
        <w:t>投标人名称：（盖章）</w:t>
      </w:r>
    </w:p>
    <w:p>
      <w:pPr>
        <w:rPr>
          <w:b/>
        </w:rPr>
      </w:pPr>
    </w:p>
    <w:p>
      <w:pPr>
        <w:snapToGrid w:val="0"/>
        <w:spacing w:line="360" w:lineRule="auto"/>
        <w:ind w:left="-6" w:leftChars="-15" w:right="-817" w:rightChars="-389" w:hanging="25" w:hangingChars="12"/>
      </w:pPr>
      <w:r>
        <w:rPr>
          <w:rFonts w:hint="eastAsia"/>
          <w:b/>
        </w:rPr>
        <w:t>投标人代表签字：</w:t>
      </w:r>
    </w:p>
    <w:p>
      <w:pPr>
        <w:pStyle w:val="288"/>
        <w:widowControl/>
        <w:tabs>
          <w:tab w:val="left" w:pos="360"/>
        </w:tabs>
        <w:snapToGrid w:val="0"/>
        <w:spacing w:line="540" w:lineRule="exact"/>
        <w:ind w:right="84" w:rightChars="40"/>
        <w:jc w:val="left"/>
        <w:rPr>
          <w:rFonts w:ascii="仿宋_GB2312" w:eastAsia="仿宋_GB2312"/>
          <w:color w:val="000000"/>
          <w:sz w:val="28"/>
          <w:szCs w:val="28"/>
        </w:rPr>
        <w:sectPr>
          <w:pgSz w:w="11906" w:h="16838"/>
          <w:pgMar w:top="1389" w:right="1247" w:bottom="1389" w:left="1247" w:header="851" w:footer="992" w:gutter="567"/>
          <w:cols w:space="720" w:num="1"/>
          <w:docGrid w:linePitch="312" w:charSpace="0"/>
        </w:sectPr>
      </w:pPr>
    </w:p>
    <w:p>
      <w:pPr>
        <w:pStyle w:val="224"/>
        <w:spacing w:line="540" w:lineRule="exact"/>
        <w:ind w:firstLine="0" w:firstLineChars="0"/>
        <w:jc w:val="center"/>
        <w:rPr>
          <w:rFonts w:ascii="Times New Roman" w:hAnsi="Times New Roman" w:eastAsia="宋体"/>
          <w:sz w:val="24"/>
          <w:szCs w:val="20"/>
          <w:u w:val="single"/>
        </w:rPr>
      </w:pPr>
    </w:p>
    <w:p>
      <w:pPr>
        <w:pStyle w:val="224"/>
        <w:spacing w:line="540" w:lineRule="exact"/>
        <w:ind w:firstLine="0" w:firstLineChars="0"/>
        <w:jc w:val="center"/>
        <w:rPr>
          <w:rStyle w:val="108"/>
          <w:rFonts w:ascii="仿宋_GB2312" w:hAnsi="黑体" w:eastAsia="仿宋_GB2312"/>
          <w:sz w:val="28"/>
          <w:szCs w:val="28"/>
        </w:rPr>
      </w:pPr>
      <w:r>
        <w:rPr>
          <w:rStyle w:val="108"/>
          <w:rFonts w:hint="eastAsia" w:ascii="仿宋_GB2312" w:hAnsi="黑体" w:eastAsia="仿宋_GB2312"/>
          <w:sz w:val="28"/>
          <w:szCs w:val="28"/>
        </w:rPr>
        <w:t>三、技术商务文件格式</w:t>
      </w:r>
      <w:bookmarkEnd w:id="49"/>
    </w:p>
    <w:p>
      <w:pPr>
        <w:pStyle w:val="224"/>
        <w:spacing w:line="540" w:lineRule="exact"/>
        <w:ind w:firstLine="0" w:firstLineChars="0"/>
        <w:jc w:val="center"/>
        <w:rPr>
          <w:rFonts w:hAnsi="Times New Roman" w:cs="宋体"/>
          <w:sz w:val="28"/>
        </w:rPr>
      </w:pPr>
      <w:r>
        <w:rPr>
          <w:rFonts w:hint="eastAsia" w:hAnsi="Times New Roman" w:cs="宋体"/>
          <w:sz w:val="28"/>
        </w:rPr>
        <w:t>1 技术支持及服务承诺书</w:t>
      </w:r>
    </w:p>
    <w:p>
      <w:pPr>
        <w:pStyle w:val="192"/>
        <w:keepNext w:val="0"/>
        <w:keepLines w:val="0"/>
        <w:spacing w:before="120" w:beforeLines="50" w:after="120" w:afterLines="50" w:line="500" w:lineRule="exact"/>
        <w:jc w:val="both"/>
        <w:outlineLvl w:val="9"/>
        <w:rPr>
          <w:rFonts w:ascii="仿宋_GB2312" w:eastAsia="仿宋_GB2312"/>
          <w:b w:val="0"/>
          <w:bCs w:val="0"/>
          <w:sz w:val="28"/>
          <w:szCs w:val="28"/>
        </w:rPr>
      </w:pPr>
      <w:bookmarkStart w:id="50" w:name="_Toc15230"/>
      <w:bookmarkStart w:id="51" w:name="_Toc13455"/>
      <w:bookmarkStart w:id="52" w:name="_Toc12146"/>
      <w:bookmarkStart w:id="53" w:name="_Toc476645119"/>
      <w:r>
        <w:rPr>
          <w:rFonts w:hint="eastAsia" w:ascii="仿宋_GB2312" w:eastAsia="仿宋_GB2312"/>
          <w:b w:val="0"/>
          <w:bCs w:val="0"/>
          <w:sz w:val="28"/>
          <w:szCs w:val="28"/>
        </w:rPr>
        <w:t>项目名称：</w:t>
      </w:r>
      <w:bookmarkEnd w:id="50"/>
      <w:bookmarkEnd w:id="51"/>
      <w:bookmarkEnd w:id="52"/>
      <w:bookmarkEnd w:id="53"/>
    </w:p>
    <w:p>
      <w:pPr>
        <w:pStyle w:val="192"/>
        <w:keepNext w:val="0"/>
        <w:keepLines w:val="0"/>
        <w:spacing w:before="120" w:beforeLines="50" w:after="120" w:afterLines="50" w:line="500" w:lineRule="exact"/>
        <w:jc w:val="both"/>
        <w:outlineLvl w:val="9"/>
        <w:rPr>
          <w:rFonts w:ascii="仿宋_GB2312" w:hAnsi="Times New Roman" w:eastAsia="仿宋_GB2312"/>
          <w:b w:val="0"/>
          <w:bCs w:val="0"/>
          <w:sz w:val="28"/>
          <w:szCs w:val="28"/>
        </w:rPr>
      </w:pPr>
      <w:bookmarkStart w:id="54" w:name="_Toc4163"/>
      <w:bookmarkStart w:id="55" w:name="_Toc19802"/>
      <w:bookmarkStart w:id="56" w:name="_Toc23267"/>
      <w:bookmarkStart w:id="57" w:name="_Toc476645120"/>
      <w:r>
        <w:rPr>
          <w:rFonts w:hint="eastAsia" w:ascii="仿宋_GB2312" w:eastAsia="仿宋_GB2312"/>
          <w:b w:val="0"/>
          <w:bCs w:val="0"/>
          <w:sz w:val="28"/>
          <w:szCs w:val="28"/>
        </w:rPr>
        <w:t>项目编号：</w:t>
      </w:r>
      <w:bookmarkEnd w:id="54"/>
      <w:bookmarkEnd w:id="55"/>
      <w:bookmarkEnd w:id="56"/>
      <w:bookmarkEnd w:id="57"/>
    </w:p>
    <w:tbl>
      <w:tblPr>
        <w:tblStyle w:val="60"/>
        <w:tblW w:w="9193" w:type="dxa"/>
        <w:jc w:val="center"/>
        <w:tblInd w:w="0" w:type="dxa"/>
        <w:tblLayout w:type="fixed"/>
        <w:tblCellMar>
          <w:top w:w="0" w:type="dxa"/>
          <w:left w:w="0" w:type="dxa"/>
          <w:bottom w:w="0" w:type="dxa"/>
          <w:right w:w="0" w:type="dxa"/>
        </w:tblCellMar>
      </w:tblPr>
      <w:tblGrid>
        <w:gridCol w:w="740"/>
        <w:gridCol w:w="4106"/>
        <w:gridCol w:w="2547"/>
        <w:gridCol w:w="1800"/>
      </w:tblGrid>
      <w:tr>
        <w:tblPrEx>
          <w:tblLayout w:type="fixed"/>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序号</w:t>
            </w:r>
          </w:p>
        </w:tc>
        <w:tc>
          <w:tcPr>
            <w:tcW w:w="4106" w:type="dxa"/>
            <w:tcBorders>
              <w:top w:val="single" w:color="auto" w:sz="8" w:space="0"/>
              <w:left w:val="nil"/>
              <w:bottom w:val="single" w:color="auto" w:sz="8" w:space="0"/>
              <w:right w:val="single" w:color="auto" w:sz="4"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备注</w:t>
            </w: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textAlignment w:val="baseline"/>
              <w:rPr>
                <w:rFonts w:ascii="仿宋_GB2312" w:eastAsia="仿宋_GB2312" w:cs="宋体"/>
                <w:sz w:val="28"/>
                <w:szCs w:val="28"/>
              </w:rPr>
            </w:pPr>
            <w:r>
              <w:rPr>
                <w:rFonts w:hint="eastAsia" w:ascii="仿宋_GB2312" w:eastAsia="仿宋_GB2312" w:cs="宋体"/>
                <w:sz w:val="28"/>
                <w:szCs w:val="28"/>
              </w:rPr>
              <w:t>保修时间及保修范围</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2</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left"/>
              <w:rPr>
                <w:rFonts w:ascii="仿宋_GB2312" w:eastAsia="仿宋_GB2312" w:cs="宋体"/>
                <w:sz w:val="28"/>
                <w:szCs w:val="28"/>
              </w:rPr>
            </w:pPr>
          </w:p>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3</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免费换货期限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4</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免费上门服务期限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5</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7</w:t>
            </w:r>
          </w:p>
        </w:tc>
        <w:tc>
          <w:tcPr>
            <w:tcW w:w="4106" w:type="dxa"/>
            <w:tcBorders>
              <w:top w:val="nil"/>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质保期满后的保修服务费用</w:t>
            </w:r>
          </w:p>
        </w:tc>
        <w:tc>
          <w:tcPr>
            <w:tcW w:w="2547" w:type="dxa"/>
            <w:tcBorders>
              <w:top w:val="nil"/>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8</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9</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10</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11</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12</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其他</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bl>
    <w:p>
      <w:pPr>
        <w:autoSpaceDE w:val="0"/>
        <w:autoSpaceDN w:val="0"/>
        <w:adjustRightInd w:val="0"/>
        <w:spacing w:line="540" w:lineRule="exact"/>
        <w:rPr>
          <w:rFonts w:ascii="仿宋_GB2312" w:eastAsia="仿宋_GB2312" w:cs="宋体"/>
          <w:sz w:val="28"/>
          <w:szCs w:val="28"/>
        </w:rPr>
      </w:pPr>
    </w:p>
    <w:p>
      <w:pPr>
        <w:snapToGrid w:val="0"/>
        <w:spacing w:line="540" w:lineRule="exact"/>
        <w:rPr>
          <w:rFonts w:ascii="仿宋_GB2312" w:eastAsia="仿宋_GB2312"/>
          <w:sz w:val="28"/>
          <w:szCs w:val="28"/>
        </w:rPr>
      </w:pPr>
      <w:r>
        <w:rPr>
          <w:rFonts w:hint="eastAsia" w:ascii="仿宋_GB2312" w:eastAsia="仿宋_GB2312"/>
          <w:sz w:val="28"/>
          <w:szCs w:val="28"/>
        </w:rPr>
        <w:t>投标人（盖章）：</w:t>
      </w:r>
    </w:p>
    <w:p>
      <w:pPr>
        <w:snapToGrid w:val="0"/>
        <w:spacing w:line="540" w:lineRule="exact"/>
        <w:rPr>
          <w:rFonts w:ascii="仿宋_GB2312" w:eastAsia="仿宋_GB2312"/>
          <w:sz w:val="28"/>
          <w:szCs w:val="28"/>
        </w:rPr>
      </w:pPr>
      <w:r>
        <w:rPr>
          <w:rFonts w:hint="eastAsia" w:ascii="仿宋_GB2312" w:eastAsia="仿宋_GB2312"/>
          <w:sz w:val="28"/>
          <w:szCs w:val="28"/>
        </w:rPr>
        <w:t xml:space="preserve">                                   </w:t>
      </w:r>
    </w:p>
    <w:p>
      <w:pPr>
        <w:autoSpaceDE w:val="0"/>
        <w:autoSpaceDN w:val="0"/>
        <w:adjustRightInd w:val="0"/>
        <w:snapToGrid w:val="0"/>
        <w:spacing w:line="540" w:lineRule="exact"/>
        <w:rPr>
          <w:rFonts w:ascii="仿宋_GB2312" w:eastAsia="仿宋_GB2312"/>
          <w:sz w:val="28"/>
          <w:szCs w:val="28"/>
        </w:rPr>
      </w:pPr>
      <w:r>
        <w:rPr>
          <w:rFonts w:hint="eastAsia" w:ascii="仿宋_GB2312" w:eastAsia="仿宋_GB2312"/>
          <w:sz w:val="28"/>
          <w:szCs w:val="28"/>
        </w:rPr>
        <w:t>日期：</w:t>
      </w:r>
    </w:p>
    <w:p>
      <w:pPr>
        <w:rPr>
          <w:rFonts w:ascii="仿宋_GB2312" w:eastAsia="仿宋_GB2312"/>
          <w:b/>
          <w:sz w:val="28"/>
          <w:szCs w:val="28"/>
          <w:u w:val="single"/>
        </w:rPr>
      </w:pPr>
      <w:r>
        <w:rPr>
          <w:rFonts w:hint="eastAsia" w:ascii="仿宋_GB2312" w:eastAsia="仿宋_GB2312"/>
          <w:sz w:val="28"/>
          <w:szCs w:val="28"/>
        </w:rPr>
        <w:br w:type="page"/>
      </w:r>
    </w:p>
    <w:p>
      <w:pPr>
        <w:pStyle w:val="224"/>
        <w:spacing w:line="540" w:lineRule="exact"/>
        <w:ind w:firstLine="0" w:firstLineChars="0"/>
        <w:jc w:val="center"/>
        <w:rPr>
          <w:rFonts w:hAnsi="Times New Roman" w:cs="宋体"/>
          <w:sz w:val="28"/>
        </w:rPr>
      </w:pPr>
      <w:r>
        <w:rPr>
          <w:rFonts w:hint="eastAsia" w:hAnsi="Times New Roman" w:cs="宋体"/>
          <w:sz w:val="28"/>
          <w:lang w:val="en-US" w:eastAsia="zh-CN"/>
        </w:rPr>
        <w:t>2</w:t>
      </w:r>
      <w:r>
        <w:rPr>
          <w:rFonts w:hint="eastAsia" w:hAnsi="Times New Roman" w:cs="宋体"/>
          <w:sz w:val="28"/>
        </w:rPr>
        <w:t xml:space="preserve"> 技术偏离表</w:t>
      </w:r>
    </w:p>
    <w:p>
      <w:pPr>
        <w:pStyle w:val="192"/>
        <w:keepNext w:val="0"/>
        <w:keepLines w:val="0"/>
        <w:spacing w:before="0" w:after="0" w:line="500" w:lineRule="exact"/>
        <w:jc w:val="both"/>
        <w:outlineLvl w:val="9"/>
        <w:rPr>
          <w:rFonts w:ascii="仿宋_GB2312" w:eastAsia="仿宋_GB2312"/>
          <w:b w:val="0"/>
          <w:bCs w:val="0"/>
          <w:sz w:val="28"/>
          <w:szCs w:val="28"/>
        </w:rPr>
      </w:pPr>
      <w:bookmarkStart w:id="58" w:name="_Toc476645124"/>
      <w:bookmarkStart w:id="59" w:name="_Toc23415"/>
      <w:bookmarkStart w:id="60" w:name="_Toc8247"/>
      <w:bookmarkStart w:id="61" w:name="_Toc30190"/>
      <w:r>
        <w:rPr>
          <w:rFonts w:hint="eastAsia" w:ascii="仿宋_GB2312" w:eastAsia="仿宋_GB2312"/>
          <w:b w:val="0"/>
          <w:bCs w:val="0"/>
          <w:sz w:val="28"/>
          <w:szCs w:val="28"/>
        </w:rPr>
        <w:t>项目名称：</w:t>
      </w:r>
      <w:bookmarkEnd w:id="58"/>
      <w:bookmarkEnd w:id="59"/>
      <w:bookmarkEnd w:id="60"/>
      <w:bookmarkEnd w:id="61"/>
    </w:p>
    <w:p>
      <w:pPr>
        <w:pStyle w:val="192"/>
        <w:keepNext w:val="0"/>
        <w:keepLines w:val="0"/>
        <w:spacing w:before="0" w:after="0" w:line="500" w:lineRule="exact"/>
        <w:jc w:val="both"/>
        <w:outlineLvl w:val="9"/>
        <w:rPr>
          <w:rFonts w:ascii="仿宋_GB2312" w:hAnsi="Times New Roman" w:eastAsia="仿宋_GB2312"/>
          <w:b w:val="0"/>
          <w:bCs w:val="0"/>
          <w:sz w:val="28"/>
          <w:szCs w:val="28"/>
        </w:rPr>
      </w:pPr>
      <w:bookmarkStart w:id="62" w:name="_Toc18111"/>
      <w:bookmarkStart w:id="63" w:name="_Toc14509"/>
      <w:bookmarkStart w:id="64" w:name="_Toc28387"/>
      <w:bookmarkStart w:id="65" w:name="_Toc476645125"/>
      <w:r>
        <w:rPr>
          <w:rFonts w:hint="eastAsia" w:ascii="仿宋_GB2312" w:eastAsia="仿宋_GB2312"/>
          <w:b w:val="0"/>
          <w:bCs w:val="0"/>
          <w:sz w:val="28"/>
          <w:szCs w:val="28"/>
        </w:rPr>
        <w:t>项目编号：</w:t>
      </w:r>
      <w:bookmarkEnd w:id="62"/>
      <w:bookmarkEnd w:id="63"/>
      <w:bookmarkEnd w:id="64"/>
      <w:bookmarkEnd w:id="65"/>
    </w:p>
    <w:tbl>
      <w:tblPr>
        <w:tblStyle w:val="60"/>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序号</w:t>
            </w:r>
          </w:p>
        </w:tc>
        <w:tc>
          <w:tcPr>
            <w:tcW w:w="2096"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招标文件技术规范要求</w:t>
            </w:r>
          </w:p>
        </w:tc>
        <w:tc>
          <w:tcPr>
            <w:tcW w:w="1985"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投标人响应详细内容</w:t>
            </w:r>
          </w:p>
        </w:tc>
        <w:tc>
          <w:tcPr>
            <w:tcW w:w="1578"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正/负偏离</w:t>
            </w:r>
          </w:p>
        </w:tc>
        <w:tc>
          <w:tcPr>
            <w:tcW w:w="1449" w:type="dxa"/>
            <w:tcBorders>
              <w:top w:val="thinThickSmallGap" w:color="auto" w:sz="12"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偏离说明</w:t>
            </w:r>
          </w:p>
        </w:tc>
        <w:tc>
          <w:tcPr>
            <w:tcW w:w="1418" w:type="dxa"/>
            <w:tcBorders>
              <w:top w:val="thinThickSmallGap" w:color="auto" w:sz="12" w:space="0"/>
              <w:left w:val="single" w:color="auto" w:sz="4" w:space="0"/>
              <w:right w:val="thickThin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ascii="仿宋_GB2312" w:eastAsia="仿宋_GB2312"/>
                <w:sz w:val="28"/>
                <w:szCs w:val="28"/>
              </w:rPr>
              <w:t>…</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pPr>
              <w:spacing w:line="500" w:lineRule="exact"/>
              <w:jc w:val="center"/>
              <w:rPr>
                <w:rFonts w:ascii="仿宋_GB2312" w:eastAsia="仿宋_GB2312"/>
                <w:sz w:val="28"/>
                <w:szCs w:val="28"/>
              </w:rPr>
            </w:pPr>
          </w:p>
        </w:tc>
        <w:tc>
          <w:tcPr>
            <w:tcW w:w="2096" w:type="dxa"/>
            <w:tcBorders>
              <w:bottom w:val="thickThinSmallGap" w:color="auto" w:sz="12" w:space="0"/>
            </w:tcBorders>
          </w:tcPr>
          <w:p>
            <w:pPr>
              <w:spacing w:line="500" w:lineRule="exact"/>
              <w:jc w:val="left"/>
              <w:rPr>
                <w:rFonts w:ascii="仿宋_GB2312" w:eastAsia="仿宋_GB2312"/>
                <w:sz w:val="28"/>
                <w:szCs w:val="28"/>
              </w:rPr>
            </w:pPr>
          </w:p>
        </w:tc>
        <w:tc>
          <w:tcPr>
            <w:tcW w:w="1985" w:type="dxa"/>
            <w:tcBorders>
              <w:bottom w:val="thickThinSmallGap" w:color="auto" w:sz="12" w:space="0"/>
            </w:tcBorders>
          </w:tcPr>
          <w:p>
            <w:pPr>
              <w:spacing w:line="500" w:lineRule="exact"/>
              <w:jc w:val="left"/>
              <w:rPr>
                <w:rFonts w:ascii="仿宋_GB2312" w:eastAsia="仿宋_GB2312"/>
                <w:sz w:val="28"/>
                <w:szCs w:val="28"/>
              </w:rPr>
            </w:pPr>
          </w:p>
        </w:tc>
        <w:tc>
          <w:tcPr>
            <w:tcW w:w="1578" w:type="dxa"/>
            <w:tcBorders>
              <w:bottom w:val="thickThinSmallGap" w:color="auto" w:sz="12" w:space="0"/>
            </w:tcBorders>
          </w:tcPr>
          <w:p>
            <w:pPr>
              <w:spacing w:line="500" w:lineRule="exact"/>
              <w:jc w:val="left"/>
              <w:rPr>
                <w:rFonts w:ascii="仿宋_GB2312" w:eastAsia="仿宋_GB2312"/>
                <w:sz w:val="28"/>
                <w:szCs w:val="28"/>
              </w:rPr>
            </w:pPr>
          </w:p>
        </w:tc>
        <w:tc>
          <w:tcPr>
            <w:tcW w:w="1449" w:type="dxa"/>
            <w:tcBorders>
              <w:bottom w:val="thickThinSmallGap" w:color="auto" w:sz="12" w:space="0"/>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bottom w:val="thickThinSmallGap" w:color="auto" w:sz="12" w:space="0"/>
              <w:right w:val="thickThinSmallGap" w:color="auto" w:sz="12" w:space="0"/>
            </w:tcBorders>
          </w:tcPr>
          <w:p>
            <w:pPr>
              <w:spacing w:line="500" w:lineRule="exact"/>
              <w:jc w:val="left"/>
              <w:rPr>
                <w:rFonts w:ascii="仿宋_GB2312" w:eastAsia="仿宋_GB2312"/>
                <w:sz w:val="28"/>
                <w:szCs w:val="28"/>
              </w:rPr>
            </w:pPr>
          </w:p>
        </w:tc>
      </w:tr>
    </w:tbl>
    <w:p>
      <w:pPr>
        <w:spacing w:line="500" w:lineRule="exact"/>
        <w:ind w:firstLine="560" w:firstLineChars="200"/>
      </w:pPr>
      <w:r>
        <w:rPr>
          <w:rFonts w:hint="eastAsia" w:ascii="仿宋_GB2312" w:eastAsia="仿宋_GB2312" w:cs="宋体"/>
          <w:sz w:val="28"/>
          <w:szCs w:val="28"/>
        </w:rPr>
        <w:t>注：投标人递交的技术规格书中与招标文件的技术规格书中的要求有不同时，应逐条列在技术偏离表中并作出“正偏离/负偏离”，同时在说明栏目中具体说明及填写页码，否则将认为投标人接受招标文件的要求。</w:t>
      </w:r>
    </w:p>
    <w:p>
      <w:pPr>
        <w:adjustRightInd w:val="0"/>
        <w:snapToGrid w:val="0"/>
        <w:spacing w:line="500" w:lineRule="exact"/>
        <w:jc w:val="left"/>
        <w:rPr>
          <w:sz w:val="24"/>
        </w:rPr>
      </w:pPr>
    </w:p>
    <w:p>
      <w:pPr>
        <w:adjustRightInd w:val="0"/>
        <w:snapToGrid w:val="0"/>
        <w:spacing w:line="500" w:lineRule="exact"/>
        <w:ind w:left="482" w:hanging="482"/>
        <w:jc w:val="left"/>
        <w:rPr>
          <w:rFonts w:ascii="仿宋_GB2312" w:eastAsia="仿宋_GB2312"/>
          <w:sz w:val="28"/>
          <w:szCs w:val="28"/>
        </w:rPr>
      </w:pPr>
      <w:r>
        <w:rPr>
          <w:rFonts w:hint="eastAsia" w:ascii="仿宋_GB2312" w:eastAsia="仿宋_GB2312"/>
          <w:sz w:val="28"/>
          <w:szCs w:val="28"/>
        </w:rPr>
        <w:t>投标人（盖章）：</w:t>
      </w:r>
    </w:p>
    <w:p>
      <w:pPr>
        <w:spacing w:line="600" w:lineRule="exact"/>
      </w:pPr>
      <w:r>
        <w:rPr>
          <w:rFonts w:hint="eastAsia" w:ascii="仿宋_GB2312" w:eastAsia="仿宋_GB2312"/>
          <w:sz w:val="28"/>
          <w:szCs w:val="28"/>
        </w:rPr>
        <w:t>日  期：</w:t>
      </w:r>
    </w:p>
    <w:p>
      <w:pPr>
        <w:pStyle w:val="2"/>
      </w:pPr>
    </w:p>
    <w:p>
      <w:pPr>
        <w:adjustRightInd w:val="0"/>
        <w:snapToGrid w:val="0"/>
        <w:spacing w:line="500" w:lineRule="exact"/>
        <w:jc w:val="left"/>
        <w:rPr>
          <w:rFonts w:ascii="仿宋_GB2312" w:hAnsi="宋体" w:eastAsia="仿宋_GB2312"/>
          <w:color w:val="000000"/>
          <w:sz w:val="28"/>
          <w:szCs w:val="28"/>
        </w:rPr>
      </w:pPr>
      <w:r>
        <w:rPr>
          <w:rFonts w:hint="eastAsia" w:ascii="仿宋_GB2312" w:eastAsia="仿宋_GB2312"/>
          <w:sz w:val="28"/>
          <w:szCs w:val="28"/>
        </w:rPr>
        <w:br w:type="page"/>
      </w:r>
    </w:p>
    <w:p>
      <w:pPr>
        <w:snapToGrid w:val="0"/>
        <w:spacing w:line="500" w:lineRule="exact"/>
        <w:jc w:val="center"/>
        <w:rPr>
          <w:rStyle w:val="108"/>
          <w:rFonts w:ascii="仿宋_GB2312" w:hAnsi="黑体" w:eastAsia="仿宋_GB2312"/>
          <w:sz w:val="28"/>
          <w:szCs w:val="28"/>
        </w:rPr>
      </w:pPr>
      <w:bookmarkStart w:id="66" w:name="_Toc439660041"/>
      <w:bookmarkStart w:id="67" w:name="_Toc476645126"/>
      <w:r>
        <w:rPr>
          <w:rStyle w:val="108"/>
          <w:rFonts w:hint="eastAsia" w:ascii="仿宋_GB2312" w:hAnsi="黑体" w:eastAsia="仿宋_GB2312"/>
          <w:sz w:val="28"/>
          <w:szCs w:val="28"/>
        </w:rPr>
        <w:t>四、</w:t>
      </w:r>
      <w:bookmarkStart w:id="68" w:name="商务文件格式"/>
      <w:r>
        <w:rPr>
          <w:rStyle w:val="108"/>
          <w:rFonts w:hint="eastAsia" w:ascii="仿宋_GB2312" w:hAnsi="黑体" w:eastAsia="仿宋_GB2312"/>
          <w:sz w:val="28"/>
          <w:szCs w:val="28"/>
        </w:rPr>
        <w:t>报价文件格式</w:t>
      </w:r>
      <w:bookmarkEnd w:id="66"/>
      <w:bookmarkEnd w:id="67"/>
      <w:bookmarkEnd w:id="68"/>
    </w:p>
    <w:p>
      <w:pPr>
        <w:spacing w:line="600" w:lineRule="exact"/>
        <w:jc w:val="center"/>
        <w:rPr>
          <w:rFonts w:ascii="仿宋_GB2312" w:hAnsi="黑体" w:eastAsia="仿宋_GB2312"/>
          <w:bCs/>
          <w:color w:val="000000"/>
          <w:sz w:val="28"/>
          <w:szCs w:val="28"/>
        </w:rPr>
      </w:pPr>
      <w:r>
        <w:rPr>
          <w:rStyle w:val="108"/>
          <w:rFonts w:hint="eastAsia" w:ascii="仿宋_GB2312" w:hAnsi="黑体"/>
          <w:color w:val="000000"/>
          <w:szCs w:val="28"/>
        </w:rPr>
        <w:t xml:space="preserve">1 </w:t>
      </w:r>
      <w:bookmarkStart w:id="69" w:name="_Toc356371465"/>
      <w:r>
        <w:rPr>
          <w:rFonts w:hint="eastAsia" w:ascii="仿宋_GB2312" w:hAnsi="宋体" w:eastAsia="仿宋_GB2312"/>
          <w:color w:val="000000"/>
          <w:sz w:val="28"/>
          <w:szCs w:val="28"/>
        </w:rPr>
        <w:t>开标一览表</w:t>
      </w:r>
      <w:bookmarkEnd w:id="69"/>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项目名称：                               </w:t>
      </w:r>
    </w:p>
    <w:p>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项目编号：                                          金额单位：元</w:t>
      </w:r>
    </w:p>
    <w:tbl>
      <w:tblPr>
        <w:tblStyle w:val="60"/>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787"/>
        <w:gridCol w:w="756"/>
        <w:gridCol w:w="1134"/>
        <w:gridCol w:w="993"/>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序号</w:t>
            </w:r>
          </w:p>
        </w:tc>
        <w:tc>
          <w:tcPr>
            <w:tcW w:w="2787" w:type="dxa"/>
            <w:vAlign w:val="top"/>
          </w:tcPr>
          <w:p>
            <w:pPr>
              <w:pStyle w:val="224"/>
              <w:spacing w:line="360" w:lineRule="auto"/>
              <w:ind w:firstLine="0" w:firstLineChars="0"/>
              <w:rPr>
                <w:rFonts w:hint="eastAsia"/>
                <w:sz w:val="28"/>
              </w:rPr>
            </w:pPr>
            <w:r>
              <w:rPr>
                <w:rFonts w:hint="eastAsia"/>
                <w:sz w:val="28"/>
              </w:rPr>
              <w:t>名称</w:t>
            </w:r>
          </w:p>
        </w:tc>
        <w:tc>
          <w:tcPr>
            <w:tcW w:w="5763" w:type="dxa"/>
            <w:gridSpan w:val="6"/>
            <w:vAlign w:val="top"/>
          </w:tcPr>
          <w:p>
            <w:pPr>
              <w:pStyle w:val="224"/>
              <w:spacing w:line="360" w:lineRule="auto"/>
              <w:ind w:firstLine="1120" w:firstLineChars="400"/>
              <w:rPr>
                <w:rFonts w:hint="eastAsia"/>
                <w:sz w:val="28"/>
              </w:rPr>
            </w:pPr>
            <w:r>
              <w:rPr>
                <w:rFonts w:hint="eastAsia"/>
                <w:sz w:val="28"/>
              </w:rPr>
              <w:t>具体分项由投标人提供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一</w:t>
            </w:r>
          </w:p>
        </w:tc>
        <w:tc>
          <w:tcPr>
            <w:tcW w:w="2787" w:type="dxa"/>
            <w:vAlign w:val="top"/>
          </w:tcPr>
          <w:p>
            <w:pPr>
              <w:pStyle w:val="224"/>
              <w:spacing w:line="360" w:lineRule="auto"/>
              <w:ind w:firstLine="0" w:firstLineChars="0"/>
              <w:rPr>
                <w:rFonts w:hint="eastAsia"/>
                <w:sz w:val="28"/>
              </w:rPr>
            </w:pPr>
          </w:p>
        </w:tc>
        <w:tc>
          <w:tcPr>
            <w:tcW w:w="756" w:type="dxa"/>
            <w:vAlign w:val="top"/>
          </w:tcPr>
          <w:p>
            <w:pPr>
              <w:pStyle w:val="224"/>
              <w:spacing w:line="360" w:lineRule="auto"/>
              <w:ind w:firstLine="0" w:firstLineChars="0"/>
              <w:rPr>
                <w:rFonts w:hint="eastAsia"/>
                <w:sz w:val="28"/>
              </w:rPr>
            </w:pPr>
          </w:p>
        </w:tc>
        <w:tc>
          <w:tcPr>
            <w:tcW w:w="1134" w:type="dxa"/>
            <w:vAlign w:val="top"/>
          </w:tcPr>
          <w:p>
            <w:pPr>
              <w:pStyle w:val="224"/>
              <w:spacing w:line="360" w:lineRule="auto"/>
              <w:ind w:firstLine="0" w:firstLineChars="0"/>
              <w:rPr>
                <w:rFonts w:hint="eastAsia"/>
                <w:sz w:val="28"/>
              </w:rPr>
            </w:pPr>
          </w:p>
        </w:tc>
        <w:tc>
          <w:tcPr>
            <w:tcW w:w="993"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1080" w:type="dxa"/>
            <w:vAlign w:val="top"/>
          </w:tcPr>
          <w:p>
            <w:pPr>
              <w:pStyle w:val="224"/>
              <w:spacing w:line="360" w:lineRule="auto"/>
              <w:ind w:firstLine="0" w:firstLineChars="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86" w:type="dxa"/>
            <w:vAlign w:val="top"/>
          </w:tcPr>
          <w:p>
            <w:pPr>
              <w:pStyle w:val="224"/>
              <w:spacing w:line="360" w:lineRule="auto"/>
              <w:ind w:firstLine="0" w:firstLineChars="0"/>
              <w:rPr>
                <w:rFonts w:hint="eastAsia"/>
                <w:sz w:val="28"/>
              </w:rPr>
            </w:pPr>
            <w:r>
              <w:rPr>
                <w:rFonts w:hint="eastAsia"/>
                <w:sz w:val="28"/>
              </w:rPr>
              <w:t>1</w:t>
            </w:r>
          </w:p>
        </w:tc>
        <w:tc>
          <w:tcPr>
            <w:tcW w:w="2787" w:type="dxa"/>
            <w:vAlign w:val="top"/>
          </w:tcPr>
          <w:p>
            <w:pPr>
              <w:pStyle w:val="224"/>
              <w:spacing w:line="360" w:lineRule="auto"/>
              <w:ind w:firstLine="0" w:firstLineChars="0"/>
              <w:rPr>
                <w:rFonts w:hint="eastAsia"/>
                <w:sz w:val="28"/>
              </w:rPr>
            </w:pPr>
          </w:p>
        </w:tc>
        <w:tc>
          <w:tcPr>
            <w:tcW w:w="756" w:type="dxa"/>
            <w:vAlign w:val="top"/>
          </w:tcPr>
          <w:p>
            <w:pPr>
              <w:pStyle w:val="224"/>
              <w:spacing w:line="360" w:lineRule="auto"/>
              <w:ind w:firstLine="0" w:firstLineChars="0"/>
              <w:rPr>
                <w:rFonts w:hint="eastAsia"/>
                <w:sz w:val="28"/>
              </w:rPr>
            </w:pPr>
          </w:p>
        </w:tc>
        <w:tc>
          <w:tcPr>
            <w:tcW w:w="1134" w:type="dxa"/>
            <w:vAlign w:val="top"/>
          </w:tcPr>
          <w:p>
            <w:pPr>
              <w:pStyle w:val="224"/>
              <w:spacing w:line="360" w:lineRule="auto"/>
              <w:ind w:firstLine="0" w:firstLineChars="0"/>
              <w:rPr>
                <w:rFonts w:hint="eastAsia"/>
                <w:sz w:val="28"/>
              </w:rPr>
            </w:pPr>
          </w:p>
        </w:tc>
        <w:tc>
          <w:tcPr>
            <w:tcW w:w="993"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1080" w:type="dxa"/>
            <w:vAlign w:val="top"/>
          </w:tcPr>
          <w:p>
            <w:pPr>
              <w:pStyle w:val="224"/>
              <w:spacing w:line="360" w:lineRule="auto"/>
              <w:ind w:firstLine="0" w:firstLineChars="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w:t>
            </w:r>
          </w:p>
        </w:tc>
        <w:tc>
          <w:tcPr>
            <w:tcW w:w="2787" w:type="dxa"/>
            <w:vAlign w:val="top"/>
          </w:tcPr>
          <w:p>
            <w:pPr>
              <w:pStyle w:val="224"/>
              <w:spacing w:line="360" w:lineRule="auto"/>
              <w:ind w:firstLine="0" w:firstLineChars="0"/>
              <w:rPr>
                <w:rFonts w:hint="eastAsia"/>
                <w:sz w:val="28"/>
              </w:rPr>
            </w:pPr>
          </w:p>
        </w:tc>
        <w:tc>
          <w:tcPr>
            <w:tcW w:w="756" w:type="dxa"/>
            <w:vAlign w:val="top"/>
          </w:tcPr>
          <w:p>
            <w:pPr>
              <w:pStyle w:val="224"/>
              <w:spacing w:line="360" w:lineRule="auto"/>
              <w:ind w:firstLine="0" w:firstLineChars="0"/>
              <w:rPr>
                <w:rFonts w:hint="eastAsia"/>
                <w:sz w:val="28"/>
              </w:rPr>
            </w:pPr>
          </w:p>
        </w:tc>
        <w:tc>
          <w:tcPr>
            <w:tcW w:w="1134" w:type="dxa"/>
            <w:vAlign w:val="top"/>
          </w:tcPr>
          <w:p>
            <w:pPr>
              <w:pStyle w:val="224"/>
              <w:spacing w:line="360" w:lineRule="auto"/>
              <w:ind w:firstLine="0" w:firstLineChars="0"/>
              <w:rPr>
                <w:rFonts w:hint="eastAsia"/>
                <w:sz w:val="28"/>
              </w:rPr>
            </w:pPr>
          </w:p>
        </w:tc>
        <w:tc>
          <w:tcPr>
            <w:tcW w:w="993"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900" w:type="dxa"/>
            <w:vAlign w:val="top"/>
          </w:tcPr>
          <w:p>
            <w:pPr>
              <w:pStyle w:val="224"/>
              <w:spacing w:line="360" w:lineRule="auto"/>
              <w:ind w:firstLine="0" w:firstLineChars="0"/>
              <w:rPr>
                <w:rFonts w:hint="eastAsia"/>
                <w:sz w:val="28"/>
              </w:rPr>
            </w:pPr>
          </w:p>
        </w:tc>
        <w:tc>
          <w:tcPr>
            <w:tcW w:w="1080" w:type="dxa"/>
            <w:vAlign w:val="top"/>
          </w:tcPr>
          <w:p>
            <w:pPr>
              <w:pStyle w:val="224"/>
              <w:spacing w:line="360" w:lineRule="auto"/>
              <w:ind w:firstLine="0" w:firstLineChars="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二</w:t>
            </w:r>
          </w:p>
        </w:tc>
        <w:tc>
          <w:tcPr>
            <w:tcW w:w="2787" w:type="dxa"/>
            <w:vAlign w:val="top"/>
          </w:tcPr>
          <w:p>
            <w:pPr>
              <w:pStyle w:val="224"/>
              <w:spacing w:line="360" w:lineRule="auto"/>
              <w:ind w:firstLine="0" w:firstLineChars="0"/>
              <w:rPr>
                <w:rFonts w:hint="eastAsia"/>
                <w:sz w:val="28"/>
              </w:rPr>
            </w:pPr>
            <w:r>
              <w:rPr>
                <w:rFonts w:hint="eastAsia"/>
                <w:sz w:val="28"/>
              </w:rPr>
              <w:t>系统集成费用</w:t>
            </w:r>
          </w:p>
        </w:tc>
        <w:tc>
          <w:tcPr>
            <w:tcW w:w="5763" w:type="dxa"/>
            <w:gridSpan w:val="6"/>
            <w:vAlign w:val="top"/>
          </w:tcPr>
          <w:p>
            <w:pPr>
              <w:pStyle w:val="224"/>
              <w:spacing w:line="360" w:lineRule="auto"/>
              <w:ind w:firstLine="0" w:firstLineChars="0"/>
              <w:rPr>
                <w:rFonts w:hint="eastAsia"/>
                <w:sz w:val="28"/>
              </w:rPr>
            </w:pPr>
            <w:r>
              <w:rPr>
                <w:rFonts w:hint="eastAsia"/>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四</w:t>
            </w:r>
          </w:p>
        </w:tc>
        <w:tc>
          <w:tcPr>
            <w:tcW w:w="2787" w:type="dxa"/>
            <w:vAlign w:val="top"/>
          </w:tcPr>
          <w:p>
            <w:pPr>
              <w:pStyle w:val="224"/>
              <w:spacing w:line="360" w:lineRule="auto"/>
              <w:ind w:firstLine="0" w:firstLineChars="0"/>
              <w:rPr>
                <w:rFonts w:hint="eastAsia"/>
                <w:sz w:val="28"/>
              </w:rPr>
            </w:pPr>
            <w:r>
              <w:rPr>
                <w:rFonts w:hint="eastAsia"/>
                <w:sz w:val="28"/>
              </w:rPr>
              <w:t>培训</w:t>
            </w:r>
          </w:p>
        </w:tc>
        <w:tc>
          <w:tcPr>
            <w:tcW w:w="5763" w:type="dxa"/>
            <w:gridSpan w:val="6"/>
            <w:vAlign w:val="top"/>
          </w:tcPr>
          <w:p>
            <w:pPr>
              <w:pStyle w:val="224"/>
              <w:spacing w:line="360" w:lineRule="auto"/>
              <w:ind w:firstLine="0" w:firstLineChars="0"/>
              <w:rPr>
                <w:rFonts w:hint="eastAsia"/>
                <w:sz w:val="28"/>
              </w:rPr>
            </w:pPr>
            <w:r>
              <w:rPr>
                <w:rFonts w:hint="eastAsia"/>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五</w:t>
            </w:r>
          </w:p>
        </w:tc>
        <w:tc>
          <w:tcPr>
            <w:tcW w:w="2787" w:type="dxa"/>
            <w:vAlign w:val="top"/>
          </w:tcPr>
          <w:p>
            <w:pPr>
              <w:pStyle w:val="224"/>
              <w:spacing w:line="360" w:lineRule="auto"/>
              <w:ind w:firstLine="0" w:firstLineChars="0"/>
              <w:rPr>
                <w:rFonts w:hint="eastAsia"/>
                <w:sz w:val="28"/>
              </w:rPr>
            </w:pPr>
            <w:r>
              <w:rPr>
                <w:rFonts w:hint="eastAsia"/>
                <w:sz w:val="28"/>
              </w:rPr>
              <w:t>项目工期</w:t>
            </w:r>
          </w:p>
        </w:tc>
        <w:tc>
          <w:tcPr>
            <w:tcW w:w="5763" w:type="dxa"/>
            <w:gridSpan w:val="6"/>
            <w:vAlign w:val="top"/>
          </w:tcPr>
          <w:p>
            <w:pPr>
              <w:pStyle w:val="224"/>
              <w:spacing w:line="360" w:lineRule="auto"/>
              <w:ind w:firstLine="0" w:firstLineChars="0"/>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vAlign w:val="top"/>
          </w:tcPr>
          <w:p>
            <w:pPr>
              <w:pStyle w:val="224"/>
              <w:spacing w:line="360" w:lineRule="auto"/>
              <w:ind w:firstLine="0" w:firstLineChars="0"/>
              <w:rPr>
                <w:rFonts w:hint="eastAsia"/>
                <w:sz w:val="28"/>
              </w:rPr>
            </w:pPr>
            <w:r>
              <w:rPr>
                <w:rFonts w:hint="eastAsia"/>
                <w:sz w:val="28"/>
              </w:rPr>
              <w:t>六</w:t>
            </w:r>
          </w:p>
        </w:tc>
        <w:tc>
          <w:tcPr>
            <w:tcW w:w="2787" w:type="dxa"/>
            <w:vAlign w:val="top"/>
          </w:tcPr>
          <w:p>
            <w:pPr>
              <w:pStyle w:val="224"/>
              <w:spacing w:line="360" w:lineRule="auto"/>
              <w:ind w:firstLine="0" w:firstLineChars="0"/>
              <w:rPr>
                <w:rFonts w:hint="default" w:eastAsia="仿宋_GB2312"/>
                <w:sz w:val="28"/>
                <w:lang w:val="en-US" w:eastAsia="zh-CN"/>
              </w:rPr>
            </w:pPr>
            <w:r>
              <w:rPr>
                <w:rFonts w:hint="eastAsia"/>
                <w:sz w:val="28"/>
              </w:rPr>
              <w:t>总计</w:t>
            </w:r>
            <w:r>
              <w:rPr>
                <w:rFonts w:hint="eastAsia"/>
                <w:sz w:val="28"/>
                <w:lang w:eastAsia="zh-CN"/>
              </w:rPr>
              <w:t>（</w:t>
            </w:r>
            <w:r>
              <w:rPr>
                <w:rFonts w:hint="eastAsia"/>
                <w:sz w:val="28"/>
                <w:lang w:val="en-US" w:eastAsia="zh-CN"/>
              </w:rPr>
              <w:t>大写）</w:t>
            </w:r>
          </w:p>
        </w:tc>
        <w:tc>
          <w:tcPr>
            <w:tcW w:w="5763" w:type="dxa"/>
            <w:gridSpan w:val="6"/>
            <w:vAlign w:val="top"/>
          </w:tcPr>
          <w:p>
            <w:pPr>
              <w:pStyle w:val="224"/>
              <w:spacing w:line="360" w:lineRule="auto"/>
              <w:ind w:firstLine="0" w:firstLineChars="0"/>
              <w:rPr>
                <w:rFonts w:hint="eastAsia"/>
                <w:sz w:val="28"/>
              </w:rPr>
            </w:pPr>
          </w:p>
        </w:tc>
      </w:tr>
    </w:tbl>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注：报价应包括运输、包装、搬运、安装和售后服务等所有费用。</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投标人（盖章）：</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日期：</w:t>
      </w:r>
    </w:p>
    <w:p>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br w:type="page"/>
      </w:r>
    </w:p>
    <w:p>
      <w:pPr>
        <w:snapToGrid w:val="0"/>
        <w:spacing w:line="400" w:lineRule="exact"/>
        <w:ind w:firstLine="1680"/>
        <w:rPr>
          <w:rFonts w:hAnsi="黑体"/>
          <w:color w:val="000000"/>
        </w:rPr>
      </w:pPr>
      <w:r>
        <w:rPr>
          <w:rFonts w:hint="eastAsia" w:ascii="仿宋_GB2312" w:eastAsia="仿宋_GB2312"/>
          <w:sz w:val="28"/>
          <w:szCs w:val="28"/>
        </w:rPr>
        <w:t xml:space="preserve"> 2 </w:t>
      </w:r>
      <w:r>
        <w:rPr>
          <w:rFonts w:hint="eastAsia" w:ascii="仿宋_GB2312" w:hAnsi="宋体" w:eastAsia="仿宋_GB2312"/>
          <w:color w:val="000000"/>
          <w:sz w:val="28"/>
          <w:szCs w:val="28"/>
        </w:rPr>
        <w:t>投标产品报价明细表</w:t>
      </w:r>
    </w:p>
    <w:p>
      <w:pPr>
        <w:snapToGrid w:val="0"/>
        <w:spacing w:line="360" w:lineRule="exact"/>
        <w:rPr>
          <w:rFonts w:ascii="仿宋_GB2312" w:eastAsia="仿宋_GB2312"/>
          <w:color w:val="000000"/>
          <w:sz w:val="28"/>
          <w:szCs w:val="28"/>
        </w:rPr>
      </w:pPr>
      <w:r>
        <w:rPr>
          <w:rFonts w:hint="eastAsia" w:ascii="仿宋_GB2312" w:eastAsia="仿宋_GB2312"/>
          <w:color w:val="000000"/>
          <w:sz w:val="28"/>
          <w:szCs w:val="28"/>
        </w:rPr>
        <w:t xml:space="preserve">项目名称：                                                          </w:t>
      </w:r>
    </w:p>
    <w:p>
      <w:pPr>
        <w:snapToGrid w:val="0"/>
        <w:jc w:val="left"/>
        <w:rPr>
          <w:rFonts w:ascii="仿宋_GB2312" w:eastAsia="仿宋_GB2312"/>
          <w:color w:val="000000"/>
          <w:sz w:val="28"/>
          <w:szCs w:val="28"/>
        </w:rPr>
      </w:pPr>
      <w:r>
        <w:rPr>
          <w:rFonts w:hint="eastAsia" w:ascii="仿宋_GB2312" w:eastAsia="仿宋_GB2312"/>
          <w:color w:val="000000"/>
          <w:sz w:val="28"/>
          <w:szCs w:val="28"/>
        </w:rPr>
        <w:t>项目编号：                                                                   单位：元</w:t>
      </w:r>
    </w:p>
    <w:tbl>
      <w:tblPr>
        <w:tblStyle w:val="60"/>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line="440" w:lineRule="exact"/>
              <w:jc w:val="center"/>
              <w:rPr>
                <w:rFonts w:ascii="宋体" w:hAnsi="宋体" w:cs="宋体"/>
                <w:b/>
                <w:kern w:val="0"/>
                <w:sz w:val="24"/>
              </w:rPr>
            </w:pPr>
            <w:r>
              <w:rPr>
                <w:rFonts w:hint="eastAsia" w:ascii="宋体" w:hAnsi="宋体" w:cs="宋体"/>
                <w:b/>
                <w:kern w:val="0"/>
                <w:sz w:val="24"/>
              </w:rPr>
              <w:t>序号</w:t>
            </w:r>
          </w:p>
        </w:tc>
        <w:tc>
          <w:tcPr>
            <w:tcW w:w="1296" w:type="dxa"/>
            <w:gridSpan w:val="2"/>
            <w:tcBorders>
              <w:top w:val="single" w:color="000000" w:sz="4" w:space="0"/>
              <w:left w:val="single" w:color="auto" w:sz="4" w:space="0"/>
              <w:bottom w:val="single" w:color="000000" w:sz="4" w:space="0"/>
              <w:right w:val="single" w:color="auto"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品名</w:t>
            </w:r>
          </w:p>
        </w:tc>
        <w:tc>
          <w:tcPr>
            <w:tcW w:w="2292"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品牌、型号、规格等</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单位</w:t>
            </w: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数量</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单价</w:t>
            </w:r>
          </w:p>
        </w:tc>
        <w:tc>
          <w:tcPr>
            <w:tcW w:w="1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line="440" w:lineRule="exac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pPr>
              <w:autoSpaceDE w:val="0"/>
              <w:autoSpaceDN w:val="0"/>
              <w:adjustRightInd w:val="0"/>
              <w:spacing w:line="440" w:lineRule="exac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line="440" w:lineRule="exact"/>
              <w:rPr>
                <w:rFonts w:ascii="宋体" w:hAnsi="宋体" w:cs="宋体"/>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tcPr>
          <w:p>
            <w:pPr>
              <w:autoSpaceDE w:val="0"/>
              <w:autoSpaceDN w:val="0"/>
              <w:adjustRightInd w:val="0"/>
              <w:spacing w:line="440" w:lineRule="exact"/>
              <w:rPr>
                <w:rFonts w:ascii="宋体" w:hAnsi="宋体" w:cs="宋体"/>
                <w:kern w:val="0"/>
                <w:sz w:val="24"/>
              </w:rPr>
            </w:pPr>
          </w:p>
        </w:tc>
        <w:tc>
          <w:tcPr>
            <w:tcW w:w="2292"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c>
          <w:tcPr>
            <w:tcW w:w="1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8" w:type="dxa"/>
            <w:gridSpan w:val="7"/>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安装调试费、税收及其它费用</w:t>
            </w:r>
          </w:p>
        </w:tc>
        <w:tc>
          <w:tcPr>
            <w:tcW w:w="1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b/>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tcPr>
          <w:p>
            <w:pPr>
              <w:autoSpaceDE w:val="0"/>
              <w:autoSpaceDN w:val="0"/>
              <w:adjustRightInd w:val="0"/>
              <w:spacing w:line="440" w:lineRule="exac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tc>
      </w:tr>
    </w:tbl>
    <w:p>
      <w:pPr>
        <w:snapToGrid w:val="0"/>
        <w:spacing w:line="440" w:lineRule="exact"/>
        <w:rPr>
          <w:rFonts w:ascii="仿宋_GB2312" w:eastAsia="仿宋_GB2312"/>
          <w:color w:val="000000"/>
          <w:sz w:val="28"/>
          <w:szCs w:val="28"/>
        </w:rPr>
      </w:pPr>
      <w:r>
        <w:rPr>
          <w:rFonts w:hint="eastAsia" w:ascii="仿宋_GB2312" w:eastAsia="仿宋_GB2312"/>
          <w:color w:val="000000"/>
          <w:sz w:val="28"/>
          <w:szCs w:val="28"/>
        </w:rPr>
        <w:t>注：1、按采购需求逐项列出所需的各种费用。</w:t>
      </w:r>
    </w:p>
    <w:p>
      <w:pPr>
        <w:numPr>
          <w:ilvl w:val="0"/>
          <w:numId w:val="24"/>
        </w:num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以上表格中各项可进一步细分，栏数不够可自加。</w:t>
      </w:r>
    </w:p>
    <w:p>
      <w:pPr>
        <w:numPr>
          <w:ilvl w:val="0"/>
          <w:numId w:val="24"/>
        </w:numPr>
        <w:snapToGri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报价明细表中合计总价应与开标一览表中的相应报价相一致，不一致时，以开标一览表报价为准。</w:t>
      </w:r>
    </w:p>
    <w:p>
      <w:pPr>
        <w:snapToGrid w:val="0"/>
        <w:spacing w:line="440" w:lineRule="exact"/>
        <w:rPr>
          <w:rFonts w:ascii="仿宋_GB2312" w:eastAsia="仿宋_GB2312"/>
          <w:color w:val="000000"/>
          <w:sz w:val="28"/>
          <w:szCs w:val="28"/>
        </w:rPr>
      </w:pPr>
      <w:r>
        <w:rPr>
          <w:rFonts w:hint="eastAsia" w:ascii="仿宋_GB2312" w:eastAsia="仿宋_GB2312"/>
          <w:color w:val="000000"/>
          <w:sz w:val="28"/>
          <w:szCs w:val="28"/>
        </w:rPr>
        <w:t>投标人（盖章）：</w:t>
      </w:r>
    </w:p>
    <w:p>
      <w:pPr>
        <w:snapToGrid w:val="0"/>
        <w:spacing w:line="440" w:lineRule="exact"/>
        <w:rPr>
          <w:rFonts w:ascii="仿宋_GB2312" w:eastAsia="仿宋_GB2312"/>
          <w:color w:val="000000"/>
          <w:sz w:val="28"/>
          <w:szCs w:val="28"/>
        </w:rPr>
      </w:pPr>
      <w:bookmarkStart w:id="70" w:name="_Toc29262862"/>
      <w:bookmarkStart w:id="71" w:name="_Toc29262180"/>
      <w:r>
        <w:rPr>
          <w:rFonts w:hint="eastAsia" w:ascii="仿宋_GB2312" w:eastAsia="仿宋_GB2312"/>
          <w:color w:val="000000"/>
          <w:sz w:val="28"/>
          <w:szCs w:val="28"/>
        </w:rPr>
        <w:t xml:space="preserve">                                   </w:t>
      </w:r>
    </w:p>
    <w:bookmarkEnd w:id="70"/>
    <w:bookmarkEnd w:id="71"/>
    <w:p>
      <w:pPr>
        <w:snapToGrid w:val="0"/>
        <w:spacing w:line="440" w:lineRule="exact"/>
        <w:rPr>
          <w:rFonts w:ascii="仿宋_GB2312" w:eastAsia="仿宋_GB2312"/>
          <w:color w:val="000000"/>
          <w:sz w:val="28"/>
          <w:szCs w:val="28"/>
        </w:rPr>
      </w:pPr>
      <w:r>
        <w:rPr>
          <w:rFonts w:hint="eastAsia" w:ascii="仿宋_GB2312" w:eastAsia="仿宋_GB2312"/>
          <w:color w:val="000000"/>
          <w:sz w:val="28"/>
          <w:szCs w:val="28"/>
        </w:rPr>
        <w:t xml:space="preserve">日期： </w:t>
      </w: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rPr>
          <w:rFonts w:ascii="仿宋_GB2312" w:eastAsia="仿宋_GB2312"/>
          <w:sz w:val="28"/>
          <w:szCs w:val="28"/>
        </w:rPr>
      </w:pPr>
      <w:r>
        <w:rPr>
          <w:rFonts w:ascii="仿宋_GB2312" w:eastAsia="仿宋_GB2312"/>
          <w:sz w:val="28"/>
          <w:szCs w:val="28"/>
        </w:rPr>
        <w:br w:type="page"/>
      </w:r>
    </w:p>
    <w:p>
      <w:pPr>
        <w:pStyle w:val="288"/>
        <w:jc w:val="center"/>
        <w:rPr>
          <w:rFonts w:ascii="仿宋_GB2312" w:eastAsia="仿宋_GB2312"/>
          <w:sz w:val="28"/>
          <w:szCs w:val="28"/>
        </w:rPr>
      </w:pPr>
    </w:p>
    <w:p>
      <w:pPr>
        <w:spacing w:after="240" w:afterLines="100" w:line="600" w:lineRule="exact"/>
        <w:jc w:val="center"/>
        <w:rPr>
          <w:rFonts w:ascii="仿宋_GB2312" w:eastAsia="仿宋_GB2312"/>
          <w:sz w:val="28"/>
          <w:szCs w:val="28"/>
        </w:rPr>
      </w:pPr>
      <w:r>
        <w:rPr>
          <w:rFonts w:hint="eastAsia" w:ascii="仿宋_GB2312" w:eastAsia="仿宋_GB2312"/>
          <w:sz w:val="28"/>
          <w:szCs w:val="28"/>
        </w:rPr>
        <w:t>3、中小企业声明函</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本公司郑重声明，根据《政府采购促进中小企业发展暂行办法》（财库[2011]181号）的规定，本公司为</w:t>
      </w:r>
      <w:bookmarkStart w:id="72" w:name="OLE_LINK2"/>
      <w:bookmarkStart w:id="73" w:name="OLE_LINK5"/>
      <w:r>
        <w:rPr>
          <w:rFonts w:hint="eastAsia" w:ascii="仿宋_GB2312" w:eastAsia="仿宋_GB2312"/>
          <w:spacing w:val="6"/>
          <w:sz w:val="28"/>
          <w:szCs w:val="28"/>
        </w:rPr>
        <w:t>___________ （请填写：中型、小型、微型）企业</w:t>
      </w:r>
      <w:bookmarkEnd w:id="72"/>
      <w:bookmarkEnd w:id="73"/>
      <w:r>
        <w:rPr>
          <w:rFonts w:hint="eastAsia" w:ascii="仿宋_GB2312" w:eastAsia="仿宋_GB2312"/>
          <w:spacing w:val="6"/>
          <w:sz w:val="28"/>
          <w:szCs w:val="28"/>
        </w:rPr>
        <w:t>。即，本公司同时满足以下条件：</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本公司对上述声明的真实性负责。如有虚假，将依法承担相应责任。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pStyle w:val="32"/>
        <w:spacing w:line="560" w:lineRule="exact"/>
        <w:jc w:val="center"/>
        <w:rPr>
          <w:rFonts w:ascii="仿宋_GB2312" w:eastAsia="仿宋_GB2312"/>
          <w:sz w:val="28"/>
          <w:szCs w:val="28"/>
        </w:rPr>
      </w:pPr>
      <w:r>
        <w:rPr>
          <w:rFonts w:hint="eastAsia" w:ascii="仿宋_GB2312" w:eastAsia="仿宋_GB2312"/>
          <w:spacing w:val="6"/>
          <w:sz w:val="28"/>
          <w:szCs w:val="28"/>
        </w:rPr>
        <w:t xml:space="preserve">       日  期：              </w:t>
      </w:r>
    </w:p>
    <w:p>
      <w:pPr>
        <w:pStyle w:val="32"/>
        <w:jc w:val="center"/>
        <w:rPr>
          <w:rFonts w:ascii="仿宋_GB2312" w:eastAsia="仿宋_GB2312"/>
          <w:sz w:val="28"/>
          <w:szCs w:val="28"/>
        </w:rPr>
      </w:pPr>
    </w:p>
    <w:p>
      <w:pPr>
        <w:pStyle w:val="224"/>
        <w:spacing w:line="540" w:lineRule="exact"/>
        <w:ind w:firstLine="0" w:firstLineChars="0"/>
        <w:rPr>
          <w:b/>
          <w:bCs/>
          <w:sz w:val="28"/>
        </w:rPr>
      </w:pPr>
      <w:r>
        <w:rPr>
          <w:rFonts w:hint="eastAsia"/>
          <w:b/>
          <w:bCs/>
          <w:sz w:val="28"/>
        </w:rPr>
        <w:t>注：1.本函为小微企业提供。</w:t>
      </w:r>
    </w:p>
    <w:p>
      <w:pPr>
        <w:pStyle w:val="224"/>
        <w:spacing w:line="540" w:lineRule="exact"/>
        <w:ind w:firstLine="0" w:firstLineChars="0"/>
        <w:rPr>
          <w:b/>
          <w:bCs/>
          <w:sz w:val="28"/>
        </w:rPr>
      </w:pPr>
    </w:p>
    <w:p>
      <w:pPr>
        <w:pStyle w:val="224"/>
        <w:spacing w:line="540" w:lineRule="exact"/>
        <w:ind w:firstLine="0" w:firstLineChars="0"/>
        <w:rPr>
          <w:b/>
          <w:bCs/>
          <w:sz w:val="28"/>
        </w:rPr>
      </w:pPr>
    </w:p>
    <w:p>
      <w:pPr>
        <w:rPr>
          <w:rFonts w:ascii="仿宋_GB2312" w:eastAsia="仿宋_GB2312"/>
          <w:b/>
          <w:spacing w:val="6"/>
          <w:sz w:val="32"/>
          <w:szCs w:val="32"/>
        </w:rPr>
      </w:pPr>
      <w:r>
        <w:rPr>
          <w:rFonts w:ascii="仿宋_GB2312" w:eastAsia="仿宋_GB2312"/>
          <w:b/>
          <w:spacing w:val="6"/>
          <w:sz w:val="32"/>
          <w:szCs w:val="32"/>
        </w:rPr>
        <w:br w:type="page"/>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4</w:t>
      </w:r>
      <w:r>
        <w:rPr>
          <w:rFonts w:hint="eastAsia" w:ascii="仿宋_GB2312" w:eastAsia="仿宋_GB2312"/>
          <w:b/>
          <w:spacing w:val="6"/>
          <w:sz w:val="32"/>
          <w:szCs w:val="32"/>
        </w:rPr>
        <w:t>、监狱和戒毒企业证明材料</w:t>
      </w:r>
    </w:p>
    <w:p>
      <w:pPr>
        <w:pStyle w:val="288"/>
        <w:jc w:val="center"/>
        <w:rPr>
          <w:rFonts w:ascii="仿宋_GB2312" w:hAnsi="宋体" w:eastAsia="仿宋_GB2312"/>
          <w:b/>
          <w:sz w:val="28"/>
          <w:szCs w:val="28"/>
          <w:lang w:val="en-GB"/>
        </w:rPr>
      </w:pP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hint="eastAsia" w:ascii="仿宋_GB2312" w:eastAsia="仿宋_GB2312"/>
          <w:spacing w:val="6"/>
          <w:sz w:val="28"/>
          <w:szCs w:val="28"/>
        </w:rPr>
      </w:pPr>
    </w:p>
    <w:p>
      <w:pPr>
        <w:spacing w:line="560" w:lineRule="exact"/>
        <w:ind w:firstLine="584" w:firstLineChars="200"/>
        <w:rPr>
          <w:rFonts w:hint="eastAsia" w:ascii="仿宋_GB2312" w:eastAsia="仿宋_GB2312"/>
          <w:spacing w:val="6"/>
          <w:sz w:val="28"/>
          <w:szCs w:val="28"/>
        </w:rPr>
      </w:pPr>
    </w:p>
    <w:p>
      <w:pPr>
        <w:tabs>
          <w:tab w:val="left" w:pos="4860"/>
        </w:tabs>
        <w:spacing w:line="560" w:lineRule="exact"/>
        <w:ind w:right="1560" w:firstLine="584" w:firstLineChars="200"/>
        <w:jc w:val="center"/>
        <w:rPr>
          <w:rFonts w:hint="eastAsia"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eastAsia="仿宋_GB2312"/>
          <w:spacing w:val="6"/>
          <w:sz w:val="28"/>
          <w:szCs w:val="28"/>
        </w:rPr>
        <w:t xml:space="preserve">                      日  期：</w:t>
      </w:r>
    </w:p>
    <w:p>
      <w:pPr>
        <w:pStyle w:val="288"/>
        <w:jc w:val="center"/>
        <w:rPr>
          <w:rFonts w:ascii="仿宋_GB2312" w:hAnsi="宋体" w:eastAsia="仿宋_GB2312"/>
          <w:b/>
          <w:sz w:val="28"/>
          <w:szCs w:val="28"/>
          <w:lang w:val="en-GB"/>
        </w:rPr>
      </w:pPr>
      <w:r>
        <w:rPr>
          <w:rFonts w:hint="eastAsia" w:ascii="仿宋_GB2312" w:eastAsia="仿宋_GB2312"/>
          <w:b/>
          <w:spacing w:val="6"/>
          <w:sz w:val="32"/>
          <w:szCs w:val="32"/>
          <w:lang w:val="en-US" w:eastAsia="zh-CN"/>
        </w:rPr>
        <w:t>5</w:t>
      </w:r>
      <w:r>
        <w:rPr>
          <w:rFonts w:hint="eastAsia" w:ascii="仿宋_GB2312" w:eastAsia="仿宋_GB2312"/>
          <w:b/>
          <w:spacing w:val="6"/>
          <w:sz w:val="32"/>
          <w:szCs w:val="32"/>
        </w:rPr>
        <w:t>、</w:t>
      </w:r>
      <w:r>
        <w:rPr>
          <w:rFonts w:hint="eastAsia" w:ascii="仿宋_GB2312" w:hAnsi="宋体" w:eastAsia="仿宋_GB2312"/>
          <w:b/>
          <w:sz w:val="28"/>
          <w:szCs w:val="28"/>
          <w:lang w:val="en-GB"/>
        </w:rPr>
        <w:t>产品适用</w:t>
      </w:r>
      <w:r>
        <w:rPr>
          <w:rFonts w:hint="eastAsia" w:ascii="仿宋_GB2312" w:eastAsia="仿宋_GB2312"/>
          <w:b/>
          <w:sz w:val="28"/>
          <w:szCs w:val="28"/>
        </w:rPr>
        <w:t>监狱和戒毒企业</w:t>
      </w:r>
      <w:r>
        <w:rPr>
          <w:rFonts w:hint="eastAsia" w:ascii="仿宋_GB2312" w:hAnsi="宋体" w:eastAsia="仿宋_GB2312"/>
          <w:b/>
          <w:sz w:val="28"/>
          <w:szCs w:val="28"/>
          <w:lang w:val="en-GB"/>
        </w:rPr>
        <w:t>政策情况表</w:t>
      </w:r>
    </w:p>
    <w:p>
      <w:pPr>
        <w:pStyle w:val="288"/>
        <w:jc w:val="center"/>
        <w:rPr>
          <w:rFonts w:ascii="仿宋_GB2312" w:hAnsi="宋体" w:eastAsia="仿宋_GB2312"/>
          <w:b/>
          <w:sz w:val="28"/>
          <w:szCs w:val="28"/>
          <w:lang w:val="en-GB"/>
        </w:rPr>
      </w:pPr>
    </w:p>
    <w:tbl>
      <w:tblPr>
        <w:tblStyle w:val="60"/>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vAlign w:val="center"/>
          </w:tcPr>
          <w:p>
            <w:pPr>
              <w:pStyle w:val="288"/>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lang w:val="en-GB"/>
              </w:rPr>
              <w:t>扶持政策</w:t>
            </w:r>
          </w:p>
        </w:tc>
        <w:tc>
          <w:tcPr>
            <w:tcW w:w="5576"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6968" w:type="dxa"/>
            <w:gridSpan w:val="2"/>
            <w:vAlign w:val="center"/>
          </w:tcPr>
          <w:p>
            <w:pPr>
              <w:pStyle w:val="288"/>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vAlign w:val="center"/>
          </w:tcPr>
          <w:p>
            <w:pPr>
              <w:pStyle w:val="288"/>
              <w:tabs>
                <w:tab w:val="left" w:pos="1260"/>
              </w:tabs>
              <w:jc w:val="center"/>
              <w:rPr>
                <w:rFonts w:ascii="仿宋_GB2312" w:hAnsi="宋体" w:eastAsia="仿宋_GB2312"/>
                <w:sz w:val="28"/>
                <w:szCs w:val="28"/>
                <w:lang w:val="en-GB"/>
              </w:rPr>
            </w:pPr>
          </w:p>
        </w:tc>
      </w:tr>
    </w:tbl>
    <w:p>
      <w:pPr>
        <w:pStyle w:val="288"/>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88"/>
        <w:widowControl/>
        <w:numPr>
          <w:ilvl w:val="1"/>
          <w:numId w:val="14"/>
        </w:numPr>
        <w:spacing w:line="360" w:lineRule="auto"/>
        <w:ind w:left="-27"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本表的产品名称、规格型号和注册商标、金额要与《报价明细表》一致。</w:t>
      </w:r>
    </w:p>
    <w:p>
      <w:pPr>
        <w:pStyle w:val="288"/>
        <w:widowControl/>
        <w:spacing w:line="360" w:lineRule="auto"/>
        <w:ind w:left="540" w:right="84" w:rightChars="40"/>
        <w:jc w:val="left"/>
        <w:rPr>
          <w:rFonts w:ascii="仿宋_GB2312" w:hAnsi="宋体" w:eastAsia="仿宋_GB2312"/>
          <w:sz w:val="28"/>
          <w:szCs w:val="28"/>
          <w:lang w:val="en-GB"/>
        </w:rPr>
      </w:pPr>
      <w:r>
        <w:rPr>
          <w:rFonts w:hint="eastAsia" w:ascii="仿宋_GB2312" w:eastAsia="仿宋_GB2312"/>
          <w:sz w:val="28"/>
          <w:szCs w:val="28"/>
        </w:rPr>
        <w:t>2.监狱和戒毒企业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pStyle w:val="288"/>
        <w:widowControl/>
        <w:spacing w:line="360" w:lineRule="auto"/>
        <w:ind w:left="540"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3. 本表内容不填写将不能享受商务报价里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spacing w:line="588" w:lineRule="exact"/>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6</w:t>
      </w: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pPr>
        <w:pStyle w:val="224"/>
        <w:spacing w:line="540" w:lineRule="exact"/>
        <w:ind w:firstLine="0" w:firstLineChars="0"/>
        <w:jc w:val="center"/>
        <w:rPr>
          <w:sz w:val="28"/>
        </w:rPr>
      </w:pPr>
      <w:r>
        <w:rPr>
          <w:rFonts w:hint="eastAsia" w:ascii="仿宋" w:hAnsi="仿宋" w:eastAsia="仿宋"/>
          <w:sz w:val="28"/>
        </w:rPr>
        <w:t xml:space="preserve">                                       日  期：</w:t>
      </w: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eastAsia="仿宋_GB2312"/>
          <w:sz w:val="28"/>
          <w:szCs w:val="28"/>
        </w:rPr>
      </w:pPr>
    </w:p>
    <w:p>
      <w:pPr>
        <w:pStyle w:val="288"/>
        <w:jc w:val="center"/>
        <w:rPr>
          <w:rFonts w:ascii="仿宋_GB2312" w:hAnsi="宋体" w:eastAsia="仿宋_GB2312"/>
          <w:b/>
          <w:sz w:val="28"/>
          <w:szCs w:val="28"/>
          <w:lang w:val="en-GB"/>
        </w:rPr>
      </w:pPr>
      <w:r>
        <w:rPr>
          <w:rFonts w:hint="eastAsia" w:ascii="仿宋_GB2312" w:eastAsia="仿宋_GB2312"/>
          <w:sz w:val="28"/>
          <w:szCs w:val="28"/>
          <w:lang w:val="en-US" w:eastAsia="zh-CN"/>
        </w:rPr>
        <w:t>7</w:t>
      </w:r>
      <w:r>
        <w:rPr>
          <w:rFonts w:hint="eastAsia" w:ascii="仿宋_GB2312" w:eastAsia="仿宋_GB2312"/>
          <w:sz w:val="28"/>
          <w:szCs w:val="28"/>
        </w:rPr>
        <w:t>、</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288"/>
        <w:jc w:val="center"/>
        <w:rPr>
          <w:rFonts w:ascii="仿宋_GB2312" w:hAnsi="宋体" w:eastAsia="仿宋_GB2312"/>
          <w:b/>
          <w:sz w:val="28"/>
          <w:szCs w:val="28"/>
          <w:lang w:val="en-GB"/>
        </w:rPr>
      </w:pPr>
    </w:p>
    <w:tbl>
      <w:tblPr>
        <w:tblStyle w:val="60"/>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vAlign w:val="center"/>
          </w:tcPr>
          <w:p>
            <w:pPr>
              <w:pStyle w:val="288"/>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576"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vAlign w:val="center"/>
          </w:tcPr>
          <w:p>
            <w:pPr>
              <w:pStyle w:val="288"/>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5576" w:type="dxa"/>
            <w:vAlign w:val="center"/>
          </w:tcPr>
          <w:p>
            <w:pPr>
              <w:pStyle w:val="288"/>
              <w:tabs>
                <w:tab w:val="left" w:pos="1260"/>
              </w:tabs>
              <w:jc w:val="center"/>
              <w:rPr>
                <w:rFonts w:ascii="仿宋_GB2312" w:hAnsi="宋体" w:eastAsia="仿宋_GB2312"/>
                <w:sz w:val="28"/>
                <w:szCs w:val="28"/>
                <w:lang w:val="en-GB"/>
              </w:rPr>
            </w:pPr>
          </w:p>
        </w:tc>
        <w:tc>
          <w:tcPr>
            <w:tcW w:w="1392" w:type="dxa"/>
          </w:tcPr>
          <w:p>
            <w:pPr>
              <w:pStyle w:val="288"/>
              <w:tabs>
                <w:tab w:val="left" w:pos="1260"/>
              </w:tabs>
              <w:jc w:val="center"/>
              <w:rPr>
                <w:rFonts w:ascii="仿宋_GB2312" w:hAnsi="宋体" w:eastAsia="仿宋_GB2312"/>
                <w:sz w:val="28"/>
                <w:szCs w:val="28"/>
                <w:lang w:val="en-GB"/>
              </w:rPr>
            </w:pPr>
          </w:p>
        </w:tc>
        <w:tc>
          <w:tcPr>
            <w:tcW w:w="1392" w:type="dxa"/>
            <w:vAlign w:val="center"/>
          </w:tcPr>
          <w:p>
            <w:pPr>
              <w:pStyle w:val="288"/>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vAlign w:val="center"/>
          </w:tcPr>
          <w:p>
            <w:pPr>
              <w:pStyle w:val="288"/>
              <w:tabs>
                <w:tab w:val="left" w:pos="1260"/>
              </w:tabs>
              <w:jc w:val="center"/>
              <w:rPr>
                <w:rFonts w:ascii="仿宋_GB2312" w:hAnsi="宋体" w:eastAsia="仿宋_GB2312"/>
                <w:sz w:val="28"/>
                <w:szCs w:val="28"/>
                <w:lang w:val="en-GB"/>
              </w:rPr>
            </w:pPr>
          </w:p>
        </w:tc>
        <w:tc>
          <w:tcPr>
            <w:tcW w:w="6968" w:type="dxa"/>
            <w:gridSpan w:val="2"/>
            <w:vAlign w:val="center"/>
          </w:tcPr>
          <w:p>
            <w:pPr>
              <w:pStyle w:val="288"/>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vAlign w:val="center"/>
          </w:tcPr>
          <w:p>
            <w:pPr>
              <w:pStyle w:val="288"/>
              <w:tabs>
                <w:tab w:val="left" w:pos="1260"/>
              </w:tabs>
              <w:jc w:val="center"/>
              <w:rPr>
                <w:rFonts w:ascii="仿宋_GB2312" w:hAnsi="宋体" w:eastAsia="仿宋_GB2312"/>
                <w:sz w:val="28"/>
                <w:szCs w:val="28"/>
                <w:lang w:val="en-GB"/>
              </w:rPr>
            </w:pPr>
          </w:p>
        </w:tc>
      </w:tr>
    </w:tbl>
    <w:p>
      <w:pPr>
        <w:pStyle w:val="288"/>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88"/>
        <w:widowControl/>
        <w:spacing w:line="360" w:lineRule="auto"/>
        <w:ind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1.本表的产品名称、规格型号和注册商标、金额要与《报价明细表》一致。</w:t>
      </w:r>
    </w:p>
    <w:p>
      <w:pPr>
        <w:pStyle w:val="288"/>
        <w:widowControl/>
        <w:spacing w:line="360" w:lineRule="auto"/>
        <w:ind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pStyle w:val="288"/>
        <w:widowControl/>
        <w:spacing w:line="360" w:lineRule="auto"/>
        <w:ind w:left="360" w:right="84" w:rightChars="40"/>
        <w:jc w:val="left"/>
        <w:rPr>
          <w:rFonts w:ascii="仿宋_GB2312" w:hAnsi="宋体" w:eastAsia="仿宋_GB2312"/>
          <w:sz w:val="28"/>
          <w:szCs w:val="28"/>
          <w:lang w:val="en-GB"/>
        </w:rPr>
      </w:pPr>
    </w:p>
    <w:p>
      <w:pPr>
        <w:snapToGrid w:val="0"/>
        <w:spacing w:line="540" w:lineRule="exact"/>
        <w:rPr>
          <w:rFonts w:ascii="仿宋_GB2312" w:eastAsia="仿宋_GB2312"/>
          <w:sz w:val="28"/>
          <w:szCs w:val="28"/>
          <w:lang w:val="en-GB"/>
        </w:rPr>
        <w:sectPr>
          <w:pgSz w:w="11906" w:h="16838"/>
          <w:pgMar w:top="1389" w:right="1247" w:bottom="1389" w:left="1247" w:header="851" w:footer="992" w:gutter="284"/>
          <w:cols w:space="720" w:num="1"/>
          <w:docGrid w:linePitch="312" w:charSpace="0"/>
        </w:sectPr>
      </w:pPr>
    </w:p>
    <w:p>
      <w:pPr>
        <w:autoSpaceDE w:val="0"/>
        <w:autoSpaceDN w:val="0"/>
        <w:adjustRightInd w:val="0"/>
        <w:spacing w:line="540" w:lineRule="exact"/>
        <w:outlineLvl w:val="0"/>
        <w:rPr>
          <w:rFonts w:ascii="仿宋_GB2312" w:eastAsia="仿宋_GB2312" w:cs="宋体"/>
          <w:b/>
          <w:bCs/>
          <w:sz w:val="36"/>
          <w:szCs w:val="36"/>
          <w:lang w:val="zh-CN"/>
        </w:rPr>
      </w:pPr>
      <w:bookmarkStart w:id="74" w:name="_Toc354401539"/>
      <w:bookmarkStart w:id="75" w:name="_Toc316887628"/>
      <w:bookmarkStart w:id="76" w:name="_Toc350256317"/>
      <w:bookmarkStart w:id="77" w:name="_Toc322352986"/>
    </w:p>
    <w:p>
      <w:pPr>
        <w:autoSpaceDE w:val="0"/>
        <w:autoSpaceDN w:val="0"/>
        <w:adjustRightInd w:val="0"/>
        <w:spacing w:line="540" w:lineRule="exact"/>
        <w:jc w:val="center"/>
        <w:outlineLvl w:val="0"/>
        <w:rPr>
          <w:rFonts w:ascii="仿宋_GB2312" w:eastAsia="仿宋_GB2312"/>
          <w:b/>
          <w:bCs/>
          <w:sz w:val="36"/>
          <w:szCs w:val="36"/>
        </w:rPr>
      </w:pPr>
      <w:bookmarkStart w:id="78" w:name="_Toc21537"/>
      <w:r>
        <w:rPr>
          <w:rFonts w:hint="eastAsia" w:ascii="仿宋_GB2312" w:eastAsia="仿宋_GB2312" w:cs="宋体"/>
          <w:b/>
          <w:bCs/>
          <w:sz w:val="36"/>
          <w:szCs w:val="36"/>
          <w:lang w:val="zh-CN"/>
        </w:rPr>
        <w:t>第六章</w:t>
      </w:r>
      <w:bookmarkStart w:id="79" w:name="评标办法及开标程序"/>
      <w:r>
        <w:rPr>
          <w:rFonts w:hint="eastAsia" w:ascii="仿宋_GB2312" w:eastAsia="仿宋_GB2312" w:cs="宋体"/>
          <w:b/>
          <w:bCs/>
          <w:sz w:val="36"/>
          <w:szCs w:val="36"/>
          <w:lang w:val="zh-CN"/>
        </w:rPr>
        <w:t>评标办法及开标程序</w:t>
      </w:r>
      <w:bookmarkEnd w:id="74"/>
      <w:bookmarkEnd w:id="75"/>
      <w:bookmarkEnd w:id="76"/>
      <w:bookmarkEnd w:id="77"/>
      <w:bookmarkEnd w:id="78"/>
      <w:bookmarkEnd w:id="79"/>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一、评标委员会的组成</w:t>
      </w:r>
    </w:p>
    <w:p>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评标委员会由5人组成，其中采购单位代表1名以及从专家库里随机抽取的专家4名，评标委员会对投标文件进行评审。采购单位代表由采购单位按一比二以上的比例推荐，由采购监管人员在开标前半个工作日随机抽取，并代表采购单位负责对项目评审质量和结果的审查，但不得担任评标委员会负责人。</w:t>
      </w:r>
    </w:p>
    <w:p>
      <w:pPr>
        <w:autoSpaceDE w:val="0"/>
        <w:autoSpaceDN w:val="0"/>
        <w:adjustRightInd w:val="0"/>
        <w:snapToGrid w:val="0"/>
        <w:spacing w:line="540" w:lineRule="exact"/>
        <w:rPr>
          <w:rFonts w:ascii="仿宋_GB2312" w:eastAsia="仿宋_GB2312"/>
          <w:sz w:val="28"/>
          <w:szCs w:val="28"/>
        </w:rPr>
      </w:pP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二、评标原则</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3.投标人得分由技术商务分和报价分合计组成,满分为100分。</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4.技术商务分与报价分合计得分最高者为第一中标候选人，得分次高者为第二中标候选人，总分相同时，价格低者优先，价格也相同时，现场随机抽签确定。</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 评定结果经采购人确定后，衢州市衢江区政府采购中心在中标人确定之日起2个工作日内将以书面形式发出《中标通知书》，并在省级以上人民政府财政部门指定的媒体上公告中标结果。</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三、注意事项</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四、评分标准</w:t>
      </w:r>
    </w:p>
    <w:tbl>
      <w:tblPr>
        <w:tblStyle w:val="60"/>
        <w:tblW w:w="9344" w:type="dxa"/>
        <w:jc w:val="center"/>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387"/>
        <w:gridCol w:w="1276"/>
        <w:gridCol w:w="5634"/>
        <w:gridCol w:w="1047"/>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87" w:type="dxa"/>
            <w:tcBorders>
              <w:top w:val="single" w:color="auto" w:sz="4" w:space="0"/>
              <w:left w:val="single" w:color="auto" w:sz="4" w:space="0"/>
              <w:bottom w:val="single" w:color="auto" w:sz="4" w:space="0"/>
              <w:right w:val="single" w:color="auto" w:sz="4" w:space="0"/>
            </w:tcBorders>
            <w:shd w:val="clear" w:color="auto" w:fill="A6A6A6"/>
            <w:vAlign w:val="center"/>
          </w:tcPr>
          <w:p>
            <w:pPr>
              <w:snapToGrid w:val="0"/>
              <w:spacing w:line="320" w:lineRule="exact"/>
              <w:jc w:val="center"/>
              <w:rPr>
                <w:rFonts w:ascii="仿宋_GB2312" w:eastAsia="仿宋_GB2312"/>
                <w:sz w:val="28"/>
                <w:szCs w:val="28"/>
              </w:rPr>
            </w:pPr>
            <w:r>
              <w:rPr>
                <w:rFonts w:hint="eastAsia" w:ascii="仿宋_GB2312" w:eastAsia="仿宋_GB2312"/>
                <w:sz w:val="28"/>
                <w:szCs w:val="28"/>
              </w:rPr>
              <w:t>评分</w:t>
            </w:r>
          </w:p>
          <w:p>
            <w:pPr>
              <w:autoSpaceDE w:val="0"/>
              <w:autoSpaceDN w:val="0"/>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内容</w:t>
            </w:r>
          </w:p>
        </w:tc>
        <w:tc>
          <w:tcPr>
            <w:tcW w:w="1276"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20" w:lineRule="exact"/>
              <w:ind w:firstLine="140" w:firstLineChars="50"/>
              <w:jc w:val="center"/>
              <w:rPr>
                <w:rFonts w:ascii="仿宋_GB2312" w:eastAsia="仿宋_GB2312"/>
                <w:sz w:val="28"/>
                <w:szCs w:val="28"/>
              </w:rPr>
            </w:pPr>
            <w:r>
              <w:rPr>
                <w:rFonts w:hint="eastAsia" w:ascii="仿宋_GB2312" w:eastAsia="仿宋_GB2312"/>
                <w:sz w:val="28"/>
                <w:szCs w:val="28"/>
              </w:rPr>
              <w:t>细则</w:t>
            </w:r>
          </w:p>
        </w:tc>
        <w:tc>
          <w:tcPr>
            <w:tcW w:w="5634"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400" w:lineRule="exact"/>
              <w:jc w:val="center"/>
              <w:rPr>
                <w:rFonts w:ascii="仿宋_GB2312" w:eastAsia="仿宋_GB2312"/>
                <w:sz w:val="28"/>
                <w:szCs w:val="28"/>
              </w:rPr>
            </w:pPr>
            <w:r>
              <w:rPr>
                <w:rFonts w:hint="eastAsia" w:ascii="仿宋_GB2312" w:eastAsia="仿宋_GB2312"/>
                <w:sz w:val="28"/>
                <w:szCs w:val="28"/>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20" w:lineRule="exact"/>
              <w:ind w:left="-136" w:leftChars="-65" w:right="-164" w:rightChars="-78"/>
              <w:jc w:val="center"/>
              <w:rPr>
                <w:rFonts w:ascii="仿宋_GB2312" w:eastAsia="仿宋_GB2312"/>
                <w:sz w:val="28"/>
                <w:szCs w:val="28"/>
              </w:rPr>
            </w:pPr>
            <w:r>
              <w:rPr>
                <w:rFonts w:hint="eastAsia" w:ascii="仿宋_GB2312" w:eastAsia="仿宋_GB2312"/>
                <w:sz w:val="28"/>
                <w:szCs w:val="28"/>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投标报价</w:t>
            </w:r>
            <w:r>
              <w:rPr>
                <w:rFonts w:hint="eastAsia" w:ascii="仿宋_GB2312" w:eastAsia="仿宋_GB2312"/>
                <w:sz w:val="28"/>
                <w:szCs w:val="28"/>
                <w:lang w:val="en-US" w:eastAsia="zh-CN"/>
              </w:rPr>
              <w:t>40</w:t>
            </w:r>
            <w:r>
              <w:rPr>
                <w:rFonts w:hint="eastAsia" w:ascii="仿宋_GB2312" w:eastAsia="仿宋_GB2312"/>
                <w:sz w:val="28"/>
                <w:szCs w:val="28"/>
              </w:rPr>
              <w:t>分</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报价</w:t>
            </w:r>
          </w:p>
        </w:tc>
        <w:tc>
          <w:tcPr>
            <w:tcW w:w="56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rFonts w:ascii="仿宋_GB2312" w:eastAsia="仿宋_GB2312"/>
                <w:kern w:val="0"/>
                <w:sz w:val="28"/>
                <w:szCs w:val="28"/>
              </w:rPr>
            </w:pPr>
            <w:r>
              <w:rPr>
                <w:rFonts w:hint="eastAsia" w:ascii="仿宋_GB2312" w:eastAsia="仿宋_GB2312"/>
                <w:sz w:val="28"/>
                <w:szCs w:val="28"/>
              </w:rPr>
              <w:t>本项目预算价：人民币</w:t>
            </w:r>
            <w:r>
              <w:rPr>
                <w:rFonts w:hint="eastAsia" w:ascii="仿宋_GB2312" w:eastAsia="仿宋_GB2312"/>
                <w:sz w:val="28"/>
                <w:szCs w:val="28"/>
                <w:lang w:eastAsia="zh-CN"/>
              </w:rPr>
              <w:t>96</w:t>
            </w:r>
            <w:r>
              <w:rPr>
                <w:rFonts w:hint="eastAsia" w:ascii="仿宋_GB2312" w:eastAsia="仿宋_GB2312"/>
                <w:sz w:val="28"/>
                <w:szCs w:val="28"/>
              </w:rPr>
              <w:t>万元，基准价为满足评标要求且投标价格最低的投标报价，投标报价得分=(基准价／投标报价)×</w:t>
            </w:r>
            <w:r>
              <w:rPr>
                <w:rFonts w:hint="eastAsia" w:ascii="仿宋_GB2312" w:eastAsia="仿宋_GB2312"/>
                <w:sz w:val="28"/>
                <w:szCs w:val="28"/>
                <w:lang w:val="en-US" w:eastAsia="zh-CN"/>
              </w:rPr>
              <w:t>4</w:t>
            </w:r>
            <w:r>
              <w:rPr>
                <w:rFonts w:hint="eastAsia" w:ascii="仿宋_GB2312" w:eastAsia="仿宋_GB2312"/>
                <w:sz w:val="28"/>
                <w:szCs w:val="28"/>
              </w:rPr>
              <w:t>0，四舍五入，保留两位小数。报价高于预算价（最高限价）的，为无效投标文件。（</w:t>
            </w:r>
            <w:r>
              <w:rPr>
                <w:rFonts w:hint="eastAsia" w:ascii="仿宋_GB2312" w:hAnsi="宋体" w:eastAsia="仿宋_GB2312"/>
                <w:sz w:val="28"/>
                <w:szCs w:val="28"/>
              </w:rPr>
              <w:t>注：对于小型和微型企业（</w:t>
            </w:r>
            <w:r>
              <w:rPr>
                <w:rFonts w:hint="eastAsia" w:ascii="仿宋_GB2312" w:eastAsia="仿宋_GB2312"/>
                <w:sz w:val="28"/>
                <w:szCs w:val="28"/>
              </w:rPr>
              <w:t>监狱和戒毒企业、</w:t>
            </w:r>
            <w:r>
              <w:rPr>
                <w:rFonts w:hint="eastAsia" w:ascii="仿宋_GB2312" w:eastAsia="仿宋_GB2312"/>
                <w:bCs/>
                <w:sz w:val="28"/>
                <w:szCs w:val="28"/>
              </w:rPr>
              <w:t>残疾人福利性单位</w:t>
            </w:r>
            <w:r>
              <w:rPr>
                <w:rFonts w:hint="eastAsia" w:ascii="仿宋_GB2312" w:hAnsi="宋体" w:eastAsia="仿宋_GB2312"/>
                <w:sz w:val="28"/>
                <w:szCs w:val="28"/>
              </w:rPr>
              <w:t>）的报价给予6%的扣除，用扣除后的价格参与评审。小型和微型企业应提供《中小企业声明函》和国家企业信用信息公示系统——小微企业名录查询记录(提供网站截图复印件)；监狱企业应提供监狱企业证明材料；残疾人福利性单位应提供残疾人福利性单位声明函。</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kern w:val="0"/>
                <w:sz w:val="28"/>
                <w:szCs w:val="28"/>
              </w:rPr>
            </w:pPr>
            <w:r>
              <w:rPr>
                <w:rFonts w:hint="eastAsia" w:ascii="仿宋_GB2312" w:eastAsia="仿宋_GB2312"/>
                <w:kern w:val="0"/>
                <w:sz w:val="28"/>
                <w:szCs w:val="28"/>
              </w:rPr>
              <w:t>0-</w:t>
            </w:r>
            <w:r>
              <w:rPr>
                <w:rFonts w:hint="eastAsia" w:ascii="仿宋_GB2312" w:eastAsia="仿宋_GB2312"/>
                <w:kern w:val="0"/>
                <w:sz w:val="28"/>
                <w:szCs w:val="28"/>
                <w:lang w:val="en-US" w:eastAsia="zh-CN"/>
              </w:rPr>
              <w:t>40</w:t>
            </w:r>
            <w:r>
              <w:rPr>
                <w:rFonts w:hint="eastAsia" w:ascii="仿宋_GB2312" w:eastAsia="仿宋_GB2312"/>
                <w:kern w:val="0"/>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案例5分</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案例</w:t>
            </w:r>
          </w:p>
        </w:tc>
        <w:tc>
          <w:tcPr>
            <w:tcW w:w="56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月以来投标人具有政府采购类项目成功案例。每提供一个得1分，最高得5分。须提供项目合同及中标（成交）通知书扫描件</w:t>
            </w:r>
            <w:r>
              <w:rPr>
                <w:rFonts w:hint="eastAsia" w:ascii="仿宋_GB2312" w:eastAsia="仿宋_GB2312"/>
                <w:sz w:val="28"/>
                <w:szCs w:val="28"/>
                <w:lang w:eastAsia="zh-CN"/>
              </w:rPr>
              <w:t>，</w:t>
            </w:r>
            <w:r>
              <w:rPr>
                <w:rFonts w:hint="eastAsia" w:ascii="仿宋_GB2312" w:eastAsia="仿宋_GB2312"/>
                <w:sz w:val="28"/>
                <w:szCs w:val="28"/>
                <w:lang w:val="en-US" w:eastAsia="zh-CN"/>
              </w:rPr>
              <w:t>否则不得分</w:t>
            </w:r>
            <w:r>
              <w:rPr>
                <w:rFonts w:hint="eastAsia" w:ascii="仿宋_GB2312" w:eastAsia="仿宋_GB2312"/>
                <w:sz w:val="28"/>
                <w:szCs w:val="28"/>
              </w:rPr>
              <w:t>。</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kern w:val="0"/>
                <w:sz w:val="28"/>
                <w:szCs w:val="28"/>
              </w:rPr>
              <w:t>0-</w:t>
            </w:r>
            <w:r>
              <w:rPr>
                <w:rFonts w:hint="eastAsia" w:ascii="仿宋_GB2312" w:eastAsia="仿宋_GB2312"/>
                <w:sz w:val="28"/>
                <w:szCs w:val="28"/>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87" w:type="dxa"/>
            <w:tcBorders>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投标人情况</w:t>
            </w:r>
            <w:r>
              <w:rPr>
                <w:rFonts w:hint="eastAsia" w:ascii="仿宋_GB2312" w:eastAsia="仿宋_GB2312"/>
                <w:sz w:val="28"/>
                <w:szCs w:val="28"/>
                <w:lang w:val="en-US" w:eastAsia="zh-CN"/>
              </w:rPr>
              <w:t>5</w:t>
            </w:r>
            <w:r>
              <w:rPr>
                <w:rFonts w:hint="eastAsia" w:ascii="仿宋_GB2312" w:eastAsia="仿宋_GB2312"/>
                <w:sz w:val="28"/>
                <w:szCs w:val="28"/>
              </w:rPr>
              <w:t>分</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荣誉证书</w:t>
            </w:r>
          </w:p>
        </w:tc>
        <w:tc>
          <w:tcPr>
            <w:tcW w:w="5634"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left"/>
              <w:rPr>
                <w:rFonts w:hint="eastAsia" w:ascii="仿宋_GB2312" w:eastAsia="仿宋_GB2312"/>
                <w:sz w:val="28"/>
                <w:szCs w:val="28"/>
              </w:rPr>
            </w:pPr>
            <w:r>
              <w:rPr>
                <w:rFonts w:hint="eastAsia" w:ascii="仿宋_GB2312" w:eastAsia="仿宋_GB2312"/>
                <w:sz w:val="28"/>
                <w:szCs w:val="28"/>
              </w:rPr>
              <w:t>1、投标人具有涉密信息系统集成乙级及以上资质的，得2分。</w:t>
            </w:r>
          </w:p>
          <w:p>
            <w:pPr>
              <w:autoSpaceDE w:val="0"/>
              <w:autoSpaceDN w:val="0"/>
              <w:adjustRightInd w:val="0"/>
              <w:snapToGrid w:val="0"/>
              <w:spacing w:line="380" w:lineRule="exact"/>
              <w:jc w:val="left"/>
              <w:rPr>
                <w:rFonts w:hint="eastAsia" w:ascii="仿宋_GB2312" w:eastAsia="仿宋_GB2312"/>
                <w:sz w:val="28"/>
                <w:szCs w:val="28"/>
              </w:rPr>
            </w:pPr>
            <w:r>
              <w:rPr>
                <w:rFonts w:hint="eastAsia" w:ascii="仿宋_GB2312" w:eastAsia="仿宋_GB2312"/>
                <w:sz w:val="28"/>
                <w:szCs w:val="28"/>
              </w:rPr>
              <w:t>2、投标人通过ISO9001质量管理体系认证、ISO14001环境管理体系认证的，每个得1分，共2分。</w:t>
            </w:r>
          </w:p>
          <w:p>
            <w:pPr>
              <w:autoSpaceDE w:val="0"/>
              <w:autoSpaceDN w:val="0"/>
              <w:adjustRightInd w:val="0"/>
              <w:snapToGrid w:val="0"/>
              <w:spacing w:line="38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、投标人获得国家级高新技术企业证书的（1分）。</w:t>
            </w:r>
          </w:p>
        </w:tc>
        <w:tc>
          <w:tcPr>
            <w:tcW w:w="1047"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2290" w:hRule="atLeast"/>
          <w:jc w:val="center"/>
        </w:trPr>
        <w:tc>
          <w:tcPr>
            <w:tcW w:w="1387" w:type="dxa"/>
            <w:vMerge w:val="restart"/>
            <w:tcBorders>
              <w:left w:val="single" w:color="auto" w:sz="4" w:space="0"/>
              <w:right w:val="single" w:color="auto" w:sz="4" w:space="0"/>
            </w:tcBorders>
            <w:vAlign w:val="center"/>
          </w:tcPr>
          <w:p>
            <w:pPr>
              <w:widowControl/>
              <w:snapToGrid w:val="0"/>
              <w:spacing w:line="380" w:lineRule="exact"/>
              <w:jc w:val="center"/>
              <w:rPr>
                <w:rFonts w:ascii="仿宋_GB2312" w:eastAsia="仿宋_GB2312"/>
                <w:sz w:val="28"/>
                <w:szCs w:val="28"/>
              </w:rPr>
            </w:pPr>
            <w:r>
              <w:rPr>
                <w:rFonts w:hint="eastAsia" w:ascii="仿宋_GB2312" w:eastAsia="仿宋_GB2312"/>
                <w:sz w:val="28"/>
                <w:szCs w:val="28"/>
              </w:rPr>
              <w:t>技术方案及配置情况</w:t>
            </w:r>
          </w:p>
          <w:p>
            <w:pPr>
              <w:snapToGrid w:val="0"/>
              <w:spacing w:line="380" w:lineRule="exact"/>
              <w:jc w:val="center"/>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0</w:t>
            </w:r>
            <w:r>
              <w:rPr>
                <w:rFonts w:hint="eastAsia" w:ascii="仿宋_GB2312" w:eastAsia="仿宋_GB2312"/>
                <w:sz w:val="28"/>
                <w:szCs w:val="28"/>
              </w:rPr>
              <w:t>分</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hint="default" w:ascii="仿宋_GB2312" w:eastAsia="仿宋_GB2312"/>
                <w:sz w:val="28"/>
                <w:szCs w:val="28"/>
                <w:lang w:val="en-US" w:eastAsia="zh-CN"/>
              </w:rPr>
            </w:pPr>
            <w:r>
              <w:rPr>
                <w:rFonts w:hint="eastAsia" w:ascii="仿宋_GB2312" w:eastAsia="仿宋_GB2312"/>
                <w:sz w:val="28"/>
                <w:szCs w:val="28"/>
              </w:rPr>
              <w:t>项目总体设计方案</w:t>
            </w:r>
          </w:p>
        </w:tc>
        <w:tc>
          <w:tcPr>
            <w:tcW w:w="5634"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left"/>
              <w:rPr>
                <w:rFonts w:hint="default" w:ascii="仿宋_GB2312" w:eastAsia="仿宋_GB2312"/>
                <w:sz w:val="28"/>
                <w:szCs w:val="28"/>
                <w:lang w:val="en-US" w:eastAsia="zh-CN"/>
              </w:rPr>
            </w:pPr>
            <w:r>
              <w:rPr>
                <w:rFonts w:hint="eastAsia" w:ascii="仿宋_GB2312" w:eastAsia="仿宋_GB2312" w:cs="Times New Roman"/>
                <w:sz w:val="28"/>
                <w:szCs w:val="28"/>
              </w:rPr>
              <w:t>根据各投标供应商提供针对本项目的项目总体设计方案（主要因素:1.软件实现功能及软硬件结合实现的功能整体思路，2.硬件设备配置合理符合实际需求等）贴合项目实际的得</w:t>
            </w:r>
            <w:r>
              <w:rPr>
                <w:rFonts w:hint="eastAsia" w:ascii="仿宋_GB2312" w:eastAsia="仿宋_GB2312" w:cs="Times New Roman"/>
                <w:sz w:val="28"/>
                <w:szCs w:val="28"/>
                <w:lang w:val="en-US" w:eastAsia="zh-CN"/>
              </w:rPr>
              <w:t>4</w:t>
            </w:r>
            <w:r>
              <w:rPr>
                <w:rFonts w:hint="eastAsia" w:ascii="仿宋_GB2312" w:eastAsia="仿宋_GB2312" w:cs="Times New Roman"/>
                <w:sz w:val="28"/>
                <w:szCs w:val="28"/>
              </w:rPr>
              <w:t>-</w:t>
            </w:r>
            <w:r>
              <w:rPr>
                <w:rFonts w:hint="eastAsia" w:ascii="仿宋_GB2312" w:eastAsia="仿宋_GB2312" w:cs="Times New Roman"/>
                <w:sz w:val="28"/>
                <w:szCs w:val="28"/>
                <w:lang w:val="en-US" w:eastAsia="zh-CN"/>
              </w:rPr>
              <w:t>5</w:t>
            </w:r>
            <w:r>
              <w:rPr>
                <w:rFonts w:hint="eastAsia" w:ascii="仿宋_GB2312" w:eastAsia="仿宋_GB2312" w:cs="Times New Roman"/>
                <w:sz w:val="28"/>
                <w:szCs w:val="28"/>
              </w:rPr>
              <w:t>分</w:t>
            </w:r>
            <w:r>
              <w:rPr>
                <w:rFonts w:hint="eastAsia" w:ascii="仿宋_GB2312" w:eastAsia="仿宋_GB2312" w:cs="Times New Roman"/>
                <w:sz w:val="28"/>
                <w:szCs w:val="28"/>
                <w:lang w:eastAsia="zh-CN"/>
              </w:rPr>
              <w:t>；</w:t>
            </w:r>
            <w:r>
              <w:rPr>
                <w:rFonts w:hint="eastAsia" w:ascii="仿宋_GB2312" w:eastAsia="仿宋_GB2312" w:cs="Times New Roman"/>
                <w:sz w:val="28"/>
                <w:szCs w:val="28"/>
                <w:lang w:val="en-US" w:eastAsia="zh-CN"/>
              </w:rPr>
              <w:t>较</w:t>
            </w:r>
            <w:r>
              <w:rPr>
                <w:rFonts w:hint="eastAsia" w:ascii="仿宋_GB2312" w:eastAsia="仿宋_GB2312" w:cs="Times New Roman"/>
                <w:sz w:val="28"/>
                <w:szCs w:val="28"/>
              </w:rPr>
              <w:t>贴合项目实际的得</w:t>
            </w:r>
            <w:r>
              <w:rPr>
                <w:rFonts w:hint="eastAsia" w:ascii="仿宋_GB2312" w:eastAsia="仿宋_GB2312" w:cs="Times New Roman"/>
                <w:sz w:val="28"/>
                <w:szCs w:val="28"/>
                <w:lang w:val="en-US" w:eastAsia="zh-CN"/>
              </w:rPr>
              <w:t>2</w:t>
            </w:r>
            <w:r>
              <w:rPr>
                <w:rFonts w:hint="eastAsia" w:ascii="仿宋_GB2312" w:eastAsia="仿宋_GB2312" w:cs="Times New Roman"/>
                <w:sz w:val="28"/>
                <w:szCs w:val="28"/>
              </w:rPr>
              <w:t>-</w:t>
            </w:r>
            <w:r>
              <w:rPr>
                <w:rFonts w:hint="eastAsia" w:ascii="仿宋_GB2312" w:eastAsia="仿宋_GB2312" w:cs="Times New Roman"/>
                <w:sz w:val="28"/>
                <w:szCs w:val="28"/>
                <w:lang w:val="en-US" w:eastAsia="zh-CN"/>
              </w:rPr>
              <w:t>3</w:t>
            </w:r>
            <w:r>
              <w:rPr>
                <w:rFonts w:hint="eastAsia" w:ascii="仿宋_GB2312" w:eastAsia="仿宋_GB2312" w:cs="Times New Roman"/>
                <w:sz w:val="28"/>
                <w:szCs w:val="28"/>
              </w:rPr>
              <w:t>分</w:t>
            </w:r>
            <w:r>
              <w:rPr>
                <w:rFonts w:hint="eastAsia" w:ascii="仿宋_GB2312" w:eastAsia="仿宋_GB2312" w:cs="Times New Roman"/>
                <w:sz w:val="28"/>
                <w:szCs w:val="28"/>
                <w:lang w:eastAsia="zh-CN"/>
              </w:rPr>
              <w:t>；基本符合项目实际</w:t>
            </w:r>
            <w:r>
              <w:rPr>
                <w:rFonts w:hint="eastAsia" w:ascii="仿宋_GB2312" w:eastAsia="仿宋_GB2312" w:cs="Times New Roman"/>
                <w:sz w:val="28"/>
                <w:szCs w:val="28"/>
                <w:lang w:val="en-US" w:eastAsia="zh-CN"/>
              </w:rPr>
              <w:t>要求</w:t>
            </w:r>
            <w:r>
              <w:rPr>
                <w:rFonts w:hint="eastAsia" w:ascii="仿宋_GB2312" w:eastAsia="仿宋_GB2312" w:cs="Times New Roman"/>
                <w:sz w:val="28"/>
                <w:szCs w:val="28"/>
                <w:lang w:eastAsia="zh-CN"/>
              </w:rPr>
              <w:t>的</w:t>
            </w:r>
            <w:r>
              <w:rPr>
                <w:rFonts w:hint="eastAsia" w:ascii="仿宋_GB2312" w:eastAsia="仿宋_GB2312" w:cs="Times New Roman"/>
                <w:sz w:val="28"/>
                <w:szCs w:val="28"/>
                <w:lang w:val="en-US" w:eastAsia="zh-CN"/>
              </w:rPr>
              <w:t>得1</w:t>
            </w:r>
            <w:r>
              <w:rPr>
                <w:rFonts w:hint="eastAsia" w:ascii="仿宋_GB2312" w:eastAsia="仿宋_GB2312" w:cs="Times New Roman"/>
                <w:sz w:val="28"/>
                <w:szCs w:val="28"/>
                <w:lang w:eastAsia="zh-CN"/>
              </w:rPr>
              <w:t>分</w:t>
            </w:r>
            <w:r>
              <w:rPr>
                <w:rFonts w:hint="eastAsia" w:ascii="仿宋_GB2312" w:eastAsia="仿宋_GB2312" w:cs="Times New Roman"/>
                <w:sz w:val="28"/>
                <w:szCs w:val="28"/>
                <w:lang w:val="en-US" w:eastAsia="zh-CN"/>
              </w:rPr>
              <w:t>。</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2680" w:hRule="atLeast"/>
          <w:jc w:val="center"/>
        </w:trPr>
        <w:tc>
          <w:tcPr>
            <w:tcW w:w="1387" w:type="dxa"/>
            <w:vMerge w:val="continue"/>
            <w:tcBorders>
              <w:left w:val="single" w:color="auto" w:sz="4" w:space="0"/>
              <w:right w:val="single" w:color="auto" w:sz="4" w:space="0"/>
            </w:tcBorders>
            <w:vAlign w:val="center"/>
          </w:tcPr>
          <w:p>
            <w:pPr>
              <w:snapToGrid w:val="0"/>
              <w:spacing w:line="380" w:lineRule="exact"/>
              <w:jc w:val="center"/>
              <w:rPr>
                <w:rFonts w:ascii="仿宋_GB2312" w:eastAsia="仿宋_GB2312"/>
                <w:sz w:val="28"/>
                <w:szCs w:val="28"/>
              </w:rPr>
            </w:pPr>
          </w:p>
        </w:tc>
        <w:tc>
          <w:tcPr>
            <w:tcW w:w="1276" w:type="dxa"/>
            <w:tcBorders>
              <w:top w:val="single" w:color="auto" w:sz="4" w:space="0"/>
              <w:left w:val="single" w:color="auto" w:sz="4" w:space="0"/>
              <w:right w:val="single" w:color="auto" w:sz="4" w:space="0"/>
            </w:tcBorders>
            <w:vAlign w:val="center"/>
          </w:tcPr>
          <w:p>
            <w:pPr>
              <w:widowControl/>
              <w:snapToGrid w:val="0"/>
              <w:spacing w:line="38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投标产品技术性能、功能、成熟度与需求的吻合程度</w:t>
            </w:r>
          </w:p>
        </w:tc>
        <w:tc>
          <w:tcPr>
            <w:tcW w:w="5634" w:type="dxa"/>
            <w:tcBorders>
              <w:top w:val="single" w:color="auto" w:sz="4" w:space="0"/>
              <w:left w:val="single" w:color="auto" w:sz="4" w:space="0"/>
              <w:right w:val="single" w:color="auto" w:sz="4" w:space="0"/>
            </w:tcBorders>
            <w:vAlign w:val="center"/>
          </w:tcPr>
          <w:p>
            <w:pPr>
              <w:widowControl/>
              <w:snapToGrid w:val="0"/>
              <w:spacing w:line="380" w:lineRule="exact"/>
              <w:jc w:val="left"/>
              <w:rPr>
                <w:rFonts w:hint="default" w:ascii="仿宋_GB2312" w:eastAsia="仿宋_GB2312"/>
                <w:sz w:val="28"/>
                <w:szCs w:val="28"/>
                <w:lang w:val="en-US" w:eastAsia="zh-CN"/>
              </w:rPr>
            </w:pPr>
            <w:r>
              <w:rPr>
                <w:rFonts w:hint="eastAsia" w:ascii="仿宋_GB2312" w:eastAsia="仿宋_GB2312"/>
                <w:sz w:val="28"/>
                <w:szCs w:val="28"/>
              </w:rPr>
              <w:t>根据所投产品基本功能、技术指标与需求的吻合程度和偏差情况（包括所投标产品的规格型号、详细配置、主要技术参数等），是否能够满足采购文件要求，能满足招标货物的所有性能及技术指标要求得20分；加</w:t>
            </w:r>
            <w:r>
              <w:rPr>
                <w:rFonts w:hint="eastAsia" w:ascii="宋体" w:hAnsi="宋体" w:eastAsia="宋体" w:cs="宋体"/>
                <w:sz w:val="28"/>
                <w:szCs w:val="28"/>
              </w:rPr>
              <w:t>★</w:t>
            </w:r>
            <w:r>
              <w:rPr>
                <w:rFonts w:hint="eastAsia" w:ascii="仿宋_GB2312" w:eastAsia="仿宋_GB2312"/>
                <w:sz w:val="28"/>
                <w:szCs w:val="28"/>
              </w:rPr>
              <w:t>每有一项不满足扣2分，其他功能参数每有一项不满足扣1分，扣完为止</w:t>
            </w:r>
            <w:r>
              <w:rPr>
                <w:rFonts w:hint="eastAsia" w:ascii="仿宋_GB2312" w:eastAsia="仿宋_GB2312"/>
                <w:sz w:val="28"/>
                <w:szCs w:val="28"/>
                <w:lang w:eastAsia="zh-CN"/>
              </w:rPr>
              <w:t>（</w:t>
            </w:r>
            <w:r>
              <w:rPr>
                <w:rFonts w:hint="eastAsia" w:ascii="仿宋_GB2312" w:eastAsia="仿宋_GB2312"/>
                <w:sz w:val="28"/>
                <w:szCs w:val="28"/>
                <w:lang w:val="en-US" w:eastAsia="zh-CN"/>
              </w:rPr>
              <w:t>检测报告需要提供原件清晰的扫描件，扫描件内容不清晰，无法辨认的按无检测报告处理，无检测报告按评分细则扣分）</w:t>
            </w:r>
            <w:r>
              <w:rPr>
                <w:rFonts w:hint="eastAsia" w:ascii="仿宋_GB2312" w:eastAsia="仿宋_GB2312"/>
                <w:sz w:val="28"/>
                <w:szCs w:val="28"/>
              </w:rPr>
              <w:t>。</w:t>
            </w:r>
          </w:p>
        </w:tc>
        <w:tc>
          <w:tcPr>
            <w:tcW w:w="1047" w:type="dxa"/>
            <w:tcBorders>
              <w:top w:val="single" w:color="auto" w:sz="4" w:space="0"/>
              <w:left w:val="single" w:color="auto" w:sz="4" w:space="0"/>
              <w:bottom w:val="single" w:color="auto" w:sz="4" w:space="0"/>
              <w:right w:val="single" w:color="auto" w:sz="4" w:space="0"/>
            </w:tcBorders>
            <w:vAlign w:val="center"/>
          </w:tcPr>
          <w:p>
            <w:pPr>
              <w:pStyle w:val="25"/>
              <w:spacing w:before="156" w:line="320" w:lineRule="exact"/>
              <w:ind w:firstLine="0" w:firstLineChars="0"/>
              <w:jc w:val="left"/>
              <w:rPr>
                <w:rFonts w:hint="eastAsia" w:ascii="仿宋_GB2312" w:eastAsia="仿宋_GB2312"/>
                <w:szCs w:val="28"/>
              </w:rPr>
            </w:pPr>
            <w:r>
              <w:rPr>
                <w:rFonts w:hint="eastAsia" w:ascii="仿宋_GB2312" w:eastAsia="仿宋_GB2312"/>
                <w:szCs w:val="28"/>
                <w:lang w:val="en-US" w:eastAsia="zh-CN"/>
              </w:rPr>
              <w:t>0</w:t>
            </w:r>
            <w:r>
              <w:rPr>
                <w:rFonts w:hint="eastAsia" w:ascii="仿宋_GB2312" w:eastAsia="仿宋_GB2312"/>
                <w:szCs w:val="28"/>
              </w:rPr>
              <w:t>-</w:t>
            </w:r>
            <w:r>
              <w:rPr>
                <w:rFonts w:hint="eastAsia" w:ascii="仿宋_GB2312" w:eastAsia="仿宋_GB2312"/>
                <w:szCs w:val="28"/>
                <w:lang w:val="en-US" w:eastAsia="zh-CN"/>
              </w:rPr>
              <w:t>20</w:t>
            </w:r>
            <w:r>
              <w:rPr>
                <w:rFonts w:hint="eastAsia" w:ascii="仿宋_GB2312" w:eastAsia="仿宋_GB2312"/>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1387" w:type="dxa"/>
            <w:vMerge w:val="continue"/>
            <w:tcBorders>
              <w:left w:val="single" w:color="auto" w:sz="4" w:space="0"/>
              <w:right w:val="single" w:color="auto" w:sz="4" w:space="0"/>
            </w:tcBorders>
            <w:vAlign w:val="center"/>
          </w:tcPr>
          <w:p>
            <w:pPr>
              <w:pStyle w:val="25"/>
              <w:spacing w:before="156" w:line="320" w:lineRule="exact"/>
              <w:ind w:firstLine="0"/>
              <w:jc w:val="left"/>
              <w:rPr>
                <w:rFonts w:ascii="仿宋_GB2312" w:eastAsia="仿宋_GB2312"/>
                <w:szCs w:val="28"/>
              </w:rPr>
            </w:pPr>
          </w:p>
        </w:tc>
        <w:tc>
          <w:tcPr>
            <w:tcW w:w="1276" w:type="dxa"/>
            <w:vMerge w:val="restart"/>
            <w:tcBorders>
              <w:top w:val="single" w:color="auto" w:sz="4" w:space="0"/>
              <w:left w:val="single" w:color="auto" w:sz="4" w:space="0"/>
              <w:right w:val="single" w:color="auto" w:sz="4" w:space="0"/>
            </w:tcBorders>
            <w:vAlign w:val="center"/>
          </w:tcPr>
          <w:p>
            <w:pPr>
              <w:pStyle w:val="25"/>
              <w:spacing w:before="156" w:line="360" w:lineRule="exact"/>
              <w:ind w:firstLine="437"/>
              <w:jc w:val="left"/>
              <w:rPr>
                <w:rFonts w:hint="default" w:ascii="仿宋_GB2312" w:eastAsia="仿宋_GB2312"/>
                <w:szCs w:val="28"/>
                <w:lang w:val="en-US" w:eastAsia="zh-CN"/>
              </w:rPr>
            </w:pPr>
            <w:r>
              <w:rPr>
                <w:rFonts w:hint="eastAsia" w:ascii="仿宋_GB2312" w:eastAsia="仿宋_GB2312"/>
                <w:szCs w:val="28"/>
                <w:lang w:val="en-US" w:eastAsia="zh-CN"/>
              </w:rPr>
              <w:t>功能演示</w:t>
            </w:r>
          </w:p>
        </w:tc>
        <w:tc>
          <w:tcPr>
            <w:tcW w:w="5634" w:type="dxa"/>
            <w:vMerge w:val="restart"/>
            <w:tcBorders>
              <w:top w:val="single" w:color="auto" w:sz="4" w:space="0"/>
              <w:left w:val="single" w:color="auto" w:sz="4" w:space="0"/>
              <w:right w:val="single" w:color="auto" w:sz="4" w:space="0"/>
            </w:tcBorders>
          </w:tcPr>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系统功能演示视频（以U盘为媒体单独密封，投标人应当确保U盘能够打开运行并正常使用，视频未提供或无法打开，该项得0分。视频时长控制在15分钟之内）</w:t>
            </w:r>
          </w:p>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演示内容包含：</w:t>
            </w:r>
          </w:p>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1、系统演示人员信息登记功能，可读取人员的身份证号、姓名、年龄等基本信息，进行页面填充。根据满足程度酌情打分，最高3分。</w:t>
            </w:r>
          </w:p>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2、系统演示随身物品柜分配功能，可根据当事人的随身物品数量、大小选择大、中、小类型的柜子分配给当事人存放随身物品。根据满足程度酌情打分，最高3分。</w:t>
            </w:r>
          </w:p>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3、系统演示随身物品拍照功能，可对随身物品进行拍照存证。根据满足程度酌情打分，最高3分。</w:t>
            </w:r>
          </w:p>
          <w:p>
            <w:pPr>
              <w:widowControl/>
              <w:snapToGrid w:val="0"/>
              <w:spacing w:line="380" w:lineRule="exact"/>
              <w:jc w:val="left"/>
              <w:rPr>
                <w:rFonts w:hint="eastAsia" w:ascii="仿宋_GB2312" w:eastAsia="仿宋_GB2312"/>
                <w:sz w:val="28"/>
                <w:szCs w:val="28"/>
              </w:rPr>
            </w:pPr>
            <w:r>
              <w:rPr>
                <w:rFonts w:hint="eastAsia" w:ascii="仿宋_GB2312" w:eastAsia="仿宋_GB2312"/>
                <w:sz w:val="28"/>
                <w:szCs w:val="28"/>
              </w:rPr>
              <w:t>4、系统演示电子台账功能，系统可对嫌疑人信息、物品登记图片、活动轨迹等数据统一生成电子台账即人员登记表。根据满足程度酌情打分，最高3分。</w:t>
            </w:r>
          </w:p>
          <w:p>
            <w:pPr>
              <w:widowControl/>
              <w:snapToGrid w:val="0"/>
              <w:spacing w:line="380" w:lineRule="exact"/>
              <w:jc w:val="left"/>
              <w:rPr>
                <w:rFonts w:ascii="仿宋_GB2312" w:eastAsia="仿宋_GB2312"/>
                <w:sz w:val="28"/>
                <w:szCs w:val="28"/>
              </w:rPr>
            </w:pPr>
            <w:r>
              <w:rPr>
                <w:rFonts w:hint="eastAsia" w:ascii="仿宋_GB2312" w:eastAsia="仿宋_GB2312"/>
                <w:sz w:val="28"/>
                <w:szCs w:val="28"/>
              </w:rPr>
              <w:t>5、演示智能笔录远程辅助的远程提审功能，民警通过日常使用的笔录软件，实现远程电子签名捺印。根据满足程度酌情打分，最高3分。</w:t>
            </w:r>
          </w:p>
        </w:tc>
        <w:tc>
          <w:tcPr>
            <w:tcW w:w="1047" w:type="dxa"/>
            <w:vMerge w:val="restart"/>
            <w:tcBorders>
              <w:top w:val="single" w:color="auto" w:sz="4" w:space="0"/>
              <w:left w:val="single" w:color="auto" w:sz="4" w:space="0"/>
              <w:right w:val="single" w:color="auto" w:sz="4" w:space="0"/>
            </w:tcBorders>
            <w:vAlign w:val="center"/>
          </w:tcPr>
          <w:p>
            <w:pPr>
              <w:pStyle w:val="25"/>
              <w:spacing w:before="156" w:line="320" w:lineRule="exact"/>
              <w:ind w:firstLine="0"/>
              <w:jc w:val="left"/>
              <w:rPr>
                <w:rFonts w:ascii="仿宋_GB2312" w:eastAsia="仿宋_GB2312"/>
                <w:szCs w:val="28"/>
              </w:rPr>
            </w:pPr>
            <w:r>
              <w:rPr>
                <w:rFonts w:hint="eastAsia" w:ascii="仿宋_GB2312" w:eastAsia="仿宋_GB2312"/>
                <w:szCs w:val="28"/>
                <w:lang w:val="en-US" w:eastAsia="zh-CN"/>
              </w:rPr>
              <w:t>0</w:t>
            </w:r>
            <w:r>
              <w:rPr>
                <w:rFonts w:hint="eastAsia" w:ascii="仿宋_GB2312" w:eastAsia="仿宋_GB2312"/>
                <w:szCs w:val="28"/>
              </w:rPr>
              <w:t>-</w:t>
            </w:r>
            <w:r>
              <w:rPr>
                <w:rFonts w:hint="eastAsia" w:ascii="仿宋_GB2312" w:eastAsia="仿宋_GB2312"/>
                <w:szCs w:val="28"/>
                <w:lang w:val="en-US" w:eastAsia="zh-CN"/>
              </w:rPr>
              <w:t>15</w:t>
            </w:r>
            <w:r>
              <w:rPr>
                <w:rFonts w:hint="eastAsia" w:ascii="仿宋_GB2312" w:eastAsia="仿宋_GB2312"/>
                <w:szCs w:val="28"/>
              </w:rPr>
              <w:t>分</w:t>
            </w:r>
          </w:p>
          <w:p>
            <w:pPr>
              <w:pStyle w:val="25"/>
              <w:spacing w:before="156" w:line="320" w:lineRule="exact"/>
              <w:ind w:firstLine="0"/>
              <w:jc w:val="left"/>
              <w:rPr>
                <w:rFonts w:ascii="仿宋_GB2312" w:eastAsia="仿宋_GB2312"/>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387" w:type="dxa"/>
            <w:tcBorders>
              <w:left w:val="single" w:color="auto" w:sz="4" w:space="0"/>
              <w:right w:val="single" w:color="auto" w:sz="4" w:space="0"/>
            </w:tcBorders>
            <w:vAlign w:val="center"/>
          </w:tcPr>
          <w:p>
            <w:pPr>
              <w:pStyle w:val="25"/>
              <w:spacing w:before="156" w:line="320" w:lineRule="exact"/>
              <w:ind w:firstLine="0"/>
              <w:jc w:val="left"/>
              <w:rPr>
                <w:rFonts w:ascii="仿宋_GB2312" w:eastAsia="仿宋_GB2312"/>
                <w:szCs w:val="28"/>
              </w:rPr>
            </w:pPr>
          </w:p>
        </w:tc>
        <w:tc>
          <w:tcPr>
            <w:tcW w:w="1276" w:type="dxa"/>
            <w:vMerge w:val="continue"/>
            <w:tcBorders>
              <w:left w:val="single" w:color="auto" w:sz="4" w:space="0"/>
              <w:right w:val="single" w:color="auto" w:sz="4" w:space="0"/>
            </w:tcBorders>
            <w:vAlign w:val="center"/>
          </w:tcPr>
          <w:p>
            <w:pPr>
              <w:pStyle w:val="25"/>
              <w:spacing w:before="156" w:line="360" w:lineRule="exact"/>
              <w:ind w:firstLine="437"/>
              <w:jc w:val="left"/>
              <w:rPr>
                <w:rFonts w:ascii="仿宋_GB2312" w:eastAsia="仿宋_GB2312"/>
                <w:szCs w:val="28"/>
              </w:rPr>
            </w:pPr>
          </w:p>
        </w:tc>
        <w:tc>
          <w:tcPr>
            <w:tcW w:w="5634" w:type="dxa"/>
            <w:vMerge w:val="continue"/>
            <w:tcBorders>
              <w:left w:val="single" w:color="auto" w:sz="4" w:space="0"/>
              <w:right w:val="single" w:color="auto" w:sz="4" w:space="0"/>
            </w:tcBorders>
          </w:tcPr>
          <w:p>
            <w:pPr>
              <w:widowControl/>
              <w:snapToGrid w:val="0"/>
              <w:spacing w:line="380" w:lineRule="exact"/>
              <w:jc w:val="center"/>
              <w:rPr>
                <w:rFonts w:ascii="仿宋_GB2312" w:eastAsia="仿宋_GB2312"/>
                <w:sz w:val="28"/>
                <w:szCs w:val="28"/>
              </w:rPr>
            </w:pPr>
          </w:p>
        </w:tc>
        <w:tc>
          <w:tcPr>
            <w:tcW w:w="1047" w:type="dxa"/>
            <w:vMerge w:val="continue"/>
            <w:tcBorders>
              <w:left w:val="single" w:color="auto" w:sz="4" w:space="0"/>
              <w:bottom w:val="single" w:color="auto" w:sz="4" w:space="0"/>
              <w:right w:val="single" w:color="auto" w:sz="4" w:space="0"/>
            </w:tcBorders>
            <w:vAlign w:val="center"/>
          </w:tcPr>
          <w:p>
            <w:pPr>
              <w:pStyle w:val="25"/>
              <w:spacing w:before="156" w:line="320" w:lineRule="exact"/>
              <w:ind w:firstLine="0"/>
              <w:jc w:val="left"/>
              <w:rPr>
                <w:rFonts w:ascii="仿宋_GB2312" w:eastAsia="仿宋_GB2312"/>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8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售后服务、及服务承诺</w:t>
            </w:r>
            <w:r>
              <w:rPr>
                <w:rFonts w:hint="eastAsia" w:ascii="仿宋_GB2312" w:eastAsia="仿宋_GB2312"/>
                <w:sz w:val="28"/>
                <w:szCs w:val="28"/>
                <w:lang w:val="en-US" w:eastAsia="zh-CN"/>
              </w:rPr>
              <w:t>10</w:t>
            </w:r>
            <w:r>
              <w:rPr>
                <w:rFonts w:hint="eastAsia" w:ascii="仿宋_GB2312" w:eastAsia="仿宋_GB2312"/>
                <w:sz w:val="28"/>
                <w:szCs w:val="28"/>
              </w:rPr>
              <w:t>分</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rPr>
                <w:rFonts w:ascii="仿宋_GB2312" w:eastAsia="仿宋_GB2312"/>
                <w:sz w:val="28"/>
                <w:szCs w:val="28"/>
              </w:rPr>
            </w:pPr>
            <w:r>
              <w:rPr>
                <w:rFonts w:hint="eastAsia" w:ascii="仿宋_GB2312" w:eastAsia="仿宋_GB2312"/>
                <w:sz w:val="28"/>
                <w:szCs w:val="28"/>
              </w:rPr>
              <w:t>售后服务</w:t>
            </w:r>
          </w:p>
        </w:tc>
        <w:tc>
          <w:tcPr>
            <w:tcW w:w="5634"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32"/>
              </w:rPr>
              <w:t>投保人提供详细完整的“三包”，科学、合理、具体的免费保修及售后服务措施和方案（包括服务措施、产品质量保证、回访等）的得6分；投保人提供“三包”基本完整的，免费保修及售后服务措施和方案基本合理的（包括服务措施、产品质量保证、回访等）的得4分；投保人未提供详细完整的“三包”，免费保修及售后服务措施和方案不合理的（包括服务措施、产品质量保证、回访、技术培训等）的的得2分。（2-6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2、售后服务点的设置：售后服务机构的设置方案及相关证明材料，表明能可靠提供便捷的售后服务的优劣情况</w:t>
            </w:r>
            <w:r>
              <w:rPr>
                <w:rFonts w:hint="eastAsia" w:ascii="仿宋_GB2312" w:eastAsia="仿宋_GB2312" w:cs="宋体"/>
                <w:sz w:val="28"/>
                <w:szCs w:val="32"/>
              </w:rPr>
              <w:t>（</w:t>
            </w:r>
            <w:r>
              <w:rPr>
                <w:rFonts w:hint="eastAsia" w:ascii="仿宋_GB2312" w:eastAsia="仿宋_GB2312" w:cs="宋体"/>
                <w:sz w:val="28"/>
                <w:szCs w:val="32"/>
                <w:lang w:val="en-US" w:eastAsia="zh-CN"/>
              </w:rPr>
              <w:t>1</w:t>
            </w:r>
            <w:r>
              <w:rPr>
                <w:rFonts w:hint="eastAsia" w:ascii="仿宋_GB2312" w:eastAsia="仿宋_GB2312" w:cs="宋体"/>
                <w:sz w:val="28"/>
                <w:szCs w:val="32"/>
              </w:rPr>
              <w:t>-</w:t>
            </w:r>
            <w:r>
              <w:rPr>
                <w:rFonts w:hint="eastAsia" w:ascii="仿宋_GB2312" w:eastAsia="仿宋_GB2312" w:cs="宋体"/>
                <w:sz w:val="28"/>
                <w:szCs w:val="32"/>
                <w:lang w:val="en-US" w:eastAsia="zh-CN"/>
              </w:rPr>
              <w:t>2</w:t>
            </w:r>
            <w:r>
              <w:rPr>
                <w:rFonts w:hint="eastAsia" w:ascii="仿宋_GB2312" w:eastAsia="仿宋_GB2312" w:cs="宋体"/>
                <w:sz w:val="28"/>
                <w:szCs w:val="32"/>
              </w:rPr>
              <w:t>分）</w:t>
            </w:r>
            <w:r>
              <w:rPr>
                <w:rFonts w:hint="eastAsia" w:ascii="仿宋_GB2312" w:eastAsia="仿宋_GB2312"/>
                <w:sz w:val="28"/>
                <w:szCs w:val="28"/>
                <w:lang w:val="en-US" w:eastAsia="zh-CN"/>
              </w:rPr>
              <w:t>。</w:t>
            </w:r>
          </w:p>
        </w:tc>
        <w:tc>
          <w:tcPr>
            <w:tcW w:w="1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-8分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1387" w:type="dxa"/>
            <w:vMerge w:val="continue"/>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p>
        </w:tc>
        <w:tc>
          <w:tcPr>
            <w:tcW w:w="1276"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培训</w:t>
            </w:r>
          </w:p>
        </w:tc>
        <w:tc>
          <w:tcPr>
            <w:tcW w:w="5634" w:type="dxa"/>
            <w:tcBorders>
              <w:top w:val="single" w:color="auto" w:sz="4" w:space="0"/>
              <w:left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rightChars="0"/>
              <w:jc w:val="left"/>
              <w:rPr>
                <w:rFonts w:hint="eastAsia" w:ascii="仿宋_GB2312" w:eastAsia="仿宋_GB2312"/>
                <w:sz w:val="28"/>
                <w:szCs w:val="28"/>
              </w:rPr>
            </w:pPr>
            <w:r>
              <w:rPr>
                <w:rFonts w:hint="eastAsia" w:ascii="仿宋_GB2312" w:eastAsia="仿宋_GB2312"/>
                <w:sz w:val="28"/>
                <w:szCs w:val="28"/>
              </w:rPr>
              <w:t>由评委根据供应商提供的培训内容、期限、形式和费用进行</w:t>
            </w:r>
            <w:r>
              <w:rPr>
                <w:rFonts w:hint="eastAsia" w:ascii="仿宋_GB2312" w:eastAsia="仿宋_GB2312"/>
                <w:sz w:val="28"/>
                <w:szCs w:val="28"/>
                <w:lang w:val="en-US" w:eastAsia="zh-CN"/>
              </w:rPr>
              <w:t>综合</w:t>
            </w:r>
            <w:r>
              <w:rPr>
                <w:rFonts w:hint="eastAsia" w:ascii="仿宋_GB2312" w:eastAsia="仿宋_GB2312"/>
                <w:sz w:val="28"/>
                <w:szCs w:val="28"/>
              </w:rPr>
              <w:t>打分，本项最高</w:t>
            </w:r>
            <w:r>
              <w:rPr>
                <w:rFonts w:hint="eastAsia" w:ascii="仿宋_GB2312" w:eastAsia="仿宋_GB2312"/>
                <w:sz w:val="28"/>
                <w:szCs w:val="28"/>
                <w:lang w:val="en-US" w:eastAsia="zh-CN"/>
              </w:rPr>
              <w:t>得2</w:t>
            </w:r>
            <w:r>
              <w:rPr>
                <w:rFonts w:hint="eastAsia" w:ascii="仿宋_GB2312" w:eastAsia="仿宋_GB2312"/>
                <w:sz w:val="28"/>
                <w:szCs w:val="28"/>
              </w:rPr>
              <w:t>分。</w:t>
            </w:r>
          </w:p>
        </w:tc>
        <w:tc>
          <w:tcPr>
            <w:tcW w:w="1047" w:type="dxa"/>
            <w:tcBorders>
              <w:top w:val="single" w:color="auto" w:sz="4" w:space="0"/>
              <w:left w:val="single" w:color="auto" w:sz="4" w:space="0"/>
              <w:right w:val="single" w:color="auto" w:sz="4" w:space="0"/>
            </w:tcBorders>
            <w:vAlign w:val="center"/>
          </w:tcPr>
          <w:p>
            <w:pPr>
              <w:widowControl/>
              <w:spacing w:line="400" w:lineRule="exact"/>
              <w:ind w:left="-102" w:leftChars="-49" w:right="-113" w:rightChars="-54" w:hanging="1" w:firstLineChars="0"/>
              <w:jc w:val="center"/>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w:t>
            </w:r>
            <w:r>
              <w:rPr>
                <w:rFonts w:hint="eastAsia" w:ascii="仿宋_GB2312" w:eastAsia="仿宋_GB2312"/>
                <w:sz w:val="28"/>
                <w:szCs w:val="28"/>
                <w:lang w:val="en-US" w:eastAsia="zh-CN"/>
              </w:rPr>
              <w:t>2</w:t>
            </w:r>
            <w:r>
              <w:rPr>
                <w:rFonts w:hint="eastAsia" w:ascii="仿宋_GB2312" w:eastAsia="仿宋_GB2312"/>
                <w:sz w:val="28"/>
                <w:szCs w:val="28"/>
              </w:rPr>
              <w:t>分</w:t>
            </w:r>
          </w:p>
        </w:tc>
      </w:tr>
    </w:tbl>
    <w:p>
      <w:pPr>
        <w:pStyle w:val="59"/>
      </w:pPr>
    </w:p>
    <w:p>
      <w:pPr>
        <w:autoSpaceDE w:val="0"/>
        <w:autoSpaceDN w:val="0"/>
        <w:adjustRightInd w:val="0"/>
        <w:snapToGrid w:val="0"/>
        <w:spacing w:line="500" w:lineRule="exact"/>
        <w:ind w:left="425"/>
        <w:rPr>
          <w:rFonts w:ascii="仿宋_GB2312" w:eastAsia="仿宋_GB2312" w:cs="宋体"/>
          <w:b/>
          <w:bCs/>
          <w:sz w:val="28"/>
          <w:szCs w:val="28"/>
          <w:lang w:val="zh-CN"/>
        </w:rPr>
      </w:pPr>
      <w:bookmarkStart w:id="80" w:name="_Toc356371476"/>
      <w:r>
        <w:rPr>
          <w:rFonts w:hint="eastAsia" w:ascii="仿宋_GB2312" w:eastAsia="仿宋_GB2312" w:cs="宋体"/>
          <w:b/>
          <w:bCs/>
          <w:sz w:val="28"/>
          <w:szCs w:val="28"/>
          <w:lang w:val="zh-CN"/>
        </w:rPr>
        <w:t>五、开评标程序</w:t>
      </w:r>
      <w:bookmarkEnd w:id="80"/>
    </w:p>
    <w:p>
      <w:pPr>
        <w:autoSpaceDE w:val="0"/>
        <w:autoSpaceDN w:val="0"/>
        <w:adjustRightInd w:val="0"/>
        <w:snapToGrid w:val="0"/>
        <w:spacing w:line="420" w:lineRule="exact"/>
        <w:ind w:firstLine="560" w:firstLineChars="200"/>
        <w:rPr>
          <w:rFonts w:ascii="仿宋_GB2312" w:hAnsi="Times New Roman" w:eastAsia="仿宋_GB2312" w:cs="宋体"/>
          <w:b/>
          <w:bCs/>
          <w:color w:val="000000"/>
          <w:sz w:val="28"/>
          <w:szCs w:val="28"/>
          <w:lang w:val="zh-CN"/>
        </w:rPr>
      </w:pPr>
      <w:r>
        <w:rPr>
          <w:rFonts w:hint="eastAsia" w:ascii="仿宋_GB2312" w:hAnsi="Times New Roman" w:eastAsia="仿宋_GB2312"/>
          <w:color w:val="000000"/>
          <w:sz w:val="28"/>
          <w:szCs w:val="28"/>
        </w:rPr>
        <w:t>8.主持人宣布投标截止时间，截止时间以国家授时中心标准时间为准，宣布招标会议开始；</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9.</w:t>
      </w:r>
      <w:r>
        <w:rPr>
          <w:rFonts w:hint="eastAsia"/>
        </w:rPr>
        <w:t xml:space="preserve"> </w:t>
      </w:r>
      <w:r>
        <w:rPr>
          <w:rFonts w:hint="eastAsia" w:ascii="仿宋_GB2312" w:hAnsi="Times New Roman" w:eastAsia="仿宋_GB2312"/>
          <w:color w:val="000000"/>
          <w:sz w:val="28"/>
          <w:szCs w:val="28"/>
        </w:rPr>
        <w:t>工作人员通过政采云系统下发投标文件解密通知。</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10.电子投标开标及评审程序；</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（1）投标截止时间后，投标人登录政采云平台，用“项目采购-开标评标”功能对电子投标文件进行在线解密。在线解密电子投标文件时间为开标时间起半个小时内。</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（2）由采购人代表对资格审查文件进行评审，评标委员会对技术商务文件、报价文件进行评审；</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（3）在系统上公布评审结果。</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特别说明：政采云公司如对电子化开标及评审程序有调整的，按调整后的程序操作。</w:t>
      </w:r>
    </w:p>
    <w:p>
      <w:pPr>
        <w:autoSpaceDE w:val="0"/>
        <w:autoSpaceDN w:val="0"/>
        <w:adjustRightInd w:val="0"/>
        <w:snapToGrid w:val="0"/>
        <w:spacing w:line="420" w:lineRule="exact"/>
        <w:ind w:firstLine="560" w:firstLineChars="200"/>
        <w:rPr>
          <w:sz w:val="28"/>
          <w:szCs w:val="28"/>
        </w:rPr>
      </w:pPr>
      <w:r>
        <w:rPr>
          <w:rFonts w:hint="eastAsia" w:ascii="仿宋_GB2312" w:hAnsi="Times New Roman" w:eastAsia="仿宋_GB2312"/>
          <w:color w:val="000000"/>
          <w:sz w:val="28"/>
          <w:szCs w:val="28"/>
          <w:lang w:val="en-US" w:eastAsia="zh-CN"/>
        </w:rPr>
        <w:t>11</w:t>
      </w:r>
      <w:r>
        <w:rPr>
          <w:rFonts w:hint="eastAsia" w:ascii="仿宋_GB2312" w:hAnsi="Times New Roman" w:eastAsia="仿宋_GB2312"/>
          <w:color w:val="000000"/>
          <w:sz w:val="28"/>
          <w:szCs w:val="28"/>
        </w:rPr>
        <w:t>.开标会结束。</w:t>
      </w: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Univers">
    <w:altName w:val="Arial"/>
    <w:panose1 w:val="00000000000000000000"/>
    <w:charset w:val="00"/>
    <w:family w:val="swiss"/>
    <w:pitch w:val="default"/>
    <w:sig w:usb0="00000000" w:usb1="00000000" w:usb2="00000000" w:usb3="00000000" w:csb0="0000000F" w:csb1="00000000"/>
  </w:font>
  <w:font w:name="Book Antiqua">
    <w:panose1 w:val="0204060205030503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Style w:val="67"/>
      </w:rPr>
    </w:pPr>
    <w:r>
      <w:rPr>
        <w:rFonts w:hint="eastAsia"/>
      </w:rPr>
      <w:t>第</w:t>
    </w:r>
    <w:r>
      <w:fldChar w:fldCharType="begin"/>
    </w:r>
    <w:r>
      <w:rPr>
        <w:rStyle w:val="67"/>
      </w:rPr>
      <w:instrText xml:space="preserve"> PAGE </w:instrText>
    </w:r>
    <w:r>
      <w:fldChar w:fldCharType="separate"/>
    </w:r>
    <w:r>
      <w:rPr>
        <w:rStyle w:val="67"/>
      </w:rPr>
      <w:t>33</w:t>
    </w:r>
    <w:r>
      <w:fldChar w:fldCharType="end"/>
    </w:r>
    <w:r>
      <w:rPr>
        <w:rStyle w:val="67"/>
        <w:rFonts w:hint="eastAsia"/>
      </w:rPr>
      <w:t>页 共</w:t>
    </w:r>
    <w:r>
      <w:fldChar w:fldCharType="begin"/>
    </w:r>
    <w:r>
      <w:rPr>
        <w:rStyle w:val="67"/>
      </w:rPr>
      <w:instrText xml:space="preserve"> NUMPAGES </w:instrText>
    </w:r>
    <w:r>
      <w:fldChar w:fldCharType="separate"/>
    </w:r>
    <w:r>
      <w:rPr>
        <w:rStyle w:val="67"/>
      </w:rPr>
      <w:t>55</w:t>
    </w:r>
    <w:r>
      <w:fldChar w:fldCharType="end"/>
    </w:r>
    <w:r>
      <w:rPr>
        <w:rStyle w:val="67"/>
        <w:rFonts w:hint="eastAsia"/>
      </w:rPr>
      <w:t>页</w:t>
    </w:r>
  </w:p>
  <w:p>
    <w:pPr>
      <w:pStyle w:val="39"/>
      <w:pBdr>
        <w:top w:val="single" w:color="auto" w:sz="4" w:space="1"/>
      </w:pBdr>
      <w:jc w:val="center"/>
    </w:pPr>
    <w:r>
      <w:rPr>
        <w:rFonts w:hint="eastAsia"/>
      </w:rPr>
      <w:t xml:space="preserve">衢州市衢江区政府采购中心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single" w:color="auto" w:sz="4" w:space="1"/>
        <w:right w:val="none" w:color="auto" w:sz="0" w:space="0"/>
      </w:pBdr>
      <w:jc w:val="center"/>
    </w:pPr>
    <w:r>
      <w:rPr>
        <w:rFonts w:hint="eastAsia"/>
        <w:szCs w:val="22"/>
        <w:lang w:eastAsia="zh-CN"/>
      </w:rPr>
      <w:t>衢州市公安局衢江分局公安机关办案功能区物联网管控系统及配套智能设备项目</w:t>
    </w:r>
    <w:r>
      <w:rPr>
        <w:rFonts w:hint="eastAsia"/>
        <w:szCs w:val="22"/>
      </w:rPr>
      <w:t>公</w:t>
    </w:r>
    <w:r>
      <w:rPr>
        <w:rFonts w:hint="eastAsia"/>
      </w:rPr>
      <w:t>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3C8F"/>
    <w:multiLevelType w:val="singleLevel"/>
    <w:tmpl w:val="99793C8F"/>
    <w:lvl w:ilvl="0" w:tentative="0">
      <w:start w:val="22"/>
      <w:numFmt w:val="decimal"/>
      <w:suff w:val="nothing"/>
      <w:lvlText w:val="%1．"/>
      <w:lvlJc w:val="left"/>
      <w:pPr>
        <w:tabs>
          <w:tab w:val="left" w:pos="0"/>
        </w:tabs>
        <w:ind w:left="82" w:firstLine="315"/>
      </w:pPr>
      <w:rPr>
        <w:rFonts w:hint="default" w:ascii="宋体" w:hAnsi="宋体" w:eastAsia="宋体" w:cs="宋体"/>
      </w:rPr>
    </w:lvl>
  </w:abstractNum>
  <w:abstractNum w:abstractNumId="1">
    <w:nsid w:val="E4AD1940"/>
    <w:multiLevelType w:val="singleLevel"/>
    <w:tmpl w:val="E4AD1940"/>
    <w:lvl w:ilvl="0" w:tentative="0">
      <w:start w:val="2"/>
      <w:numFmt w:val="decimal"/>
      <w:suff w:val="nothing"/>
      <w:lvlText w:val="%1、"/>
      <w:lvlJc w:val="left"/>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1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pStyle w:val="24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228"/>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2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23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5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A728CC"/>
    <w:multiLevelType w:val="multilevel"/>
    <w:tmpl w:val="1AA728CC"/>
    <w:lvl w:ilvl="0" w:tentative="0">
      <w:start w:val="1"/>
      <w:numFmt w:val="lowerLetter"/>
      <w:pStyle w:val="5"/>
      <w:lvlText w:val="%1)"/>
      <w:lvlJc w:val="left"/>
      <w:pPr>
        <w:ind w:left="420" w:hanging="420"/>
      </w:pPr>
    </w:lvl>
    <w:lvl w:ilvl="1" w:tentative="0">
      <w:start w:val="1"/>
      <w:numFmt w:val="lowerLetter"/>
      <w:pStyle w:val="208"/>
      <w:lvlText w:val="%2)"/>
      <w:lvlJc w:val="left"/>
      <w:pPr>
        <w:ind w:left="840" w:hanging="420"/>
      </w:pPr>
    </w:lvl>
    <w:lvl w:ilvl="2" w:tentative="0">
      <w:start w:val="1"/>
      <w:numFmt w:val="lowerRoman"/>
      <w:pStyle w:val="240"/>
      <w:lvlText w:val="%3."/>
      <w:lvlJc w:val="right"/>
      <w:pPr>
        <w:ind w:left="1260" w:hanging="420"/>
      </w:pPr>
    </w:lvl>
    <w:lvl w:ilvl="3" w:tentative="0">
      <w:start w:val="1"/>
      <w:numFmt w:val="decimal"/>
      <w:pStyle w:val="235"/>
      <w:lvlText w:val="%4."/>
      <w:lvlJc w:val="left"/>
      <w:pPr>
        <w:ind w:left="1680" w:hanging="420"/>
      </w:pPr>
    </w:lvl>
    <w:lvl w:ilvl="4" w:tentative="0">
      <w:start w:val="1"/>
      <w:numFmt w:val="lowerLetter"/>
      <w:pStyle w:val="229"/>
      <w:lvlText w:val="%5)"/>
      <w:lvlJc w:val="left"/>
      <w:pPr>
        <w:ind w:left="2100" w:hanging="420"/>
      </w:pPr>
    </w:lvl>
    <w:lvl w:ilvl="5" w:tentative="0">
      <w:start w:val="1"/>
      <w:numFmt w:val="lowerRoman"/>
      <w:pStyle w:val="254"/>
      <w:lvlText w:val="%6."/>
      <w:lvlJc w:val="right"/>
      <w:pPr>
        <w:ind w:left="2520" w:hanging="420"/>
      </w:pPr>
    </w:lvl>
    <w:lvl w:ilvl="6" w:tentative="0">
      <w:start w:val="1"/>
      <w:numFmt w:val="decimal"/>
      <w:pStyle w:val="239"/>
      <w:lvlText w:val="%7."/>
      <w:lvlJc w:val="left"/>
      <w:pPr>
        <w:ind w:left="2940" w:hanging="420"/>
      </w:pPr>
    </w:lvl>
    <w:lvl w:ilvl="7" w:tentative="0">
      <w:start w:val="1"/>
      <w:numFmt w:val="lowerLetter"/>
      <w:pStyle w:val="286"/>
      <w:lvlText w:val="%8)"/>
      <w:lvlJc w:val="left"/>
      <w:pPr>
        <w:ind w:left="3360" w:hanging="420"/>
      </w:pPr>
    </w:lvl>
    <w:lvl w:ilvl="8" w:tentative="0">
      <w:start w:val="1"/>
      <w:numFmt w:val="lowerRoman"/>
      <w:pStyle w:val="271"/>
      <w:lvlText w:val="%9."/>
      <w:lvlJc w:val="right"/>
      <w:pPr>
        <w:ind w:left="3780" w:hanging="420"/>
      </w:pPr>
    </w:lvl>
  </w:abstractNum>
  <w:abstractNum w:abstractNumId="14">
    <w:nsid w:val="1C6A3682"/>
    <w:multiLevelType w:val="multilevel"/>
    <w:tmpl w:val="1C6A3682"/>
    <w:lvl w:ilvl="0" w:tentative="0">
      <w:start w:val="1"/>
      <w:numFmt w:val="chineseCountingThousand"/>
      <w:suff w:val="space"/>
      <w:lvlText w:val="%1"/>
      <w:lvlJc w:val="left"/>
      <w:pPr>
        <w:ind w:left="143" w:firstLine="567"/>
      </w:pPr>
      <w:rPr>
        <w:rFonts w:hint="eastAsia"/>
        <w:lang w:val="en-US"/>
      </w:rPr>
    </w:lvl>
    <w:lvl w:ilvl="1" w:tentative="0">
      <w:start w:val="1"/>
      <w:numFmt w:val="decimal"/>
      <w:suff w:val="space"/>
      <w:lvlText w:val="%2."/>
      <w:lvlJc w:val="left"/>
      <w:pPr>
        <w:ind w:left="0"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F9D5B61"/>
    <w:multiLevelType w:val="multilevel"/>
    <w:tmpl w:val="1F9D5B61"/>
    <w:lvl w:ilvl="0" w:tentative="0">
      <w:start w:val="6"/>
      <w:numFmt w:val="chineseCountingThousand"/>
      <w:suff w:val="space"/>
      <w:lvlText w:val="%1"/>
      <w:lvlJc w:val="left"/>
      <w:pPr>
        <w:ind w:left="425" w:firstLine="142"/>
      </w:pPr>
      <w:rPr>
        <w:rFonts w:hint="eastAsia"/>
      </w:rPr>
    </w:lvl>
    <w:lvl w:ilvl="1" w:tentative="0">
      <w:start w:val="36"/>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0"/>
        </w:tabs>
        <w:ind w:left="0"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97207DF"/>
    <w:multiLevelType w:val="multilevel"/>
    <w:tmpl w:val="297207DF"/>
    <w:lvl w:ilvl="0" w:tentative="0">
      <w:start w:val="6"/>
      <w:numFmt w:val="chineseCountingThousand"/>
      <w:suff w:val="space"/>
      <w:lvlText w:val="%1"/>
      <w:lvlJc w:val="left"/>
      <w:pPr>
        <w:ind w:left="425" w:firstLine="142"/>
      </w:pPr>
      <w:rPr>
        <w:rFonts w:hint="eastAsia"/>
      </w:rPr>
    </w:lvl>
    <w:lvl w:ilvl="1" w:tentative="0">
      <w:start w:val="27"/>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1"/>
        </w:tabs>
        <w:ind w:left="1"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1F7771A"/>
    <w:multiLevelType w:val="multilevel"/>
    <w:tmpl w:val="31F7771A"/>
    <w:lvl w:ilvl="0" w:tentative="0">
      <w:start w:val="6"/>
      <w:numFmt w:val="chineseCountingThousand"/>
      <w:suff w:val="space"/>
      <w:lvlText w:val="%1"/>
      <w:lvlJc w:val="left"/>
      <w:pPr>
        <w:ind w:left="425" w:firstLine="142"/>
      </w:pPr>
      <w:rPr>
        <w:rFonts w:hint="eastAsia"/>
      </w:rPr>
    </w:lvl>
    <w:lvl w:ilvl="1" w:tentative="0">
      <w:start w:val="18"/>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1" w:firstLine="567"/>
      </w:pPr>
      <w:rPr>
        <w:rFonts w:hint="eastAsia"/>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5D1F68F7"/>
    <w:multiLevelType w:val="singleLevel"/>
    <w:tmpl w:val="5D1F68F7"/>
    <w:lvl w:ilvl="0" w:tentative="0">
      <w:start w:val="3"/>
      <w:numFmt w:val="chineseCounting"/>
      <w:suff w:val="space"/>
      <w:lvlText w:val="第%1章"/>
      <w:lvlJc w:val="left"/>
    </w:lvl>
  </w:abstractNum>
  <w:abstractNum w:abstractNumId="22">
    <w:nsid w:val="705210D5"/>
    <w:multiLevelType w:val="multilevel"/>
    <w:tmpl w:val="705210D5"/>
    <w:lvl w:ilvl="0" w:tentative="0">
      <w:start w:val="9"/>
      <w:numFmt w:val="chineseCountingThousand"/>
      <w:suff w:val="space"/>
      <w:lvlText w:val="%1、"/>
      <w:lvlJc w:val="left"/>
      <w:pPr>
        <w:ind w:left="425" w:firstLine="142"/>
      </w:pPr>
      <w:rPr>
        <w:rFonts w:hint="eastAsia"/>
      </w:rPr>
    </w:lvl>
    <w:lvl w:ilvl="1" w:tentative="0">
      <w:start w:val="34"/>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78900824"/>
    <w:multiLevelType w:val="multilevel"/>
    <w:tmpl w:val="78900824"/>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60"/>
        </w:tabs>
        <w:ind w:left="-27" w:firstLine="567"/>
      </w:pPr>
      <w:rPr>
        <w:rFonts w:hint="eastAsia" w:ascii="仿宋_GB2312" w:eastAsia="仿宋_GB2312"/>
        <w:b w:val="0"/>
        <w:i w:val="0"/>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num w:numId="1">
    <w:abstractNumId w:val="13"/>
  </w:num>
  <w:num w:numId="2">
    <w:abstractNumId w:val="4"/>
  </w:num>
  <w:num w:numId="3">
    <w:abstractNumId w:val="2"/>
  </w:num>
  <w:num w:numId="4">
    <w:abstractNumId w:val="3"/>
  </w:num>
  <w:num w:numId="5">
    <w:abstractNumId w:val="8"/>
  </w:num>
  <w:num w:numId="6">
    <w:abstractNumId w:val="12"/>
  </w:num>
  <w:num w:numId="7">
    <w:abstractNumId w:val="6"/>
  </w:num>
  <w:num w:numId="8">
    <w:abstractNumId w:val="9"/>
  </w:num>
  <w:num w:numId="9">
    <w:abstractNumId w:val="5"/>
  </w:num>
  <w:num w:numId="10">
    <w:abstractNumId w:val="11"/>
  </w:num>
  <w:num w:numId="11">
    <w:abstractNumId w:val="10"/>
  </w:num>
  <w:num w:numId="12">
    <w:abstractNumId w:val="7"/>
  </w:num>
  <w:num w:numId="13">
    <w:abstractNumId w:val="14"/>
  </w:num>
  <w:num w:numId="14">
    <w:abstractNumId w:val="15"/>
  </w:num>
  <w:num w:numId="15">
    <w:abstractNumId w:val="20"/>
  </w:num>
  <w:num w:numId="16">
    <w:abstractNumId w:val="18"/>
  </w:num>
  <w:num w:numId="17">
    <w:abstractNumId w:val="19"/>
  </w:num>
  <w:num w:numId="18">
    <w:abstractNumId w:val="0"/>
  </w:num>
  <w:num w:numId="19">
    <w:abstractNumId w:val="17"/>
  </w:num>
  <w:num w:numId="20">
    <w:abstractNumId w:val="22"/>
  </w:num>
  <w:num w:numId="21">
    <w:abstractNumId w:val="16"/>
  </w:num>
  <w:num w:numId="22">
    <w:abstractNumId w:val="21"/>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8"/>
    <w:rsid w:val="000054AD"/>
    <w:rsid w:val="00005D4A"/>
    <w:rsid w:val="00006B4E"/>
    <w:rsid w:val="00006DDD"/>
    <w:rsid w:val="000100DD"/>
    <w:rsid w:val="00010879"/>
    <w:rsid w:val="00010D30"/>
    <w:rsid w:val="00011304"/>
    <w:rsid w:val="00011513"/>
    <w:rsid w:val="00012E6D"/>
    <w:rsid w:val="00012F08"/>
    <w:rsid w:val="000141D1"/>
    <w:rsid w:val="0001491E"/>
    <w:rsid w:val="00016FE2"/>
    <w:rsid w:val="00021252"/>
    <w:rsid w:val="0002128C"/>
    <w:rsid w:val="00021E17"/>
    <w:rsid w:val="000227A9"/>
    <w:rsid w:val="000231AD"/>
    <w:rsid w:val="00024BCF"/>
    <w:rsid w:val="000252FD"/>
    <w:rsid w:val="00025414"/>
    <w:rsid w:val="00030418"/>
    <w:rsid w:val="000305AD"/>
    <w:rsid w:val="0003297C"/>
    <w:rsid w:val="0003300E"/>
    <w:rsid w:val="0003452C"/>
    <w:rsid w:val="00034868"/>
    <w:rsid w:val="00035C9C"/>
    <w:rsid w:val="0003664D"/>
    <w:rsid w:val="0003776A"/>
    <w:rsid w:val="00040A06"/>
    <w:rsid w:val="00040E34"/>
    <w:rsid w:val="00041D1D"/>
    <w:rsid w:val="000420B4"/>
    <w:rsid w:val="00044EFC"/>
    <w:rsid w:val="00045B61"/>
    <w:rsid w:val="00045E9D"/>
    <w:rsid w:val="0004606F"/>
    <w:rsid w:val="0004706F"/>
    <w:rsid w:val="00047BE9"/>
    <w:rsid w:val="000504C3"/>
    <w:rsid w:val="00052062"/>
    <w:rsid w:val="000523C3"/>
    <w:rsid w:val="00052ED3"/>
    <w:rsid w:val="000532FB"/>
    <w:rsid w:val="00056192"/>
    <w:rsid w:val="0005682D"/>
    <w:rsid w:val="0005708D"/>
    <w:rsid w:val="0005727F"/>
    <w:rsid w:val="000611BF"/>
    <w:rsid w:val="0006128F"/>
    <w:rsid w:val="000643EB"/>
    <w:rsid w:val="0006566F"/>
    <w:rsid w:val="0006667C"/>
    <w:rsid w:val="00066F33"/>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2ECF"/>
    <w:rsid w:val="00083823"/>
    <w:rsid w:val="00086379"/>
    <w:rsid w:val="00087119"/>
    <w:rsid w:val="0009020B"/>
    <w:rsid w:val="0009031B"/>
    <w:rsid w:val="00092641"/>
    <w:rsid w:val="0009274A"/>
    <w:rsid w:val="00093407"/>
    <w:rsid w:val="00093559"/>
    <w:rsid w:val="00093BD7"/>
    <w:rsid w:val="00095EA6"/>
    <w:rsid w:val="00097E54"/>
    <w:rsid w:val="000A0B2B"/>
    <w:rsid w:val="000A1A2A"/>
    <w:rsid w:val="000A2B29"/>
    <w:rsid w:val="000A4001"/>
    <w:rsid w:val="000A403E"/>
    <w:rsid w:val="000A5789"/>
    <w:rsid w:val="000A6CF4"/>
    <w:rsid w:val="000A6ECD"/>
    <w:rsid w:val="000A7298"/>
    <w:rsid w:val="000B012E"/>
    <w:rsid w:val="000B0802"/>
    <w:rsid w:val="000B083C"/>
    <w:rsid w:val="000B118B"/>
    <w:rsid w:val="000B198C"/>
    <w:rsid w:val="000B238C"/>
    <w:rsid w:val="000B2A27"/>
    <w:rsid w:val="000B2E81"/>
    <w:rsid w:val="000B5EB6"/>
    <w:rsid w:val="000B63D7"/>
    <w:rsid w:val="000B65FD"/>
    <w:rsid w:val="000B6766"/>
    <w:rsid w:val="000C0902"/>
    <w:rsid w:val="000C169E"/>
    <w:rsid w:val="000C68CB"/>
    <w:rsid w:val="000C69BF"/>
    <w:rsid w:val="000C7F0D"/>
    <w:rsid w:val="000D03A1"/>
    <w:rsid w:val="000D0627"/>
    <w:rsid w:val="000D07C3"/>
    <w:rsid w:val="000D184A"/>
    <w:rsid w:val="000D28D5"/>
    <w:rsid w:val="000D4B1F"/>
    <w:rsid w:val="000D55DC"/>
    <w:rsid w:val="000D6319"/>
    <w:rsid w:val="000D7176"/>
    <w:rsid w:val="000D72E2"/>
    <w:rsid w:val="000E12CA"/>
    <w:rsid w:val="000E61C3"/>
    <w:rsid w:val="000E7B99"/>
    <w:rsid w:val="000E7E59"/>
    <w:rsid w:val="000E7EF6"/>
    <w:rsid w:val="000F1C8B"/>
    <w:rsid w:val="000F1DD3"/>
    <w:rsid w:val="000F2DF8"/>
    <w:rsid w:val="000F326C"/>
    <w:rsid w:val="000F3D25"/>
    <w:rsid w:val="000F441D"/>
    <w:rsid w:val="000F6BE1"/>
    <w:rsid w:val="0010006B"/>
    <w:rsid w:val="001011F6"/>
    <w:rsid w:val="00102D4D"/>
    <w:rsid w:val="00103527"/>
    <w:rsid w:val="00103E1F"/>
    <w:rsid w:val="00103EF4"/>
    <w:rsid w:val="00105287"/>
    <w:rsid w:val="00105E66"/>
    <w:rsid w:val="00105EE8"/>
    <w:rsid w:val="001062FC"/>
    <w:rsid w:val="00107490"/>
    <w:rsid w:val="001076D4"/>
    <w:rsid w:val="001148E5"/>
    <w:rsid w:val="00117C63"/>
    <w:rsid w:val="00120B7A"/>
    <w:rsid w:val="00120EA3"/>
    <w:rsid w:val="0012233B"/>
    <w:rsid w:val="00122505"/>
    <w:rsid w:val="00122756"/>
    <w:rsid w:val="00122D07"/>
    <w:rsid w:val="001241FA"/>
    <w:rsid w:val="001243E3"/>
    <w:rsid w:val="00124508"/>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7310"/>
    <w:rsid w:val="00170980"/>
    <w:rsid w:val="001712BD"/>
    <w:rsid w:val="00171CB5"/>
    <w:rsid w:val="001720C5"/>
    <w:rsid w:val="001728F6"/>
    <w:rsid w:val="00172A27"/>
    <w:rsid w:val="001736A4"/>
    <w:rsid w:val="00173C6F"/>
    <w:rsid w:val="001761E7"/>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5766"/>
    <w:rsid w:val="00196D14"/>
    <w:rsid w:val="001978F2"/>
    <w:rsid w:val="00197BCA"/>
    <w:rsid w:val="00197BE6"/>
    <w:rsid w:val="00197D3F"/>
    <w:rsid w:val="001A0FF0"/>
    <w:rsid w:val="001A2E25"/>
    <w:rsid w:val="001A2E75"/>
    <w:rsid w:val="001A396A"/>
    <w:rsid w:val="001A49FB"/>
    <w:rsid w:val="001A5B84"/>
    <w:rsid w:val="001A5F55"/>
    <w:rsid w:val="001A6292"/>
    <w:rsid w:val="001A6DAA"/>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678F"/>
    <w:rsid w:val="001D7DFD"/>
    <w:rsid w:val="001E2AC8"/>
    <w:rsid w:val="001E3FEB"/>
    <w:rsid w:val="001E413D"/>
    <w:rsid w:val="001E671D"/>
    <w:rsid w:val="001E6DEA"/>
    <w:rsid w:val="001E6FAA"/>
    <w:rsid w:val="001F0EDA"/>
    <w:rsid w:val="001F2338"/>
    <w:rsid w:val="001F2B7D"/>
    <w:rsid w:val="001F3258"/>
    <w:rsid w:val="001F3915"/>
    <w:rsid w:val="001F4F79"/>
    <w:rsid w:val="001F549F"/>
    <w:rsid w:val="001F5D25"/>
    <w:rsid w:val="00200B91"/>
    <w:rsid w:val="0020367B"/>
    <w:rsid w:val="00203A85"/>
    <w:rsid w:val="00203FAA"/>
    <w:rsid w:val="0020439D"/>
    <w:rsid w:val="00204AF9"/>
    <w:rsid w:val="00205458"/>
    <w:rsid w:val="002103C8"/>
    <w:rsid w:val="00213B47"/>
    <w:rsid w:val="0021696E"/>
    <w:rsid w:val="00221449"/>
    <w:rsid w:val="002220B0"/>
    <w:rsid w:val="00226717"/>
    <w:rsid w:val="002272D2"/>
    <w:rsid w:val="002276AE"/>
    <w:rsid w:val="00227A3B"/>
    <w:rsid w:val="00234573"/>
    <w:rsid w:val="0023589C"/>
    <w:rsid w:val="002374D5"/>
    <w:rsid w:val="002406B1"/>
    <w:rsid w:val="00240942"/>
    <w:rsid w:val="00240992"/>
    <w:rsid w:val="00240DFD"/>
    <w:rsid w:val="00240E80"/>
    <w:rsid w:val="00243EF9"/>
    <w:rsid w:val="00245ECC"/>
    <w:rsid w:val="00247559"/>
    <w:rsid w:val="00250056"/>
    <w:rsid w:val="00250DCC"/>
    <w:rsid w:val="00253895"/>
    <w:rsid w:val="00254308"/>
    <w:rsid w:val="00254CDB"/>
    <w:rsid w:val="00255204"/>
    <w:rsid w:val="002554F3"/>
    <w:rsid w:val="00260B9D"/>
    <w:rsid w:val="002610C1"/>
    <w:rsid w:val="00261852"/>
    <w:rsid w:val="0026303D"/>
    <w:rsid w:val="002641DB"/>
    <w:rsid w:val="002648E7"/>
    <w:rsid w:val="00265C1B"/>
    <w:rsid w:val="0027018D"/>
    <w:rsid w:val="00271BEF"/>
    <w:rsid w:val="002736F3"/>
    <w:rsid w:val="002739D0"/>
    <w:rsid w:val="00273D8B"/>
    <w:rsid w:val="002745D5"/>
    <w:rsid w:val="00276BAA"/>
    <w:rsid w:val="00276BC3"/>
    <w:rsid w:val="00277845"/>
    <w:rsid w:val="00277A29"/>
    <w:rsid w:val="002817B9"/>
    <w:rsid w:val="002818B7"/>
    <w:rsid w:val="002821F0"/>
    <w:rsid w:val="002822CE"/>
    <w:rsid w:val="0028290C"/>
    <w:rsid w:val="0028384F"/>
    <w:rsid w:val="00284A17"/>
    <w:rsid w:val="002864BB"/>
    <w:rsid w:val="00286F22"/>
    <w:rsid w:val="0029097C"/>
    <w:rsid w:val="00297364"/>
    <w:rsid w:val="002A0415"/>
    <w:rsid w:val="002A0756"/>
    <w:rsid w:val="002A3D3F"/>
    <w:rsid w:val="002A52D2"/>
    <w:rsid w:val="002A5D19"/>
    <w:rsid w:val="002A6FA8"/>
    <w:rsid w:val="002A7523"/>
    <w:rsid w:val="002B19B9"/>
    <w:rsid w:val="002B1B2F"/>
    <w:rsid w:val="002B2730"/>
    <w:rsid w:val="002B4036"/>
    <w:rsid w:val="002B5B4F"/>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2412"/>
    <w:rsid w:val="002E27B4"/>
    <w:rsid w:val="002E2A8C"/>
    <w:rsid w:val="002E433B"/>
    <w:rsid w:val="002E5BBB"/>
    <w:rsid w:val="002E650E"/>
    <w:rsid w:val="002E6510"/>
    <w:rsid w:val="002E6F83"/>
    <w:rsid w:val="002F0489"/>
    <w:rsid w:val="002F182C"/>
    <w:rsid w:val="002F286E"/>
    <w:rsid w:val="002F390E"/>
    <w:rsid w:val="002F435F"/>
    <w:rsid w:val="002F55C3"/>
    <w:rsid w:val="003027DE"/>
    <w:rsid w:val="00303165"/>
    <w:rsid w:val="00303B8A"/>
    <w:rsid w:val="0030410F"/>
    <w:rsid w:val="00304DAB"/>
    <w:rsid w:val="00306149"/>
    <w:rsid w:val="003069EF"/>
    <w:rsid w:val="00307C81"/>
    <w:rsid w:val="003156B6"/>
    <w:rsid w:val="00316674"/>
    <w:rsid w:val="00316AB8"/>
    <w:rsid w:val="00320A65"/>
    <w:rsid w:val="003210AE"/>
    <w:rsid w:val="00321A27"/>
    <w:rsid w:val="00324D93"/>
    <w:rsid w:val="003257DF"/>
    <w:rsid w:val="0032662E"/>
    <w:rsid w:val="003323DC"/>
    <w:rsid w:val="00336357"/>
    <w:rsid w:val="0033646D"/>
    <w:rsid w:val="00337297"/>
    <w:rsid w:val="00337851"/>
    <w:rsid w:val="0034020D"/>
    <w:rsid w:val="00340820"/>
    <w:rsid w:val="00342CBB"/>
    <w:rsid w:val="003434B3"/>
    <w:rsid w:val="00344151"/>
    <w:rsid w:val="003446AF"/>
    <w:rsid w:val="00346A1F"/>
    <w:rsid w:val="00347BFA"/>
    <w:rsid w:val="003500D9"/>
    <w:rsid w:val="00350885"/>
    <w:rsid w:val="0035188E"/>
    <w:rsid w:val="003518D9"/>
    <w:rsid w:val="00351B64"/>
    <w:rsid w:val="00354624"/>
    <w:rsid w:val="003550F1"/>
    <w:rsid w:val="00355F5E"/>
    <w:rsid w:val="003565B6"/>
    <w:rsid w:val="0035763B"/>
    <w:rsid w:val="00357E1E"/>
    <w:rsid w:val="0036020D"/>
    <w:rsid w:val="00360A5B"/>
    <w:rsid w:val="00360F0F"/>
    <w:rsid w:val="00361D75"/>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8586C"/>
    <w:rsid w:val="00392968"/>
    <w:rsid w:val="00392D12"/>
    <w:rsid w:val="00393017"/>
    <w:rsid w:val="003939F6"/>
    <w:rsid w:val="00394131"/>
    <w:rsid w:val="003944CE"/>
    <w:rsid w:val="003960A0"/>
    <w:rsid w:val="00396AE9"/>
    <w:rsid w:val="00396CD1"/>
    <w:rsid w:val="003A1063"/>
    <w:rsid w:val="003A3CAA"/>
    <w:rsid w:val="003A4554"/>
    <w:rsid w:val="003A4609"/>
    <w:rsid w:val="003A6996"/>
    <w:rsid w:val="003A6CE6"/>
    <w:rsid w:val="003B09FA"/>
    <w:rsid w:val="003B0FDE"/>
    <w:rsid w:val="003B149B"/>
    <w:rsid w:val="003B1B30"/>
    <w:rsid w:val="003B2458"/>
    <w:rsid w:val="003B2F26"/>
    <w:rsid w:val="003B3270"/>
    <w:rsid w:val="003B36BC"/>
    <w:rsid w:val="003B4027"/>
    <w:rsid w:val="003B4973"/>
    <w:rsid w:val="003B4FE1"/>
    <w:rsid w:val="003B6688"/>
    <w:rsid w:val="003C0BBB"/>
    <w:rsid w:val="003C230B"/>
    <w:rsid w:val="003C3CF5"/>
    <w:rsid w:val="003C682E"/>
    <w:rsid w:val="003C6E56"/>
    <w:rsid w:val="003C7CB7"/>
    <w:rsid w:val="003D0635"/>
    <w:rsid w:val="003D3A87"/>
    <w:rsid w:val="003D3BBB"/>
    <w:rsid w:val="003D4752"/>
    <w:rsid w:val="003D4BBD"/>
    <w:rsid w:val="003D6027"/>
    <w:rsid w:val="003D680B"/>
    <w:rsid w:val="003D702F"/>
    <w:rsid w:val="003E04E3"/>
    <w:rsid w:val="003E05FA"/>
    <w:rsid w:val="003E0CB1"/>
    <w:rsid w:val="003E19E2"/>
    <w:rsid w:val="003E3217"/>
    <w:rsid w:val="003E34E8"/>
    <w:rsid w:val="003E4C1C"/>
    <w:rsid w:val="003E568D"/>
    <w:rsid w:val="003E56E5"/>
    <w:rsid w:val="003E61B4"/>
    <w:rsid w:val="003E7345"/>
    <w:rsid w:val="003F14F8"/>
    <w:rsid w:val="003F22A9"/>
    <w:rsid w:val="003F3483"/>
    <w:rsid w:val="003F37FD"/>
    <w:rsid w:val="003F395C"/>
    <w:rsid w:val="003F3A15"/>
    <w:rsid w:val="003F48D7"/>
    <w:rsid w:val="003F5203"/>
    <w:rsid w:val="003F523C"/>
    <w:rsid w:val="003F53B2"/>
    <w:rsid w:val="003F5C04"/>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877"/>
    <w:rsid w:val="00423B7A"/>
    <w:rsid w:val="00424BCB"/>
    <w:rsid w:val="004272B0"/>
    <w:rsid w:val="00427F3C"/>
    <w:rsid w:val="00430175"/>
    <w:rsid w:val="0043028A"/>
    <w:rsid w:val="004312AA"/>
    <w:rsid w:val="0043167D"/>
    <w:rsid w:val="00431871"/>
    <w:rsid w:val="00431DB1"/>
    <w:rsid w:val="00432DBF"/>
    <w:rsid w:val="00433838"/>
    <w:rsid w:val="004348A1"/>
    <w:rsid w:val="004350D7"/>
    <w:rsid w:val="00436C89"/>
    <w:rsid w:val="00436E52"/>
    <w:rsid w:val="004370F1"/>
    <w:rsid w:val="00440502"/>
    <w:rsid w:val="00440FE1"/>
    <w:rsid w:val="00444723"/>
    <w:rsid w:val="004450C6"/>
    <w:rsid w:val="00445949"/>
    <w:rsid w:val="00445CE6"/>
    <w:rsid w:val="00447EC1"/>
    <w:rsid w:val="00454FDA"/>
    <w:rsid w:val="00456C6F"/>
    <w:rsid w:val="004573C1"/>
    <w:rsid w:val="004573DA"/>
    <w:rsid w:val="004616DB"/>
    <w:rsid w:val="004626A6"/>
    <w:rsid w:val="0046301D"/>
    <w:rsid w:val="00463958"/>
    <w:rsid w:val="00463D24"/>
    <w:rsid w:val="004653D7"/>
    <w:rsid w:val="0046584B"/>
    <w:rsid w:val="00466DBD"/>
    <w:rsid w:val="00471D94"/>
    <w:rsid w:val="00472F89"/>
    <w:rsid w:val="00476823"/>
    <w:rsid w:val="004771EE"/>
    <w:rsid w:val="004775F5"/>
    <w:rsid w:val="00481954"/>
    <w:rsid w:val="004829E4"/>
    <w:rsid w:val="004838BE"/>
    <w:rsid w:val="0048528A"/>
    <w:rsid w:val="00486895"/>
    <w:rsid w:val="00486CFF"/>
    <w:rsid w:val="00486D37"/>
    <w:rsid w:val="00487242"/>
    <w:rsid w:val="00490B79"/>
    <w:rsid w:val="004918AF"/>
    <w:rsid w:val="00491AF4"/>
    <w:rsid w:val="004920FE"/>
    <w:rsid w:val="00492F6C"/>
    <w:rsid w:val="004937AB"/>
    <w:rsid w:val="0049490A"/>
    <w:rsid w:val="00495104"/>
    <w:rsid w:val="0049624A"/>
    <w:rsid w:val="00496DBE"/>
    <w:rsid w:val="00497363"/>
    <w:rsid w:val="004A1047"/>
    <w:rsid w:val="004A1E77"/>
    <w:rsid w:val="004A4060"/>
    <w:rsid w:val="004A4462"/>
    <w:rsid w:val="004A471E"/>
    <w:rsid w:val="004A4877"/>
    <w:rsid w:val="004A4AC6"/>
    <w:rsid w:val="004A6FD1"/>
    <w:rsid w:val="004B0ED1"/>
    <w:rsid w:val="004B1732"/>
    <w:rsid w:val="004B1C43"/>
    <w:rsid w:val="004B20DA"/>
    <w:rsid w:val="004B2195"/>
    <w:rsid w:val="004B3F08"/>
    <w:rsid w:val="004C19CA"/>
    <w:rsid w:val="004C3054"/>
    <w:rsid w:val="004C3970"/>
    <w:rsid w:val="004C3F61"/>
    <w:rsid w:val="004C4EB0"/>
    <w:rsid w:val="004C5079"/>
    <w:rsid w:val="004C50EB"/>
    <w:rsid w:val="004C5362"/>
    <w:rsid w:val="004C7251"/>
    <w:rsid w:val="004D02A8"/>
    <w:rsid w:val="004D0840"/>
    <w:rsid w:val="004D0FD6"/>
    <w:rsid w:val="004D27F7"/>
    <w:rsid w:val="004D2CF5"/>
    <w:rsid w:val="004D3350"/>
    <w:rsid w:val="004D372F"/>
    <w:rsid w:val="004D78B1"/>
    <w:rsid w:val="004D7B43"/>
    <w:rsid w:val="004E1262"/>
    <w:rsid w:val="004E4C97"/>
    <w:rsid w:val="004E6214"/>
    <w:rsid w:val="004E75F6"/>
    <w:rsid w:val="004F0318"/>
    <w:rsid w:val="004F0844"/>
    <w:rsid w:val="004F0A4D"/>
    <w:rsid w:val="004F2355"/>
    <w:rsid w:val="004F243D"/>
    <w:rsid w:val="004F256F"/>
    <w:rsid w:val="004F2600"/>
    <w:rsid w:val="004F2CBF"/>
    <w:rsid w:val="004F2F2D"/>
    <w:rsid w:val="004F36C4"/>
    <w:rsid w:val="004F37A5"/>
    <w:rsid w:val="005015F3"/>
    <w:rsid w:val="00503407"/>
    <w:rsid w:val="00503575"/>
    <w:rsid w:val="00503907"/>
    <w:rsid w:val="0050405D"/>
    <w:rsid w:val="0050426C"/>
    <w:rsid w:val="00504B64"/>
    <w:rsid w:val="00504C12"/>
    <w:rsid w:val="00505AF7"/>
    <w:rsid w:val="00507222"/>
    <w:rsid w:val="00507945"/>
    <w:rsid w:val="00510240"/>
    <w:rsid w:val="00510BA5"/>
    <w:rsid w:val="00512269"/>
    <w:rsid w:val="005204DC"/>
    <w:rsid w:val="005213A2"/>
    <w:rsid w:val="0052180B"/>
    <w:rsid w:val="00521C90"/>
    <w:rsid w:val="00522CA2"/>
    <w:rsid w:val="00523334"/>
    <w:rsid w:val="00523D21"/>
    <w:rsid w:val="00524C40"/>
    <w:rsid w:val="00531868"/>
    <w:rsid w:val="00531D78"/>
    <w:rsid w:val="00533480"/>
    <w:rsid w:val="00534369"/>
    <w:rsid w:val="00535260"/>
    <w:rsid w:val="00535323"/>
    <w:rsid w:val="00535F75"/>
    <w:rsid w:val="005378E3"/>
    <w:rsid w:val="00540CCB"/>
    <w:rsid w:val="005445B8"/>
    <w:rsid w:val="00544D61"/>
    <w:rsid w:val="0054510A"/>
    <w:rsid w:val="00546D69"/>
    <w:rsid w:val="005476E1"/>
    <w:rsid w:val="00547FE8"/>
    <w:rsid w:val="0055039F"/>
    <w:rsid w:val="00551170"/>
    <w:rsid w:val="0055150A"/>
    <w:rsid w:val="0055186B"/>
    <w:rsid w:val="0055189C"/>
    <w:rsid w:val="00552362"/>
    <w:rsid w:val="0055295F"/>
    <w:rsid w:val="00554097"/>
    <w:rsid w:val="005555C7"/>
    <w:rsid w:val="00556209"/>
    <w:rsid w:val="00557BE5"/>
    <w:rsid w:val="00560782"/>
    <w:rsid w:val="00561AEA"/>
    <w:rsid w:val="00564340"/>
    <w:rsid w:val="005657B4"/>
    <w:rsid w:val="00565B0B"/>
    <w:rsid w:val="0056696E"/>
    <w:rsid w:val="00566AE0"/>
    <w:rsid w:val="00566ED9"/>
    <w:rsid w:val="0056757F"/>
    <w:rsid w:val="005700E1"/>
    <w:rsid w:val="00570A35"/>
    <w:rsid w:val="00572579"/>
    <w:rsid w:val="00573BEA"/>
    <w:rsid w:val="00574371"/>
    <w:rsid w:val="00574E5F"/>
    <w:rsid w:val="00576F88"/>
    <w:rsid w:val="005803C5"/>
    <w:rsid w:val="00580E94"/>
    <w:rsid w:val="00580F24"/>
    <w:rsid w:val="00582B1B"/>
    <w:rsid w:val="005840BF"/>
    <w:rsid w:val="0058545F"/>
    <w:rsid w:val="0058699C"/>
    <w:rsid w:val="00587C08"/>
    <w:rsid w:val="005901FB"/>
    <w:rsid w:val="005918C1"/>
    <w:rsid w:val="00592508"/>
    <w:rsid w:val="005930A5"/>
    <w:rsid w:val="0059540B"/>
    <w:rsid w:val="005955C0"/>
    <w:rsid w:val="00596631"/>
    <w:rsid w:val="0059694E"/>
    <w:rsid w:val="00596C2F"/>
    <w:rsid w:val="005972FB"/>
    <w:rsid w:val="005A0C9C"/>
    <w:rsid w:val="005A2C4C"/>
    <w:rsid w:val="005A6357"/>
    <w:rsid w:val="005A74A5"/>
    <w:rsid w:val="005A7E04"/>
    <w:rsid w:val="005A7F0A"/>
    <w:rsid w:val="005B111A"/>
    <w:rsid w:val="005B1300"/>
    <w:rsid w:val="005B3559"/>
    <w:rsid w:val="005B45FB"/>
    <w:rsid w:val="005B48E4"/>
    <w:rsid w:val="005B5A3E"/>
    <w:rsid w:val="005B6A22"/>
    <w:rsid w:val="005B71C6"/>
    <w:rsid w:val="005C0A5F"/>
    <w:rsid w:val="005C2F7F"/>
    <w:rsid w:val="005D0329"/>
    <w:rsid w:val="005D0839"/>
    <w:rsid w:val="005D16A6"/>
    <w:rsid w:val="005D1E14"/>
    <w:rsid w:val="005D26C5"/>
    <w:rsid w:val="005D2B5A"/>
    <w:rsid w:val="005D354F"/>
    <w:rsid w:val="005D4C39"/>
    <w:rsid w:val="005D6A7D"/>
    <w:rsid w:val="005D72E3"/>
    <w:rsid w:val="005E05A1"/>
    <w:rsid w:val="005E13D4"/>
    <w:rsid w:val="005E31CE"/>
    <w:rsid w:val="005E39D5"/>
    <w:rsid w:val="005E4B9B"/>
    <w:rsid w:val="005E4DA7"/>
    <w:rsid w:val="005E5317"/>
    <w:rsid w:val="005E6A83"/>
    <w:rsid w:val="005E72DE"/>
    <w:rsid w:val="005F199D"/>
    <w:rsid w:val="005F233E"/>
    <w:rsid w:val="005F26EA"/>
    <w:rsid w:val="005F27C0"/>
    <w:rsid w:val="005F3288"/>
    <w:rsid w:val="005F3A97"/>
    <w:rsid w:val="005F3D8C"/>
    <w:rsid w:val="005F50D5"/>
    <w:rsid w:val="005F6E63"/>
    <w:rsid w:val="005F7A95"/>
    <w:rsid w:val="006000D3"/>
    <w:rsid w:val="006004FE"/>
    <w:rsid w:val="00600E3D"/>
    <w:rsid w:val="0060425F"/>
    <w:rsid w:val="006045CD"/>
    <w:rsid w:val="00604B8C"/>
    <w:rsid w:val="00604DED"/>
    <w:rsid w:val="00605925"/>
    <w:rsid w:val="00606179"/>
    <w:rsid w:val="00613A79"/>
    <w:rsid w:val="00613B78"/>
    <w:rsid w:val="006151C5"/>
    <w:rsid w:val="00617473"/>
    <w:rsid w:val="006174DF"/>
    <w:rsid w:val="00620D28"/>
    <w:rsid w:val="0062116A"/>
    <w:rsid w:val="00622083"/>
    <w:rsid w:val="0062341C"/>
    <w:rsid w:val="006236C9"/>
    <w:rsid w:val="0062386A"/>
    <w:rsid w:val="00624724"/>
    <w:rsid w:val="00624E37"/>
    <w:rsid w:val="00626076"/>
    <w:rsid w:val="00626DAA"/>
    <w:rsid w:val="006313B5"/>
    <w:rsid w:val="00631CA5"/>
    <w:rsid w:val="006371FD"/>
    <w:rsid w:val="00640002"/>
    <w:rsid w:val="006407B1"/>
    <w:rsid w:val="00640943"/>
    <w:rsid w:val="00642BCE"/>
    <w:rsid w:val="00647F78"/>
    <w:rsid w:val="006521E3"/>
    <w:rsid w:val="0065268F"/>
    <w:rsid w:val="006530C8"/>
    <w:rsid w:val="006531FE"/>
    <w:rsid w:val="0065350D"/>
    <w:rsid w:val="00653886"/>
    <w:rsid w:val="00655893"/>
    <w:rsid w:val="00655E2A"/>
    <w:rsid w:val="00662666"/>
    <w:rsid w:val="006633DD"/>
    <w:rsid w:val="0066358D"/>
    <w:rsid w:val="00664DA8"/>
    <w:rsid w:val="00665D69"/>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6067"/>
    <w:rsid w:val="00686AE6"/>
    <w:rsid w:val="00691AEA"/>
    <w:rsid w:val="00693F10"/>
    <w:rsid w:val="0069559D"/>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6EC"/>
    <w:rsid w:val="006E2CD9"/>
    <w:rsid w:val="006E3859"/>
    <w:rsid w:val="006E4663"/>
    <w:rsid w:val="006E524C"/>
    <w:rsid w:val="006F04D4"/>
    <w:rsid w:val="006F10D9"/>
    <w:rsid w:val="006F2AEC"/>
    <w:rsid w:val="006F2CB0"/>
    <w:rsid w:val="006F38AC"/>
    <w:rsid w:val="00701AE0"/>
    <w:rsid w:val="00702714"/>
    <w:rsid w:val="00703344"/>
    <w:rsid w:val="007069F3"/>
    <w:rsid w:val="00706C65"/>
    <w:rsid w:val="00710A83"/>
    <w:rsid w:val="00711814"/>
    <w:rsid w:val="0071212C"/>
    <w:rsid w:val="00713305"/>
    <w:rsid w:val="007133A5"/>
    <w:rsid w:val="00713571"/>
    <w:rsid w:val="007168B6"/>
    <w:rsid w:val="007179D0"/>
    <w:rsid w:val="007204A5"/>
    <w:rsid w:val="007211A3"/>
    <w:rsid w:val="0072255B"/>
    <w:rsid w:val="0072279C"/>
    <w:rsid w:val="00723F4B"/>
    <w:rsid w:val="007251C2"/>
    <w:rsid w:val="00725D82"/>
    <w:rsid w:val="00732480"/>
    <w:rsid w:val="00732BA8"/>
    <w:rsid w:val="00732D3B"/>
    <w:rsid w:val="00733943"/>
    <w:rsid w:val="00733B64"/>
    <w:rsid w:val="007357AF"/>
    <w:rsid w:val="00735BE4"/>
    <w:rsid w:val="007365A2"/>
    <w:rsid w:val="0073675E"/>
    <w:rsid w:val="0073755E"/>
    <w:rsid w:val="007407C4"/>
    <w:rsid w:val="0074143F"/>
    <w:rsid w:val="00743F16"/>
    <w:rsid w:val="0074466D"/>
    <w:rsid w:val="00744CEA"/>
    <w:rsid w:val="00745569"/>
    <w:rsid w:val="00747B72"/>
    <w:rsid w:val="00750134"/>
    <w:rsid w:val="007502F9"/>
    <w:rsid w:val="0075088B"/>
    <w:rsid w:val="00752149"/>
    <w:rsid w:val="00752661"/>
    <w:rsid w:val="00755A70"/>
    <w:rsid w:val="00755B17"/>
    <w:rsid w:val="00755D2B"/>
    <w:rsid w:val="00756AD7"/>
    <w:rsid w:val="00757CC8"/>
    <w:rsid w:val="007645F0"/>
    <w:rsid w:val="00764C62"/>
    <w:rsid w:val="00764F77"/>
    <w:rsid w:val="00765022"/>
    <w:rsid w:val="00766751"/>
    <w:rsid w:val="0076749F"/>
    <w:rsid w:val="0077423A"/>
    <w:rsid w:val="0077431C"/>
    <w:rsid w:val="0077432E"/>
    <w:rsid w:val="00774609"/>
    <w:rsid w:val="0077523A"/>
    <w:rsid w:val="007766B8"/>
    <w:rsid w:val="0077699D"/>
    <w:rsid w:val="00781FD1"/>
    <w:rsid w:val="00783F9B"/>
    <w:rsid w:val="00784A65"/>
    <w:rsid w:val="007866A3"/>
    <w:rsid w:val="00786B8E"/>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4056"/>
    <w:rsid w:val="007A426A"/>
    <w:rsid w:val="007A465B"/>
    <w:rsid w:val="007A49A7"/>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39C2"/>
    <w:rsid w:val="007F448A"/>
    <w:rsid w:val="007F4EA2"/>
    <w:rsid w:val="007F5A30"/>
    <w:rsid w:val="007F7B28"/>
    <w:rsid w:val="008009A2"/>
    <w:rsid w:val="008016F8"/>
    <w:rsid w:val="00801899"/>
    <w:rsid w:val="0080270D"/>
    <w:rsid w:val="0080304B"/>
    <w:rsid w:val="008044D4"/>
    <w:rsid w:val="008047CE"/>
    <w:rsid w:val="00806ED8"/>
    <w:rsid w:val="00810902"/>
    <w:rsid w:val="00810B34"/>
    <w:rsid w:val="00811B5E"/>
    <w:rsid w:val="00811BD9"/>
    <w:rsid w:val="00811D91"/>
    <w:rsid w:val="00812042"/>
    <w:rsid w:val="0081230E"/>
    <w:rsid w:val="00815997"/>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EC0"/>
    <w:rsid w:val="00842775"/>
    <w:rsid w:val="008442B7"/>
    <w:rsid w:val="0084499C"/>
    <w:rsid w:val="00844A44"/>
    <w:rsid w:val="00845636"/>
    <w:rsid w:val="0085018C"/>
    <w:rsid w:val="008508EC"/>
    <w:rsid w:val="00850B1C"/>
    <w:rsid w:val="00850DDB"/>
    <w:rsid w:val="00850DF4"/>
    <w:rsid w:val="00852292"/>
    <w:rsid w:val="00852ABD"/>
    <w:rsid w:val="00853568"/>
    <w:rsid w:val="00855012"/>
    <w:rsid w:val="00855302"/>
    <w:rsid w:val="0085625C"/>
    <w:rsid w:val="00860373"/>
    <w:rsid w:val="008669E8"/>
    <w:rsid w:val="00866C7B"/>
    <w:rsid w:val="00867767"/>
    <w:rsid w:val="008708ED"/>
    <w:rsid w:val="00870C74"/>
    <w:rsid w:val="0087189A"/>
    <w:rsid w:val="00872601"/>
    <w:rsid w:val="0087411E"/>
    <w:rsid w:val="008750DB"/>
    <w:rsid w:val="00875271"/>
    <w:rsid w:val="008755C8"/>
    <w:rsid w:val="00875EA3"/>
    <w:rsid w:val="00882452"/>
    <w:rsid w:val="0088361C"/>
    <w:rsid w:val="0088389A"/>
    <w:rsid w:val="00885AD4"/>
    <w:rsid w:val="008905F0"/>
    <w:rsid w:val="008906E6"/>
    <w:rsid w:val="00890D52"/>
    <w:rsid w:val="00890F77"/>
    <w:rsid w:val="008915C9"/>
    <w:rsid w:val="0089318F"/>
    <w:rsid w:val="0089628E"/>
    <w:rsid w:val="008977A0"/>
    <w:rsid w:val="008A0272"/>
    <w:rsid w:val="008A0B50"/>
    <w:rsid w:val="008A20C1"/>
    <w:rsid w:val="008A287C"/>
    <w:rsid w:val="008A4072"/>
    <w:rsid w:val="008A41C3"/>
    <w:rsid w:val="008A52CE"/>
    <w:rsid w:val="008A560A"/>
    <w:rsid w:val="008A74B5"/>
    <w:rsid w:val="008B3B3F"/>
    <w:rsid w:val="008B3D39"/>
    <w:rsid w:val="008B4AA9"/>
    <w:rsid w:val="008B4E91"/>
    <w:rsid w:val="008B4FCE"/>
    <w:rsid w:val="008B60B9"/>
    <w:rsid w:val="008B6129"/>
    <w:rsid w:val="008B64CC"/>
    <w:rsid w:val="008C28D2"/>
    <w:rsid w:val="008C2F50"/>
    <w:rsid w:val="008C3B02"/>
    <w:rsid w:val="008C3C1B"/>
    <w:rsid w:val="008C4A3B"/>
    <w:rsid w:val="008C59BF"/>
    <w:rsid w:val="008C6CAE"/>
    <w:rsid w:val="008C7316"/>
    <w:rsid w:val="008C7D3E"/>
    <w:rsid w:val="008D0EAA"/>
    <w:rsid w:val="008D0F3E"/>
    <w:rsid w:val="008D16FD"/>
    <w:rsid w:val="008D1CAE"/>
    <w:rsid w:val="008D221C"/>
    <w:rsid w:val="008D4112"/>
    <w:rsid w:val="008D71D0"/>
    <w:rsid w:val="008E0282"/>
    <w:rsid w:val="008E0D61"/>
    <w:rsid w:val="008E433B"/>
    <w:rsid w:val="008E57A9"/>
    <w:rsid w:val="008E6D76"/>
    <w:rsid w:val="008F0197"/>
    <w:rsid w:val="008F0617"/>
    <w:rsid w:val="008F299F"/>
    <w:rsid w:val="008F4E6D"/>
    <w:rsid w:val="008F6DAF"/>
    <w:rsid w:val="008F74C6"/>
    <w:rsid w:val="0090210B"/>
    <w:rsid w:val="0090497E"/>
    <w:rsid w:val="00907FA7"/>
    <w:rsid w:val="009102C0"/>
    <w:rsid w:val="00912793"/>
    <w:rsid w:val="00914528"/>
    <w:rsid w:val="00916D24"/>
    <w:rsid w:val="009204BD"/>
    <w:rsid w:val="00920C1F"/>
    <w:rsid w:val="009214E5"/>
    <w:rsid w:val="00922562"/>
    <w:rsid w:val="00922BC5"/>
    <w:rsid w:val="00922C60"/>
    <w:rsid w:val="00922E2C"/>
    <w:rsid w:val="009234FD"/>
    <w:rsid w:val="00923E5A"/>
    <w:rsid w:val="00924CB5"/>
    <w:rsid w:val="00925227"/>
    <w:rsid w:val="009255E6"/>
    <w:rsid w:val="00927A89"/>
    <w:rsid w:val="00934005"/>
    <w:rsid w:val="0093495D"/>
    <w:rsid w:val="009360B3"/>
    <w:rsid w:val="00937511"/>
    <w:rsid w:val="00937589"/>
    <w:rsid w:val="009415AF"/>
    <w:rsid w:val="00943076"/>
    <w:rsid w:val="00944946"/>
    <w:rsid w:val="00944E54"/>
    <w:rsid w:val="00945B65"/>
    <w:rsid w:val="0094674F"/>
    <w:rsid w:val="00946A1B"/>
    <w:rsid w:val="00947F6C"/>
    <w:rsid w:val="00950857"/>
    <w:rsid w:val="00950DC6"/>
    <w:rsid w:val="00951ABA"/>
    <w:rsid w:val="00953AF8"/>
    <w:rsid w:val="00954D82"/>
    <w:rsid w:val="00954F46"/>
    <w:rsid w:val="00955062"/>
    <w:rsid w:val="00956422"/>
    <w:rsid w:val="00957245"/>
    <w:rsid w:val="00957A7D"/>
    <w:rsid w:val="00957DC1"/>
    <w:rsid w:val="0096023B"/>
    <w:rsid w:val="00961391"/>
    <w:rsid w:val="00962966"/>
    <w:rsid w:val="009631A3"/>
    <w:rsid w:val="00964F08"/>
    <w:rsid w:val="009656CA"/>
    <w:rsid w:val="00965BEB"/>
    <w:rsid w:val="009668FC"/>
    <w:rsid w:val="00967794"/>
    <w:rsid w:val="00967AB5"/>
    <w:rsid w:val="00967C1D"/>
    <w:rsid w:val="00970229"/>
    <w:rsid w:val="009703E8"/>
    <w:rsid w:val="00970A3B"/>
    <w:rsid w:val="00971D5C"/>
    <w:rsid w:val="00972629"/>
    <w:rsid w:val="00973629"/>
    <w:rsid w:val="009736C5"/>
    <w:rsid w:val="00973887"/>
    <w:rsid w:val="00974C2C"/>
    <w:rsid w:val="00976F33"/>
    <w:rsid w:val="00977270"/>
    <w:rsid w:val="00980F85"/>
    <w:rsid w:val="0098226D"/>
    <w:rsid w:val="00984C43"/>
    <w:rsid w:val="00985626"/>
    <w:rsid w:val="009861A1"/>
    <w:rsid w:val="00986E67"/>
    <w:rsid w:val="00986F03"/>
    <w:rsid w:val="009908A1"/>
    <w:rsid w:val="00990D5F"/>
    <w:rsid w:val="00994266"/>
    <w:rsid w:val="0099758F"/>
    <w:rsid w:val="009A0FDA"/>
    <w:rsid w:val="009A1071"/>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76A4"/>
    <w:rsid w:val="009D06AB"/>
    <w:rsid w:val="009D1366"/>
    <w:rsid w:val="009D2520"/>
    <w:rsid w:val="009D37B8"/>
    <w:rsid w:val="009D3F55"/>
    <w:rsid w:val="009D587B"/>
    <w:rsid w:val="009D5C11"/>
    <w:rsid w:val="009D6FA6"/>
    <w:rsid w:val="009D6FB5"/>
    <w:rsid w:val="009D7D5A"/>
    <w:rsid w:val="009E072F"/>
    <w:rsid w:val="009E07E3"/>
    <w:rsid w:val="009E2007"/>
    <w:rsid w:val="009E3756"/>
    <w:rsid w:val="009E479E"/>
    <w:rsid w:val="009E60B9"/>
    <w:rsid w:val="009F064F"/>
    <w:rsid w:val="009F1D19"/>
    <w:rsid w:val="009F3008"/>
    <w:rsid w:val="009F327C"/>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0CA3"/>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3A9A"/>
    <w:rsid w:val="00A24010"/>
    <w:rsid w:val="00A240EC"/>
    <w:rsid w:val="00A24716"/>
    <w:rsid w:val="00A26886"/>
    <w:rsid w:val="00A2730E"/>
    <w:rsid w:val="00A30409"/>
    <w:rsid w:val="00A3156B"/>
    <w:rsid w:val="00A32C22"/>
    <w:rsid w:val="00A33168"/>
    <w:rsid w:val="00A34675"/>
    <w:rsid w:val="00A347C4"/>
    <w:rsid w:val="00A35FF5"/>
    <w:rsid w:val="00A368AA"/>
    <w:rsid w:val="00A42505"/>
    <w:rsid w:val="00A43E5B"/>
    <w:rsid w:val="00A44FFE"/>
    <w:rsid w:val="00A46979"/>
    <w:rsid w:val="00A46A5D"/>
    <w:rsid w:val="00A5023D"/>
    <w:rsid w:val="00A507D9"/>
    <w:rsid w:val="00A53E79"/>
    <w:rsid w:val="00A54D48"/>
    <w:rsid w:val="00A54DAF"/>
    <w:rsid w:val="00A55037"/>
    <w:rsid w:val="00A5572F"/>
    <w:rsid w:val="00A5737B"/>
    <w:rsid w:val="00A57498"/>
    <w:rsid w:val="00A57A95"/>
    <w:rsid w:val="00A60095"/>
    <w:rsid w:val="00A6013E"/>
    <w:rsid w:val="00A61E94"/>
    <w:rsid w:val="00A6242C"/>
    <w:rsid w:val="00A62791"/>
    <w:rsid w:val="00A62CB1"/>
    <w:rsid w:val="00A62F09"/>
    <w:rsid w:val="00A63386"/>
    <w:rsid w:val="00A70F85"/>
    <w:rsid w:val="00A711FF"/>
    <w:rsid w:val="00A71E64"/>
    <w:rsid w:val="00A73795"/>
    <w:rsid w:val="00A7385F"/>
    <w:rsid w:val="00A73B34"/>
    <w:rsid w:val="00A74397"/>
    <w:rsid w:val="00A74A0D"/>
    <w:rsid w:val="00A74E36"/>
    <w:rsid w:val="00A752B0"/>
    <w:rsid w:val="00A763E9"/>
    <w:rsid w:val="00A779D0"/>
    <w:rsid w:val="00A77D52"/>
    <w:rsid w:val="00A80A17"/>
    <w:rsid w:val="00A80DBE"/>
    <w:rsid w:val="00A81DC3"/>
    <w:rsid w:val="00A822EE"/>
    <w:rsid w:val="00A83693"/>
    <w:rsid w:val="00A8497C"/>
    <w:rsid w:val="00A86762"/>
    <w:rsid w:val="00A90125"/>
    <w:rsid w:val="00A902D2"/>
    <w:rsid w:val="00A91E1B"/>
    <w:rsid w:val="00A92490"/>
    <w:rsid w:val="00A93243"/>
    <w:rsid w:val="00A93BF8"/>
    <w:rsid w:val="00A94D39"/>
    <w:rsid w:val="00A95399"/>
    <w:rsid w:val="00A97B05"/>
    <w:rsid w:val="00AA08FD"/>
    <w:rsid w:val="00AA3479"/>
    <w:rsid w:val="00AA3638"/>
    <w:rsid w:val="00AA54A4"/>
    <w:rsid w:val="00AA6AA1"/>
    <w:rsid w:val="00AA763D"/>
    <w:rsid w:val="00AB0426"/>
    <w:rsid w:val="00AB0AD5"/>
    <w:rsid w:val="00AB1C34"/>
    <w:rsid w:val="00AB3AE9"/>
    <w:rsid w:val="00AB44CA"/>
    <w:rsid w:val="00AB4F10"/>
    <w:rsid w:val="00AB7A94"/>
    <w:rsid w:val="00AC303E"/>
    <w:rsid w:val="00AC4144"/>
    <w:rsid w:val="00AC5544"/>
    <w:rsid w:val="00AC71E8"/>
    <w:rsid w:val="00AC7365"/>
    <w:rsid w:val="00AD06C6"/>
    <w:rsid w:val="00AD1C5D"/>
    <w:rsid w:val="00AD274E"/>
    <w:rsid w:val="00AD2808"/>
    <w:rsid w:val="00AD2CBF"/>
    <w:rsid w:val="00AD3A89"/>
    <w:rsid w:val="00AD3E0D"/>
    <w:rsid w:val="00AD5216"/>
    <w:rsid w:val="00AD5AAB"/>
    <w:rsid w:val="00AD5F4C"/>
    <w:rsid w:val="00AE0888"/>
    <w:rsid w:val="00AE21E7"/>
    <w:rsid w:val="00AE4DBA"/>
    <w:rsid w:val="00AF1ACA"/>
    <w:rsid w:val="00AF20F9"/>
    <w:rsid w:val="00AF2876"/>
    <w:rsid w:val="00AF3185"/>
    <w:rsid w:val="00AF32BE"/>
    <w:rsid w:val="00AF3439"/>
    <w:rsid w:val="00AF3F19"/>
    <w:rsid w:val="00AF43E5"/>
    <w:rsid w:val="00AF4FE5"/>
    <w:rsid w:val="00AF7107"/>
    <w:rsid w:val="00AF7D5A"/>
    <w:rsid w:val="00B00078"/>
    <w:rsid w:val="00B001D0"/>
    <w:rsid w:val="00B0128F"/>
    <w:rsid w:val="00B01ED9"/>
    <w:rsid w:val="00B0349D"/>
    <w:rsid w:val="00B03FD6"/>
    <w:rsid w:val="00B04593"/>
    <w:rsid w:val="00B053EC"/>
    <w:rsid w:val="00B059B8"/>
    <w:rsid w:val="00B0675E"/>
    <w:rsid w:val="00B07539"/>
    <w:rsid w:val="00B07B82"/>
    <w:rsid w:val="00B10F85"/>
    <w:rsid w:val="00B112D5"/>
    <w:rsid w:val="00B114A8"/>
    <w:rsid w:val="00B11888"/>
    <w:rsid w:val="00B127DC"/>
    <w:rsid w:val="00B12A24"/>
    <w:rsid w:val="00B12DE7"/>
    <w:rsid w:val="00B137ED"/>
    <w:rsid w:val="00B14025"/>
    <w:rsid w:val="00B147D8"/>
    <w:rsid w:val="00B156EE"/>
    <w:rsid w:val="00B17413"/>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1FD3"/>
    <w:rsid w:val="00B423F0"/>
    <w:rsid w:val="00B42877"/>
    <w:rsid w:val="00B44AFA"/>
    <w:rsid w:val="00B45322"/>
    <w:rsid w:val="00B50C78"/>
    <w:rsid w:val="00B5138F"/>
    <w:rsid w:val="00B53282"/>
    <w:rsid w:val="00B532AA"/>
    <w:rsid w:val="00B569B4"/>
    <w:rsid w:val="00B57385"/>
    <w:rsid w:val="00B6342B"/>
    <w:rsid w:val="00B63885"/>
    <w:rsid w:val="00B63CB3"/>
    <w:rsid w:val="00B65C85"/>
    <w:rsid w:val="00B672EB"/>
    <w:rsid w:val="00B6739E"/>
    <w:rsid w:val="00B67CF6"/>
    <w:rsid w:val="00B71545"/>
    <w:rsid w:val="00B717BE"/>
    <w:rsid w:val="00B73634"/>
    <w:rsid w:val="00B7363F"/>
    <w:rsid w:val="00B73874"/>
    <w:rsid w:val="00B73BC9"/>
    <w:rsid w:val="00B77F03"/>
    <w:rsid w:val="00B81583"/>
    <w:rsid w:val="00B81C1A"/>
    <w:rsid w:val="00B83302"/>
    <w:rsid w:val="00B83B63"/>
    <w:rsid w:val="00B84BE9"/>
    <w:rsid w:val="00B85C3D"/>
    <w:rsid w:val="00B86B12"/>
    <w:rsid w:val="00B91CBD"/>
    <w:rsid w:val="00B91E78"/>
    <w:rsid w:val="00B926A6"/>
    <w:rsid w:val="00B92933"/>
    <w:rsid w:val="00B92C12"/>
    <w:rsid w:val="00B92EE8"/>
    <w:rsid w:val="00B944C4"/>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737C"/>
    <w:rsid w:val="00BD1423"/>
    <w:rsid w:val="00BD2449"/>
    <w:rsid w:val="00BD2FD3"/>
    <w:rsid w:val="00BD3975"/>
    <w:rsid w:val="00BD3ABA"/>
    <w:rsid w:val="00BD46FC"/>
    <w:rsid w:val="00BD5762"/>
    <w:rsid w:val="00BD5D12"/>
    <w:rsid w:val="00BD7A0F"/>
    <w:rsid w:val="00BE05D1"/>
    <w:rsid w:val="00BE209D"/>
    <w:rsid w:val="00BE476F"/>
    <w:rsid w:val="00BE51DB"/>
    <w:rsid w:val="00BE5578"/>
    <w:rsid w:val="00BE6705"/>
    <w:rsid w:val="00BE7522"/>
    <w:rsid w:val="00BE7DB5"/>
    <w:rsid w:val="00BF017F"/>
    <w:rsid w:val="00BF02D1"/>
    <w:rsid w:val="00BF127E"/>
    <w:rsid w:val="00BF194B"/>
    <w:rsid w:val="00BF29A1"/>
    <w:rsid w:val="00BF5443"/>
    <w:rsid w:val="00BF6C09"/>
    <w:rsid w:val="00C00A0F"/>
    <w:rsid w:val="00C023C9"/>
    <w:rsid w:val="00C024E0"/>
    <w:rsid w:val="00C0645F"/>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7975"/>
    <w:rsid w:val="00C27AD1"/>
    <w:rsid w:val="00C3007E"/>
    <w:rsid w:val="00C30E90"/>
    <w:rsid w:val="00C30E9D"/>
    <w:rsid w:val="00C32811"/>
    <w:rsid w:val="00C35F9D"/>
    <w:rsid w:val="00C361D1"/>
    <w:rsid w:val="00C37A4A"/>
    <w:rsid w:val="00C41BBB"/>
    <w:rsid w:val="00C44433"/>
    <w:rsid w:val="00C450FF"/>
    <w:rsid w:val="00C4735F"/>
    <w:rsid w:val="00C50349"/>
    <w:rsid w:val="00C51077"/>
    <w:rsid w:val="00C510E2"/>
    <w:rsid w:val="00C512D8"/>
    <w:rsid w:val="00C52B1D"/>
    <w:rsid w:val="00C5313B"/>
    <w:rsid w:val="00C5600F"/>
    <w:rsid w:val="00C57D39"/>
    <w:rsid w:val="00C60B53"/>
    <w:rsid w:val="00C623F7"/>
    <w:rsid w:val="00C64233"/>
    <w:rsid w:val="00C66FA5"/>
    <w:rsid w:val="00C67CF1"/>
    <w:rsid w:val="00C67F66"/>
    <w:rsid w:val="00C70254"/>
    <w:rsid w:val="00C758EC"/>
    <w:rsid w:val="00C75DA9"/>
    <w:rsid w:val="00C76002"/>
    <w:rsid w:val="00C807F3"/>
    <w:rsid w:val="00C8489E"/>
    <w:rsid w:val="00C84AEF"/>
    <w:rsid w:val="00C90821"/>
    <w:rsid w:val="00C90EB8"/>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6111"/>
    <w:rsid w:val="00CB6351"/>
    <w:rsid w:val="00CB6A05"/>
    <w:rsid w:val="00CB6FC8"/>
    <w:rsid w:val="00CC12C4"/>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BAE"/>
    <w:rsid w:val="00D02DB5"/>
    <w:rsid w:val="00D04F2E"/>
    <w:rsid w:val="00D070AF"/>
    <w:rsid w:val="00D071F2"/>
    <w:rsid w:val="00D07732"/>
    <w:rsid w:val="00D07BA2"/>
    <w:rsid w:val="00D111D5"/>
    <w:rsid w:val="00D11D06"/>
    <w:rsid w:val="00D11E1B"/>
    <w:rsid w:val="00D12EDC"/>
    <w:rsid w:val="00D13434"/>
    <w:rsid w:val="00D13A6C"/>
    <w:rsid w:val="00D15C05"/>
    <w:rsid w:val="00D201AE"/>
    <w:rsid w:val="00D20D77"/>
    <w:rsid w:val="00D211AA"/>
    <w:rsid w:val="00D213D0"/>
    <w:rsid w:val="00D27053"/>
    <w:rsid w:val="00D27FF9"/>
    <w:rsid w:val="00D311C1"/>
    <w:rsid w:val="00D31910"/>
    <w:rsid w:val="00D31AEC"/>
    <w:rsid w:val="00D324F5"/>
    <w:rsid w:val="00D3371D"/>
    <w:rsid w:val="00D339EF"/>
    <w:rsid w:val="00D35E5C"/>
    <w:rsid w:val="00D3620F"/>
    <w:rsid w:val="00D42639"/>
    <w:rsid w:val="00D436E5"/>
    <w:rsid w:val="00D43C6F"/>
    <w:rsid w:val="00D44C17"/>
    <w:rsid w:val="00D4530E"/>
    <w:rsid w:val="00D45380"/>
    <w:rsid w:val="00D506AD"/>
    <w:rsid w:val="00D50AEE"/>
    <w:rsid w:val="00D51C7F"/>
    <w:rsid w:val="00D52F16"/>
    <w:rsid w:val="00D55991"/>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73E"/>
    <w:rsid w:val="00D922D4"/>
    <w:rsid w:val="00D93912"/>
    <w:rsid w:val="00D93E9A"/>
    <w:rsid w:val="00D93F0C"/>
    <w:rsid w:val="00D9488C"/>
    <w:rsid w:val="00D95EFE"/>
    <w:rsid w:val="00D975EB"/>
    <w:rsid w:val="00D976F9"/>
    <w:rsid w:val="00DA5834"/>
    <w:rsid w:val="00DA6E1E"/>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DC2"/>
    <w:rsid w:val="00DE675A"/>
    <w:rsid w:val="00DE7A0D"/>
    <w:rsid w:val="00DF175B"/>
    <w:rsid w:val="00DF1B80"/>
    <w:rsid w:val="00DF216C"/>
    <w:rsid w:val="00DF37CB"/>
    <w:rsid w:val="00DF42E8"/>
    <w:rsid w:val="00E004CC"/>
    <w:rsid w:val="00E00598"/>
    <w:rsid w:val="00E0225B"/>
    <w:rsid w:val="00E0272D"/>
    <w:rsid w:val="00E03604"/>
    <w:rsid w:val="00E052DA"/>
    <w:rsid w:val="00E073D6"/>
    <w:rsid w:val="00E10C40"/>
    <w:rsid w:val="00E1174E"/>
    <w:rsid w:val="00E12825"/>
    <w:rsid w:val="00E12EC5"/>
    <w:rsid w:val="00E13834"/>
    <w:rsid w:val="00E13BC4"/>
    <w:rsid w:val="00E13E8E"/>
    <w:rsid w:val="00E140B6"/>
    <w:rsid w:val="00E14820"/>
    <w:rsid w:val="00E171BA"/>
    <w:rsid w:val="00E179A4"/>
    <w:rsid w:val="00E211D2"/>
    <w:rsid w:val="00E249F5"/>
    <w:rsid w:val="00E24FE2"/>
    <w:rsid w:val="00E26A6D"/>
    <w:rsid w:val="00E26B0E"/>
    <w:rsid w:val="00E27098"/>
    <w:rsid w:val="00E319AD"/>
    <w:rsid w:val="00E3625E"/>
    <w:rsid w:val="00E369F0"/>
    <w:rsid w:val="00E4031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770F"/>
    <w:rsid w:val="00E578E0"/>
    <w:rsid w:val="00E601D8"/>
    <w:rsid w:val="00E6078B"/>
    <w:rsid w:val="00E612EF"/>
    <w:rsid w:val="00E62133"/>
    <w:rsid w:val="00E637FD"/>
    <w:rsid w:val="00E63968"/>
    <w:rsid w:val="00E64021"/>
    <w:rsid w:val="00E64B68"/>
    <w:rsid w:val="00E64FFE"/>
    <w:rsid w:val="00E67EF4"/>
    <w:rsid w:val="00E7046A"/>
    <w:rsid w:val="00E71A8D"/>
    <w:rsid w:val="00E724A3"/>
    <w:rsid w:val="00E744F2"/>
    <w:rsid w:val="00E74932"/>
    <w:rsid w:val="00E749FD"/>
    <w:rsid w:val="00E755C4"/>
    <w:rsid w:val="00E757A2"/>
    <w:rsid w:val="00E76EC1"/>
    <w:rsid w:val="00E77915"/>
    <w:rsid w:val="00E77FF3"/>
    <w:rsid w:val="00E80226"/>
    <w:rsid w:val="00E81F1A"/>
    <w:rsid w:val="00E83542"/>
    <w:rsid w:val="00E83F1F"/>
    <w:rsid w:val="00E845C4"/>
    <w:rsid w:val="00E846E1"/>
    <w:rsid w:val="00E86432"/>
    <w:rsid w:val="00E90231"/>
    <w:rsid w:val="00E93AFE"/>
    <w:rsid w:val="00E95348"/>
    <w:rsid w:val="00EA3D83"/>
    <w:rsid w:val="00EA6AAC"/>
    <w:rsid w:val="00EA6C10"/>
    <w:rsid w:val="00EA7C09"/>
    <w:rsid w:val="00EB0AED"/>
    <w:rsid w:val="00EB3C27"/>
    <w:rsid w:val="00EB4673"/>
    <w:rsid w:val="00EB5790"/>
    <w:rsid w:val="00EB5A7D"/>
    <w:rsid w:val="00EB72B4"/>
    <w:rsid w:val="00EC0034"/>
    <w:rsid w:val="00EC0529"/>
    <w:rsid w:val="00EC0EDF"/>
    <w:rsid w:val="00EC1F24"/>
    <w:rsid w:val="00EC2624"/>
    <w:rsid w:val="00EC3979"/>
    <w:rsid w:val="00EC5A9B"/>
    <w:rsid w:val="00EC6500"/>
    <w:rsid w:val="00ED1066"/>
    <w:rsid w:val="00ED316F"/>
    <w:rsid w:val="00ED3307"/>
    <w:rsid w:val="00ED4DA9"/>
    <w:rsid w:val="00ED4DC5"/>
    <w:rsid w:val="00ED5557"/>
    <w:rsid w:val="00ED5613"/>
    <w:rsid w:val="00ED660C"/>
    <w:rsid w:val="00ED6759"/>
    <w:rsid w:val="00ED7C6A"/>
    <w:rsid w:val="00EE0A14"/>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1DA8"/>
    <w:rsid w:val="00F02F5C"/>
    <w:rsid w:val="00F036D0"/>
    <w:rsid w:val="00F040DD"/>
    <w:rsid w:val="00F062B5"/>
    <w:rsid w:val="00F0634B"/>
    <w:rsid w:val="00F10040"/>
    <w:rsid w:val="00F1056A"/>
    <w:rsid w:val="00F108FD"/>
    <w:rsid w:val="00F10CDB"/>
    <w:rsid w:val="00F14BD7"/>
    <w:rsid w:val="00F154AA"/>
    <w:rsid w:val="00F2117B"/>
    <w:rsid w:val="00F22522"/>
    <w:rsid w:val="00F23C17"/>
    <w:rsid w:val="00F24080"/>
    <w:rsid w:val="00F243E1"/>
    <w:rsid w:val="00F270EE"/>
    <w:rsid w:val="00F30014"/>
    <w:rsid w:val="00F301F6"/>
    <w:rsid w:val="00F3385F"/>
    <w:rsid w:val="00F3386F"/>
    <w:rsid w:val="00F33B60"/>
    <w:rsid w:val="00F347CA"/>
    <w:rsid w:val="00F35231"/>
    <w:rsid w:val="00F359B0"/>
    <w:rsid w:val="00F36002"/>
    <w:rsid w:val="00F36C4F"/>
    <w:rsid w:val="00F3785F"/>
    <w:rsid w:val="00F42EF8"/>
    <w:rsid w:val="00F44C8E"/>
    <w:rsid w:val="00F47FA4"/>
    <w:rsid w:val="00F51463"/>
    <w:rsid w:val="00F53320"/>
    <w:rsid w:val="00F53E0A"/>
    <w:rsid w:val="00F5416B"/>
    <w:rsid w:val="00F5657E"/>
    <w:rsid w:val="00F56987"/>
    <w:rsid w:val="00F57635"/>
    <w:rsid w:val="00F5789B"/>
    <w:rsid w:val="00F61D43"/>
    <w:rsid w:val="00F61F6B"/>
    <w:rsid w:val="00F62575"/>
    <w:rsid w:val="00F65028"/>
    <w:rsid w:val="00F658AD"/>
    <w:rsid w:val="00F658F6"/>
    <w:rsid w:val="00F65BC0"/>
    <w:rsid w:val="00F66C6B"/>
    <w:rsid w:val="00F67B9F"/>
    <w:rsid w:val="00F67E7A"/>
    <w:rsid w:val="00F7103B"/>
    <w:rsid w:val="00F7348B"/>
    <w:rsid w:val="00F74D92"/>
    <w:rsid w:val="00F7518B"/>
    <w:rsid w:val="00F7658A"/>
    <w:rsid w:val="00F7799C"/>
    <w:rsid w:val="00F800AA"/>
    <w:rsid w:val="00F84343"/>
    <w:rsid w:val="00F86016"/>
    <w:rsid w:val="00F86F12"/>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C63"/>
    <w:rsid w:val="00FA76BB"/>
    <w:rsid w:val="00FA7D1B"/>
    <w:rsid w:val="00FB143C"/>
    <w:rsid w:val="00FB271C"/>
    <w:rsid w:val="00FB2E16"/>
    <w:rsid w:val="00FB2E73"/>
    <w:rsid w:val="00FB373A"/>
    <w:rsid w:val="00FB3CA5"/>
    <w:rsid w:val="00FB3E26"/>
    <w:rsid w:val="00FB50D0"/>
    <w:rsid w:val="00FC03B4"/>
    <w:rsid w:val="00FC3388"/>
    <w:rsid w:val="00FC372D"/>
    <w:rsid w:val="00FC4598"/>
    <w:rsid w:val="00FC631A"/>
    <w:rsid w:val="00FC6DD6"/>
    <w:rsid w:val="00FD1C54"/>
    <w:rsid w:val="00FE24DC"/>
    <w:rsid w:val="00FE3A25"/>
    <w:rsid w:val="00FE3B46"/>
    <w:rsid w:val="00FE43E7"/>
    <w:rsid w:val="00FE4B74"/>
    <w:rsid w:val="00FE5A29"/>
    <w:rsid w:val="00FE5CC1"/>
    <w:rsid w:val="00FF14BC"/>
    <w:rsid w:val="00FF2D72"/>
    <w:rsid w:val="00FF5C54"/>
    <w:rsid w:val="00FF75B6"/>
    <w:rsid w:val="02E609E9"/>
    <w:rsid w:val="032536AE"/>
    <w:rsid w:val="0456783E"/>
    <w:rsid w:val="04AA1928"/>
    <w:rsid w:val="06182CB4"/>
    <w:rsid w:val="06D43803"/>
    <w:rsid w:val="09884983"/>
    <w:rsid w:val="0A8167C8"/>
    <w:rsid w:val="0B826FDB"/>
    <w:rsid w:val="0BC605CC"/>
    <w:rsid w:val="0D914064"/>
    <w:rsid w:val="0E2E1B48"/>
    <w:rsid w:val="0E4C6F1E"/>
    <w:rsid w:val="0F1A13D3"/>
    <w:rsid w:val="0FB14CD9"/>
    <w:rsid w:val="0FFA5E65"/>
    <w:rsid w:val="109C1F1C"/>
    <w:rsid w:val="10C25E49"/>
    <w:rsid w:val="1139363C"/>
    <w:rsid w:val="11C647F4"/>
    <w:rsid w:val="12E049C8"/>
    <w:rsid w:val="140D3FED"/>
    <w:rsid w:val="14902F50"/>
    <w:rsid w:val="14A54A47"/>
    <w:rsid w:val="15605307"/>
    <w:rsid w:val="15876482"/>
    <w:rsid w:val="1641285C"/>
    <w:rsid w:val="184760B1"/>
    <w:rsid w:val="19375116"/>
    <w:rsid w:val="19530545"/>
    <w:rsid w:val="19936E12"/>
    <w:rsid w:val="1A931D24"/>
    <w:rsid w:val="1B0F1E55"/>
    <w:rsid w:val="1BBB6D39"/>
    <w:rsid w:val="1CA40AEB"/>
    <w:rsid w:val="20C21E3C"/>
    <w:rsid w:val="20EB74C4"/>
    <w:rsid w:val="21D754DE"/>
    <w:rsid w:val="21F869A2"/>
    <w:rsid w:val="25302ECF"/>
    <w:rsid w:val="27BB3ACC"/>
    <w:rsid w:val="282C1D33"/>
    <w:rsid w:val="28DA4DFC"/>
    <w:rsid w:val="290F6572"/>
    <w:rsid w:val="29D52EF9"/>
    <w:rsid w:val="2A572482"/>
    <w:rsid w:val="2A802B31"/>
    <w:rsid w:val="2A8547D8"/>
    <w:rsid w:val="2AFD7F04"/>
    <w:rsid w:val="2BFC6AB2"/>
    <w:rsid w:val="2CC3759D"/>
    <w:rsid w:val="2FE81A31"/>
    <w:rsid w:val="2FF360E4"/>
    <w:rsid w:val="2FFF6848"/>
    <w:rsid w:val="30D30304"/>
    <w:rsid w:val="32726156"/>
    <w:rsid w:val="332F5C1A"/>
    <w:rsid w:val="34434631"/>
    <w:rsid w:val="34F34FB2"/>
    <w:rsid w:val="35452333"/>
    <w:rsid w:val="365D7C42"/>
    <w:rsid w:val="37A27C9B"/>
    <w:rsid w:val="38C3171A"/>
    <w:rsid w:val="39201E14"/>
    <w:rsid w:val="392115C8"/>
    <w:rsid w:val="39855446"/>
    <w:rsid w:val="39D57F0C"/>
    <w:rsid w:val="3A5C2D12"/>
    <w:rsid w:val="3AFF55F0"/>
    <w:rsid w:val="3B01523B"/>
    <w:rsid w:val="3B0B1813"/>
    <w:rsid w:val="3FEE0DCD"/>
    <w:rsid w:val="401E5D83"/>
    <w:rsid w:val="40462B93"/>
    <w:rsid w:val="409067C2"/>
    <w:rsid w:val="418D74D3"/>
    <w:rsid w:val="42567E4C"/>
    <w:rsid w:val="42DF5BE3"/>
    <w:rsid w:val="43964138"/>
    <w:rsid w:val="44395F1B"/>
    <w:rsid w:val="44914BB7"/>
    <w:rsid w:val="44E67415"/>
    <w:rsid w:val="46CA3B9E"/>
    <w:rsid w:val="4A8E35B1"/>
    <w:rsid w:val="4AFD544E"/>
    <w:rsid w:val="4B1977D5"/>
    <w:rsid w:val="4BCE32C6"/>
    <w:rsid w:val="4BD72D3C"/>
    <w:rsid w:val="4DC57A61"/>
    <w:rsid w:val="4DE75405"/>
    <w:rsid w:val="4DFF0093"/>
    <w:rsid w:val="4E254D93"/>
    <w:rsid w:val="4E2A1660"/>
    <w:rsid w:val="4EFA0CAD"/>
    <w:rsid w:val="4F180674"/>
    <w:rsid w:val="50116C9B"/>
    <w:rsid w:val="501D6CF1"/>
    <w:rsid w:val="51131AAA"/>
    <w:rsid w:val="51253C15"/>
    <w:rsid w:val="51DA41A2"/>
    <w:rsid w:val="53EA1061"/>
    <w:rsid w:val="54F83FBF"/>
    <w:rsid w:val="55260F6B"/>
    <w:rsid w:val="5543651D"/>
    <w:rsid w:val="55C43D7C"/>
    <w:rsid w:val="57D80D53"/>
    <w:rsid w:val="583A54F4"/>
    <w:rsid w:val="592D3569"/>
    <w:rsid w:val="597457A2"/>
    <w:rsid w:val="597F037F"/>
    <w:rsid w:val="59994D76"/>
    <w:rsid w:val="5BAD62E9"/>
    <w:rsid w:val="5C2821E0"/>
    <w:rsid w:val="5CBB221E"/>
    <w:rsid w:val="5DE337B9"/>
    <w:rsid w:val="5E5C61C3"/>
    <w:rsid w:val="5E99317E"/>
    <w:rsid w:val="5EE536A5"/>
    <w:rsid w:val="5EF211FC"/>
    <w:rsid w:val="5F4C2EE0"/>
    <w:rsid w:val="5FAC2B09"/>
    <w:rsid w:val="63F52C03"/>
    <w:rsid w:val="63FC5D9F"/>
    <w:rsid w:val="64A54D21"/>
    <w:rsid w:val="65A57ED0"/>
    <w:rsid w:val="65AB4990"/>
    <w:rsid w:val="65D25F15"/>
    <w:rsid w:val="668866CA"/>
    <w:rsid w:val="66A35D7E"/>
    <w:rsid w:val="66E9163E"/>
    <w:rsid w:val="67DC5A98"/>
    <w:rsid w:val="68B00DB3"/>
    <w:rsid w:val="68C23066"/>
    <w:rsid w:val="697F0D7F"/>
    <w:rsid w:val="6B823026"/>
    <w:rsid w:val="6D08367C"/>
    <w:rsid w:val="6D677FF2"/>
    <w:rsid w:val="6DE53742"/>
    <w:rsid w:val="6FD75EC2"/>
    <w:rsid w:val="70D82B6C"/>
    <w:rsid w:val="70F80DB0"/>
    <w:rsid w:val="71350FEC"/>
    <w:rsid w:val="71EC1D35"/>
    <w:rsid w:val="71EF5F7E"/>
    <w:rsid w:val="729A7F63"/>
    <w:rsid w:val="731D4F28"/>
    <w:rsid w:val="74523249"/>
    <w:rsid w:val="76001E41"/>
    <w:rsid w:val="7673179A"/>
    <w:rsid w:val="76980A0D"/>
    <w:rsid w:val="77932AC9"/>
    <w:rsid w:val="79CB2F72"/>
    <w:rsid w:val="7A047229"/>
    <w:rsid w:val="7AE01246"/>
    <w:rsid w:val="7AFA0EEA"/>
    <w:rsid w:val="7B68518F"/>
    <w:rsid w:val="7EC06EA5"/>
    <w:rsid w:val="7F111920"/>
    <w:rsid w:val="7F18324A"/>
    <w:rsid w:val="7FA24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3"/>
    <w:qFormat/>
    <w:uiPriority w:val="0"/>
    <w:pPr>
      <w:keepNext/>
      <w:keepLines/>
      <w:spacing w:before="260" w:after="260" w:line="416" w:lineRule="auto"/>
      <w:outlineLvl w:val="2"/>
    </w:pPr>
    <w:rPr>
      <w:b/>
      <w:bCs/>
      <w:sz w:val="32"/>
      <w:szCs w:val="32"/>
    </w:rPr>
  </w:style>
  <w:style w:type="paragraph" w:styleId="5">
    <w:name w:val="heading 4"/>
    <w:basedOn w:val="1"/>
    <w:next w:val="1"/>
    <w:link w:val="106"/>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6">
    <w:name w:val="heading 5"/>
    <w:basedOn w:val="1"/>
    <w:next w:val="1"/>
    <w:link w:val="169"/>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link w:val="142"/>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link w:val="132"/>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link w:val="99"/>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link w:val="129"/>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unhideWhenUsed/>
    <w:qFormat/>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jc w:val="left"/>
    </w:pPr>
    <w:rPr>
      <w:rFonts w:ascii="仿宋_GB2312" w:eastAsia="仿宋_GB2312"/>
      <w:sz w:val="18"/>
      <w:szCs w:val="18"/>
    </w:rPr>
  </w:style>
  <w:style w:type="paragraph" w:styleId="13">
    <w:name w:val="index 8"/>
    <w:basedOn w:val="1"/>
    <w:next w:val="1"/>
    <w:qFormat/>
    <w:uiPriority w:val="0"/>
    <w:pPr>
      <w:widowControl/>
      <w:ind w:left="1920" w:hanging="240"/>
      <w:jc w:val="left"/>
    </w:pPr>
    <w:rPr>
      <w:rFonts w:ascii="仿宋_GB2312" w:eastAsia="仿宋_GB2312"/>
      <w:kern w:val="0"/>
      <w:sz w:val="24"/>
      <w:szCs w:val="28"/>
    </w:rPr>
  </w:style>
  <w:style w:type="paragraph" w:styleId="14">
    <w:name w:val="Normal Indent"/>
    <w:basedOn w:val="1"/>
    <w:link w:val="74"/>
    <w:qFormat/>
    <w:uiPriority w:val="0"/>
    <w:pPr>
      <w:widowControl/>
      <w:adjustRightInd w:val="0"/>
      <w:snapToGrid w:val="0"/>
      <w:spacing w:line="480" w:lineRule="exact"/>
      <w:ind w:firstLine="567"/>
    </w:pPr>
    <w:rPr>
      <w:rFonts w:ascii="宋体"/>
      <w:snapToGrid w:val="0"/>
      <w:color w:val="000000"/>
      <w:kern w:val="28"/>
      <w:sz w:val="28"/>
    </w:rPr>
  </w:style>
  <w:style w:type="paragraph" w:styleId="15">
    <w:name w:val="caption"/>
    <w:basedOn w:val="1"/>
    <w:next w:val="1"/>
    <w:qFormat/>
    <w:uiPriority w:val="0"/>
    <w:pPr>
      <w:widowControl/>
      <w:spacing w:after="480"/>
      <w:jc w:val="left"/>
    </w:pPr>
    <w:rPr>
      <w:b/>
      <w:bCs/>
      <w:color w:val="4F81BD"/>
      <w:kern w:val="0"/>
      <w:sz w:val="18"/>
      <w:szCs w:val="18"/>
      <w:lang w:eastAsia="en-US" w:bidi="en-US"/>
    </w:rPr>
  </w:style>
  <w:style w:type="paragraph" w:styleId="16">
    <w:name w:val="index 5"/>
    <w:basedOn w:val="1"/>
    <w:next w:val="1"/>
    <w:qFormat/>
    <w:uiPriority w:val="0"/>
    <w:pPr>
      <w:widowControl/>
      <w:ind w:left="1200" w:hanging="240"/>
      <w:jc w:val="left"/>
    </w:pPr>
    <w:rPr>
      <w:rFonts w:ascii="仿宋_GB2312" w:eastAsia="仿宋_GB2312"/>
      <w:kern w:val="0"/>
      <w:sz w:val="24"/>
      <w:szCs w:val="28"/>
    </w:rPr>
  </w:style>
  <w:style w:type="paragraph" w:styleId="17">
    <w:name w:val="List Bullet"/>
    <w:basedOn w:val="18"/>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link w:val="130"/>
    <w:qFormat/>
    <w:uiPriority w:val="0"/>
    <w:pPr>
      <w:shd w:val="clear" w:color="auto" w:fill="000080"/>
    </w:pPr>
    <w:rPr>
      <w:kern w:val="0"/>
      <w:sz w:val="20"/>
      <w:szCs w:val="24"/>
      <w:shd w:val="clear" w:color="auto" w:fill="000080"/>
    </w:rPr>
  </w:style>
  <w:style w:type="paragraph" w:styleId="20">
    <w:name w:val="annotation text"/>
    <w:basedOn w:val="1"/>
    <w:link w:val="176"/>
    <w:unhideWhenUsed/>
    <w:qFormat/>
    <w:uiPriority w:val="99"/>
    <w:pPr>
      <w:jc w:val="left"/>
    </w:pPr>
    <w:rPr>
      <w:rFonts w:ascii="仿宋_GB2312" w:eastAsia="仿宋_GB2312"/>
      <w:sz w:val="28"/>
      <w:szCs w:val="28"/>
    </w:rPr>
  </w:style>
  <w:style w:type="paragraph" w:styleId="21">
    <w:name w:val="index 6"/>
    <w:basedOn w:val="1"/>
    <w:next w:val="1"/>
    <w:qFormat/>
    <w:uiPriority w:val="0"/>
    <w:pPr>
      <w:widowControl/>
      <w:ind w:left="1440" w:hanging="240"/>
      <w:jc w:val="left"/>
    </w:pPr>
    <w:rPr>
      <w:rFonts w:ascii="仿宋_GB2312" w:eastAsia="仿宋_GB2312"/>
      <w:kern w:val="0"/>
      <w:sz w:val="24"/>
      <w:szCs w:val="28"/>
    </w:rPr>
  </w:style>
  <w:style w:type="paragraph" w:styleId="22">
    <w:name w:val="Body Text 3"/>
    <w:basedOn w:val="1"/>
    <w:link w:val="94"/>
    <w:qFormat/>
    <w:uiPriority w:val="0"/>
    <w:rPr>
      <w:rFonts w:ascii="宋体" w:hAnsi="宋体"/>
      <w:b/>
      <w:bCs/>
      <w:sz w:val="24"/>
      <w:szCs w:val="24"/>
    </w:rPr>
  </w:style>
  <w:style w:type="paragraph" w:styleId="23">
    <w:name w:val="Body Text"/>
    <w:basedOn w:val="1"/>
    <w:next w:val="24"/>
    <w:link w:val="81"/>
    <w:qFormat/>
    <w:uiPriority w:val="0"/>
    <w:rPr>
      <w:rFonts w:eastAsia="黑体"/>
      <w:b/>
      <w:bCs/>
      <w:spacing w:val="20"/>
      <w:kern w:val="52"/>
      <w:sz w:val="56"/>
      <w:szCs w:val="24"/>
    </w:rPr>
  </w:style>
  <w:style w:type="paragraph" w:styleId="24">
    <w:name w:val="Body Text First Indent"/>
    <w:basedOn w:val="23"/>
    <w:link w:val="165"/>
    <w:qFormat/>
    <w:uiPriority w:val="0"/>
    <w:pPr>
      <w:adjustRightInd w:val="0"/>
      <w:spacing w:after="120" w:line="360" w:lineRule="auto"/>
      <w:ind w:firstLine="420"/>
      <w:textAlignment w:val="baseline"/>
    </w:pPr>
    <w:rPr>
      <w:rFonts w:eastAsia="KaiTi_GB2312"/>
      <w:b w:val="0"/>
      <w:bCs w:val="0"/>
      <w:spacing w:val="0"/>
      <w:kern w:val="0"/>
      <w:sz w:val="24"/>
      <w:szCs w:val="20"/>
    </w:rPr>
  </w:style>
  <w:style w:type="paragraph" w:styleId="25">
    <w:name w:val="Body Text Indent"/>
    <w:basedOn w:val="1"/>
    <w:link w:val="126"/>
    <w:qFormat/>
    <w:uiPriority w:val="0"/>
    <w:pPr>
      <w:spacing w:line="360" w:lineRule="auto"/>
      <w:ind w:firstLine="435"/>
    </w:pPr>
    <w:rPr>
      <w:sz w:val="28"/>
      <w:szCs w:val="24"/>
    </w:rPr>
  </w:style>
  <w:style w:type="paragraph" w:styleId="26">
    <w:name w:val="List Number 3"/>
    <w:basedOn w:val="1"/>
    <w:qFormat/>
    <w:uiPriority w:val="0"/>
    <w:pPr>
      <w:numPr>
        <w:ilvl w:val="0"/>
        <w:numId w:val="3"/>
      </w:numPr>
      <w:contextualSpacing/>
    </w:pPr>
    <w:rPr>
      <w:rFonts w:ascii="仿宋_GB2312" w:eastAsia="仿宋_GB2312"/>
      <w:sz w:val="28"/>
      <w:szCs w:val="28"/>
    </w:rPr>
  </w:style>
  <w:style w:type="paragraph" w:styleId="27">
    <w:name w:val="List 2"/>
    <w:basedOn w:val="18"/>
    <w:qFormat/>
    <w:uiPriority w:val="0"/>
    <w:pPr>
      <w:spacing w:after="120" w:line="400" w:lineRule="exact"/>
      <w:ind w:left="0" w:firstLine="0" w:firstLineChars="0"/>
    </w:pPr>
    <w:rPr>
      <w:sz w:val="24"/>
      <w:szCs w:val="20"/>
    </w:rPr>
  </w:style>
  <w:style w:type="paragraph" w:styleId="28">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qFormat/>
    <w:uiPriority w:val="0"/>
    <w:pPr>
      <w:widowControl/>
      <w:ind w:left="960" w:hanging="240"/>
      <w:jc w:val="left"/>
    </w:pPr>
    <w:rPr>
      <w:rFonts w:ascii="仿宋_GB2312" w:eastAsia="仿宋_GB2312"/>
      <w:kern w:val="0"/>
      <w:sz w:val="24"/>
      <w:szCs w:val="28"/>
    </w:rPr>
  </w:style>
  <w:style w:type="paragraph" w:styleId="30">
    <w:name w:val="toc 5"/>
    <w:basedOn w:val="1"/>
    <w:next w:val="1"/>
    <w:qFormat/>
    <w:uiPriority w:val="0"/>
    <w:pPr>
      <w:ind w:left="840"/>
      <w:jc w:val="left"/>
    </w:pPr>
    <w:rPr>
      <w:rFonts w:ascii="仿宋_GB2312" w:eastAsia="仿宋_GB2312"/>
      <w:sz w:val="18"/>
      <w:szCs w:val="18"/>
    </w:rPr>
  </w:style>
  <w:style w:type="paragraph" w:styleId="31">
    <w:name w:val="toc 3"/>
    <w:basedOn w:val="1"/>
    <w:next w:val="1"/>
    <w:qFormat/>
    <w:uiPriority w:val="0"/>
    <w:pPr>
      <w:ind w:left="420"/>
      <w:jc w:val="left"/>
    </w:pPr>
    <w:rPr>
      <w:rFonts w:ascii="仿宋_GB2312" w:eastAsia="仿宋_GB2312"/>
      <w:i/>
      <w:iCs/>
      <w:sz w:val="20"/>
    </w:rPr>
  </w:style>
  <w:style w:type="paragraph" w:styleId="32">
    <w:name w:val="Plain Text"/>
    <w:basedOn w:val="1"/>
    <w:link w:val="122"/>
    <w:qFormat/>
    <w:uiPriority w:val="0"/>
    <w:rPr>
      <w:rFonts w:ascii="宋体" w:hAnsi="Courier New"/>
    </w:rPr>
  </w:style>
  <w:style w:type="paragraph" w:styleId="33">
    <w:name w:val="toc 8"/>
    <w:basedOn w:val="1"/>
    <w:next w:val="1"/>
    <w:qFormat/>
    <w:uiPriority w:val="0"/>
    <w:pPr>
      <w:ind w:left="1470"/>
      <w:jc w:val="left"/>
    </w:pPr>
    <w:rPr>
      <w:rFonts w:ascii="仿宋_GB2312" w:eastAsia="仿宋_GB2312"/>
      <w:sz w:val="18"/>
      <w:szCs w:val="18"/>
    </w:rPr>
  </w:style>
  <w:style w:type="paragraph" w:styleId="34">
    <w:name w:val="index 3"/>
    <w:basedOn w:val="1"/>
    <w:next w:val="1"/>
    <w:qFormat/>
    <w:uiPriority w:val="0"/>
    <w:pPr>
      <w:widowControl/>
      <w:ind w:left="720" w:hanging="240"/>
      <w:jc w:val="left"/>
    </w:pPr>
    <w:rPr>
      <w:rFonts w:ascii="仿宋_GB2312" w:eastAsia="仿宋_GB2312"/>
      <w:kern w:val="0"/>
      <w:sz w:val="24"/>
      <w:szCs w:val="28"/>
    </w:rPr>
  </w:style>
  <w:style w:type="paragraph" w:styleId="35">
    <w:name w:val="Date"/>
    <w:basedOn w:val="1"/>
    <w:next w:val="1"/>
    <w:link w:val="147"/>
    <w:qFormat/>
    <w:uiPriority w:val="0"/>
    <w:pPr>
      <w:ind w:left="100" w:leftChars="2500"/>
    </w:pPr>
  </w:style>
  <w:style w:type="paragraph" w:styleId="36">
    <w:name w:val="Body Text Indent 2"/>
    <w:basedOn w:val="1"/>
    <w:link w:val="97"/>
    <w:qFormat/>
    <w:uiPriority w:val="0"/>
    <w:pPr>
      <w:spacing w:line="432" w:lineRule="auto"/>
      <w:ind w:firstLine="480" w:firstLineChars="200"/>
    </w:pPr>
    <w:rPr>
      <w:sz w:val="24"/>
      <w:szCs w:val="21"/>
    </w:rPr>
  </w:style>
  <w:style w:type="paragraph" w:styleId="37">
    <w:name w:val="endnote text"/>
    <w:basedOn w:val="1"/>
    <w:link w:val="121"/>
    <w:qFormat/>
    <w:uiPriority w:val="0"/>
    <w:pPr>
      <w:snapToGrid w:val="0"/>
      <w:jc w:val="left"/>
    </w:pPr>
    <w:rPr>
      <w:rFonts w:ascii="仿宋_GB2312" w:eastAsia="仿宋_GB2312"/>
      <w:sz w:val="28"/>
      <w:szCs w:val="28"/>
    </w:rPr>
  </w:style>
  <w:style w:type="paragraph" w:styleId="38">
    <w:name w:val="Balloon Text"/>
    <w:basedOn w:val="1"/>
    <w:link w:val="109"/>
    <w:semiHidden/>
    <w:qFormat/>
    <w:uiPriority w:val="0"/>
    <w:rPr>
      <w:sz w:val="18"/>
      <w:szCs w:val="18"/>
    </w:rPr>
  </w:style>
  <w:style w:type="paragraph" w:styleId="39">
    <w:name w:val="footer"/>
    <w:basedOn w:val="1"/>
    <w:link w:val="152"/>
    <w:qFormat/>
    <w:uiPriority w:val="0"/>
    <w:pPr>
      <w:tabs>
        <w:tab w:val="center" w:pos="4153"/>
        <w:tab w:val="right" w:pos="8306"/>
      </w:tabs>
      <w:snapToGrid w:val="0"/>
      <w:jc w:val="left"/>
    </w:pPr>
    <w:rPr>
      <w:sz w:val="18"/>
      <w:szCs w:val="18"/>
    </w:rPr>
  </w:style>
  <w:style w:type="paragraph" w:styleId="40">
    <w:name w:val="header"/>
    <w:basedOn w:val="1"/>
    <w:link w:val="1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1">
    <w:name w:val="toc 1"/>
    <w:basedOn w:val="1"/>
    <w:next w:val="1"/>
    <w:qFormat/>
    <w:uiPriority w:val="39"/>
    <w:pPr>
      <w:spacing w:line="360" w:lineRule="auto"/>
    </w:pPr>
    <w:rPr>
      <w:rFonts w:eastAsia="仿宋_GB2312"/>
      <w:sz w:val="32"/>
    </w:rPr>
  </w:style>
  <w:style w:type="paragraph" w:styleId="42">
    <w:name w:val="toc 4"/>
    <w:basedOn w:val="1"/>
    <w:next w:val="1"/>
    <w:qFormat/>
    <w:uiPriority w:val="0"/>
    <w:pPr>
      <w:ind w:left="630"/>
      <w:jc w:val="left"/>
    </w:pPr>
    <w:rPr>
      <w:rFonts w:ascii="仿宋_GB2312" w:eastAsia="仿宋_GB2312"/>
      <w:sz w:val="18"/>
      <w:szCs w:val="18"/>
    </w:rPr>
  </w:style>
  <w:style w:type="paragraph" w:styleId="43">
    <w:name w:val="index heading"/>
    <w:basedOn w:val="1"/>
    <w:next w:val="44"/>
    <w:qFormat/>
    <w:uiPriority w:val="0"/>
    <w:pPr>
      <w:widowControl/>
      <w:jc w:val="left"/>
    </w:pPr>
    <w:rPr>
      <w:rFonts w:ascii="仿宋_GB2312" w:eastAsia="仿宋_GB2312"/>
      <w:kern w:val="0"/>
      <w:sz w:val="24"/>
      <w:szCs w:val="28"/>
    </w:rPr>
  </w:style>
  <w:style w:type="paragraph" w:styleId="44">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5">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6">
    <w:name w:val="footnote text"/>
    <w:basedOn w:val="1"/>
    <w:link w:val="82"/>
    <w:qFormat/>
    <w:uiPriority w:val="0"/>
    <w:pPr>
      <w:snapToGrid w:val="0"/>
      <w:jc w:val="left"/>
    </w:pPr>
    <w:rPr>
      <w:rFonts w:ascii="仿宋_GB2312" w:eastAsia="仿宋_GB2312"/>
      <w:sz w:val="18"/>
      <w:szCs w:val="18"/>
    </w:rPr>
  </w:style>
  <w:style w:type="paragraph" w:styleId="47">
    <w:name w:val="toc 6"/>
    <w:basedOn w:val="1"/>
    <w:next w:val="1"/>
    <w:qFormat/>
    <w:uiPriority w:val="0"/>
    <w:pPr>
      <w:ind w:left="1050"/>
      <w:jc w:val="left"/>
    </w:pPr>
    <w:rPr>
      <w:rFonts w:ascii="仿宋_GB2312" w:eastAsia="仿宋_GB2312"/>
      <w:sz w:val="18"/>
      <w:szCs w:val="18"/>
    </w:rPr>
  </w:style>
  <w:style w:type="paragraph" w:styleId="48">
    <w:name w:val="Body Text Indent 3"/>
    <w:basedOn w:val="1"/>
    <w:link w:val="174"/>
    <w:qFormat/>
    <w:uiPriority w:val="0"/>
    <w:pPr>
      <w:spacing w:line="540" w:lineRule="exact"/>
      <w:ind w:left="479" w:leftChars="228"/>
    </w:pPr>
    <w:rPr>
      <w:rFonts w:ascii="隶书" w:hAnsi="宋体" w:eastAsia="隶书"/>
      <w:szCs w:val="24"/>
    </w:rPr>
  </w:style>
  <w:style w:type="paragraph" w:styleId="49">
    <w:name w:val="index 7"/>
    <w:basedOn w:val="1"/>
    <w:next w:val="1"/>
    <w:qFormat/>
    <w:uiPriority w:val="0"/>
    <w:pPr>
      <w:widowControl/>
      <w:ind w:left="1680" w:hanging="240"/>
      <w:jc w:val="left"/>
    </w:pPr>
    <w:rPr>
      <w:rFonts w:ascii="仿宋_GB2312" w:eastAsia="仿宋_GB2312"/>
      <w:kern w:val="0"/>
      <w:sz w:val="24"/>
      <w:szCs w:val="28"/>
    </w:rPr>
  </w:style>
  <w:style w:type="paragraph" w:styleId="50">
    <w:name w:val="index 9"/>
    <w:basedOn w:val="1"/>
    <w:next w:val="1"/>
    <w:qFormat/>
    <w:uiPriority w:val="0"/>
    <w:pPr>
      <w:widowControl/>
      <w:ind w:left="2160" w:hanging="240"/>
      <w:jc w:val="left"/>
    </w:pPr>
    <w:rPr>
      <w:rFonts w:ascii="仿宋_GB2312" w:eastAsia="仿宋_GB2312"/>
      <w:kern w:val="0"/>
      <w:sz w:val="24"/>
      <w:szCs w:val="28"/>
    </w:rPr>
  </w:style>
  <w:style w:type="paragraph" w:styleId="51">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2">
    <w:name w:val="toc 2"/>
    <w:basedOn w:val="1"/>
    <w:next w:val="1"/>
    <w:qFormat/>
    <w:uiPriority w:val="39"/>
    <w:pPr>
      <w:ind w:left="210"/>
      <w:jc w:val="left"/>
    </w:pPr>
    <w:rPr>
      <w:rFonts w:ascii="仿宋_GB2312" w:eastAsia="仿宋_GB2312"/>
      <w:smallCaps/>
      <w:sz w:val="20"/>
    </w:rPr>
  </w:style>
  <w:style w:type="paragraph" w:styleId="53">
    <w:name w:val="toc 9"/>
    <w:basedOn w:val="1"/>
    <w:next w:val="1"/>
    <w:qFormat/>
    <w:uiPriority w:val="0"/>
    <w:pPr>
      <w:ind w:left="1680"/>
      <w:jc w:val="left"/>
    </w:pPr>
    <w:rPr>
      <w:rFonts w:ascii="仿宋_GB2312" w:eastAsia="仿宋_GB2312"/>
      <w:sz w:val="18"/>
      <w:szCs w:val="18"/>
    </w:rPr>
  </w:style>
  <w:style w:type="paragraph" w:styleId="54">
    <w:name w:val="Body Text 2"/>
    <w:basedOn w:val="1"/>
    <w:link w:val="90"/>
    <w:qFormat/>
    <w:uiPriority w:val="0"/>
    <w:pPr>
      <w:spacing w:line="360" w:lineRule="auto"/>
    </w:pPr>
    <w:rPr>
      <w:sz w:val="24"/>
      <w:szCs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link w:val="168"/>
    <w:qFormat/>
    <w:uiPriority w:val="0"/>
    <w:pPr>
      <w:jc w:val="center"/>
    </w:pPr>
    <w:rPr>
      <w:rFonts w:ascii="Arial" w:hAnsi="Arial"/>
      <w:b/>
      <w:kern w:val="0"/>
      <w:sz w:val="36"/>
      <w:lang w:eastAsia="en-US"/>
    </w:rPr>
  </w:style>
  <w:style w:type="paragraph" w:styleId="58">
    <w:name w:val="annotation subject"/>
    <w:basedOn w:val="20"/>
    <w:next w:val="20"/>
    <w:link w:val="80"/>
    <w:qFormat/>
    <w:uiPriority w:val="0"/>
    <w:rPr>
      <w:rFonts w:ascii="Times New Roman" w:eastAsia="宋体"/>
      <w:b/>
      <w:bCs/>
      <w:sz w:val="21"/>
      <w:szCs w:val="24"/>
    </w:rPr>
  </w:style>
  <w:style w:type="paragraph" w:styleId="59">
    <w:name w:val="Body Text First Indent 2"/>
    <w:basedOn w:val="23"/>
    <w:next w:val="23"/>
    <w:qFormat/>
    <w:uiPriority w:val="99"/>
    <w:pPr>
      <w:ind w:firstLine="420"/>
    </w:pPr>
    <w:rPr>
      <w:rFonts w:cs="Calibri"/>
      <w:sz w:val="21"/>
      <w:szCs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番茄花园"/>
    <w:qFormat/>
    <w:uiPriority w:val="0"/>
    <w:rPr>
      <w:rFonts w:ascii="Arial" w:hAnsi="Arial" w:eastAsia="宋体" w:cs="Arial"/>
      <w:color w:val="000080"/>
      <w:sz w:val="18"/>
      <w:szCs w:val="20"/>
    </w:rPr>
  </w:style>
  <w:style w:type="character" w:customStyle="1" w:styleId="74">
    <w:name w:val="正文缩进 Char"/>
    <w:link w:val="14"/>
    <w:qFormat/>
    <w:uiPriority w:val="0"/>
    <w:rPr>
      <w:rFonts w:ascii="宋体" w:eastAsia="宋体"/>
      <w:snapToGrid w:val="0"/>
      <w:color w:val="000000"/>
      <w:kern w:val="28"/>
      <w:sz w:val="28"/>
      <w:lang w:val="en-US" w:eastAsia="zh-CN" w:bidi="ar-SA"/>
    </w:rPr>
  </w:style>
  <w:style w:type="character" w:customStyle="1" w:styleId="75">
    <w:name w:val="Char Char18"/>
    <w:qFormat/>
    <w:uiPriority w:val="0"/>
    <w:rPr>
      <w:rFonts w:ascii="Cambria" w:hAnsi="Cambria" w:eastAsia="宋体" w:cs="Times New Roman"/>
      <w:i/>
      <w:iCs/>
      <w:color w:val="404040"/>
      <w:sz w:val="20"/>
      <w:szCs w:val="20"/>
    </w:rPr>
  </w:style>
  <w:style w:type="character" w:customStyle="1" w:styleId="76">
    <w:name w:val="H5 Char"/>
    <w:qFormat/>
    <w:uiPriority w:val="0"/>
    <w:rPr>
      <w:rFonts w:ascii="Arial" w:hAnsi="Arial"/>
      <w:sz w:val="22"/>
    </w:rPr>
  </w:style>
  <w:style w:type="character" w:customStyle="1" w:styleId="77">
    <w:name w:val="H6 Char1"/>
    <w:qFormat/>
    <w:uiPriority w:val="0"/>
    <w:rPr>
      <w:rFonts w:ascii="Arial" w:hAnsi="Arial" w:eastAsia="宋体" w:cs="Times New Roman"/>
      <w:i/>
      <w:sz w:val="22"/>
      <w:szCs w:val="28"/>
    </w:rPr>
  </w:style>
  <w:style w:type="character" w:customStyle="1" w:styleId="78">
    <w:name w:val="g1"/>
    <w:qFormat/>
    <w:uiPriority w:val="0"/>
    <w:rPr>
      <w:color w:val="008000"/>
    </w:rPr>
  </w:style>
  <w:style w:type="character" w:customStyle="1" w:styleId="79">
    <w:name w:val="文档结构图 Char1"/>
    <w:semiHidden/>
    <w:qFormat/>
    <w:uiPriority w:val="0"/>
    <w:rPr>
      <w:rFonts w:ascii="宋体" w:hAnsi="Times New Roman" w:eastAsia="宋体" w:cs="Times New Roman"/>
      <w:sz w:val="18"/>
      <w:szCs w:val="18"/>
    </w:rPr>
  </w:style>
  <w:style w:type="character" w:customStyle="1" w:styleId="80">
    <w:name w:val="批注主题 Char"/>
    <w:link w:val="58"/>
    <w:qFormat/>
    <w:uiPriority w:val="0"/>
    <w:rPr>
      <w:rFonts w:eastAsia="宋体"/>
      <w:b/>
      <w:bCs/>
      <w:kern w:val="2"/>
      <w:sz w:val="21"/>
      <w:szCs w:val="24"/>
      <w:lang w:val="en-US" w:eastAsia="zh-CN" w:bidi="ar-SA"/>
    </w:rPr>
  </w:style>
  <w:style w:type="character" w:customStyle="1" w:styleId="81">
    <w:name w:val="正文文本 Char2"/>
    <w:link w:val="23"/>
    <w:qFormat/>
    <w:uiPriority w:val="0"/>
    <w:rPr>
      <w:rFonts w:eastAsia="黑体"/>
      <w:b/>
      <w:bCs/>
      <w:spacing w:val="20"/>
      <w:kern w:val="52"/>
      <w:sz w:val="56"/>
      <w:szCs w:val="24"/>
      <w:lang w:val="en-US" w:eastAsia="zh-CN" w:bidi="ar-SA"/>
    </w:rPr>
  </w:style>
  <w:style w:type="character" w:customStyle="1" w:styleId="82">
    <w:name w:val="脚注文本 Char"/>
    <w:link w:val="46"/>
    <w:qFormat/>
    <w:uiPriority w:val="0"/>
    <w:rPr>
      <w:rFonts w:ascii="仿宋_GB2312" w:eastAsia="仿宋_GB2312"/>
      <w:kern w:val="2"/>
      <w:sz w:val="18"/>
      <w:szCs w:val="18"/>
      <w:lang w:val="en-US" w:eastAsia="zh-CN" w:bidi="ar-SA"/>
    </w:rPr>
  </w:style>
  <w:style w:type="character" w:customStyle="1" w:styleId="83">
    <w:name w:val="普通文字 Char Char6"/>
    <w:qFormat/>
    <w:uiPriority w:val="0"/>
    <w:rPr>
      <w:rFonts w:ascii="宋体" w:hAnsi="Courier New" w:eastAsia="仿宋_GB2312" w:cs="Times New Roman"/>
      <w:kern w:val="0"/>
      <w:sz w:val="28"/>
      <w:szCs w:val="20"/>
      <w:lang w:val="en-US" w:eastAsia="zh-CN"/>
    </w:rPr>
  </w:style>
  <w:style w:type="character" w:customStyle="1" w:styleId="84">
    <w:name w:val="h1 Char"/>
    <w:qFormat/>
    <w:uiPriority w:val="0"/>
    <w:rPr>
      <w:rFonts w:ascii="Calibri" w:hAnsi="Calibri"/>
      <w:b/>
      <w:bCs/>
      <w:kern w:val="44"/>
      <w:sz w:val="44"/>
      <w:szCs w:val="44"/>
    </w:rPr>
  </w:style>
  <w:style w:type="character" w:customStyle="1" w:styleId="85">
    <w:name w:val="书籍标题1"/>
    <w:qFormat/>
    <w:uiPriority w:val="0"/>
    <w:rPr>
      <w:b/>
      <w:bCs/>
      <w:smallCaps/>
      <w:spacing w:val="5"/>
    </w:rPr>
  </w:style>
  <w:style w:type="character" w:customStyle="1" w:styleId="86">
    <w:name w:val="EHPT Char"/>
    <w:qFormat/>
    <w:uiPriority w:val="0"/>
    <w:rPr>
      <w:rFonts w:ascii="Calibri" w:hAnsi="Calibri" w:eastAsia="宋体"/>
      <w:kern w:val="2"/>
      <w:sz w:val="21"/>
      <w:szCs w:val="22"/>
      <w:lang w:val="en-US" w:eastAsia="zh-CN" w:bidi="ar-SA"/>
    </w:rPr>
  </w:style>
  <w:style w:type="character" w:customStyle="1" w:styleId="87">
    <w:name w:val="不明显强调1"/>
    <w:qFormat/>
    <w:uiPriority w:val="0"/>
    <w:rPr>
      <w:i/>
      <w:iCs/>
      <w:color w:val="808080"/>
    </w:rPr>
  </w:style>
  <w:style w:type="character" w:customStyle="1" w:styleId="88">
    <w:name w:val="Char Char20"/>
    <w:qFormat/>
    <w:uiPriority w:val="0"/>
    <w:rPr>
      <w:rFonts w:ascii="Cambria" w:hAnsi="Cambria" w:eastAsia="宋体" w:cs="Times New Roman"/>
      <w:i/>
      <w:iCs/>
      <w:color w:val="404040"/>
    </w:rPr>
  </w:style>
  <w:style w:type="character" w:customStyle="1" w:styleId="89">
    <w:name w:val="PI Char1"/>
    <w:qFormat/>
    <w:uiPriority w:val="0"/>
    <w:rPr>
      <w:rFonts w:ascii="仿宋_GB2312" w:eastAsia="仿宋_GB2312"/>
      <w:kern w:val="2"/>
      <w:sz w:val="28"/>
      <w:szCs w:val="28"/>
      <w:lang w:val="zh-CN" w:eastAsia="zh-CN" w:bidi="ar-SA"/>
    </w:rPr>
  </w:style>
  <w:style w:type="character" w:customStyle="1" w:styleId="90">
    <w:name w:val="正文文本 2 Char"/>
    <w:link w:val="54"/>
    <w:qFormat/>
    <w:uiPriority w:val="0"/>
    <w:rPr>
      <w:rFonts w:eastAsia="宋体"/>
      <w:kern w:val="2"/>
      <w:sz w:val="24"/>
      <w:szCs w:val="24"/>
      <w:lang w:val="en-US" w:eastAsia="zh-CN" w:bidi="ar-SA"/>
    </w:rPr>
  </w:style>
  <w:style w:type="character" w:customStyle="1" w:styleId="91">
    <w:name w:val="标书正文格式 Char"/>
    <w:link w:val="92"/>
    <w:qFormat/>
    <w:uiPriority w:val="0"/>
    <w:rPr>
      <w:rFonts w:ascii="KaiTi_GB2312" w:eastAsia="KaiTi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KaiTi_GB2312" w:hAnsi="Calibri" w:eastAsia="KaiTi_GB2312" w:cs="Times New Roman"/>
      <w:color w:val="000000"/>
      <w:kern w:val="2"/>
      <w:sz w:val="24"/>
      <w:szCs w:val="24"/>
      <w:lang w:val="en-US" w:eastAsia="zh-CN" w:bidi="ar-SA"/>
    </w:rPr>
  </w:style>
  <w:style w:type="character" w:customStyle="1" w:styleId="93">
    <w:name w:val="普通文字 Char Char8"/>
    <w:qFormat/>
    <w:uiPriority w:val="0"/>
    <w:rPr>
      <w:rFonts w:ascii="宋体" w:hAnsi="Courier New" w:eastAsia="宋体"/>
    </w:rPr>
  </w:style>
  <w:style w:type="character" w:customStyle="1" w:styleId="94">
    <w:name w:val="正文文本 3 Char"/>
    <w:link w:val="22"/>
    <w:qFormat/>
    <w:uiPriority w:val="0"/>
    <w:rPr>
      <w:rFonts w:ascii="宋体" w:hAnsi="宋体" w:eastAsia="宋体"/>
      <w:b/>
      <w:bCs/>
      <w:kern w:val="2"/>
      <w:sz w:val="24"/>
      <w:szCs w:val="24"/>
      <w:lang w:val="en-US" w:eastAsia="zh-CN" w:bidi="ar-SA"/>
    </w:rPr>
  </w:style>
  <w:style w:type="character" w:customStyle="1" w:styleId="95">
    <w:name w:val="页脚 Char1"/>
    <w:semiHidden/>
    <w:qFormat/>
    <w:uiPriority w:val="0"/>
    <w:rPr>
      <w:rFonts w:ascii="仿宋_GB2312" w:hAnsi="Times New Roman" w:eastAsia="仿宋_GB2312" w:cs="Times New Roman"/>
      <w:sz w:val="18"/>
      <w:szCs w:val="18"/>
    </w:rPr>
  </w:style>
  <w:style w:type="character" w:customStyle="1" w:styleId="96">
    <w:name w:val="正文文本 Char1"/>
    <w:semiHidden/>
    <w:qFormat/>
    <w:uiPriority w:val="0"/>
    <w:rPr>
      <w:rFonts w:ascii="仿宋_GB2312" w:hAnsi="Times New Roman" w:eastAsia="仿宋_GB2312" w:cs="Times New Roman"/>
      <w:sz w:val="28"/>
      <w:szCs w:val="28"/>
    </w:rPr>
  </w:style>
  <w:style w:type="character" w:customStyle="1" w:styleId="97">
    <w:name w:val="正文文本缩进 2 Char"/>
    <w:link w:val="36"/>
    <w:semiHidden/>
    <w:qFormat/>
    <w:uiPriority w:val="0"/>
    <w:rPr>
      <w:rFonts w:eastAsia="宋体"/>
      <w:kern w:val="2"/>
      <w:sz w:val="24"/>
      <w:szCs w:val="21"/>
      <w:lang w:val="en-US" w:eastAsia="zh-CN" w:bidi="ar-SA"/>
    </w:rPr>
  </w:style>
  <w:style w:type="character" w:customStyle="1" w:styleId="98">
    <w:name w:val="text9"/>
    <w:basedOn w:val="64"/>
    <w:qFormat/>
    <w:uiPriority w:val="0"/>
  </w:style>
  <w:style w:type="character" w:customStyle="1" w:styleId="99">
    <w:name w:val="标题 8 Char"/>
    <w:link w:val="9"/>
    <w:qFormat/>
    <w:uiPriority w:val="0"/>
    <w:rPr>
      <w:rFonts w:ascii="Arial" w:hAnsi="Arial" w:eastAsia="宋体"/>
      <w:i/>
      <w:kern w:val="2"/>
      <w:sz w:val="28"/>
      <w:szCs w:val="28"/>
      <w:lang w:val="en-US" w:eastAsia="zh-CN" w:bidi="ar-SA"/>
    </w:rPr>
  </w:style>
  <w:style w:type="character" w:customStyle="1" w:styleId="100">
    <w:name w:val="标题 3 Char Char"/>
    <w:qFormat/>
    <w:uiPriority w:val="0"/>
    <w:rPr>
      <w:rFonts w:ascii="宋体" w:hAnsi="宋体" w:eastAsia="宋体"/>
      <w:color w:val="666666"/>
      <w:kern w:val="2"/>
      <w:sz w:val="28"/>
      <w:szCs w:val="28"/>
      <w:lang w:val="en-US" w:eastAsia="zh-CN" w:bidi="ar-SA"/>
    </w:rPr>
  </w:style>
  <w:style w:type="character" w:customStyle="1" w:styleId="101">
    <w:name w:val="apple-converted-space"/>
    <w:basedOn w:val="64"/>
    <w:qFormat/>
    <w:uiPriority w:val="0"/>
  </w:style>
  <w:style w:type="character" w:customStyle="1" w:styleId="102">
    <w:name w:val="EHPT Char1"/>
    <w:qFormat/>
    <w:uiPriority w:val="0"/>
    <w:rPr>
      <w:rFonts w:ascii="Calibri" w:hAnsi="Calibri" w:eastAsia="宋体"/>
      <w:kern w:val="2"/>
      <w:sz w:val="21"/>
      <w:szCs w:val="22"/>
      <w:lang w:val="en-US" w:eastAsia="zh-CN" w:bidi="ar-SA"/>
    </w:rPr>
  </w:style>
  <w:style w:type="character" w:customStyle="1" w:styleId="103">
    <w:name w:val="Char Char19"/>
    <w:qFormat/>
    <w:uiPriority w:val="0"/>
    <w:rPr>
      <w:rFonts w:ascii="Cambria" w:hAnsi="Cambria" w:eastAsia="宋体" w:cs="Times New Roman"/>
      <w:color w:val="4F81BD"/>
      <w:sz w:val="20"/>
      <w:szCs w:val="20"/>
    </w:rPr>
  </w:style>
  <w:style w:type="character" w:customStyle="1" w:styleId="104">
    <w:name w:val="Char Char4"/>
    <w:qFormat/>
    <w:uiPriority w:val="0"/>
    <w:rPr>
      <w:rFonts w:ascii="仿宋_GB2312" w:eastAsia="仿宋_GB2312"/>
      <w:kern w:val="2"/>
      <w:sz w:val="28"/>
      <w:szCs w:val="28"/>
      <w:lang w:val="zh-CN" w:eastAsia="zh-CN" w:bidi="ar-SA"/>
    </w:rPr>
  </w:style>
  <w:style w:type="character" w:customStyle="1" w:styleId="105">
    <w:name w:val="EmailStyle191"/>
    <w:semiHidden/>
    <w:qFormat/>
    <w:uiPriority w:val="0"/>
    <w:rPr>
      <w:rFonts w:ascii="Arial" w:hAnsi="Arial" w:eastAsia="宋体" w:cs="Arial"/>
      <w:color w:val="000080"/>
      <w:sz w:val="18"/>
      <w:szCs w:val="20"/>
    </w:rPr>
  </w:style>
  <w:style w:type="character" w:customStyle="1" w:styleId="106">
    <w:name w:val="标题 4 Char"/>
    <w:link w:val="5"/>
    <w:qFormat/>
    <w:uiPriority w:val="0"/>
    <w:rPr>
      <w:rFonts w:ascii="Cambria" w:hAnsi="Cambria" w:eastAsia="宋体"/>
      <w:b/>
      <w:bCs/>
      <w:kern w:val="2"/>
      <w:sz w:val="28"/>
      <w:szCs w:val="28"/>
      <w:lang w:val="en-US" w:eastAsia="zh-CN" w:bidi="ar-SA"/>
    </w:rPr>
  </w:style>
  <w:style w:type="character" w:customStyle="1" w:styleId="107">
    <w:name w:val="正文文本 3 Char1"/>
    <w:semiHidden/>
    <w:qFormat/>
    <w:uiPriority w:val="0"/>
    <w:rPr>
      <w:rFonts w:ascii="仿宋_GB2312" w:hAnsi="Times New Roman" w:eastAsia="仿宋_GB2312" w:cs="Times New Roman"/>
      <w:sz w:val="16"/>
      <w:szCs w:val="16"/>
    </w:rPr>
  </w:style>
  <w:style w:type="character" w:customStyle="1" w:styleId="108">
    <w:name w:val="标题 2 Char"/>
    <w:qFormat/>
    <w:uiPriority w:val="0"/>
    <w:rPr>
      <w:rFonts w:ascii="宋体" w:hAnsi="宋体" w:eastAsia="黑体"/>
      <w:b/>
      <w:bCs/>
      <w:kern w:val="2"/>
      <w:sz w:val="24"/>
      <w:szCs w:val="32"/>
      <w:lang w:val="en-US" w:eastAsia="zh-CN" w:bidi="ar-SA"/>
    </w:rPr>
  </w:style>
  <w:style w:type="character" w:customStyle="1" w:styleId="109">
    <w:name w:val="批注框文本 Char"/>
    <w:link w:val="38"/>
    <w:semiHidden/>
    <w:qFormat/>
    <w:uiPriority w:val="0"/>
    <w:rPr>
      <w:rFonts w:eastAsia="宋体"/>
      <w:kern w:val="2"/>
      <w:sz w:val="18"/>
      <w:szCs w:val="18"/>
      <w:lang w:val="en-US" w:eastAsia="zh-CN" w:bidi="ar-SA"/>
    </w:rPr>
  </w:style>
  <w:style w:type="character" w:customStyle="1" w:styleId="110">
    <w:name w:val="maincontenttable1"/>
    <w:qFormat/>
    <w:uiPriority w:val="0"/>
    <w:rPr>
      <w:sz w:val="18"/>
      <w:szCs w:val="18"/>
    </w:rPr>
  </w:style>
  <w:style w:type="character" w:customStyle="1" w:styleId="111">
    <w:name w:val="纯文本 Char1"/>
    <w:semiHidden/>
    <w:qFormat/>
    <w:uiPriority w:val="0"/>
    <w:rPr>
      <w:rFonts w:ascii="宋体" w:hAnsi="Courier New" w:eastAsia="宋体" w:cs="Courier New"/>
      <w:szCs w:val="21"/>
    </w:rPr>
  </w:style>
  <w:style w:type="character" w:customStyle="1" w:styleId="112">
    <w:name w:val="PI Char"/>
    <w:qFormat/>
    <w:uiPriority w:val="0"/>
    <w:rPr>
      <w:rFonts w:ascii="仿宋_GB2312" w:eastAsia="仿宋_GB2312"/>
      <w:kern w:val="2"/>
      <w:sz w:val="28"/>
      <w:szCs w:val="28"/>
      <w:lang w:val="zh-CN" w:eastAsia="zh-CN" w:bidi="ar-SA"/>
    </w:rPr>
  </w:style>
  <w:style w:type="character" w:customStyle="1" w:styleId="113">
    <w:name w:val="批注主题 Char1"/>
    <w:semiHidden/>
    <w:qFormat/>
    <w:uiPriority w:val="0"/>
    <w:rPr>
      <w:rFonts w:ascii="仿宋_GB2312" w:eastAsia="仿宋_GB2312"/>
      <w:b/>
      <w:bCs/>
      <w:kern w:val="2"/>
      <w:sz w:val="28"/>
      <w:szCs w:val="28"/>
      <w:lang w:val="en-US" w:eastAsia="zh-CN" w:bidi="ar-SA"/>
    </w:rPr>
  </w:style>
  <w:style w:type="character" w:customStyle="1" w:styleId="114">
    <w:name w:val="明显引用 Char"/>
    <w:link w:val="115"/>
    <w:qFormat/>
    <w:uiPriority w:val="0"/>
    <w:rPr>
      <w:rFonts w:ascii="Calibri" w:hAnsi="Calibri" w:eastAsia="宋体"/>
      <w:b/>
      <w:bCs/>
      <w:i/>
      <w:iCs/>
      <w:color w:val="4F81BD"/>
      <w:sz w:val="22"/>
      <w:szCs w:val="22"/>
      <w:lang w:val="en-US" w:eastAsia="en-US" w:bidi="en-US"/>
    </w:rPr>
  </w:style>
  <w:style w:type="paragraph" w:customStyle="1" w:styleId="115">
    <w:name w:val="明显引用1"/>
    <w:basedOn w:val="1"/>
    <w:next w:val="1"/>
    <w:link w:val="114"/>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6">
    <w:name w:val="font11"/>
    <w:qFormat/>
    <w:uiPriority w:val="0"/>
    <w:rPr>
      <w:rFonts w:hint="eastAsia" w:ascii="KaiTi_GB2312" w:eastAsia="KaiTi_GB2312"/>
      <w:color w:val="000000"/>
      <w:sz w:val="21"/>
      <w:szCs w:val="21"/>
      <w:u w:val="none"/>
    </w:rPr>
  </w:style>
  <w:style w:type="character" w:customStyle="1" w:styleId="117">
    <w:name w:val="文字 Char"/>
    <w:link w:val="118"/>
    <w:qFormat/>
    <w:uiPriority w:val="0"/>
    <w:rPr>
      <w:rFonts w:ascii="宋体" w:hAnsi="宋体" w:eastAsia="宋体"/>
      <w:sz w:val="28"/>
      <w:lang w:bidi="ar-SA"/>
    </w:rPr>
  </w:style>
  <w:style w:type="paragraph" w:customStyle="1" w:styleId="118">
    <w:name w:val="文字"/>
    <w:basedOn w:val="1"/>
    <w:link w:val="117"/>
    <w:qFormat/>
    <w:uiPriority w:val="0"/>
    <w:pPr>
      <w:tabs>
        <w:tab w:val="left" w:pos="8520"/>
      </w:tabs>
      <w:spacing w:line="312" w:lineRule="auto"/>
      <w:ind w:right="-210" w:firstLine="556"/>
    </w:pPr>
    <w:rPr>
      <w:rFonts w:ascii="宋体" w:hAnsi="宋体"/>
      <w:kern w:val="0"/>
      <w:sz w:val="28"/>
    </w:rPr>
  </w:style>
  <w:style w:type="character" w:customStyle="1" w:styleId="119">
    <w:name w:val="访问过的超链接1"/>
    <w:qFormat/>
    <w:uiPriority w:val="0"/>
    <w:rPr>
      <w:color w:val="800080"/>
      <w:u w:val="single"/>
    </w:rPr>
  </w:style>
  <w:style w:type="character" w:customStyle="1" w:styleId="120">
    <w:name w:val="正文文本缩进 Char"/>
    <w:qFormat/>
    <w:uiPriority w:val="0"/>
    <w:rPr>
      <w:rFonts w:ascii="仿宋_GB2312" w:hAnsi="Times New Roman" w:eastAsia="仿宋_GB2312" w:cs="Times New Roman"/>
      <w:sz w:val="28"/>
      <w:szCs w:val="28"/>
    </w:rPr>
  </w:style>
  <w:style w:type="character" w:customStyle="1" w:styleId="121">
    <w:name w:val="尾注文本 Char"/>
    <w:link w:val="37"/>
    <w:qFormat/>
    <w:uiPriority w:val="0"/>
    <w:rPr>
      <w:rFonts w:ascii="仿宋_GB2312" w:eastAsia="仿宋_GB2312"/>
      <w:kern w:val="2"/>
      <w:sz w:val="28"/>
      <w:szCs w:val="28"/>
      <w:lang w:val="en-US" w:eastAsia="zh-CN" w:bidi="ar-SA"/>
    </w:rPr>
  </w:style>
  <w:style w:type="character" w:customStyle="1" w:styleId="122">
    <w:name w:val="纯文本 Char"/>
    <w:link w:val="32"/>
    <w:qFormat/>
    <w:locked/>
    <w:uiPriority w:val="0"/>
    <w:rPr>
      <w:rFonts w:ascii="宋体" w:hAnsi="Courier New" w:eastAsia="宋体"/>
      <w:kern w:val="2"/>
      <w:sz w:val="21"/>
      <w:lang w:val="en-US" w:eastAsia="zh-CN" w:bidi="ar-SA"/>
    </w:rPr>
  </w:style>
  <w:style w:type="character" w:customStyle="1" w:styleId="123">
    <w:name w:val="标题 3 Char"/>
    <w:link w:val="4"/>
    <w:qFormat/>
    <w:uiPriority w:val="0"/>
    <w:rPr>
      <w:rFonts w:eastAsia="宋体"/>
      <w:b/>
      <w:bCs/>
      <w:kern w:val="2"/>
      <w:sz w:val="32"/>
      <w:szCs w:val="32"/>
      <w:lang w:val="en-US" w:eastAsia="zh-CN" w:bidi="ar-SA"/>
    </w:rPr>
  </w:style>
  <w:style w:type="character" w:customStyle="1" w:styleId="124">
    <w:name w:val="页眉 Char"/>
    <w:link w:val="40"/>
    <w:qFormat/>
    <w:uiPriority w:val="0"/>
    <w:rPr>
      <w:rFonts w:eastAsia="宋体"/>
      <w:kern w:val="2"/>
      <w:sz w:val="18"/>
      <w:lang w:val="en-US" w:eastAsia="zh-CN" w:bidi="ar-SA"/>
    </w:rPr>
  </w:style>
  <w:style w:type="character" w:customStyle="1" w:styleId="125">
    <w:name w:val="Heading 2 Hidden Char2"/>
    <w:qFormat/>
    <w:uiPriority w:val="0"/>
    <w:rPr>
      <w:rFonts w:ascii="Cambria" w:hAnsi="Cambria" w:eastAsia="宋体" w:cs="Times New Roman"/>
      <w:b/>
      <w:bCs/>
      <w:color w:val="4F81BD"/>
      <w:sz w:val="26"/>
      <w:szCs w:val="26"/>
    </w:rPr>
  </w:style>
  <w:style w:type="character" w:customStyle="1" w:styleId="126">
    <w:name w:val="正文文本缩进 Char2"/>
    <w:link w:val="25"/>
    <w:qFormat/>
    <w:uiPriority w:val="0"/>
    <w:rPr>
      <w:rFonts w:eastAsia="宋体"/>
      <w:kern w:val="2"/>
      <w:sz w:val="28"/>
      <w:szCs w:val="24"/>
      <w:lang w:val="en-US" w:eastAsia="zh-CN" w:bidi="ar-SA"/>
    </w:rPr>
  </w:style>
  <w:style w:type="character" w:customStyle="1" w:styleId="127">
    <w:name w:val="正文文本 Char"/>
    <w:qFormat/>
    <w:uiPriority w:val="0"/>
    <w:rPr>
      <w:rFonts w:ascii="仿宋_GB2312" w:hAnsi="Times New Roman" w:eastAsia="仿宋_GB2312" w:cs="Times New Roman"/>
      <w:sz w:val="28"/>
      <w:szCs w:val="28"/>
    </w:rPr>
  </w:style>
  <w:style w:type="character" w:customStyle="1" w:styleId="128">
    <w:name w:val="ca-9"/>
    <w:basedOn w:val="64"/>
    <w:qFormat/>
    <w:uiPriority w:val="0"/>
  </w:style>
  <w:style w:type="character" w:customStyle="1" w:styleId="129">
    <w:name w:val="标题 9 Char"/>
    <w:link w:val="10"/>
    <w:qFormat/>
    <w:uiPriority w:val="0"/>
    <w:rPr>
      <w:rFonts w:ascii="Arial" w:hAnsi="Arial" w:eastAsia="宋体"/>
      <w:i/>
      <w:kern w:val="2"/>
      <w:sz w:val="18"/>
      <w:szCs w:val="28"/>
      <w:lang w:val="en-US" w:eastAsia="zh-CN" w:bidi="ar-SA"/>
    </w:rPr>
  </w:style>
  <w:style w:type="character" w:customStyle="1" w:styleId="130">
    <w:name w:val="文档结构图 Char"/>
    <w:link w:val="19"/>
    <w:qFormat/>
    <w:uiPriority w:val="0"/>
    <w:rPr>
      <w:rFonts w:eastAsia="宋体"/>
      <w:szCs w:val="24"/>
      <w:shd w:val="clear" w:color="auto" w:fill="000080"/>
      <w:lang w:bidi="ar-SA"/>
    </w:rPr>
  </w:style>
  <w:style w:type="character" w:customStyle="1" w:styleId="131">
    <w:name w:val="EHPT Char2"/>
    <w:qFormat/>
    <w:uiPriority w:val="0"/>
    <w:rPr>
      <w:rFonts w:ascii="Calibri" w:hAnsi="Calibri"/>
      <w:kern w:val="2"/>
      <w:sz w:val="21"/>
      <w:szCs w:val="22"/>
    </w:rPr>
  </w:style>
  <w:style w:type="character" w:customStyle="1" w:styleId="132">
    <w:name w:val="标题 7 Char"/>
    <w:link w:val="8"/>
    <w:qFormat/>
    <w:uiPriority w:val="0"/>
    <w:rPr>
      <w:rFonts w:ascii="Arial" w:hAnsi="Arial" w:eastAsia="宋体"/>
      <w:kern w:val="2"/>
      <w:sz w:val="28"/>
      <w:szCs w:val="28"/>
      <w:lang w:val="en-US" w:eastAsia="zh-CN" w:bidi="ar-SA"/>
    </w:rPr>
  </w:style>
  <w:style w:type="character" w:customStyle="1" w:styleId="133">
    <w:name w:val="text1"/>
    <w:qFormat/>
    <w:uiPriority w:val="0"/>
    <w:rPr>
      <w:rFonts w:hint="eastAsia" w:ascii="宋体" w:hAnsi="宋体" w:eastAsia="宋体"/>
      <w:color w:val="000099"/>
      <w:sz w:val="18"/>
      <w:szCs w:val="18"/>
    </w:rPr>
  </w:style>
  <w:style w:type="character" w:customStyle="1" w:styleId="134">
    <w:name w:val="明显参考1"/>
    <w:qFormat/>
    <w:uiPriority w:val="0"/>
    <w:rPr>
      <w:b/>
      <w:bCs/>
      <w:smallCaps/>
      <w:color w:val="C0504D"/>
      <w:spacing w:val="5"/>
      <w:u w:val="single"/>
    </w:rPr>
  </w:style>
  <w:style w:type="character" w:customStyle="1" w:styleId="135">
    <w:name w:val="bei2"/>
    <w:basedOn w:val="64"/>
    <w:qFormat/>
    <w:uiPriority w:val="0"/>
  </w:style>
  <w:style w:type="character" w:customStyle="1" w:styleId="136">
    <w:name w:val="明显强调1"/>
    <w:qFormat/>
    <w:uiPriority w:val="0"/>
    <w:rPr>
      <w:b/>
      <w:bCs/>
      <w:i/>
      <w:iCs/>
      <w:color w:val="4F81BD"/>
    </w:rPr>
  </w:style>
  <w:style w:type="character" w:customStyle="1" w:styleId="137">
    <w:name w:val="PI Char2"/>
    <w:qFormat/>
    <w:uiPriority w:val="0"/>
    <w:rPr>
      <w:rFonts w:ascii="仿宋_GB2312" w:eastAsia="仿宋_GB2312"/>
      <w:kern w:val="2"/>
      <w:sz w:val="28"/>
      <w:szCs w:val="28"/>
      <w:lang w:val="zh-CN" w:eastAsia="zh-CN" w:bidi="ar-SA"/>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www序号1) Char"/>
    <w:link w:val="140"/>
    <w:qFormat/>
    <w:uiPriority w:val="0"/>
    <w:rPr>
      <w:rFonts w:eastAsia="宋体"/>
      <w:sz w:val="24"/>
      <w:szCs w:val="24"/>
      <w:lang w:bidi="ar-SA"/>
    </w:rPr>
  </w:style>
  <w:style w:type="paragraph" w:customStyle="1" w:styleId="140">
    <w:name w:val="www序号1)"/>
    <w:basedOn w:val="1"/>
    <w:link w:val="139"/>
    <w:qFormat/>
    <w:uiPriority w:val="0"/>
    <w:pPr>
      <w:tabs>
        <w:tab w:val="left" w:pos="2160"/>
      </w:tabs>
      <w:ind w:left="2160" w:hanging="420"/>
    </w:pPr>
    <w:rPr>
      <w:kern w:val="0"/>
      <w:sz w:val="24"/>
      <w:szCs w:val="24"/>
    </w:rPr>
  </w:style>
  <w:style w:type="character" w:customStyle="1" w:styleId="141">
    <w:name w:val="正文文本 2 Char1"/>
    <w:semiHidden/>
    <w:qFormat/>
    <w:uiPriority w:val="0"/>
    <w:rPr>
      <w:rFonts w:ascii="仿宋_GB2312" w:hAnsi="Times New Roman" w:eastAsia="仿宋_GB2312" w:cs="Times New Roman"/>
      <w:sz w:val="28"/>
      <w:szCs w:val="28"/>
    </w:rPr>
  </w:style>
  <w:style w:type="character" w:customStyle="1" w:styleId="142">
    <w:name w:val="标题 6 Char"/>
    <w:link w:val="7"/>
    <w:qFormat/>
    <w:uiPriority w:val="0"/>
    <w:rPr>
      <w:rFonts w:ascii="Arial" w:hAnsi="Arial" w:eastAsia="仿宋_GB2312"/>
      <w:i/>
      <w:sz w:val="22"/>
      <w:lang w:val="en-US" w:eastAsia="zh-CN" w:bidi="ar-SA"/>
    </w:rPr>
  </w:style>
  <w:style w:type="character" w:customStyle="1" w:styleId="143">
    <w:name w:val="正文首行缩进 Char1"/>
    <w:basedOn w:val="127"/>
    <w:semiHidden/>
    <w:qFormat/>
    <w:uiPriority w:val="0"/>
    <w:rPr>
      <w:rFonts w:ascii="仿宋_GB2312" w:hAnsi="Times New Roman" w:eastAsia="仿宋_GB2312" w:cs="Times New Roman"/>
      <w:sz w:val="28"/>
      <w:szCs w:val="28"/>
    </w:rPr>
  </w:style>
  <w:style w:type="character" w:customStyle="1" w:styleId="144">
    <w:name w:val="large1"/>
    <w:qFormat/>
    <w:uiPriority w:val="0"/>
    <w:rPr>
      <w:rFonts w:hint="eastAsia" w:ascii="宋体" w:hAnsi="宋体" w:eastAsia="宋体"/>
      <w:sz w:val="21"/>
      <w:szCs w:val="21"/>
    </w:rPr>
  </w:style>
  <w:style w:type="character" w:customStyle="1" w:styleId="145">
    <w:name w:val="标题 Char1"/>
    <w:qFormat/>
    <w:uiPriority w:val="0"/>
    <w:rPr>
      <w:rFonts w:ascii="Cambria" w:hAnsi="Cambria" w:eastAsia="宋体" w:cs="Times New Roman"/>
      <w:b/>
      <w:bCs/>
      <w:sz w:val="32"/>
      <w:szCs w:val="32"/>
    </w:rPr>
  </w:style>
  <w:style w:type="character" w:customStyle="1" w:styleId="146">
    <w:name w:val="unnamed11"/>
    <w:qFormat/>
    <w:uiPriority w:val="0"/>
    <w:rPr>
      <w:sz w:val="18"/>
      <w:szCs w:val="18"/>
    </w:rPr>
  </w:style>
  <w:style w:type="character" w:customStyle="1" w:styleId="147">
    <w:name w:val="日期 Char"/>
    <w:link w:val="35"/>
    <w:qFormat/>
    <w:uiPriority w:val="0"/>
    <w:rPr>
      <w:rFonts w:eastAsia="宋体"/>
      <w:kern w:val="2"/>
      <w:sz w:val="21"/>
      <w:lang w:val="en-US" w:eastAsia="zh-CN" w:bidi="ar-SA"/>
    </w:rPr>
  </w:style>
  <w:style w:type="character" w:customStyle="1" w:styleId="148">
    <w:name w:val="表正文 Char"/>
    <w:qFormat/>
    <w:uiPriority w:val="0"/>
    <w:rPr>
      <w:rFonts w:ascii="仿宋_GB2312" w:eastAsia="仿宋_GB2312"/>
      <w:kern w:val="2"/>
      <w:sz w:val="28"/>
    </w:rPr>
  </w:style>
  <w:style w:type="character" w:customStyle="1" w:styleId="149">
    <w:name w:val="Heading 2 Hidden Char1"/>
    <w:qFormat/>
    <w:uiPriority w:val="0"/>
    <w:rPr>
      <w:rFonts w:ascii="Arial" w:hAnsi="Arial" w:eastAsia="黑体"/>
      <w:b/>
      <w:bCs/>
      <w:kern w:val="2"/>
      <w:sz w:val="32"/>
      <w:szCs w:val="32"/>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customStyle="1" w:styleId="151">
    <w:name w:val="引用1"/>
    <w:basedOn w:val="1"/>
    <w:next w:val="1"/>
    <w:link w:val="150"/>
    <w:qFormat/>
    <w:uiPriority w:val="0"/>
    <w:pPr>
      <w:widowControl/>
      <w:spacing w:after="480" w:line="276" w:lineRule="auto"/>
      <w:jc w:val="left"/>
    </w:pPr>
    <w:rPr>
      <w:i/>
      <w:iCs/>
      <w:color w:val="000000"/>
      <w:kern w:val="0"/>
      <w:sz w:val="22"/>
      <w:szCs w:val="22"/>
      <w:lang w:eastAsia="en-US" w:bidi="en-US"/>
    </w:rPr>
  </w:style>
  <w:style w:type="character" w:customStyle="1" w:styleId="152">
    <w:name w:val="页脚 Char"/>
    <w:link w:val="39"/>
    <w:qFormat/>
    <w:uiPriority w:val="0"/>
    <w:rPr>
      <w:rFonts w:eastAsia="宋体"/>
      <w:kern w:val="2"/>
      <w:sz w:val="18"/>
      <w:szCs w:val="18"/>
      <w:lang w:val="en-US" w:eastAsia="zh-CN" w:bidi="ar-SA"/>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rPr>
  </w:style>
  <w:style w:type="character" w:customStyle="1" w:styleId="155">
    <w:name w:val="不明显参考1"/>
    <w:qFormat/>
    <w:uiPriority w:val="0"/>
    <w:rPr>
      <w:smallCaps/>
      <w:color w:val="C0504D"/>
      <w:u w:val="single"/>
    </w:rPr>
  </w:style>
  <w:style w:type="character" w:customStyle="1" w:styleId="156">
    <w:name w:val="14normal1"/>
    <w:qFormat/>
    <w:uiPriority w:val="0"/>
    <w:rPr>
      <w:rFonts w:hint="default" w:ascii="ˎ̥" w:hAnsi="ˎ̥"/>
      <w:color w:val="000000"/>
      <w:sz w:val="21"/>
      <w:szCs w:val="21"/>
    </w:rPr>
  </w:style>
  <w:style w:type="character" w:customStyle="1" w:styleId="157">
    <w:name w:val="EHPT Char3"/>
    <w:qFormat/>
    <w:uiPriority w:val="0"/>
    <w:rPr>
      <w:rFonts w:ascii="Calibri" w:hAnsi="Calibri" w:eastAsia="宋体"/>
    </w:rPr>
  </w:style>
  <w:style w:type="character" w:customStyle="1" w:styleId="158">
    <w:name w:val="批注文字 Char"/>
    <w:qFormat/>
    <w:uiPriority w:val="99"/>
    <w:rPr>
      <w:rFonts w:eastAsia="宋体"/>
      <w:kern w:val="2"/>
      <w:sz w:val="21"/>
      <w:szCs w:val="24"/>
      <w:lang w:val="en-US" w:eastAsia="zh-CN" w:bidi="ar-SA"/>
    </w:rPr>
  </w:style>
  <w:style w:type="character" w:customStyle="1" w:styleId="159">
    <w:name w:val="正文文本缩进 Char1"/>
    <w:semiHidden/>
    <w:qFormat/>
    <w:uiPriority w:val="0"/>
    <w:rPr>
      <w:rFonts w:ascii="仿宋_GB2312" w:hAnsi="Times New Roman" w:eastAsia="仿宋_GB2312" w:cs="Times New Roman"/>
      <w:sz w:val="28"/>
      <w:szCs w:val="28"/>
    </w:rPr>
  </w:style>
  <w:style w:type="character" w:customStyle="1" w:styleId="160">
    <w:name w:val="Char Char14"/>
    <w:qFormat/>
    <w:uiPriority w:val="0"/>
    <w:rPr>
      <w:rFonts w:ascii="宋体" w:hAnsi="Courier New" w:eastAsia="宋体"/>
      <w:sz w:val="21"/>
      <w:lang w:val="en-US" w:eastAsia="zh-CN" w:bidi="ar-SA"/>
    </w:rPr>
  </w:style>
  <w:style w:type="character" w:customStyle="1" w:styleId="161">
    <w:name w:val="正文文本缩进 3 Char1"/>
    <w:semiHidden/>
    <w:qFormat/>
    <w:uiPriority w:val="0"/>
    <w:rPr>
      <w:rFonts w:ascii="仿宋_GB2312" w:hAnsi="Times New Roman" w:eastAsia="仿宋_GB2312" w:cs="Times New Roman"/>
      <w:sz w:val="16"/>
      <w:szCs w:val="16"/>
    </w:rPr>
  </w:style>
  <w:style w:type="character" w:customStyle="1" w:styleId="162">
    <w:name w:val="font21"/>
    <w:qFormat/>
    <w:uiPriority w:val="0"/>
    <w:rPr>
      <w:rFonts w:hint="eastAsia" w:ascii="KaiTi_GB2312" w:eastAsia="KaiTi_GB2312"/>
      <w:color w:val="000000"/>
      <w:sz w:val="21"/>
      <w:szCs w:val="21"/>
      <w:u w:val="single"/>
    </w:rPr>
  </w:style>
  <w:style w:type="character" w:customStyle="1" w:styleId="163">
    <w:name w:val="ca-10"/>
    <w:basedOn w:val="64"/>
    <w:qFormat/>
    <w:uiPriority w:val="0"/>
  </w:style>
  <w:style w:type="character" w:customStyle="1" w:styleId="164">
    <w:name w:val="style321"/>
    <w:qFormat/>
    <w:uiPriority w:val="0"/>
    <w:rPr>
      <w:b/>
      <w:bCs/>
      <w:color w:val="FF9900"/>
      <w:sz w:val="23"/>
      <w:szCs w:val="23"/>
    </w:rPr>
  </w:style>
  <w:style w:type="character" w:customStyle="1" w:styleId="165">
    <w:name w:val="正文首行缩进 Char"/>
    <w:link w:val="24"/>
    <w:qFormat/>
    <w:uiPriority w:val="0"/>
    <w:rPr>
      <w:rFonts w:ascii="Calibri" w:hAnsi="Calibri" w:eastAsia="KaiTi_GB2312"/>
      <w:sz w:val="24"/>
      <w:lang w:bidi="ar-SA"/>
    </w:rPr>
  </w:style>
  <w:style w:type="character" w:customStyle="1" w:styleId="166">
    <w:name w:val="font1"/>
    <w:qFormat/>
    <w:uiPriority w:val="0"/>
    <w:rPr>
      <w:color w:val="333333"/>
      <w:sz w:val="18"/>
      <w:szCs w:val="18"/>
      <w:u w:val="none"/>
    </w:rPr>
  </w:style>
  <w:style w:type="character" w:customStyle="1" w:styleId="167">
    <w:name w:val="标题 2 Char1"/>
    <w:link w:val="3"/>
    <w:qFormat/>
    <w:uiPriority w:val="0"/>
    <w:rPr>
      <w:rFonts w:ascii="Arial" w:hAnsi="Arial" w:eastAsia="黑体"/>
      <w:b/>
      <w:bCs/>
      <w:kern w:val="2"/>
      <w:sz w:val="32"/>
      <w:szCs w:val="32"/>
      <w:lang w:val="en-US" w:eastAsia="zh-CN" w:bidi="ar-SA"/>
    </w:rPr>
  </w:style>
  <w:style w:type="character" w:customStyle="1" w:styleId="168">
    <w:name w:val="标题 Char"/>
    <w:link w:val="57"/>
    <w:qFormat/>
    <w:uiPriority w:val="0"/>
    <w:rPr>
      <w:rFonts w:ascii="Arial" w:hAnsi="Arial" w:eastAsia="宋体"/>
      <w:b/>
      <w:sz w:val="36"/>
      <w:lang w:eastAsia="en-US" w:bidi="ar-SA"/>
    </w:rPr>
  </w:style>
  <w:style w:type="character" w:customStyle="1" w:styleId="169">
    <w:name w:val="标题 5 Char"/>
    <w:link w:val="6"/>
    <w:qFormat/>
    <w:uiPriority w:val="0"/>
    <w:rPr>
      <w:rFonts w:ascii="Arial" w:hAnsi="Arial" w:eastAsia="宋体"/>
      <w:kern w:val="2"/>
      <w:sz w:val="22"/>
      <w:szCs w:val="28"/>
      <w:lang w:val="en-US" w:eastAsia="zh-CN" w:bidi="ar-SA"/>
    </w:rPr>
  </w:style>
  <w:style w:type="character" w:customStyle="1" w:styleId="170">
    <w:name w:val="bulletintext1"/>
    <w:qFormat/>
    <w:uiPriority w:val="0"/>
    <w:rPr>
      <w:color w:val="000000"/>
      <w:sz w:val="18"/>
      <w:szCs w:val="18"/>
    </w:rPr>
  </w:style>
  <w:style w:type="character" w:customStyle="1" w:styleId="171">
    <w:name w:val="普通文字 Char Char4"/>
    <w:qFormat/>
    <w:uiPriority w:val="0"/>
    <w:rPr>
      <w:rFonts w:ascii="宋体" w:hAnsi="Courier New" w:eastAsia="宋体"/>
      <w:sz w:val="21"/>
      <w:lang w:val="en-US" w:eastAsia="zh-CN" w:bidi="ar-SA"/>
    </w:rPr>
  </w:style>
  <w:style w:type="character" w:customStyle="1" w:styleId="172">
    <w:name w:val="PI Char3"/>
    <w:qFormat/>
    <w:uiPriority w:val="0"/>
    <w:rPr>
      <w:rFonts w:ascii="仿宋_GB2312" w:eastAsia="仿宋_GB2312"/>
      <w:kern w:val="2"/>
      <w:sz w:val="28"/>
      <w:szCs w:val="28"/>
      <w:lang w:val="zh-CN"/>
    </w:rPr>
  </w:style>
  <w:style w:type="character" w:customStyle="1" w:styleId="173">
    <w:name w:val="标题 1 Char"/>
    <w:link w:val="2"/>
    <w:qFormat/>
    <w:uiPriority w:val="0"/>
    <w:rPr>
      <w:rFonts w:eastAsia="宋体"/>
      <w:b/>
      <w:bCs/>
      <w:kern w:val="44"/>
      <w:sz w:val="44"/>
      <w:szCs w:val="44"/>
      <w:lang w:val="en-US" w:eastAsia="zh-CN" w:bidi="ar-SA"/>
    </w:rPr>
  </w:style>
  <w:style w:type="character" w:customStyle="1" w:styleId="174">
    <w:name w:val="正文文本缩进 3 Char"/>
    <w:link w:val="48"/>
    <w:qFormat/>
    <w:uiPriority w:val="0"/>
    <w:rPr>
      <w:rFonts w:ascii="隶书" w:hAnsi="宋体" w:eastAsia="隶书"/>
      <w:kern w:val="2"/>
      <w:sz w:val="21"/>
      <w:szCs w:val="24"/>
      <w:lang w:val="en-US" w:eastAsia="zh-CN" w:bidi="ar-SA"/>
    </w:rPr>
  </w:style>
  <w:style w:type="character" w:customStyle="1" w:styleId="175">
    <w:name w:val="日期 Char1"/>
    <w:semiHidden/>
    <w:qFormat/>
    <w:uiPriority w:val="0"/>
    <w:rPr>
      <w:rFonts w:ascii="仿宋_GB2312" w:hAnsi="Times New Roman" w:eastAsia="仿宋_GB2312" w:cs="Times New Roman"/>
      <w:sz w:val="28"/>
      <w:szCs w:val="28"/>
    </w:rPr>
  </w:style>
  <w:style w:type="character" w:customStyle="1" w:styleId="176">
    <w:name w:val="批注文字 Char1"/>
    <w:link w:val="20"/>
    <w:qFormat/>
    <w:uiPriority w:val="0"/>
    <w:rPr>
      <w:rFonts w:ascii="仿宋_GB2312" w:eastAsia="仿宋_GB2312"/>
      <w:kern w:val="2"/>
      <w:sz w:val="28"/>
      <w:szCs w:val="28"/>
      <w:lang w:val="en-US" w:eastAsia="zh-CN" w:bidi="ar-SA"/>
    </w:rPr>
  </w:style>
  <w:style w:type="character" w:customStyle="1" w:styleId="177">
    <w:name w:val="bullet Char"/>
    <w:qFormat/>
    <w:uiPriority w:val="0"/>
    <w:rPr>
      <w:b/>
      <w:i/>
      <w:sz w:val="24"/>
    </w:rPr>
  </w:style>
  <w:style w:type="character" w:customStyle="1" w:styleId="178">
    <w:name w:val="Char Char"/>
    <w:qFormat/>
    <w:uiPriority w:val="0"/>
    <w:rPr>
      <w:rFonts w:ascii="宋体" w:hAnsi="宋体" w:eastAsia="宋体"/>
      <w:sz w:val="24"/>
      <w:szCs w:val="24"/>
      <w:lang w:val="en-US" w:eastAsia="zh-CN" w:bidi="ar-SA"/>
    </w:rPr>
  </w:style>
  <w:style w:type="character" w:customStyle="1" w:styleId="179">
    <w:name w:val="Heading 3 - old Char"/>
    <w:qFormat/>
    <w:uiPriority w:val="0"/>
    <w:rPr>
      <w:rFonts w:ascii="Calibri" w:hAnsi="Calibri"/>
      <w:b/>
      <w:bCs/>
      <w:kern w:val="2"/>
      <w:sz w:val="32"/>
      <w:szCs w:val="32"/>
    </w:rPr>
  </w:style>
  <w:style w:type="character" w:customStyle="1" w:styleId="180">
    <w:name w:val="ca-3"/>
    <w:basedOn w:val="64"/>
    <w:qFormat/>
    <w:uiPriority w:val="0"/>
  </w:style>
  <w:style w:type="character" w:customStyle="1" w:styleId="181">
    <w:name w:val="表格 Char Char"/>
    <w:link w:val="182"/>
    <w:qFormat/>
    <w:uiPriority w:val="0"/>
    <w:rPr>
      <w:rFonts w:ascii="宋体" w:hAnsi="宋体"/>
      <w:lang w:bidi="ar-SA"/>
    </w:rPr>
  </w:style>
  <w:style w:type="paragraph" w:customStyle="1" w:styleId="182">
    <w:name w:val="表格"/>
    <w:basedOn w:val="1"/>
    <w:link w:val="181"/>
    <w:qFormat/>
    <w:uiPriority w:val="0"/>
    <w:pPr>
      <w:snapToGrid w:val="0"/>
      <w:ind w:firstLine="42" w:firstLineChars="21"/>
    </w:pPr>
    <w:rPr>
      <w:rFonts w:ascii="宋体" w:hAnsi="宋体"/>
      <w:kern w:val="0"/>
      <w:sz w:val="20"/>
    </w:rPr>
  </w:style>
  <w:style w:type="paragraph" w:customStyle="1" w:styleId="183">
    <w:name w:val="RFI List 2"/>
    <w:basedOn w:val="184"/>
    <w:qFormat/>
    <w:uiPriority w:val="0"/>
    <w:pPr>
      <w:numPr>
        <w:ilvl w:val="0"/>
        <w:numId w:val="4"/>
      </w:numPr>
      <w:tabs>
        <w:tab w:val="left" w:pos="360"/>
        <w:tab w:val="left" w:pos="720"/>
        <w:tab w:val="left" w:pos="1800"/>
      </w:tabs>
      <w:ind w:left="720" w:hanging="720"/>
    </w:pPr>
    <w:rPr>
      <w:rFonts w:eastAsia="Times New Roman"/>
      <w:b w:val="0"/>
      <w:bCs/>
    </w:rPr>
  </w:style>
  <w:style w:type="paragraph" w:customStyle="1" w:styleId="184">
    <w:name w:val="RFI List 1"/>
    <w:basedOn w:val="185"/>
    <w:qFormat/>
    <w:uiPriority w:val="0"/>
    <w:pPr>
      <w:tabs>
        <w:tab w:val="left" w:pos="360"/>
        <w:tab w:val="left" w:pos="720"/>
        <w:tab w:val="left" w:pos="1800"/>
      </w:tabs>
      <w:spacing w:before="240" w:after="160"/>
      <w:ind w:left="720" w:hanging="720"/>
      <w:outlineLvl w:val="0"/>
    </w:pPr>
    <w:rPr>
      <w:b/>
      <w:color w:val="auto"/>
    </w:rPr>
  </w:style>
  <w:style w:type="paragraph" w:customStyle="1" w:styleId="185">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86">
    <w:name w:val="Style Body Text Indent 2 + 11 pt Line spacing:  1.5 lines"/>
    <w:basedOn w:val="36"/>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87">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188">
    <w:name w:val="标题3正文"/>
    <w:basedOn w:val="1"/>
    <w:qFormat/>
    <w:uiPriority w:val="0"/>
    <w:pPr>
      <w:snapToGrid w:val="0"/>
      <w:spacing w:line="360" w:lineRule="auto"/>
      <w:ind w:firstLine="480" w:firstLineChars="200"/>
    </w:pPr>
    <w:rPr>
      <w:sz w:val="24"/>
      <w:szCs w:val="24"/>
    </w:rPr>
  </w:style>
  <w:style w:type="paragraph" w:customStyle="1" w:styleId="189">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190">
    <w:name w:val="无间隔1"/>
    <w:qFormat/>
    <w:uiPriority w:val="0"/>
    <w:rPr>
      <w:rFonts w:ascii="Calibri" w:hAnsi="Calibri" w:eastAsia="宋体" w:cs="Times New Roman"/>
      <w:sz w:val="22"/>
      <w:szCs w:val="22"/>
      <w:lang w:val="en-US" w:eastAsia="en-US" w:bidi="en-US"/>
    </w:rPr>
  </w:style>
  <w:style w:type="paragraph" w:customStyle="1" w:styleId="191">
    <w:name w:val="样式 样式1 + 加粗 行距: 固定值 20 磅"/>
    <w:basedOn w:val="192"/>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92">
    <w:name w:val="样式1"/>
    <w:basedOn w:val="3"/>
    <w:qFormat/>
    <w:uiPriority w:val="0"/>
    <w:pPr>
      <w:spacing w:line="415" w:lineRule="auto"/>
      <w:jc w:val="center"/>
    </w:pPr>
    <w:rPr>
      <w:rFonts w:ascii="宋体" w:hAnsi="宋体"/>
      <w:sz w:val="36"/>
      <w:szCs w:val="36"/>
    </w:rPr>
  </w:style>
  <w:style w:type="paragraph" w:customStyle="1" w:styleId="193">
    <w:name w:val="文档正文"/>
    <w:basedOn w:val="1"/>
    <w:qFormat/>
    <w:uiPriority w:val="0"/>
    <w:rPr>
      <w:rFonts w:ascii="Arial" w:hAnsi="Arial" w:eastAsia="仿宋_GB2312" w:cs="Arial"/>
      <w:bCs/>
      <w:sz w:val="24"/>
      <w:szCs w:val="28"/>
    </w:rPr>
  </w:style>
  <w:style w:type="paragraph" w:customStyle="1" w:styleId="194">
    <w:name w:val="BodyText"/>
    <w:basedOn w:val="1"/>
    <w:qFormat/>
    <w:uiPriority w:val="0"/>
    <w:pPr>
      <w:widowControl/>
      <w:spacing w:after="120"/>
      <w:jc w:val="left"/>
    </w:pPr>
    <w:rPr>
      <w:rFonts w:ascii="FuturaA Bk BT" w:hAnsi="FuturaA Bk BT" w:eastAsia="仿宋_GB2312"/>
      <w:kern w:val="0"/>
      <w:sz w:val="20"/>
    </w:rPr>
  </w:style>
  <w:style w:type="paragraph" w:customStyle="1" w:styleId="195">
    <w:name w:val="RFI text from 3rd Level"/>
    <w:basedOn w:val="196"/>
    <w:qFormat/>
    <w:uiPriority w:val="0"/>
    <w:pPr>
      <w:tabs>
        <w:tab w:val="left" w:pos="360"/>
        <w:tab w:val="left" w:pos="720"/>
        <w:tab w:val="left" w:pos="1080"/>
      </w:tabs>
    </w:pPr>
    <w:rPr>
      <w:b w:val="0"/>
      <w:lang w:eastAsia="zh-CN"/>
    </w:rPr>
  </w:style>
  <w:style w:type="paragraph" w:customStyle="1" w:styleId="196">
    <w:name w:val="RFI text from 2nd Level"/>
    <w:basedOn w:val="185"/>
    <w:qFormat/>
    <w:uiPriority w:val="0"/>
    <w:pPr>
      <w:tabs>
        <w:tab w:val="left" w:pos="360"/>
      </w:tabs>
      <w:ind w:left="720"/>
    </w:pPr>
    <w:rPr>
      <w:b/>
      <w:bCs/>
      <w:color w:val="auto"/>
    </w:rPr>
  </w:style>
  <w:style w:type="paragraph" w:customStyle="1" w:styleId="197">
    <w:name w:val="1 Char Char Char Char"/>
    <w:basedOn w:val="1"/>
    <w:qFormat/>
    <w:uiPriority w:val="0"/>
    <w:rPr>
      <w:rFonts w:ascii="Tahoma" w:hAnsi="Tahoma"/>
      <w:sz w:val="24"/>
    </w:rPr>
  </w:style>
  <w:style w:type="paragraph" w:customStyle="1" w:styleId="1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 Char Char Char Char Char Char Char1 Char"/>
    <w:basedOn w:val="1"/>
    <w:qFormat/>
    <w:uiPriority w:val="0"/>
    <w:rPr>
      <w:rFonts w:ascii="仿宋_GB2312" w:eastAsia="仿宋_GB2312"/>
      <w:sz w:val="28"/>
    </w:rPr>
  </w:style>
  <w:style w:type="paragraph" w:customStyle="1" w:styleId="200">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1">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02">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03">
    <w:name w:val="Char1"/>
    <w:basedOn w:val="1"/>
    <w:qFormat/>
    <w:uiPriority w:val="0"/>
    <w:rPr>
      <w:rFonts w:ascii="仿宋_GB2312" w:eastAsia="仿宋_GB2312"/>
      <w:b/>
      <w:sz w:val="32"/>
      <w:szCs w:val="32"/>
    </w:rPr>
  </w:style>
  <w:style w:type="paragraph" w:customStyle="1" w:styleId="204">
    <w:name w:val="小四缩进"/>
    <w:basedOn w:val="1"/>
    <w:qFormat/>
    <w:uiPriority w:val="0"/>
    <w:pPr>
      <w:spacing w:line="360" w:lineRule="auto"/>
      <w:ind w:firstLine="480" w:firstLineChars="200"/>
    </w:pPr>
    <w:rPr>
      <w:sz w:val="24"/>
      <w:szCs w:val="24"/>
    </w:rPr>
  </w:style>
  <w:style w:type="paragraph" w:customStyle="1" w:styleId="205">
    <w:name w:val="Char11"/>
    <w:basedOn w:val="1"/>
    <w:qFormat/>
    <w:uiPriority w:val="0"/>
    <w:rPr>
      <w:rFonts w:ascii="Tahoma" w:hAnsi="Tahoma" w:eastAsia="仿宋_GB2312"/>
      <w:sz w:val="24"/>
    </w:rPr>
  </w:style>
  <w:style w:type="paragraph" w:customStyle="1" w:styleId="206">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07">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8">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09">
    <w:name w:val="标题2正文 Char"/>
    <w:basedOn w:val="1"/>
    <w:qFormat/>
    <w:uiPriority w:val="0"/>
    <w:pPr>
      <w:snapToGrid w:val="0"/>
      <w:spacing w:line="360" w:lineRule="auto"/>
      <w:ind w:firstLine="480" w:firstLineChars="200"/>
    </w:pPr>
    <w:rPr>
      <w:sz w:val="24"/>
      <w:szCs w:val="24"/>
    </w:rPr>
  </w:style>
  <w:style w:type="paragraph" w:customStyle="1" w:styleId="210">
    <w:name w:val="正文文本 21"/>
    <w:basedOn w:val="1"/>
    <w:qFormat/>
    <w:uiPriority w:val="0"/>
    <w:pPr>
      <w:adjustRightInd w:val="0"/>
      <w:spacing w:line="300" w:lineRule="auto"/>
      <w:jc w:val="center"/>
    </w:pPr>
    <w:rPr>
      <w:rFonts w:hint="eastAsia" w:ascii="宋体" w:hAnsi="宋体"/>
      <w:sz w:val="24"/>
    </w:rPr>
  </w:style>
  <w:style w:type="paragraph" w:customStyle="1" w:styleId="2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12">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13">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14">
    <w:name w:val="Char Char Char Char Char Char Char Char1 Char1"/>
    <w:basedOn w:val="1"/>
    <w:qFormat/>
    <w:uiPriority w:val="0"/>
    <w:rPr>
      <w:rFonts w:ascii="仿宋_GB2312" w:eastAsia="仿宋_GB2312"/>
      <w:sz w:val="28"/>
    </w:rPr>
  </w:style>
  <w:style w:type="paragraph" w:customStyle="1" w:styleId="215">
    <w:name w:val="列出段落1"/>
    <w:basedOn w:val="1"/>
    <w:qFormat/>
    <w:uiPriority w:val="0"/>
    <w:pPr>
      <w:ind w:firstLine="420" w:firstLineChars="200"/>
    </w:pPr>
    <w:rPr>
      <w:rFonts w:eastAsia="仿宋_GB2312"/>
      <w:sz w:val="28"/>
      <w:szCs w:val="22"/>
    </w:rPr>
  </w:style>
  <w:style w:type="paragraph" w:customStyle="1" w:styleId="216">
    <w:name w:val="标题 3.5"/>
    <w:basedOn w:val="4"/>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7">
    <w:name w:val="Achievement"/>
    <w:basedOn w:val="23"/>
    <w:qFormat/>
    <w:uiPriority w:val="0"/>
    <w:pPr>
      <w:widowControl/>
      <w:numPr>
        <w:ilvl w:val="0"/>
        <w:numId w:val="5"/>
      </w:numPr>
      <w:spacing w:after="60" w:line="220" w:lineRule="atLeast"/>
    </w:pPr>
    <w:rPr>
      <w:rFonts w:ascii="Arial" w:hAnsi="Arial" w:eastAsia="宋体"/>
      <w:b w:val="0"/>
      <w:bCs w:val="0"/>
      <w:spacing w:val="-5"/>
      <w:kern w:val="0"/>
      <w:sz w:val="20"/>
      <w:szCs w:val="20"/>
    </w:rPr>
  </w:style>
  <w:style w:type="paragraph" w:customStyle="1" w:styleId="218">
    <w:name w:val="Char"/>
    <w:basedOn w:val="1"/>
    <w:qFormat/>
    <w:uiPriority w:val="0"/>
    <w:rPr>
      <w:rFonts w:ascii="仿宋_GB2312" w:eastAsia="仿宋_GB2312"/>
      <w:sz w:val="28"/>
      <w:szCs w:val="28"/>
    </w:rPr>
  </w:style>
  <w:style w:type="paragraph" w:customStyle="1" w:styleId="219">
    <w:name w:val="标题2正文"/>
    <w:basedOn w:val="1"/>
    <w:qFormat/>
    <w:uiPriority w:val="0"/>
    <w:pPr>
      <w:snapToGrid w:val="0"/>
      <w:spacing w:line="360" w:lineRule="auto"/>
      <w:ind w:firstLine="480" w:firstLineChars="200"/>
    </w:pPr>
    <w:rPr>
      <w:sz w:val="24"/>
      <w:szCs w:val="24"/>
    </w:rPr>
  </w:style>
  <w:style w:type="paragraph" w:customStyle="1" w:styleId="220">
    <w:name w:val="Char Char2 Char Char"/>
    <w:basedOn w:val="19"/>
    <w:qFormat/>
    <w:uiPriority w:val="0"/>
    <w:pPr>
      <w:spacing w:line="436" w:lineRule="exact"/>
    </w:pPr>
    <w:rPr>
      <w:rFonts w:ascii="Tahoma" w:hAnsi="Tahoma"/>
      <w:kern w:val="2"/>
      <w:sz w:val="24"/>
      <w:szCs w:val="20"/>
      <w:shd w:val="clear" w:color="auto" w:fill="auto"/>
    </w:rPr>
  </w:style>
  <w:style w:type="paragraph" w:customStyle="1" w:styleId="221">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2">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23">
    <w:name w:val="正文无缩进"/>
    <w:basedOn w:val="224"/>
    <w:qFormat/>
    <w:uiPriority w:val="0"/>
    <w:pPr>
      <w:ind w:firstLine="0" w:firstLineChars="0"/>
    </w:pPr>
  </w:style>
  <w:style w:type="paragraph" w:customStyle="1" w:styleId="2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5">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226">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项目1"/>
    <w:basedOn w:val="14"/>
    <w:next w:val="14"/>
    <w:qFormat/>
    <w:uiPriority w:val="0"/>
    <w:pPr>
      <w:widowControl w:val="0"/>
      <w:numPr>
        <w:ilvl w:val="3"/>
        <w:numId w:val="6"/>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28">
    <w:name w:val="RFI abc 1st Level"/>
    <w:basedOn w:val="1"/>
    <w:qFormat/>
    <w:uiPriority w:val="0"/>
    <w:pPr>
      <w:widowControl/>
      <w:numPr>
        <w:ilvl w:val="0"/>
        <w:numId w:val="7"/>
      </w:numPr>
      <w:tabs>
        <w:tab w:val="left" w:pos="1440"/>
      </w:tabs>
      <w:ind w:left="1440"/>
    </w:pPr>
    <w:rPr>
      <w:rFonts w:ascii="Arial (W1)" w:hAnsi="Arial (W1)" w:eastAsia="仿宋_GB2312"/>
      <w:kern w:val="0"/>
      <w:sz w:val="24"/>
      <w:szCs w:val="28"/>
      <w:lang w:val="en-GB" w:eastAsia="en-US"/>
    </w:rPr>
  </w:style>
  <w:style w:type="paragraph" w:customStyle="1" w:styleId="229">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230">
    <w:name w:val="Char1 Char Char Char"/>
    <w:basedOn w:val="1"/>
    <w:qFormat/>
    <w:uiPriority w:val="0"/>
    <w:pPr>
      <w:ind w:left="420" w:hanging="420"/>
    </w:pPr>
    <w:rPr>
      <w:rFonts w:ascii="仿宋_GB2312" w:eastAsia="仿宋_GB2312"/>
      <w:sz w:val="24"/>
      <w:szCs w:val="28"/>
    </w:rPr>
  </w:style>
  <w:style w:type="paragraph" w:customStyle="1" w:styleId="231">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35">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36">
    <w:name w:val="项目"/>
    <w:basedOn w:val="23"/>
    <w:next w:val="23"/>
    <w:qFormat/>
    <w:uiPriority w:val="0"/>
    <w:pPr>
      <w:numPr>
        <w:ilvl w:val="0"/>
        <w:numId w:val="8"/>
      </w:numPr>
      <w:tabs>
        <w:tab w:val="left" w:pos="420"/>
      </w:tabs>
      <w:spacing w:line="360" w:lineRule="auto"/>
      <w:ind w:left="420"/>
    </w:pPr>
    <w:rPr>
      <w:rFonts w:eastAsia="宋体"/>
      <w:b w:val="0"/>
      <w:bCs w:val="0"/>
      <w:spacing w:val="0"/>
      <w:kern w:val="0"/>
      <w:sz w:val="24"/>
      <w:szCs w:val="20"/>
    </w:rPr>
  </w:style>
  <w:style w:type="paragraph" w:customStyle="1" w:styleId="237">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38">
    <w:name w:val="Char Char1 Char Char"/>
    <w:basedOn w:val="1"/>
    <w:semiHidden/>
    <w:qFormat/>
    <w:uiPriority w:val="0"/>
    <w:rPr>
      <w:rFonts w:ascii="仿宋_GB2312" w:eastAsia="仿宋_GB2312"/>
      <w:sz w:val="28"/>
      <w:szCs w:val="28"/>
    </w:rPr>
  </w:style>
  <w:style w:type="paragraph" w:customStyle="1" w:styleId="239">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40">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41">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42">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43">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5">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46">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47">
    <w:name w:val="Style Heading 3 + Line spacing:  1.5 lines"/>
    <w:basedOn w:val="4"/>
    <w:qFormat/>
    <w:uiPriority w:val="0"/>
    <w:pPr>
      <w:keepLines w:val="0"/>
      <w:widowControl/>
      <w:numPr>
        <w:ilvl w:val="2"/>
        <w:numId w:val="9"/>
      </w:numPr>
      <w:tabs>
        <w:tab w:val="left" w:pos="1152"/>
        <w:tab w:val="left" w:pos="1680"/>
      </w:tabs>
      <w:spacing w:before="0" w:after="0" w:line="360" w:lineRule="auto"/>
      <w:ind w:left="236" w:leftChars="236"/>
    </w:pPr>
    <w:rPr>
      <w:rFonts w:ascii="仿宋_GB2312" w:eastAsia="黑体"/>
      <w:sz w:val="28"/>
      <w:szCs w:val="28"/>
    </w:rPr>
  </w:style>
  <w:style w:type="paragraph" w:customStyle="1" w:styleId="248">
    <w:name w:val="Char1 Char Char Char Char Char Char Char Char Char Char Char Char Char Char Char"/>
    <w:basedOn w:val="1"/>
    <w:qFormat/>
    <w:uiPriority w:val="0"/>
    <w:rPr>
      <w:szCs w:val="24"/>
    </w:rPr>
  </w:style>
  <w:style w:type="paragraph" w:customStyle="1" w:styleId="249">
    <w:name w:val="1.1.1Head2"/>
    <w:qFormat/>
    <w:uiPriority w:val="0"/>
    <w:pPr>
      <w:numPr>
        <w:ilvl w:val="2"/>
        <w:numId w:val="10"/>
      </w:numPr>
      <w:tabs>
        <w:tab w:val="left" w:pos="2880"/>
      </w:tabs>
      <w:spacing w:before="28" w:after="28"/>
      <w:outlineLvl w:val="2"/>
    </w:pPr>
    <w:rPr>
      <w:rFonts w:ascii="Arial" w:hAnsi="Arial" w:eastAsia="宋体" w:cs="Times New Roman"/>
      <w:b/>
      <w:lang w:val="en-US" w:eastAsia="en-US" w:bidi="ar-SA"/>
    </w:rPr>
  </w:style>
  <w:style w:type="paragraph" w:customStyle="1" w:styleId="250">
    <w:name w:val="RFI Heading 4th Level"/>
    <w:basedOn w:val="185"/>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1">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52">
    <w:name w:val="标题 3.1"/>
    <w:basedOn w:val="4"/>
    <w:qFormat/>
    <w:uiPriority w:val="0"/>
    <w:pPr>
      <w:tabs>
        <w:tab w:val="left" w:pos="5614"/>
      </w:tabs>
      <w:spacing w:line="600" w:lineRule="exact"/>
    </w:pPr>
    <w:rPr>
      <w:rFonts w:ascii="仿宋_GB2312"/>
      <w:sz w:val="36"/>
    </w:rPr>
  </w:style>
  <w:style w:type="paragraph" w:customStyle="1" w:styleId="253">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54">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5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6">
    <w:name w:val="Char1 Char Char Char Char Char Char"/>
    <w:basedOn w:val="1"/>
    <w:qFormat/>
    <w:uiPriority w:val="0"/>
    <w:pPr>
      <w:adjustRightInd w:val="0"/>
    </w:pPr>
    <w:rPr>
      <w:rFonts w:ascii="Tahoma" w:hAnsi="Tahoma"/>
      <w:sz w:val="24"/>
    </w:rPr>
  </w:style>
  <w:style w:type="paragraph" w:customStyle="1" w:styleId="257">
    <w:name w:val="1.1.1.1Heading3"/>
    <w:basedOn w:val="4"/>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58">
    <w:name w:val="Char2"/>
    <w:basedOn w:val="1"/>
    <w:qFormat/>
    <w:uiPriority w:val="0"/>
    <w:rPr>
      <w:rFonts w:ascii="仿宋_GB2312" w:eastAsia="仿宋_GB2312"/>
      <w:b/>
      <w:sz w:val="32"/>
      <w:szCs w:val="32"/>
    </w:rPr>
  </w:style>
  <w:style w:type="paragraph" w:customStyle="1" w:styleId="259">
    <w:name w:val="Char3"/>
    <w:basedOn w:val="1"/>
    <w:qFormat/>
    <w:uiPriority w:val="0"/>
    <w:rPr>
      <w:rFonts w:ascii="仿宋_GB2312" w:eastAsia="仿宋_GB2312"/>
      <w:b/>
      <w:sz w:val="32"/>
      <w:szCs w:val="32"/>
    </w:rPr>
  </w:style>
  <w:style w:type="paragraph" w:customStyle="1" w:styleId="260">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61">
    <w:name w:val="p0"/>
    <w:basedOn w:val="1"/>
    <w:qFormat/>
    <w:uiPriority w:val="0"/>
    <w:pPr>
      <w:widowControl/>
    </w:pPr>
    <w:rPr>
      <w:rFonts w:ascii="仿宋_GB2312" w:hAnsi="宋体" w:eastAsia="仿宋_GB2312" w:cs="宋体"/>
      <w:kern w:val="0"/>
      <w:sz w:val="28"/>
      <w:szCs w:val="28"/>
    </w:rPr>
  </w:style>
  <w:style w:type="paragraph" w:customStyle="1" w:styleId="262">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3">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4">
    <w:name w:val="List Paragraph1"/>
    <w:basedOn w:val="1"/>
    <w:qFormat/>
    <w:uiPriority w:val="0"/>
    <w:pPr>
      <w:ind w:firstLine="420" w:firstLineChars="200"/>
    </w:pPr>
    <w:rPr>
      <w:szCs w:val="24"/>
    </w:rPr>
  </w:style>
  <w:style w:type="paragraph" w:customStyle="1" w:styleId="265">
    <w:name w:val="Style Heading 3 + 11 pt Line spacing:  1.5 lines"/>
    <w:basedOn w:val="4"/>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66">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6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8">
    <w:name w:val="Char21"/>
    <w:basedOn w:val="1"/>
    <w:qFormat/>
    <w:uiPriority w:val="0"/>
    <w:rPr>
      <w:rFonts w:ascii="仿宋_GB2312" w:eastAsia="仿宋_GB2312"/>
      <w:b/>
      <w:sz w:val="32"/>
      <w:szCs w:val="32"/>
    </w:rPr>
  </w:style>
  <w:style w:type="paragraph" w:customStyle="1" w:styleId="2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7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1">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72">
    <w:name w:val="正文缩进4格"/>
    <w:basedOn w:val="224"/>
    <w:qFormat/>
    <w:uiPriority w:val="0"/>
    <w:pPr>
      <w:ind w:left="651" w:leftChars="310" w:firstLine="608" w:firstLineChars="196"/>
    </w:pPr>
    <w:rPr>
      <w:color w:val="000000"/>
    </w:rPr>
  </w:style>
  <w:style w:type="paragraph" w:customStyle="1" w:styleId="273">
    <w:name w:val="Char Char Char Char Char Char Char Char Char Char"/>
    <w:basedOn w:val="1"/>
    <w:qFormat/>
    <w:uiPriority w:val="0"/>
    <w:rPr>
      <w:rFonts w:ascii="Tahoma" w:hAnsi="Tahoma"/>
      <w:sz w:val="24"/>
    </w:rPr>
  </w:style>
  <w:style w:type="paragraph" w:customStyle="1" w:styleId="274">
    <w:name w:val="www正文"/>
    <w:basedOn w:val="1"/>
    <w:qFormat/>
    <w:uiPriority w:val="0"/>
    <w:pPr>
      <w:ind w:firstLine="480" w:firstLineChars="200"/>
    </w:pPr>
    <w:rPr>
      <w:rFonts w:ascii="仿宋_GB2312" w:eastAsia="仿宋_GB2312"/>
      <w:sz w:val="24"/>
      <w:szCs w:val="28"/>
    </w:rPr>
  </w:style>
  <w:style w:type="paragraph" w:customStyle="1" w:styleId="275">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76">
    <w:name w:val="条目2"/>
    <w:basedOn w:val="32"/>
    <w:qFormat/>
    <w:uiPriority w:val="0"/>
    <w:pPr>
      <w:numPr>
        <w:ilvl w:val="0"/>
        <w:numId w:val="12"/>
      </w:numPr>
      <w:tabs>
        <w:tab w:val="left" w:pos="420"/>
      </w:tabs>
      <w:spacing w:line="360" w:lineRule="auto"/>
    </w:pPr>
    <w:rPr>
      <w:rFonts w:cs="Courier New"/>
      <w:color w:val="000000"/>
      <w:sz w:val="24"/>
      <w:szCs w:val="21"/>
    </w:rPr>
  </w:style>
  <w:style w:type="paragraph" w:customStyle="1" w:styleId="277">
    <w:name w:val="简单回函地址"/>
    <w:basedOn w:val="1"/>
    <w:qFormat/>
    <w:uiPriority w:val="0"/>
    <w:rPr>
      <w:rFonts w:ascii="宋体" w:hAnsi="宋体" w:eastAsia="仿宋_GB2312"/>
      <w:color w:val="000000"/>
      <w:sz w:val="28"/>
      <w:szCs w:val="21"/>
    </w:rPr>
  </w:style>
  <w:style w:type="paragraph" w:customStyle="1" w:styleId="278">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79">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8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81">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282">
    <w:name w:val="1.1 Header2"/>
    <w:basedOn w:val="1"/>
    <w:qFormat/>
    <w:uiPriority w:val="0"/>
    <w:pPr>
      <w:widowControl/>
      <w:jc w:val="left"/>
    </w:pPr>
    <w:rPr>
      <w:rFonts w:ascii="宋体" w:hAnsi="宋体" w:eastAsia="仿宋_GB2312"/>
      <w:color w:val="000000"/>
      <w:kern w:val="0"/>
      <w:sz w:val="24"/>
      <w:szCs w:val="21"/>
    </w:rPr>
  </w:style>
  <w:style w:type="paragraph" w:customStyle="1" w:styleId="283">
    <w:name w:val="日期右"/>
    <w:basedOn w:val="35"/>
    <w:qFormat/>
    <w:uiPriority w:val="0"/>
    <w:pPr>
      <w:spacing w:line="600" w:lineRule="exact"/>
      <w:ind w:left="0" w:leftChars="0"/>
      <w:jc w:val="right"/>
    </w:pPr>
    <w:rPr>
      <w:rFonts w:eastAsia="仿宋_GB2312"/>
      <w:sz w:val="31"/>
      <w:szCs w:val="24"/>
    </w:rPr>
  </w:style>
  <w:style w:type="paragraph" w:customStyle="1" w:styleId="284">
    <w:name w:val="正文缩进6格"/>
    <w:basedOn w:val="272"/>
    <w:qFormat/>
    <w:uiPriority w:val="0"/>
    <w:pPr>
      <w:ind w:left="1758" w:leftChars="854"/>
    </w:pPr>
  </w:style>
  <w:style w:type="paragraph" w:customStyle="1" w:styleId="285">
    <w:name w:val="Char1 Char Char Char1"/>
    <w:basedOn w:val="1"/>
    <w:qFormat/>
    <w:uiPriority w:val="0"/>
    <w:pPr>
      <w:ind w:left="420" w:hanging="420"/>
    </w:pPr>
    <w:rPr>
      <w:rFonts w:ascii="仿宋_GB2312" w:eastAsia="仿宋_GB2312"/>
      <w:sz w:val="24"/>
      <w:szCs w:val="28"/>
    </w:rPr>
  </w:style>
  <w:style w:type="paragraph" w:customStyle="1" w:styleId="286">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87">
    <w:name w:val="Table Text"/>
    <w:basedOn w:val="1"/>
    <w:qFormat/>
    <w:uiPriority w:val="0"/>
    <w:pPr>
      <w:widowControl/>
      <w:spacing w:before="60" w:after="60"/>
      <w:jc w:val="left"/>
    </w:pPr>
    <w:rPr>
      <w:kern w:val="0"/>
      <w:szCs w:val="24"/>
    </w:rPr>
  </w:style>
  <w:style w:type="paragraph" w:customStyle="1" w:styleId="28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kern w:val="0"/>
      <w:sz w:val="20"/>
      <w:szCs w:val="24"/>
    </w:rPr>
  </w:style>
  <w:style w:type="paragraph" w:customStyle="1" w:styleId="291">
    <w:name w:val="列出段落3"/>
    <w:basedOn w:val="1"/>
    <w:qFormat/>
    <w:uiPriority w:val="0"/>
    <w:pPr>
      <w:ind w:left="420" w:firstLine="420" w:firstLineChars="200"/>
    </w:pPr>
    <w:rPr>
      <w:kern w:val="0"/>
      <w:sz w:val="20"/>
    </w:rPr>
  </w:style>
  <w:style w:type="paragraph" w:customStyle="1" w:styleId="292">
    <w:name w:val="张世超样式-正文文本1"/>
    <w:basedOn w:val="1"/>
    <w:qFormat/>
    <w:uiPriority w:val="0"/>
    <w:pPr>
      <w:spacing w:beforeLines="50"/>
      <w:ind w:firstLine="200" w:firstLineChars="200"/>
    </w:pPr>
    <w:rPr>
      <w:rFonts w:ascii="Times New Roman" w:hAnsi="Times New Roman"/>
    </w:rPr>
  </w:style>
  <w:style w:type="paragraph" w:customStyle="1" w:styleId="293">
    <w:name w:val="文章正文 Char Char1"/>
    <w:basedOn w:val="1"/>
    <w:qFormat/>
    <w:uiPriority w:val="0"/>
    <w:pPr>
      <w:spacing w:beforeLines="40" w:line="360" w:lineRule="auto"/>
      <w:ind w:firstLine="420"/>
    </w:pPr>
    <w:rPr>
      <w:sz w:val="24"/>
      <w:szCs w:val="24"/>
    </w:rPr>
  </w:style>
  <w:style w:type="paragraph" w:customStyle="1" w:styleId="294">
    <w:name w:val="Fließtext"/>
    <w:basedOn w:val="1"/>
    <w:qFormat/>
    <w:uiPriority w:val="99"/>
    <w:pPr>
      <w:overflowPunct w:val="0"/>
      <w:autoSpaceDE w:val="0"/>
      <w:autoSpaceDN w:val="0"/>
      <w:adjustRightInd w:val="0"/>
      <w:textAlignment w:val="baseline"/>
    </w:pPr>
    <w:rPr>
      <w:kern w:val="28"/>
    </w:rPr>
  </w:style>
  <w:style w:type="paragraph" w:customStyle="1" w:styleId="29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96">
    <w:name w:val="List Paragraph"/>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297">
    <w:name w:val="不明显强调2"/>
    <w:qFormat/>
    <w:uiPriority w:val="0"/>
    <w:rPr>
      <w:i/>
      <w:iCs/>
      <w:color w:val="808080"/>
    </w:rPr>
  </w:style>
  <w:style w:type="paragraph" w:customStyle="1" w:styleId="298">
    <w:name w:val="Table Paragraph"/>
    <w:basedOn w:val="1"/>
    <w:qFormat/>
    <w:uiPriority w:val="1"/>
    <w:pPr>
      <w:autoSpaceDE w:val="0"/>
      <w:autoSpaceDN w:val="0"/>
      <w:ind w:left="107"/>
      <w:jc w:val="left"/>
    </w:pPr>
    <w:rPr>
      <w:rFonts w:ascii="Arial Unicode MS" w:hAnsi="Arial Unicode MS" w:eastAsia="Arial Unicode MS" w:cs="Arial Unicode MS"/>
      <w:kern w:val="0"/>
      <w:sz w:val="22"/>
      <w:szCs w:val="22"/>
      <w:lang w:val="zh-CN" w:bidi="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embeddings/oleObject1.bin" Type="http://schemas.openxmlformats.org/officeDocument/2006/relationships/oleObject"/><Relationship Id="rId9" Target="media/image1.wmf"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55</Pages>
  <Words>3966</Words>
  <Characters>22607</Characters>
  <Lines>188</Lines>
  <Paragraphs>53</Paragraphs>
  <TotalTime>19</TotalTime>
  <ScaleCrop>false</ScaleCrop>
  <LinksUpToDate>false</LinksUpToDate>
  <CharactersWithSpaces>26520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2020-06-16T13:46:00Z</dcterms:created>
  <dc:creator>W</dc:creator>
  <cp:lastModifiedBy>水原</cp:lastModifiedBy>
  <cp:lastPrinted>2019-11-28T08:41:00Z</cp:lastPrinted>
  <dcterms:modified xsi:type="dcterms:W3CDTF">2021-02-23T06:40:59Z</dcterms:modified>
  <cp:revision>2</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