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250"/>
        <w:jc w:val="center"/>
        <w:rPr>
          <w:rFonts w:ascii="仿宋_GB2312" w:eastAsia="仿宋_GB2312"/>
          <w:b/>
          <w:sz w:val="72"/>
          <w:szCs w:val="72"/>
        </w:rPr>
      </w:pPr>
      <w:r>
        <w:rPr>
          <w:rFonts w:hint="eastAsia" w:ascii="仿宋_GB2312" w:eastAsia="仿宋_GB2312"/>
          <w:b/>
          <w:sz w:val="72"/>
          <w:szCs w:val="72"/>
        </w:rPr>
        <w:t>政府采购公开招标文件</w:t>
      </w:r>
    </w:p>
    <w:p>
      <w:pPr>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560" w:lineRule="exact"/>
        <w:ind w:left="2815" w:leftChars="609" w:hanging="1536" w:hangingChars="480"/>
        <w:rPr>
          <w:rFonts w:ascii="仿宋_GB2312" w:eastAsia="仿宋_GB2312"/>
          <w:sz w:val="32"/>
          <w:szCs w:val="32"/>
        </w:rPr>
      </w:pPr>
      <w:r>
        <w:rPr>
          <w:rFonts w:hint="eastAsia" w:ascii="仿宋_GB2312" w:eastAsia="仿宋_GB2312"/>
          <w:sz w:val="32"/>
          <w:szCs w:val="32"/>
        </w:rPr>
        <w:t>项目名称：衢江区智慧教育网络监控系统采购项目</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项目编号：QJCG2019ZB07</w:t>
      </w:r>
    </w:p>
    <w:p>
      <w:pPr>
        <w:spacing w:line="560" w:lineRule="exact"/>
        <w:ind w:firstLine="1280" w:firstLineChars="400"/>
        <w:rPr>
          <w:rFonts w:ascii="仿宋_GB2312" w:eastAsia="仿宋_GB2312"/>
          <w:sz w:val="32"/>
          <w:szCs w:val="32"/>
        </w:rPr>
      </w:pPr>
      <w:r>
        <w:rPr>
          <w:rFonts w:hint="eastAsia" w:ascii="仿宋_GB2312" w:eastAsia="仿宋_GB2312"/>
          <w:sz w:val="32"/>
          <w:szCs w:val="32"/>
        </w:rPr>
        <w:t>委托单位：衢州市衢江区教育局</w:t>
      </w: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ind w:firstLine="1280" w:firstLineChars="400"/>
        <w:rPr>
          <w:rFonts w:ascii="仿宋_GB2312" w:eastAsia="仿宋_GB2312"/>
          <w:sz w:val="32"/>
          <w:szCs w:val="32"/>
        </w:rPr>
      </w:pPr>
    </w:p>
    <w:p>
      <w:pPr>
        <w:rPr>
          <w:rFonts w:ascii="仿宋_GB2312" w:eastAsia="仿宋_GB2312"/>
          <w:sz w:val="32"/>
          <w:szCs w:val="32"/>
        </w:rPr>
      </w:pPr>
    </w:p>
    <w:p>
      <w:pPr>
        <w:ind w:firstLine="1280" w:firstLineChars="400"/>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采购机构：衢州市衢江区政府采购中心 </w:t>
      </w:r>
    </w:p>
    <w:p>
      <w:pPr>
        <w:jc w:val="center"/>
        <w:rPr>
          <w:rFonts w:ascii="仿宋_GB2312" w:hAnsi="宋体" w:eastAsia="仿宋_GB2312" w:cs="宋体"/>
          <w:sz w:val="32"/>
          <w:szCs w:val="32"/>
        </w:rPr>
        <w:sectPr>
          <w:headerReference r:id="rId3" w:type="default"/>
          <w:footerReference r:id="rId4" w:type="default"/>
          <w:pgSz w:w="11906" w:h="16838"/>
          <w:pgMar w:top="1389" w:right="1247" w:bottom="1389" w:left="1247" w:header="851" w:footer="992" w:gutter="397"/>
          <w:cols w:space="720" w:num="1"/>
          <w:docGrid w:linePitch="312" w:charSpace="0"/>
        </w:sectPr>
      </w:pPr>
      <w:r>
        <w:rPr>
          <w:rFonts w:hint="eastAsia" w:ascii="仿宋_GB2312" w:eastAsia="仿宋_GB2312"/>
          <w:sz w:val="32"/>
          <w:szCs w:val="32"/>
        </w:rPr>
        <w:t>二</w:t>
      </w:r>
      <w:r>
        <w:rPr>
          <w:rFonts w:hint="eastAsia" w:ascii="仿宋_GB2312" w:hAnsi="宋体" w:cs="宋体"/>
          <w:sz w:val="32"/>
          <w:szCs w:val="32"/>
        </w:rPr>
        <w:t>〇</w:t>
      </w:r>
      <w:r>
        <w:rPr>
          <w:rFonts w:hint="eastAsia" w:ascii="仿宋_GB2312" w:hAnsi="宋体" w:eastAsia="仿宋_GB2312" w:cs="宋体"/>
          <w:sz w:val="32"/>
          <w:szCs w:val="32"/>
        </w:rPr>
        <w:t>一九年</w:t>
      </w:r>
      <w:r>
        <w:rPr>
          <w:rFonts w:hint="eastAsia" w:ascii="仿宋_GB2312" w:hAnsi="宋体" w:eastAsia="仿宋_GB2312" w:cs="宋体"/>
          <w:sz w:val="32"/>
          <w:szCs w:val="32"/>
          <w:lang w:eastAsia="zh-CN"/>
        </w:rPr>
        <w:t>五</w:t>
      </w:r>
      <w:r>
        <w:rPr>
          <w:rFonts w:hint="eastAsia" w:ascii="仿宋_GB2312" w:hAnsi="宋体" w:eastAsia="仿宋_GB2312" w:cs="宋体"/>
          <w:sz w:val="32"/>
          <w:szCs w:val="32"/>
        </w:rPr>
        <w:t>月</w:t>
      </w:r>
    </w:p>
    <w:p>
      <w:pPr>
        <w:snapToGrid w:val="0"/>
        <w:jc w:val="center"/>
        <w:rPr>
          <w:rFonts w:ascii="仿宋_GB2312" w:hAnsi="宋体" w:eastAsia="仿宋_GB2312" w:cs="宋体"/>
          <w:b/>
          <w:sz w:val="28"/>
          <w:szCs w:val="28"/>
        </w:rPr>
      </w:pPr>
      <w:bookmarkStart w:id="0" w:name="_Toc354401488"/>
      <w:bookmarkStart w:id="1" w:name="_Toc322352981"/>
      <w:bookmarkStart w:id="2" w:name="_Toc350256312"/>
      <w:r>
        <w:rPr>
          <w:rFonts w:hint="eastAsia" w:ascii="仿宋_GB2312" w:hAnsi="宋体" w:eastAsia="仿宋_GB2312" w:cs="宋体"/>
          <w:b/>
          <w:sz w:val="40"/>
          <w:szCs w:val="32"/>
        </w:rPr>
        <w:t>目 录</w:t>
      </w:r>
    </w:p>
    <w:p>
      <w:pPr>
        <w:pStyle w:val="40"/>
        <w:tabs>
          <w:tab w:val="right" w:leader="dot" w:pos="9128"/>
        </w:tabs>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TOC \o "1-3" \h \z \u </w:instrText>
      </w:r>
      <w:r>
        <w:rPr>
          <w:rFonts w:hint="eastAsia" w:ascii="仿宋" w:hAnsi="仿宋" w:eastAsia="仿宋" w:cs="宋体"/>
          <w:sz w:val="28"/>
          <w:szCs w:val="28"/>
        </w:rPr>
        <w:fldChar w:fldCharType="separate"/>
      </w:r>
      <w:r>
        <w:fldChar w:fldCharType="begin"/>
      </w:r>
      <w:r>
        <w:instrText xml:space="preserve"> HYPERLINK \l "_Toc19870" </w:instrText>
      </w:r>
      <w:r>
        <w:fldChar w:fldCharType="separate"/>
      </w:r>
      <w:r>
        <w:rPr>
          <w:rFonts w:hint="eastAsia" w:ascii="仿宋_GB2312" w:hAnsi="宋体" w:cs="宋体"/>
          <w:szCs w:val="32"/>
        </w:rPr>
        <w:t>第一章  招标公告</w:t>
      </w:r>
      <w:r>
        <w:tab/>
      </w:r>
      <w:r>
        <w:fldChar w:fldCharType="begin"/>
      </w:r>
      <w:r>
        <w:instrText xml:space="preserve"> PAGEREF _Toc19870 </w:instrText>
      </w:r>
      <w:r>
        <w:fldChar w:fldCharType="separate"/>
      </w:r>
      <w:r>
        <w:t>3</w:t>
      </w:r>
      <w:r>
        <w:fldChar w:fldCharType="end"/>
      </w:r>
      <w:r>
        <w:fldChar w:fldCharType="end"/>
      </w:r>
    </w:p>
    <w:p>
      <w:pPr>
        <w:pStyle w:val="40"/>
        <w:tabs>
          <w:tab w:val="right" w:leader="dot" w:pos="9128"/>
        </w:tabs>
      </w:pPr>
      <w:r>
        <w:fldChar w:fldCharType="begin"/>
      </w:r>
      <w:r>
        <w:instrText xml:space="preserve"> HYPERLINK \l "_Toc21375" </w:instrText>
      </w:r>
      <w:r>
        <w:fldChar w:fldCharType="separate"/>
      </w:r>
      <w:r>
        <w:rPr>
          <w:rFonts w:hint="eastAsia" w:ascii="仿宋_GB2312" w:hAnsi="宋体" w:cs="宋体"/>
          <w:szCs w:val="32"/>
        </w:rPr>
        <w:t>第二章  投标须知前附表及投标须知</w:t>
      </w:r>
      <w:r>
        <w:tab/>
      </w:r>
      <w:r>
        <w:fldChar w:fldCharType="begin"/>
      </w:r>
      <w:r>
        <w:instrText xml:space="preserve"> PAGEREF _Toc21375 </w:instrText>
      </w:r>
      <w:r>
        <w:fldChar w:fldCharType="separate"/>
      </w:r>
      <w:r>
        <w:t>5</w:t>
      </w:r>
      <w:r>
        <w:fldChar w:fldCharType="end"/>
      </w:r>
      <w:r>
        <w:fldChar w:fldCharType="end"/>
      </w:r>
    </w:p>
    <w:p>
      <w:pPr>
        <w:pStyle w:val="40"/>
        <w:tabs>
          <w:tab w:val="right" w:leader="dot" w:pos="9128"/>
        </w:tabs>
      </w:pPr>
      <w:r>
        <w:fldChar w:fldCharType="begin"/>
      </w:r>
      <w:r>
        <w:instrText xml:space="preserve"> HYPERLINK \l "_Toc18929" </w:instrText>
      </w:r>
      <w:r>
        <w:fldChar w:fldCharType="separate"/>
      </w:r>
      <w:r>
        <w:rPr>
          <w:rFonts w:hint="eastAsia" w:ascii="仿宋_GB2312" w:hAnsi="宋体" w:cs="宋体"/>
          <w:szCs w:val="32"/>
        </w:rPr>
        <w:t>第三章  采购内容及要求</w:t>
      </w:r>
      <w:r>
        <w:tab/>
      </w:r>
      <w:r>
        <w:fldChar w:fldCharType="begin"/>
      </w:r>
      <w:r>
        <w:instrText xml:space="preserve"> PAGEREF _Toc18929 </w:instrText>
      </w:r>
      <w:r>
        <w:fldChar w:fldCharType="separate"/>
      </w:r>
      <w:r>
        <w:t>20</w:t>
      </w:r>
      <w:r>
        <w:fldChar w:fldCharType="end"/>
      </w:r>
      <w:r>
        <w:fldChar w:fldCharType="end"/>
      </w:r>
    </w:p>
    <w:p>
      <w:pPr>
        <w:pStyle w:val="40"/>
        <w:tabs>
          <w:tab w:val="right" w:leader="dot" w:pos="9128"/>
        </w:tabs>
      </w:pPr>
      <w:r>
        <w:fldChar w:fldCharType="begin"/>
      </w:r>
      <w:r>
        <w:instrText xml:space="preserve"> HYPERLINK \l "_Toc3786" </w:instrText>
      </w:r>
      <w:r>
        <w:fldChar w:fldCharType="separate"/>
      </w:r>
      <w:r>
        <w:rPr>
          <w:rFonts w:hint="eastAsia" w:ascii="仿宋_GB2312" w:hAnsi="宋体" w:cs="宋体"/>
          <w:szCs w:val="32"/>
        </w:rPr>
        <w:t>第四章  合同文本</w:t>
      </w:r>
      <w:r>
        <w:tab/>
      </w:r>
      <w:r>
        <w:fldChar w:fldCharType="begin"/>
      </w:r>
      <w:r>
        <w:instrText xml:space="preserve"> PAGEREF _Toc3786 </w:instrText>
      </w:r>
      <w:r>
        <w:fldChar w:fldCharType="separate"/>
      </w:r>
      <w:r>
        <w:t>72</w:t>
      </w:r>
      <w:r>
        <w:fldChar w:fldCharType="end"/>
      </w:r>
      <w:r>
        <w:fldChar w:fldCharType="end"/>
      </w:r>
    </w:p>
    <w:p>
      <w:pPr>
        <w:pStyle w:val="40"/>
        <w:tabs>
          <w:tab w:val="right" w:leader="dot" w:pos="9128"/>
        </w:tabs>
      </w:pPr>
      <w:r>
        <w:fldChar w:fldCharType="begin"/>
      </w:r>
      <w:r>
        <w:instrText xml:space="preserve"> HYPERLINK \l "_Toc18017" </w:instrText>
      </w:r>
      <w:r>
        <w:fldChar w:fldCharType="separate"/>
      </w:r>
      <w:r>
        <w:rPr>
          <w:rFonts w:hint="eastAsia" w:ascii="仿宋_GB2312" w:hAnsi="宋体" w:cs="宋体"/>
          <w:szCs w:val="32"/>
        </w:rPr>
        <w:t>第五章  应提交的有关格式范例</w:t>
      </w:r>
      <w:r>
        <w:tab/>
      </w:r>
      <w:r>
        <w:fldChar w:fldCharType="begin"/>
      </w:r>
      <w:r>
        <w:instrText xml:space="preserve"> PAGEREF _Toc18017 </w:instrText>
      </w:r>
      <w:r>
        <w:fldChar w:fldCharType="separate"/>
      </w:r>
      <w:r>
        <w:t>78</w:t>
      </w:r>
      <w:r>
        <w:fldChar w:fldCharType="end"/>
      </w:r>
      <w:r>
        <w:fldChar w:fldCharType="end"/>
      </w:r>
    </w:p>
    <w:p>
      <w:pPr>
        <w:pStyle w:val="40"/>
        <w:tabs>
          <w:tab w:val="right" w:leader="dot" w:pos="9128"/>
        </w:tabs>
      </w:pPr>
      <w:r>
        <w:fldChar w:fldCharType="begin"/>
      </w:r>
      <w:r>
        <w:instrText xml:space="preserve"> HYPERLINK \l "_Toc27138" </w:instrText>
      </w:r>
      <w:r>
        <w:fldChar w:fldCharType="separate"/>
      </w:r>
      <w:r>
        <w:rPr>
          <w:rFonts w:hint="eastAsia" w:ascii="仿宋_GB2312" w:cs="宋体"/>
          <w:bCs/>
          <w:szCs w:val="36"/>
          <w:lang w:val="zh-CN"/>
        </w:rPr>
        <w:t>第六章评标办法及开标程序</w:t>
      </w:r>
      <w:r>
        <w:tab/>
      </w:r>
      <w:r>
        <w:fldChar w:fldCharType="begin"/>
      </w:r>
      <w:r>
        <w:instrText xml:space="preserve"> PAGEREF _Toc27138 </w:instrText>
      </w:r>
      <w:r>
        <w:fldChar w:fldCharType="separate"/>
      </w:r>
      <w:r>
        <w:t>96</w:t>
      </w:r>
      <w:r>
        <w:fldChar w:fldCharType="end"/>
      </w:r>
      <w:r>
        <w:fldChar w:fldCharType="end"/>
      </w:r>
    </w:p>
    <w:p>
      <w:pPr>
        <w:snapToGrid w:val="0"/>
        <w:spacing w:line="480" w:lineRule="exact"/>
        <w:jc w:val="center"/>
        <w:outlineLvl w:val="0"/>
        <w:rPr>
          <w:rFonts w:ascii="仿宋_GB2312" w:hAnsi="宋体" w:eastAsia="仿宋_GB2312" w:cs="宋体"/>
          <w:b/>
          <w:sz w:val="32"/>
          <w:szCs w:val="32"/>
        </w:rPr>
      </w:pPr>
      <w:r>
        <w:rPr>
          <w:rFonts w:hint="eastAsia" w:ascii="仿宋" w:hAnsi="仿宋" w:eastAsia="仿宋" w:cs="宋体"/>
          <w:szCs w:val="28"/>
        </w:rPr>
        <w:fldChar w:fldCharType="end"/>
      </w:r>
      <w:bookmarkEnd w:id="0"/>
      <w:bookmarkEnd w:id="1"/>
      <w:bookmarkEnd w:id="2"/>
      <w:bookmarkStart w:id="3" w:name="_Toc354491895"/>
      <w:bookmarkStart w:id="4" w:name="_Toc356371429"/>
      <w:bookmarkStart w:id="5" w:name="_Toc19870"/>
      <w:r>
        <w:rPr>
          <w:rFonts w:ascii="仿宋_GB2312" w:hAnsi="宋体" w:eastAsia="仿宋_GB2312" w:cs="宋体"/>
          <w:sz w:val="28"/>
          <w:szCs w:val="28"/>
        </w:rPr>
        <w:br w:type="page"/>
      </w:r>
      <w:r>
        <w:rPr>
          <w:rFonts w:hint="eastAsia" w:ascii="仿宋_GB2312" w:hAnsi="宋体" w:eastAsia="仿宋_GB2312" w:cs="宋体"/>
          <w:b/>
          <w:sz w:val="32"/>
          <w:szCs w:val="32"/>
        </w:rPr>
        <w:t xml:space="preserve">第一章  </w:t>
      </w:r>
      <w:bookmarkEnd w:id="3"/>
      <w:r>
        <w:rPr>
          <w:rFonts w:hint="eastAsia" w:ascii="仿宋_GB2312" w:hAnsi="宋体" w:eastAsia="仿宋_GB2312" w:cs="宋体"/>
          <w:b/>
          <w:sz w:val="32"/>
          <w:szCs w:val="32"/>
        </w:rPr>
        <w:t>招标公告</w:t>
      </w:r>
      <w:bookmarkEnd w:id="4"/>
      <w:bookmarkEnd w:id="5"/>
    </w:p>
    <w:p>
      <w:pPr>
        <w:jc w:val="center"/>
        <w:rPr>
          <w:rFonts w:ascii="仿宋_GB2312" w:hAnsi="宋体" w:eastAsia="仿宋_GB2312" w:cs="宋体"/>
          <w:b/>
          <w:sz w:val="32"/>
          <w:szCs w:val="32"/>
        </w:rPr>
      </w:pPr>
    </w:p>
    <w:p>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根据《中华人民共和国政府采购法》等有关规定，衢州市衢江区政府采购中心受衢州市衢江区教育局委托，就衢江区智慧教育网络监控系统采购项目进行公开招标，欢迎国内合格的投标人前来投标。</w:t>
      </w:r>
    </w:p>
    <w:p>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、项目编号：QJCG2019ZB07</w:t>
      </w:r>
    </w:p>
    <w:p>
      <w:pPr>
        <w:snapToGrid w:val="0"/>
        <w:spacing w:line="480" w:lineRule="exact"/>
        <w:ind w:firstLine="1400" w:firstLineChars="500"/>
        <w:rPr>
          <w:rFonts w:ascii="仿宋_GB2312" w:eastAsia="仿宋_GB2312"/>
          <w:sz w:val="28"/>
          <w:szCs w:val="28"/>
        </w:rPr>
      </w:pPr>
      <w:r>
        <w:rPr>
          <w:rFonts w:hint="eastAsia" w:ascii="仿宋_GB2312" w:eastAsia="仿宋_GB2312"/>
          <w:sz w:val="28"/>
          <w:szCs w:val="28"/>
        </w:rPr>
        <w:t>项目名称：衢江区智慧教育网络监控系统采购项目</w:t>
      </w:r>
    </w:p>
    <w:p>
      <w:pPr>
        <w:numPr>
          <w:ilvl w:val="0"/>
          <w:numId w:val="13"/>
        </w:numPr>
        <w:snapToGrid w:val="0"/>
        <w:spacing w:line="480" w:lineRule="exact"/>
        <w:rPr>
          <w:rFonts w:ascii="仿宋_GB2312" w:eastAsia="仿宋_GB2312"/>
          <w:sz w:val="28"/>
          <w:szCs w:val="28"/>
        </w:rPr>
      </w:pPr>
      <w:r>
        <w:rPr>
          <w:rFonts w:hint="eastAsia" w:ascii="仿宋_GB2312" w:eastAsia="仿宋_GB2312"/>
          <w:sz w:val="28"/>
          <w:szCs w:val="28"/>
        </w:rPr>
        <w:t>、招标项目概况：</w:t>
      </w:r>
    </w:p>
    <w:tbl>
      <w:tblPr>
        <w:tblStyle w:val="59"/>
        <w:tblW w:w="7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25"/>
        <w:gridCol w:w="900"/>
        <w:gridCol w:w="903"/>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0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2625"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内容</w:t>
            </w:r>
          </w:p>
        </w:tc>
        <w:tc>
          <w:tcPr>
            <w:tcW w:w="90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903"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w:t>
            </w:r>
          </w:p>
        </w:tc>
        <w:tc>
          <w:tcPr>
            <w:tcW w:w="2291"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0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625"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eastAsia="仿宋_GB2312"/>
                <w:sz w:val="28"/>
                <w:szCs w:val="28"/>
              </w:rPr>
              <w:t>衢江区智慧教育网络监控系统</w:t>
            </w:r>
          </w:p>
        </w:tc>
        <w:tc>
          <w:tcPr>
            <w:tcW w:w="900"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903" w:type="dxa"/>
            <w:tcBorders>
              <w:top w:val="single" w:color="auto" w:sz="4" w:space="0"/>
              <w:left w:val="single" w:color="auto" w:sz="4" w:space="0"/>
              <w:bottom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年</w:t>
            </w:r>
          </w:p>
        </w:tc>
        <w:tc>
          <w:tcPr>
            <w:tcW w:w="2291" w:type="dxa"/>
            <w:tcBorders>
              <w:top w:val="single" w:color="auto" w:sz="4" w:space="0"/>
              <w:left w:val="single" w:color="auto" w:sz="4" w:space="0"/>
              <w:right w:val="single" w:color="auto" w:sz="4" w:space="0"/>
            </w:tcBorders>
          </w:tcPr>
          <w:p>
            <w:pPr>
              <w:widowControl/>
              <w:snapToGrid w:val="0"/>
              <w:spacing w:line="480" w:lineRule="exact"/>
              <w:jc w:val="center"/>
              <w:rPr>
                <w:rFonts w:ascii="仿宋_GB2312" w:hAnsi="宋体" w:eastAsia="仿宋_GB2312" w:cs="宋体"/>
                <w:kern w:val="0"/>
                <w:sz w:val="28"/>
                <w:szCs w:val="28"/>
              </w:rPr>
            </w:pPr>
            <w:r>
              <w:rPr>
                <w:rFonts w:hint="eastAsia" w:ascii="仿宋_GB2312" w:hAnsi="宋体" w:cs="宋体" w:eastAsiaTheme="minorEastAsia"/>
                <w:kern w:val="0"/>
                <w:sz w:val="28"/>
                <w:szCs w:val="28"/>
                <w:lang w:eastAsia="zh-CN"/>
              </w:rPr>
              <w:t>2710.4</w:t>
            </w:r>
            <w:r>
              <w:rPr>
                <w:rFonts w:hint="eastAsia" w:ascii="仿宋_GB2312" w:hAnsi="宋体" w:eastAsia="仿宋_GB2312" w:cs="宋体"/>
                <w:kern w:val="0"/>
                <w:sz w:val="28"/>
                <w:szCs w:val="28"/>
              </w:rPr>
              <w:t>万元</w:t>
            </w:r>
          </w:p>
        </w:tc>
      </w:tr>
    </w:tbl>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详细技术要求见招标文件第三章。</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、投标人资格要求:</w:t>
      </w:r>
    </w:p>
    <w:p>
      <w:pPr>
        <w:numPr>
          <w:ilvl w:val="1"/>
          <w:numId w:val="13"/>
        </w:numPr>
        <w:snapToGrid w:val="0"/>
        <w:spacing w:line="460" w:lineRule="exact"/>
        <w:rPr>
          <w:rFonts w:ascii="仿宋_GB2312" w:eastAsia="仿宋_GB2312"/>
          <w:sz w:val="28"/>
          <w:szCs w:val="28"/>
        </w:rPr>
      </w:pPr>
      <w:r>
        <w:rPr>
          <w:rFonts w:hint="eastAsia" w:ascii="仿宋_GB2312" w:eastAsia="仿宋_GB2312"/>
          <w:sz w:val="28"/>
          <w:szCs w:val="28"/>
        </w:rPr>
        <w:t>符合《中华人民共和国政府采购法》第二十二条要求,且必须为未被列入“信用中国”网站(</w:t>
      </w:r>
      <w:r>
        <w:fldChar w:fldCharType="begin"/>
      </w:r>
      <w:r>
        <w:instrText xml:space="preserve"> HYPERLINK "http://www.creditchina.gov.cn/" \t "_blank" </w:instrText>
      </w:r>
      <w:r>
        <w:fldChar w:fldCharType="separate"/>
      </w:r>
      <w:r>
        <w:rPr>
          <w:rStyle w:val="69"/>
          <w:rFonts w:hint="eastAsia" w:ascii="仿宋_GB2312" w:eastAsia="仿宋_GB2312"/>
          <w:color w:val="auto"/>
          <w:sz w:val="28"/>
          <w:szCs w:val="28"/>
        </w:rPr>
        <w:t>www.creditchina.gov.cn</w:t>
      </w:r>
      <w:r>
        <w:rPr>
          <w:rStyle w:val="69"/>
          <w:rFonts w:hint="eastAsia" w:ascii="仿宋_GB2312" w:eastAsia="仿宋_GB2312"/>
          <w:color w:val="auto"/>
          <w:sz w:val="28"/>
          <w:szCs w:val="28"/>
        </w:rPr>
        <w:fldChar w:fldCharType="end"/>
      </w:r>
      <w:r>
        <w:rPr>
          <w:rFonts w:hint="eastAsia" w:ascii="仿宋_GB2312" w:eastAsia="仿宋_GB2312"/>
          <w:sz w:val="28"/>
          <w:szCs w:val="28"/>
        </w:rPr>
        <w:t>)、中国政府采购网(</w:t>
      </w:r>
      <w:r>
        <w:fldChar w:fldCharType="begin"/>
      </w:r>
      <w:r>
        <w:instrText xml:space="preserve"> HYPERLINK "http://www.ccgp.gov.cn/" \t "_blank" </w:instrText>
      </w:r>
      <w:r>
        <w:fldChar w:fldCharType="separate"/>
      </w:r>
      <w:r>
        <w:rPr>
          <w:rStyle w:val="69"/>
          <w:rFonts w:hint="eastAsia" w:ascii="仿宋_GB2312" w:eastAsia="仿宋_GB2312"/>
          <w:color w:val="auto"/>
          <w:sz w:val="28"/>
          <w:szCs w:val="28"/>
        </w:rPr>
        <w:t>www.ccgp.gov.cn</w:t>
      </w:r>
      <w:r>
        <w:rPr>
          <w:rStyle w:val="69"/>
          <w:rFonts w:hint="eastAsia" w:ascii="仿宋_GB2312" w:eastAsia="仿宋_GB2312"/>
          <w:color w:val="auto"/>
          <w:sz w:val="28"/>
          <w:szCs w:val="28"/>
        </w:rPr>
        <w:fldChar w:fldCharType="end"/>
      </w:r>
      <w:r>
        <w:rPr>
          <w:rFonts w:hint="eastAsia" w:ascii="仿宋_GB2312" w:eastAsia="仿宋_GB2312"/>
          <w:sz w:val="28"/>
          <w:szCs w:val="28"/>
        </w:rPr>
        <w:t>)渠道信用记录失信被执行人、重大税收违法案件当事人名单、政府采购严重违法失信行为记录名单的投标人。</w:t>
      </w:r>
    </w:p>
    <w:p>
      <w:pPr>
        <w:numPr>
          <w:ilvl w:val="1"/>
          <w:numId w:val="13"/>
        </w:numPr>
        <w:snapToGrid w:val="0"/>
        <w:spacing w:line="460" w:lineRule="exact"/>
        <w:rPr>
          <w:rFonts w:ascii="仿宋_GB2312" w:eastAsia="仿宋_GB2312"/>
          <w:sz w:val="28"/>
          <w:szCs w:val="28"/>
        </w:rPr>
      </w:pPr>
      <w:r>
        <w:rPr>
          <w:rFonts w:hint="eastAsia" w:ascii="仿宋_GB2312" w:eastAsia="仿宋_GB2312"/>
          <w:sz w:val="28"/>
          <w:szCs w:val="28"/>
        </w:rPr>
        <w:t>在中华人民共和国境内注册，能承担本项目的投标人,分公司参与投标的，需提供总公司授权书</w:t>
      </w:r>
      <w:r>
        <w:rPr>
          <w:rFonts w:hint="eastAsia" w:ascii="仿宋_GB2312" w:eastAsia="仿宋_GB2312"/>
          <w:sz w:val="28"/>
          <w:szCs w:val="28"/>
          <w:lang w:val="en-US" w:eastAsia="zh-CN"/>
        </w:rPr>
        <w:t>和</w:t>
      </w:r>
      <w:r>
        <w:rPr>
          <w:rFonts w:hint="eastAsia" w:ascii="仿宋_GB2312" w:eastAsia="仿宋_GB2312"/>
          <w:sz w:val="28"/>
          <w:szCs w:val="28"/>
        </w:rPr>
        <w:t>总公司的《企业法人营业执照》复印件。</w:t>
      </w:r>
    </w:p>
    <w:p>
      <w:pPr>
        <w:numPr>
          <w:ilvl w:val="1"/>
          <w:numId w:val="13"/>
        </w:numPr>
        <w:snapToGrid w:val="0"/>
        <w:spacing w:line="460" w:lineRule="exact"/>
        <w:rPr>
          <w:rFonts w:ascii="仿宋_GB2312" w:eastAsia="仿宋_GB2312"/>
          <w:sz w:val="28"/>
          <w:szCs w:val="28"/>
        </w:rPr>
      </w:pPr>
      <w:r>
        <w:rPr>
          <w:rFonts w:hint="eastAsia" w:ascii="仿宋_GB2312" w:eastAsia="仿宋_GB2312"/>
          <w:sz w:val="28"/>
          <w:szCs w:val="28"/>
        </w:rPr>
        <w:t>本项目谢绝联合体投标。</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、获取招标文件方式</w:t>
      </w:r>
    </w:p>
    <w:p>
      <w:pPr>
        <w:spacing w:line="500" w:lineRule="exact"/>
        <w:ind w:left="567"/>
        <w:rPr>
          <w:rFonts w:ascii="仿宋_GB2312" w:eastAsia="仿宋_GB2312"/>
          <w:sz w:val="28"/>
          <w:szCs w:val="28"/>
        </w:rPr>
      </w:pPr>
      <w:r>
        <w:rPr>
          <w:rFonts w:hint="eastAsia" w:ascii="仿宋_GB2312" w:eastAsia="仿宋_GB2312"/>
          <w:sz w:val="28"/>
          <w:szCs w:val="28"/>
        </w:rPr>
        <w:t>1．报名时间：公告发布之日起至投标文件递交截止时间前。</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2．本项目采购文件由投标人在浙江政府采购网（www.zjzfcg.gov.cn）或浙江省公共资源交易服务平台网（http://www.zjpubservice.com）免费下载。</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、投标文件递交截止时间：2019年</w:t>
      </w:r>
      <w:r>
        <w:rPr>
          <w:rFonts w:hint="eastAsia" w:ascii="仿宋_GB2312" w:eastAsia="仿宋_GB2312"/>
          <w:sz w:val="28"/>
          <w:szCs w:val="28"/>
          <w:lang w:val="en-US" w:eastAsia="zh-CN"/>
        </w:rPr>
        <w:t>06</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w:t>
      </w:r>
      <w:r>
        <w:rPr>
          <w:rFonts w:hint="eastAsia" w:ascii="仿宋_GB2312" w:hAnsi="宋体" w:eastAsia="仿宋_GB2312"/>
          <w:sz w:val="28"/>
          <w:szCs w:val="28"/>
        </w:rPr>
        <w:t>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、开标时间：2019年</w:t>
      </w:r>
      <w:r>
        <w:rPr>
          <w:rFonts w:hint="eastAsia" w:ascii="仿宋_GB2312" w:eastAsia="仿宋_GB2312"/>
          <w:sz w:val="28"/>
          <w:szCs w:val="28"/>
          <w:lang w:val="en-US" w:eastAsia="zh-CN"/>
        </w:rPr>
        <w:t>06</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w:t>
      </w:r>
      <w:r>
        <w:rPr>
          <w:rFonts w:hint="eastAsia" w:ascii="仿宋_GB2312" w:hAnsi="宋体" w:eastAsia="仿宋_GB2312"/>
          <w:sz w:val="28"/>
          <w:szCs w:val="28"/>
        </w:rPr>
        <w:t>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、开标地点： 衢州市衢江区公共资源交易中心第一开标厅（衢州市衢江区振兴东路268号六楼）</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、投标保证金</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lang w:eastAsia="zh-CN"/>
        </w:rPr>
        <w:t>本项目无需交纳投标保证金</w:t>
      </w:r>
    </w:p>
    <w:p>
      <w:pPr>
        <w:numPr>
          <w:ilvl w:val="0"/>
          <w:numId w:val="13"/>
        </w:numPr>
        <w:snapToGrid w:val="0"/>
        <w:spacing w:line="460" w:lineRule="exact"/>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cs="宋体"/>
          <w:sz w:val="28"/>
          <w:szCs w:val="28"/>
        </w:rPr>
        <w:t>质疑和投诉</w:t>
      </w:r>
    </w:p>
    <w:p>
      <w:pPr>
        <w:snapToGrid w:val="0"/>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投标人如认为招标文件、采购过程和中标结果使自身的合法权益受到损害的，可以在知道或者应知其权益受到损害之日起七个工作日内，以书面形式向衢州市衢江区政府采购中心提出质疑</w:t>
      </w:r>
      <w:r>
        <w:rPr>
          <w:rFonts w:hint="eastAsia" w:ascii="仿宋_GB2312" w:eastAsia="仿宋_GB2312"/>
          <w:sz w:val="28"/>
          <w:szCs w:val="28"/>
        </w:rPr>
        <w:t>（联系人：邵先生，电话：0570-3838411）</w:t>
      </w:r>
      <w:r>
        <w:rPr>
          <w:rFonts w:hint="eastAsia" w:ascii="仿宋_GB2312" w:hAnsi="宋体" w:eastAsia="仿宋_GB2312" w:cs="宋体"/>
          <w:sz w:val="28"/>
          <w:szCs w:val="28"/>
        </w:rPr>
        <w:t>；投标人对采购中心的质疑答复不满意或者采购中心未在规定时间内作出答复的，可以在答复期满后十五个工作日内向衢州市衢江区财政局政府采购监管科投诉（联系人：</w:t>
      </w:r>
      <w:r>
        <w:rPr>
          <w:rFonts w:hint="eastAsia" w:ascii="仿宋_GB2312" w:eastAsia="仿宋_GB2312"/>
          <w:sz w:val="28"/>
          <w:szCs w:val="28"/>
        </w:rPr>
        <w:t>杨女士</w:t>
      </w:r>
      <w:r>
        <w:rPr>
          <w:rFonts w:hint="eastAsia" w:ascii="仿宋_GB2312" w:hAnsi="宋体" w:eastAsia="仿宋_GB2312" w:cs="宋体"/>
          <w:sz w:val="28"/>
          <w:szCs w:val="28"/>
        </w:rPr>
        <w:t>；电话：</w:t>
      </w:r>
      <w:r>
        <w:rPr>
          <w:rFonts w:hint="eastAsia" w:ascii="仿宋_GB2312" w:hAnsi="宋体" w:eastAsia="仿宋_GB2312" w:cs="宋体"/>
          <w:sz w:val="28"/>
          <w:szCs w:val="28"/>
          <w:lang w:eastAsia="zh-CN"/>
        </w:rPr>
        <w:t>0570-8762709</w:t>
      </w:r>
      <w:r>
        <w:rPr>
          <w:rFonts w:hint="eastAsia" w:ascii="仿宋_GB2312" w:hAnsi="宋体" w:eastAsia="仿宋_GB2312" w:cs="宋体"/>
          <w:sz w:val="28"/>
          <w:szCs w:val="28"/>
        </w:rPr>
        <w:t>）。</w:t>
      </w:r>
    </w:p>
    <w:p>
      <w:pPr>
        <w:snapToGrid w:val="0"/>
        <w:spacing w:line="460" w:lineRule="exact"/>
        <w:ind w:left="567"/>
        <w:rPr>
          <w:rFonts w:ascii="仿宋_GB2312" w:hAnsi="宋体" w:eastAsia="仿宋_GB2312" w:cs="宋体"/>
          <w:sz w:val="28"/>
          <w:szCs w:val="28"/>
        </w:rPr>
      </w:pPr>
      <w:r>
        <w:rPr>
          <w:rFonts w:hint="eastAsia" w:ascii="仿宋_GB2312" w:hAnsi="宋体" w:eastAsia="仿宋_GB2312" w:cs="宋体"/>
          <w:sz w:val="28"/>
          <w:szCs w:val="28"/>
        </w:rPr>
        <w:t>十、</w:t>
      </w:r>
      <w:r>
        <w:rPr>
          <w:rFonts w:hint="eastAsia" w:ascii="仿宋_GB2312" w:eastAsia="仿宋_GB2312"/>
          <w:sz w:val="28"/>
          <w:szCs w:val="28"/>
        </w:rPr>
        <w:t>公告期限：本招标公告自发布之日起公告期限为5个工作日。</w:t>
      </w:r>
    </w:p>
    <w:p>
      <w:pPr>
        <w:snapToGrid w:val="0"/>
        <w:spacing w:line="460" w:lineRule="exact"/>
        <w:ind w:left="567"/>
        <w:rPr>
          <w:rFonts w:ascii="仿宋_GB2312" w:eastAsia="仿宋_GB2312"/>
          <w:sz w:val="28"/>
          <w:szCs w:val="28"/>
        </w:rPr>
      </w:pPr>
      <w:r>
        <w:rPr>
          <w:rFonts w:hint="eastAsia" w:ascii="仿宋_GB2312" w:eastAsia="仿宋_GB2312"/>
          <w:sz w:val="28"/>
          <w:szCs w:val="28"/>
        </w:rPr>
        <w:t>十一、联系方式</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采购人：衢州市衢江区教育局</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联系人：郑林斌 ，联系电话：13505707776</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采购人地址：衢江区府前路6号</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 xml:space="preserve">采购代理机构名称：衢州市衢江区政府采购中心 </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联系电话：0570-3838411</w:t>
      </w:r>
    </w:p>
    <w:p>
      <w:pPr>
        <w:snapToGrid w:val="0"/>
        <w:spacing w:line="460" w:lineRule="exact"/>
        <w:ind w:firstLine="560" w:firstLineChars="200"/>
        <w:rPr>
          <w:rFonts w:ascii="仿宋_GB2312" w:eastAsia="仿宋_GB2312"/>
          <w:sz w:val="28"/>
          <w:szCs w:val="28"/>
        </w:rPr>
      </w:pPr>
      <w:r>
        <w:rPr>
          <w:rFonts w:hint="eastAsia" w:ascii="仿宋_GB2312" w:eastAsia="仿宋_GB2312"/>
          <w:sz w:val="28"/>
          <w:szCs w:val="28"/>
        </w:rPr>
        <w:t>传真：0570-3836302</w:t>
      </w:r>
    </w:p>
    <w:p>
      <w:pPr>
        <w:tabs>
          <w:tab w:val="left" w:pos="0"/>
        </w:tabs>
        <w:autoSpaceDE w:val="0"/>
        <w:autoSpaceDN w:val="0"/>
        <w:adjustRightInd w:val="0"/>
        <w:snapToGrid w:val="0"/>
        <w:spacing w:line="460" w:lineRule="exact"/>
        <w:ind w:firstLine="560" w:firstLineChars="200"/>
        <w:rPr>
          <w:rFonts w:hint="eastAsia" w:ascii="仿宋_GB2312" w:hAnsi="宋体" w:eastAsia="仿宋_GB2312"/>
          <w:sz w:val="28"/>
          <w:szCs w:val="28"/>
        </w:rPr>
      </w:pPr>
      <w:r>
        <w:rPr>
          <w:rFonts w:hint="eastAsia" w:ascii="仿宋_GB2312" w:eastAsia="仿宋_GB2312"/>
          <w:sz w:val="28"/>
          <w:szCs w:val="28"/>
        </w:rPr>
        <w:t>地点：</w:t>
      </w:r>
      <w:r>
        <w:rPr>
          <w:rFonts w:hint="eastAsia" w:ascii="仿宋_GB2312" w:hAnsi="宋体" w:eastAsia="仿宋_GB2312"/>
          <w:sz w:val="28"/>
          <w:szCs w:val="28"/>
        </w:rPr>
        <w:t>衢州市衢江区公共资源交易中心611室（衢州市衢江区振兴东路268号六楼）。</w:t>
      </w:r>
    </w:p>
    <w:p>
      <w:pPr>
        <w:tabs>
          <w:tab w:val="left" w:pos="0"/>
        </w:tabs>
        <w:autoSpaceDE w:val="0"/>
        <w:autoSpaceDN w:val="0"/>
        <w:adjustRightInd w:val="0"/>
        <w:snapToGrid w:val="0"/>
        <w:spacing w:line="460" w:lineRule="exact"/>
        <w:ind w:firstLine="560" w:firstLineChars="200"/>
        <w:rPr>
          <w:rFonts w:hint="eastAsia" w:ascii="仿宋_GB2312" w:hAnsi="宋体" w:eastAsia="仿宋_GB2312"/>
          <w:sz w:val="28"/>
          <w:szCs w:val="28"/>
        </w:rPr>
      </w:pPr>
      <w:r>
        <w:rPr>
          <w:rFonts w:hint="eastAsia" w:ascii="FangSong_GB2312" w:hAnsi="宋体" w:eastAsia="FangSong_GB2312"/>
          <w:sz w:val="28"/>
          <w:szCs w:val="28"/>
          <w:lang w:val="en-US" w:eastAsia="zh-CN"/>
        </w:rPr>
        <w:t>监督管理部门：</w:t>
      </w:r>
      <w:r>
        <w:rPr>
          <w:rFonts w:hint="eastAsia" w:ascii="仿宋_GB2312" w:hAnsi="宋体" w:eastAsia="仿宋_GB2312"/>
          <w:sz w:val="28"/>
          <w:szCs w:val="28"/>
        </w:rPr>
        <w:t>衢江区政府采购</w:t>
      </w:r>
      <w:r>
        <w:rPr>
          <w:rFonts w:hint="eastAsia" w:ascii="仿宋_GB2312" w:hAnsi="宋体" w:eastAsia="仿宋_GB2312"/>
          <w:sz w:val="28"/>
          <w:szCs w:val="28"/>
          <w:lang w:val="en-US" w:eastAsia="zh-CN"/>
        </w:rPr>
        <w:t>监督</w:t>
      </w:r>
      <w:r>
        <w:rPr>
          <w:rFonts w:hint="eastAsia" w:ascii="仿宋_GB2312" w:hAnsi="宋体" w:eastAsia="仿宋_GB2312"/>
          <w:sz w:val="28"/>
          <w:szCs w:val="28"/>
        </w:rPr>
        <w:t>管理办公室</w:t>
      </w:r>
    </w:p>
    <w:p>
      <w:pPr>
        <w:snapToGrid w:val="0"/>
        <w:spacing w:line="460" w:lineRule="exact"/>
        <w:ind w:firstLine="560" w:firstLineChars="200"/>
        <w:rPr>
          <w:rFonts w:hint="eastAsia" w:ascii="FangSong_GB2312" w:eastAsia="FangSong_GB2312"/>
          <w:sz w:val="28"/>
          <w:szCs w:val="28"/>
          <w:lang w:val="en-US" w:eastAsia="zh-CN"/>
        </w:rPr>
      </w:pPr>
      <w:r>
        <w:rPr>
          <w:rFonts w:hint="eastAsia" w:ascii="FangSong_GB2312" w:eastAsia="FangSong_GB2312"/>
          <w:sz w:val="28"/>
          <w:szCs w:val="28"/>
        </w:rPr>
        <w:t>联系人：</w:t>
      </w:r>
      <w:r>
        <w:rPr>
          <w:rFonts w:hint="eastAsia" w:ascii="FangSong_GB2312" w:eastAsia="FangSong_GB2312"/>
          <w:sz w:val="28"/>
          <w:szCs w:val="28"/>
          <w:lang w:val="en-US" w:eastAsia="zh-CN"/>
        </w:rPr>
        <w:t>杨女士</w:t>
      </w:r>
    </w:p>
    <w:p>
      <w:pPr>
        <w:snapToGrid w:val="0"/>
        <w:spacing w:line="460" w:lineRule="exact"/>
        <w:ind w:firstLine="560" w:firstLineChars="200"/>
        <w:rPr>
          <w:rFonts w:hint="default" w:ascii="FangSong_GB2312" w:eastAsia="FangSong_GB2312"/>
          <w:sz w:val="28"/>
          <w:szCs w:val="28"/>
          <w:lang w:val="en-US" w:eastAsia="zh-CN"/>
        </w:rPr>
      </w:pPr>
      <w:r>
        <w:rPr>
          <w:rFonts w:hint="eastAsia" w:ascii="FangSong_GB2312" w:eastAsia="FangSong_GB2312"/>
          <w:sz w:val="28"/>
          <w:szCs w:val="28"/>
        </w:rPr>
        <w:t>联系电话：</w:t>
      </w:r>
      <w:r>
        <w:rPr>
          <w:rFonts w:hint="eastAsia" w:ascii="FangSong_GB2312" w:eastAsia="FangSong_GB2312"/>
          <w:sz w:val="28"/>
          <w:szCs w:val="28"/>
          <w:lang w:val="en-US" w:eastAsia="zh-CN"/>
        </w:rPr>
        <w:t>0570-8762709</w:t>
      </w:r>
    </w:p>
    <w:p>
      <w:pPr>
        <w:tabs>
          <w:tab w:val="left" w:pos="0"/>
        </w:tabs>
        <w:autoSpaceDE w:val="0"/>
        <w:autoSpaceDN w:val="0"/>
        <w:adjustRightInd w:val="0"/>
        <w:snapToGrid w:val="0"/>
        <w:spacing w:line="460" w:lineRule="exact"/>
        <w:ind w:firstLine="560" w:firstLineChars="200"/>
        <w:rPr>
          <w:rFonts w:hint="default" w:ascii="仿宋_GB2312" w:hAnsi="宋体" w:eastAsia="仿宋_GB2312"/>
          <w:sz w:val="28"/>
          <w:szCs w:val="28"/>
          <w:lang w:val="en-US" w:eastAsia="zh-CN"/>
        </w:rPr>
      </w:pPr>
      <w:r>
        <w:rPr>
          <w:rFonts w:hint="eastAsia" w:ascii="FangSong_GB2312" w:eastAsia="FangSong_GB2312"/>
          <w:sz w:val="28"/>
          <w:szCs w:val="28"/>
          <w:lang w:val="en-US" w:eastAsia="zh-CN"/>
        </w:rPr>
        <w:t>地址</w:t>
      </w:r>
      <w:r>
        <w:rPr>
          <w:rFonts w:hint="eastAsia" w:ascii="FangSong_GB2312" w:eastAsia="FangSong_GB2312"/>
          <w:sz w:val="28"/>
          <w:szCs w:val="28"/>
        </w:rPr>
        <w:t>：衢州市衢江区信安大道附近政和路6号</w:t>
      </w:r>
    </w:p>
    <w:p>
      <w:pPr>
        <w:tabs>
          <w:tab w:val="left" w:pos="0"/>
        </w:tabs>
        <w:autoSpaceDE w:val="0"/>
        <w:autoSpaceDN w:val="0"/>
        <w:adjustRightInd w:val="0"/>
        <w:snapToGrid w:val="0"/>
        <w:spacing w:line="460" w:lineRule="exact"/>
        <w:ind w:firstLine="560" w:firstLineChars="200"/>
        <w:rPr>
          <w:rFonts w:hint="eastAsia" w:ascii="仿宋_GB2312" w:hAnsi="宋体" w:eastAsia="仿宋_GB2312"/>
          <w:sz w:val="28"/>
          <w:szCs w:val="28"/>
        </w:rPr>
      </w:pPr>
    </w:p>
    <w:p>
      <w:pPr>
        <w:snapToGrid w:val="0"/>
        <w:spacing w:line="460" w:lineRule="exact"/>
        <w:ind w:firstLine="420" w:firstLineChars="150"/>
        <w:rPr>
          <w:rFonts w:hint="eastAsia" w:ascii="仿宋_GB2312" w:eastAsia="仿宋_GB2312"/>
          <w:sz w:val="28"/>
          <w:szCs w:val="28"/>
        </w:rPr>
      </w:pPr>
      <w:r>
        <w:rPr>
          <w:rFonts w:hint="eastAsia" w:ascii="仿宋_GB2312" w:eastAsia="仿宋_GB2312"/>
          <w:sz w:val="28"/>
          <w:szCs w:val="28"/>
        </w:rPr>
        <w:t xml:space="preserve">                                      </w:t>
      </w:r>
    </w:p>
    <w:p>
      <w:pPr>
        <w:snapToGrid w:val="0"/>
        <w:spacing w:line="460" w:lineRule="exact"/>
        <w:ind w:firstLine="420" w:firstLineChars="150"/>
        <w:rPr>
          <w:rFonts w:hint="eastAsia" w:ascii="仿宋_GB2312" w:eastAsia="仿宋_GB2312"/>
          <w:sz w:val="28"/>
          <w:szCs w:val="28"/>
        </w:rPr>
      </w:pPr>
    </w:p>
    <w:p>
      <w:pPr>
        <w:snapToGrid w:val="0"/>
        <w:spacing w:line="460" w:lineRule="exact"/>
        <w:ind w:firstLine="420" w:firstLineChars="150"/>
        <w:jc w:val="right"/>
        <w:rPr>
          <w:rFonts w:ascii="仿宋_GB2312" w:eastAsia="仿宋_GB2312"/>
          <w:sz w:val="28"/>
          <w:szCs w:val="28"/>
        </w:rPr>
      </w:pPr>
      <w:r>
        <w:rPr>
          <w:rFonts w:hint="eastAsia" w:ascii="仿宋_GB2312" w:eastAsia="仿宋_GB2312"/>
          <w:sz w:val="28"/>
          <w:szCs w:val="28"/>
        </w:rPr>
        <w:t xml:space="preserve">衢州市衢江区政府采购中心 </w:t>
      </w:r>
    </w:p>
    <w:p>
      <w:pPr>
        <w:snapToGrid w:val="0"/>
        <w:spacing w:line="460" w:lineRule="exact"/>
        <w:ind w:firstLine="420" w:firstLineChars="150"/>
        <w:rPr>
          <w:rFonts w:ascii="仿宋_GB2312" w:eastAsia="仿宋_GB2312"/>
          <w:sz w:val="28"/>
          <w:szCs w:val="28"/>
        </w:rPr>
      </w:pPr>
      <w:r>
        <w:rPr>
          <w:rFonts w:hint="eastAsia" w:ascii="仿宋_GB2312" w:eastAsia="仿宋_GB2312"/>
          <w:sz w:val="28"/>
          <w:szCs w:val="28"/>
        </w:rPr>
        <w:t xml:space="preserve">                                          2019年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5日</w:t>
      </w:r>
    </w:p>
    <w:p>
      <w:pPr>
        <w:snapToGrid w:val="0"/>
        <w:spacing w:beforeLines="50" w:afterLines="50" w:line="500" w:lineRule="exact"/>
        <w:ind w:firstLine="1760"/>
        <w:outlineLvl w:val="0"/>
        <w:rPr>
          <w:rFonts w:ascii="仿宋_GB2312" w:hAnsi="宋体" w:eastAsia="仿宋_GB2312" w:cs="宋体"/>
          <w:b/>
          <w:sz w:val="32"/>
          <w:szCs w:val="32"/>
        </w:rPr>
      </w:pPr>
      <w:bookmarkStart w:id="6" w:name="_Toc354491896"/>
      <w:bookmarkStart w:id="7" w:name="_Toc322352982"/>
      <w:bookmarkStart w:id="8" w:name="_Toc356371430"/>
      <w:r>
        <w:rPr>
          <w:rFonts w:ascii="仿宋_GB2312" w:hAnsi="宋体" w:eastAsia="仿宋_GB2312" w:cs="宋体"/>
          <w:b/>
          <w:sz w:val="32"/>
          <w:szCs w:val="32"/>
        </w:rPr>
        <w:br w:type="page"/>
      </w:r>
      <w:bookmarkStart w:id="9" w:name="_Toc21375"/>
      <w:r>
        <w:rPr>
          <w:rFonts w:hint="eastAsia" w:ascii="仿宋_GB2312" w:hAnsi="宋体" w:eastAsia="仿宋_GB2312" w:cs="宋体"/>
          <w:b/>
          <w:sz w:val="32"/>
          <w:szCs w:val="32"/>
        </w:rPr>
        <w:t>第二章  投标</w:t>
      </w:r>
      <w:bookmarkEnd w:id="6"/>
      <w:bookmarkEnd w:id="7"/>
      <w:r>
        <w:rPr>
          <w:rFonts w:hint="eastAsia" w:ascii="仿宋_GB2312" w:hAnsi="宋体" w:eastAsia="仿宋_GB2312" w:cs="宋体"/>
          <w:b/>
          <w:sz w:val="32"/>
          <w:szCs w:val="32"/>
        </w:rPr>
        <w:t>须知前附表及投标须知</w:t>
      </w:r>
      <w:bookmarkEnd w:id="8"/>
      <w:bookmarkEnd w:id="9"/>
    </w:p>
    <w:p>
      <w:pPr>
        <w:numPr>
          <w:ilvl w:val="0"/>
          <w:numId w:val="14"/>
        </w:numPr>
        <w:snapToGrid w:val="0"/>
        <w:spacing w:beforeLines="50" w:afterLines="50" w:line="500" w:lineRule="exact"/>
        <w:rPr>
          <w:rFonts w:ascii="仿宋_GB2312" w:hAnsi="宋体" w:eastAsia="仿宋_GB2312" w:cs="宋体"/>
          <w:b/>
          <w:sz w:val="28"/>
          <w:szCs w:val="28"/>
        </w:rPr>
      </w:pPr>
      <w:bookmarkStart w:id="10" w:name="_Toc356371431"/>
      <w:r>
        <w:rPr>
          <w:rFonts w:hint="eastAsia" w:ascii="仿宋_GB2312" w:hAnsi="宋体" w:eastAsia="仿宋_GB2312" w:cs="宋体"/>
          <w:b/>
          <w:sz w:val="28"/>
          <w:szCs w:val="28"/>
        </w:rPr>
        <w:t>投标须知前附表</w:t>
      </w:r>
      <w:bookmarkEnd w:id="10"/>
    </w:p>
    <w:tbl>
      <w:tblPr>
        <w:tblStyle w:val="59"/>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2629"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内  容</w:t>
            </w:r>
          </w:p>
        </w:tc>
        <w:tc>
          <w:tcPr>
            <w:tcW w:w="588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采购人</w:t>
            </w:r>
          </w:p>
        </w:tc>
        <w:tc>
          <w:tcPr>
            <w:tcW w:w="5880" w:type="dxa"/>
            <w:vAlign w:val="center"/>
          </w:tcPr>
          <w:p>
            <w:pPr>
              <w:pStyle w:val="31"/>
              <w:snapToGrid w:val="0"/>
              <w:spacing w:line="380" w:lineRule="exact"/>
              <w:rPr>
                <w:rFonts w:ascii="仿宋_GB2312" w:eastAsia="仿宋_GB2312"/>
                <w:sz w:val="28"/>
                <w:szCs w:val="28"/>
              </w:rPr>
            </w:pPr>
            <w:r>
              <w:rPr>
                <w:rFonts w:hint="eastAsia" w:ascii="仿宋_GB2312" w:eastAsia="仿宋_GB2312"/>
                <w:sz w:val="28"/>
                <w:szCs w:val="28"/>
              </w:rPr>
              <w:t>衢州市衢江区教育局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2</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项目名称</w:t>
            </w:r>
          </w:p>
        </w:tc>
        <w:tc>
          <w:tcPr>
            <w:tcW w:w="5880" w:type="dxa"/>
            <w:vAlign w:val="center"/>
          </w:tcPr>
          <w:p>
            <w:pPr>
              <w:pStyle w:val="31"/>
              <w:snapToGrid w:val="0"/>
              <w:spacing w:line="380" w:lineRule="exact"/>
              <w:rPr>
                <w:rFonts w:ascii="仿宋_GB2312" w:eastAsia="仿宋_GB2312"/>
                <w:sz w:val="28"/>
                <w:szCs w:val="28"/>
              </w:rPr>
            </w:pPr>
            <w:r>
              <w:rPr>
                <w:rFonts w:hint="eastAsia" w:ascii="仿宋_GB2312" w:eastAsia="仿宋_GB2312"/>
                <w:sz w:val="28"/>
                <w:szCs w:val="28"/>
              </w:rPr>
              <w:t>衢江区智慧教育网络监控系统采购项目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采购预算</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Theme="minorEastAsia"/>
                <w:sz w:val="28"/>
                <w:szCs w:val="28"/>
                <w:lang w:eastAsia="zh-CN"/>
              </w:rPr>
              <w:t>2710.4</w:t>
            </w:r>
            <w:r>
              <w:rPr>
                <w:rFonts w:hint="eastAsia" w:ascii="仿宋_GB2312" w:hAnsi="宋体"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投标有效期</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5</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eastAsia="仿宋_GB2312"/>
                <w:sz w:val="28"/>
                <w:szCs w:val="28"/>
              </w:rPr>
              <w:t>投标保证金</w:t>
            </w:r>
          </w:p>
        </w:tc>
        <w:tc>
          <w:tcPr>
            <w:tcW w:w="5880" w:type="dxa"/>
            <w:vAlign w:val="center"/>
          </w:tcPr>
          <w:p>
            <w:pPr>
              <w:snapToGrid w:val="0"/>
              <w:spacing w:line="460" w:lineRule="exact"/>
              <w:rPr>
                <w:rFonts w:ascii="仿宋_GB2312" w:eastAsia="仿宋_GB2312"/>
                <w:sz w:val="28"/>
                <w:szCs w:val="28"/>
              </w:rPr>
            </w:pPr>
            <w:r>
              <w:rPr>
                <w:rFonts w:hint="eastAsia" w:ascii="仿宋_GB2312" w:eastAsia="仿宋_GB2312"/>
                <w:sz w:val="28"/>
                <w:szCs w:val="28"/>
                <w:lang w:eastAsia="zh-CN"/>
              </w:rPr>
              <w:t>本项目无需交纳投标保证金</w:t>
            </w:r>
          </w:p>
          <w:p>
            <w:pPr>
              <w:pStyle w:val="31"/>
              <w:snapToGrid w:val="0"/>
              <w:spacing w:line="380" w:lineRule="exact"/>
              <w:ind w:firstLine="560" w:firstLineChars="2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6</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投标文件递交份数</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资格审查文件 壹 份正本，</w:t>
            </w:r>
            <w:r>
              <w:rPr>
                <w:rFonts w:hint="eastAsia" w:ascii="仿宋_GB2312" w:hAnsi="宋体" w:eastAsia="仿宋_GB2312"/>
                <w:sz w:val="28"/>
                <w:szCs w:val="28"/>
                <w:lang w:eastAsia="zh-CN"/>
              </w:rPr>
              <w:t>两</w:t>
            </w:r>
            <w:r>
              <w:rPr>
                <w:rFonts w:hint="eastAsia" w:ascii="仿宋_GB2312" w:hAnsi="宋体" w:eastAsia="仿宋_GB2312"/>
                <w:sz w:val="28"/>
                <w:szCs w:val="28"/>
              </w:rPr>
              <w:t xml:space="preserve"> 份副本</w:t>
            </w:r>
          </w:p>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技术商务文件 壹 份正本，柒 份副本</w:t>
            </w:r>
          </w:p>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报价文件 壹 份正本，柒 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7</w:t>
            </w:r>
          </w:p>
        </w:tc>
        <w:tc>
          <w:tcPr>
            <w:tcW w:w="2629" w:type="dxa"/>
            <w:vAlign w:val="center"/>
          </w:tcPr>
          <w:p>
            <w:pPr>
              <w:spacing w:line="380" w:lineRule="exact"/>
              <w:rPr>
                <w:rFonts w:ascii="仿宋_GB2312" w:hAnsi="宋体" w:eastAsia="仿宋_GB2312"/>
                <w:sz w:val="28"/>
                <w:szCs w:val="28"/>
              </w:rPr>
            </w:pPr>
            <w:r>
              <w:rPr>
                <w:rFonts w:hint="eastAsia" w:ascii="仿宋_GB2312" w:hAnsi="宋体" w:eastAsia="仿宋_GB2312"/>
                <w:spacing w:val="-20"/>
                <w:sz w:val="28"/>
                <w:szCs w:val="28"/>
              </w:rPr>
              <w:t>投标文件递交截止时间</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2019年</w:t>
            </w:r>
            <w:r>
              <w:rPr>
                <w:rFonts w:hint="eastAsia" w:ascii="仿宋_GB2312" w:hAnsi="宋体" w:eastAsia="仿宋_GB2312" w:cs="宋体"/>
                <w:sz w:val="28"/>
                <w:szCs w:val="28"/>
                <w:lang w:val="en-US" w:eastAsia="zh-CN"/>
              </w:rPr>
              <w:t>06</w:t>
            </w:r>
            <w:r>
              <w:rPr>
                <w:rFonts w:hint="eastAsia" w:ascii="仿宋_GB2312" w:hAnsi="宋体" w:eastAsia="仿宋_GB2312"/>
                <w:sz w:val="28"/>
                <w:szCs w:val="28"/>
              </w:rPr>
              <w:t>月</w:t>
            </w:r>
            <w:r>
              <w:rPr>
                <w:rFonts w:hint="eastAsia" w:ascii="仿宋_GB2312" w:hAnsi="宋体" w:eastAsia="仿宋_GB2312" w:cs="宋体"/>
                <w:sz w:val="28"/>
                <w:szCs w:val="28"/>
                <w:lang w:val="en-US" w:eastAsia="zh-CN"/>
              </w:rPr>
              <w:t>14</w:t>
            </w:r>
            <w:r>
              <w:rPr>
                <w:rFonts w:hint="eastAsia" w:ascii="仿宋_GB2312" w:hAnsi="宋体" w:eastAsia="仿宋_GB2312"/>
                <w:sz w:val="28"/>
                <w:szCs w:val="28"/>
              </w:rPr>
              <w:t>日9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8</w:t>
            </w:r>
          </w:p>
        </w:tc>
        <w:tc>
          <w:tcPr>
            <w:tcW w:w="2629" w:type="dxa"/>
            <w:vAlign w:val="center"/>
          </w:tcPr>
          <w:p>
            <w:pPr>
              <w:pStyle w:val="31"/>
              <w:snapToGrid w:val="0"/>
              <w:spacing w:line="380" w:lineRule="exact"/>
              <w:rPr>
                <w:rFonts w:ascii="仿宋_GB2312" w:hAnsi="宋体" w:eastAsia="仿宋_GB2312"/>
                <w:spacing w:val="-20"/>
                <w:sz w:val="28"/>
                <w:szCs w:val="28"/>
              </w:rPr>
            </w:pPr>
            <w:r>
              <w:rPr>
                <w:rFonts w:hint="eastAsia" w:ascii="仿宋_GB2312" w:hAnsi="宋体" w:eastAsia="仿宋_GB2312"/>
                <w:spacing w:val="-20"/>
                <w:sz w:val="28"/>
                <w:szCs w:val="28"/>
              </w:rPr>
              <w:t>开标地点</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eastAsia="仿宋_GB2312"/>
                <w:sz w:val="28"/>
                <w:szCs w:val="28"/>
              </w:rPr>
              <w:t>衢州市衢江区公共资源交易中心第一开标厅（衢州市衢江区振兴东路268号六楼）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9</w:t>
            </w:r>
          </w:p>
        </w:tc>
        <w:tc>
          <w:tcPr>
            <w:tcW w:w="2629" w:type="dxa"/>
            <w:vAlign w:val="center"/>
          </w:tcPr>
          <w:p>
            <w:pPr>
              <w:pStyle w:val="31"/>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开标时间</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2019年</w:t>
            </w:r>
            <w:r>
              <w:rPr>
                <w:rFonts w:hint="eastAsia" w:ascii="仿宋_GB2312" w:hAnsi="宋体" w:eastAsia="仿宋_GB2312" w:cs="宋体"/>
                <w:sz w:val="28"/>
                <w:szCs w:val="28"/>
                <w:lang w:val="en-US" w:eastAsia="zh-CN"/>
              </w:rPr>
              <w:t>06</w:t>
            </w:r>
            <w:r>
              <w:rPr>
                <w:rFonts w:hint="eastAsia" w:ascii="仿宋_GB2312" w:hAnsi="宋体" w:eastAsia="仿宋_GB2312"/>
                <w:sz w:val="28"/>
                <w:szCs w:val="28"/>
              </w:rPr>
              <w:t>月</w:t>
            </w:r>
            <w:r>
              <w:rPr>
                <w:rFonts w:hint="eastAsia" w:ascii="仿宋_GB2312" w:hAnsi="宋体" w:eastAsia="仿宋_GB2312" w:cs="宋体"/>
                <w:sz w:val="28"/>
                <w:szCs w:val="28"/>
                <w:lang w:val="en-US" w:eastAsia="zh-CN"/>
              </w:rPr>
              <w:t>14</w:t>
            </w:r>
            <w:r>
              <w:rPr>
                <w:rFonts w:hint="eastAsia" w:ascii="仿宋_GB2312" w:hAnsi="宋体" w:eastAsia="仿宋_GB2312"/>
                <w:sz w:val="28"/>
                <w:szCs w:val="28"/>
              </w:rPr>
              <w:t>日9</w:t>
            </w:r>
            <w:r>
              <w:rPr>
                <w:rFonts w:hint="eastAsia" w:ascii="仿宋_GB2312" w:hAnsi="宋体" w:eastAsia="仿宋_GB2312" w:cs="宋体"/>
                <w:sz w:val="28"/>
                <w:szCs w:val="28"/>
              </w:rPr>
              <w:t>:</w:t>
            </w:r>
            <w:r>
              <w:rPr>
                <w:rFonts w:hint="eastAsia" w:ascii="仿宋_GB2312" w:hAnsi="宋体" w:eastAsia="仿宋_GB2312"/>
                <w:sz w:val="28"/>
                <w:szCs w:val="28"/>
              </w:rPr>
              <w:t>30</w:t>
            </w:r>
            <w:r>
              <w:rPr>
                <w:rFonts w:hint="eastAsia" w:ascii="仿宋_GB2312" w:hAnsi="宋体" w:eastAsia="仿宋_GB2312" w:cs="宋体"/>
                <w:sz w:val="28"/>
                <w:szCs w:val="28"/>
              </w:rPr>
              <w:t>:00</w:t>
            </w:r>
            <w:r>
              <w:rPr>
                <w:rFonts w:hint="eastAsia" w:ascii="仿宋_GB2312" w:hAnsi="宋体" w:eastAsia="仿宋_GB2312"/>
                <w:sz w:val="28"/>
                <w:szCs w:val="28"/>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2629" w:type="dxa"/>
            <w:vAlign w:val="center"/>
          </w:tcPr>
          <w:p>
            <w:pPr>
              <w:pStyle w:val="31"/>
              <w:snapToGrid w:val="0"/>
              <w:spacing w:line="380" w:lineRule="exact"/>
              <w:rPr>
                <w:rFonts w:ascii="仿宋_GB2312" w:hAnsi="宋体" w:eastAsia="仿宋_GB2312"/>
                <w:spacing w:val="-20"/>
                <w:sz w:val="28"/>
                <w:szCs w:val="28"/>
              </w:rPr>
            </w:pPr>
            <w:r>
              <w:rPr>
                <w:rFonts w:hint="eastAsia" w:ascii="仿宋_GB2312" w:hAnsi="宋体" w:eastAsia="仿宋_GB2312"/>
                <w:sz w:val="28"/>
                <w:szCs w:val="28"/>
              </w:rPr>
              <w:t>签订合同</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 xml:space="preserve">中标通知书发出后三十天内签订合同。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11</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中标人履约保证金交纳</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eastAsia="仿宋_GB2312" w:cs="宋体"/>
                <w:sz w:val="28"/>
                <w:szCs w:val="28"/>
                <w:lang w:val="zh-CN"/>
              </w:rPr>
              <w:t>中标人向采购人交纳中标金额</w:t>
            </w:r>
            <w:r>
              <w:rPr>
                <w:rFonts w:hint="eastAsia" w:ascii="仿宋_GB2312" w:eastAsia="仿宋_GB2312" w:cs="宋体"/>
                <w:sz w:val="28"/>
                <w:szCs w:val="28"/>
              </w:rPr>
              <w:t>5</w:t>
            </w:r>
            <w:r>
              <w:rPr>
                <w:rFonts w:hint="eastAsia" w:ascii="仿宋_GB2312" w:eastAsia="仿宋_GB2312" w:cs="宋体"/>
                <w:sz w:val="28"/>
                <w:szCs w:val="28"/>
                <w:lang w:val="zh-CN"/>
              </w:rPr>
              <w:t>%的履约保证金（</w:t>
            </w:r>
            <w:r>
              <w:rPr>
                <w:rFonts w:hint="eastAsia" w:ascii="仿宋_GB2312" w:eastAsia="仿宋_GB2312" w:cs="宋体"/>
                <w:sz w:val="28"/>
                <w:szCs w:val="28"/>
                <w:lang w:val="en-US" w:eastAsia="zh-CN"/>
              </w:rPr>
              <w:t>非现金交纳）</w:t>
            </w:r>
            <w:r>
              <w:rPr>
                <w:rFonts w:hint="eastAsia"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12</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联合体投标</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13</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联系人</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cs="宋体"/>
                <w:sz w:val="28"/>
                <w:szCs w:val="28"/>
              </w:rPr>
              <w:t>邵先生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14</w:t>
            </w:r>
          </w:p>
        </w:tc>
        <w:tc>
          <w:tcPr>
            <w:tcW w:w="2629" w:type="dxa"/>
            <w:vAlign w:val="center"/>
          </w:tcPr>
          <w:p>
            <w:pPr>
              <w:pStyle w:val="31"/>
              <w:spacing w:line="380" w:lineRule="exact"/>
              <w:rPr>
                <w:rFonts w:ascii="仿宋_GB2312" w:hAnsi="宋体" w:eastAsia="仿宋_GB2312"/>
                <w:sz w:val="28"/>
                <w:szCs w:val="28"/>
              </w:rPr>
            </w:pPr>
            <w:r>
              <w:rPr>
                <w:rFonts w:hint="eastAsia" w:ascii="仿宋_GB2312" w:hAnsi="宋体" w:eastAsia="仿宋_GB2312"/>
                <w:sz w:val="28"/>
                <w:szCs w:val="28"/>
              </w:rPr>
              <w:t>联系电话（传真）</w:t>
            </w:r>
          </w:p>
        </w:tc>
        <w:tc>
          <w:tcPr>
            <w:tcW w:w="5880" w:type="dxa"/>
            <w:vAlign w:val="center"/>
          </w:tcPr>
          <w:p>
            <w:pPr>
              <w:pStyle w:val="31"/>
              <w:spacing w:line="380" w:lineRule="exact"/>
              <w:rPr>
                <w:rFonts w:ascii="仿宋_GB2312" w:hAnsi="宋体" w:eastAsia="仿宋_GB2312" w:cs="宋体"/>
                <w:sz w:val="28"/>
                <w:szCs w:val="28"/>
                <w:lang w:val="zh-CN"/>
              </w:rPr>
            </w:pPr>
            <w:r>
              <w:rPr>
                <w:rFonts w:hint="eastAsia" w:ascii="仿宋_GB2312" w:hAnsi="宋体" w:eastAsia="仿宋_GB2312"/>
                <w:sz w:val="28"/>
                <w:szCs w:val="28"/>
              </w:rPr>
              <w:t>0570-3838411 ; 0570-3836302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15</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信用查询</w:t>
            </w:r>
          </w:p>
        </w:tc>
        <w:tc>
          <w:tcPr>
            <w:tcW w:w="5880"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根据《关于在政府采购活动中查询及使用信用记录有关问题的通知》财库[2016]125号的规定：</w:t>
            </w:r>
          </w:p>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1）采购人或采购代理机构将对本项目投标人的信用记录进行查询。查询渠道为信用中国网站（www.creditchina.gov.cn）、中国政府采购网（www.ccgp.gov.cn）；</w:t>
            </w:r>
          </w:p>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2）截止时点：提交投标文件（响应文件）截止时间前3年内；</w:t>
            </w:r>
          </w:p>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3）查询记录和证据的留存：信用信息查询记录和证据以网页截图等方式留存。</w:t>
            </w:r>
          </w:p>
          <w:p>
            <w:pPr>
              <w:pStyle w:val="31"/>
              <w:snapToGrid w:val="0"/>
              <w:spacing w:line="380" w:lineRule="exact"/>
              <w:rPr>
                <w:rFonts w:ascii="仿宋_GB2312" w:eastAsia="仿宋_GB2312" w:cs="宋体"/>
                <w:sz w:val="28"/>
                <w:szCs w:val="28"/>
              </w:rPr>
            </w:pPr>
            <w:r>
              <w:rPr>
                <w:rFonts w:hint="eastAsia" w:ascii="仿宋_GB2312" w:hAnsi="宋体" w:eastAsia="仿宋_GB2312"/>
                <w:sz w:val="28"/>
                <w:szCs w:val="28"/>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16</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采购公告，更正公告，中标公示发布网址</w:t>
            </w:r>
          </w:p>
        </w:tc>
        <w:tc>
          <w:tcPr>
            <w:tcW w:w="5880" w:type="dxa"/>
            <w:vAlign w:val="center"/>
          </w:tcPr>
          <w:p>
            <w:pPr>
              <w:pStyle w:val="31"/>
              <w:snapToGrid w:val="0"/>
              <w:spacing w:line="380" w:lineRule="exact"/>
              <w:rPr>
                <w:rFonts w:ascii="仿宋_GB2312" w:eastAsia="仿宋_GB2312"/>
                <w:sz w:val="28"/>
                <w:szCs w:val="28"/>
              </w:rPr>
            </w:pPr>
            <w:r>
              <w:fldChar w:fldCharType="begin"/>
            </w:r>
            <w:r>
              <w:instrText xml:space="preserve"> HYPERLINK "http://www.zjzfcg.gov.cn" </w:instrText>
            </w:r>
            <w:r>
              <w:fldChar w:fldCharType="separate"/>
            </w:r>
            <w:r>
              <w:rPr>
                <w:rStyle w:val="69"/>
                <w:rFonts w:ascii="仿宋_GB2312" w:eastAsia="仿宋_GB2312"/>
                <w:color w:val="auto"/>
                <w:sz w:val="28"/>
                <w:szCs w:val="28"/>
              </w:rPr>
              <w:t>www.zjzfcg.gov.cn</w:t>
            </w:r>
            <w:r>
              <w:rPr>
                <w:rStyle w:val="69"/>
                <w:rFonts w:ascii="仿宋_GB2312" w:eastAsia="仿宋_GB2312"/>
                <w:color w:val="auto"/>
                <w:sz w:val="28"/>
                <w:szCs w:val="28"/>
              </w:rPr>
              <w:fldChar w:fldCharType="end"/>
            </w:r>
            <w:r>
              <w:rPr>
                <w:rStyle w:val="143"/>
                <w:rFonts w:hint="default" w:ascii="仿宋_GB2312" w:eastAsia="仿宋_GB2312"/>
                <w:bCs/>
                <w:sz w:val="28"/>
                <w:szCs w:val="28"/>
              </w:rPr>
              <w:t>（浙江省政府采购网）</w:t>
            </w:r>
          </w:p>
          <w:p>
            <w:pPr>
              <w:pStyle w:val="31"/>
              <w:snapToGrid w:val="0"/>
              <w:spacing w:line="380" w:lineRule="exact"/>
              <w:rPr>
                <w:rFonts w:ascii="仿宋_GB2312" w:hAnsi="宋体" w:eastAsia="仿宋_GB2312"/>
                <w:sz w:val="28"/>
                <w:szCs w:val="28"/>
              </w:rPr>
            </w:pPr>
            <w:r>
              <w:rPr>
                <w:rFonts w:hint="eastAsia" w:ascii="仿宋_GB2312" w:eastAsia="仿宋_GB2312"/>
                <w:sz w:val="28"/>
                <w:szCs w:val="28"/>
                <w:u w:val="single"/>
              </w:rPr>
              <w:t>http://www.zjpubservice.com</w:t>
            </w:r>
            <w:r>
              <w:rPr>
                <w:rFonts w:hint="eastAsia" w:ascii="仿宋_GB2312" w:eastAsia="仿宋_GB2312"/>
                <w:sz w:val="28"/>
                <w:szCs w:val="28"/>
              </w:rPr>
              <w:t>（浙江省公共资源交易服务平台网）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17</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现场勘察</w:t>
            </w:r>
          </w:p>
        </w:tc>
        <w:tc>
          <w:tcPr>
            <w:tcW w:w="5880" w:type="dxa"/>
            <w:vAlign w:val="center"/>
          </w:tcPr>
          <w:p>
            <w:pPr>
              <w:pStyle w:val="31"/>
              <w:snapToGrid w:val="0"/>
              <w:spacing w:line="380" w:lineRule="exact"/>
              <w:rPr>
                <w:rFonts w:ascii="仿宋_GB2312" w:hAnsi="宋体" w:eastAsia="仿宋_GB2312" w:cs="宋体"/>
                <w:sz w:val="28"/>
                <w:szCs w:val="28"/>
              </w:rPr>
            </w:pPr>
            <w:r>
              <w:rPr>
                <w:rFonts w:hint="eastAsia" w:ascii="FangSong_GB2312" w:hAnsi="宋体" w:eastAsia="FangSong_GB2312" w:cs="宋体"/>
                <w:sz w:val="28"/>
                <w:szCs w:val="28"/>
                <w:lang w:val="en-US" w:eastAsia="zh-CN"/>
              </w:rPr>
              <w:t>不集中组织现场踏勘。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 w:type="dxa"/>
            <w:vAlign w:val="center"/>
          </w:tcPr>
          <w:p>
            <w:pPr>
              <w:pStyle w:val="31"/>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18</w:t>
            </w:r>
          </w:p>
        </w:tc>
        <w:tc>
          <w:tcPr>
            <w:tcW w:w="2629" w:type="dxa"/>
            <w:vAlign w:val="center"/>
          </w:tcPr>
          <w:p>
            <w:pPr>
              <w:pStyle w:val="31"/>
              <w:snapToGrid w:val="0"/>
              <w:spacing w:line="380" w:lineRule="exact"/>
              <w:rPr>
                <w:rFonts w:ascii="仿宋_GB2312" w:hAnsi="宋体" w:eastAsia="仿宋_GB2312"/>
                <w:sz w:val="28"/>
                <w:szCs w:val="28"/>
              </w:rPr>
            </w:pPr>
            <w:r>
              <w:rPr>
                <w:rFonts w:hint="eastAsia" w:ascii="仿宋_GB2312" w:hAnsi="宋体" w:eastAsia="仿宋_GB2312"/>
                <w:sz w:val="28"/>
                <w:szCs w:val="28"/>
              </w:rPr>
              <w:t>工期</w:t>
            </w:r>
          </w:p>
        </w:tc>
        <w:tc>
          <w:tcPr>
            <w:tcW w:w="5880" w:type="dxa"/>
            <w:vAlign w:val="center"/>
          </w:tcPr>
          <w:p>
            <w:pPr>
              <w:pStyle w:val="31"/>
              <w:snapToGrid w:val="0"/>
              <w:spacing w:line="380" w:lineRule="exact"/>
              <w:rPr>
                <w:rFonts w:ascii="仿宋_GB2312" w:eastAsia="仿宋_GB2312"/>
                <w:sz w:val="28"/>
                <w:szCs w:val="28"/>
                <w:u w:val="single"/>
              </w:rPr>
            </w:pPr>
            <w:r>
              <w:rPr>
                <w:rFonts w:hint="eastAsia" w:ascii="仿宋_GB2312" w:eastAsia="仿宋_GB2312"/>
                <w:sz w:val="28"/>
                <w:szCs w:val="28"/>
              </w:rPr>
              <w:t>60天</w:t>
            </w:r>
          </w:p>
        </w:tc>
      </w:tr>
    </w:tbl>
    <w:p>
      <w:pPr>
        <w:jc w:val="center"/>
        <w:rPr>
          <w:rFonts w:ascii="仿宋_GB2312" w:hAnsi="宋体" w:eastAsia="仿宋_GB2312" w:cs="宋体"/>
          <w:b/>
          <w:sz w:val="32"/>
          <w:szCs w:val="32"/>
        </w:rPr>
      </w:pPr>
    </w:p>
    <w:p>
      <w:pPr>
        <w:numPr>
          <w:ilvl w:val="0"/>
          <w:numId w:val="14"/>
        </w:numPr>
        <w:snapToGrid w:val="0"/>
        <w:spacing w:beforeLines="50" w:afterLines="50" w:line="500" w:lineRule="exact"/>
        <w:rPr>
          <w:rFonts w:ascii="仿宋_GB2312" w:eastAsia="仿宋_GB2312"/>
          <w:b/>
          <w:sz w:val="28"/>
          <w:szCs w:val="28"/>
        </w:rPr>
      </w:pPr>
      <w:bookmarkStart w:id="11" w:name="_Toc356371433"/>
      <w:r>
        <w:rPr>
          <w:rFonts w:hint="eastAsia" w:ascii="仿宋_GB2312" w:eastAsia="仿宋_GB2312"/>
          <w:b/>
          <w:sz w:val="28"/>
          <w:szCs w:val="28"/>
        </w:rPr>
        <w:t>投标须知</w:t>
      </w:r>
      <w:bookmarkEnd w:id="11"/>
    </w:p>
    <w:p>
      <w:pPr>
        <w:numPr>
          <w:ilvl w:val="1"/>
          <w:numId w:val="14"/>
        </w:numPr>
        <w:snapToGrid w:val="0"/>
        <w:spacing w:line="500" w:lineRule="exact"/>
        <w:rPr>
          <w:rFonts w:ascii="仿宋_GB2312" w:eastAsia="仿宋_GB2312"/>
          <w:b/>
          <w:sz w:val="28"/>
          <w:szCs w:val="28"/>
        </w:rPr>
      </w:pPr>
      <w:r>
        <w:rPr>
          <w:rFonts w:hint="eastAsia" w:ascii="仿宋_GB2312" w:eastAsia="仿宋_GB2312"/>
          <w:sz w:val="28"/>
          <w:szCs w:val="28"/>
        </w:rPr>
        <w:t>适用范围</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本招标文件仅适用于本次采购项目的招标、投标、评标、定标、验收、合同履约、付款等行为。</w:t>
      </w:r>
    </w:p>
    <w:p>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定义</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“招标人”系指组织本次招标的衢州市衢江区政府采购中心 。</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“采购人”系指提出本次采购的委托单位：衢州市衢江区教育局。</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“投标人”系指向招标方提交投标文件的供应商。</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“货物”系指投标人按招标文件规定向采购人提供的各类设备、软件、技术资料及使用手册等。</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“服务”系指根据本合同规定，中标人必须承担安装、调试、技术协助、培训以及其他类似的义务。</w:t>
      </w:r>
    </w:p>
    <w:p>
      <w:pPr>
        <w:numPr>
          <w:ilvl w:val="2"/>
          <w:numId w:val="14"/>
        </w:numPr>
        <w:snapToGrid w:val="0"/>
        <w:spacing w:line="500" w:lineRule="exact"/>
        <w:rPr>
          <w:rFonts w:ascii="仿宋_GB2312" w:eastAsia="仿宋_GB2312"/>
          <w:sz w:val="28"/>
          <w:szCs w:val="28"/>
        </w:rPr>
      </w:pPr>
      <w:r>
        <w:rPr>
          <w:rFonts w:hint="eastAsia" w:ascii="仿宋_GB2312" w:eastAsia="仿宋_GB2312"/>
          <w:sz w:val="28"/>
          <w:szCs w:val="28"/>
        </w:rPr>
        <w:t>“▲”系指实质性要求条款。</w:t>
      </w:r>
    </w:p>
    <w:p>
      <w:pPr>
        <w:numPr>
          <w:ilvl w:val="1"/>
          <w:numId w:val="14"/>
        </w:numPr>
        <w:snapToGrid w:val="0"/>
        <w:spacing w:line="500" w:lineRule="exact"/>
        <w:rPr>
          <w:rFonts w:ascii="仿宋_GB2312" w:eastAsia="仿宋_GB2312"/>
          <w:sz w:val="28"/>
          <w:szCs w:val="28"/>
        </w:rPr>
      </w:pPr>
      <w:r>
        <w:rPr>
          <w:rFonts w:hint="eastAsia" w:ascii="仿宋_GB2312" w:eastAsia="仿宋_GB2312"/>
          <w:sz w:val="28"/>
          <w:szCs w:val="28"/>
        </w:rPr>
        <w:t>投标费用</w:t>
      </w:r>
    </w:p>
    <w:p>
      <w:pPr>
        <w:tabs>
          <w:tab w:val="left" w:pos="0"/>
          <w:tab w:val="left" w:pos="900"/>
          <w:tab w:val="left" w:pos="7020"/>
          <w:tab w:val="left" w:pos="8460"/>
        </w:tabs>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不论投标结果如何，投标人均应自行承担所有与投标有关的全部费用。</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招标方式</w:t>
      </w:r>
    </w:p>
    <w:p>
      <w:pPr>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本次招标采用公开招标方式进行。</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投标委托</w:t>
      </w:r>
    </w:p>
    <w:p>
      <w:pPr>
        <w:pStyle w:val="24"/>
        <w:snapToGrid w:val="0"/>
        <w:spacing w:line="490" w:lineRule="exact"/>
        <w:ind w:firstLine="560" w:firstLineChars="200"/>
        <w:jc w:val="left"/>
        <w:rPr>
          <w:rFonts w:ascii="仿宋_GB2312" w:hAnsi="宋体" w:eastAsia="仿宋_GB2312"/>
          <w:szCs w:val="28"/>
        </w:rPr>
      </w:pPr>
      <w:r>
        <w:rPr>
          <w:rFonts w:hint="eastAsia" w:ascii="仿宋_GB2312" w:eastAsia="仿宋_GB2312"/>
        </w:rPr>
        <w:t>投标人代表须携带有效身份证件。如投标人代表不是法定代表人（负责人），须有法定代表人（负责人）出具的授权委托书（格式详见第五章），</w:t>
      </w:r>
      <w:r>
        <w:rPr>
          <w:rFonts w:hint="eastAsia" w:ascii="仿宋_GB2312" w:eastAsia="仿宋_GB2312"/>
          <w:b/>
          <w:bCs/>
          <w:color w:val="FF0000"/>
          <w:szCs w:val="28"/>
        </w:rPr>
        <w:t>法定代表人（负责人）授权</w:t>
      </w:r>
      <w:r>
        <w:rPr>
          <w:rFonts w:hint="eastAsia" w:ascii="仿宋_GB2312" w:eastAsia="仿宋_GB2312"/>
          <w:b/>
          <w:color w:val="FF0000"/>
        </w:rPr>
        <w:t>委托书</w:t>
      </w:r>
      <w:r>
        <w:rPr>
          <w:rFonts w:hint="eastAsia" w:ascii="仿宋_GB2312" w:eastAsia="仿宋_GB2312"/>
          <w:b/>
          <w:bCs/>
          <w:color w:val="FF0000"/>
          <w:szCs w:val="28"/>
        </w:rPr>
        <w:t>原件在递交投标文件时单独提供，无需密封进投标文件</w:t>
      </w:r>
      <w:r>
        <w:rPr>
          <w:rFonts w:hint="eastAsia"/>
        </w:rPr>
        <w:t>。</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联合体投标</w:t>
      </w:r>
    </w:p>
    <w:p>
      <w:pPr>
        <w:snapToGrid w:val="0"/>
        <w:spacing w:line="500" w:lineRule="exact"/>
        <w:ind w:firstLine="560" w:firstLineChars="200"/>
        <w:jc w:val="left"/>
        <w:rPr>
          <w:rFonts w:ascii="仿宋_GB2312" w:hAnsi="宋体" w:eastAsia="仿宋_GB2312" w:cs="Arial"/>
          <w:sz w:val="28"/>
          <w:szCs w:val="28"/>
        </w:rPr>
      </w:pPr>
      <w:r>
        <w:rPr>
          <w:rFonts w:hint="eastAsia" w:ascii="仿宋_GB2312" w:hAnsi="宋体" w:eastAsia="仿宋_GB2312" w:cs="Arial"/>
          <w:sz w:val="28"/>
          <w:szCs w:val="28"/>
        </w:rPr>
        <w:t>本项目不接受联合体投标。</w:t>
      </w:r>
    </w:p>
    <w:p>
      <w:pPr>
        <w:numPr>
          <w:ilvl w:val="1"/>
          <w:numId w:val="14"/>
        </w:num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转包与分包</w:t>
      </w:r>
    </w:p>
    <w:p>
      <w:pPr>
        <w:snapToGrid w:val="0"/>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本项目不允许转包。分包须经采购人书面同意后方可实施。</w:t>
      </w:r>
    </w:p>
    <w:p>
      <w:pPr>
        <w:numPr>
          <w:ilvl w:val="1"/>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特别说明：</w:t>
      </w:r>
    </w:p>
    <w:p>
      <w:pPr>
        <w:numPr>
          <w:ilvl w:val="2"/>
          <w:numId w:val="14"/>
        </w:numPr>
        <w:snapToGrid w:val="0"/>
        <w:spacing w:line="500" w:lineRule="exact"/>
        <w:ind w:firstLine="560" w:firstLineChars="200"/>
        <w:rPr>
          <w:rFonts w:ascii="仿宋_GB2312" w:hAnsi="ˎ̥" w:eastAsia="仿宋_GB2312" w:cs="宋体"/>
          <w:kern w:val="0"/>
          <w:sz w:val="28"/>
          <w:szCs w:val="28"/>
        </w:rPr>
      </w:pPr>
      <w:r>
        <w:rPr>
          <w:rFonts w:hint="eastAsia" w:ascii="仿宋_GB2312" w:hAnsi="宋体" w:eastAsia="仿宋_GB2312"/>
          <w:sz w:val="28"/>
          <w:szCs w:val="28"/>
        </w:rPr>
        <w:t>▲</w:t>
      </w:r>
      <w:r>
        <w:rPr>
          <w:rFonts w:hint="eastAsia" w:ascii="仿宋_GB2312" w:hAnsi="宋体" w:eastAsia="仿宋_GB2312" w:cs="宋体"/>
          <w:kern w:val="0"/>
          <w:sz w:val="28"/>
          <w:szCs w:val="28"/>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pacing w:line="500" w:lineRule="exact"/>
        <w:ind w:firstLine="560" w:firstLineChars="200"/>
        <w:rPr>
          <w:rFonts w:ascii="仿宋_GB2312" w:hAnsi="ˎ̥" w:eastAsia="仿宋_GB2312" w:cs="宋体"/>
          <w:kern w:val="0"/>
          <w:sz w:val="28"/>
          <w:szCs w:val="28"/>
        </w:rPr>
      </w:pPr>
      <w:r>
        <w:rPr>
          <w:rFonts w:hint="eastAsia" w:ascii="仿宋_GB2312" w:hAnsi="ˎ̥" w:eastAsia="仿宋_GB2312" w:cs="宋体"/>
          <w:kern w:val="0"/>
          <w:sz w:val="28"/>
          <w:szCs w:val="28"/>
        </w:rPr>
        <w:t>非单一产品采购项目中，多家投标人提供的核心产品品牌相同的，按一家</w:t>
      </w:r>
      <w:r>
        <w:rPr>
          <w:rFonts w:hint="eastAsia" w:ascii="仿宋_GB2312" w:hAnsi="宋体" w:eastAsia="仿宋_GB2312" w:cs="宋体"/>
          <w:kern w:val="0"/>
          <w:sz w:val="28"/>
          <w:szCs w:val="28"/>
        </w:rPr>
        <w:t>投标人</w:t>
      </w:r>
      <w:r>
        <w:rPr>
          <w:rFonts w:hint="eastAsia" w:ascii="仿宋_GB2312" w:hAnsi="ˎ̥" w:eastAsia="仿宋_GB2312" w:cs="宋体"/>
          <w:kern w:val="0"/>
          <w:sz w:val="28"/>
          <w:szCs w:val="28"/>
        </w:rPr>
        <w:t>认定。</w:t>
      </w:r>
    </w:p>
    <w:p>
      <w:pPr>
        <w:numPr>
          <w:ilvl w:val="2"/>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▲投标人投标所使用的资格、信誉、荣誉、业绩与企业认证必须为本法人（负责人）所拥有。</w:t>
      </w:r>
    </w:p>
    <w:p>
      <w:pPr>
        <w:numPr>
          <w:ilvl w:val="2"/>
          <w:numId w:val="14"/>
        </w:num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▲投标人应仔细阅读招标文件的所有内容，按照招标文件的要求提交投标文件，并对所提供的全部资料的真实性承担法律责任。</w:t>
      </w:r>
    </w:p>
    <w:p>
      <w:pPr>
        <w:numPr>
          <w:ilvl w:val="2"/>
          <w:numId w:val="14"/>
        </w:numPr>
        <w:snapToGrid w:val="0"/>
        <w:spacing w:line="500" w:lineRule="exact"/>
        <w:rPr>
          <w:rFonts w:ascii="仿宋_GB2312" w:hAnsi="宋体" w:eastAsia="仿宋_GB2312"/>
          <w:b/>
          <w:sz w:val="28"/>
          <w:szCs w:val="28"/>
        </w:rPr>
      </w:pPr>
      <w:r>
        <w:rPr>
          <w:rFonts w:hint="eastAsia" w:ascii="仿宋_GB2312" w:hAnsi="宋体" w:eastAsia="仿宋_GB2312"/>
          <w:sz w:val="28"/>
          <w:szCs w:val="28"/>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9.关于中小企业、监狱和戒毒企业和残疾人福利性单位参与政府采购活动的规定</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9.1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1、符合中小企业划分标准；</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2、提供本企业制造的货物、承担的工程或者服务，或者提供其他中小企业制造的货物。本项所称货物不包括使用大型企业注册商标的货物。</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本办法所称中小企业划分标准，是指国务院有关部门根据企业从业人员、营业收入、资产总额等指标制定的中小企业划型标准。</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小型、微型企业提供中型企业制造的货物的，视同为中型企业。</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9.2根据财政部《司法部关于政府采购支持监狱企业发展有关问题》的通知（财库〔2014〕68号）的有关规定，监狱和戒毒企业参与政府采购活动的视同小型、微型企业，享受评审中价格扣除政策。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9.3根据财库[2017]141号的相关规定，在政府采购活动中，残疾人福利性单位视同小型、微型企业，享受评审中价格扣除政策。</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9.4小型、微型企业参加投标时，应提供《中小企业声明函》</w:t>
      </w:r>
      <w:r>
        <w:rPr>
          <w:rFonts w:hint="eastAsia" w:ascii="仿宋_GB2312" w:eastAsia="仿宋_GB2312"/>
          <w:sz w:val="28"/>
          <w:szCs w:val="28"/>
        </w:rPr>
        <w:t>、</w:t>
      </w:r>
      <w:r>
        <w:rPr>
          <w:rFonts w:hint="eastAsia" w:ascii="仿宋_GB2312" w:hAnsi="宋体" w:eastAsia="仿宋_GB2312"/>
          <w:sz w:val="28"/>
          <w:szCs w:val="28"/>
        </w:rPr>
        <w:t>国家企业信用信息公示系统——小微企业名录查询记录,</w:t>
      </w:r>
      <w:r>
        <w:rPr>
          <w:rFonts w:hint="eastAsia" w:ascii="仿宋_GB2312" w:eastAsia="仿宋_GB2312"/>
          <w:bCs/>
          <w:sz w:val="28"/>
          <w:szCs w:val="28"/>
        </w:rPr>
        <w:t xml:space="preserve"> 提供网站截图复印件</w:t>
      </w:r>
      <w:r>
        <w:rPr>
          <w:rFonts w:hint="eastAsia" w:ascii="仿宋_GB2312" w:eastAsia="仿宋_GB2312"/>
          <w:sz w:val="28"/>
          <w:szCs w:val="28"/>
        </w:rPr>
        <w:t>；监狱和戒毒企业参加投标时应提供由省级以上监狱管理局、戒毒管理局（含新疆生产建设兵团）出具的属于监狱企业的证明文件；</w:t>
      </w:r>
      <w:r>
        <w:rPr>
          <w:rFonts w:hint="eastAsia" w:ascii="仿宋_GB2312" w:eastAsia="仿宋_GB2312"/>
          <w:bCs/>
          <w:sz w:val="28"/>
          <w:szCs w:val="28"/>
        </w:rPr>
        <w:t>残疾人福利性单位参加投标时应提供残疾人福利性单位声明函。不提供以上材料的投标人将不享受评审中价格扣除优惠。</w:t>
      </w:r>
    </w:p>
    <w:p>
      <w:pPr>
        <w:numPr>
          <w:ilvl w:val="0"/>
          <w:numId w:val="14"/>
        </w:numPr>
        <w:snapToGrid w:val="0"/>
        <w:spacing w:beforeLines="50" w:afterLines="50" w:line="500" w:lineRule="exact"/>
        <w:rPr>
          <w:rFonts w:ascii="仿宋_GB2312" w:eastAsia="仿宋_GB2312"/>
          <w:b/>
          <w:sz w:val="28"/>
          <w:szCs w:val="28"/>
        </w:rPr>
      </w:pPr>
      <w:bookmarkStart w:id="12" w:name="_Toc356371434"/>
      <w:r>
        <w:rPr>
          <w:rFonts w:hint="eastAsia" w:ascii="仿宋_GB2312" w:eastAsia="仿宋_GB2312"/>
          <w:b/>
          <w:sz w:val="28"/>
          <w:szCs w:val="28"/>
        </w:rPr>
        <w:t>招标文件说明</w:t>
      </w:r>
      <w:bookmarkEnd w:id="12"/>
    </w:p>
    <w:p>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招标文件的组成</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招标公告；</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投标须知前附表及投标须知；</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采购内容及要求；</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合同文本；</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应提交的有关格式范例；</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评标办法及开标程序。</w:t>
      </w:r>
    </w:p>
    <w:p>
      <w:pPr>
        <w:numPr>
          <w:ilvl w:val="1"/>
          <w:numId w:val="15"/>
        </w:numPr>
        <w:snapToGrid w:val="0"/>
        <w:spacing w:line="500" w:lineRule="exact"/>
        <w:rPr>
          <w:rFonts w:ascii="仿宋_GB2312" w:eastAsia="仿宋_GB2312"/>
          <w:sz w:val="28"/>
          <w:szCs w:val="28"/>
        </w:rPr>
      </w:pPr>
      <w:r>
        <w:rPr>
          <w:rFonts w:hint="eastAsia" w:ascii="仿宋_GB2312" w:eastAsia="仿宋_GB2312"/>
          <w:sz w:val="28"/>
          <w:szCs w:val="28"/>
        </w:rPr>
        <w:t>招标文件的澄清及修改</w:t>
      </w:r>
    </w:p>
    <w:p>
      <w:pPr>
        <w:numPr>
          <w:ilvl w:val="2"/>
          <w:numId w:val="15"/>
        </w:numPr>
        <w:snapToGrid w:val="0"/>
        <w:spacing w:line="500" w:lineRule="exact"/>
        <w:rPr>
          <w:rFonts w:ascii="仿宋_GB2312" w:eastAsia="仿宋_GB2312"/>
          <w:sz w:val="28"/>
          <w:szCs w:val="28"/>
        </w:rPr>
      </w:pPr>
      <w:r>
        <w:rPr>
          <w:rFonts w:hint="eastAsia" w:ascii="仿宋_GB2312" w:eastAsia="仿宋_GB2312"/>
          <w:sz w:val="28"/>
          <w:szCs w:val="28"/>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numPr>
          <w:ilvl w:val="0"/>
          <w:numId w:val="14"/>
        </w:numPr>
        <w:snapToGrid w:val="0"/>
        <w:spacing w:beforeLines="50" w:afterLines="50" w:line="500" w:lineRule="exact"/>
        <w:rPr>
          <w:rFonts w:ascii="仿宋_GB2312" w:eastAsia="仿宋_GB2312"/>
          <w:b/>
          <w:sz w:val="28"/>
          <w:szCs w:val="28"/>
        </w:rPr>
      </w:pPr>
      <w:bookmarkStart w:id="13" w:name="_Toc356371435"/>
      <w:r>
        <w:rPr>
          <w:rFonts w:hint="eastAsia" w:ascii="仿宋_GB2312" w:eastAsia="仿宋_GB2312"/>
          <w:b/>
          <w:sz w:val="28"/>
          <w:szCs w:val="28"/>
        </w:rPr>
        <w:t>投标文件的编制</w:t>
      </w:r>
      <w:bookmarkEnd w:id="13"/>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总体要求</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ˎ̥" w:eastAsia="仿宋_GB2312" w:cs="宋体"/>
          <w:kern w:val="0"/>
          <w:sz w:val="28"/>
          <w:szCs w:val="28"/>
        </w:rPr>
        <w:t>，否则，投标文件可能视为无效投标文件。</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投标文件及投标人与采购有关的来往通知，函件和文件均应使用中文。</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投标人应按本文件中提供的文件格式、内容和要求制作投标文件。投标文件应装订成册。</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投标文件的组成及份数</w:t>
      </w:r>
    </w:p>
    <w:p>
      <w:pPr>
        <w:tabs>
          <w:tab w:val="left" w:pos="0"/>
          <w:tab w:val="left" w:pos="900"/>
          <w:tab w:val="left" w:pos="7020"/>
          <w:tab w:val="left" w:pos="8460"/>
        </w:tabs>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sz w:val="28"/>
          <w:szCs w:val="28"/>
        </w:rPr>
        <w:t>投标文件应分为【资格审查文件】、【技术商务文件】和【报价文件】。资格审查文件正本壹份、副本</w:t>
      </w:r>
      <w:r>
        <w:rPr>
          <w:rFonts w:hint="eastAsia" w:ascii="仿宋_GB2312" w:eastAsia="仿宋_GB2312"/>
          <w:sz w:val="28"/>
          <w:szCs w:val="28"/>
          <w:lang w:eastAsia="zh-CN"/>
        </w:rPr>
        <w:t>两</w:t>
      </w:r>
      <w:r>
        <w:rPr>
          <w:rFonts w:hint="eastAsia" w:ascii="仿宋_GB2312" w:eastAsia="仿宋_GB2312"/>
          <w:sz w:val="28"/>
          <w:szCs w:val="28"/>
        </w:rPr>
        <w:t>份，技术商务文件和报价文件均提供正本壹份、副本柒份。</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【资格审查文件】（未注明复印件的，应为原件。）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▲投标函；</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投标人资格声明；</w:t>
      </w:r>
    </w:p>
    <w:p>
      <w:pPr>
        <w:numPr>
          <w:ilvl w:val="3"/>
          <w:numId w:val="16"/>
        </w:numPr>
        <w:snapToGrid w:val="0"/>
        <w:spacing w:line="500" w:lineRule="exact"/>
        <w:rPr>
          <w:rFonts w:ascii="仿宋_GB2312" w:eastAsia="仿宋_GB2312"/>
          <w:sz w:val="28"/>
          <w:szCs w:val="28"/>
        </w:rPr>
      </w:pPr>
      <w:r>
        <w:rPr>
          <w:rFonts w:hint="eastAsia" w:ascii="FangSong_GB2312" w:eastAsia="FangSong_GB2312"/>
          <w:sz w:val="28"/>
          <w:szCs w:val="28"/>
          <w:lang w:val="en-US" w:eastAsia="zh-CN"/>
        </w:rPr>
        <w:t>资格承诺书（承诺本投标人符合投标人资格要求中的所有条件）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有效的投标人《企业法人营业执照》复印件；</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▲分公司参与投标的，须提供总公司的《企业法人营业执照》复印件及总公司的授权书； </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▲法人（负责人）授权委托书复印件（原件与投标文件一起递交）； </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法定代表人（负责人）或法人（负责人）授权代表身份证复印件；</w:t>
      </w:r>
    </w:p>
    <w:p>
      <w:pPr>
        <w:numPr>
          <w:ilvl w:val="3"/>
          <w:numId w:val="16"/>
        </w:numPr>
        <w:snapToGrid w:val="0"/>
        <w:spacing w:line="500" w:lineRule="exact"/>
        <w:rPr>
          <w:rFonts w:ascii="仿宋_GB2312" w:eastAsia="仿宋_GB2312"/>
          <w:sz w:val="28"/>
          <w:szCs w:val="28"/>
        </w:rPr>
      </w:pPr>
      <w:r>
        <w:rPr>
          <w:rFonts w:hint="eastAsia" w:ascii="仿宋_GB2312" w:eastAsia="仿宋_GB2312" w:cs="宋体"/>
          <w:bCs/>
          <w:sz w:val="28"/>
          <w:szCs w:val="28"/>
        </w:rPr>
        <w:t>▲开标日期开始前三年内，投标人、投标人法定代表人及本次投标的授权代表无行贿犯罪承诺书。</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【技术商务文件】（涉及资信的材料原件（含公证件）均需带至开标现场备查；未注明复印件的，应为原件。）</w:t>
      </w:r>
    </w:p>
    <w:p>
      <w:pPr>
        <w:numPr>
          <w:ilvl w:val="3"/>
          <w:numId w:val="16"/>
        </w:numPr>
        <w:snapToGrid w:val="0"/>
        <w:spacing w:line="500" w:lineRule="exact"/>
        <w:rPr>
          <w:rFonts w:ascii="仿宋_GB2312" w:eastAsia="仿宋_GB2312"/>
          <w:sz w:val="28"/>
          <w:szCs w:val="28"/>
        </w:rPr>
      </w:pPr>
      <w:r>
        <w:rPr>
          <w:rFonts w:hint="eastAsia" w:ascii="仿宋_GB2312" w:eastAsia="仿宋_GB2312"/>
          <w:b/>
          <w:sz w:val="28"/>
          <w:szCs w:val="28"/>
        </w:rPr>
        <w:t>▲</w:t>
      </w:r>
      <w:r>
        <w:rPr>
          <w:rFonts w:hint="eastAsia" w:ascii="仿宋_GB2312" w:eastAsia="仿宋_GB2312"/>
          <w:sz w:val="28"/>
          <w:szCs w:val="28"/>
        </w:rPr>
        <w:t>节能产品清单；</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环保产品清单；</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 2016年1月以来，投标人实施的政府集中采购类似项目的成功案例，须提供政府集中采购项目合同及中标（成交）通知书复印件；（原件带至开标现场备查）；</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项目组成员汇总表；</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职称证书复印件</w:t>
      </w:r>
      <w:r>
        <w:rPr>
          <w:rFonts w:hint="eastAsia" w:ascii="仿宋" w:hAnsi="仿宋" w:eastAsia="仿宋"/>
          <w:color w:val="000000"/>
          <w:sz w:val="24"/>
          <w:szCs w:val="24"/>
        </w:rPr>
        <w:t>；</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售后服务网点介绍、服务内容、措施和售后服务承诺书（加盖单位公章）；</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技术支持及服务承诺书；</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详细的产品清单及软硬件简要说明一览表；</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产品主要技术资料和性能的详细描述；</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总体设计及实施方案；</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技术偏离表；</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 近三年来同类产品的生产、销售情况及主要户清单；</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随机备品、备件和专业工具清单；</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投标人认为需要的其他技术资料。</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【报价文件】（包括以下内容，装订成一本）</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▲开标一览表； </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▲投标设备报价明细表。</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《中小企业声明函》、</w:t>
      </w:r>
      <w:r>
        <w:rPr>
          <w:rFonts w:hint="eastAsia" w:ascii="仿宋_GB2312" w:hAnsi="宋体" w:eastAsia="仿宋_GB2312"/>
          <w:sz w:val="28"/>
          <w:szCs w:val="28"/>
        </w:rPr>
        <w:t>国家企业信用信息公示系统——小微企业名录查询记录,</w:t>
      </w:r>
      <w:r>
        <w:rPr>
          <w:rFonts w:hint="eastAsia" w:ascii="仿宋_GB2312" w:eastAsia="仿宋_GB2312"/>
          <w:bCs/>
          <w:sz w:val="28"/>
          <w:szCs w:val="28"/>
        </w:rPr>
        <w:t xml:space="preserve"> 提供网站截图复印件</w:t>
      </w:r>
      <w:r>
        <w:rPr>
          <w:rFonts w:hint="eastAsia" w:ascii="仿宋_GB2312" w:eastAsia="仿宋_GB2312"/>
          <w:sz w:val="28"/>
          <w:szCs w:val="28"/>
        </w:rPr>
        <w:t>（符合小微企业相关政策的投标人提供）；</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《产品适用中小企业政策情况表》（符合小微企业相关政策的投标人提供）；</w:t>
      </w:r>
    </w:p>
    <w:p>
      <w:pPr>
        <w:numPr>
          <w:ilvl w:val="3"/>
          <w:numId w:val="16"/>
        </w:numPr>
        <w:snapToGrid w:val="0"/>
        <w:spacing w:line="500" w:lineRule="exact"/>
        <w:rPr>
          <w:rFonts w:ascii="仿宋_GB2312" w:eastAsia="仿宋_GB2312"/>
          <w:sz w:val="28"/>
          <w:szCs w:val="28"/>
        </w:rPr>
      </w:pPr>
      <w:r>
        <w:rPr>
          <w:rFonts w:hint="eastAsia" w:ascii="仿宋_GB2312" w:eastAsia="仿宋_GB2312"/>
          <w:sz w:val="28"/>
          <w:szCs w:val="28"/>
        </w:rPr>
        <w:t>监狱和戒毒企业应提供由省级以上监狱管理局、戒毒管理局（含新疆生产建设兵团）出具的属于监狱企业的证明文件。</w:t>
      </w:r>
    </w:p>
    <w:p>
      <w:pPr>
        <w:numPr>
          <w:ilvl w:val="3"/>
          <w:numId w:val="16"/>
        </w:numPr>
        <w:snapToGrid w:val="0"/>
        <w:spacing w:line="500" w:lineRule="exact"/>
        <w:rPr>
          <w:rFonts w:ascii="仿宋_GB2312" w:eastAsia="仿宋_GB2312"/>
          <w:sz w:val="28"/>
          <w:szCs w:val="28"/>
        </w:rPr>
      </w:pPr>
      <w:r>
        <w:rPr>
          <w:rFonts w:hint="eastAsia" w:ascii="仿宋_GB2312" w:hAnsi="宋体" w:eastAsia="仿宋_GB2312"/>
          <w:sz w:val="28"/>
          <w:szCs w:val="28"/>
          <w:lang w:val="en-GB"/>
        </w:rPr>
        <w:t>《产品适用</w:t>
      </w:r>
      <w:r>
        <w:rPr>
          <w:rFonts w:hint="eastAsia" w:ascii="仿宋_GB2312" w:eastAsia="仿宋_GB2312"/>
          <w:sz w:val="28"/>
          <w:szCs w:val="28"/>
        </w:rPr>
        <w:t>监狱和戒毒企业</w:t>
      </w:r>
      <w:r>
        <w:rPr>
          <w:rFonts w:hint="eastAsia" w:ascii="仿宋_GB2312" w:hAnsi="宋体" w:eastAsia="仿宋_GB2312"/>
          <w:sz w:val="28"/>
          <w:szCs w:val="28"/>
          <w:lang w:val="en-GB"/>
        </w:rPr>
        <w:t>政策情况表》；</w:t>
      </w:r>
    </w:p>
    <w:p>
      <w:pPr>
        <w:numPr>
          <w:ilvl w:val="3"/>
          <w:numId w:val="16"/>
        </w:numPr>
        <w:snapToGrid w:val="0"/>
        <w:spacing w:line="500" w:lineRule="exact"/>
        <w:rPr>
          <w:rFonts w:ascii="仿宋_GB2312" w:eastAsia="仿宋_GB2312"/>
          <w:sz w:val="28"/>
          <w:szCs w:val="28"/>
        </w:rPr>
      </w:pPr>
      <w:r>
        <w:rPr>
          <w:rFonts w:hint="eastAsia" w:ascii="仿宋_GB2312" w:eastAsia="仿宋_GB2312"/>
          <w:bCs/>
          <w:sz w:val="28"/>
          <w:szCs w:val="28"/>
        </w:rPr>
        <w:t>残疾人福利性单位应提供残疾人福利性单位声明函。</w:t>
      </w:r>
    </w:p>
    <w:p>
      <w:pPr>
        <w:numPr>
          <w:ilvl w:val="3"/>
          <w:numId w:val="16"/>
        </w:numPr>
        <w:snapToGrid w:val="0"/>
        <w:spacing w:line="500" w:lineRule="exact"/>
        <w:rPr>
          <w:rFonts w:ascii="仿宋_GB2312" w:eastAsia="仿宋_GB2312"/>
          <w:sz w:val="28"/>
          <w:szCs w:val="28"/>
        </w:rPr>
      </w:pPr>
      <w:r>
        <w:rPr>
          <w:rFonts w:hint="eastAsia" w:ascii="仿宋_GB2312" w:hAnsi="宋体" w:eastAsia="仿宋_GB2312"/>
          <w:sz w:val="28"/>
          <w:szCs w:val="28"/>
          <w:lang w:val="en-GB"/>
        </w:rPr>
        <w:t>《产品适用</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政策情况表》；</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 xml:space="preserve">投标文件内容填写说明 </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投标人的风险。招标文件对投标文件格式有要求的应按格式逐项填写内容，不准有空项；无相应内容可填的项应填写“无”、“未测试”、“没有相应指标”等明确的回答文字。</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投标人必须保证投标文件所提供的全部资料真实可靠，并接受招标人对其中任何资料进一步审查的要求。</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《开标一览表》为在开标仪式上唱标的内容，要求按格式填写、统一规范，不得自行增减内容。</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投标文件不得涂改和增删，如有错漏必须修改，修改处须由授权代表签字或盖章。</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由于字迹模糊或表达不清引起的后果由投标人负责。</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技术偏离表：所投产品如与采购产品在型号、规格、技术参数、性能、工艺、材料、质量等方面有偏离或对产品配置有好的建议，应填写《技术偏离表》，否则认为响应招标文件要求。</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投标报价</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投标报价应按招标文件中相关附表格式填写。</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报价中必须包含货物及零配件的购置安装、运输保险、装卸、培训辅导、质保期售后服务、全额含税发票、雇员费用、合同实施过程中的应预见和不可预见费用等。</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投标文件只允许有一个报价，有选择的或有条件的报价将不予接受。</w:t>
      </w:r>
    </w:p>
    <w:p>
      <w:pPr>
        <w:numPr>
          <w:ilvl w:val="1"/>
          <w:numId w:val="16"/>
        </w:numPr>
        <w:snapToGrid w:val="0"/>
        <w:spacing w:line="500" w:lineRule="exact"/>
        <w:rPr>
          <w:rFonts w:ascii="仿宋_GB2312" w:eastAsia="仿宋_GB2312"/>
          <w:sz w:val="28"/>
          <w:szCs w:val="28"/>
        </w:rPr>
      </w:pPr>
      <w:r>
        <w:rPr>
          <w:rFonts w:hint="eastAsia" w:ascii="仿宋_GB2312" w:eastAsia="仿宋_GB2312"/>
          <w:sz w:val="28"/>
          <w:szCs w:val="28"/>
        </w:rPr>
        <w:t>投标有效期</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▲投标文件从投标文件递交截止之日起，有效期为90天；</w:t>
      </w:r>
    </w:p>
    <w:p>
      <w:pPr>
        <w:numPr>
          <w:ilvl w:val="2"/>
          <w:numId w:val="16"/>
        </w:numPr>
        <w:snapToGrid w:val="0"/>
        <w:spacing w:line="500" w:lineRule="exact"/>
        <w:rPr>
          <w:rFonts w:ascii="仿宋_GB2312" w:eastAsia="仿宋_GB2312"/>
          <w:sz w:val="28"/>
          <w:szCs w:val="28"/>
        </w:rPr>
      </w:pPr>
      <w:r>
        <w:rPr>
          <w:rFonts w:hint="eastAsia" w:ascii="仿宋_GB2312" w:eastAsia="仿宋_GB2312"/>
          <w:sz w:val="28"/>
          <w:szCs w:val="28"/>
        </w:rPr>
        <w:t>特殊情况下，在原投标文件有效期截止之前，招标人可要求投标人同意延长投标文件有效期。这种要求与答复均应以书面形式提交。投标人可拒绝招标人的这种要求。</w:t>
      </w:r>
    </w:p>
    <w:p>
      <w:pPr>
        <w:snapToGrid w:val="0"/>
        <w:spacing w:line="500" w:lineRule="exact"/>
        <w:rPr>
          <w:rFonts w:ascii="仿宋_GB2312" w:eastAsia="仿宋_GB2312"/>
          <w:sz w:val="28"/>
          <w:szCs w:val="28"/>
        </w:rPr>
      </w:pPr>
    </w:p>
    <w:p>
      <w:pPr>
        <w:numPr>
          <w:ilvl w:val="0"/>
          <w:numId w:val="14"/>
        </w:numPr>
        <w:snapToGrid w:val="0"/>
        <w:spacing w:beforeLines="50" w:afterLines="50" w:line="500" w:lineRule="exact"/>
        <w:rPr>
          <w:rFonts w:ascii="仿宋_GB2312" w:eastAsia="仿宋_GB2312"/>
          <w:b/>
          <w:sz w:val="28"/>
          <w:szCs w:val="28"/>
        </w:rPr>
      </w:pPr>
      <w:bookmarkStart w:id="14" w:name="_Toc356371436"/>
      <w:r>
        <w:rPr>
          <w:rFonts w:hint="eastAsia" w:ascii="仿宋_GB2312" w:eastAsia="仿宋_GB2312"/>
          <w:b/>
          <w:sz w:val="28"/>
          <w:szCs w:val="28"/>
        </w:rPr>
        <w:t>投标保证金</w:t>
      </w:r>
      <w:bookmarkEnd w:id="14"/>
    </w:p>
    <w:p>
      <w:pPr>
        <w:numPr>
          <w:ilvl w:val="2"/>
          <w:numId w:val="17"/>
        </w:numPr>
        <w:snapToGrid w:val="0"/>
        <w:spacing w:line="500" w:lineRule="exact"/>
        <w:rPr>
          <w:rFonts w:ascii="仿宋_GB2312" w:eastAsia="仿宋_GB2312"/>
          <w:sz w:val="28"/>
          <w:szCs w:val="28"/>
        </w:rPr>
      </w:pPr>
      <w:r>
        <w:rPr>
          <w:rFonts w:hint="eastAsia" w:ascii="仿宋_GB2312" w:eastAsia="仿宋_GB2312"/>
          <w:sz w:val="28"/>
          <w:szCs w:val="28"/>
          <w:lang w:eastAsia="zh-CN"/>
        </w:rPr>
        <w:t>本项目无需交纳投标保证金</w:t>
      </w:r>
      <w:r>
        <w:rPr>
          <w:rFonts w:hint="eastAsia" w:ascii="仿宋_GB2312" w:eastAsia="仿宋_GB2312"/>
          <w:sz w:val="28"/>
          <w:szCs w:val="28"/>
        </w:rPr>
        <w:t>。</w:t>
      </w:r>
    </w:p>
    <w:p>
      <w:pPr>
        <w:snapToGrid w:val="0"/>
        <w:spacing w:line="500" w:lineRule="exact"/>
        <w:ind w:left="567"/>
        <w:rPr>
          <w:rFonts w:ascii="仿宋_GB2312" w:eastAsia="仿宋_GB2312"/>
          <w:sz w:val="28"/>
          <w:szCs w:val="28"/>
        </w:rPr>
      </w:pPr>
    </w:p>
    <w:p>
      <w:pPr>
        <w:numPr>
          <w:ilvl w:val="0"/>
          <w:numId w:val="14"/>
        </w:numPr>
        <w:snapToGrid w:val="0"/>
        <w:spacing w:beforeLines="50" w:afterLines="50" w:line="500" w:lineRule="exact"/>
        <w:rPr>
          <w:rFonts w:ascii="仿宋_GB2312" w:eastAsia="仿宋_GB2312"/>
          <w:b/>
          <w:sz w:val="28"/>
          <w:szCs w:val="28"/>
        </w:rPr>
      </w:pPr>
      <w:r>
        <w:rPr>
          <w:rFonts w:hint="eastAsia" w:ascii="仿宋_GB2312" w:eastAsia="仿宋_GB2312"/>
          <w:b/>
          <w:sz w:val="28"/>
          <w:szCs w:val="28"/>
        </w:rPr>
        <w:t>投标文件的签署及规定</w:t>
      </w:r>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投标人应按本须知的相关要求准备投标文件，每套文件须清楚的标明“资格审查文件”、“技术商务文件”、“报价文件”和“正本”、“副本”。若正本和副本有差异，以正本为准。</w:t>
      </w:r>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投标文件的正本需打印或用不褪色墨水书写，并由投标人或经正式授权的代表在投标文件上签字或盖章。文件的副本可采用正本复印。</w:t>
      </w:r>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▲投标文件正本封面须加盖投标人单位公章。</w:t>
      </w:r>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任何行间插字、涂改和增删，必须由投标文件签字人在旁边签字才有效。</w:t>
      </w:r>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电报、电话、传真形式的投标文件概不接受。</w:t>
      </w:r>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投标文件的密封和标记</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▲投标文件应分为资格审查文件、技术商务文件和报价文件三部分，三部分单独密封并在封口及相关部位加盖投标人单位公章。</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每包的封面均应注明：项目名称、项目编号、投标人名称、投标文件名称（即资格审查文件、技术商务文件、报价文件）。</w:t>
      </w:r>
    </w:p>
    <w:p>
      <w:pPr>
        <w:tabs>
          <w:tab w:val="left" w:pos="0"/>
          <w:tab w:val="left" w:pos="900"/>
          <w:tab w:val="left" w:pos="7020"/>
          <w:tab w:val="left" w:pos="8460"/>
        </w:tabs>
        <w:snapToGrid w:val="0"/>
        <w:spacing w:before="120" w:after="120" w:line="500" w:lineRule="exact"/>
        <w:rPr>
          <w:rFonts w:ascii="仿宋_GB2312" w:eastAsia="仿宋_GB2312"/>
          <w:sz w:val="28"/>
          <w:szCs w:val="28"/>
        </w:rPr>
      </w:pPr>
    </w:p>
    <w:p>
      <w:pPr>
        <w:numPr>
          <w:ilvl w:val="0"/>
          <w:numId w:val="14"/>
        </w:numPr>
        <w:snapToGrid w:val="0"/>
        <w:spacing w:beforeLines="50" w:afterLines="50" w:line="500" w:lineRule="exact"/>
        <w:rPr>
          <w:rFonts w:ascii="仿宋_GB2312" w:eastAsia="仿宋_GB2312"/>
          <w:b/>
          <w:sz w:val="28"/>
          <w:szCs w:val="28"/>
        </w:rPr>
      </w:pPr>
      <w:bookmarkStart w:id="15" w:name="_Toc356371437"/>
      <w:r>
        <w:rPr>
          <w:rFonts w:hint="eastAsia" w:ascii="仿宋_GB2312" w:eastAsia="仿宋_GB2312"/>
          <w:b/>
          <w:sz w:val="28"/>
          <w:szCs w:val="28"/>
        </w:rPr>
        <w:t>投标文件的递交</w:t>
      </w:r>
      <w:bookmarkEnd w:id="15"/>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w:t>
      </w:r>
    </w:p>
    <w:p>
      <w:pPr>
        <w:autoSpaceDE w:val="0"/>
        <w:autoSpaceDN w:val="0"/>
        <w:adjustRightInd w:val="0"/>
        <w:snapToGrid w:val="0"/>
        <w:spacing w:line="500" w:lineRule="exact"/>
        <w:ind w:firstLine="560"/>
        <w:rPr>
          <w:rFonts w:ascii="仿宋_GB2312" w:eastAsia="仿宋_GB2312"/>
          <w:sz w:val="28"/>
          <w:szCs w:val="28"/>
        </w:rPr>
      </w:pPr>
      <w:r>
        <w:rPr>
          <w:rFonts w:hint="eastAsia" w:ascii="仿宋_GB2312" w:eastAsia="仿宋_GB2312"/>
          <w:sz w:val="28"/>
          <w:szCs w:val="28"/>
        </w:rPr>
        <w:t>递交投标文件截止时间前将投标文件递交至招标公告指定开标厅，逾期不予接收。</w:t>
      </w:r>
      <w:r>
        <w:rPr>
          <w:rFonts w:hint="eastAsia" w:ascii="仿宋_GB2312" w:eastAsia="仿宋_GB2312"/>
          <w:b/>
          <w:color w:val="FF0000"/>
          <w:sz w:val="28"/>
          <w:szCs w:val="28"/>
        </w:rPr>
        <w:t>递交投标文件时还需递交法人（负责人）授权委托书原件及被授权人身份证原件</w:t>
      </w:r>
      <w:r>
        <w:rPr>
          <w:rFonts w:hint="eastAsia" w:ascii="仿宋_GB2312" w:eastAsia="仿宋_GB2312"/>
          <w:sz w:val="28"/>
          <w:szCs w:val="28"/>
        </w:rPr>
        <w:t>。</w:t>
      </w:r>
    </w:p>
    <w:p>
      <w:pPr>
        <w:numPr>
          <w:ilvl w:val="1"/>
          <w:numId w:val="18"/>
        </w:numPr>
        <w:snapToGrid w:val="0"/>
        <w:spacing w:line="500" w:lineRule="exact"/>
        <w:rPr>
          <w:rFonts w:ascii="仿宋_GB2312" w:eastAsia="仿宋_GB2312"/>
          <w:sz w:val="28"/>
          <w:szCs w:val="28"/>
        </w:rPr>
      </w:pPr>
      <w:r>
        <w:rPr>
          <w:rFonts w:hint="eastAsia" w:ascii="仿宋_GB2312" w:eastAsia="仿宋_GB2312"/>
          <w:sz w:val="28"/>
          <w:szCs w:val="28"/>
        </w:rPr>
        <w:t>投标文件的修改和撤销</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投标人在递交投标文件后，可以修改或撤回其投标文件，但投标人必须在规定的递交投标文件截止时间之前将修改或撤回的书面通知递交到招标人。</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投标人修改后的投标文件应按原来的规定编制、密封、标记和递交。</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在递交投标文件截止期之后，投标人不得对其投标文件做任何修改。</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递交投标文件截止期后，投标人不得撤回其投标文件，否则其保证金将按照本招标文件的规定不予退还。</w:t>
      </w:r>
    </w:p>
    <w:p>
      <w:pPr>
        <w:numPr>
          <w:ilvl w:val="2"/>
          <w:numId w:val="18"/>
        </w:numPr>
        <w:snapToGrid w:val="0"/>
        <w:spacing w:line="500" w:lineRule="exact"/>
        <w:rPr>
          <w:rFonts w:ascii="仿宋_GB2312" w:hAnsi="宋体" w:eastAsia="仿宋_GB2312"/>
          <w:b/>
          <w:sz w:val="28"/>
          <w:szCs w:val="28"/>
        </w:rPr>
      </w:pPr>
      <w:r>
        <w:rPr>
          <w:rFonts w:hint="eastAsia" w:ascii="仿宋_GB2312" w:eastAsia="仿宋_GB2312"/>
          <w:sz w:val="28"/>
          <w:szCs w:val="28"/>
        </w:rPr>
        <w:t>实质上没有响应本文件要求的投标文件将被拒绝。投标人不得通过修正或撤销不合要求的偏离或保留从而使其投标文件成为实质上响应的文件。</w:t>
      </w:r>
    </w:p>
    <w:p>
      <w:pPr>
        <w:snapToGrid w:val="0"/>
        <w:spacing w:line="500" w:lineRule="exact"/>
        <w:ind w:left="567"/>
        <w:rPr>
          <w:rFonts w:ascii="仿宋_GB2312" w:hAnsi="宋体" w:eastAsia="仿宋_GB2312"/>
          <w:b/>
          <w:sz w:val="28"/>
          <w:szCs w:val="28"/>
        </w:rPr>
      </w:pPr>
    </w:p>
    <w:p>
      <w:pPr>
        <w:numPr>
          <w:ilvl w:val="0"/>
          <w:numId w:val="14"/>
        </w:numPr>
        <w:snapToGrid w:val="0"/>
        <w:spacing w:beforeLines="50" w:afterLines="50" w:line="500" w:lineRule="exact"/>
        <w:rPr>
          <w:rFonts w:ascii="仿宋_GB2312" w:eastAsia="仿宋_GB2312"/>
          <w:b/>
          <w:sz w:val="28"/>
          <w:szCs w:val="28"/>
        </w:rPr>
      </w:pPr>
      <w:bookmarkStart w:id="16" w:name="_Toc356371438"/>
      <w:r>
        <w:rPr>
          <w:rFonts w:hint="eastAsia" w:ascii="仿宋_GB2312" w:eastAsia="仿宋_GB2312"/>
          <w:b/>
          <w:sz w:val="28"/>
          <w:szCs w:val="28"/>
        </w:rPr>
        <w:t>投标无效的情形</w:t>
      </w:r>
      <w:bookmarkEnd w:id="16"/>
    </w:p>
    <w:p>
      <w:pPr>
        <w:numPr>
          <w:ilvl w:val="1"/>
          <w:numId w:val="18"/>
        </w:numPr>
        <w:snapToGrid w:val="0"/>
        <w:spacing w:line="500" w:lineRule="exact"/>
        <w:rPr>
          <w:rFonts w:ascii="仿宋_GB2312" w:eastAsia="仿宋_GB2312"/>
          <w:sz w:val="28"/>
          <w:szCs w:val="28"/>
        </w:rPr>
      </w:pPr>
      <w:bookmarkStart w:id="17" w:name="_Toc356371439"/>
      <w:r>
        <w:rPr>
          <w:rFonts w:hint="eastAsia" w:ascii="仿宋_GB2312" w:eastAsia="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不具备招标文件规定资格要求；</w:t>
      </w:r>
    </w:p>
    <w:p>
      <w:pPr>
        <w:numPr>
          <w:ilvl w:val="2"/>
          <w:numId w:val="18"/>
        </w:numPr>
        <w:snapToGrid w:val="0"/>
        <w:spacing w:line="500" w:lineRule="exact"/>
        <w:rPr>
          <w:rFonts w:ascii="仿宋_GB2312" w:hAnsi="宋体" w:eastAsia="仿宋_GB2312"/>
          <w:bCs/>
          <w:sz w:val="28"/>
          <w:szCs w:val="28"/>
        </w:rPr>
      </w:pPr>
      <w:r>
        <w:rPr>
          <w:rFonts w:hint="eastAsia" w:ascii="仿宋_GB2312" w:eastAsia="仿宋_GB2312"/>
          <w:sz w:val="28"/>
          <w:szCs w:val="28"/>
        </w:rPr>
        <w:t>投标文件未按招标文件要求签署、盖章的，未有效授权的;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招标文件中有▲处条款投标人未作实质性响应的；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资格审查或技术商务文件中包含投标报价的；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投标文件关键内容字迹模糊、无法辨认的；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投标文件含有采购人不能接受的附件条件的；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报价超出招标文件中规定的预算金额或者最高限价的；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提供虚假材料谋取中标的；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投标人串通投标的；</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单位负责人为同一人或者存在直接控股、管理关系的不同投标人，参加同一合同项下的政府采购活动</w:t>
      </w:r>
      <w:r>
        <w:rPr>
          <w:rFonts w:hint="eastAsia" w:ascii="仿宋_GB2312" w:eastAsia="仿宋_GB2312"/>
          <w:sz w:val="28"/>
          <w:szCs w:val="28"/>
          <w:lang w:eastAsia="zh-CN"/>
        </w:rPr>
        <w:t>；</w:t>
      </w:r>
    </w:p>
    <w:p>
      <w:pPr>
        <w:numPr>
          <w:ilvl w:val="2"/>
          <w:numId w:val="18"/>
        </w:numPr>
        <w:snapToGrid w:val="0"/>
        <w:spacing w:line="500" w:lineRule="exact"/>
        <w:rPr>
          <w:rFonts w:ascii="仿宋_GB2312" w:eastAsia="仿宋_GB2312"/>
          <w:sz w:val="28"/>
          <w:szCs w:val="28"/>
        </w:rPr>
      </w:pPr>
      <w:r>
        <w:rPr>
          <w:rFonts w:hint="eastAsia" w:ascii="仿宋_GB2312" w:eastAsia="仿宋_GB2312"/>
          <w:sz w:val="28"/>
          <w:szCs w:val="28"/>
        </w:rPr>
        <w:t>不符合法律、法规和招标文件规定的其他实质性要求的。</w:t>
      </w:r>
    </w:p>
    <w:p>
      <w:pPr>
        <w:snapToGrid w:val="0"/>
        <w:spacing w:line="500" w:lineRule="exact"/>
        <w:rPr>
          <w:rFonts w:ascii="仿宋_GB2312" w:eastAsia="仿宋_GB2312"/>
          <w:sz w:val="28"/>
          <w:szCs w:val="28"/>
        </w:rPr>
      </w:pPr>
    </w:p>
    <w:p>
      <w:pPr>
        <w:numPr>
          <w:ilvl w:val="0"/>
          <w:numId w:val="14"/>
        </w:numPr>
        <w:snapToGrid w:val="0"/>
        <w:spacing w:beforeLines="50" w:afterLines="50" w:line="500" w:lineRule="exact"/>
        <w:rPr>
          <w:rFonts w:ascii="仿宋_GB2312" w:eastAsia="仿宋_GB2312"/>
          <w:b/>
          <w:sz w:val="28"/>
          <w:szCs w:val="28"/>
        </w:rPr>
      </w:pPr>
      <w:bookmarkStart w:id="18" w:name="_Toc359592368"/>
      <w:r>
        <w:rPr>
          <w:rFonts w:hint="eastAsia" w:ascii="仿宋_GB2312" w:hAnsi="宋体" w:eastAsia="仿宋_GB2312"/>
          <w:b/>
          <w:bCs/>
          <w:sz w:val="28"/>
          <w:szCs w:val="28"/>
        </w:rPr>
        <w:t>串通投标的情形</w:t>
      </w:r>
    </w:p>
    <w:p>
      <w:pPr>
        <w:numPr>
          <w:ilvl w:val="0"/>
          <w:numId w:val="19"/>
        </w:numPr>
        <w:snapToGrid w:val="0"/>
        <w:spacing w:beforeLines="50" w:afterLines="50" w:line="500" w:lineRule="exact"/>
        <w:rPr>
          <w:rFonts w:ascii="仿宋_GB2312" w:eastAsia="仿宋_GB2312"/>
          <w:sz w:val="28"/>
          <w:szCs w:val="28"/>
        </w:rPr>
      </w:pPr>
      <w:r>
        <w:rPr>
          <w:rFonts w:hint="eastAsia" w:ascii="仿宋_GB2312" w:hAnsi="宋体" w:eastAsia="仿宋_GB2312"/>
          <w:bCs/>
          <w:sz w:val="28"/>
          <w:szCs w:val="28"/>
        </w:rPr>
        <w:t>不同投标人的投标文件由同一单位或者个人编制；</w:t>
      </w:r>
    </w:p>
    <w:p>
      <w:pPr>
        <w:numPr>
          <w:ilvl w:val="0"/>
          <w:numId w:val="20"/>
        </w:numPr>
        <w:snapToGrid w:val="0"/>
        <w:spacing w:beforeLines="50" w:afterLines="50" w:line="500" w:lineRule="exact"/>
        <w:rPr>
          <w:rFonts w:ascii="仿宋_GB2312" w:eastAsia="仿宋_GB2312"/>
          <w:sz w:val="28"/>
          <w:szCs w:val="28"/>
        </w:rPr>
      </w:pPr>
      <w:r>
        <w:rPr>
          <w:rFonts w:hint="eastAsia" w:ascii="仿宋_GB2312" w:hAnsi="宋体" w:eastAsia="仿宋_GB2312"/>
          <w:bCs/>
          <w:sz w:val="28"/>
          <w:szCs w:val="28"/>
        </w:rPr>
        <w:t>不同投标人委托同一单位或者个人办理投标事宜；</w:t>
      </w:r>
    </w:p>
    <w:p>
      <w:pPr>
        <w:numPr>
          <w:ilvl w:val="0"/>
          <w:numId w:val="21"/>
        </w:numPr>
        <w:snapToGrid w:val="0"/>
        <w:spacing w:beforeLines="50" w:afterLines="50" w:line="500" w:lineRule="exact"/>
        <w:rPr>
          <w:rFonts w:ascii="仿宋_GB2312" w:eastAsia="仿宋_GB2312"/>
          <w:sz w:val="28"/>
          <w:szCs w:val="28"/>
        </w:rPr>
      </w:pPr>
      <w:r>
        <w:rPr>
          <w:rFonts w:hint="eastAsia" w:ascii="仿宋_GB2312" w:hAnsi="宋体" w:eastAsia="仿宋_GB2312"/>
          <w:bCs/>
          <w:sz w:val="28"/>
          <w:szCs w:val="28"/>
        </w:rPr>
        <w:t>不同投标人的投标文件载明的项目管理成员或者联系人员为同一人；</w:t>
      </w:r>
    </w:p>
    <w:p>
      <w:pPr>
        <w:numPr>
          <w:ilvl w:val="0"/>
          <w:numId w:val="22"/>
        </w:numPr>
        <w:snapToGrid w:val="0"/>
        <w:spacing w:beforeLines="50" w:afterLines="50" w:line="500" w:lineRule="exact"/>
        <w:rPr>
          <w:rFonts w:ascii="仿宋_GB2312" w:eastAsia="仿宋_GB2312"/>
          <w:sz w:val="28"/>
          <w:szCs w:val="28"/>
        </w:rPr>
      </w:pPr>
      <w:r>
        <w:rPr>
          <w:rFonts w:hint="eastAsia" w:ascii="仿宋_GB2312" w:hAnsi="宋体" w:eastAsia="仿宋_GB2312"/>
          <w:bCs/>
          <w:sz w:val="28"/>
          <w:szCs w:val="28"/>
        </w:rPr>
        <w:t>不同投标人的投标文件异常一致或者投标报价呈规律性差异；</w:t>
      </w:r>
    </w:p>
    <w:p>
      <w:pPr>
        <w:numPr>
          <w:ilvl w:val="0"/>
          <w:numId w:val="23"/>
        </w:numPr>
        <w:snapToGrid w:val="0"/>
        <w:spacing w:beforeLines="50" w:afterLines="50" w:line="500" w:lineRule="exact"/>
        <w:rPr>
          <w:rFonts w:ascii="仿宋_GB2312" w:eastAsia="仿宋_GB2312"/>
          <w:sz w:val="28"/>
          <w:szCs w:val="28"/>
        </w:rPr>
      </w:pPr>
      <w:r>
        <w:rPr>
          <w:rFonts w:hint="eastAsia" w:ascii="仿宋_GB2312" w:hAnsi="宋体" w:eastAsia="仿宋_GB2312"/>
          <w:bCs/>
          <w:sz w:val="28"/>
          <w:szCs w:val="28"/>
        </w:rPr>
        <w:t>不同投标人的投标文件相互混装；</w:t>
      </w:r>
    </w:p>
    <w:p>
      <w:pPr>
        <w:snapToGrid w:val="0"/>
        <w:spacing w:beforeLines="50" w:afterLines="50" w:line="500" w:lineRule="exact"/>
        <w:ind w:left="567"/>
        <w:rPr>
          <w:rFonts w:ascii="仿宋_GB2312" w:eastAsia="仿宋_GB2312"/>
          <w:b/>
          <w:sz w:val="28"/>
          <w:szCs w:val="28"/>
        </w:rPr>
      </w:pPr>
    </w:p>
    <w:p>
      <w:pPr>
        <w:numPr>
          <w:ilvl w:val="0"/>
          <w:numId w:val="14"/>
        </w:numPr>
        <w:snapToGrid w:val="0"/>
        <w:spacing w:beforeLines="50" w:afterLines="50" w:line="500" w:lineRule="exact"/>
        <w:rPr>
          <w:rFonts w:ascii="仿宋_GB2312" w:eastAsia="仿宋_GB2312"/>
          <w:b/>
          <w:sz w:val="28"/>
          <w:szCs w:val="28"/>
        </w:rPr>
      </w:pPr>
      <w:r>
        <w:rPr>
          <w:rFonts w:hint="eastAsia" w:ascii="仿宋_GB2312" w:eastAsia="仿宋_GB2312"/>
          <w:b/>
          <w:sz w:val="28"/>
          <w:szCs w:val="28"/>
        </w:rPr>
        <w:t>废标的情形</w:t>
      </w:r>
      <w:bookmarkEnd w:id="18"/>
    </w:p>
    <w:p>
      <w:pPr>
        <w:numPr>
          <w:ilvl w:val="1"/>
          <w:numId w:val="24"/>
        </w:numPr>
        <w:snapToGrid w:val="0"/>
        <w:spacing w:line="500" w:lineRule="exact"/>
        <w:rPr>
          <w:rFonts w:ascii="仿宋_GB2312" w:eastAsia="仿宋_GB2312"/>
          <w:sz w:val="28"/>
          <w:szCs w:val="28"/>
        </w:rPr>
      </w:pPr>
      <w:r>
        <w:rPr>
          <w:rFonts w:hint="eastAsia" w:ascii="仿宋_GB2312" w:eastAsia="仿宋_GB2312"/>
          <w:sz w:val="28"/>
          <w:szCs w:val="28"/>
        </w:rPr>
        <w:t>采购中，出现下列情形之一的，应予废标，废标后，采购人将废标理由通知所有投标人：</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符合专业条件的投标人或对招标文件作实质性响应的投标人不足三家的；</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出现影响采购公正的违法、违规行为的；</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投标人的报价均超过了采购预算（最高限价），采购人不能支付的；</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因重大变故，采购任务取消的；</w:t>
      </w:r>
    </w:p>
    <w:p>
      <w:pPr>
        <w:snapToGrid w:val="0"/>
        <w:spacing w:line="500" w:lineRule="exact"/>
        <w:rPr>
          <w:rFonts w:ascii="仿宋_GB2312" w:hAnsi="宋体" w:eastAsia="仿宋_GB2312"/>
          <w:bCs/>
          <w:sz w:val="28"/>
          <w:szCs w:val="28"/>
        </w:rPr>
      </w:pPr>
    </w:p>
    <w:p>
      <w:pPr>
        <w:numPr>
          <w:ilvl w:val="0"/>
          <w:numId w:val="14"/>
        </w:numPr>
        <w:snapToGrid w:val="0"/>
        <w:spacing w:beforeLines="50" w:afterLines="50" w:line="500" w:lineRule="exact"/>
        <w:rPr>
          <w:rFonts w:ascii="仿宋_GB2312" w:eastAsia="仿宋_GB2312"/>
          <w:b/>
          <w:sz w:val="28"/>
          <w:szCs w:val="28"/>
        </w:rPr>
      </w:pPr>
      <w:r>
        <w:rPr>
          <w:rFonts w:hint="eastAsia" w:ascii="仿宋_GB2312" w:eastAsia="仿宋_GB2312"/>
          <w:b/>
          <w:sz w:val="28"/>
          <w:szCs w:val="28"/>
        </w:rPr>
        <w:t>开标</w:t>
      </w:r>
      <w:bookmarkEnd w:id="17"/>
      <w:r>
        <w:rPr>
          <w:rFonts w:hint="eastAsia" w:ascii="仿宋_GB2312" w:eastAsia="仿宋_GB2312"/>
          <w:b/>
          <w:sz w:val="28"/>
          <w:szCs w:val="28"/>
        </w:rPr>
        <w:t>和评标</w:t>
      </w:r>
    </w:p>
    <w:p>
      <w:pPr>
        <w:numPr>
          <w:ilvl w:val="1"/>
          <w:numId w:val="24"/>
        </w:numPr>
        <w:snapToGrid w:val="0"/>
        <w:spacing w:line="500" w:lineRule="exact"/>
        <w:rPr>
          <w:rFonts w:ascii="仿宋_GB2312" w:eastAsia="仿宋_GB2312"/>
          <w:sz w:val="28"/>
          <w:szCs w:val="28"/>
        </w:rPr>
      </w:pPr>
      <w:r>
        <w:rPr>
          <w:rFonts w:hint="eastAsia" w:ascii="仿宋_GB2312" w:eastAsia="仿宋_GB2312"/>
          <w:sz w:val="28"/>
          <w:szCs w:val="28"/>
        </w:rPr>
        <w:t>开标</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招标人在规定的日期、时间和地点组织招标会。</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招标人按资格审查文件、技术商务文件、报价文件的顺序当众检验、拆封。</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由采购人代表评审资格审查文件，若资格审查不符合招标文件要求，即终止其参与投标资格，其技术商务和报价文件不予拆封。</w:t>
      </w:r>
    </w:p>
    <w:p>
      <w:pPr>
        <w:numPr>
          <w:ilvl w:val="1"/>
          <w:numId w:val="24"/>
        </w:numPr>
        <w:snapToGrid w:val="0"/>
        <w:spacing w:line="500" w:lineRule="exact"/>
        <w:rPr>
          <w:rFonts w:ascii="仿宋_GB2312" w:eastAsia="仿宋_GB2312"/>
          <w:sz w:val="28"/>
          <w:szCs w:val="28"/>
        </w:rPr>
      </w:pPr>
      <w:r>
        <w:rPr>
          <w:rFonts w:hint="eastAsia" w:ascii="仿宋_GB2312" w:eastAsia="仿宋_GB2312"/>
          <w:sz w:val="28"/>
          <w:szCs w:val="28"/>
        </w:rPr>
        <w:t>评标委员会</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采购代理机构和采购人将根据采购货物的特点组建评标委员会</w:t>
      </w:r>
      <w:r>
        <w:rPr>
          <w:rFonts w:ascii="仿宋_GB2312" w:eastAsia="仿宋_GB2312"/>
          <w:sz w:val="28"/>
          <w:szCs w:val="28"/>
        </w:rPr>
        <w:t>,</w:t>
      </w:r>
      <w:r>
        <w:rPr>
          <w:rFonts w:hint="eastAsia" w:ascii="仿宋_GB2312" w:eastAsia="仿宋_GB2312"/>
          <w:sz w:val="28"/>
          <w:szCs w:val="28"/>
        </w:rPr>
        <w:t>其成员由技术、经济等方面的专家和采购人代表组成。评标委员会对投标文件进行审查、询标、评议和推荐中标候选人。</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在评标期间,若有需要投标人应派代表参加询标。</w:t>
      </w:r>
    </w:p>
    <w:p>
      <w:pPr>
        <w:numPr>
          <w:ilvl w:val="1"/>
          <w:numId w:val="24"/>
        </w:numPr>
        <w:snapToGrid w:val="0"/>
        <w:spacing w:line="500" w:lineRule="exact"/>
        <w:rPr>
          <w:rFonts w:ascii="仿宋_GB2312" w:eastAsia="仿宋_GB2312"/>
          <w:sz w:val="28"/>
          <w:szCs w:val="28"/>
        </w:rPr>
      </w:pPr>
      <w:r>
        <w:rPr>
          <w:rFonts w:hint="eastAsia" w:ascii="仿宋_GB2312" w:eastAsia="仿宋_GB2312"/>
          <w:sz w:val="28"/>
          <w:szCs w:val="28"/>
        </w:rPr>
        <w:t>对投标文件的审查和响应性的确定</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评标委员会将审查投标文件是否真实、完整,总体编排是否有序,文件签署是否正确,有无计算上的错误等。</w:t>
      </w:r>
    </w:p>
    <w:p>
      <w:pPr>
        <w:numPr>
          <w:ilvl w:val="2"/>
          <w:numId w:val="24"/>
        </w:numPr>
        <w:snapToGrid w:val="0"/>
        <w:spacing w:line="500" w:lineRule="exact"/>
        <w:rPr>
          <w:rFonts w:ascii="仿宋_GB2312" w:eastAsia="仿宋_GB2312"/>
          <w:bCs/>
          <w:sz w:val="28"/>
          <w:szCs w:val="28"/>
        </w:rPr>
      </w:pPr>
      <w:r>
        <w:rPr>
          <w:rFonts w:hint="eastAsia" w:ascii="仿宋_GB2312" w:eastAsia="仿宋_GB2312"/>
          <w:sz w:val="28"/>
          <w:szCs w:val="28"/>
        </w:rPr>
        <w:t>算术错误将按以下方法更正:</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（1）开标时，投标文件中开标一览表（报价表）内容与投标文件中明细表内容不一致的，以开标一览表（报价表）为准；</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（2）投标文件的大写金额和小写金额不一致的，以大写金额为准；</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（3）单价金额小数点或百分比有明显错位的，以开标一览表的总价为准，并修改单价；</w:t>
      </w:r>
    </w:p>
    <w:p>
      <w:pPr>
        <w:snapToGrid w:val="0"/>
        <w:spacing w:line="500" w:lineRule="exact"/>
        <w:ind w:firstLine="560" w:firstLineChars="200"/>
        <w:rPr>
          <w:rFonts w:ascii="仿宋_GB2312" w:eastAsia="仿宋_GB2312"/>
          <w:bCs/>
          <w:sz w:val="28"/>
          <w:szCs w:val="28"/>
        </w:rPr>
      </w:pPr>
      <w:r>
        <w:rPr>
          <w:rFonts w:hint="eastAsia" w:ascii="仿宋_GB2312" w:eastAsia="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pPr>
        <w:numPr>
          <w:ilvl w:val="1"/>
          <w:numId w:val="24"/>
        </w:numPr>
        <w:snapToGrid w:val="0"/>
        <w:spacing w:line="500" w:lineRule="exact"/>
        <w:rPr>
          <w:rFonts w:ascii="仿宋_GB2312" w:eastAsia="仿宋_GB2312"/>
          <w:sz w:val="28"/>
          <w:szCs w:val="28"/>
        </w:rPr>
      </w:pPr>
      <w:r>
        <w:rPr>
          <w:rFonts w:hint="eastAsia" w:ascii="仿宋_GB2312" w:eastAsia="仿宋_GB2312"/>
          <w:bCs/>
          <w:sz w:val="28"/>
          <w:szCs w:val="28"/>
        </w:rPr>
        <w:t>评标</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 xml:space="preserve">评定原则：根据符合采购需求、质量和服务等要求，综合评分确定中标人。 </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评标报告：评标委员会完成评定后，向招标人提交经各评标委员会成员签字的评定结果报告，并按评定办法推荐中标候选人。</w:t>
      </w:r>
    </w:p>
    <w:p>
      <w:pPr>
        <w:numPr>
          <w:ilvl w:val="1"/>
          <w:numId w:val="24"/>
        </w:numPr>
        <w:snapToGrid w:val="0"/>
        <w:spacing w:line="500" w:lineRule="exact"/>
        <w:rPr>
          <w:rFonts w:ascii="仿宋_GB2312" w:eastAsia="仿宋_GB2312"/>
          <w:sz w:val="28"/>
          <w:szCs w:val="28"/>
        </w:rPr>
      </w:pPr>
      <w:r>
        <w:rPr>
          <w:rFonts w:hint="eastAsia" w:ascii="仿宋_GB2312" w:eastAsia="仿宋_GB2312"/>
          <w:sz w:val="28"/>
          <w:szCs w:val="28"/>
        </w:rPr>
        <w:t>保密</w:t>
      </w:r>
    </w:p>
    <w:p>
      <w:pPr>
        <w:numPr>
          <w:ilvl w:val="2"/>
          <w:numId w:val="24"/>
        </w:numPr>
        <w:snapToGrid w:val="0"/>
        <w:spacing w:line="500" w:lineRule="exact"/>
        <w:rPr>
          <w:rFonts w:ascii="仿宋_GB2312" w:eastAsia="仿宋_GB2312"/>
          <w:sz w:val="28"/>
          <w:szCs w:val="28"/>
        </w:rPr>
      </w:pPr>
      <w:bookmarkStart w:id="19" w:name="_Toc356371440"/>
      <w:r>
        <w:rPr>
          <w:rFonts w:hint="eastAsia" w:ascii="仿宋_GB2312" w:eastAsia="仿宋_GB2312"/>
          <w:bCs/>
          <w:sz w:val="28"/>
          <w:szCs w:val="28"/>
        </w:rPr>
        <w:t>开标后直到宣布授予中标人合同为止,凡属于审查、澄清、评估和比较投标的有关资料且与授予合同有关的信息都不得向任何投标人或与上述评标过程无关的人员透露。</w:t>
      </w:r>
    </w:p>
    <w:p>
      <w:pPr>
        <w:numPr>
          <w:ilvl w:val="2"/>
          <w:numId w:val="24"/>
        </w:numPr>
        <w:snapToGrid w:val="0"/>
        <w:spacing w:line="500" w:lineRule="exact"/>
        <w:rPr>
          <w:rFonts w:ascii="仿宋_GB2312" w:eastAsia="仿宋_GB2312"/>
          <w:sz w:val="24"/>
        </w:rPr>
      </w:pPr>
      <w:r>
        <w:rPr>
          <w:rFonts w:hint="eastAsia" w:ascii="仿宋_GB2312" w:eastAsia="仿宋_GB2312"/>
          <w:sz w:val="28"/>
          <w:szCs w:val="28"/>
        </w:rPr>
        <w:t>投标人对评标、比较或授予合同决定的过程施加影响的企图和行为,都可能导致其投标被拒绝</w:t>
      </w:r>
      <w:r>
        <w:rPr>
          <w:rFonts w:hint="eastAsia" w:ascii="仿宋_GB2312" w:eastAsia="仿宋_GB2312"/>
          <w:sz w:val="24"/>
        </w:rPr>
        <w:t>。</w:t>
      </w:r>
    </w:p>
    <w:p>
      <w:pPr>
        <w:snapToGrid w:val="0"/>
        <w:spacing w:line="500" w:lineRule="exact"/>
        <w:ind w:left="567"/>
        <w:rPr>
          <w:rFonts w:ascii="仿宋_GB2312" w:eastAsia="仿宋_GB2312"/>
          <w:sz w:val="24"/>
        </w:rPr>
      </w:pPr>
    </w:p>
    <w:p>
      <w:pPr>
        <w:numPr>
          <w:ilvl w:val="0"/>
          <w:numId w:val="14"/>
        </w:numPr>
        <w:snapToGrid w:val="0"/>
        <w:spacing w:beforeLines="50" w:afterLines="50" w:line="500" w:lineRule="exact"/>
        <w:rPr>
          <w:rFonts w:ascii="仿宋_GB2312" w:eastAsia="仿宋_GB2312"/>
          <w:b/>
          <w:sz w:val="28"/>
          <w:szCs w:val="28"/>
        </w:rPr>
      </w:pPr>
      <w:r>
        <w:rPr>
          <w:rFonts w:hint="eastAsia" w:ascii="仿宋_GB2312" w:eastAsia="仿宋_GB2312"/>
          <w:b/>
          <w:sz w:val="28"/>
          <w:szCs w:val="28"/>
        </w:rPr>
        <w:t>授予合同</w:t>
      </w:r>
      <w:bookmarkEnd w:id="19"/>
    </w:p>
    <w:p>
      <w:pPr>
        <w:numPr>
          <w:ilvl w:val="1"/>
          <w:numId w:val="24"/>
        </w:numPr>
        <w:snapToGrid w:val="0"/>
        <w:spacing w:line="500" w:lineRule="exact"/>
        <w:rPr>
          <w:rFonts w:ascii="仿宋_GB2312" w:eastAsia="仿宋_GB2312"/>
          <w:sz w:val="28"/>
          <w:szCs w:val="28"/>
        </w:rPr>
      </w:pPr>
      <w:r>
        <w:rPr>
          <w:rFonts w:hint="eastAsia" w:ascii="仿宋_GB2312" w:eastAsia="仿宋_GB2312"/>
          <w:sz w:val="28"/>
          <w:szCs w:val="28"/>
        </w:rPr>
        <w:t>中标通知和合同授予</w:t>
      </w:r>
    </w:p>
    <w:p>
      <w:pPr>
        <w:snapToGrid w:val="0"/>
        <w:spacing w:line="600" w:lineRule="exact"/>
        <w:ind w:firstLine="560" w:firstLineChars="200"/>
        <w:rPr>
          <w:rFonts w:ascii="仿宋_GB2312" w:eastAsia="仿宋_GB2312"/>
          <w:bCs/>
          <w:sz w:val="28"/>
          <w:szCs w:val="28"/>
        </w:rPr>
      </w:pPr>
      <w:r>
        <w:rPr>
          <w:rFonts w:hint="eastAsia" w:ascii="仿宋_GB2312" w:eastAsia="仿宋_GB2312"/>
          <w:sz w:val="28"/>
          <w:szCs w:val="28"/>
        </w:rPr>
        <w:t>评定结果经采购人确定后，衢州市衢江区政府采购中心在中标人确定之日起2个工作日内将以书面形式发出《中标通知书》。中标通知书于中标公告发布之日签发，中标人应于本公告发布之日起两个工作日内，凭法人（负责人）授权委托书及被授权人身份证原件至</w:t>
      </w:r>
      <w:r>
        <w:rPr>
          <w:rFonts w:hint="eastAsia" w:ascii="仿宋_GB2312" w:hAnsi="宋体" w:eastAsia="仿宋_GB2312"/>
          <w:sz w:val="28"/>
          <w:szCs w:val="28"/>
        </w:rPr>
        <w:t>衢江区政府采购中心领取中标通知书，逾期领取的后果自负。</w:t>
      </w:r>
      <w:r>
        <w:rPr>
          <w:rFonts w:hint="eastAsia" w:ascii="仿宋_GB2312" w:eastAsia="仿宋_GB2312"/>
          <w:sz w:val="28"/>
          <w:szCs w:val="28"/>
        </w:rPr>
        <w:t>中标人</w:t>
      </w:r>
      <w:r>
        <w:rPr>
          <w:rFonts w:hint="eastAsia" w:ascii="仿宋_GB2312" w:hAnsi="宋体" w:eastAsia="仿宋_GB2312"/>
          <w:sz w:val="28"/>
          <w:szCs w:val="28"/>
        </w:rPr>
        <w:t>与采购单位须按本公告发出两个工作日后的三十天内签订合同，并经衢州市衢江区政府采购中心 签证后生效。</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《中标通知书》一经发出即发生法律效力。招标人无义务向未中标人解释落选原因，不退回投标文件。《中标通知书》将作为签订合同的依据。</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履约保证金：中标人向采购人交纳中标金额5%的履约保证金。</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签订合同：中标人按《中标通知书》指定的时间、地点与采购人直接签订合同,并经衢州市衢江区政府采购中心 签证后生效。在有合理证据证明中标人在投标过程中承诺的内容不能实质响应的，采购人有权拒签合同。</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招标文件、澄清文件、投标文件等，均为签订合同的依据。中标人接到中标通知书后在规定的时间内与采购人签订合同，并交衢州市衢江区政府采购中心 鉴证。</w:t>
      </w:r>
    </w:p>
    <w:p>
      <w:pPr>
        <w:numPr>
          <w:ilvl w:val="2"/>
          <w:numId w:val="24"/>
        </w:numPr>
        <w:snapToGrid w:val="0"/>
        <w:spacing w:line="500" w:lineRule="exact"/>
        <w:rPr>
          <w:rFonts w:ascii="仿宋_GB2312" w:eastAsia="仿宋_GB2312"/>
          <w:sz w:val="28"/>
          <w:szCs w:val="28"/>
        </w:rPr>
      </w:pPr>
      <w:r>
        <w:rPr>
          <w:rFonts w:hint="eastAsia" w:ascii="仿宋_GB2312" w:eastAsia="仿宋_GB2312"/>
          <w:sz w:val="28"/>
          <w:szCs w:val="28"/>
        </w:rPr>
        <w:t>中标人不遵守投标文件的要约、承诺，擅自修改投标文件的内容或在接到中标通知书规定的时间内，借故拖延、拒签合同者，采购人将取消该投标人的中标资格。</w:t>
      </w:r>
    </w:p>
    <w:p>
      <w:pPr>
        <w:snapToGrid w:val="0"/>
        <w:spacing w:beforeLines="50" w:afterLines="50" w:line="500" w:lineRule="exact"/>
        <w:rPr>
          <w:rFonts w:ascii="仿宋_GB2312" w:eastAsia="仿宋_GB2312"/>
          <w:sz w:val="28"/>
          <w:szCs w:val="28"/>
        </w:rPr>
      </w:pPr>
    </w:p>
    <w:p>
      <w:pPr>
        <w:numPr>
          <w:ilvl w:val="0"/>
          <w:numId w:val="14"/>
        </w:numPr>
        <w:snapToGrid w:val="0"/>
        <w:spacing w:beforeLines="50" w:afterLines="50" w:line="500" w:lineRule="exact"/>
        <w:rPr>
          <w:rFonts w:ascii="仿宋_GB2312" w:eastAsia="仿宋_GB2312"/>
          <w:b/>
          <w:sz w:val="28"/>
          <w:szCs w:val="28"/>
        </w:rPr>
      </w:pPr>
      <w:bookmarkStart w:id="20" w:name="_Toc356371441"/>
      <w:r>
        <w:rPr>
          <w:rFonts w:hint="eastAsia" w:ascii="仿宋_GB2312" w:hAnsi="宋体" w:eastAsia="仿宋_GB2312"/>
          <w:b/>
          <w:sz w:val="28"/>
          <w:szCs w:val="28"/>
        </w:rPr>
        <w:t>质疑与投诉</w:t>
      </w:r>
    </w:p>
    <w:p>
      <w:pPr>
        <w:snapToGrid w:val="0"/>
        <w:spacing w:beforeLines="50" w:afterLines="50" w:line="500" w:lineRule="exact"/>
        <w:ind w:firstLine="560" w:firstLineChars="200"/>
        <w:rPr>
          <w:rFonts w:ascii="仿宋_GB2312" w:hAnsi="宋体" w:eastAsia="仿宋_GB2312"/>
          <w:sz w:val="28"/>
          <w:szCs w:val="28"/>
          <w:lang w:val="zh-CN"/>
        </w:rPr>
      </w:pPr>
      <w:r>
        <w:rPr>
          <w:rFonts w:hint="eastAsia" w:ascii="仿宋_GB2312" w:hAnsi="宋体" w:eastAsia="仿宋_GB2312"/>
          <w:sz w:val="28"/>
          <w:szCs w:val="28"/>
          <w:lang w:val="zh-CN"/>
        </w:rPr>
        <w:t>根据《中华人民共和国政府采购法》、《中华人民共和国政府采购法实施条例》、</w:t>
      </w:r>
      <w:r>
        <w:rPr>
          <w:rFonts w:hint="eastAsia" w:ascii="仿宋_GB2312" w:hAnsi="微软雅黑" w:eastAsia="仿宋_GB2312"/>
          <w:sz w:val="28"/>
          <w:szCs w:val="28"/>
          <w:shd w:val="clear" w:color="auto" w:fill="FFFFFF"/>
        </w:rPr>
        <w:t>《政府采购质疑和投诉办法》</w:t>
      </w:r>
      <w:r>
        <w:rPr>
          <w:rFonts w:hint="eastAsia" w:ascii="仿宋_GB2312" w:hAnsi="宋体" w:eastAsia="仿宋_GB2312"/>
          <w:sz w:val="28"/>
          <w:szCs w:val="28"/>
          <w:lang w:val="zh-CN"/>
        </w:rPr>
        <w:t>(</w:t>
      </w:r>
      <w:r>
        <w:rPr>
          <w:rStyle w:val="64"/>
          <w:rFonts w:hint="eastAsia" w:ascii="仿宋_GB2312" w:hAnsi="微软雅黑" w:eastAsia="仿宋_GB2312"/>
          <w:sz w:val="28"/>
          <w:szCs w:val="28"/>
          <w:shd w:val="clear" w:color="auto" w:fill="FFFFFF"/>
        </w:rPr>
        <w:t>财政部令第94号</w:t>
      </w:r>
      <w:r>
        <w:rPr>
          <w:rFonts w:hint="eastAsia" w:ascii="仿宋_GB2312" w:hAnsi="宋体" w:eastAsia="仿宋_GB2312"/>
          <w:sz w:val="28"/>
          <w:szCs w:val="28"/>
          <w:lang w:val="zh-CN"/>
        </w:rPr>
        <w:t>)，政府采购供应商可以依法提起质疑和投诉。</w:t>
      </w:r>
    </w:p>
    <w:p>
      <w:pPr>
        <w:numPr>
          <w:ilvl w:val="1"/>
          <w:numId w:val="25"/>
        </w:numPr>
        <w:snapToGrid w:val="0"/>
        <w:spacing w:beforeLines="50" w:afterLines="50" w:line="500" w:lineRule="exact"/>
        <w:rPr>
          <w:rFonts w:ascii="仿宋_GB2312" w:eastAsia="仿宋_GB2312"/>
          <w:sz w:val="28"/>
          <w:szCs w:val="28"/>
        </w:rPr>
      </w:pPr>
      <w:r>
        <w:rPr>
          <w:rFonts w:hint="eastAsia" w:ascii="仿宋_GB2312" w:hAnsi="宋体" w:eastAsia="仿宋_GB2312"/>
          <w:b/>
          <w:sz w:val="28"/>
          <w:szCs w:val="28"/>
        </w:rPr>
        <w:t>供应商质疑</w:t>
      </w:r>
    </w:p>
    <w:p>
      <w:pPr>
        <w:numPr>
          <w:ilvl w:val="2"/>
          <w:numId w:val="25"/>
        </w:numPr>
        <w:snapToGrid w:val="0"/>
        <w:spacing w:line="500" w:lineRule="exact"/>
        <w:rPr>
          <w:rFonts w:ascii="仿宋_GB2312" w:eastAsia="仿宋_GB2312"/>
          <w:bCs/>
          <w:sz w:val="28"/>
          <w:szCs w:val="28"/>
        </w:rPr>
      </w:pPr>
      <w:r>
        <w:rPr>
          <w:rFonts w:hint="eastAsia" w:ascii="仿宋_GB2312" w:hAnsi="宋体" w:eastAsia="仿宋_GB2312"/>
          <w:bCs/>
          <w:sz w:val="28"/>
          <w:szCs w:val="28"/>
        </w:rPr>
        <w:t>供应商认为招标文件、采购过程和中标、成交结果使自己的权益受到损害的，可以在知道或者应知其权益受到损害之日起七个工作日内，以书面形式向采购机构提出质疑。</w:t>
      </w:r>
    </w:p>
    <w:p>
      <w:pPr>
        <w:snapToGrid w:val="0"/>
        <w:spacing w:beforeLines="50" w:afterLines="50" w:line="500" w:lineRule="exact"/>
        <w:ind w:left="567"/>
        <w:rPr>
          <w:rFonts w:ascii="仿宋_GB2312" w:hAnsi="宋体" w:eastAsia="仿宋_GB2312"/>
          <w:bCs/>
          <w:sz w:val="28"/>
          <w:szCs w:val="28"/>
        </w:rPr>
      </w:pPr>
      <w:r>
        <w:rPr>
          <w:rFonts w:hint="eastAsia" w:ascii="仿宋_GB2312" w:hAnsi="宋体" w:eastAsia="仿宋_GB2312"/>
          <w:bCs/>
          <w:sz w:val="28"/>
          <w:szCs w:val="28"/>
        </w:rPr>
        <w:t>政府采购法第五十二条规定的供应商应知其权益受到损害之日，是指：</w:t>
      </w:r>
    </w:p>
    <w:p>
      <w:pPr>
        <w:snapToGrid w:val="0"/>
        <w:spacing w:beforeLines="5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（1）对采购文件提出质疑的，应当在获取采购文件或者采购文件公告期限届满之日起7个工作日内提出。</w:t>
      </w:r>
    </w:p>
    <w:p>
      <w:pPr>
        <w:snapToGrid w:val="0"/>
        <w:spacing w:beforeLines="50" w:afterLines="50" w:line="5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（2）对采购过程提出质疑的，为各采购程序环节结束之日；</w:t>
      </w:r>
    </w:p>
    <w:p>
      <w:pPr>
        <w:snapToGrid w:val="0"/>
        <w:spacing w:beforeLines="50" w:afterLines="50" w:line="500" w:lineRule="exact"/>
        <w:ind w:firstLine="560" w:firstLineChars="200"/>
        <w:rPr>
          <w:rFonts w:ascii="仿宋_GB2312" w:eastAsia="仿宋_GB2312"/>
          <w:sz w:val="28"/>
          <w:szCs w:val="28"/>
        </w:rPr>
      </w:pPr>
      <w:r>
        <w:rPr>
          <w:rFonts w:hint="eastAsia" w:ascii="仿宋_GB2312" w:hAnsi="宋体" w:eastAsia="仿宋_GB2312"/>
          <w:bCs/>
          <w:sz w:val="28"/>
          <w:szCs w:val="28"/>
        </w:rPr>
        <w:t>（3）对中标结果提出质疑的，为中标结果公告期限届满之日。</w:t>
      </w:r>
    </w:p>
    <w:p>
      <w:pPr>
        <w:numPr>
          <w:ilvl w:val="2"/>
          <w:numId w:val="26"/>
        </w:numPr>
        <w:wordWrap w:val="0"/>
        <w:snapToGrid w:val="0"/>
        <w:spacing w:beforeLines="50" w:afterLines="50" w:line="500" w:lineRule="exact"/>
        <w:rPr>
          <w:rFonts w:ascii="仿宋_GB2312" w:eastAsia="仿宋_GB2312"/>
          <w:sz w:val="28"/>
          <w:szCs w:val="28"/>
        </w:rPr>
      </w:pPr>
      <w:r>
        <w:rPr>
          <w:rFonts w:hint="eastAsia" w:ascii="仿宋_GB2312" w:hAnsi="宋体" w:eastAsia="仿宋_GB2312"/>
          <w:bCs/>
          <w:sz w:val="28"/>
          <w:szCs w:val="28"/>
        </w:rPr>
        <w:t>供应商质疑应当有明确的请求和必要的证明材料。供应商提交的质疑书需一式三份，由法定代表人</w:t>
      </w:r>
      <w:r>
        <w:rPr>
          <w:rFonts w:hint="eastAsia" w:ascii="仿宋_GB2312" w:hAnsi="宋体" w:eastAsia="仿宋_GB2312"/>
          <w:sz w:val="28"/>
          <w:szCs w:val="28"/>
        </w:rPr>
        <w:t>（负责人）</w:t>
      </w:r>
      <w:r>
        <w:rPr>
          <w:rFonts w:hint="eastAsia" w:ascii="仿宋_GB2312" w:hAnsi="宋体" w:eastAsia="仿宋_GB2312"/>
          <w:bCs/>
          <w:sz w:val="28"/>
          <w:szCs w:val="28"/>
        </w:rPr>
        <w:t xml:space="preserve">签字（或盖章）并加盖单位公章。质疑书格式范本详见 </w:t>
      </w:r>
      <w:r>
        <w:rPr>
          <w:rFonts w:ascii="仿宋_GB2312" w:hAnsi="宋体" w:eastAsia="仿宋_GB2312"/>
          <w:bCs/>
          <w:sz w:val="28"/>
          <w:szCs w:val="28"/>
          <w:u w:val="single"/>
        </w:rPr>
        <w:t>http://www.qzggzy.com/zwgk/004003/004003003/20180209/e5393fa3-0afe-40b9-9b38-ba76c4c906be.html</w:t>
      </w:r>
      <w:r>
        <w:rPr>
          <w:rFonts w:ascii="仿宋_GB2312" w:hAnsi="宋体" w:eastAsia="仿宋_GB2312"/>
          <w:bCs/>
          <w:sz w:val="28"/>
          <w:szCs w:val="28"/>
        </w:rPr>
        <w:t>。</w:t>
      </w:r>
    </w:p>
    <w:p>
      <w:pPr>
        <w:numPr>
          <w:ilvl w:val="2"/>
          <w:numId w:val="26"/>
        </w:numPr>
        <w:wordWrap w:val="0"/>
        <w:snapToGrid w:val="0"/>
        <w:spacing w:beforeLines="50" w:afterLines="50" w:line="500" w:lineRule="exact"/>
        <w:rPr>
          <w:rFonts w:ascii="仿宋_GB2312" w:eastAsia="仿宋_GB2312"/>
          <w:sz w:val="28"/>
          <w:szCs w:val="28"/>
        </w:rPr>
      </w:pPr>
      <w:r>
        <w:rPr>
          <w:rFonts w:hint="eastAsia" w:ascii="仿宋_GB2312" w:hAnsi="宋体" w:eastAsia="仿宋_GB2312"/>
          <w:sz w:val="28"/>
          <w:szCs w:val="28"/>
        </w:rPr>
        <w:t>采购机构应当在收到供应商的书面质疑后七个工作日内作出答复，并以书面形式通知质疑供应商和其他与质疑处理结果有利害关系的政府采购当事人，但答复的内容不得涉及商业秘密。</w:t>
      </w:r>
    </w:p>
    <w:p>
      <w:pPr>
        <w:numPr>
          <w:ilvl w:val="1"/>
          <w:numId w:val="26"/>
        </w:numPr>
        <w:snapToGrid w:val="0"/>
        <w:spacing w:beforeLines="50" w:afterLines="50" w:line="500" w:lineRule="exact"/>
        <w:rPr>
          <w:rFonts w:ascii="仿宋_GB2312" w:eastAsia="仿宋_GB2312"/>
          <w:sz w:val="28"/>
          <w:szCs w:val="28"/>
        </w:rPr>
      </w:pPr>
      <w:r>
        <w:rPr>
          <w:rFonts w:hint="eastAsia" w:ascii="仿宋_GB2312" w:hAnsi="宋体" w:eastAsia="仿宋_GB2312"/>
          <w:b/>
          <w:sz w:val="28"/>
          <w:szCs w:val="28"/>
        </w:rPr>
        <w:t>供应商投诉</w:t>
      </w:r>
    </w:p>
    <w:p>
      <w:pPr>
        <w:snapToGrid w:val="0"/>
        <w:spacing w:beforeLines="50" w:afterLines="50"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质疑供应商对采购机构的答复不满意或者采购机构未在规定的时间内作出答复的，可以在答复期满后十五个工作日内向</w:t>
      </w:r>
      <w:r>
        <w:rPr>
          <w:rFonts w:hint="eastAsia" w:ascii="仿宋_GB2312" w:hAnsi="宋体" w:eastAsia="仿宋_GB2312"/>
          <w:bCs/>
          <w:sz w:val="28"/>
          <w:szCs w:val="28"/>
        </w:rPr>
        <w:t>同级政府采购监督管理部门</w:t>
      </w:r>
      <w:r>
        <w:rPr>
          <w:rFonts w:hint="eastAsia" w:ascii="仿宋_GB2312" w:hAnsi="宋体" w:eastAsia="仿宋_GB2312"/>
          <w:sz w:val="28"/>
          <w:szCs w:val="28"/>
        </w:rPr>
        <w:t>提出投诉。</w:t>
      </w:r>
    </w:p>
    <w:p>
      <w:pPr>
        <w:snapToGrid w:val="0"/>
        <w:spacing w:beforeLines="50" w:afterLines="50" w:line="500" w:lineRule="exact"/>
        <w:ind w:firstLine="562" w:firstLineChars="200"/>
        <w:rPr>
          <w:rFonts w:ascii="仿宋_GB2312" w:eastAsia="仿宋_GB2312"/>
          <w:b/>
          <w:sz w:val="28"/>
          <w:szCs w:val="28"/>
        </w:rPr>
      </w:pPr>
    </w:p>
    <w:p>
      <w:pPr>
        <w:numPr>
          <w:ilvl w:val="0"/>
          <w:numId w:val="14"/>
        </w:numPr>
        <w:snapToGrid w:val="0"/>
        <w:spacing w:beforeLines="50" w:afterLines="50" w:line="500" w:lineRule="exact"/>
        <w:rPr>
          <w:rFonts w:ascii="仿宋_GB2312" w:eastAsia="仿宋_GB2312"/>
          <w:b/>
          <w:sz w:val="28"/>
          <w:szCs w:val="28"/>
        </w:rPr>
      </w:pPr>
      <w:r>
        <w:rPr>
          <w:rFonts w:hint="eastAsia" w:ascii="仿宋_GB2312" w:eastAsia="仿宋_GB2312"/>
          <w:b/>
          <w:sz w:val="28"/>
          <w:szCs w:val="28"/>
        </w:rPr>
        <w:t>法律责任</w:t>
      </w:r>
      <w:bookmarkEnd w:id="20"/>
    </w:p>
    <w:p>
      <w:pPr>
        <w:numPr>
          <w:ilvl w:val="1"/>
          <w:numId w:val="27"/>
        </w:numPr>
        <w:snapToGrid w:val="0"/>
        <w:spacing w:line="500" w:lineRule="exact"/>
        <w:rPr>
          <w:rFonts w:ascii="仿宋_GB2312" w:eastAsia="仿宋_GB2312"/>
          <w:sz w:val="28"/>
          <w:szCs w:val="28"/>
        </w:rPr>
      </w:pPr>
      <w:r>
        <w:rPr>
          <w:rFonts w:hint="eastAsia" w:ascii="仿宋_GB2312" w:eastAsia="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27"/>
        </w:numPr>
        <w:snapToGrid w:val="0"/>
        <w:spacing w:line="500" w:lineRule="exact"/>
        <w:rPr>
          <w:rFonts w:ascii="仿宋_GB2312" w:eastAsia="仿宋_GB2312"/>
          <w:sz w:val="28"/>
          <w:szCs w:val="28"/>
        </w:rPr>
      </w:pPr>
      <w:r>
        <w:rPr>
          <w:rFonts w:hint="eastAsia" w:ascii="仿宋_GB2312" w:eastAsia="仿宋_GB2312"/>
          <w:sz w:val="28"/>
          <w:szCs w:val="28"/>
        </w:rPr>
        <w:t>提供虚假材料谋取中标的;</w:t>
      </w:r>
    </w:p>
    <w:p>
      <w:pPr>
        <w:numPr>
          <w:ilvl w:val="2"/>
          <w:numId w:val="27"/>
        </w:numPr>
        <w:snapToGrid w:val="0"/>
        <w:spacing w:line="500" w:lineRule="exact"/>
        <w:rPr>
          <w:rFonts w:ascii="仿宋_GB2312" w:eastAsia="仿宋_GB2312"/>
          <w:sz w:val="28"/>
          <w:szCs w:val="28"/>
        </w:rPr>
      </w:pPr>
      <w:r>
        <w:rPr>
          <w:rFonts w:hint="eastAsia" w:ascii="仿宋_GB2312" w:eastAsia="仿宋_GB2312"/>
          <w:sz w:val="28"/>
          <w:szCs w:val="28"/>
        </w:rPr>
        <w:t>采取不正当手段诋毁、排挤其他投标人的;</w:t>
      </w:r>
    </w:p>
    <w:p>
      <w:pPr>
        <w:numPr>
          <w:ilvl w:val="2"/>
          <w:numId w:val="27"/>
        </w:numPr>
        <w:snapToGrid w:val="0"/>
        <w:spacing w:line="500" w:lineRule="exact"/>
        <w:rPr>
          <w:rFonts w:ascii="仿宋_GB2312" w:eastAsia="仿宋_GB2312"/>
          <w:sz w:val="28"/>
          <w:szCs w:val="28"/>
        </w:rPr>
      </w:pPr>
      <w:r>
        <w:rPr>
          <w:rFonts w:hint="eastAsia" w:ascii="仿宋_GB2312" w:eastAsia="仿宋_GB2312"/>
          <w:sz w:val="28"/>
          <w:szCs w:val="28"/>
        </w:rPr>
        <w:t>与采购人、采购代理机构、其他投标人恶意串通的;</w:t>
      </w:r>
    </w:p>
    <w:p>
      <w:pPr>
        <w:numPr>
          <w:ilvl w:val="2"/>
          <w:numId w:val="27"/>
        </w:numPr>
        <w:snapToGrid w:val="0"/>
        <w:spacing w:line="500" w:lineRule="exact"/>
        <w:rPr>
          <w:rFonts w:ascii="仿宋_GB2312" w:eastAsia="仿宋_GB2312"/>
          <w:sz w:val="28"/>
          <w:szCs w:val="28"/>
        </w:rPr>
      </w:pPr>
      <w:r>
        <w:rPr>
          <w:rFonts w:hint="eastAsia" w:ascii="仿宋_GB2312" w:eastAsia="仿宋_GB2312"/>
          <w:sz w:val="28"/>
          <w:szCs w:val="28"/>
        </w:rPr>
        <w:t>向采购人、采购代理机构行贿或者提供其他不正当利益的;</w:t>
      </w:r>
    </w:p>
    <w:p>
      <w:pPr>
        <w:numPr>
          <w:ilvl w:val="2"/>
          <w:numId w:val="27"/>
        </w:numPr>
        <w:snapToGrid w:val="0"/>
        <w:spacing w:line="500" w:lineRule="exact"/>
        <w:rPr>
          <w:rFonts w:ascii="仿宋_GB2312" w:eastAsia="仿宋_GB2312"/>
          <w:sz w:val="28"/>
          <w:szCs w:val="28"/>
        </w:rPr>
      </w:pPr>
      <w:r>
        <w:rPr>
          <w:rFonts w:hint="eastAsia" w:ascii="仿宋_GB2312" w:eastAsia="仿宋_GB2312"/>
          <w:sz w:val="28"/>
          <w:szCs w:val="28"/>
        </w:rPr>
        <w:t>在招标过程中与采购人进行协商谈判、不按照招标文件和中标人的投标文件订立合同,或者与采购人另行订立背离合同实质性内容的协议的;</w:t>
      </w:r>
    </w:p>
    <w:p>
      <w:pPr>
        <w:numPr>
          <w:ilvl w:val="2"/>
          <w:numId w:val="27"/>
        </w:numPr>
        <w:snapToGrid w:val="0"/>
        <w:spacing w:line="500" w:lineRule="exact"/>
        <w:rPr>
          <w:rFonts w:ascii="仿宋_GB2312" w:eastAsia="仿宋_GB2312"/>
          <w:sz w:val="28"/>
          <w:szCs w:val="28"/>
        </w:rPr>
      </w:pPr>
      <w:r>
        <w:rPr>
          <w:rFonts w:hint="eastAsia" w:ascii="仿宋_GB2312" w:eastAsia="仿宋_GB2312"/>
          <w:sz w:val="28"/>
          <w:szCs w:val="28"/>
        </w:rPr>
        <w:t>拒绝有关部门监督检查或者提供虚假情况的；</w:t>
      </w:r>
    </w:p>
    <w:p>
      <w:pPr>
        <w:numPr>
          <w:ilvl w:val="0"/>
          <w:numId w:val="14"/>
        </w:numPr>
        <w:snapToGrid w:val="0"/>
        <w:spacing w:beforeLines="50" w:afterLines="50" w:line="500" w:lineRule="exact"/>
        <w:rPr>
          <w:rFonts w:ascii="仿宋_GB2312" w:eastAsia="仿宋_GB2312"/>
          <w:b/>
          <w:sz w:val="28"/>
          <w:szCs w:val="28"/>
        </w:rPr>
      </w:pPr>
      <w:bookmarkStart w:id="21" w:name="_Toc356371442"/>
      <w:r>
        <w:rPr>
          <w:rFonts w:hint="eastAsia" w:ascii="仿宋_GB2312" w:eastAsia="仿宋_GB2312"/>
          <w:b/>
          <w:sz w:val="28"/>
          <w:szCs w:val="28"/>
        </w:rPr>
        <w:t>其他</w:t>
      </w:r>
      <w:bookmarkEnd w:id="21"/>
    </w:p>
    <w:p>
      <w:pPr>
        <w:numPr>
          <w:ilvl w:val="1"/>
          <w:numId w:val="27"/>
        </w:numPr>
        <w:snapToGrid w:val="0"/>
        <w:spacing w:line="500" w:lineRule="exact"/>
        <w:rPr>
          <w:rFonts w:ascii="仿宋_GB2312" w:eastAsia="仿宋_GB2312"/>
          <w:sz w:val="28"/>
          <w:szCs w:val="28"/>
        </w:rPr>
      </w:pPr>
      <w:r>
        <w:rPr>
          <w:rFonts w:hint="eastAsia" w:ascii="仿宋_GB2312" w:eastAsia="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招标人。</w:t>
      </w:r>
    </w:p>
    <w:p>
      <w:pPr>
        <w:numPr>
          <w:ilvl w:val="1"/>
          <w:numId w:val="27"/>
        </w:numPr>
        <w:snapToGrid w:val="0"/>
        <w:spacing w:line="500" w:lineRule="exact"/>
        <w:rPr>
          <w:rFonts w:ascii="仿宋_GB2312" w:eastAsia="仿宋_GB2312"/>
          <w:sz w:val="28"/>
          <w:szCs w:val="28"/>
        </w:rPr>
      </w:pPr>
      <w:r>
        <w:rPr>
          <w:rFonts w:hint="eastAsia" w:ascii="仿宋_GB2312" w:eastAsia="仿宋_GB2312"/>
          <w:sz w:val="28"/>
          <w:szCs w:val="28"/>
        </w:rPr>
        <w:t>联系方式：所有与招标有关的函电请按下面联系</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通讯地址：衢州市衢江区公共资源交易中心（衢州市衢江区振兴东路268号六楼611室）    邮编：324000</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项目联系人：邵先生</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答疑咨询电话：0570-3838411</w:t>
      </w:r>
    </w:p>
    <w:p>
      <w:pPr>
        <w:spacing w:line="540" w:lineRule="exact"/>
        <w:ind w:firstLine="560" w:firstLineChars="200"/>
        <w:jc w:val="center"/>
        <w:outlineLvl w:val="0"/>
        <w:rPr>
          <w:rFonts w:ascii="仿宋_GB2312" w:eastAsia="仿宋_GB2312"/>
          <w:sz w:val="28"/>
          <w:szCs w:val="28"/>
        </w:rPr>
        <w:sectPr>
          <w:headerReference r:id="rId5" w:type="default"/>
          <w:footerReference r:id="rId6" w:type="default"/>
          <w:pgSz w:w="11906" w:h="16838"/>
          <w:pgMar w:top="1389" w:right="1247" w:bottom="1389" w:left="1247" w:header="851" w:footer="992" w:gutter="284"/>
          <w:cols w:space="720" w:num="1"/>
          <w:docGrid w:linePitch="312" w:charSpace="0"/>
        </w:sectPr>
      </w:pPr>
    </w:p>
    <w:p>
      <w:pPr>
        <w:spacing w:line="540" w:lineRule="exact"/>
        <w:jc w:val="center"/>
        <w:outlineLvl w:val="0"/>
        <w:rPr>
          <w:rFonts w:ascii="仿宋_GB2312" w:hAnsi="宋体" w:eastAsia="仿宋_GB2312" w:cs="宋体"/>
          <w:b/>
          <w:sz w:val="32"/>
          <w:szCs w:val="32"/>
        </w:rPr>
      </w:pPr>
      <w:bookmarkStart w:id="22" w:name="_Toc18929"/>
      <w:bookmarkStart w:id="23" w:name="_Toc354401531"/>
      <w:bookmarkStart w:id="24" w:name="_Toc322352983"/>
      <w:bookmarkStart w:id="25" w:name="_Toc350256314"/>
      <w:r>
        <w:rPr>
          <w:rFonts w:hint="eastAsia" w:ascii="仿宋_GB2312" w:hAnsi="宋体" w:eastAsia="仿宋_GB2312" w:cs="宋体"/>
          <w:b/>
          <w:sz w:val="32"/>
          <w:szCs w:val="32"/>
        </w:rPr>
        <w:t>第三章  采购内容及要求</w:t>
      </w:r>
      <w:bookmarkEnd w:id="22"/>
      <w:bookmarkEnd w:id="23"/>
      <w:bookmarkEnd w:id="24"/>
      <w:bookmarkEnd w:id="25"/>
    </w:p>
    <w:p>
      <w:pPr>
        <w:pStyle w:val="290"/>
        <w:spacing w:beforeLines="50"/>
        <w:ind w:left="0" w:firstLine="422"/>
        <w:rPr>
          <w:rFonts w:ascii="宋体" w:hAnsi="宋体" w:cs="宋体"/>
          <w:sz w:val="21"/>
          <w:szCs w:val="21"/>
        </w:rPr>
      </w:pPr>
      <w:bookmarkStart w:id="26" w:name="_Toc354401534"/>
      <w:bookmarkStart w:id="27" w:name="_Toc322352984"/>
      <w:bookmarkStart w:id="28" w:name="_Toc350256315"/>
      <w:r>
        <w:rPr>
          <w:rFonts w:hint="eastAsia" w:ascii="宋体" w:hAnsi="宋体" w:cs="宋体"/>
          <w:b/>
          <w:sz w:val="21"/>
          <w:szCs w:val="21"/>
        </w:rPr>
        <w:t>一、项目总则</w:t>
      </w:r>
    </w:p>
    <w:p>
      <w:pPr>
        <w:pStyle w:val="290"/>
        <w:spacing w:beforeLines="50"/>
        <w:ind w:left="0"/>
        <w:rPr>
          <w:rFonts w:ascii="宋体" w:hAnsi="宋体" w:cs="宋体"/>
          <w:sz w:val="21"/>
          <w:szCs w:val="21"/>
        </w:rPr>
      </w:pPr>
      <w:r>
        <w:rPr>
          <w:rFonts w:hint="eastAsia" w:ascii="宋体" w:hAnsi="宋体" w:cs="宋体"/>
          <w:sz w:val="21"/>
          <w:szCs w:val="21"/>
        </w:rPr>
        <w:t>网络部分总体要求，万兆到校，千兆到桌面，楼宇间光纤连接，室内走桥架，有线网接口固定到墙面模块</w:t>
      </w:r>
      <w:r>
        <w:rPr>
          <w:rFonts w:ascii="宋体" w:hAnsi="宋体" w:cs="宋体"/>
          <w:sz w:val="21"/>
          <w:szCs w:val="21"/>
          <w:lang w:val="en-GB"/>
        </w:rPr>
        <w:t>,</w:t>
      </w:r>
      <w:r>
        <w:rPr>
          <w:rFonts w:hint="eastAsia" w:ascii="宋体" w:hAnsi="宋体" w:cs="宋体"/>
          <w:sz w:val="21"/>
          <w:szCs w:val="21"/>
        </w:rPr>
        <w:t>连接桌面终端。</w:t>
      </w:r>
      <w:r>
        <w:rPr>
          <w:rFonts w:hint="eastAsia" w:ascii="宋体" w:hAnsi="宋体" w:cs="宋体"/>
          <w:sz w:val="21"/>
          <w:szCs w:val="21"/>
          <w:lang w:val="en-GB"/>
        </w:rPr>
        <w:t>有线信息点点位密度普通教室2个，专用教室2个，教师办公室（含行政办公 室）1个</w:t>
      </w:r>
      <w:r>
        <w:rPr>
          <w:rFonts w:hint="eastAsia" w:ascii="宋体" w:hAnsi="宋体" w:cs="宋体"/>
          <w:sz w:val="21"/>
          <w:szCs w:val="21"/>
        </w:rPr>
        <w:t>无线普通AP安装建筑物走廊，每两个教室1AP（含专用教室），教师办公室安装面板AP。整个城域网连通互联网，浙江省教育专网，衢江区电子政务外网。</w:t>
      </w:r>
      <w:r>
        <w:rPr>
          <w:rFonts w:hint="eastAsia" w:ascii="宋体" w:hAnsi="宋体" w:cs="宋体"/>
          <w:sz w:val="21"/>
          <w:szCs w:val="21"/>
          <w:lang w:val="en-GB"/>
        </w:rPr>
        <w:t>学校核心交换机，楼宇接入层交换机应依照场地配备交换机机柜。</w:t>
      </w:r>
    </w:p>
    <w:p>
      <w:pPr>
        <w:pStyle w:val="290"/>
        <w:spacing w:beforeLines="50"/>
        <w:ind w:left="0"/>
        <w:rPr>
          <w:rFonts w:ascii="宋体" w:hAnsi="宋体" w:cs="宋体"/>
          <w:sz w:val="21"/>
          <w:szCs w:val="21"/>
        </w:rPr>
      </w:pPr>
      <w:r>
        <w:rPr>
          <w:rFonts w:hint="eastAsia" w:ascii="宋体" w:hAnsi="宋体" w:cs="宋体"/>
          <w:sz w:val="21"/>
          <w:szCs w:val="21"/>
        </w:rPr>
        <w:t>视频监控总体要求平台要求能够接入省公安平台。两级储存，学校录像机存本校视频一个月，云平台存全区所有学校视频一个月。</w:t>
      </w:r>
    </w:p>
    <w:p>
      <w:pPr>
        <w:pStyle w:val="290"/>
        <w:spacing w:beforeLines="50"/>
        <w:ind w:left="0"/>
        <w:rPr>
          <w:rFonts w:ascii="宋体" w:hAnsi="宋体" w:cs="宋体"/>
          <w:sz w:val="21"/>
          <w:szCs w:val="21"/>
        </w:rPr>
      </w:pPr>
      <w:r>
        <w:rPr>
          <w:rFonts w:hint="eastAsia" w:ascii="宋体" w:hAnsi="宋体" w:cs="宋体"/>
          <w:sz w:val="21"/>
          <w:szCs w:val="21"/>
        </w:rPr>
        <w:t>中标方要对整个项目信息系统做安全等级保护</w:t>
      </w:r>
      <w:r>
        <w:rPr>
          <w:rFonts w:hint="eastAsia" w:ascii="宋体" w:hAnsi="宋体" w:cs="宋体"/>
          <w:sz w:val="21"/>
          <w:szCs w:val="21"/>
          <w:lang w:val="en-GB"/>
        </w:rPr>
        <w:t>二</w:t>
      </w:r>
      <w:r>
        <w:rPr>
          <w:rFonts w:hint="eastAsia" w:ascii="宋体" w:hAnsi="宋体" w:cs="宋体"/>
          <w:sz w:val="21"/>
          <w:szCs w:val="21"/>
        </w:rPr>
        <w:t>级并拿到公安部二级等保证明</w:t>
      </w:r>
      <w:r>
        <w:rPr>
          <w:rFonts w:ascii="宋体" w:hAnsi="宋体" w:cs="宋体"/>
          <w:sz w:val="21"/>
          <w:szCs w:val="21"/>
          <w:lang w:val="en-GB"/>
        </w:rPr>
        <w:t>(</w:t>
      </w:r>
      <w:r>
        <w:rPr>
          <w:rFonts w:hint="eastAsia" w:ascii="宋体" w:hAnsi="宋体" w:cs="宋体"/>
          <w:sz w:val="21"/>
          <w:szCs w:val="21"/>
          <w:lang w:val="en-GB"/>
        </w:rPr>
        <w:t>含提供等保相关设备)</w:t>
      </w:r>
      <w:r>
        <w:rPr>
          <w:rFonts w:hint="eastAsia" w:ascii="宋体" w:hAnsi="宋体" w:cs="宋体"/>
          <w:sz w:val="21"/>
          <w:szCs w:val="21"/>
        </w:rPr>
        <w:t>。如在合作期内有迁建和新建学校（幼儿园），中标供应商有义务免费提供网络及各种平台数据的接入。</w:t>
      </w:r>
    </w:p>
    <w:p>
      <w:pPr>
        <w:pStyle w:val="290"/>
        <w:spacing w:beforeLines="50"/>
        <w:ind w:left="0"/>
        <w:rPr>
          <w:rFonts w:ascii="宋体" w:hAnsi="宋体" w:cs="宋体"/>
          <w:sz w:val="21"/>
          <w:szCs w:val="21"/>
          <w:lang w:val="en-GB"/>
        </w:rPr>
      </w:pPr>
      <w:r>
        <w:rPr>
          <w:rFonts w:hint="eastAsia" w:ascii="宋体" w:hAnsi="宋体" w:cs="宋体"/>
          <w:sz w:val="21"/>
          <w:szCs w:val="21"/>
        </w:rPr>
        <w:t>网络信道费用含在各学校建设项目系统集成费用中，合作期内不再单独收取信道租用费用。项目要求两位工作人员派驻教育局，其中一位需具备相关网络设备认证工程师。</w:t>
      </w:r>
    </w:p>
    <w:p>
      <w:pPr>
        <w:pStyle w:val="290"/>
        <w:spacing w:beforeLines="50"/>
        <w:ind w:left="0"/>
        <w:rPr>
          <w:rFonts w:ascii="宋体" w:hAnsi="宋体" w:cs="宋体"/>
          <w:sz w:val="21"/>
          <w:szCs w:val="21"/>
          <w:lang w:val="en-GB"/>
        </w:rPr>
      </w:pPr>
      <w:r>
        <w:rPr>
          <w:rFonts w:hint="eastAsia" w:ascii="宋体" w:hAnsi="宋体" w:cs="宋体"/>
          <w:sz w:val="21"/>
          <w:szCs w:val="21"/>
          <w:lang w:val="en-GB"/>
        </w:rPr>
        <w:t>本项目预算</w:t>
      </w:r>
      <w:r>
        <w:rPr>
          <w:rFonts w:hint="eastAsia" w:ascii="宋体" w:hAnsi="宋体" w:cs="宋体"/>
          <w:sz w:val="21"/>
          <w:szCs w:val="21"/>
          <w:lang w:eastAsia="zh-CN"/>
        </w:rPr>
        <w:t>2710.4</w:t>
      </w:r>
      <w:r>
        <w:rPr>
          <w:rFonts w:hint="eastAsia" w:ascii="宋体" w:hAnsi="宋体" w:cs="宋体"/>
          <w:sz w:val="21"/>
          <w:szCs w:val="21"/>
          <w:lang w:val="en-GB"/>
        </w:rPr>
        <w:t>万元，以购买服务的方式招标，分</w:t>
      </w:r>
      <w:r>
        <w:rPr>
          <w:rFonts w:hint="eastAsia" w:ascii="宋体" w:hAnsi="宋体" w:cs="宋体"/>
          <w:sz w:val="21"/>
          <w:szCs w:val="21"/>
          <w:lang w:val="en-US" w:eastAsia="zh-CN"/>
        </w:rPr>
        <w:t>五</w:t>
      </w:r>
      <w:r>
        <w:rPr>
          <w:rFonts w:hint="eastAsia" w:ascii="宋体" w:hAnsi="宋体" w:cs="宋体"/>
          <w:sz w:val="21"/>
          <w:szCs w:val="21"/>
          <w:lang w:val="en-GB"/>
        </w:rPr>
        <w:t>年付款，每年付总款项的</w:t>
      </w:r>
      <w:r>
        <w:rPr>
          <w:rFonts w:hint="eastAsia" w:ascii="宋体" w:hAnsi="宋体" w:cs="宋体"/>
          <w:sz w:val="21"/>
          <w:szCs w:val="21"/>
          <w:lang w:val="en-US" w:eastAsia="zh-CN"/>
        </w:rPr>
        <w:t>五</w:t>
      </w:r>
      <w:r>
        <w:rPr>
          <w:rFonts w:hint="eastAsia" w:ascii="宋体" w:hAnsi="宋体" w:cs="宋体"/>
          <w:sz w:val="21"/>
          <w:szCs w:val="21"/>
          <w:lang w:val="en-GB"/>
        </w:rPr>
        <w:t>分之一。</w:t>
      </w:r>
      <w:r>
        <w:rPr>
          <w:rFonts w:hint="eastAsia" w:ascii="宋体" w:hAnsi="宋体" w:cs="宋体"/>
          <w:sz w:val="21"/>
          <w:szCs w:val="21"/>
          <w:lang w:val="en-US" w:eastAsia="zh-CN"/>
        </w:rPr>
        <w:t>五</w:t>
      </w:r>
      <w:r>
        <w:rPr>
          <w:rFonts w:hint="eastAsia" w:ascii="宋体" w:hAnsi="宋体" w:cs="宋体"/>
          <w:sz w:val="21"/>
          <w:szCs w:val="21"/>
          <w:lang w:val="en-GB"/>
        </w:rPr>
        <w:t>年内，由中标方负责维护运维更换。</w:t>
      </w:r>
    </w:p>
    <w:p>
      <w:pPr>
        <w:pStyle w:val="290"/>
        <w:spacing w:beforeLines="50"/>
        <w:ind w:left="0" w:firstLine="207" w:firstLineChars="98"/>
        <w:rPr>
          <w:rFonts w:ascii="宋体" w:hAnsi="宋体" w:cs="宋体"/>
          <w:b/>
          <w:sz w:val="21"/>
          <w:szCs w:val="21"/>
        </w:rPr>
      </w:pPr>
      <w:r>
        <w:rPr>
          <w:rFonts w:hint="eastAsia" w:ascii="宋体" w:hAnsi="宋体" w:cs="宋体"/>
          <w:b/>
          <w:sz w:val="21"/>
          <w:szCs w:val="21"/>
        </w:rPr>
        <w:t>二、项目技术规范要求</w:t>
      </w:r>
    </w:p>
    <w:p>
      <w:pPr>
        <w:pStyle w:val="290"/>
        <w:spacing w:beforeLines="50"/>
        <w:ind w:left="0" w:firstLine="422"/>
        <w:rPr>
          <w:rFonts w:ascii="宋体" w:hAnsi="宋体" w:cs="宋体"/>
          <w:b/>
          <w:sz w:val="21"/>
          <w:szCs w:val="21"/>
        </w:rPr>
      </w:pPr>
      <w:r>
        <w:rPr>
          <w:rFonts w:hint="eastAsia" w:ascii="宋体" w:hAnsi="宋体" w:cs="宋体"/>
          <w:b/>
          <w:sz w:val="21"/>
          <w:szCs w:val="21"/>
        </w:rPr>
        <w:t>本章节中所列设备是服务商为提供本标项服务的部分要求，为保证本项目所提服务要求，应包含但不限于此设备。</w:t>
      </w:r>
    </w:p>
    <w:p>
      <w:pPr>
        <w:pStyle w:val="290"/>
        <w:spacing w:beforeLines="50"/>
        <w:ind w:left="0" w:firstLine="0" w:firstLineChars="0"/>
        <w:rPr>
          <w:rFonts w:ascii="宋体" w:hAnsi="宋体" w:cs="宋体"/>
          <w:b/>
          <w:sz w:val="21"/>
          <w:szCs w:val="21"/>
        </w:rPr>
      </w:pPr>
      <w:r>
        <w:rPr>
          <w:rFonts w:hint="eastAsia" w:ascii="宋体" w:hAnsi="宋体" w:cs="宋体"/>
          <w:b/>
          <w:sz w:val="21"/>
          <w:szCs w:val="21"/>
        </w:rPr>
        <w:t>1、中心机房建设</w:t>
      </w:r>
    </w:p>
    <w:p>
      <w:pPr>
        <w:pStyle w:val="290"/>
        <w:spacing w:beforeLines="50"/>
        <w:ind w:left="0"/>
        <w:rPr>
          <w:rFonts w:ascii="宋体" w:hAnsi="宋体" w:cs="宋体"/>
          <w:sz w:val="21"/>
          <w:szCs w:val="21"/>
        </w:rPr>
      </w:pPr>
      <w:r>
        <w:rPr>
          <w:rFonts w:hint="eastAsia" w:ascii="宋体" w:hAnsi="宋体" w:cs="宋体"/>
          <w:sz w:val="21"/>
          <w:szCs w:val="21"/>
        </w:rPr>
        <w:t>建设主要目的为全区教育系统建成集数据、展示、管理、互动等一体的综合数据中心，为节约本次项目的建设成本，可利用运营商现有机房和现成资源，但要求有独立的房间。相关机房要求规范如下</w:t>
      </w:r>
    </w:p>
    <w:tbl>
      <w:tblPr>
        <w:tblStyle w:val="59"/>
        <w:tblW w:w="90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1"/>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2261" w:type="dxa"/>
            <w:noWrap/>
            <w:vAlign w:val="center"/>
          </w:tcPr>
          <w:p>
            <w:pPr>
              <w:spacing w:before="156"/>
              <w:jc w:val="center"/>
              <w:rPr>
                <w:rFonts w:ascii="宋体" w:hAnsi="宋体"/>
                <w:szCs w:val="21"/>
              </w:rPr>
            </w:pPr>
            <w:r>
              <w:rPr>
                <w:rFonts w:hint="eastAsia" w:ascii="宋体" w:hAnsi="宋体"/>
                <w:szCs w:val="21"/>
              </w:rPr>
              <w:t>机房内容</w:t>
            </w:r>
          </w:p>
        </w:tc>
        <w:tc>
          <w:tcPr>
            <w:tcW w:w="6780" w:type="dxa"/>
            <w:noWrap/>
            <w:vAlign w:val="center"/>
          </w:tcPr>
          <w:p>
            <w:pPr>
              <w:spacing w:before="156"/>
              <w:jc w:val="center"/>
              <w:rPr>
                <w:rFonts w:ascii="宋体" w:hAnsi="宋体"/>
                <w:szCs w:val="21"/>
              </w:rPr>
            </w:pPr>
            <w:r>
              <w:rPr>
                <w:rFonts w:hint="eastAsia" w:ascii="宋体" w:hAnsi="宋体"/>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trPr>
        <w:tc>
          <w:tcPr>
            <w:tcW w:w="2261" w:type="dxa"/>
            <w:noWrap/>
            <w:vAlign w:val="center"/>
          </w:tcPr>
          <w:p>
            <w:pPr>
              <w:spacing w:before="156"/>
              <w:jc w:val="center"/>
              <w:rPr>
                <w:rFonts w:ascii="宋体" w:hAnsi="宋体"/>
                <w:szCs w:val="21"/>
              </w:rPr>
            </w:pPr>
            <w:r>
              <w:rPr>
                <w:rFonts w:hint="eastAsia" w:ascii="宋体" w:hAnsi="宋体"/>
                <w:szCs w:val="21"/>
              </w:rPr>
              <w:t>机房面积</w:t>
            </w:r>
          </w:p>
        </w:tc>
        <w:tc>
          <w:tcPr>
            <w:tcW w:w="6780" w:type="dxa"/>
            <w:noWrap/>
            <w:vAlign w:val="center"/>
          </w:tcPr>
          <w:p>
            <w:pPr>
              <w:spacing w:before="156"/>
              <w:rPr>
                <w:rFonts w:ascii="宋体" w:hAnsi="宋体"/>
                <w:szCs w:val="21"/>
              </w:rPr>
            </w:pPr>
            <w:r>
              <w:rPr>
                <w:rFonts w:hint="eastAsia" w:ascii="宋体" w:hAnsi="宋体"/>
                <w:szCs w:val="21"/>
              </w:rPr>
              <w:t xml:space="preserve">1.面积大于30平方 </w:t>
            </w:r>
          </w:p>
          <w:p>
            <w:pPr>
              <w:spacing w:before="156"/>
              <w:rPr>
                <w:rFonts w:ascii="宋体" w:hAnsi="宋体"/>
                <w:szCs w:val="21"/>
              </w:rPr>
            </w:pPr>
            <w:r>
              <w:rPr>
                <w:rFonts w:hint="eastAsia" w:ascii="宋体" w:hAnsi="宋体"/>
                <w:szCs w:val="21"/>
              </w:rPr>
              <w:t xml:space="preserve">2.机柜大于9个 </w:t>
            </w:r>
          </w:p>
          <w:p>
            <w:pPr>
              <w:spacing w:before="156"/>
              <w:rPr>
                <w:rFonts w:ascii="宋体" w:hAnsi="宋体"/>
                <w:szCs w:val="21"/>
              </w:rPr>
            </w:pPr>
            <w:r>
              <w:rPr>
                <w:rFonts w:hint="eastAsia" w:ascii="宋体" w:hAnsi="宋体"/>
                <w:szCs w:val="21"/>
              </w:rPr>
              <w:t>3.拥有冷池系</w:t>
            </w:r>
          </w:p>
          <w:p>
            <w:pPr>
              <w:spacing w:before="156"/>
              <w:jc w:val="left"/>
              <w:rPr>
                <w:rFonts w:ascii="宋体" w:hAnsi="宋体"/>
                <w:szCs w:val="21"/>
              </w:rPr>
            </w:pPr>
            <w:r>
              <w:rPr>
                <w:rFonts w:hint="eastAsia" w:ascii="宋体" w:hAnsi="宋体"/>
                <w:szCs w:val="21"/>
              </w:rPr>
              <w:t>4.建有独立门禁系统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7" w:hRule="atLeast"/>
        </w:trPr>
        <w:tc>
          <w:tcPr>
            <w:tcW w:w="2261" w:type="dxa"/>
            <w:noWrap/>
            <w:vAlign w:val="center"/>
          </w:tcPr>
          <w:p>
            <w:pPr>
              <w:spacing w:before="156"/>
              <w:jc w:val="center"/>
              <w:rPr>
                <w:rFonts w:ascii="宋体" w:hAnsi="宋体"/>
                <w:szCs w:val="21"/>
              </w:rPr>
            </w:pPr>
            <w:r>
              <w:rPr>
                <w:rFonts w:hint="eastAsia" w:ascii="宋体" w:hAnsi="宋体"/>
                <w:szCs w:val="21"/>
              </w:rPr>
              <w:t>电源系统</w:t>
            </w:r>
          </w:p>
        </w:tc>
        <w:tc>
          <w:tcPr>
            <w:tcW w:w="6780" w:type="dxa"/>
            <w:noWrap/>
            <w:vAlign w:val="center"/>
          </w:tcPr>
          <w:p>
            <w:pPr>
              <w:pStyle w:val="214"/>
              <w:widowControl/>
              <w:numPr>
                <w:ilvl w:val="0"/>
                <w:numId w:val="28"/>
              </w:numPr>
              <w:spacing w:before="156"/>
              <w:ind w:firstLineChars="0"/>
              <w:contextualSpacing/>
              <w:jc w:val="left"/>
              <w:rPr>
                <w:rFonts w:ascii="宋体" w:hAnsi="宋体"/>
                <w:szCs w:val="21"/>
              </w:rPr>
            </w:pPr>
            <w:r>
              <w:rPr>
                <w:rFonts w:hint="eastAsia" w:ascii="宋体" w:hAnsi="宋体"/>
                <w:szCs w:val="21"/>
              </w:rPr>
              <w:t>市电10KV双回路供电，主备双变压器完成分段低压双回路。</w:t>
            </w:r>
          </w:p>
          <w:p>
            <w:pPr>
              <w:pStyle w:val="214"/>
              <w:widowControl/>
              <w:numPr>
                <w:ilvl w:val="0"/>
                <w:numId w:val="28"/>
              </w:numPr>
              <w:spacing w:before="156"/>
              <w:ind w:firstLineChars="0"/>
              <w:contextualSpacing/>
              <w:jc w:val="left"/>
              <w:rPr>
                <w:rFonts w:ascii="宋体" w:hAnsi="宋体"/>
                <w:szCs w:val="21"/>
              </w:rPr>
            </w:pPr>
            <w:r>
              <w:rPr>
                <w:rFonts w:hint="eastAsia" w:ascii="宋体" w:hAnsi="宋体"/>
                <w:szCs w:val="21"/>
              </w:rPr>
              <w:t>主用10KV为独立专线供电</w:t>
            </w:r>
          </w:p>
          <w:p>
            <w:pPr>
              <w:pStyle w:val="214"/>
              <w:widowControl/>
              <w:numPr>
                <w:ilvl w:val="0"/>
                <w:numId w:val="28"/>
              </w:numPr>
              <w:spacing w:before="156"/>
              <w:ind w:firstLineChars="0"/>
              <w:contextualSpacing/>
              <w:jc w:val="left"/>
              <w:rPr>
                <w:rFonts w:ascii="宋体" w:hAnsi="宋体"/>
                <w:szCs w:val="21"/>
              </w:rPr>
            </w:pPr>
            <w:r>
              <w:rPr>
                <w:rFonts w:hint="eastAsia" w:ascii="宋体" w:hAnsi="宋体"/>
                <w:szCs w:val="21"/>
              </w:rPr>
              <w:t>柴油发电机组自动保障交流供电，在双路市电都失电的情况下，能自动启动柴油发电机组，完成油机电自动切换，保障交流供电的持续性。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2261" w:type="dxa"/>
            <w:noWrap/>
            <w:vAlign w:val="center"/>
          </w:tcPr>
          <w:p>
            <w:pPr>
              <w:spacing w:before="156"/>
              <w:jc w:val="center"/>
              <w:rPr>
                <w:rFonts w:ascii="宋体" w:hAnsi="宋体"/>
                <w:szCs w:val="21"/>
              </w:rPr>
            </w:pPr>
            <w:r>
              <w:rPr>
                <w:rFonts w:hint="eastAsia" w:ascii="宋体" w:hAnsi="宋体"/>
                <w:szCs w:val="21"/>
              </w:rPr>
              <w:t>机房制冷系统</w:t>
            </w:r>
          </w:p>
        </w:tc>
        <w:tc>
          <w:tcPr>
            <w:tcW w:w="6780" w:type="dxa"/>
            <w:noWrap/>
            <w:vAlign w:val="center"/>
          </w:tcPr>
          <w:p>
            <w:pPr>
              <w:pStyle w:val="214"/>
              <w:widowControl/>
              <w:numPr>
                <w:ilvl w:val="0"/>
                <w:numId w:val="29"/>
              </w:numPr>
              <w:spacing w:before="156"/>
              <w:ind w:firstLineChars="0"/>
              <w:contextualSpacing/>
              <w:jc w:val="left"/>
              <w:rPr>
                <w:rFonts w:ascii="宋体" w:hAnsi="宋体"/>
                <w:szCs w:val="21"/>
              </w:rPr>
            </w:pPr>
            <w:r>
              <w:rPr>
                <w:rFonts w:hint="eastAsia" w:ascii="宋体" w:hAnsi="宋体"/>
                <w:szCs w:val="21"/>
              </w:rPr>
              <w:t>有机房专用空调为机房提供冷却服务，冷量冗余设计，为机房提供安全的工作环境；</w:t>
            </w:r>
          </w:p>
          <w:p>
            <w:pPr>
              <w:pStyle w:val="214"/>
              <w:widowControl/>
              <w:numPr>
                <w:ilvl w:val="0"/>
                <w:numId w:val="29"/>
              </w:numPr>
              <w:spacing w:before="156"/>
              <w:ind w:firstLineChars="0"/>
              <w:contextualSpacing/>
              <w:jc w:val="left"/>
              <w:rPr>
                <w:rFonts w:ascii="宋体" w:hAnsi="宋体"/>
                <w:szCs w:val="21"/>
              </w:rPr>
            </w:pPr>
            <w:r>
              <w:rPr>
                <w:rFonts w:hint="eastAsia" w:ascii="宋体" w:hAnsi="宋体"/>
                <w:szCs w:val="21"/>
              </w:rPr>
              <w:t>机房采用下送风模式和冷通道设置，杜绝机房热岛效应；</w:t>
            </w:r>
          </w:p>
          <w:p>
            <w:pPr>
              <w:pStyle w:val="214"/>
              <w:widowControl/>
              <w:numPr>
                <w:ilvl w:val="0"/>
                <w:numId w:val="29"/>
              </w:numPr>
              <w:spacing w:before="156"/>
              <w:ind w:firstLineChars="0"/>
              <w:contextualSpacing/>
              <w:jc w:val="left"/>
              <w:rPr>
                <w:rFonts w:ascii="宋体" w:hAnsi="宋体"/>
                <w:szCs w:val="21"/>
              </w:rPr>
            </w:pPr>
            <w:r>
              <w:rPr>
                <w:rFonts w:hint="eastAsia" w:ascii="宋体" w:hAnsi="宋体"/>
                <w:szCs w:val="21"/>
              </w:rPr>
              <w:t>机房新风系统在空调全部故障时也能应急降温。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2261" w:type="dxa"/>
            <w:noWrap/>
            <w:vAlign w:val="center"/>
          </w:tcPr>
          <w:p>
            <w:pPr>
              <w:spacing w:before="156"/>
              <w:jc w:val="center"/>
              <w:rPr>
                <w:rFonts w:ascii="宋体" w:hAnsi="宋体"/>
                <w:szCs w:val="21"/>
              </w:rPr>
            </w:pPr>
            <w:r>
              <w:rPr>
                <w:rFonts w:hint="eastAsia" w:ascii="宋体" w:hAnsi="宋体"/>
                <w:szCs w:val="21"/>
              </w:rPr>
              <w:t>机房环境</w:t>
            </w:r>
          </w:p>
        </w:tc>
        <w:tc>
          <w:tcPr>
            <w:tcW w:w="6780" w:type="dxa"/>
            <w:noWrap/>
            <w:vAlign w:val="center"/>
          </w:tcPr>
          <w:p>
            <w:pPr>
              <w:pStyle w:val="214"/>
              <w:widowControl/>
              <w:numPr>
                <w:ilvl w:val="0"/>
                <w:numId w:val="30"/>
              </w:numPr>
              <w:spacing w:before="156"/>
              <w:ind w:firstLineChars="0"/>
              <w:contextualSpacing/>
              <w:jc w:val="left"/>
              <w:rPr>
                <w:rFonts w:ascii="宋体" w:hAnsi="宋体"/>
                <w:szCs w:val="21"/>
              </w:rPr>
            </w:pPr>
            <w:r>
              <w:rPr>
                <w:rFonts w:hint="eastAsia" w:ascii="宋体" w:hAnsi="宋体"/>
                <w:szCs w:val="21"/>
              </w:rPr>
              <w:t>独立空间，通过冷池的设计可单独设立门禁系统，有独立的设备空间；</w:t>
            </w:r>
          </w:p>
          <w:p>
            <w:pPr>
              <w:pStyle w:val="214"/>
              <w:widowControl/>
              <w:numPr>
                <w:ilvl w:val="0"/>
                <w:numId w:val="30"/>
              </w:numPr>
              <w:spacing w:before="156"/>
              <w:ind w:firstLineChars="0"/>
              <w:contextualSpacing/>
              <w:jc w:val="left"/>
              <w:rPr>
                <w:rFonts w:ascii="宋体" w:hAnsi="宋体"/>
                <w:szCs w:val="21"/>
              </w:rPr>
            </w:pPr>
            <w:r>
              <w:rPr>
                <w:rFonts w:hint="eastAsia" w:ascii="宋体" w:hAnsi="宋体"/>
                <w:szCs w:val="21"/>
              </w:rPr>
              <w:t>设备通道宽敞；</w:t>
            </w:r>
          </w:p>
          <w:p>
            <w:pPr>
              <w:pStyle w:val="214"/>
              <w:widowControl/>
              <w:numPr>
                <w:ilvl w:val="0"/>
                <w:numId w:val="30"/>
              </w:numPr>
              <w:spacing w:before="156"/>
              <w:ind w:firstLineChars="0"/>
              <w:contextualSpacing/>
              <w:jc w:val="left"/>
              <w:rPr>
                <w:rFonts w:ascii="宋体" w:hAnsi="宋体"/>
                <w:szCs w:val="21"/>
              </w:rPr>
            </w:pPr>
            <w:r>
              <w:rPr>
                <w:rFonts w:hint="eastAsia" w:ascii="宋体" w:hAnsi="宋体"/>
                <w:szCs w:val="21"/>
              </w:rPr>
              <w:t>独立照明，每个机架都有独立的照明系统；</w:t>
            </w:r>
          </w:p>
          <w:p>
            <w:pPr>
              <w:pStyle w:val="214"/>
              <w:widowControl/>
              <w:numPr>
                <w:ilvl w:val="0"/>
                <w:numId w:val="30"/>
              </w:numPr>
              <w:spacing w:before="156"/>
              <w:ind w:firstLineChars="0"/>
              <w:contextualSpacing/>
              <w:jc w:val="left"/>
              <w:rPr>
                <w:rFonts w:ascii="宋体" w:hAnsi="宋体"/>
                <w:szCs w:val="21"/>
              </w:rPr>
            </w:pPr>
            <w:r>
              <w:rPr>
                <w:rFonts w:hint="eastAsia" w:ascii="宋体" w:hAnsi="宋体"/>
                <w:szCs w:val="21"/>
              </w:rPr>
              <w:t>严格的三线分离走线架；光缆尾纤、交流电缆、数据电缆完全分离布线。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2261" w:type="dxa"/>
            <w:noWrap/>
            <w:vAlign w:val="center"/>
          </w:tcPr>
          <w:p>
            <w:pPr>
              <w:pStyle w:val="214"/>
              <w:spacing w:before="156"/>
              <w:rPr>
                <w:rFonts w:ascii="宋体" w:hAnsi="宋体" w:eastAsia="宋体"/>
                <w:sz w:val="21"/>
                <w:szCs w:val="21"/>
              </w:rPr>
            </w:pPr>
            <w:r>
              <w:rPr>
                <w:rFonts w:hint="eastAsia" w:ascii="宋体" w:hAnsi="宋体" w:eastAsia="宋体"/>
                <w:sz w:val="21"/>
                <w:szCs w:val="21"/>
              </w:rPr>
              <w:t>动环、消防系统</w:t>
            </w:r>
          </w:p>
          <w:p>
            <w:pPr>
              <w:spacing w:before="156"/>
              <w:jc w:val="center"/>
              <w:rPr>
                <w:rFonts w:ascii="宋体" w:hAnsi="宋体"/>
                <w:szCs w:val="21"/>
              </w:rPr>
            </w:pPr>
          </w:p>
        </w:tc>
        <w:tc>
          <w:tcPr>
            <w:tcW w:w="6780" w:type="dxa"/>
            <w:noWrap/>
            <w:vAlign w:val="center"/>
          </w:tcPr>
          <w:p>
            <w:pPr>
              <w:pStyle w:val="214"/>
              <w:widowControl/>
              <w:numPr>
                <w:ilvl w:val="0"/>
                <w:numId w:val="31"/>
              </w:numPr>
              <w:spacing w:before="156"/>
              <w:ind w:firstLineChars="0"/>
              <w:contextualSpacing/>
              <w:jc w:val="left"/>
              <w:rPr>
                <w:rFonts w:ascii="宋体" w:hAnsi="宋体"/>
                <w:szCs w:val="21"/>
              </w:rPr>
            </w:pPr>
            <w:r>
              <w:rPr>
                <w:rFonts w:hint="eastAsia" w:ascii="宋体" w:hAnsi="宋体"/>
                <w:szCs w:val="21"/>
              </w:rPr>
              <w:t>完善的动力环境监控系统，UPS、机房专用空调、大新新风系统、交流进线柜等7*24自动派单；</w:t>
            </w:r>
          </w:p>
          <w:p>
            <w:pPr>
              <w:pStyle w:val="214"/>
              <w:widowControl/>
              <w:numPr>
                <w:ilvl w:val="0"/>
                <w:numId w:val="31"/>
              </w:numPr>
              <w:spacing w:before="156"/>
              <w:ind w:firstLineChars="0"/>
              <w:contextualSpacing/>
              <w:jc w:val="left"/>
              <w:rPr>
                <w:rFonts w:ascii="宋体" w:hAnsi="宋体"/>
                <w:szCs w:val="21"/>
              </w:rPr>
            </w:pPr>
            <w:r>
              <w:rPr>
                <w:rFonts w:hint="eastAsia" w:ascii="宋体" w:hAnsi="宋体"/>
                <w:szCs w:val="21"/>
              </w:rPr>
              <w:t>自动消防系统；</w:t>
            </w:r>
          </w:p>
          <w:p>
            <w:pPr>
              <w:pStyle w:val="214"/>
              <w:widowControl/>
              <w:numPr>
                <w:ilvl w:val="0"/>
                <w:numId w:val="31"/>
              </w:numPr>
              <w:spacing w:before="156"/>
              <w:ind w:firstLineChars="0"/>
              <w:contextualSpacing/>
              <w:jc w:val="left"/>
              <w:rPr>
                <w:rFonts w:ascii="宋体" w:hAnsi="宋体"/>
                <w:szCs w:val="21"/>
              </w:rPr>
            </w:pPr>
            <w:r>
              <w:rPr>
                <w:rFonts w:hint="eastAsia" w:ascii="宋体" w:hAnsi="宋体"/>
                <w:szCs w:val="21"/>
              </w:rPr>
              <w:t>机房内有PUE显示，能实施显示机房能耗状态。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2261" w:type="dxa"/>
            <w:noWrap/>
            <w:vAlign w:val="center"/>
          </w:tcPr>
          <w:p>
            <w:pPr>
              <w:spacing w:before="156"/>
              <w:jc w:val="center"/>
              <w:rPr>
                <w:rFonts w:ascii="宋体" w:hAnsi="宋体"/>
                <w:szCs w:val="21"/>
              </w:rPr>
            </w:pPr>
            <w:r>
              <w:rPr>
                <w:rFonts w:hint="eastAsia" w:ascii="宋体" w:hAnsi="宋体"/>
                <w:szCs w:val="21"/>
              </w:rPr>
              <w:t>专业维护</w:t>
            </w:r>
          </w:p>
        </w:tc>
        <w:tc>
          <w:tcPr>
            <w:tcW w:w="6780" w:type="dxa"/>
            <w:noWrap/>
            <w:vAlign w:val="center"/>
          </w:tcPr>
          <w:p>
            <w:pPr>
              <w:spacing w:before="156"/>
              <w:jc w:val="left"/>
              <w:rPr>
                <w:rFonts w:ascii="宋体" w:hAnsi="宋体"/>
                <w:szCs w:val="21"/>
              </w:rPr>
            </w:pPr>
            <w:r>
              <w:rPr>
                <w:rFonts w:hint="eastAsia" w:ascii="宋体" w:hAnsi="宋体"/>
                <w:szCs w:val="21"/>
              </w:rPr>
              <w:t>具备专业的动力维护人员、数据维护人员具有丰富的维护维修经验。能应付所有供电和数据链路的突发故障，确保设备安全运行</w:t>
            </w:r>
          </w:p>
          <w:p>
            <w:pPr>
              <w:spacing w:before="156"/>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2261" w:type="dxa"/>
            <w:noWrap/>
            <w:vAlign w:val="center"/>
          </w:tcPr>
          <w:p>
            <w:pPr>
              <w:spacing w:before="156"/>
              <w:jc w:val="center"/>
              <w:rPr>
                <w:rFonts w:ascii="宋体" w:hAnsi="宋体"/>
                <w:szCs w:val="21"/>
              </w:rPr>
            </w:pPr>
            <w:r>
              <w:rPr>
                <w:rFonts w:hint="eastAsia" w:ascii="宋体" w:hAnsi="宋体"/>
                <w:szCs w:val="21"/>
              </w:rPr>
              <w:t>扩容能力</w:t>
            </w:r>
          </w:p>
        </w:tc>
        <w:tc>
          <w:tcPr>
            <w:tcW w:w="6780" w:type="dxa"/>
            <w:noWrap/>
            <w:vAlign w:val="center"/>
          </w:tcPr>
          <w:p>
            <w:pPr>
              <w:spacing w:before="156"/>
              <w:jc w:val="left"/>
              <w:rPr>
                <w:rFonts w:ascii="宋体" w:hAnsi="宋体"/>
                <w:szCs w:val="21"/>
              </w:rPr>
            </w:pPr>
            <w:r>
              <w:rPr>
                <w:rFonts w:hint="eastAsia" w:ascii="宋体" w:hAnsi="宋体"/>
                <w:szCs w:val="21"/>
              </w:rPr>
              <w:t>具备在用机房附近有充足的空闲空间等</w:t>
            </w:r>
          </w:p>
        </w:tc>
      </w:tr>
    </w:tbl>
    <w:p>
      <w:pPr>
        <w:numPr>
          <w:ilvl w:val="2"/>
          <w:numId w:val="0"/>
        </w:numPr>
        <w:spacing w:line="360" w:lineRule="auto"/>
        <w:rPr>
          <w:szCs w:val="21"/>
        </w:rPr>
      </w:pPr>
    </w:p>
    <w:p>
      <w:pPr>
        <w:spacing w:before="156"/>
        <w:rPr>
          <w:rFonts w:ascii="宋体" w:hAnsi="宋体" w:cs="宋体"/>
          <w:b/>
          <w:szCs w:val="21"/>
          <w:lang w:val="en-GB"/>
        </w:rPr>
      </w:pPr>
      <w:r>
        <w:rPr>
          <w:rFonts w:hint="eastAsia" w:ascii="宋体" w:hAnsi="宋体" w:cs="宋体"/>
          <w:b/>
          <w:szCs w:val="21"/>
          <w:lang w:val="en-GB"/>
        </w:rPr>
        <w:t>2.云平台中标方可以利用自身已有的云平台，但要求标准不低于本技术规范</w:t>
      </w:r>
    </w:p>
    <w:p>
      <w:pPr>
        <w:pStyle w:val="214"/>
        <w:numPr>
          <w:ilvl w:val="0"/>
          <w:numId w:val="32"/>
        </w:numPr>
        <w:wordWrap w:val="0"/>
        <w:spacing w:line="500" w:lineRule="exact"/>
        <w:ind w:firstLineChars="0"/>
        <w:rPr>
          <w:rFonts w:asciiTheme="minorEastAsia" w:hAnsiTheme="minorEastAsia"/>
          <w:sz w:val="18"/>
          <w:szCs w:val="18"/>
        </w:rPr>
      </w:pPr>
      <w:r>
        <w:rPr>
          <w:rFonts w:hint="eastAsia" w:asciiTheme="minorEastAsia" w:hAnsiTheme="minorEastAsia"/>
          <w:sz w:val="18"/>
          <w:szCs w:val="18"/>
        </w:rPr>
        <w:t>超融合软件</w:t>
      </w:r>
    </w:p>
    <w:tbl>
      <w:tblPr>
        <w:tblStyle w:val="59"/>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指标项</w:t>
            </w: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tcBorders>
              <w:top w:val="single" w:color="auto" w:sz="4" w:space="0"/>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基本要求</w:t>
            </w: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本次提供产品需具有自主知识产权，非OEM产品，要求计算虚拟化软件、超融合管理软件同一品牌</w:t>
            </w: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restart"/>
            <w:tcBorders>
              <w:top w:val="single" w:color="auto" w:sz="4" w:space="0"/>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管理平台要求</w:t>
            </w: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设备自动发现：新上线设备可基于链路层协议与管理节点交互，被管理节点自动发现，然后配置IP地址以及主机名等信息；IP地址自动分配，为发现的设备分配IP地址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创建虚拟机、删除虚拟机、克隆虚拟机、虚拟机快照、虚拟机性能监控、虚拟机的KVM等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虚拟机支持跨虚拟化管理平台在线迁移，迁移过程中对业务运行无影响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自动收集所有的相关的组件的日志，告警，提供分析平台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支持“所画即所得”功能，以拖拽和编辑的方式快速构建业务逻辑拓扑，屏蔽底层计算、网络和存储的复杂逻辑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支持一键扫描功能，对当前集群包括计算、存储、网络、安全等模块进行一次全方位扫描，评估当前集群环境健康度、故障诊断，替代人工逐项分析定位，并提供优化方案及优化路劲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对硬件平台进行监控，电源，风扇，温感，CPU、内存、硬盘等硬件平台信息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支持使用一键鼠标按钮分析虚拟机、主机和集群历史资源使用情况，提供规划决策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支持使用一键鼠标按钮分析本地和共享存储上的无效镜像文件，并提供一键清理和释放存储空间能力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restart"/>
            <w:tcBorders>
              <w:top w:val="single" w:color="auto" w:sz="4" w:space="0"/>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计算虚拟化要求</w:t>
            </w: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配置16颗CPU授权许可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top w:val="single" w:color="auto" w:sz="4" w:space="0"/>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虚拟机之间可以做到隔离保护，其中每一个虚拟机发生故障都不会影响同一个物理机上的其它虚拟机运行，每个虚拟机上的用户权限只限于本虚拟机之内，以保障系统平台的安全性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虚拟机可以实现物理机的全部功能，如具有自己的资源（内存、CPU、网卡、存储），可以指定单独的IP地址、MAC地址等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支持现有市场上主要国内外操作系统，包括Windows、CentOS、Fedora、RedHat、MacOS等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提供统一的虚拟机管理界面，在同一界面上提供虚拟机启动、暂停、恢复、休眠、重启、关闭、关闭电源、克隆、迁移、备份、模板导出、快照等功能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提供集群HA（高可用），DRS（动态资源调度）等功能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提供应用级别的HA功能，无需在虚拟机内部安装代理即可自动检测并可自动修复虚拟机内运行的应用故障，包括但不限于Apache Tomcat、JDK、Apache HTTP Server、MySQL、SQL Server、SharePoint等应用，并支持用户自定义脚本进行应用状态的监控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提供集群文件系统功能，通过集群文件系统为虚拟机提供存储资源，允许多个虚机镜像使用同一个LUN，简化虚拟机的部署和管理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具有合理的内存调度机制，能够实现内存的过量使用，保证内存资源的充分利用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具有存储精简配置能力（Thin Provisioning），减少存储容量的需求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提供热添加CPU、内存、磁盘、网卡的功能，无需中断或停机即可实现虚拟资源的在线添加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支持虚拟机分组视图的功能，管理员可根据部门或者业务类型等将虚拟机划分到不同的目录，进行统一管理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支持设置虚拟机磁盘IOPS及I/O速率的读写限制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虚拟机支持在线克隆为模板，模板制作过程中对业务运行无影响，同时虚拟机模板支持完整性验证与来源追溯，避免虚拟机模板文件被篡改的可能性，并追踪虚拟机模板的来源以及虚拟机模板部署的记录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虚拟化软件内置备份模块，无需单独安装备份软件即可实现虚拟机全量、增量、差异备份功能，备份时对业务运行无影响，支持按时间（按天、按周、按月）设置自动化备份策略，备份策略可细化到分钟级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支持当虚拟机的CPU、内存利用率超过设置的阈值时，系统将自动为该虚拟机增加相应的CPU和内存资源，无需人工干预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虚拟机资源告警项支持虚拟机CPU利用率、内存利用率、磁盘分区利用率、磁盘吞吐量、网咯吞吐量、磁盘IOPS、磁盘I/O延时告警设置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支持设置告警类型（紧急、严重、一般、提示）、告警内容（集群、主机、虚拟机、CPU、内存、磁盘），针对告警信息平台可自动给出告警处理建议，同时支持将告警信息以短信发送给管理员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提供P2V迁移工具，要求迁移工具在官网可下载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91" w:type="dxa"/>
            <w:vMerge w:val="restart"/>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网络虚拟化要求</w:t>
            </w: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提供标准虚拟交换机，可连接同一主机内的虚拟机及外部网络，所创建的虚拟交换机最多可以有1024个虚拟端口，每个主机最多可以配置256个虚拟交换机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分布式虚拟交换机：通过统一的界面简化虚拟网络连接的部署与管理，创建并管理具有多个分布式虚拟端口策略的单个分布式虚拟交换机，端口策略能够在虚拟机发生迁移时实现网络策略的自动跟随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支持VLAN功能，在物理局域网上覆盖一个逻辑局域网来隔离网络流量，以实现安全性和负载分离的目的。VLAN与标准IEEE 802.1Q虚拟局域网实现方式兼容，无需更改实际网络布线和交换机设置即可修改网络配置。VLAN将广播流量限制在虚拟局域网内而减少了其他交换机和网段上的广播数据包网络负载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支持IP/MAC绑定，支持设置虚拟机IP地址和MAC地址绑定关系，防止IP地址或MAC地址更改造成审计的困难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291" w:type="dxa"/>
            <w:vMerge w:val="continue"/>
            <w:tcBorders>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虚拟交换机能够作为DHCP Server，为虚拟化环境中的虚拟机自动分配IP地址，并以图形化的方式显示IP地址池分配情况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2291" w:type="dxa"/>
            <w:vMerge w:val="restart"/>
            <w:tcBorders>
              <w:top w:val="single" w:color="auto" w:sz="4" w:space="0"/>
              <w:left w:val="single" w:color="auto" w:sz="4" w:space="0"/>
              <w:right w:val="single" w:color="auto" w:sz="4" w:space="0"/>
            </w:tcBorders>
            <w:shd w:val="clear" w:color="auto" w:fill="FFFFFF"/>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平台安全性要求</w:t>
            </w:r>
          </w:p>
        </w:tc>
        <w:tc>
          <w:tcPr>
            <w:tcW w:w="6525" w:type="dxa"/>
            <w:tcBorders>
              <w:top w:val="single" w:color="auto" w:sz="4" w:space="0"/>
              <w:left w:val="single" w:color="auto" w:sz="4" w:space="0"/>
              <w:right w:val="single" w:color="auto" w:sz="4" w:space="0"/>
            </w:tcBorders>
            <w:shd w:val="clear" w:color="auto" w:fill="FFFFFF"/>
          </w:tcPr>
          <w:p>
            <w:pPr>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支持用户密码复杂度策略自定义和密码更换周期自定义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 w:hRule="atLeast"/>
          <w:jc w:val="center"/>
        </w:trPr>
        <w:tc>
          <w:tcPr>
            <w:tcW w:w="2291" w:type="dxa"/>
            <w:vMerge w:val="continue"/>
            <w:tcBorders>
              <w:left w:val="single" w:color="auto" w:sz="4" w:space="0"/>
              <w:right w:val="single" w:color="auto" w:sz="4" w:space="0"/>
            </w:tcBorders>
            <w:shd w:val="clear" w:color="auto" w:fill="auto"/>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支持设置允许访问和禁止访问虚拟化管理平台的IP地址段；支持管理平台登录失败次数和惩罚时间的设置；支持管理平台Web界面闲置超时时间等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91" w:type="dxa"/>
            <w:vMerge w:val="continue"/>
            <w:tcBorders>
              <w:left w:val="single" w:color="auto" w:sz="4" w:space="0"/>
              <w:right w:val="single" w:color="auto" w:sz="4" w:space="0"/>
            </w:tcBorders>
            <w:shd w:val="clear" w:color="auto" w:fill="auto"/>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right w:val="single" w:color="auto" w:sz="4" w:space="0"/>
            </w:tcBorders>
            <w:shd w:val="clear" w:color="auto" w:fill="FFFFFF"/>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支持虚拟机的入方向、出方向、出入方向安全访问控制功能，可基于IP、MAC、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2291" w:type="dxa"/>
            <w:vMerge w:val="continue"/>
            <w:tcBorders>
              <w:left w:val="single" w:color="auto" w:sz="4" w:space="0"/>
              <w:right w:val="single" w:color="auto" w:sz="4" w:space="0"/>
            </w:tcBorders>
            <w:shd w:val="clear" w:color="auto" w:fill="auto"/>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支持分布式虚拟防火墙，基于虚拟机的虚拟网卡构建安全防火墙，不仅可以给不同的虚拟网卡提供不同的安全策略，当虚拟机在不同的物理节点之间迁移时，安全策略随之移动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2291" w:type="dxa"/>
            <w:vMerge w:val="continue"/>
            <w:tcBorders>
              <w:left w:val="single" w:color="auto" w:sz="4" w:space="0"/>
              <w:right w:val="single" w:color="auto" w:sz="4" w:space="0"/>
            </w:tcBorders>
            <w:shd w:val="clear" w:color="auto" w:fill="auto"/>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spacing w:line="50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jc w:val="center"/>
        </w:trPr>
        <w:tc>
          <w:tcPr>
            <w:tcW w:w="2291" w:type="dxa"/>
            <w:vMerge w:val="continue"/>
            <w:tcBorders>
              <w:left w:val="single" w:color="auto" w:sz="4" w:space="0"/>
              <w:bottom w:val="single" w:color="auto" w:sz="4" w:space="0"/>
              <w:right w:val="single" w:color="auto" w:sz="4" w:space="0"/>
            </w:tcBorders>
            <w:shd w:val="clear" w:color="auto" w:fill="auto"/>
            <w:vAlign w:val="center"/>
          </w:tcPr>
          <w:p>
            <w:pPr>
              <w:widowControl/>
              <w:wordWrap w:val="0"/>
              <w:spacing w:line="500" w:lineRule="exact"/>
              <w:jc w:val="center"/>
              <w:rPr>
                <w:rFonts w:cs="宋体" w:asciiTheme="minorEastAsia" w:hAnsiTheme="minorEastAsia" w:eastAsiaTheme="minorEastAsia"/>
                <w:color w:val="000000"/>
                <w:kern w:val="0"/>
                <w:sz w:val="18"/>
                <w:szCs w:val="18"/>
              </w:rPr>
            </w:pPr>
          </w:p>
        </w:tc>
        <w:tc>
          <w:tcPr>
            <w:tcW w:w="6525"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spacing w:line="500" w:lineRule="exact"/>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2291" w:type="dxa"/>
            <w:tcBorders>
              <w:left w:val="single" w:color="auto" w:sz="4" w:space="0"/>
              <w:right w:val="single" w:color="auto" w:sz="4" w:space="0"/>
            </w:tcBorders>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资质要求</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wordWrap w:val="0"/>
              <w:spacing w:line="500" w:lineRule="exact"/>
              <w:jc w:val="left"/>
              <w:rPr>
                <w:rFonts w:cs="宋体" w:asciiTheme="minorEastAsia" w:hAnsiTheme="minorEastAsia" w:eastAsiaTheme="minorEastAsia"/>
                <w:color w:val="000000"/>
                <w:kern w:val="0"/>
                <w:sz w:val="18"/>
                <w:szCs w:val="18"/>
              </w:rPr>
            </w:pPr>
            <w:r>
              <w:rPr>
                <w:rFonts w:hint="eastAsia" w:asciiTheme="minorEastAsia" w:hAnsiTheme="minorEastAsia" w:eastAsiaTheme="minorEastAsia" w:cstheme="minorBidi"/>
                <w:color w:val="000000"/>
                <w:sz w:val="18"/>
                <w:szCs w:val="18"/>
              </w:rPr>
              <w:t>生产厂商需具有ISO9001质量管理体系，ISO20000信息技术服务管理体系，ISO27001信息安全管理体系，提供证书复印件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2291" w:type="dxa"/>
            <w:tcBorders>
              <w:left w:val="single" w:color="auto" w:sz="4" w:space="0"/>
              <w:right w:val="single" w:color="auto" w:sz="4" w:space="0"/>
            </w:tcBorders>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服务</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lang w:val="en-GB"/>
              </w:rPr>
              <w:t>签合同</w:t>
            </w:r>
            <w:r>
              <w:rPr>
                <w:rFonts w:hint="eastAsia" w:cs="宋体" w:asciiTheme="minorEastAsia" w:hAnsiTheme="minorEastAsia" w:eastAsiaTheme="minorEastAsia"/>
                <w:kern w:val="0"/>
                <w:sz w:val="18"/>
                <w:szCs w:val="18"/>
              </w:rPr>
              <w:t>时提供原厂3年服务承诺函（原件）</w:t>
            </w:r>
          </w:p>
        </w:tc>
      </w:tr>
    </w:tbl>
    <w:p>
      <w:pPr>
        <w:pStyle w:val="214"/>
        <w:numPr>
          <w:ilvl w:val="0"/>
          <w:numId w:val="32"/>
        </w:numPr>
        <w:wordWrap w:val="0"/>
        <w:spacing w:line="500" w:lineRule="exact"/>
        <w:ind w:firstLineChars="0"/>
        <w:rPr>
          <w:rFonts w:asciiTheme="minorEastAsia" w:hAnsiTheme="minorEastAsia"/>
          <w:b/>
          <w:sz w:val="18"/>
          <w:szCs w:val="18"/>
        </w:rPr>
      </w:pPr>
      <w:r>
        <w:rPr>
          <w:rFonts w:hint="eastAsia" w:asciiTheme="minorEastAsia" w:hAnsiTheme="minorEastAsia"/>
          <w:b/>
          <w:sz w:val="18"/>
          <w:szCs w:val="18"/>
        </w:rPr>
        <w:t>存储</w:t>
      </w:r>
    </w:p>
    <w:tbl>
      <w:tblPr>
        <w:tblStyle w:val="59"/>
        <w:tblW w:w="8986" w:type="dxa"/>
        <w:jc w:val="center"/>
        <w:tblInd w:w="0" w:type="dxa"/>
        <w:tblLayout w:type="fixed"/>
        <w:tblCellMar>
          <w:top w:w="0" w:type="dxa"/>
          <w:left w:w="0" w:type="dxa"/>
          <w:bottom w:w="0" w:type="dxa"/>
          <w:right w:w="0" w:type="dxa"/>
        </w:tblCellMar>
      </w:tblPr>
      <w:tblGrid>
        <w:gridCol w:w="2398"/>
        <w:gridCol w:w="6588"/>
      </w:tblGrid>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指标项</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详细技术参数</w:t>
            </w:r>
          </w:p>
        </w:tc>
      </w:tr>
      <w:tr>
        <w:tblPrEx>
          <w:tblLayout w:type="fixed"/>
          <w:tblCellMar>
            <w:top w:w="0" w:type="dxa"/>
            <w:left w:w="0" w:type="dxa"/>
            <w:bottom w:w="0" w:type="dxa"/>
            <w:right w:w="0" w:type="dxa"/>
          </w:tblCellMar>
        </w:tblPrEx>
        <w:trPr>
          <w:trHeight w:val="397" w:hRule="atLeast"/>
          <w:jc w:val="center"/>
        </w:trPr>
        <w:tc>
          <w:tcPr>
            <w:tcW w:w="2398"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品牌要求</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非OEM或贴牌产品，与刀片服务器同一品牌</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控制器</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存储配置≥2个控制器，最大可以扩展到8个控制器引擎。（不包括外接虚拟化网关或者NAS控制器等）；</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配置处理器核数≥6核、频率≥2.0GHz；</w:t>
            </w:r>
          </w:p>
          <w:p>
            <w:pPr>
              <w:widowControl/>
              <w:wordWrap w:val="0"/>
              <w:spacing w:line="500" w:lineRule="exact"/>
              <w:rPr>
                <w:rFonts w:cs="宋体" w:asciiTheme="minorEastAsia" w:hAnsiTheme="minorEastAsia" w:eastAsiaTheme="minorEastAsia"/>
                <w:color w:val="000000"/>
                <w:kern w:val="0"/>
                <w:sz w:val="18"/>
                <w:szCs w:val="18"/>
              </w:rPr>
            </w:pP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主机连接端口支持</w:t>
            </w:r>
          </w:p>
        </w:tc>
        <w:tc>
          <w:tcPr>
            <w:tcW w:w="6588" w:type="dxa"/>
            <w:tcBorders>
              <w:top w:val="single" w:color="000000"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配置前端端口数≥10个16Gb FC接口；配置4个12Gbps SAS3.0磁盘接口,磁盘通道速率≥192Gb，最大支持16个磁盘接口；支持16Gbps FC，10Gbps iSCSI/FCoE，10GbE/1GbE NAS等，最大支持48个主机端口</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统一存储</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配置基于控制器的SAN+NAS软件授权，配置原生的NAS功能，无需另配NAS网关</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容量配置</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配置≥12块1.8TB 10K SAS磁盘；</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支持SSD、15K SAS、10K SAS和7.2K NL-SAS硬盘，包括400GB/1.92TB/3.84/7.68TB/15.36TB SSD，600GB/1.2TB/1.8TB SAS，2TB/4TB/6TB/8TB NL-SAS等；</w:t>
            </w:r>
          </w:p>
        </w:tc>
      </w:tr>
      <w:tr>
        <w:tblPrEx>
          <w:tblLayout w:type="fixed"/>
          <w:tblCellMar>
            <w:top w:w="0" w:type="dxa"/>
            <w:left w:w="0" w:type="dxa"/>
            <w:bottom w:w="0" w:type="dxa"/>
            <w:right w:w="0" w:type="dxa"/>
          </w:tblCellMar>
        </w:tblPrEx>
        <w:trPr>
          <w:trHeight w:val="60" w:hRule="atLeast"/>
          <w:jc w:val="center"/>
        </w:trPr>
        <w:tc>
          <w:tcPr>
            <w:tcW w:w="2398"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RAID级别</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支持所有硬盘可同时配置为RAID0/1/5/6，且可共存</w:t>
            </w:r>
          </w:p>
        </w:tc>
      </w:tr>
      <w:tr>
        <w:tblPrEx>
          <w:tblLayout w:type="fixed"/>
          <w:tblCellMar>
            <w:top w:w="0" w:type="dxa"/>
            <w:left w:w="0" w:type="dxa"/>
            <w:bottom w:w="0" w:type="dxa"/>
            <w:right w:w="0" w:type="dxa"/>
          </w:tblCellMar>
        </w:tblPrEx>
        <w:trPr>
          <w:trHeight w:val="172" w:hRule="atLeast"/>
          <w:jc w:val="center"/>
        </w:trPr>
        <w:tc>
          <w:tcPr>
            <w:tcW w:w="2398" w:type="dxa"/>
            <w:vMerge w:val="continue"/>
            <w:tcBorders>
              <w:left w:val="single" w:color="000000" w:sz="8" w:space="0"/>
              <w:right w:val="single" w:color="000000" w:sz="8" w:space="0"/>
            </w:tcBorders>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588"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支持多类型磁盘多方向、无中断在线数据迁移，迁移过程不影响业务性能</w:t>
            </w:r>
          </w:p>
        </w:tc>
      </w:tr>
      <w:tr>
        <w:tblPrEx>
          <w:tblLayout w:type="fixed"/>
          <w:tblCellMar>
            <w:top w:w="0" w:type="dxa"/>
            <w:left w:w="0" w:type="dxa"/>
            <w:bottom w:w="0" w:type="dxa"/>
            <w:right w:w="0" w:type="dxa"/>
          </w:tblCellMar>
        </w:tblPrEx>
        <w:trPr>
          <w:trHeight w:val="117" w:hRule="atLeast"/>
          <w:jc w:val="center"/>
        </w:trPr>
        <w:tc>
          <w:tcPr>
            <w:tcW w:w="2398" w:type="dxa"/>
            <w:vMerge w:val="continue"/>
            <w:tcBorders>
              <w:left w:val="single" w:color="000000" w:sz="8" w:space="0"/>
              <w:right w:val="single" w:color="000000" w:sz="8" w:space="0"/>
            </w:tcBorders>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588"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具备去零功能，提高空间利用率</w:t>
            </w:r>
          </w:p>
        </w:tc>
      </w:tr>
      <w:tr>
        <w:tblPrEx>
          <w:tblLayout w:type="fixed"/>
          <w:tblCellMar>
            <w:top w:w="0" w:type="dxa"/>
            <w:left w:w="0" w:type="dxa"/>
            <w:bottom w:w="0" w:type="dxa"/>
            <w:right w:w="0" w:type="dxa"/>
          </w:tblCellMar>
        </w:tblPrEx>
        <w:trPr>
          <w:trHeight w:val="180" w:hRule="atLeast"/>
          <w:jc w:val="center"/>
        </w:trPr>
        <w:tc>
          <w:tcPr>
            <w:tcW w:w="2398" w:type="dxa"/>
            <w:vMerge w:val="continue"/>
            <w:tcBorders>
              <w:left w:val="single" w:color="000000" w:sz="8" w:space="0"/>
              <w:bottom w:val="single" w:color="000000" w:sz="8" w:space="0"/>
              <w:right w:val="single" w:color="000000" w:sz="8" w:space="0"/>
            </w:tcBorders>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588"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支持无中断地RAID改变</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数据复制</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配置IP灾备复制接口2个；</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支持与同厂商中、高端型号阵列间实现存储底层复制：可远程复制、可在线迁移卷</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内部虚拟化</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配置存储内部虚拟化功能，以存储池的方式管理所有的存储空间，整合所有磁盘空间到一个存储池中，再进行统一空间分配，从而提高存储空间利用率及性能</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数据分层、优化和QoS</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配置分层软件功能，允许主机同一个LUN可使用不同类型磁盘，自动感知应用的需求，将同一个LUN的热点数据移动到高性能磁盘上，以提高应用的性能;支持访问优先级设定，可以设定最高、最低性能和IO响应时间</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配置软件功能</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配置全容量的精简配置软件；</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配置全容量的重复数据删除软件；</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配置数据卷快照；</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兼容性</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通过SNIA的SMI-SV1.5和V1.6CTP认证</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Oracle</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支持OracleASM自动回收未使用存储空间</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存储空间</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要求单存储设备小于等于2U，满足目前机房机柜空间及散热需求</w:t>
            </w:r>
          </w:p>
        </w:tc>
      </w:tr>
      <w:tr>
        <w:tblPrEx>
          <w:tblLayout w:type="fixed"/>
          <w:tblCellMar>
            <w:top w:w="0" w:type="dxa"/>
            <w:left w:w="0" w:type="dxa"/>
            <w:bottom w:w="0" w:type="dxa"/>
            <w:right w:w="0" w:type="dxa"/>
          </w:tblCellMar>
        </w:tblPrEx>
        <w:trPr>
          <w:trHeight w:val="397" w:hRule="atLeast"/>
          <w:jc w:val="center"/>
        </w:trPr>
        <w:tc>
          <w:tcPr>
            <w:tcW w:w="23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管理</w:t>
            </w:r>
          </w:p>
        </w:tc>
        <w:tc>
          <w:tcPr>
            <w:tcW w:w="65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支持图形化和命令方式的管理方式；</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提供固有的性能监控和分析功能，不需要增加额外的软件</w:t>
            </w:r>
          </w:p>
        </w:tc>
      </w:tr>
    </w:tbl>
    <w:p>
      <w:pPr>
        <w:rPr>
          <w:rFonts w:hint="eastAsia" w:asciiTheme="minorEastAsia" w:hAnsiTheme="minorEastAsia"/>
          <w:sz w:val="18"/>
          <w:szCs w:val="18"/>
        </w:rPr>
      </w:pPr>
    </w:p>
    <w:p>
      <w:pPr>
        <w:pStyle w:val="214"/>
        <w:numPr>
          <w:ilvl w:val="0"/>
          <w:numId w:val="32"/>
        </w:numPr>
        <w:wordWrap w:val="0"/>
        <w:spacing w:line="500" w:lineRule="exact"/>
        <w:ind w:firstLineChars="0"/>
        <w:rPr>
          <w:rFonts w:asciiTheme="minorEastAsia" w:hAnsiTheme="minorEastAsia"/>
          <w:b/>
          <w:sz w:val="18"/>
          <w:szCs w:val="18"/>
        </w:rPr>
      </w:pPr>
      <w:r>
        <w:rPr>
          <w:rFonts w:hint="eastAsia" w:asciiTheme="minorEastAsia" w:hAnsiTheme="minorEastAsia"/>
          <w:b/>
          <w:sz w:val="18"/>
          <w:szCs w:val="18"/>
        </w:rPr>
        <w:t>刀片服务器</w:t>
      </w:r>
    </w:p>
    <w:tbl>
      <w:tblPr>
        <w:tblStyle w:val="59"/>
        <w:tblW w:w="9231" w:type="dxa"/>
        <w:tblInd w:w="113" w:type="dxa"/>
        <w:tblLayout w:type="fixed"/>
        <w:tblCellMar>
          <w:top w:w="0" w:type="dxa"/>
          <w:left w:w="108" w:type="dxa"/>
          <w:bottom w:w="0" w:type="dxa"/>
          <w:right w:w="108" w:type="dxa"/>
        </w:tblCellMar>
      </w:tblPr>
      <w:tblGrid>
        <w:gridCol w:w="1905"/>
        <w:gridCol w:w="1152"/>
        <w:gridCol w:w="6174"/>
      </w:tblGrid>
      <w:tr>
        <w:tblPrEx>
          <w:tblLayout w:type="fixed"/>
          <w:tblCellMar>
            <w:top w:w="0" w:type="dxa"/>
            <w:left w:w="108" w:type="dxa"/>
            <w:bottom w:w="0" w:type="dxa"/>
            <w:right w:w="108" w:type="dxa"/>
          </w:tblCellMar>
        </w:tblPrEx>
        <w:trPr>
          <w:trHeight w:val="285" w:hRule="atLeast"/>
        </w:trPr>
        <w:tc>
          <w:tcPr>
            <w:tcW w:w="190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产品</w:t>
            </w:r>
          </w:p>
        </w:tc>
        <w:tc>
          <w:tcPr>
            <w:tcW w:w="1152" w:type="dxa"/>
            <w:tcBorders>
              <w:top w:val="single" w:color="auto" w:sz="4" w:space="0"/>
              <w:left w:val="nil"/>
              <w:bottom w:val="single" w:color="auto" w:sz="4" w:space="0"/>
              <w:right w:val="single" w:color="auto" w:sz="4" w:space="0"/>
            </w:tcBorders>
            <w:shd w:val="clear" w:color="000000"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指标项</w:t>
            </w:r>
          </w:p>
        </w:tc>
        <w:tc>
          <w:tcPr>
            <w:tcW w:w="6174" w:type="dxa"/>
            <w:tcBorders>
              <w:top w:val="single" w:color="auto" w:sz="4" w:space="0"/>
              <w:left w:val="nil"/>
              <w:bottom w:val="single" w:color="auto" w:sz="4" w:space="0"/>
              <w:right w:val="single" w:color="auto" w:sz="4" w:space="0"/>
            </w:tcBorders>
            <w:shd w:val="clear" w:color="000000"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指标要求</w:t>
            </w:r>
          </w:p>
        </w:tc>
      </w:tr>
      <w:tr>
        <w:tblPrEx>
          <w:tblLayout w:type="fixed"/>
          <w:tblCellMar>
            <w:top w:w="0" w:type="dxa"/>
            <w:left w:w="108" w:type="dxa"/>
            <w:bottom w:w="0" w:type="dxa"/>
            <w:right w:w="108" w:type="dxa"/>
          </w:tblCellMar>
        </w:tblPrEx>
        <w:trPr>
          <w:trHeight w:val="540"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刀箱</w:t>
            </w: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总体架构</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单机框支持集成刀片服务器、刀片网络模块、刀片存储、X86服务器虚拟化软件、存储虚拟化软件等组件</w:t>
            </w:r>
          </w:p>
        </w:tc>
      </w:tr>
      <w:tr>
        <w:tblPrEx>
          <w:tblLayout w:type="fixed"/>
          <w:tblCellMar>
            <w:top w:w="0" w:type="dxa"/>
            <w:left w:w="108" w:type="dxa"/>
            <w:bottom w:w="0" w:type="dxa"/>
            <w:right w:w="108" w:type="dxa"/>
          </w:tblCellMar>
        </w:tblPrEx>
        <w:trPr>
          <w:trHeight w:val="54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计算</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单个机框可支持≥8台两路刀片服务器或4台四路刀片服务器</w:t>
            </w:r>
          </w:p>
        </w:tc>
      </w:tr>
      <w:tr>
        <w:tblPrEx>
          <w:tblLayout w:type="fixed"/>
          <w:tblCellMar>
            <w:top w:w="0" w:type="dxa"/>
            <w:left w:w="108" w:type="dxa"/>
            <w:bottom w:w="0" w:type="dxa"/>
            <w:right w:w="108" w:type="dxa"/>
          </w:tblCellMar>
        </w:tblPrEx>
        <w:trPr>
          <w:trHeight w:val="615"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存储</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单个机框可支持≥8台刀片存储，每台刀片存储支持≥14个硬盘槽位</w:t>
            </w:r>
          </w:p>
        </w:tc>
      </w:tr>
      <w:tr>
        <w:tblPrEx>
          <w:tblLayout w:type="fixed"/>
          <w:tblCellMar>
            <w:top w:w="0" w:type="dxa"/>
            <w:left w:w="108" w:type="dxa"/>
            <w:bottom w:w="0" w:type="dxa"/>
            <w:right w:w="108" w:type="dxa"/>
          </w:tblCellMar>
        </w:tblPrEx>
        <w:trPr>
          <w:trHeight w:val="54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restart"/>
            <w:tcBorders>
              <w:top w:val="nil"/>
              <w:left w:val="nil"/>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网络</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单个机框可支持≥6台刀片网络模块</w:t>
            </w:r>
          </w:p>
        </w:tc>
      </w:tr>
      <w:tr>
        <w:tblPrEx>
          <w:tblLayout w:type="fixed"/>
          <w:tblCellMar>
            <w:top w:w="0" w:type="dxa"/>
            <w:left w:w="108" w:type="dxa"/>
            <w:bottom w:w="0" w:type="dxa"/>
            <w:right w:w="108" w:type="dxa"/>
          </w:tblCellMar>
        </w:tblPrEx>
        <w:trPr>
          <w:trHeight w:val="54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continue"/>
            <w:tcBorders>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单框配置2块交换机模块：冗余万兆以太网交换机，单个交换模块要求上行对外接口≥8个10GE端口和4个16G FC接口和4个40GE端口</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本次配置≥8*10GE多模光模块，配置≥4*16G FC多模光模块用于与存储相连</w:t>
            </w:r>
          </w:p>
        </w:tc>
      </w:tr>
      <w:tr>
        <w:tblPrEx>
          <w:tblLayout w:type="fixed"/>
          <w:tblCellMar>
            <w:top w:w="0" w:type="dxa"/>
            <w:left w:w="108" w:type="dxa"/>
            <w:bottom w:w="0" w:type="dxa"/>
            <w:right w:w="108" w:type="dxa"/>
          </w:tblCellMar>
        </w:tblPrEx>
        <w:trPr>
          <w:trHeight w:val="295"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背板</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无源背板，背板带宽≥42Tbps</w:t>
            </w:r>
          </w:p>
        </w:tc>
      </w:tr>
      <w:tr>
        <w:tblPrEx>
          <w:tblLayout w:type="fixed"/>
          <w:tblCellMar>
            <w:top w:w="0" w:type="dxa"/>
            <w:left w:w="108" w:type="dxa"/>
            <w:bottom w:w="0" w:type="dxa"/>
            <w:right w:w="108" w:type="dxa"/>
          </w:tblCellMar>
        </w:tblPrEx>
        <w:trPr>
          <w:trHeight w:val="316"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尺寸</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机箱高度≤12U</w:t>
            </w:r>
          </w:p>
        </w:tc>
      </w:tr>
      <w:tr>
        <w:tblPrEx>
          <w:tblLayout w:type="fixed"/>
          <w:tblCellMar>
            <w:top w:w="0" w:type="dxa"/>
            <w:left w:w="108" w:type="dxa"/>
            <w:bottom w:w="0" w:type="dxa"/>
            <w:right w:w="108" w:type="dxa"/>
          </w:tblCellMar>
        </w:tblPrEx>
        <w:trPr>
          <w:trHeight w:val="54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restart"/>
            <w:tcBorders>
              <w:top w:val="nil"/>
              <w:left w:val="single" w:color="auto" w:sz="4" w:space="0"/>
              <w:bottom w:val="single" w:color="000000"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硬件管理模块</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配置≥2个独立的管理模块，提供≥2个万兆速率网管口 </w:t>
            </w:r>
          </w:p>
        </w:tc>
      </w:tr>
      <w:tr>
        <w:tblPrEx>
          <w:tblLayout w:type="fixed"/>
          <w:tblCellMar>
            <w:top w:w="0" w:type="dxa"/>
            <w:left w:w="108" w:type="dxa"/>
            <w:bottom w:w="0" w:type="dxa"/>
            <w:right w:w="108" w:type="dxa"/>
          </w:tblCellMar>
        </w:tblPrEx>
        <w:trPr>
          <w:trHeight w:val="782"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continue"/>
            <w:tcBorders>
              <w:top w:val="nil"/>
              <w:left w:val="single" w:color="auto" w:sz="4" w:space="0"/>
              <w:bottom w:val="single" w:color="000000"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支持无需安装管理软件，远程实时监控整个机箱各部件的真实图形监控；显示内部网络互联、监控电源和风扇利用率，监控散热情况，并直接链接虚拟KVM和虚拟光驱</w:t>
            </w:r>
          </w:p>
        </w:tc>
      </w:tr>
      <w:tr>
        <w:tblPrEx>
          <w:tblLayout w:type="fixed"/>
          <w:tblCellMar>
            <w:top w:w="0" w:type="dxa"/>
            <w:left w:w="108" w:type="dxa"/>
            <w:bottom w:w="0" w:type="dxa"/>
            <w:right w:w="108" w:type="dxa"/>
          </w:tblCellMar>
        </w:tblPrEx>
        <w:trPr>
          <w:trHeight w:val="542"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面板</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提供LCD液晶显示屏，显示屏能够对刀箱进行初始化设置，如管理口IP地址设置，且显示设备的监控告警</w:t>
            </w:r>
          </w:p>
        </w:tc>
      </w:tr>
      <w:tr>
        <w:tblPrEx>
          <w:tblLayout w:type="fixed"/>
          <w:tblCellMar>
            <w:top w:w="0" w:type="dxa"/>
            <w:left w:w="108" w:type="dxa"/>
            <w:bottom w:w="0" w:type="dxa"/>
            <w:right w:w="108" w:type="dxa"/>
          </w:tblCellMar>
        </w:tblPrEx>
        <w:trPr>
          <w:trHeight w:val="427"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电源模块</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配置≥4个热插拔冗余电源模块，刀箱支持≥6个电源模块，支持N+1、N+N冗余模式</w:t>
            </w:r>
          </w:p>
        </w:tc>
      </w:tr>
      <w:tr>
        <w:tblPrEx>
          <w:tblLayout w:type="fixed"/>
          <w:tblCellMar>
            <w:top w:w="0" w:type="dxa"/>
            <w:left w:w="108" w:type="dxa"/>
            <w:bottom w:w="0" w:type="dxa"/>
            <w:right w:w="108" w:type="dxa"/>
          </w:tblCellMar>
        </w:tblPrEx>
        <w:trPr>
          <w:trHeight w:val="467"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散热模块</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配置≥12个风扇散热模块</w:t>
            </w:r>
          </w:p>
        </w:tc>
      </w:tr>
      <w:tr>
        <w:tblPrEx>
          <w:tblLayout w:type="fixed"/>
          <w:tblCellMar>
            <w:top w:w="0" w:type="dxa"/>
            <w:left w:w="108" w:type="dxa"/>
            <w:bottom w:w="0" w:type="dxa"/>
            <w:right w:w="108" w:type="dxa"/>
          </w:tblCellMar>
        </w:tblPrEx>
        <w:trPr>
          <w:trHeight w:val="467" w:hRule="atLeast"/>
        </w:trPr>
        <w:tc>
          <w:tcPr>
            <w:tcW w:w="1905" w:type="dxa"/>
            <w:vMerge w:val="restart"/>
            <w:tcBorders>
              <w:top w:val="nil"/>
              <w:left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超融合管理节点</w:t>
            </w: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处理器</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配置CPU处理器≥</w:t>
            </w:r>
            <w:r>
              <w:rPr>
                <w:rFonts w:hint="eastAsia" w:cs="仿宋" w:asciiTheme="minorEastAsia" w:hAnsiTheme="minorEastAsia" w:eastAsiaTheme="minorEastAsia"/>
                <w:color w:val="000000"/>
                <w:sz w:val="18"/>
                <w:szCs w:val="18"/>
              </w:rPr>
              <w:t>2.2GHz/4核</w:t>
            </w:r>
          </w:p>
        </w:tc>
      </w:tr>
      <w:tr>
        <w:tblPrEx>
          <w:tblLayout w:type="fixed"/>
          <w:tblCellMar>
            <w:top w:w="0" w:type="dxa"/>
            <w:left w:w="108" w:type="dxa"/>
            <w:bottom w:w="0" w:type="dxa"/>
            <w:right w:w="108" w:type="dxa"/>
          </w:tblCellMar>
        </w:tblPrEx>
        <w:trPr>
          <w:trHeight w:val="467" w:hRule="atLeast"/>
        </w:trPr>
        <w:tc>
          <w:tcPr>
            <w:tcW w:w="1905" w:type="dxa"/>
            <w:vMerge w:val="continue"/>
            <w:tcBorders>
              <w:left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内存</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本次配置≥16G DDR4内存</w:t>
            </w:r>
          </w:p>
        </w:tc>
      </w:tr>
      <w:tr>
        <w:tblPrEx>
          <w:tblLayout w:type="fixed"/>
          <w:tblCellMar>
            <w:top w:w="0" w:type="dxa"/>
            <w:left w:w="108" w:type="dxa"/>
            <w:bottom w:w="0" w:type="dxa"/>
            <w:right w:w="108" w:type="dxa"/>
          </w:tblCellMar>
        </w:tblPrEx>
        <w:trPr>
          <w:trHeight w:val="467" w:hRule="atLeast"/>
        </w:trPr>
        <w:tc>
          <w:tcPr>
            <w:tcW w:w="1905" w:type="dxa"/>
            <w:vMerge w:val="continue"/>
            <w:tcBorders>
              <w:left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硬盘</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本次硬盘配置≥240GB SSD盘</w:t>
            </w:r>
          </w:p>
        </w:tc>
      </w:tr>
      <w:tr>
        <w:tblPrEx>
          <w:tblLayout w:type="fixed"/>
          <w:tblCellMar>
            <w:top w:w="0" w:type="dxa"/>
            <w:left w:w="108" w:type="dxa"/>
            <w:bottom w:w="0" w:type="dxa"/>
            <w:right w:w="108" w:type="dxa"/>
          </w:tblCellMar>
        </w:tblPrEx>
        <w:trPr>
          <w:trHeight w:val="467" w:hRule="atLeast"/>
        </w:trPr>
        <w:tc>
          <w:tcPr>
            <w:tcW w:w="1905" w:type="dxa"/>
            <w:vMerge w:val="continue"/>
            <w:tcBorders>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网卡</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配置≥2个10GE接口</w:t>
            </w:r>
          </w:p>
        </w:tc>
      </w:tr>
      <w:tr>
        <w:tblPrEx>
          <w:tblLayout w:type="fixed"/>
          <w:tblCellMar>
            <w:top w:w="0" w:type="dxa"/>
            <w:left w:w="108" w:type="dxa"/>
            <w:bottom w:w="0" w:type="dxa"/>
            <w:right w:w="108" w:type="dxa"/>
          </w:tblCellMar>
        </w:tblPrEx>
        <w:trPr>
          <w:trHeight w:val="270"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两路计算节点 </w:t>
            </w: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▲处理器</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配置2颗Intel Xeon Gold 5118 可扩展处理器或优于此处理器</w:t>
            </w:r>
          </w:p>
        </w:tc>
      </w:tr>
      <w:tr>
        <w:tblPrEx>
          <w:tblLayout w:type="fixed"/>
          <w:tblCellMar>
            <w:top w:w="0" w:type="dxa"/>
            <w:left w:w="108" w:type="dxa"/>
            <w:bottom w:w="0" w:type="dxa"/>
            <w:right w:w="108" w:type="dxa"/>
          </w:tblCellMar>
        </w:tblPrEx>
        <w:trPr>
          <w:trHeight w:val="27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restart"/>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内存</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本次配置≥128G DDR4内存；</w:t>
            </w:r>
          </w:p>
        </w:tc>
      </w:tr>
      <w:tr>
        <w:tblPrEx>
          <w:tblLayout w:type="fixed"/>
          <w:tblCellMar>
            <w:top w:w="0" w:type="dxa"/>
            <w:left w:w="108" w:type="dxa"/>
            <w:bottom w:w="0" w:type="dxa"/>
            <w:right w:w="108" w:type="dxa"/>
          </w:tblCellMar>
        </w:tblPrEx>
        <w:trPr>
          <w:trHeight w:val="27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支持支持≥24个内存插槽，DDR4 2666MT/s内存</w:t>
            </w:r>
          </w:p>
        </w:tc>
      </w:tr>
      <w:tr>
        <w:tblPrEx>
          <w:tblLayout w:type="fixed"/>
          <w:tblCellMar>
            <w:top w:w="0" w:type="dxa"/>
            <w:left w:w="108" w:type="dxa"/>
            <w:bottom w:w="0" w:type="dxa"/>
            <w:right w:w="108" w:type="dxa"/>
          </w:tblCellMar>
        </w:tblPrEx>
        <w:trPr>
          <w:trHeight w:val="66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网卡</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当前配置≥4个10GE接口；</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支持单端口虚拟成4个虚端口，支持TOE、TCP/IP卸载、iSCSI加速、SR-IOV、FCOE</w:t>
            </w:r>
          </w:p>
        </w:tc>
      </w:tr>
      <w:tr>
        <w:tblPrEx>
          <w:tblLayout w:type="fixed"/>
          <w:tblCellMar>
            <w:top w:w="0" w:type="dxa"/>
            <w:left w:w="108" w:type="dxa"/>
            <w:bottom w:w="0" w:type="dxa"/>
            <w:right w:w="108" w:type="dxa"/>
          </w:tblCellMar>
        </w:tblPrEx>
        <w:trPr>
          <w:trHeight w:val="139"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restart"/>
            <w:tcBorders>
              <w:top w:val="nil"/>
              <w:left w:val="nil"/>
              <w:right w:val="single" w:color="auto" w:sz="4" w:space="0"/>
            </w:tcBorders>
            <w:shd w:val="clear" w:color="auto" w:fill="auto"/>
            <w:vAlign w:val="center"/>
          </w:tcPr>
          <w:p>
            <w:pPr>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硬盘</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本次硬盘配置≥2*300GB 10K SAS盘；</w:t>
            </w:r>
          </w:p>
        </w:tc>
      </w:tr>
      <w:tr>
        <w:tblPrEx>
          <w:tblLayout w:type="fixed"/>
          <w:tblCellMar>
            <w:top w:w="0" w:type="dxa"/>
            <w:left w:w="108" w:type="dxa"/>
            <w:bottom w:w="0" w:type="dxa"/>
            <w:right w:w="108" w:type="dxa"/>
          </w:tblCellMar>
        </w:tblPrEx>
        <w:trPr>
          <w:trHeight w:val="70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continue"/>
            <w:tcBorders>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支持SATA/SAS/NVMe硬盘；</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板载支持2个Micro SD卡槽位；</w:t>
            </w:r>
          </w:p>
        </w:tc>
      </w:tr>
      <w:tr>
        <w:tblPrEx>
          <w:tblLayout w:type="fixed"/>
          <w:tblCellMar>
            <w:top w:w="0" w:type="dxa"/>
            <w:left w:w="108" w:type="dxa"/>
            <w:bottom w:w="0" w:type="dxa"/>
            <w:right w:w="108" w:type="dxa"/>
          </w:tblCellMar>
        </w:tblPrEx>
        <w:trPr>
          <w:trHeight w:val="614"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控制卡</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配置独立Raid卡，配置4GB缓存模块，提供FBWC数据保护模式，支持RAID0/1</w:t>
            </w:r>
          </w:p>
        </w:tc>
      </w:tr>
      <w:tr>
        <w:tblPrEx>
          <w:tblLayout w:type="fixed"/>
          <w:tblCellMar>
            <w:top w:w="0" w:type="dxa"/>
            <w:left w:w="108" w:type="dxa"/>
            <w:bottom w:w="0" w:type="dxa"/>
            <w:right w:w="108" w:type="dxa"/>
          </w:tblCellMar>
        </w:tblPrEx>
        <w:trPr>
          <w:trHeight w:val="365"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扩展I/O</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最多支持4个PCIe 3.0槽位</w:t>
            </w:r>
          </w:p>
        </w:tc>
      </w:tr>
      <w:tr>
        <w:tblPrEx>
          <w:tblLayout w:type="fixed"/>
          <w:tblCellMar>
            <w:top w:w="0" w:type="dxa"/>
            <w:left w:w="108" w:type="dxa"/>
            <w:bottom w:w="0" w:type="dxa"/>
            <w:right w:w="108" w:type="dxa"/>
          </w:tblCellMar>
        </w:tblPrEx>
        <w:trPr>
          <w:trHeight w:val="270"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四路计算节点 </w:t>
            </w: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▲处理器</w:t>
            </w:r>
          </w:p>
        </w:tc>
        <w:tc>
          <w:tcPr>
            <w:tcW w:w="6174" w:type="dxa"/>
            <w:tcBorders>
              <w:top w:val="nil"/>
              <w:left w:val="nil"/>
              <w:bottom w:val="single" w:color="auto" w:sz="4" w:space="0"/>
              <w:right w:val="single" w:color="auto" w:sz="4" w:space="0"/>
            </w:tcBorders>
            <w:shd w:val="clear" w:color="000000" w:fill="FFFFFF"/>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配置4颗Intel Xeon Gold 5118可扩展处理器或优于此处理器</w:t>
            </w:r>
          </w:p>
        </w:tc>
      </w:tr>
      <w:tr>
        <w:tblPrEx>
          <w:tblLayout w:type="fixed"/>
          <w:tblCellMar>
            <w:top w:w="0" w:type="dxa"/>
            <w:left w:w="108" w:type="dxa"/>
            <w:bottom w:w="0" w:type="dxa"/>
            <w:right w:w="108" w:type="dxa"/>
          </w:tblCellMar>
        </w:tblPrEx>
        <w:trPr>
          <w:trHeight w:val="27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restart"/>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内存</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本次配置≥256G DDR4内存；</w:t>
            </w:r>
          </w:p>
        </w:tc>
      </w:tr>
      <w:tr>
        <w:tblPrEx>
          <w:tblLayout w:type="fixed"/>
          <w:tblCellMar>
            <w:top w:w="0" w:type="dxa"/>
            <w:left w:w="108" w:type="dxa"/>
            <w:bottom w:w="0" w:type="dxa"/>
            <w:right w:w="108" w:type="dxa"/>
          </w:tblCellMar>
        </w:tblPrEx>
        <w:trPr>
          <w:trHeight w:val="27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支持支持≥48个内存插槽，DDR4 2666MT/s内存</w:t>
            </w:r>
          </w:p>
        </w:tc>
      </w:tr>
      <w:tr>
        <w:tblPrEx>
          <w:tblLayout w:type="fixed"/>
          <w:tblCellMar>
            <w:top w:w="0" w:type="dxa"/>
            <w:left w:w="108" w:type="dxa"/>
            <w:bottom w:w="0" w:type="dxa"/>
            <w:right w:w="108" w:type="dxa"/>
          </w:tblCellMar>
        </w:tblPrEx>
        <w:trPr>
          <w:trHeight w:val="540"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网卡</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当前配置≥4个10GE接口；</w:t>
            </w:r>
          </w:p>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支持单端口虚拟成4个虚端口，支持TOE、TCP/IP卸载、iSCSI加速、SR-IOV、FCOE</w:t>
            </w:r>
          </w:p>
        </w:tc>
      </w:tr>
      <w:tr>
        <w:tblPrEx>
          <w:tblLayout w:type="fixed"/>
          <w:tblCellMar>
            <w:top w:w="0" w:type="dxa"/>
            <w:left w:w="108" w:type="dxa"/>
            <w:bottom w:w="0" w:type="dxa"/>
            <w:right w:w="108" w:type="dxa"/>
          </w:tblCellMar>
        </w:tblPrEx>
        <w:trPr>
          <w:trHeight w:val="355"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restart"/>
            <w:tcBorders>
              <w:top w:val="nil"/>
              <w:left w:val="nil"/>
              <w:right w:val="single" w:color="auto" w:sz="4" w:space="0"/>
            </w:tcBorders>
            <w:shd w:val="clear" w:color="auto" w:fill="auto"/>
            <w:vAlign w:val="center"/>
          </w:tcPr>
          <w:p>
            <w:pPr>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硬盘</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本次硬盘配置≥2*300GB 10K SAS盘；</w:t>
            </w:r>
          </w:p>
        </w:tc>
      </w:tr>
      <w:tr>
        <w:tblPrEx>
          <w:tblLayout w:type="fixed"/>
          <w:tblCellMar>
            <w:top w:w="0" w:type="dxa"/>
            <w:left w:w="108" w:type="dxa"/>
            <w:bottom w:w="0" w:type="dxa"/>
            <w:right w:w="108" w:type="dxa"/>
          </w:tblCellMar>
        </w:tblPrEx>
        <w:trPr>
          <w:trHeight w:val="842"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vMerge w:val="continue"/>
            <w:tcBorders>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6174" w:type="dxa"/>
            <w:tcBorders>
              <w:top w:val="nil"/>
              <w:left w:val="nil"/>
              <w:bottom w:val="single" w:color="auto" w:sz="4" w:space="0"/>
              <w:right w:val="single" w:color="auto" w:sz="4" w:space="0"/>
            </w:tcBorders>
            <w:shd w:val="clear" w:color="auto" w:fill="auto"/>
            <w:vAlign w:val="center"/>
          </w:tcPr>
          <w:p>
            <w:pPr>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支持SATA/SAS/NVMe硬盘；</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板载支持2个Micro SD卡槽位；</w:t>
            </w:r>
          </w:p>
        </w:tc>
      </w:tr>
      <w:tr>
        <w:tblPrEx>
          <w:tblLayout w:type="fixed"/>
          <w:tblCellMar>
            <w:top w:w="0" w:type="dxa"/>
            <w:left w:w="108" w:type="dxa"/>
            <w:bottom w:w="0" w:type="dxa"/>
            <w:right w:w="108" w:type="dxa"/>
          </w:tblCellMar>
        </w:tblPrEx>
        <w:trPr>
          <w:trHeight w:val="175"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控制卡</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配置独立Raid卡，配置4GB缓存模块，提供FBWC数据保护模式，支持RAID0/1</w:t>
            </w:r>
          </w:p>
        </w:tc>
      </w:tr>
      <w:tr>
        <w:tblPrEx>
          <w:tblLayout w:type="fixed"/>
          <w:tblCellMar>
            <w:top w:w="0" w:type="dxa"/>
            <w:left w:w="108" w:type="dxa"/>
            <w:bottom w:w="0" w:type="dxa"/>
            <w:right w:w="108" w:type="dxa"/>
          </w:tblCellMar>
        </w:tblPrEx>
        <w:trPr>
          <w:trHeight w:val="241" w:hRule="atLeast"/>
        </w:trPr>
        <w:tc>
          <w:tcPr>
            <w:tcW w:w="1905" w:type="dxa"/>
            <w:vMerge w:val="continue"/>
            <w:tcBorders>
              <w:top w:val="nil"/>
              <w:left w:val="single" w:color="auto" w:sz="4" w:space="0"/>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p>
        </w:tc>
        <w:tc>
          <w:tcPr>
            <w:tcW w:w="1152"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扩展I/O</w:t>
            </w:r>
          </w:p>
        </w:tc>
        <w:tc>
          <w:tcPr>
            <w:tcW w:w="6174" w:type="dxa"/>
            <w:tcBorders>
              <w:top w:val="nil"/>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最多支持8个PCIe 3.0槽位</w:t>
            </w:r>
          </w:p>
        </w:tc>
      </w:tr>
      <w:tr>
        <w:tblPrEx>
          <w:tblLayout w:type="fixed"/>
          <w:tblCellMar>
            <w:top w:w="0" w:type="dxa"/>
            <w:left w:w="108" w:type="dxa"/>
            <w:bottom w:w="0" w:type="dxa"/>
            <w:right w:w="108" w:type="dxa"/>
          </w:tblCellMar>
        </w:tblPrEx>
        <w:trPr>
          <w:trHeight w:val="359" w:hRule="atLeast"/>
        </w:trPr>
        <w:tc>
          <w:tcPr>
            <w:tcW w:w="30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5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服务</w:t>
            </w:r>
          </w:p>
        </w:tc>
        <w:tc>
          <w:tcPr>
            <w:tcW w:w="6174" w:type="dxa"/>
            <w:tcBorders>
              <w:top w:val="single" w:color="auto" w:sz="4" w:space="0"/>
              <w:left w:val="nil"/>
              <w:bottom w:val="single" w:color="auto" w:sz="4" w:space="0"/>
              <w:right w:val="single" w:color="auto" w:sz="4" w:space="0"/>
            </w:tcBorders>
            <w:shd w:val="clear" w:color="auto" w:fill="auto"/>
            <w:vAlign w:val="center"/>
          </w:tcPr>
          <w:p>
            <w:pPr>
              <w:widowControl/>
              <w:wordWrap w:val="0"/>
              <w:spacing w:line="5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签合同时提供原厂3年服务承诺函（原件）</w:t>
            </w:r>
          </w:p>
        </w:tc>
      </w:tr>
    </w:tbl>
    <w:p>
      <w:pPr>
        <w:rPr>
          <w:rFonts w:hint="eastAsia" w:asciiTheme="minorEastAsia" w:hAnsiTheme="minorEastAsia"/>
          <w:sz w:val="18"/>
          <w:szCs w:val="18"/>
        </w:rPr>
      </w:pPr>
    </w:p>
    <w:p>
      <w:pPr>
        <w:spacing w:before="156"/>
        <w:rPr>
          <w:rFonts w:ascii="宋体" w:hAnsi="宋体" w:cs="宋体"/>
          <w:b/>
          <w:szCs w:val="21"/>
        </w:rPr>
      </w:pPr>
    </w:p>
    <w:p>
      <w:pPr>
        <w:spacing w:before="156"/>
        <w:rPr>
          <w:rFonts w:hint="eastAsia" w:cs="宋体" w:asciiTheme="minorEastAsia" w:hAnsiTheme="minorEastAsia"/>
          <w:b/>
          <w:kern w:val="0"/>
          <w:sz w:val="18"/>
          <w:szCs w:val="18"/>
        </w:rPr>
      </w:pPr>
      <w:r>
        <w:rPr>
          <w:rFonts w:hint="eastAsia" w:ascii="宋体" w:hAnsi="宋体" w:cs="宋体"/>
          <w:b/>
          <w:szCs w:val="21"/>
          <w:lang w:val="en-GB"/>
        </w:rPr>
        <w:t>3.</w:t>
      </w:r>
      <w:r>
        <w:rPr>
          <w:rFonts w:hint="eastAsia" w:cs="宋体" w:asciiTheme="minorEastAsia" w:hAnsiTheme="minorEastAsia"/>
          <w:b/>
          <w:kern w:val="0"/>
          <w:sz w:val="18"/>
          <w:szCs w:val="18"/>
        </w:rPr>
        <w:t>云存储监控备份要求满足全区所有学校一个月以上的视频存储，中标方可以利用已有资源，以下为设备最低技术规范：</w:t>
      </w:r>
    </w:p>
    <w:p>
      <w:pPr>
        <w:spacing w:before="156"/>
        <w:rPr>
          <w:rFonts w:ascii="宋体" w:hAnsi="宋体" w:cs="宋体"/>
          <w:b/>
          <w:szCs w:val="21"/>
          <w:lang w:val="en-GB"/>
        </w:rPr>
      </w:pPr>
    </w:p>
    <w:tbl>
      <w:tblPr>
        <w:tblStyle w:val="59"/>
        <w:tblW w:w="9087" w:type="dxa"/>
        <w:tblInd w:w="0" w:type="dxa"/>
        <w:tblLayout w:type="fixed"/>
        <w:tblCellMar>
          <w:top w:w="15" w:type="dxa"/>
          <w:left w:w="15" w:type="dxa"/>
          <w:bottom w:w="15" w:type="dxa"/>
          <w:right w:w="15" w:type="dxa"/>
        </w:tblCellMar>
      </w:tblPr>
      <w:tblGrid>
        <w:gridCol w:w="652"/>
        <w:gridCol w:w="653"/>
        <w:gridCol w:w="652"/>
        <w:gridCol w:w="653"/>
        <w:gridCol w:w="6477"/>
      </w:tblGrid>
      <w:tr>
        <w:tblPrEx>
          <w:tblLayout w:type="fixed"/>
          <w:tblCellMar>
            <w:top w:w="15" w:type="dxa"/>
            <w:left w:w="15" w:type="dxa"/>
            <w:bottom w:w="15" w:type="dxa"/>
            <w:right w:w="15" w:type="dxa"/>
          </w:tblCellMar>
        </w:tblPrEx>
        <w:trPr>
          <w:trHeight w:val="28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序号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设备名称</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单位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数量</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kern w:val="0"/>
                <w:sz w:val="18"/>
                <w:szCs w:val="18"/>
              </w:rPr>
              <w:t>技术参数要求</w:t>
            </w:r>
          </w:p>
        </w:tc>
      </w:tr>
      <w:tr>
        <w:tblPrEx>
          <w:tblLayout w:type="fixed"/>
          <w:tblCellMar>
            <w:top w:w="15" w:type="dxa"/>
            <w:left w:w="15" w:type="dxa"/>
            <w:bottom w:w="15" w:type="dxa"/>
            <w:right w:w="15" w:type="dxa"/>
          </w:tblCellMar>
        </w:tblPrEx>
        <w:trPr>
          <w:trHeight w:val="182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stheme="minorBidi"/>
                <w:sz w:val="18"/>
                <w:szCs w:val="18"/>
              </w:rPr>
              <w:t>云存储管理节点服务器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asciiTheme="minorEastAsia" w:hAnsiTheme="minorEastAsia" w:eastAsiaTheme="minorEastAsia" w:cstheme="minorBidi"/>
                <w:sz w:val="18"/>
                <w:szCs w:val="18"/>
              </w:rPr>
              <w:t>2颗E5-2620 V3/32GB DDR4 ECC/480G SSD x3 + 150G SSD x1/热插拔/以太网口1Gx2/冗余电源/2U</w:t>
            </w:r>
            <w:r>
              <w:rPr>
                <w:rFonts w:hint="eastAsia" w:asciiTheme="minorEastAsia" w:hAnsiTheme="minorEastAsia" w:eastAsiaTheme="minorEastAsia" w:cstheme="minorBidi"/>
                <w:sz w:val="18"/>
                <w:szCs w:val="18"/>
              </w:rPr>
              <w:t>/操作系统：</w:t>
            </w:r>
            <w:r>
              <w:rPr>
                <w:rFonts w:asciiTheme="minorEastAsia" w:hAnsiTheme="minorEastAsia" w:eastAsiaTheme="minorEastAsia" w:cstheme="minorBidi"/>
                <w:sz w:val="18"/>
                <w:szCs w:val="18"/>
              </w:rPr>
              <w:t>CentOS7 64位</w:t>
            </w:r>
          </w:p>
        </w:tc>
      </w:tr>
      <w:tr>
        <w:tblPrEx>
          <w:tblLayout w:type="fixed"/>
          <w:tblCellMar>
            <w:top w:w="15" w:type="dxa"/>
            <w:left w:w="15" w:type="dxa"/>
            <w:bottom w:w="15" w:type="dxa"/>
            <w:right w:w="15" w:type="dxa"/>
          </w:tblCellMar>
        </w:tblPrEx>
        <w:trPr>
          <w:trHeight w:val="1661"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stheme="minorBidi"/>
                <w:sz w:val="18"/>
                <w:szCs w:val="18"/>
              </w:rPr>
              <w:t>云存储运维节点服务器</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cstheme="minorBidi"/>
                <w:sz w:val="18"/>
                <w:szCs w:val="18"/>
              </w:rPr>
              <w:t>2颗E5-2620 V4/16GB DDR4 ECC/1T SATA磁盘x1 /240G SSDx1/硬盘支持热插拔/以太网口1Gx2/冗余电源/2U/ HIKOS 64位</w:t>
            </w:r>
          </w:p>
        </w:tc>
      </w:tr>
      <w:tr>
        <w:tblPrEx>
          <w:tblLayout w:type="fixed"/>
          <w:tblCellMar>
            <w:top w:w="15" w:type="dxa"/>
            <w:left w:w="15" w:type="dxa"/>
            <w:bottom w:w="15" w:type="dxa"/>
            <w:right w:w="15" w:type="dxa"/>
          </w:tblCellMar>
        </w:tblPrEx>
        <w:trPr>
          <w:trHeight w:val="65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云存储软件</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6477" w:type="dxa"/>
            <w:tcBorders>
              <w:top w:val="single" w:color="000000" w:sz="4" w:space="0"/>
              <w:left w:val="single" w:color="000000" w:sz="4" w:space="0"/>
              <w:bottom w:val="single" w:color="000000" w:sz="4" w:space="0"/>
              <w:right w:val="single" w:color="000000" w:sz="4" w:space="0"/>
            </w:tcBorders>
            <w:shd w:val="clear" w:color="auto" w:fill="auto"/>
          </w:tcPr>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系统由管理节点和</w:t>
            </w:r>
            <w:r>
              <w:rPr>
                <w:rFonts w:asciiTheme="minorEastAsia" w:hAnsiTheme="minorEastAsia" w:eastAsiaTheme="minorEastAsia" w:cstheme="minorBidi"/>
                <w:sz w:val="18"/>
                <w:szCs w:val="18"/>
              </w:rPr>
              <w:t>/或存储节点组成，且系统可扩容，增加管理或存储节点。在多节点系统中，任何一个存储节点出现故障，应不影响数据的正常存取；支持控制流与数据流分离，数据的存储或读取由存储节点并行读写。</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支持分布式对称架构与非对称架构自由切换，即支持对称架构可升级为非对称架构。</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管理节点支持单机、</w:t>
            </w:r>
            <w:r>
              <w:rPr>
                <w:rFonts w:asciiTheme="minorEastAsia" w:hAnsiTheme="minorEastAsia" w:eastAsiaTheme="minorEastAsia" w:cstheme="minorBidi"/>
                <w:sz w:val="18"/>
                <w:szCs w:val="18"/>
              </w:rPr>
              <w:t>HA 主备、集群3 种工作模式，管理节点支持2N+1个节点构成的All-Active 集群方式，最大可支持17个节点，管理节点和存储节点都为对等工作模式对外提供服务，元数据副本数最大可达32个副本。</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支持多网域地址映射，可从多个网域访问云存储</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统一命名空间，将所有物理存储资源虚拟化成统一的存储空间，以唯一业务</w:t>
            </w:r>
            <w:r>
              <w:rPr>
                <w:rFonts w:asciiTheme="minorEastAsia" w:hAnsiTheme="minorEastAsia" w:eastAsiaTheme="minorEastAsia" w:cstheme="minorBidi"/>
                <w:sz w:val="18"/>
                <w:szCs w:val="18"/>
              </w:rPr>
              <w:t>IP地址对外提供存储服务。</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支持存储空间虚拟化管理。支持多存储设备容量整合，形成录像池；可根据用户业务分配通用、文件、视频、图片等类型存储空间；支持在线弹性伸缩录像池的容量空间，不影响业务继续读写</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数据分散存储到存储节点上，数据呈离散式分布。</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云存储支持补录（包括历史流计划补录、手动补录、云间历史流回传等）流控，支持针对不同的通道设置不同的流控速度</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支持实时录像路数、录像回放路数、录像下载路数统计及展示</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支持进行</w:t>
            </w:r>
            <w:r>
              <w:rPr>
                <w:rFonts w:asciiTheme="minorEastAsia" w:hAnsiTheme="minorEastAsia" w:eastAsiaTheme="minorEastAsia" w:cstheme="minorBidi"/>
                <w:sz w:val="18"/>
                <w:szCs w:val="18"/>
              </w:rPr>
              <w:t>2、4、6、8、16、32、64倍速全帧快进及倒退；进度条拖动视频画面毫秒级（50ms内）响应，不黑屏；快进及倒退相互切换毫秒级(50ms内)响应，不黑屏</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支持为每路视频定期生成一张视频封面，视频封面更新采用循环覆盖的方式，仅保留最近生成的一张封面。</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支持录像正放切换为倒放，及倒放切换为正放；支持正放</w:t>
            </w:r>
            <w:r>
              <w:rPr>
                <w:rFonts w:asciiTheme="minorEastAsia" w:hAnsiTheme="minorEastAsia" w:eastAsiaTheme="minorEastAsia" w:cstheme="minorBidi"/>
                <w:sz w:val="18"/>
                <w:szCs w:val="18"/>
              </w:rPr>
              <w:t>1/16、1/8、1/4、1/2、2、4、8、16、32、64、128、256倍速切换为倒放的对应倍速</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图片下载时支持对图片进行旋转</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支持时区设置，支持客户端与云存储设备在不同的时区，录像时间段不受异地时区影响。</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支持同一个资源池中创建不同的存储级别，可根据业务类别不同分别创建视频池、图片池、通用池、文件池</w:t>
            </w:r>
            <w:r>
              <w:rPr>
                <w:rFonts w:asciiTheme="minorEastAsia" w:hAnsiTheme="minorEastAsia" w:eastAsiaTheme="minorEastAsia" w:cstheme="minorBidi"/>
                <w:sz w:val="18"/>
                <w:szCs w:val="18"/>
              </w:rPr>
              <w:t xml:space="preserve">; </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支持视频点位监控录像出现异常时及时告警，设备支持以分钟为精度对录像完整性监控，当录像连续丢失</w:t>
            </w:r>
            <w:r>
              <w:rPr>
                <w:rFonts w:asciiTheme="minorEastAsia" w:hAnsiTheme="minorEastAsia" w:eastAsiaTheme="minorEastAsia" w:cstheme="minorBidi"/>
                <w:sz w:val="18"/>
                <w:szCs w:val="18"/>
              </w:rPr>
              <w:t>1分钟及以上时，自动判定该小时录像为异常。</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支持对频繁上报的同一个告警信息进行分析过滤，经过告警分析规则的过滤后，支持在指定时间后再一次上报到运维平台。</w:t>
            </w:r>
          </w:p>
          <w:p>
            <w:pPr>
              <w:rPr>
                <w:rFonts w:asciiTheme="minorEastAsia" w:hAnsiTheme="minorEastAsia" w:eastAsiaTheme="minorEastAsia" w:cstheme="minorBidi"/>
                <w:sz w:val="18"/>
                <w:szCs w:val="18"/>
              </w:rPr>
            </w:pPr>
          </w:p>
        </w:tc>
      </w:tr>
      <w:tr>
        <w:tblPrEx>
          <w:tblLayout w:type="fixed"/>
          <w:tblCellMar>
            <w:top w:w="15" w:type="dxa"/>
            <w:left w:w="15" w:type="dxa"/>
            <w:bottom w:w="15" w:type="dxa"/>
            <w:right w:w="15" w:type="dxa"/>
          </w:tblCellMar>
        </w:tblPrEx>
        <w:trPr>
          <w:trHeight w:val="65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cs="宋体" w:asciiTheme="minorEastAsia" w:hAnsiTheme="minorEastAsia" w:eastAsiaTheme="minorEastAsia"/>
                <w:color w:val="000000"/>
                <w:kern w:val="0"/>
                <w:sz w:val="18"/>
                <w:szCs w:val="18"/>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存储节点</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cs="宋体" w:asciiTheme="minorEastAsia" w:hAnsiTheme="minorEastAsia" w:eastAsiaTheme="minorEastAsia"/>
                <w:color w:val="000000"/>
                <w:kern w:val="0"/>
                <w:sz w:val="18"/>
                <w:szCs w:val="18"/>
              </w:rPr>
              <w:t>5</w:t>
            </w:r>
          </w:p>
        </w:tc>
        <w:tc>
          <w:tcPr>
            <w:tcW w:w="6477" w:type="dxa"/>
            <w:tcBorders>
              <w:top w:val="single" w:color="000000" w:sz="4" w:space="0"/>
              <w:left w:val="single" w:color="000000" w:sz="4" w:space="0"/>
              <w:bottom w:val="single" w:color="000000" w:sz="4" w:space="0"/>
              <w:right w:val="single" w:color="000000" w:sz="4" w:space="0"/>
            </w:tcBorders>
            <w:shd w:val="clear" w:color="auto" w:fill="auto"/>
          </w:tcPr>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单设备应配置≥</w:t>
            </w:r>
            <w:r>
              <w:rPr>
                <w:rFonts w:asciiTheme="minorEastAsia" w:hAnsiTheme="minorEastAsia" w:eastAsiaTheme="minorEastAsia" w:cstheme="minorBidi"/>
                <w:sz w:val="18"/>
                <w:szCs w:val="18"/>
              </w:rPr>
              <w:t>64位多核处理器，≥4GB内存，内存支持扩展到≥64GB，需配置冗余金牌电源，支持双系统</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单设备应标配≥</w:t>
            </w:r>
            <w:r>
              <w:rPr>
                <w:rFonts w:asciiTheme="minorEastAsia" w:hAnsiTheme="minorEastAsia" w:eastAsiaTheme="minorEastAsia" w:cstheme="minorBidi"/>
                <w:sz w:val="18"/>
                <w:szCs w:val="18"/>
              </w:rPr>
              <w:t>2个千兆网口，可增扩≥4个万兆口或≥8个光纤接口或增配≥4个HDMI接口或≥2个SAS3.0接口，可扩展2个SSD固态硬盘</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应支持</w:t>
            </w:r>
            <w:r>
              <w:rPr>
                <w:rFonts w:asciiTheme="minorEastAsia" w:hAnsiTheme="minorEastAsia" w:eastAsiaTheme="minorEastAsia" w:cstheme="minorBidi"/>
                <w:sz w:val="18"/>
                <w:szCs w:val="18"/>
              </w:rPr>
              <w:t>FCSAN、IPSAN、NAS存储功能</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可接入</w:t>
            </w:r>
            <w:r>
              <w:rPr>
                <w:rFonts w:asciiTheme="minorEastAsia" w:hAnsiTheme="minorEastAsia" w:eastAsiaTheme="minorEastAsia" w:cstheme="minorBidi"/>
                <w:sz w:val="18"/>
                <w:szCs w:val="18"/>
              </w:rPr>
              <w:t>2T/3T/4T/6T/8T/10TSATA磁盘，支持磁盘交错启动和漫游，并支持在线热插拔；</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支持按毫秒级自定义时间段进行视频精准检索、回放、下载，回放支持豪秒级定位回放、关键帧回放、回放暂停、倍速快放、慢放等。</w:t>
            </w:r>
          </w:p>
          <w:p>
            <w:pPr>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一个控制器内支持双系统，当主系统异常时，能从备系统启动；支持控制器热插拔</w:t>
            </w:r>
          </w:p>
        </w:tc>
      </w:tr>
      <w:tr>
        <w:tblPrEx>
          <w:tblLayout w:type="fixed"/>
          <w:tblCellMar>
            <w:top w:w="15" w:type="dxa"/>
            <w:left w:w="15" w:type="dxa"/>
            <w:bottom w:w="15" w:type="dxa"/>
            <w:right w:w="15" w:type="dxa"/>
          </w:tblCellMar>
        </w:tblPrEx>
        <w:trPr>
          <w:trHeight w:val="285"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cs="宋体" w:asciiTheme="minorEastAsia" w:hAnsiTheme="minorEastAsia" w:eastAsiaTheme="minorEastAsia"/>
                <w:color w:val="000000"/>
                <w:kern w:val="0"/>
                <w:sz w:val="18"/>
                <w:szCs w:val="18"/>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企业级硬盘</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块</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r>
              <w:rPr>
                <w:rFonts w:cs="宋体" w:asciiTheme="minorEastAsia" w:hAnsiTheme="minorEastAsia" w:eastAsiaTheme="minorEastAsia"/>
                <w:color w:val="000000"/>
                <w:kern w:val="0"/>
                <w:sz w:val="18"/>
                <w:szCs w:val="18"/>
              </w:rPr>
              <w:t>240</w:t>
            </w:r>
          </w:p>
        </w:tc>
        <w:tc>
          <w:tcPr>
            <w:tcW w:w="6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宋体" w:asciiTheme="minorEastAsia" w:hAnsiTheme="minorEastAsia" w:eastAsiaTheme="minorEastAsia"/>
                <w:color w:val="000000"/>
                <w:sz w:val="18"/>
                <w:szCs w:val="18"/>
              </w:rPr>
            </w:pPr>
            <w:r>
              <w:rPr>
                <w:rFonts w:cs="宋体" w:asciiTheme="minorEastAsia" w:hAnsiTheme="minorEastAsia" w:eastAsiaTheme="minorEastAsia"/>
                <w:color w:val="000000"/>
                <w:sz w:val="18"/>
                <w:szCs w:val="18"/>
              </w:rPr>
              <w:t>3.5英寸 6000G 7200 128M SATA3  6Gb/S</w:t>
            </w:r>
          </w:p>
        </w:tc>
      </w:tr>
    </w:tbl>
    <w:p>
      <w:pPr>
        <w:spacing w:before="156"/>
        <w:rPr>
          <w:rFonts w:ascii="宋体" w:hAnsi="宋体" w:cs="宋体"/>
          <w:b/>
          <w:szCs w:val="21"/>
        </w:rPr>
      </w:pPr>
    </w:p>
    <w:p>
      <w:pPr>
        <w:pStyle w:val="3"/>
        <w:numPr>
          <w:ilvl w:val="1"/>
          <w:numId w:val="0"/>
        </w:numPr>
        <w:spacing w:after="0" w:line="360" w:lineRule="auto"/>
        <w:rPr>
          <w:rFonts w:ascii="宋体" w:hAnsi="宋体" w:eastAsia="宋体" w:cs="宋体"/>
          <w:sz w:val="21"/>
          <w:szCs w:val="21"/>
        </w:rPr>
      </w:pPr>
      <w:r>
        <w:rPr>
          <w:rFonts w:hint="eastAsia" w:ascii="宋体" w:hAnsi="宋体" w:eastAsia="宋体" w:cs="宋体"/>
          <w:sz w:val="21"/>
          <w:szCs w:val="21"/>
        </w:rPr>
        <w:t>4、优课直播、点播平台</w:t>
      </w:r>
    </w:p>
    <w:p>
      <w:pPr>
        <w:spacing w:before="120"/>
        <w:rPr>
          <w:rFonts w:ascii="宋体" w:hAnsi="宋体" w:cs="宋体"/>
          <w:b/>
          <w:szCs w:val="21"/>
        </w:rPr>
      </w:pPr>
      <w:r>
        <w:rPr>
          <w:rFonts w:hint="eastAsia" w:ascii="宋体" w:hAnsi="宋体" w:cs="宋体"/>
          <w:szCs w:val="21"/>
        </w:rPr>
        <w:t>随着计算机多媒体技术、网络技术的不断更新发展，推动了教学手段的现代化进程.在现代化教学过程中，精品课程建设已成为各大院校及中小学教学质量与教学改革工程的重要组成部分。录制精品课程、实现同步课堂供广大师生、教研员直播、点播观摩评价，建立共享资源库，进行知识传承或校际课程交流。本次项目将根据学校现有情况，对相关学校的同步课堂、录播教学系统进行升级、改造、新建，以满足现代教学的需求，相关建设要求如下：同步课堂，录播平台软件。兼容各录播、直播视频编码设备。</w:t>
      </w:r>
      <w:r>
        <w:rPr>
          <w:rFonts w:hint="eastAsia" w:ascii="宋体" w:hAnsi="宋体" w:cs="宋体"/>
          <w:b/>
          <w:szCs w:val="21"/>
        </w:rPr>
        <w:t>要求</w:t>
      </w:r>
      <w:r>
        <w:rPr>
          <w:rFonts w:hint="eastAsia" w:ascii="宋体" w:cs="宋体"/>
          <w:b/>
          <w:color w:val="000000"/>
          <w:kern w:val="0"/>
          <w:szCs w:val="21"/>
        </w:rPr>
        <w:t>对接“之江汇教育广场”网络学校《同步课堂》专栏</w:t>
      </w:r>
    </w:p>
    <w:p>
      <w:pPr>
        <w:pStyle w:val="189"/>
        <w:spacing w:before="120"/>
        <w:rPr>
          <w:rFonts w:ascii="宋体" w:hAnsi="宋体" w:cs="宋体"/>
          <w:b/>
          <w:szCs w:val="21"/>
          <w:lang w:eastAsia="zh-CN"/>
        </w:rPr>
      </w:pPr>
      <w:r>
        <w:rPr>
          <w:rFonts w:hint="eastAsia" w:ascii="宋体" w:hAnsi="宋体" w:cs="宋体"/>
          <w:b/>
          <w:szCs w:val="21"/>
          <w:lang w:eastAsia="zh-CN"/>
        </w:rPr>
        <w:t>5.衢江区教育大数据管理平台分析</w:t>
      </w:r>
    </w:p>
    <w:tbl>
      <w:tblPr>
        <w:tblStyle w:val="59"/>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134"/>
        <w:gridCol w:w="56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before="120" w:line="276" w:lineRule="auto"/>
              <w:jc w:val="center"/>
              <w:rPr>
                <w:rFonts w:ascii="FangSong_GB2312" w:hAnsi="仿宋" w:eastAsia="FangSong_GB2312"/>
                <w:b/>
                <w:szCs w:val="21"/>
              </w:rPr>
            </w:pPr>
            <w:r>
              <w:rPr>
                <w:rFonts w:hint="eastAsia" w:ascii="FangSong_GB2312" w:hAnsi="仿宋" w:eastAsia="FangSong_GB2312"/>
                <w:b/>
                <w:szCs w:val="21"/>
              </w:rPr>
              <w:t>序号</w:t>
            </w:r>
          </w:p>
        </w:tc>
        <w:tc>
          <w:tcPr>
            <w:tcW w:w="708" w:type="dxa"/>
            <w:vAlign w:val="center"/>
          </w:tcPr>
          <w:p>
            <w:pPr>
              <w:spacing w:before="120" w:line="276" w:lineRule="auto"/>
              <w:ind w:firstLine="211" w:firstLineChars="100"/>
              <w:rPr>
                <w:rFonts w:ascii="FangSong_GB2312" w:hAnsi="仿宋" w:eastAsia="FangSong_GB2312"/>
                <w:b/>
                <w:szCs w:val="21"/>
              </w:rPr>
            </w:pPr>
            <w:r>
              <w:rPr>
                <w:rFonts w:hint="eastAsia" w:ascii="FangSong_GB2312" w:hAnsi="仿宋" w:eastAsia="FangSong_GB2312"/>
                <w:b/>
                <w:szCs w:val="21"/>
              </w:rPr>
              <w:t>名称</w:t>
            </w:r>
          </w:p>
        </w:tc>
        <w:tc>
          <w:tcPr>
            <w:tcW w:w="6804" w:type="dxa"/>
            <w:gridSpan w:val="2"/>
            <w:vAlign w:val="center"/>
          </w:tcPr>
          <w:p>
            <w:pPr>
              <w:spacing w:before="120" w:line="276" w:lineRule="auto"/>
              <w:ind w:left="422" w:hanging="422" w:hangingChars="200"/>
              <w:jc w:val="center"/>
              <w:rPr>
                <w:rFonts w:ascii="FangSong_GB2312" w:hAnsi="仿宋" w:eastAsia="FangSong_GB2312"/>
                <w:b/>
                <w:szCs w:val="21"/>
              </w:rPr>
            </w:pPr>
            <w:r>
              <w:rPr>
                <w:rFonts w:hint="eastAsia" w:ascii="FangSong_GB2312" w:hAnsi="仿宋" w:eastAsia="FangSong_GB2312"/>
                <w:b/>
                <w:szCs w:val="21"/>
              </w:rPr>
              <w:t>建设内容</w:t>
            </w:r>
          </w:p>
        </w:tc>
        <w:tc>
          <w:tcPr>
            <w:tcW w:w="1070" w:type="dxa"/>
            <w:vAlign w:val="center"/>
          </w:tcPr>
          <w:p>
            <w:pPr>
              <w:spacing w:before="120" w:line="276" w:lineRule="auto"/>
              <w:jc w:val="center"/>
              <w:rPr>
                <w:rFonts w:ascii="FangSong_GB2312" w:hAnsi="仿宋" w:eastAsia="FangSong_GB2312"/>
                <w:b/>
                <w:szCs w:val="21"/>
              </w:rPr>
            </w:pPr>
            <w:r>
              <w:rPr>
                <w:rFonts w:hint="eastAsia" w:ascii="FangSong_GB2312" w:hAnsi="仿宋" w:eastAsia="FangSong_GB2312"/>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34" w:type="dxa"/>
            <w:vMerge w:val="restart"/>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1</w:t>
            </w:r>
          </w:p>
        </w:tc>
        <w:tc>
          <w:tcPr>
            <w:tcW w:w="708" w:type="dxa"/>
            <w:vMerge w:val="restart"/>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数据支撑服务平台</w:t>
            </w:r>
          </w:p>
        </w:tc>
        <w:tc>
          <w:tcPr>
            <w:tcW w:w="1134" w:type="dxa"/>
            <w:vAlign w:val="center"/>
          </w:tcPr>
          <w:p>
            <w:pPr>
              <w:widowControl/>
              <w:spacing w:before="120" w:line="276" w:lineRule="auto"/>
              <w:rPr>
                <w:rFonts w:ascii="FangSong_GB2312" w:hAnsi="仿宋" w:eastAsia="FangSong_GB2312"/>
                <w:szCs w:val="21"/>
              </w:rPr>
            </w:pPr>
            <w:r>
              <w:rPr>
                <w:rFonts w:hint="eastAsia" w:ascii="FangSong_GB2312" w:hAnsi="仿宋" w:eastAsia="FangSong_GB2312"/>
                <w:szCs w:val="21"/>
              </w:rPr>
              <w:t>数据标准体系</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制定《衢江区教育信息标准与规范》，包含数据标准、技术规范和管理规范等。该标准对衢江区教育信息化建设提出统一的信息标准要求，是市教育软件平台建设的基础，实现教育信息资源交换共享的必要条件。</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widowControl/>
              <w:spacing w:before="120" w:line="276" w:lineRule="auto"/>
              <w:rPr>
                <w:rFonts w:ascii="FangSong_GB2312" w:hAnsi="仿宋" w:eastAsia="FangSong_GB2312"/>
                <w:szCs w:val="21"/>
              </w:rPr>
            </w:pPr>
            <w:r>
              <w:rPr>
                <w:rFonts w:hint="eastAsia" w:ascii="FangSong_GB2312" w:hAnsi="仿宋" w:eastAsia="FangSong_GB2312"/>
                <w:szCs w:val="21"/>
              </w:rPr>
              <w:t>用户中心</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提供目录服务，实现用户信息的集中管理，用户信息规范命名、统一存储，用户ID全局唯一，实现不同应用系统的用户信息的同步，支持海量的用户数据存储和管理功能。将通过组织、组、角色、用户等几层管理用户，实现分级授权管理。</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widowControl/>
              <w:spacing w:before="120" w:line="276" w:lineRule="auto"/>
              <w:rPr>
                <w:rFonts w:ascii="FangSong_GB2312" w:hAnsi="仿宋" w:eastAsia="FangSong_GB2312"/>
                <w:szCs w:val="21"/>
              </w:rPr>
            </w:pPr>
            <w:r>
              <w:rPr>
                <w:rFonts w:hint="eastAsia" w:ascii="FangSong_GB2312" w:hAnsi="仿宋" w:eastAsia="FangSong_GB2312"/>
                <w:szCs w:val="21"/>
              </w:rPr>
              <w:t>认证中心</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需要为平台其它系统模块提供用户身份识别、鉴权授权集中统一管理，提升其它系统运行效率。主要功能包括用户登录、用户注销、单点登录等，实现了内部各子系统间无缝整合、使用简单、入口统一，用户可以通过个人门户内功能或其它板块提供的入口快速进入到已进行单点登录接入的第三方应用，进入应用后无需再次手动登陆即可使用。</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widowControl/>
              <w:spacing w:before="120" w:line="276" w:lineRule="auto"/>
              <w:rPr>
                <w:rFonts w:ascii="FangSong_GB2312" w:hAnsi="仿宋" w:eastAsia="FangSong_GB2312"/>
                <w:szCs w:val="21"/>
              </w:rPr>
            </w:pPr>
            <w:r>
              <w:rPr>
                <w:rFonts w:hint="eastAsia" w:ascii="FangSong_GB2312" w:hAnsi="仿宋" w:eastAsia="FangSong_GB2312"/>
                <w:szCs w:val="21"/>
              </w:rPr>
              <w:t>数据中心</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在数据交换的基础上，实现对数据交换等相关任务的挂载，任务的隔离，调度执行，访问权限控制，性能分析等。以插件形式开发，具有良好的功能扩展性，稳定性，简单性，便于进一步进行功能扩展。</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widowControl/>
              <w:spacing w:before="120" w:line="276" w:lineRule="auto"/>
              <w:rPr>
                <w:rFonts w:ascii="FangSong_GB2312" w:hAnsi="仿宋" w:eastAsia="FangSong_GB2312"/>
                <w:szCs w:val="21"/>
              </w:rPr>
            </w:pPr>
            <w:r>
              <w:rPr>
                <w:rFonts w:hint="eastAsia" w:ascii="FangSong_GB2312" w:hAnsi="仿宋" w:eastAsia="FangSong_GB2312"/>
                <w:szCs w:val="21"/>
              </w:rPr>
              <w:t>接口中心</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完成所有应用程序的接口发现、注册、中介代理、接口调用日志、接口版本更新、失效接口虚化等相关工作，满足第三方应用程序通过接口中心的透明安全调用，实现内部应用程序提供的接口隐藏，从而实现数据订阅接口、应用业务接口、应用服务接口等不同接口的安全、高效管理和服务提供。</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widowControl/>
              <w:spacing w:before="120" w:line="276" w:lineRule="auto"/>
              <w:rPr>
                <w:rFonts w:ascii="FangSong_GB2312" w:hAnsi="仿宋" w:eastAsia="FangSong_GB2312"/>
                <w:szCs w:val="21"/>
              </w:rPr>
            </w:pPr>
            <w:r>
              <w:rPr>
                <w:rFonts w:hint="eastAsia" w:ascii="FangSong_GB2312" w:hAnsi="仿宋" w:eastAsia="FangSong_GB2312"/>
                <w:szCs w:val="21"/>
              </w:rPr>
              <w:t>监控中心</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对包括第三方应用在内的各项服务进行监控，实现服务和系统的健康度监控、数据调用监控、服务器性能监控、应用耗时监控管理，统一日志管理等多维度的性能监控分析，支持api接口的耗时（均值，最大值，最小值，查询次数）性能分析及性能图展示，实现整个平台的错误日志集中管理及预警邮件和短信发送，整个平台的普通日志集中管理。</w:t>
            </w:r>
          </w:p>
        </w:tc>
        <w:tc>
          <w:tcPr>
            <w:tcW w:w="1070" w:type="dxa"/>
            <w:vAlign w:val="center"/>
          </w:tcPr>
          <w:p>
            <w:pPr>
              <w:spacing w:before="120"/>
              <w:jc w:val="center"/>
              <w:rPr>
                <w:rFonts w:ascii="FangSong_GB2312" w:hAnsi="仿宋" w:eastAsia="FangSong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widowControl/>
              <w:spacing w:before="120" w:line="276" w:lineRule="auto"/>
              <w:rPr>
                <w:rFonts w:ascii="FangSong_GB2312" w:hAnsi="仿宋" w:eastAsia="FangSong_GB2312"/>
                <w:szCs w:val="21"/>
              </w:rPr>
            </w:pPr>
            <w:r>
              <w:rPr>
                <w:rFonts w:hint="eastAsia" w:ascii="FangSong_GB2312" w:hAnsi="仿宋" w:eastAsia="FangSong_GB2312"/>
                <w:szCs w:val="21"/>
              </w:rPr>
              <w:t>消息中心</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消息中心全面采用SOA架构，对各应用系统间的服务接口进行统一管理，完成消息转换、消息路由分发等工作。消息中心不但全面解决各应用系统消息实时发送的并发性问题，并能确保数据信息的一致性。消息生产者产生的消息主要分为数据消息和应用消息两部分。</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34" w:type="dxa"/>
            <w:vMerge w:val="restart"/>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2</w:t>
            </w:r>
          </w:p>
        </w:tc>
        <w:tc>
          <w:tcPr>
            <w:tcW w:w="708" w:type="dxa"/>
            <w:vMerge w:val="restart"/>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数据服务层</w:t>
            </w: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开发平台（开发者门户）</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实现开发信息的对外发布，实现开发者注册、审核、开发资料、接口申请、应用接入、应用测试、应用上线、应用统计等相应功能。</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基础数据门户</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基础信息分析提供衢江区整体学生、教师、学校所有基础信息情况。通过基础信息分析，能够让教育管理者了解衢江所有学生、教师、学校等教育资源配置的整体情况。</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学业数据门户</w:t>
            </w:r>
          </w:p>
        </w:tc>
        <w:tc>
          <w:tcPr>
            <w:tcW w:w="5670" w:type="dxa"/>
            <w:vAlign w:val="center"/>
          </w:tcPr>
          <w:p>
            <w:pPr>
              <w:spacing w:before="120" w:line="276" w:lineRule="auto"/>
              <w:rPr>
                <w:rFonts w:ascii="FangSong_GB2312" w:hAnsi="仿宋" w:eastAsia="FangSong_GB2312"/>
                <w:szCs w:val="21"/>
              </w:rPr>
            </w:pPr>
            <w:r>
              <w:rPr>
                <w:rFonts w:hint="eastAsia" w:ascii="FangSong_GB2312" w:eastAsia="FangSong_GB2312"/>
                <w:sz w:val="24"/>
              </w:rPr>
              <w:t>根据衢江区教育工作重点，确定重点工作指标，收集相关阅卷数据，建立计算模型。将重点评估学业工作进行地图数据呈现，发现工作存在的问题，为决策做数据支持。</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一卡通数据服务平台</w:t>
            </w:r>
          </w:p>
        </w:tc>
        <w:tc>
          <w:tcPr>
            <w:tcW w:w="5670" w:type="dxa"/>
            <w:vAlign w:val="center"/>
          </w:tcPr>
          <w:p>
            <w:pPr>
              <w:spacing w:before="120" w:line="276" w:lineRule="auto"/>
              <w:rPr>
                <w:rFonts w:ascii="FangSong_GB2312" w:eastAsia="FangSong_GB2312"/>
                <w:sz w:val="24"/>
              </w:rPr>
            </w:pPr>
            <w:r>
              <w:rPr>
                <w:rFonts w:hint="eastAsia" w:ascii="FangSong_GB2312" w:hAnsi="宋体" w:eastAsia="FangSong_GB2312"/>
                <w:sz w:val="24"/>
              </w:rPr>
              <w:t>搭建一卡通数据服务中心，实现全区“一卡通”及卡片服务分析；</w:t>
            </w:r>
          </w:p>
        </w:tc>
        <w:tc>
          <w:tcPr>
            <w:tcW w:w="1070" w:type="dxa"/>
            <w:vAlign w:val="center"/>
          </w:tcPr>
          <w:p>
            <w:pPr>
              <w:spacing w:before="120"/>
              <w:jc w:val="center"/>
              <w:rPr>
                <w:rFonts w:ascii="FangSong_GB2312" w:hAnsi="仿宋" w:eastAsia="FangSong_GB2312"/>
                <w:szCs w:val="21"/>
              </w:rP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534" w:type="dxa"/>
            <w:vMerge w:val="restart"/>
            <w:vAlign w:val="center"/>
          </w:tcPr>
          <w:p>
            <w:pPr>
              <w:spacing w:before="120" w:line="276" w:lineRule="auto"/>
              <w:jc w:val="center"/>
              <w:rPr>
                <w:rFonts w:ascii="FangSong_GB2312" w:hAnsi="仿宋" w:eastAsia="FangSong_GB2312"/>
                <w:szCs w:val="21"/>
              </w:rPr>
            </w:pPr>
            <w:r>
              <w:rPr>
                <w:rFonts w:ascii="FangSong_GB2312" w:hAnsi="仿宋" w:eastAsia="FangSong_GB2312"/>
                <w:szCs w:val="21"/>
              </w:rPr>
              <w:t>3</w:t>
            </w:r>
          </w:p>
        </w:tc>
        <w:tc>
          <w:tcPr>
            <w:tcW w:w="708" w:type="dxa"/>
            <w:vMerge w:val="restart"/>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各层级数据互融互通</w:t>
            </w: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与省数据互融互通</w:t>
            </w:r>
          </w:p>
        </w:tc>
        <w:tc>
          <w:tcPr>
            <w:tcW w:w="5670" w:type="dxa"/>
            <w:vAlign w:val="center"/>
          </w:tcPr>
          <w:p>
            <w:pPr>
              <w:spacing w:before="120" w:line="276" w:lineRule="auto"/>
              <w:rPr>
                <w:rFonts w:ascii="FangSong_GB2312" w:hAnsi="仿宋" w:eastAsia="FangSong_GB2312"/>
                <w:szCs w:val="21"/>
              </w:rPr>
            </w:pPr>
            <w:r>
              <w:rPr>
                <w:rFonts w:hint="eastAsia" w:ascii="FangSong_GB2312" w:hAnsi="仿宋" w:eastAsia="FangSong_GB2312"/>
                <w:szCs w:val="21"/>
              </w:rPr>
              <w:t>通过向衢州教育开发者门户申请教师、学生、机构等基础数据。</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与政务互融互通</w:t>
            </w:r>
          </w:p>
        </w:tc>
        <w:tc>
          <w:tcPr>
            <w:tcW w:w="5670" w:type="dxa"/>
            <w:vAlign w:val="center"/>
          </w:tcPr>
          <w:p>
            <w:pPr>
              <w:spacing w:before="120" w:line="276" w:lineRule="auto"/>
              <w:jc w:val="left"/>
              <w:rPr>
                <w:rFonts w:ascii="FangSong_GB2312" w:hAnsi="仿宋" w:eastAsia="FangSong_GB2312"/>
                <w:szCs w:val="21"/>
              </w:rPr>
            </w:pPr>
            <w:r>
              <w:rPr>
                <w:rFonts w:hint="eastAsia" w:ascii="FangSong_GB2312" w:hAnsi="仿宋" w:eastAsia="FangSong_GB2312"/>
                <w:szCs w:val="21"/>
              </w:rPr>
              <w:t>通过与政务数据中心集成打通智慧城市中公安、卫生、交通、房产等数据。</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其他平台集成融通</w:t>
            </w:r>
          </w:p>
        </w:tc>
        <w:tc>
          <w:tcPr>
            <w:tcW w:w="5670" w:type="dxa"/>
            <w:vAlign w:val="center"/>
          </w:tcPr>
          <w:p>
            <w:pPr>
              <w:spacing w:before="120" w:line="276" w:lineRule="auto"/>
              <w:jc w:val="left"/>
              <w:rPr>
                <w:rFonts w:ascii="FangSong_GB2312" w:hAnsi="仿宋" w:eastAsia="FangSong_GB2312"/>
                <w:szCs w:val="21"/>
              </w:rPr>
            </w:pPr>
            <w:r>
              <w:rPr>
                <w:rFonts w:hint="eastAsia" w:ascii="FangSong_GB2312" w:hAnsi="仿宋" w:eastAsia="FangSong_GB2312"/>
                <w:szCs w:val="21"/>
              </w:rPr>
              <w:t>通过数据共享与交换、身份认证（含联合认证）、外部链接这三个层次；结合系统的归属情况和维护年限，根据实际情况尽可能满足集成融合度，为用户提供便捷的数据资源管理和应用入口。</w:t>
            </w:r>
          </w:p>
        </w:tc>
        <w:tc>
          <w:tcPr>
            <w:tcW w:w="1070" w:type="dxa"/>
            <w:vAlign w:val="center"/>
          </w:tcPr>
          <w:p>
            <w:pPr>
              <w:spacing w:before="120"/>
              <w:jc w:val="center"/>
            </w:pPr>
            <w:r>
              <w:rPr>
                <w:rFonts w:hint="eastAsia" w:ascii="FangSong_GB2312" w:hAnsi="仿宋" w:eastAsia="FangSong_GB2312"/>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4" w:type="dxa"/>
            <w:vMerge w:val="continue"/>
            <w:vAlign w:val="center"/>
          </w:tcPr>
          <w:p>
            <w:pPr>
              <w:spacing w:before="120" w:line="276" w:lineRule="auto"/>
              <w:jc w:val="center"/>
              <w:rPr>
                <w:rFonts w:ascii="FangSong_GB2312" w:hAnsi="仿宋" w:eastAsia="FangSong_GB2312"/>
                <w:szCs w:val="21"/>
              </w:rPr>
            </w:pPr>
          </w:p>
        </w:tc>
        <w:tc>
          <w:tcPr>
            <w:tcW w:w="708" w:type="dxa"/>
            <w:vMerge w:val="continue"/>
            <w:vAlign w:val="center"/>
          </w:tcPr>
          <w:p>
            <w:pPr>
              <w:spacing w:before="120" w:line="276" w:lineRule="auto"/>
              <w:jc w:val="center"/>
              <w:rPr>
                <w:rFonts w:ascii="FangSong_GB2312" w:hAnsi="仿宋" w:eastAsia="FangSong_GB2312"/>
                <w:szCs w:val="21"/>
              </w:rPr>
            </w:pPr>
          </w:p>
        </w:tc>
        <w:tc>
          <w:tcPr>
            <w:tcW w:w="1134" w:type="dxa"/>
            <w:vAlign w:val="center"/>
          </w:tcPr>
          <w:p>
            <w:pPr>
              <w:spacing w:before="120" w:line="276" w:lineRule="auto"/>
              <w:jc w:val="center"/>
              <w:rPr>
                <w:rFonts w:ascii="FangSong_GB2312" w:hAnsi="仿宋" w:eastAsia="FangSong_GB2312"/>
                <w:szCs w:val="21"/>
              </w:rPr>
            </w:pPr>
            <w:r>
              <w:rPr>
                <w:rFonts w:hint="eastAsia" w:ascii="FangSong_GB2312" w:hAnsi="仿宋" w:eastAsia="FangSong_GB2312"/>
                <w:szCs w:val="21"/>
              </w:rPr>
              <w:t>纵向数据服务</w:t>
            </w:r>
          </w:p>
        </w:tc>
        <w:tc>
          <w:tcPr>
            <w:tcW w:w="5670" w:type="dxa"/>
            <w:vAlign w:val="center"/>
          </w:tcPr>
          <w:p>
            <w:pPr>
              <w:spacing w:before="120" w:line="276" w:lineRule="auto"/>
              <w:jc w:val="left"/>
              <w:rPr>
                <w:rFonts w:ascii="FangSong_GB2312" w:hAnsi="仿宋" w:eastAsia="FangSong_GB2312"/>
                <w:szCs w:val="21"/>
              </w:rPr>
            </w:pPr>
            <w:r>
              <w:rPr>
                <w:rFonts w:hint="eastAsia" w:ascii="FangSong_GB2312" w:hAnsi="仿宋" w:eastAsia="FangSong_GB2312"/>
                <w:szCs w:val="21"/>
              </w:rPr>
              <w:t>我们通过数据接口开放，为区教育直属机构、学校等服务，提供区教育数据源。</w:t>
            </w:r>
          </w:p>
        </w:tc>
        <w:tc>
          <w:tcPr>
            <w:tcW w:w="1070" w:type="dxa"/>
            <w:vAlign w:val="center"/>
          </w:tcPr>
          <w:p>
            <w:pPr>
              <w:spacing w:before="120"/>
              <w:jc w:val="center"/>
            </w:pPr>
            <w:r>
              <w:rPr>
                <w:rFonts w:hint="eastAsia" w:ascii="FangSong_GB2312" w:hAnsi="仿宋" w:eastAsia="FangSong_GB2312"/>
                <w:szCs w:val="21"/>
              </w:rPr>
              <w:t>1套</w:t>
            </w:r>
          </w:p>
        </w:tc>
      </w:tr>
    </w:tbl>
    <w:p>
      <w:pPr>
        <w:pStyle w:val="189"/>
        <w:spacing w:before="120"/>
        <w:ind w:firstLine="220" w:firstLineChars="100"/>
        <w:rPr>
          <w:rFonts w:ascii="宋体" w:hAnsi="宋体" w:cs="宋体"/>
          <w:szCs w:val="21"/>
        </w:rPr>
      </w:pPr>
    </w:p>
    <w:p>
      <w:pPr>
        <w:pStyle w:val="293"/>
        <w:spacing w:beforeLines="100" w:afterLines="100" w:line="360" w:lineRule="auto"/>
        <w:ind w:left="796" w:leftChars="100" w:hanging="586" w:hangingChars="278"/>
        <w:outlineLvl w:val="0"/>
        <w:rPr>
          <w:rFonts w:ascii="宋体" w:hAnsi="宋体" w:eastAsia="宋体" w:cs="宋体"/>
          <w:b w:val="0"/>
          <w:sz w:val="21"/>
          <w:szCs w:val="21"/>
          <w:lang w:val="en-GB"/>
        </w:rPr>
      </w:pPr>
      <w:r>
        <w:rPr>
          <w:rFonts w:hint="eastAsia" w:ascii="宋体" w:hAnsi="宋体" w:eastAsia="宋体" w:cs="宋体"/>
          <w:bCs/>
          <w:sz w:val="21"/>
          <w:szCs w:val="21"/>
          <w:lang w:val="en-GB"/>
        </w:rPr>
        <w:t>6.后勤管理系统</w:t>
      </w:r>
      <w:r>
        <w:rPr>
          <w:rFonts w:hint="eastAsia" w:ascii="宋体" w:hAnsi="宋体" w:eastAsia="宋体" w:cs="宋体"/>
          <w:b w:val="0"/>
          <w:sz w:val="21"/>
          <w:szCs w:val="21"/>
          <w:lang w:val="en-GB"/>
        </w:rPr>
        <w:t>主要用于设备的报修,包括</w:t>
      </w:r>
      <w:r>
        <w:rPr>
          <w:rFonts w:hint="eastAsia" w:ascii="宋体" w:hAnsi="宋体" w:eastAsia="宋体" w:cs="宋体"/>
          <w:b w:val="0"/>
          <w:sz w:val="21"/>
          <w:szCs w:val="21"/>
          <w:lang w:val="en-US" w:eastAsia="zh-CN"/>
        </w:rPr>
        <w:t>学校</w:t>
      </w:r>
      <w:r>
        <w:rPr>
          <w:rFonts w:hint="eastAsia" w:ascii="宋体" w:hAnsi="宋体" w:eastAsia="宋体" w:cs="宋体"/>
          <w:b w:val="0"/>
          <w:sz w:val="21"/>
          <w:szCs w:val="21"/>
          <w:lang w:val="en-GB"/>
        </w:rPr>
        <w:t>中的电脑,无线AP,网络,交换机,智慧黑板,监控设备等.</w:t>
      </w:r>
    </w:p>
    <w:tbl>
      <w:tblPr>
        <w:tblStyle w:val="59"/>
        <w:tblW w:w="8550"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900"/>
        <w:gridCol w:w="6876"/>
        <w:gridCol w:w="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widowControl/>
              <w:adjustRightInd w:val="0"/>
              <w:snapToGrid w:val="0"/>
              <w:spacing w:before="120" w:line="220" w:lineRule="atLeast"/>
              <w:jc w:val="center"/>
              <w:rPr>
                <w:rFonts w:ascii="宋体" w:hAnsi="宋体" w:cs="宋体"/>
                <w:b/>
                <w:color w:val="000000"/>
                <w:kern w:val="0"/>
                <w:szCs w:val="21"/>
              </w:rPr>
            </w:pPr>
            <w:r>
              <w:rPr>
                <w:rFonts w:hint="eastAsia" w:ascii="宋体" w:hAnsi="宋体" w:cs="宋体"/>
                <w:b/>
                <w:color w:val="000000"/>
                <w:kern w:val="0"/>
                <w:szCs w:val="21"/>
              </w:rPr>
              <w:t>序号</w:t>
            </w:r>
          </w:p>
        </w:tc>
        <w:tc>
          <w:tcPr>
            <w:tcW w:w="900" w:type="dxa"/>
            <w:vAlign w:val="center"/>
          </w:tcPr>
          <w:p>
            <w:pPr>
              <w:widowControl/>
              <w:adjustRightInd w:val="0"/>
              <w:snapToGrid w:val="0"/>
              <w:spacing w:before="120" w:line="220" w:lineRule="atLeast"/>
              <w:jc w:val="center"/>
              <w:rPr>
                <w:rFonts w:ascii="宋体" w:hAnsi="宋体" w:cs="宋体"/>
                <w:b/>
                <w:color w:val="000000"/>
                <w:kern w:val="0"/>
                <w:szCs w:val="21"/>
              </w:rPr>
            </w:pPr>
            <w:r>
              <w:rPr>
                <w:rFonts w:hint="eastAsia" w:ascii="宋体" w:hAnsi="宋体" w:cs="宋体"/>
                <w:b/>
                <w:color w:val="000000"/>
                <w:kern w:val="0"/>
                <w:szCs w:val="21"/>
              </w:rPr>
              <w:t>名称</w:t>
            </w:r>
          </w:p>
        </w:tc>
        <w:tc>
          <w:tcPr>
            <w:tcW w:w="6876" w:type="dxa"/>
            <w:vAlign w:val="center"/>
          </w:tcPr>
          <w:p>
            <w:pPr>
              <w:widowControl/>
              <w:adjustRightInd w:val="0"/>
              <w:snapToGrid w:val="0"/>
              <w:spacing w:before="120" w:line="220" w:lineRule="atLeast"/>
              <w:jc w:val="center"/>
              <w:rPr>
                <w:rFonts w:ascii="宋体" w:hAnsi="宋体" w:cs="宋体"/>
                <w:b/>
                <w:color w:val="000000"/>
                <w:kern w:val="0"/>
                <w:szCs w:val="21"/>
              </w:rPr>
            </w:pPr>
            <w:r>
              <w:rPr>
                <w:rFonts w:hint="eastAsia" w:ascii="宋体" w:hAnsi="宋体" w:cs="宋体"/>
                <w:b/>
                <w:color w:val="000000"/>
                <w:kern w:val="0"/>
                <w:szCs w:val="21"/>
              </w:rPr>
              <w:t>技术参数和规格型号</w:t>
            </w:r>
          </w:p>
        </w:tc>
        <w:tc>
          <w:tcPr>
            <w:tcW w:w="369" w:type="dxa"/>
            <w:vAlign w:val="center"/>
          </w:tcPr>
          <w:p>
            <w:pPr>
              <w:widowControl/>
              <w:adjustRightInd w:val="0"/>
              <w:snapToGrid w:val="0"/>
              <w:spacing w:before="120" w:line="220" w:lineRule="atLeast"/>
              <w:jc w:val="center"/>
              <w:rPr>
                <w:rFonts w:ascii="宋体" w:hAnsi="宋体" w:cs="宋体"/>
                <w:b/>
                <w:color w:val="000000"/>
                <w:kern w:val="0"/>
                <w:szCs w:val="21"/>
              </w:rPr>
            </w:pPr>
            <w:r>
              <w:rPr>
                <w:rFonts w:hint="eastAsia" w:ascii="宋体" w:hAnsi="宋体" w:cs="宋体"/>
                <w:b/>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900"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运维平台（教育局、学校）</w:t>
            </w:r>
          </w:p>
        </w:tc>
        <w:tc>
          <w:tcPr>
            <w:tcW w:w="6876" w:type="dxa"/>
            <w:vAlign w:val="center"/>
          </w:tcPr>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1、报修内容允许管理员修改、上传照片等操作。</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2、转派：管理员收到维修任务，可转派给学校其他管理员处理。</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3、校内维修：学校管理员解决维修任务，可将此任务设为“已解决”。</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4、可统计学校各位管理员的工作量。</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5、返修：自动识别设备是否可以返修，可直接指派给上次的维修服务商，要求服务商重新修理。</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6、服务商响应时间考评：可设置每个服务商的服务响应时间，系统将每次维修从服务商接单开始记录服务商到校维修时长，以此考评服务商服务的响应时间。</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7、维修审批：维修过程中管理员可发起维修审批，将审批推送给校领导，由领导审阅是否继续维修。</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8、验收及评价：服务商完成维修后，发起验收，管理员可对维修结果进行检查，维修结果是否可靠、价格是否合理、服务态度等评价。</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9、服务商信誉评价：对服务商维修时效性、维修质量可靠性、服务态度、价格合理性进行评价，并通过合理算法提供每个服务商的综合信誉评分。</w:t>
            </w:r>
          </w:p>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10、添加服务商：教育局可添加区域内合作服务商进系统，学校可添加独立为本校服务的服务商或个体户。</w:t>
            </w:r>
          </w:p>
          <w:p>
            <w:pPr>
              <w:widowControl/>
              <w:adjustRightInd w:val="0"/>
              <w:snapToGrid w:val="0"/>
              <w:spacing w:before="120" w:line="220" w:lineRule="atLeast"/>
              <w:jc w:val="left"/>
              <w:rPr>
                <w:rFonts w:ascii="宋体" w:hAnsi="宋体" w:cs="宋体"/>
                <w:color w:val="000000"/>
                <w:kern w:val="0"/>
                <w:szCs w:val="21"/>
              </w:rPr>
            </w:pPr>
          </w:p>
        </w:tc>
        <w:tc>
          <w:tcPr>
            <w:tcW w:w="369"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900"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运维平台（服务商）</w:t>
            </w:r>
          </w:p>
        </w:tc>
        <w:tc>
          <w:tcPr>
            <w:tcW w:w="6876" w:type="dxa"/>
          </w:tcPr>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1、认证申请：服务商账号由教育局或学校开通。开通后，且“同意平台使用协议”，可以完善资料，如：服务商地址、资质证明、维修电话、维修类别、维修范围、维修人员及维修人员相关资料，发起认证申请。由教育局审核认证服务商是否符合为区域内学校服务的标准。</w:t>
            </w:r>
          </w:p>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2、返修任务：服务商对返修任务接单并安排维修人员前往维修。</w:t>
            </w:r>
          </w:p>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3、转派：支持将维修任务转派给其他维修人员。</w:t>
            </w:r>
          </w:p>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4、发起验收：维修完成后填写维修信息、报价发起验收申请。</w:t>
            </w:r>
          </w:p>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5、人员管理：维修服务商负责人可以在平台内增加维修人员并开通维修人员的账号、可以对已有的维修人员账号进行管理。</w:t>
            </w:r>
          </w:p>
        </w:tc>
        <w:tc>
          <w:tcPr>
            <w:tcW w:w="369"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3</w:t>
            </w:r>
          </w:p>
        </w:tc>
        <w:tc>
          <w:tcPr>
            <w:tcW w:w="900"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微信企业号（学校）</w:t>
            </w:r>
          </w:p>
        </w:tc>
        <w:tc>
          <w:tcPr>
            <w:tcW w:w="6876" w:type="dxa"/>
          </w:tcPr>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1、支持学校管理员在微信企业号上对学校的维修任务进行管理。</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2、允许管理员在微信企业号上对报修内容修改、上传照片等操作。</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3、转派：在微信企业号上可转派任务给学校其他管理员。</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4、校内维修：学校管理员解决维修任务，可在微信企业号上将此任务设为“已解决”。</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5、返修：自动识别设备是否可以返修，在微信企业号上直接指派给上次的维修服务商，要求服务商重新修理。</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6、维修审批：维修过程中管理员可在微信企业号上发起维修审批，将审批推送给校领导，由领导审阅是否继续维修。</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7、验收及评价：服务商完成维修后，发起验收，管理员在微信企业号上对维修结果进行检查，维修结果是否可靠、价格是否合理、服务态度等评价。</w:t>
            </w:r>
          </w:p>
        </w:tc>
        <w:tc>
          <w:tcPr>
            <w:tcW w:w="369"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4</w:t>
            </w:r>
          </w:p>
        </w:tc>
        <w:tc>
          <w:tcPr>
            <w:tcW w:w="900"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微信企业号（服务商）</w:t>
            </w:r>
          </w:p>
        </w:tc>
        <w:tc>
          <w:tcPr>
            <w:tcW w:w="6876" w:type="dxa"/>
          </w:tcPr>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1、支持服务商可在微信企业号上对维修任务进行管理。</w:t>
            </w:r>
          </w:p>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2、返修任务：服务商可在微信企业号上对返修任务接单并安排维修人员前往维修。</w:t>
            </w:r>
          </w:p>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3、转派：支持将维修任务转派给其他维修人员。</w:t>
            </w:r>
          </w:p>
          <w:p>
            <w:pPr>
              <w:widowControl/>
              <w:adjustRightInd w:val="0"/>
              <w:snapToGrid w:val="0"/>
              <w:spacing w:before="120" w:line="220" w:lineRule="atLeast"/>
              <w:jc w:val="left"/>
              <w:rPr>
                <w:rFonts w:ascii="宋体" w:hAnsi="宋体" w:cs="宋体"/>
                <w:kern w:val="0"/>
                <w:szCs w:val="21"/>
              </w:rPr>
            </w:pPr>
            <w:r>
              <w:rPr>
                <w:rFonts w:hint="eastAsia" w:ascii="宋体" w:hAnsi="宋体" w:cs="宋体"/>
                <w:kern w:val="0"/>
                <w:szCs w:val="21"/>
              </w:rPr>
              <w:t>4、发起验收：在维修完成后，可在微信企业号上填写维修信息、报价发起验收申请。</w:t>
            </w:r>
          </w:p>
        </w:tc>
        <w:tc>
          <w:tcPr>
            <w:tcW w:w="369"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900"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小程序</w:t>
            </w:r>
          </w:p>
        </w:tc>
        <w:tc>
          <w:tcPr>
            <w:tcW w:w="6876" w:type="dxa"/>
          </w:tcPr>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1、教师可以通用微信小程序发起设备报修，维修对象可指派给信息处或后勤处，学校管理员将会收到微信服务推送，并可跟踪报修流程。</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2、可上传照片并说明设备故障原因。</w:t>
            </w:r>
          </w:p>
        </w:tc>
        <w:tc>
          <w:tcPr>
            <w:tcW w:w="369"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6</w:t>
            </w:r>
          </w:p>
        </w:tc>
        <w:tc>
          <w:tcPr>
            <w:tcW w:w="900" w:type="dxa"/>
            <w:vAlign w:val="center"/>
          </w:tcPr>
          <w:p>
            <w:pPr>
              <w:widowControl/>
              <w:adjustRightInd w:val="0"/>
              <w:snapToGrid w:val="0"/>
              <w:spacing w:before="120" w:line="220" w:lineRule="atLeast"/>
              <w:jc w:val="left"/>
              <w:rPr>
                <w:rFonts w:ascii="宋体" w:hAnsi="宋体" w:cs="宋体"/>
                <w:color w:val="000000"/>
                <w:kern w:val="0"/>
                <w:szCs w:val="21"/>
              </w:rPr>
            </w:pPr>
            <w:r>
              <w:rPr>
                <w:rFonts w:hint="eastAsia" w:ascii="宋体" w:hAnsi="宋体" w:cs="宋体"/>
                <w:color w:val="000000"/>
                <w:kern w:val="0"/>
                <w:szCs w:val="21"/>
              </w:rPr>
              <w:t>实施与运维</w:t>
            </w:r>
          </w:p>
        </w:tc>
        <w:tc>
          <w:tcPr>
            <w:tcW w:w="6876" w:type="dxa"/>
          </w:tcPr>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1、系统调试工作正常。</w:t>
            </w:r>
          </w:p>
          <w:p>
            <w:pPr>
              <w:widowControl/>
              <w:adjustRightInd w:val="0"/>
              <w:snapToGrid w:val="0"/>
              <w:spacing w:before="120" w:line="220" w:lineRule="atLeast"/>
              <w:rPr>
                <w:rFonts w:ascii="宋体" w:hAnsi="宋体" w:cs="宋体"/>
                <w:color w:val="000000"/>
                <w:kern w:val="0"/>
                <w:szCs w:val="21"/>
              </w:rPr>
            </w:pPr>
            <w:r>
              <w:rPr>
                <w:rFonts w:hint="eastAsia" w:ascii="宋体" w:hAnsi="宋体" w:cs="宋体"/>
                <w:color w:val="000000"/>
                <w:kern w:val="0"/>
                <w:szCs w:val="21"/>
              </w:rPr>
              <w:t>2、无条件培训用户进行系统的操作和使用。</w:t>
            </w:r>
          </w:p>
          <w:p>
            <w:pPr>
              <w:widowControl/>
              <w:adjustRightInd w:val="0"/>
              <w:snapToGrid w:val="0"/>
              <w:spacing w:before="120" w:line="220" w:lineRule="atLeast"/>
              <w:rPr>
                <w:rFonts w:ascii="宋体" w:hAnsi="宋体" w:cs="宋体"/>
                <w:color w:val="000000"/>
                <w:szCs w:val="21"/>
              </w:rPr>
            </w:pPr>
            <w:r>
              <w:rPr>
                <w:rFonts w:hint="eastAsia" w:ascii="宋体" w:hAnsi="宋体" w:cs="宋体"/>
                <w:color w:val="000000"/>
                <w:kern w:val="0"/>
                <w:szCs w:val="21"/>
              </w:rPr>
              <w:t>3、</w:t>
            </w:r>
            <w:r>
              <w:rPr>
                <w:rFonts w:hint="eastAsia" w:ascii="宋体" w:hAnsi="宋体" w:cs="宋体"/>
                <w:color w:val="000000"/>
                <w:szCs w:val="21"/>
              </w:rPr>
              <w:t>提供7×24小时服务热线及远程技术支持。</w:t>
            </w:r>
          </w:p>
          <w:p>
            <w:pPr>
              <w:widowControl/>
              <w:adjustRightInd w:val="0"/>
              <w:snapToGrid w:val="0"/>
              <w:spacing w:before="120" w:line="220" w:lineRule="atLeast"/>
              <w:rPr>
                <w:rFonts w:ascii="宋体" w:hAnsi="宋体" w:cs="宋体"/>
                <w:color w:val="000000"/>
                <w:kern w:val="0"/>
                <w:szCs w:val="21"/>
              </w:rPr>
            </w:pPr>
          </w:p>
        </w:tc>
        <w:tc>
          <w:tcPr>
            <w:tcW w:w="369" w:type="dxa"/>
            <w:vAlign w:val="center"/>
          </w:tcPr>
          <w:p>
            <w:pPr>
              <w:widowControl/>
              <w:adjustRightInd w:val="0"/>
              <w:snapToGrid w:val="0"/>
              <w:spacing w:before="120" w:line="220" w:lineRule="atLeast"/>
              <w:jc w:val="center"/>
              <w:rPr>
                <w:rFonts w:ascii="宋体" w:hAnsi="宋体" w:cs="宋体"/>
                <w:color w:val="000000"/>
                <w:kern w:val="0"/>
                <w:szCs w:val="21"/>
              </w:rPr>
            </w:pPr>
            <w:r>
              <w:rPr>
                <w:rFonts w:hint="eastAsia" w:ascii="宋体" w:hAnsi="宋体" w:cs="宋体"/>
                <w:color w:val="000000"/>
                <w:kern w:val="0"/>
                <w:szCs w:val="21"/>
              </w:rPr>
              <w:t>1</w:t>
            </w:r>
          </w:p>
        </w:tc>
      </w:tr>
    </w:tbl>
    <w:p>
      <w:pPr>
        <w:spacing w:before="120"/>
        <w:rPr>
          <w:rFonts w:ascii="宋体" w:hAnsi="宋体" w:cs="宋体"/>
          <w:b/>
          <w:szCs w:val="21"/>
          <w:lang w:val="en-GB"/>
        </w:rPr>
      </w:pPr>
    </w:p>
    <w:p>
      <w:pPr>
        <w:spacing w:before="156"/>
        <w:rPr>
          <w:rFonts w:ascii="宋体" w:hAnsi="宋体" w:cs="宋体"/>
          <w:b/>
          <w:szCs w:val="21"/>
          <w:lang w:val="en-GB"/>
        </w:rPr>
      </w:pPr>
    </w:p>
    <w:p>
      <w:pPr>
        <w:spacing w:before="156"/>
        <w:rPr>
          <w:rFonts w:ascii="宋体" w:hAnsi="宋体" w:cs="宋体"/>
          <w:b/>
          <w:szCs w:val="21"/>
        </w:rPr>
      </w:pPr>
      <w:r>
        <w:rPr>
          <w:rFonts w:hint="eastAsia" w:ascii="宋体" w:hAnsi="宋体" w:cs="宋体"/>
          <w:b/>
          <w:szCs w:val="21"/>
        </w:rPr>
        <w:t>7、</w:t>
      </w:r>
      <w:r>
        <w:rPr>
          <w:rFonts w:hint="eastAsia" w:ascii="宋体" w:hAnsi="宋体" w:cs="宋体"/>
          <w:b/>
          <w:szCs w:val="21"/>
          <w:lang w:val="en-US" w:eastAsia="zh-CN"/>
        </w:rPr>
        <w:t>全区</w:t>
      </w:r>
      <w:r>
        <w:rPr>
          <w:rFonts w:hint="eastAsia" w:ascii="宋体" w:hAnsi="宋体" w:cs="宋体"/>
          <w:b/>
          <w:szCs w:val="21"/>
        </w:rPr>
        <w:t>核心交换机</w:t>
      </w:r>
    </w:p>
    <w:tbl>
      <w:tblPr>
        <w:tblStyle w:val="59"/>
        <w:tblpPr w:leftFromText="180" w:rightFromText="180" w:vertAnchor="text" w:horzAnchor="page" w:tblpX="1797" w:tblpY="344"/>
        <w:tblOverlap w:val="never"/>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8" w:type="dxa"/>
            <w:noWrap/>
            <w:vAlign w:val="center"/>
          </w:tcPr>
          <w:p>
            <w:pPr>
              <w:widowControl/>
              <w:spacing w:before="156" w:line="360" w:lineRule="exact"/>
              <w:jc w:val="center"/>
              <w:rPr>
                <w:rFonts w:ascii="宋体" w:hAnsi="宋体" w:cs="宋体"/>
                <w:b/>
                <w:bCs/>
                <w:kern w:val="0"/>
                <w:szCs w:val="21"/>
              </w:rPr>
            </w:pPr>
            <w:r>
              <w:rPr>
                <w:rFonts w:hint="eastAsia" w:ascii="宋体" w:hAnsi="宋体" w:cs="宋体"/>
                <w:b/>
                <w:bCs/>
                <w:kern w:val="0"/>
                <w:szCs w:val="21"/>
              </w:rPr>
              <w:t>指标项</w:t>
            </w:r>
          </w:p>
        </w:tc>
        <w:tc>
          <w:tcPr>
            <w:tcW w:w="7342" w:type="dxa"/>
            <w:noWrap/>
            <w:vAlign w:val="center"/>
          </w:tcPr>
          <w:p>
            <w:pPr>
              <w:widowControl/>
              <w:spacing w:before="156" w:line="360" w:lineRule="exact"/>
              <w:jc w:val="center"/>
              <w:rPr>
                <w:rFonts w:ascii="宋体" w:hAnsi="宋体" w:cs="宋体"/>
                <w:b/>
                <w:bCs/>
                <w:kern w:val="0"/>
                <w:szCs w:val="21"/>
              </w:rPr>
            </w:pPr>
            <w:r>
              <w:rPr>
                <w:rFonts w:hint="eastAsia" w:ascii="宋体" w:hAnsi="宋体" w:cs="宋体"/>
                <w:b/>
                <w:bCs/>
                <w:kern w:val="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▲设备性能</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交换容量≥60Tbps，转发能力≥8400Mpps，如有投标产品参数指标不同，投标产品参数指标以较低参数指标为准，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插槽数</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业务插槽≥10；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主控引擎</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主控引擎模块≥2，满足1+1冗余，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关键部件冗余及热插拔</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主控交换卡、电源、接口模块、风扇、网板等关键部件均支持可热插拔及冗余设计；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708"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接口要求</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以太网支持千兆电口，千兆光口，万兆光口、40G端口、100G端口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vMerge w:val="continue"/>
            <w:noWrap/>
            <w:vAlign w:val="center"/>
          </w:tcPr>
          <w:p>
            <w:pPr>
              <w:pStyle w:val="291"/>
              <w:spacing w:before="156" w:line="360" w:lineRule="auto"/>
              <w:ind w:firstLine="0" w:firstLineChars="0"/>
              <w:rPr>
                <w:rFonts w:ascii="宋体" w:hAnsi="宋体" w:cs="宋体"/>
                <w:szCs w:val="21"/>
              </w:rPr>
            </w:pP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单槽位能够同时提供千兆光口、万兆光口，且实际可用端口总数≥48，提高槽位利用率和业务可靠性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08" w:type="dxa"/>
            <w:vMerge w:val="continue"/>
            <w:noWrap/>
            <w:vAlign w:val="center"/>
          </w:tcPr>
          <w:p>
            <w:pPr>
              <w:pStyle w:val="291"/>
              <w:spacing w:before="156" w:line="360" w:lineRule="auto"/>
              <w:ind w:firstLine="0" w:firstLineChars="0"/>
              <w:rPr>
                <w:rFonts w:ascii="宋体" w:hAnsi="宋体" w:cs="宋体"/>
                <w:szCs w:val="21"/>
              </w:rPr>
            </w:pP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支持RPR接口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8"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链路聚合</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聚合组数≥128组，每组成员≥8个；支持跨设备链路聚合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vMerge w:val="continue"/>
            <w:noWrap/>
            <w:vAlign w:val="center"/>
          </w:tcPr>
          <w:p>
            <w:pPr>
              <w:pStyle w:val="291"/>
              <w:spacing w:before="156" w:line="360" w:lineRule="auto"/>
              <w:ind w:firstLine="0" w:firstLineChars="0"/>
              <w:rPr>
                <w:rFonts w:ascii="宋体" w:hAnsi="宋体" w:cs="宋体"/>
                <w:szCs w:val="21"/>
              </w:rPr>
            </w:pP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支持对广播、组播、单播报文的均匀分担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8" w:type="dxa"/>
            <w:vMerge w:val="continue"/>
            <w:noWrap/>
            <w:vAlign w:val="center"/>
          </w:tcPr>
          <w:p>
            <w:pPr>
              <w:pStyle w:val="291"/>
              <w:spacing w:before="156" w:line="360" w:lineRule="auto"/>
              <w:ind w:firstLine="0" w:firstLineChars="0"/>
              <w:rPr>
                <w:rFonts w:ascii="宋体" w:hAnsi="宋体" w:cs="宋体"/>
                <w:szCs w:val="21"/>
              </w:rPr>
            </w:pP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支持链路聚合+ECMP情况也可以对报文均匀分担，即等价路由的链路是由聚合链路组成情况下的报文分担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8"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可靠性</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双引擎快速倒换，主备切换时候板内转发无丢包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vMerge w:val="continue"/>
            <w:noWrap/>
            <w:vAlign w:val="center"/>
          </w:tcPr>
          <w:p>
            <w:pPr>
              <w:pStyle w:val="291"/>
              <w:spacing w:before="156" w:line="360" w:lineRule="auto"/>
              <w:ind w:firstLine="0" w:firstLineChars="0"/>
              <w:rPr>
                <w:rFonts w:ascii="宋体" w:hAnsi="宋体" w:cs="宋体"/>
                <w:szCs w:val="21"/>
              </w:rPr>
            </w:pP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支持NSF/GR for OSFP/BGP/IS-IS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多业务功能扩展</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支持防火墙、无线AP控制器等业务功能；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szCs w:val="21"/>
                <w:highlight w:val="yellow"/>
              </w:rPr>
              <w:t>IP</w:t>
            </w:r>
            <w:r>
              <w:rPr>
                <w:rFonts w:ascii="宋体" w:hAnsi="宋体"/>
                <w:szCs w:val="21"/>
                <w:highlight w:val="yellow"/>
              </w:rPr>
              <w:t>v6</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szCs w:val="21"/>
                <w:highlight w:val="yellow"/>
              </w:rPr>
              <w:t>支持IPv6路由协议，RIPng、OSFPv3、BGP4+、IS-ISv6支持IPv6策略路由，支持DHCPv6</w:t>
            </w:r>
            <w:r>
              <w:rPr>
                <w:rFonts w:ascii="宋体" w:hAnsi="宋体"/>
                <w:szCs w:val="21"/>
                <w:highlight w:val="yellow"/>
              </w:rPr>
              <w:t xml:space="preserve"> realy/server</w:t>
            </w:r>
            <w:r>
              <w:rPr>
                <w:rFonts w:hint="eastAsia" w:ascii="宋体" w:hAnsi="宋体"/>
                <w:szCs w:val="21"/>
                <w:highlight w:val="yellow"/>
              </w:rPr>
              <w:t>、IPv6 portal功能、IPv6管理功能，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MPLS</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支持L3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08"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数据中心特性</w:t>
            </w:r>
          </w:p>
        </w:tc>
        <w:tc>
          <w:tcPr>
            <w:tcW w:w="7342" w:type="dxa"/>
            <w:noWrap/>
            <w:vAlign w:val="center"/>
          </w:tcPr>
          <w:p>
            <w:pPr>
              <w:pStyle w:val="291"/>
              <w:spacing w:before="156"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vMerge w:val="continue"/>
            <w:noWrap/>
            <w:vAlign w:val="center"/>
          </w:tcPr>
          <w:p>
            <w:pPr>
              <w:pStyle w:val="291"/>
              <w:spacing w:before="156" w:line="360" w:lineRule="auto"/>
              <w:ind w:firstLine="0" w:firstLineChars="0"/>
              <w:rPr>
                <w:rFonts w:ascii="宋体" w:hAnsi="宋体" w:cs="宋体"/>
                <w:szCs w:val="21"/>
              </w:rPr>
            </w:pP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支持主流的MAC in IP技术，支持跨三层网络的二层互联，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708" w:type="dxa"/>
            <w:vMerge w:val="continue"/>
            <w:noWrap/>
            <w:vAlign w:val="center"/>
          </w:tcPr>
          <w:p>
            <w:pPr>
              <w:pStyle w:val="291"/>
              <w:spacing w:before="156" w:line="360" w:lineRule="auto"/>
              <w:ind w:firstLine="0" w:firstLineChars="0"/>
              <w:rPr>
                <w:rFonts w:ascii="宋体" w:hAnsi="宋体" w:cs="宋体"/>
                <w:szCs w:val="21"/>
              </w:rPr>
            </w:pP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支持VxLAN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▲配置要求</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单台配置：</w:t>
            </w:r>
          </w:p>
          <w:p>
            <w:pPr>
              <w:pStyle w:val="291"/>
              <w:spacing w:before="156" w:line="360" w:lineRule="auto"/>
              <w:ind w:firstLine="0" w:firstLineChars="0"/>
              <w:rPr>
                <w:rFonts w:ascii="宋体" w:hAnsi="宋体" w:cs="宋体"/>
                <w:szCs w:val="21"/>
              </w:rPr>
            </w:pPr>
            <w:r>
              <w:rPr>
                <w:rFonts w:hint="eastAsia" w:ascii="宋体" w:hAnsi="宋体" w:cs="宋体"/>
                <w:szCs w:val="21"/>
              </w:rPr>
              <w:t xml:space="preserve">独立双主控引擎；配置≥2块交换网板；双冗余电源；千兆电接口数≥20，千兆光接口数≥20，万兆光接口数≥20；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0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其他</w:t>
            </w:r>
          </w:p>
        </w:tc>
        <w:tc>
          <w:tcPr>
            <w:tcW w:w="7342"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投标时提供所投设备工信部入网许可证复印件；</w:t>
            </w:r>
          </w:p>
          <w:p>
            <w:pPr>
              <w:pStyle w:val="291"/>
              <w:spacing w:before="156" w:line="360" w:lineRule="auto"/>
              <w:ind w:firstLine="0" w:firstLineChars="0"/>
              <w:rPr>
                <w:rFonts w:ascii="宋体" w:hAnsi="宋体" w:cs="宋体"/>
                <w:szCs w:val="21"/>
              </w:rPr>
            </w:pPr>
            <w:r>
              <w:rPr>
                <w:rFonts w:hint="eastAsia" w:ascii="宋体" w:hAnsi="宋体" w:cs="宋体"/>
                <w:szCs w:val="21"/>
              </w:rPr>
              <w:t>提供原厂7*24*3现场保修服务，</w:t>
            </w:r>
          </w:p>
        </w:tc>
      </w:tr>
    </w:tbl>
    <w:p>
      <w:pPr>
        <w:spacing w:before="156"/>
        <w:rPr>
          <w:rFonts w:ascii="宋体" w:hAnsi="宋体" w:cs="宋体"/>
          <w:b/>
          <w:szCs w:val="21"/>
        </w:rPr>
      </w:pPr>
      <w:r>
        <w:rPr>
          <w:rFonts w:hint="eastAsia" w:ascii="宋体" w:hAnsi="宋体" w:cs="宋体"/>
          <w:b/>
          <w:szCs w:val="21"/>
        </w:rPr>
        <w:t>8、骨干汇聚交换机</w:t>
      </w:r>
    </w:p>
    <w:tbl>
      <w:tblPr>
        <w:tblStyle w:val="59"/>
        <w:tblpPr w:leftFromText="180" w:rightFromText="180" w:vertAnchor="text" w:horzAnchor="page" w:tblpX="1801" w:tblpY="354"/>
        <w:tblOverlap w:val="never"/>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指标项</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▲设备性能</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交换容量≥</w:t>
            </w:r>
            <w:r>
              <w:rPr>
                <w:rFonts w:ascii="宋体" w:hAnsi="宋体" w:cs="宋体"/>
                <w:szCs w:val="21"/>
              </w:rPr>
              <w:t>19</w:t>
            </w:r>
            <w:r>
              <w:rPr>
                <w:rFonts w:hint="eastAsia" w:ascii="宋体" w:hAnsi="宋体" w:cs="宋体"/>
                <w:szCs w:val="21"/>
              </w:rPr>
              <w:t>Tbps，转发能力≥</w:t>
            </w:r>
            <w:r>
              <w:rPr>
                <w:rFonts w:ascii="宋体" w:hAnsi="宋体" w:cs="宋体"/>
                <w:szCs w:val="21"/>
              </w:rPr>
              <w:t>288</w:t>
            </w:r>
            <w:r>
              <w:rPr>
                <w:rFonts w:hint="eastAsia" w:ascii="宋体" w:hAnsi="宋体" w:cs="宋体"/>
                <w:szCs w:val="21"/>
              </w:rPr>
              <w:t xml:space="preserve">0Mpps，如有投标产品参数指标不同，投标产品参数指标以较低参数指标为准，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插槽数</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业务插槽≥6；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主控引擎</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主控引擎模块≥2，满足1+1冗余，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587"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接口要求</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以太网支持千兆电口，千兆光口，万兆光口、40G端口、100G端口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87" w:type="dxa"/>
            <w:vMerge w:val="continue"/>
            <w:noWrap/>
            <w:vAlign w:val="center"/>
          </w:tcPr>
          <w:p>
            <w:pPr>
              <w:pStyle w:val="291"/>
              <w:spacing w:before="156" w:line="360" w:lineRule="auto"/>
              <w:ind w:firstLine="0" w:firstLineChars="0"/>
              <w:rPr>
                <w:rFonts w:ascii="宋体" w:hAnsi="宋体" w:cs="宋体"/>
                <w:szCs w:val="21"/>
              </w:rPr>
            </w:pP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单槽位能够同时提供千兆光口、万兆光口，且实际可用端口总数≥48，提高槽位利用率和业务可靠性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87" w:type="dxa"/>
            <w:vMerge w:val="continue"/>
            <w:noWrap/>
            <w:vAlign w:val="center"/>
          </w:tcPr>
          <w:p>
            <w:pPr>
              <w:pStyle w:val="291"/>
              <w:spacing w:before="156" w:line="360" w:lineRule="auto"/>
              <w:ind w:firstLine="0" w:firstLineChars="0"/>
              <w:rPr>
                <w:rFonts w:ascii="宋体" w:hAnsi="宋体" w:cs="宋体"/>
                <w:szCs w:val="21"/>
              </w:rPr>
            </w:pP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支持RPR接口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87" w:type="dxa"/>
            <w:vMerge w:val="continue"/>
            <w:noWrap/>
            <w:vAlign w:val="center"/>
          </w:tcPr>
          <w:p>
            <w:pPr>
              <w:pStyle w:val="291"/>
              <w:spacing w:before="156" w:line="360" w:lineRule="auto"/>
              <w:ind w:firstLine="0" w:firstLineChars="0"/>
              <w:rPr>
                <w:rFonts w:ascii="宋体" w:hAnsi="宋体" w:cs="宋体"/>
                <w:szCs w:val="21"/>
              </w:rPr>
            </w:pPr>
          </w:p>
        </w:tc>
        <w:tc>
          <w:tcPr>
            <w:tcW w:w="7459" w:type="dxa"/>
            <w:noWrap/>
            <w:vAlign w:val="center"/>
          </w:tcPr>
          <w:p>
            <w:pPr>
              <w:pStyle w:val="291"/>
              <w:spacing w:before="156"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87"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链路聚合</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聚合组数≥128组，每组成员≥8个；支持跨设备链路聚合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87" w:type="dxa"/>
            <w:vMerge w:val="continue"/>
            <w:noWrap/>
            <w:vAlign w:val="center"/>
          </w:tcPr>
          <w:p>
            <w:pPr>
              <w:pStyle w:val="291"/>
              <w:spacing w:before="156" w:line="360" w:lineRule="auto"/>
              <w:ind w:firstLine="0" w:firstLineChars="0"/>
              <w:rPr>
                <w:rFonts w:ascii="宋体" w:hAnsi="宋体" w:cs="宋体"/>
                <w:szCs w:val="21"/>
              </w:rPr>
            </w:pP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支持对广播、组播、单播报文的均匀分担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87" w:type="dxa"/>
            <w:vMerge w:val="continue"/>
            <w:noWrap/>
            <w:vAlign w:val="center"/>
          </w:tcPr>
          <w:p>
            <w:pPr>
              <w:pStyle w:val="291"/>
              <w:spacing w:before="156" w:line="360" w:lineRule="auto"/>
              <w:ind w:firstLine="0" w:firstLineChars="0"/>
              <w:rPr>
                <w:rFonts w:ascii="宋体" w:hAnsi="宋体" w:cs="宋体"/>
                <w:szCs w:val="21"/>
              </w:rPr>
            </w:pP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支持链路聚合+ECMP情况也可以对报文均匀分担，即等价路由的链路是由聚合链路组成情况下的报文分担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87"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可靠性</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双引擎快速倒换，主备切换时候板内转发无丢包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87" w:type="dxa"/>
            <w:vMerge w:val="continue"/>
            <w:noWrap/>
            <w:vAlign w:val="center"/>
          </w:tcPr>
          <w:p>
            <w:pPr>
              <w:pStyle w:val="291"/>
              <w:spacing w:before="156" w:line="360" w:lineRule="auto"/>
              <w:ind w:firstLine="0" w:firstLineChars="0"/>
              <w:rPr>
                <w:rFonts w:ascii="宋体" w:hAnsi="宋体" w:cs="宋体"/>
                <w:szCs w:val="21"/>
              </w:rPr>
            </w:pP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支持NSF/GR for OSFP/BGP/IS-IS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MPLS</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支持L3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5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▲配置要求</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单台配置：</w:t>
            </w:r>
          </w:p>
          <w:p>
            <w:pPr>
              <w:pStyle w:val="291"/>
              <w:spacing w:before="156" w:line="360" w:lineRule="auto"/>
              <w:ind w:firstLine="0" w:firstLineChars="0"/>
              <w:rPr>
                <w:rFonts w:ascii="宋体" w:hAnsi="宋体" w:cs="宋体"/>
                <w:szCs w:val="21"/>
              </w:rPr>
            </w:pPr>
            <w:r>
              <w:rPr>
                <w:rFonts w:hint="eastAsia" w:ascii="宋体" w:hAnsi="宋体" w:cs="宋体"/>
                <w:szCs w:val="21"/>
              </w:rPr>
              <w:t xml:space="preserve">独立双主控引擎；双冗余电源，万兆光接口数≥24；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其他</w:t>
            </w:r>
          </w:p>
        </w:tc>
        <w:tc>
          <w:tcPr>
            <w:tcW w:w="7459"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投标时提供所投设备工信部入网许可证复印件</w:t>
            </w:r>
          </w:p>
        </w:tc>
      </w:tr>
    </w:tbl>
    <w:p>
      <w:pPr>
        <w:spacing w:before="156"/>
        <w:rPr>
          <w:rFonts w:ascii="宋体" w:hAnsi="宋体" w:cs="宋体"/>
          <w:b/>
          <w:szCs w:val="21"/>
        </w:rPr>
      </w:pPr>
      <w:r>
        <w:rPr>
          <w:rFonts w:hint="eastAsia" w:ascii="宋体" w:hAnsi="宋体" w:cs="宋体"/>
          <w:b/>
          <w:szCs w:val="21"/>
        </w:rPr>
        <w:t>9、24口POE交换机</w:t>
      </w:r>
    </w:p>
    <w:tbl>
      <w:tblPr>
        <w:tblStyle w:val="59"/>
        <w:tblW w:w="9045"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指标项</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▲性能指标</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交换容量≥330Gbps；如有投标产品参数指标不同，投标产品参数指标以较低参数指标为准，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端口类型</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配置千兆电口≥24个，千兆光口≥4个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POE供电</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szCs w:val="21"/>
                <w:highlight w:val="yellow"/>
              </w:rPr>
              <w:t>支持24个千兆接口进行POE</w:t>
            </w:r>
            <w:r>
              <w:rPr>
                <w:rFonts w:ascii="宋体" w:hAnsi="宋体"/>
                <w:szCs w:val="21"/>
                <w:highlight w:val="yellow"/>
              </w:rPr>
              <w:t>+</w:t>
            </w:r>
            <w:r>
              <w:rPr>
                <w:rFonts w:hint="eastAsia" w:ascii="宋体" w:hAnsi="宋体"/>
                <w:szCs w:val="21"/>
                <w:highlight w:val="yellow"/>
              </w:rPr>
              <w:t>供电，整机POE供电功率≥37</w:t>
            </w:r>
            <w:r>
              <w:rPr>
                <w:rFonts w:ascii="宋体" w:hAnsi="宋体"/>
                <w:szCs w:val="21"/>
                <w:highlight w:val="yellow"/>
              </w:rPr>
              <w:t>0</w:t>
            </w:r>
            <w:r>
              <w:rPr>
                <w:rFonts w:hint="eastAsia" w:ascii="宋体" w:hAnsi="宋体"/>
                <w:szCs w:val="21"/>
                <w:highlight w:val="yellow"/>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路由功能</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支持IPv4/v6静态路由、动态路由RIP/RIPng，OSPF，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链路聚合</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支持≥8个端口聚合；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continue"/>
            <w:noWrap/>
            <w:vAlign w:val="center"/>
          </w:tcPr>
          <w:p>
            <w:pPr>
              <w:pStyle w:val="291"/>
              <w:spacing w:before="156" w:line="360" w:lineRule="auto"/>
              <w:ind w:firstLine="0" w:firstLineChars="0"/>
              <w:rPr>
                <w:rFonts w:ascii="宋体" w:hAnsi="宋体" w:cs="宋体"/>
                <w:szCs w:val="21"/>
              </w:rPr>
            </w:pP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支持≥128个聚合组；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continue"/>
            <w:noWrap/>
            <w:vAlign w:val="center"/>
          </w:tcPr>
          <w:p>
            <w:pPr>
              <w:pStyle w:val="291"/>
              <w:spacing w:before="156" w:line="360" w:lineRule="auto"/>
              <w:ind w:firstLine="0" w:firstLineChars="0"/>
              <w:rPr>
                <w:rFonts w:ascii="宋体" w:hAnsi="宋体" w:cs="宋体"/>
                <w:szCs w:val="21"/>
              </w:rPr>
            </w:pP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支持动态聚合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SDN/OPENFLOW</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支持OPENFLOW 1.3标准，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安全功能</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支持DHCP Relay、DHCP Server、DHCP Snooping支持AAA认证，支持Radius、NAC等多种方式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continue"/>
            <w:noWrap/>
            <w:vAlign w:val="center"/>
          </w:tcPr>
          <w:p>
            <w:pPr>
              <w:pStyle w:val="291"/>
              <w:spacing w:before="156" w:line="360" w:lineRule="auto"/>
              <w:ind w:firstLine="0" w:firstLineChars="0"/>
              <w:rPr>
                <w:rFonts w:ascii="宋体" w:hAnsi="宋体" w:cs="宋体"/>
                <w:szCs w:val="21"/>
              </w:rPr>
            </w:pP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支持IP/Port/MAC的绑定功能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continue"/>
            <w:noWrap/>
            <w:vAlign w:val="center"/>
          </w:tcPr>
          <w:p>
            <w:pPr>
              <w:pStyle w:val="291"/>
              <w:spacing w:before="156" w:line="360" w:lineRule="auto"/>
              <w:ind w:firstLine="0" w:firstLineChars="0"/>
              <w:rPr>
                <w:rFonts w:ascii="宋体" w:hAnsi="宋体" w:cs="宋体"/>
                <w:szCs w:val="21"/>
              </w:rPr>
            </w:pP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业务端口防雷能力≥10KV，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可靠性</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支持G.8032ERPS开放环网协议，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888"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管理维护</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支持SNMP v1/v2/v3、Telnet、RMON</w:t>
            </w:r>
          </w:p>
          <w:p>
            <w:pPr>
              <w:pStyle w:val="291"/>
              <w:spacing w:before="156" w:line="360" w:lineRule="auto"/>
              <w:ind w:firstLine="0" w:firstLineChars="0"/>
              <w:rPr>
                <w:rFonts w:ascii="宋体" w:hAnsi="宋体" w:cs="宋体"/>
                <w:szCs w:val="21"/>
              </w:rPr>
            </w:pPr>
            <w:r>
              <w:rPr>
                <w:rFonts w:hint="eastAsia" w:ascii="宋体" w:hAnsi="宋体" w:cs="宋体"/>
                <w:szCs w:val="21"/>
              </w:rPr>
              <w:t>支持通过命令行、Web、中文图形化配置软件等方式进行配置和管理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888" w:type="dxa"/>
            <w:vMerge w:val="continue"/>
            <w:noWrap/>
            <w:vAlign w:val="center"/>
          </w:tcPr>
          <w:p>
            <w:pPr>
              <w:pStyle w:val="291"/>
              <w:spacing w:before="156" w:line="360" w:lineRule="auto"/>
              <w:ind w:firstLine="0" w:firstLineChars="0"/>
              <w:rPr>
                <w:rFonts w:ascii="宋体" w:hAnsi="宋体" w:cs="宋体"/>
                <w:szCs w:val="21"/>
              </w:rPr>
            </w:pP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能自动从服务器下载配置文件和应用程序，实现零配置启动，大幅度降低了大型网络和复杂网络的初始配置工作量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其他</w:t>
            </w:r>
          </w:p>
        </w:tc>
        <w:tc>
          <w:tcPr>
            <w:tcW w:w="715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投标时提供所投设备工信部入网许可证复印件，</w:t>
            </w:r>
            <w:r>
              <w:rPr>
                <w:rFonts w:hint="eastAsia" w:ascii="宋体" w:hAnsi="宋体"/>
                <w:szCs w:val="21"/>
                <w:highlight w:val="yellow"/>
              </w:rPr>
              <w:t>为保证设备之间良好兼容性，要求和无线产品为同一品牌</w:t>
            </w:r>
          </w:p>
        </w:tc>
      </w:tr>
    </w:tbl>
    <w:p>
      <w:pPr>
        <w:spacing w:before="156"/>
        <w:rPr>
          <w:rFonts w:ascii="宋体" w:hAnsi="宋体" w:cs="宋体"/>
          <w:b/>
          <w:szCs w:val="21"/>
        </w:rPr>
      </w:pPr>
      <w:r>
        <w:rPr>
          <w:rFonts w:hint="eastAsia" w:ascii="宋体" w:hAnsi="宋体" w:cs="宋体"/>
          <w:b/>
          <w:szCs w:val="21"/>
        </w:rPr>
        <w:t>11、走廊AP</w:t>
      </w:r>
    </w:p>
    <w:tbl>
      <w:tblPr>
        <w:tblStyle w:val="59"/>
        <w:tblW w:w="9075"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指标项</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6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协议支持</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支持最新802.11ac wave2协议，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同时支持802.11a/n/ac/ac wave2和802.11b/g/n工作</w:t>
            </w:r>
          </w:p>
          <w:p>
            <w:pPr>
              <w:pStyle w:val="291"/>
              <w:spacing w:before="156" w:line="360" w:lineRule="auto"/>
              <w:ind w:firstLine="0" w:firstLineChars="0"/>
              <w:rPr>
                <w:rFonts w:ascii="宋体" w:hAnsi="宋体" w:cs="宋体"/>
                <w:szCs w:val="21"/>
              </w:rPr>
            </w:pPr>
            <w:r>
              <w:rPr>
                <w:rFonts w:hint="eastAsia" w:ascii="宋体" w:hAnsi="宋体" w:cs="宋体"/>
                <w:szCs w:val="21"/>
              </w:rPr>
              <w:t>802.11ac/n/a : 5.725GHz-5.850GHz ; 5.15~5.35GHz (中国)</w:t>
            </w:r>
          </w:p>
          <w:p>
            <w:pPr>
              <w:pStyle w:val="291"/>
              <w:spacing w:before="156" w:line="360" w:lineRule="auto"/>
              <w:ind w:firstLine="0" w:firstLineChars="0"/>
              <w:rPr>
                <w:rFonts w:ascii="宋体" w:hAnsi="宋体" w:cs="宋体"/>
                <w:szCs w:val="21"/>
              </w:rPr>
            </w:pPr>
            <w:r>
              <w:rPr>
                <w:rFonts w:hint="eastAsia" w:ascii="宋体" w:hAnsi="宋体" w:cs="宋体"/>
                <w:szCs w:val="21"/>
              </w:rPr>
              <w:t>802.11b/g/n : 2.4GHz-2.483GHz (中国), 2.4GHz/5GHz双频段同时工作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接口</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≥1个10/100/1000Mbps(RJ45)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▲协商速率</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无线传输速率≥1167Mbps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功耗</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整机最大功耗小于13W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76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▲性能要求</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支持≥256个用户同时接入，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支持整机接入≥100个用户，打开网页，网页加载流畅不卡顿，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单终端接入速率≥100Mbps，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供电</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RJ45网线供电或本地电源适配器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IPv6支持</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支持IPv6 Portal、IPv6 SAVI，支持IPv4/IPv6双协议栈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6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无线射频管理</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支持自动调整AP发射功率和分配射频信道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支持2.4G和5G双频，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76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无线安全</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支持64、128位WEP加密，WPA，802.11i和WAPI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支持802.1X认证、MAC地址认证、PSK认证、Portal认证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支持AP上二层转发抑制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支持虚拟AP(多SSID)之间的隔离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支持广播抑制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760" w:type="dxa"/>
            <w:vMerge w:val="continue"/>
            <w:noWrap/>
            <w:vAlign w:val="center"/>
          </w:tcPr>
          <w:p>
            <w:pPr>
              <w:pStyle w:val="291"/>
              <w:spacing w:before="156" w:line="360" w:lineRule="auto"/>
              <w:ind w:firstLine="0" w:firstLineChars="0"/>
              <w:rPr>
                <w:rFonts w:ascii="宋体" w:hAnsi="宋体" w:cs="宋体"/>
                <w:szCs w:val="21"/>
              </w:rPr>
            </w:pP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支持SSID隐藏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转发特性</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支持集中转发和本地转发两种模式；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7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▲资质</w:t>
            </w:r>
          </w:p>
        </w:tc>
        <w:tc>
          <w:tcPr>
            <w:tcW w:w="7315"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提供国家工信部入网核准证及WiFi联盟证书；</w:t>
            </w:r>
          </w:p>
        </w:tc>
      </w:tr>
    </w:tbl>
    <w:p>
      <w:pPr>
        <w:ind w:left="210" w:leftChars="100" w:right="210"/>
        <w:rPr>
          <w:rFonts w:ascii="宋体" w:hAnsi="宋体" w:cs="宋体"/>
          <w:b/>
          <w:szCs w:val="21"/>
        </w:rPr>
      </w:pPr>
    </w:p>
    <w:p>
      <w:pPr>
        <w:ind w:left="210" w:leftChars="100" w:right="210"/>
        <w:rPr>
          <w:rFonts w:ascii="宋体" w:hAnsi="宋体" w:cs="宋体"/>
          <w:b/>
          <w:szCs w:val="21"/>
        </w:rPr>
      </w:pPr>
    </w:p>
    <w:p>
      <w:pPr>
        <w:ind w:left="210" w:leftChars="100" w:right="210"/>
        <w:rPr>
          <w:rFonts w:ascii="宋体" w:hAnsi="宋体" w:cs="宋体"/>
          <w:b/>
          <w:szCs w:val="21"/>
        </w:rPr>
      </w:pPr>
    </w:p>
    <w:p>
      <w:pPr>
        <w:ind w:left="210" w:leftChars="100" w:right="210"/>
        <w:rPr>
          <w:rFonts w:ascii="宋体" w:hAnsi="宋体" w:cs="宋体"/>
          <w:b/>
          <w:szCs w:val="21"/>
        </w:rPr>
      </w:pPr>
    </w:p>
    <w:p>
      <w:pPr>
        <w:ind w:left="210" w:leftChars="100" w:right="210"/>
        <w:rPr>
          <w:rFonts w:ascii="宋体" w:hAnsi="宋体" w:cs="宋体"/>
          <w:b/>
          <w:szCs w:val="21"/>
        </w:rPr>
      </w:pPr>
      <w:r>
        <w:rPr>
          <w:rFonts w:hint="eastAsia" w:ascii="宋体" w:hAnsi="宋体" w:cs="宋体"/>
          <w:b/>
          <w:szCs w:val="21"/>
        </w:rPr>
        <w:t>12.教师办公室面板AP</w:t>
      </w:r>
    </w:p>
    <w:tbl>
      <w:tblPr>
        <w:tblStyle w:val="59"/>
        <w:tblW w:w="8524"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指标项</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▲工作模式</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支持802.11ac Wave2协议，支持MU-MIMO</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接口要求</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10/100/1000Mbps≥3个 下行口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vMerge w:val="continue"/>
            <w:noWrap/>
            <w:vAlign w:val="center"/>
          </w:tcPr>
          <w:p>
            <w:pPr>
              <w:pStyle w:val="291"/>
              <w:spacing w:before="156" w:line="360" w:lineRule="auto"/>
              <w:ind w:firstLine="0" w:firstLineChars="0"/>
              <w:rPr>
                <w:rFonts w:ascii="宋体" w:hAnsi="宋体" w:cs="宋体"/>
                <w:szCs w:val="21"/>
              </w:rPr>
            </w:pP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10/100/1000Mbps≥1个  上行口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vMerge w:val="continue"/>
            <w:noWrap/>
            <w:vAlign w:val="center"/>
          </w:tcPr>
          <w:p>
            <w:pPr>
              <w:pStyle w:val="291"/>
              <w:spacing w:before="156" w:line="360" w:lineRule="auto"/>
              <w:ind w:firstLine="0" w:firstLineChars="0"/>
              <w:rPr>
                <w:rFonts w:ascii="宋体" w:hAnsi="宋体" w:cs="宋体"/>
                <w:szCs w:val="21"/>
              </w:rPr>
            </w:pP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10/100/1000Mbps（RJ45）≥1个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▲数据速率</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最大传输速率≥1.16Gbps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性能要求</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支持整机接入≥25个用户，同时点播1M码流的视频文件时，视频点播流畅不卡顿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控制模式</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支持直连或通过L2/L3方式连接到无线局域网控制器。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IPv6支持</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支持IPv4/IPv6双协议栈、Native原生，特别支持IPv6 Portal、IPv6 SAVI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天线</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内置低辐射全向天线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供电</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灵活转发</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支持不同SSID采用不同转发模式(集中转发与本地转发)，灵活组网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负载均衡</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支持基于用户、流量的负载均衡。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安全与认证</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支持MAC认证、Portal认证、802.1X认证、PSK认证模式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43" w:type="dxa"/>
            <w:vMerge w:val="continue"/>
            <w:noWrap/>
            <w:vAlign w:val="center"/>
          </w:tcPr>
          <w:p>
            <w:pPr>
              <w:pStyle w:val="291"/>
              <w:spacing w:before="156" w:line="360" w:lineRule="auto"/>
              <w:ind w:firstLine="0" w:firstLineChars="0"/>
              <w:rPr>
                <w:rFonts w:ascii="宋体" w:hAnsi="宋体" w:cs="宋体"/>
                <w:szCs w:val="21"/>
              </w:rPr>
            </w:pP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支持64、128位WEP加密，WPA，802.11i，支持WPA和802.11i的多种密钥更新触发条件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43" w:type="dxa"/>
            <w:vMerge w:val="continue"/>
            <w:noWrap/>
            <w:vAlign w:val="center"/>
          </w:tcPr>
          <w:p>
            <w:pPr>
              <w:pStyle w:val="291"/>
              <w:spacing w:before="156" w:line="360" w:lineRule="auto"/>
              <w:ind w:firstLine="0" w:firstLineChars="0"/>
              <w:rPr>
                <w:rFonts w:ascii="宋体" w:hAnsi="宋体" w:cs="宋体"/>
                <w:szCs w:val="21"/>
              </w:rPr>
            </w:pP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支持无线入侵检测/防御系统技术（WIDS/WIPS）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用户隔离</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支持AP上二层转发抑制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vMerge w:val="continue"/>
            <w:noWrap/>
            <w:vAlign w:val="center"/>
          </w:tcPr>
          <w:p>
            <w:pPr>
              <w:pStyle w:val="291"/>
              <w:spacing w:before="156" w:line="360" w:lineRule="auto"/>
              <w:ind w:firstLine="0" w:firstLineChars="0"/>
              <w:rPr>
                <w:rFonts w:ascii="宋体" w:hAnsi="宋体" w:cs="宋体"/>
                <w:szCs w:val="21"/>
              </w:rPr>
            </w:pP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支持虚拟AP(多SSID)之间的隔离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64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资质</w:t>
            </w:r>
          </w:p>
        </w:tc>
        <w:tc>
          <w:tcPr>
            <w:tcW w:w="6881"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提供国家工信部入网核准证及WiFi联盟证书；</w:t>
            </w:r>
          </w:p>
        </w:tc>
      </w:tr>
    </w:tbl>
    <w:p>
      <w:pPr>
        <w:spacing w:before="156"/>
        <w:rPr>
          <w:rFonts w:ascii="宋体" w:hAnsi="宋体" w:cs="宋体"/>
          <w:szCs w:val="21"/>
        </w:rPr>
      </w:pPr>
    </w:p>
    <w:p>
      <w:pPr>
        <w:spacing w:before="156"/>
        <w:rPr>
          <w:rFonts w:ascii="宋体" w:hAnsi="宋体" w:cs="宋体"/>
          <w:b/>
          <w:szCs w:val="21"/>
        </w:rPr>
      </w:pPr>
      <w:r>
        <w:rPr>
          <w:rFonts w:hint="eastAsia" w:ascii="宋体" w:hAnsi="宋体" w:cs="宋体"/>
          <w:b/>
          <w:szCs w:val="21"/>
        </w:rPr>
        <w:t>13、大型学校核心交换机</w:t>
      </w:r>
    </w:p>
    <w:tbl>
      <w:tblPr>
        <w:tblStyle w:val="59"/>
        <w:tblpPr w:leftFromText="180" w:rightFromText="180" w:vertAnchor="text" w:horzAnchor="page" w:tblpX="1798" w:tblpY="363"/>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指标项</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▲设备性能</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交换容量≥15Tbps，转发能力≥2800Mpps，如有投标产品参数指标不同，投标产品参数指标以较低参数指标为准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插槽数</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业务插槽≥6；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5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▲主控引擎</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支持主控引擎模块≥2，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156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接口要求</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以太网支持千兆电口，千兆光口，万兆光口、40G端口、100G端口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60" w:type="dxa"/>
            <w:vMerge w:val="continue"/>
            <w:noWrap/>
            <w:vAlign w:val="center"/>
          </w:tcPr>
          <w:p>
            <w:pPr>
              <w:pStyle w:val="291"/>
              <w:spacing w:before="156" w:line="360" w:lineRule="auto"/>
              <w:ind w:firstLine="0" w:firstLineChars="0"/>
              <w:rPr>
                <w:rFonts w:ascii="宋体" w:hAnsi="宋体" w:cs="宋体"/>
                <w:szCs w:val="21"/>
              </w:rPr>
            </w:pP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单槽位能够同时提供千兆光口、万兆光口，且实际可用端口总数≥48，提高槽位利用率和业务可靠性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6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链路聚合</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聚合组数≥128组，每组成员≥8个；支持跨设备链路聚合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60" w:type="dxa"/>
            <w:vMerge w:val="continue"/>
            <w:noWrap/>
            <w:vAlign w:val="center"/>
          </w:tcPr>
          <w:p>
            <w:pPr>
              <w:pStyle w:val="291"/>
              <w:spacing w:before="156" w:line="360" w:lineRule="auto"/>
              <w:ind w:firstLine="0" w:firstLineChars="0"/>
              <w:rPr>
                <w:rFonts w:ascii="宋体" w:hAnsi="宋体" w:cs="宋体"/>
                <w:szCs w:val="21"/>
              </w:rPr>
            </w:pP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支持对广播、组播、单播报文的均匀分担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0" w:type="dxa"/>
            <w:vMerge w:val="continue"/>
            <w:noWrap/>
            <w:vAlign w:val="center"/>
          </w:tcPr>
          <w:p>
            <w:pPr>
              <w:pStyle w:val="291"/>
              <w:spacing w:before="156" w:line="360" w:lineRule="auto"/>
              <w:ind w:firstLine="0" w:firstLineChars="0"/>
              <w:rPr>
                <w:rFonts w:ascii="宋体" w:hAnsi="宋体" w:cs="宋体"/>
                <w:szCs w:val="21"/>
              </w:rPr>
            </w:pP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支持链路聚合+ECMP情况也可以对报文均匀分担，即等价路由的链路是由聚合链路组成情况下的报文分担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6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安全特性</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支持IP+MAC+VLAN+PORT的绑定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60" w:type="dxa"/>
            <w:vMerge w:val="continue"/>
            <w:noWrap/>
            <w:vAlign w:val="center"/>
          </w:tcPr>
          <w:p>
            <w:pPr>
              <w:pStyle w:val="291"/>
              <w:spacing w:before="156" w:line="360" w:lineRule="auto"/>
              <w:ind w:firstLine="0" w:firstLineChars="0"/>
              <w:rPr>
                <w:rFonts w:ascii="宋体" w:hAnsi="宋体" w:cs="宋体"/>
                <w:szCs w:val="21"/>
              </w:rPr>
            </w:pP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支持5级H-QoS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60" w:type="dxa"/>
            <w:vMerge w:val="continue"/>
            <w:noWrap/>
            <w:vAlign w:val="center"/>
          </w:tcPr>
          <w:p>
            <w:pPr>
              <w:pStyle w:val="291"/>
              <w:spacing w:before="156" w:line="360" w:lineRule="auto"/>
              <w:ind w:firstLine="0" w:firstLineChars="0"/>
              <w:rPr>
                <w:rFonts w:ascii="宋体" w:hAnsi="宋体" w:cs="宋体"/>
                <w:szCs w:val="21"/>
              </w:rPr>
            </w:pPr>
          </w:p>
        </w:tc>
        <w:tc>
          <w:tcPr>
            <w:tcW w:w="7504" w:type="dxa"/>
            <w:noWrap/>
            <w:vAlign w:val="center"/>
          </w:tcPr>
          <w:p>
            <w:pPr>
              <w:pStyle w:val="291"/>
              <w:spacing w:before="156"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5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▲配置要求</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独立双主控引擎；双冗余电源；千兆电接口数≥</w:t>
            </w:r>
            <w:r>
              <w:rPr>
                <w:rFonts w:ascii="宋体" w:hAnsi="宋体" w:cs="宋体"/>
                <w:szCs w:val="21"/>
              </w:rPr>
              <w:t>10</w:t>
            </w:r>
            <w:r>
              <w:rPr>
                <w:rFonts w:hint="eastAsia" w:ascii="宋体" w:hAnsi="宋体" w:cs="宋体"/>
                <w:szCs w:val="21"/>
              </w:rPr>
              <w:t>，千兆光接口数≥</w:t>
            </w:r>
            <w:r>
              <w:rPr>
                <w:rFonts w:ascii="宋体" w:hAnsi="宋体" w:cs="宋体"/>
                <w:szCs w:val="21"/>
              </w:rPr>
              <w:t>18</w:t>
            </w:r>
            <w:r>
              <w:rPr>
                <w:rFonts w:hint="eastAsia" w:ascii="宋体" w:hAnsi="宋体" w:cs="宋体"/>
                <w:szCs w:val="21"/>
              </w:rPr>
              <w:t xml:space="preserve">，万兆光接口数≥4；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6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其他</w:t>
            </w:r>
          </w:p>
        </w:tc>
        <w:tc>
          <w:tcPr>
            <w:tcW w:w="750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投标时提供所投设备工信部入网许可证复印件</w:t>
            </w:r>
          </w:p>
        </w:tc>
      </w:tr>
    </w:tbl>
    <w:p>
      <w:pPr>
        <w:spacing w:before="156"/>
        <w:rPr>
          <w:rFonts w:ascii="宋体" w:hAnsi="宋体" w:cs="宋体"/>
          <w:b/>
          <w:szCs w:val="21"/>
        </w:rPr>
      </w:pPr>
      <w:r>
        <w:rPr>
          <w:rFonts w:hint="eastAsia" w:ascii="宋体" w:hAnsi="宋体" w:cs="宋体"/>
          <w:b/>
          <w:szCs w:val="21"/>
        </w:rPr>
        <w:t>14、小型学校核心交换机</w:t>
      </w:r>
    </w:p>
    <w:tbl>
      <w:tblPr>
        <w:tblStyle w:val="59"/>
        <w:tblW w:w="906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887"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功能及技术指标</w:t>
            </w: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8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业务插槽数</w:t>
            </w: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▲性能要求</w:t>
            </w: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交换容量≥15Tbps，转发能力≥2800Mpps，如有投标产品参数指标不同，投标产品参数指标以较低参数指标为准，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887"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接口要求</w:t>
            </w: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以太网支持千兆电口，千兆光口，万兆光口、40G端口、100G端口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单槽位能够同时提供千兆光口、万兆光口，且实际可用端口总数≥48，提高槽位利用率和业务可靠性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支持RPR接口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87"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链路聚合</w:t>
            </w: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聚合组数≥128组，每组成员≥8个；支持跨设备链路聚合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支持对广播、组播、单播报文的均匀分担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支持链路聚合+ECMP情况也可以对报文均匀分担，即等价路由的链路是由聚合链路组成情况下的报文分担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887"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安全特性</w:t>
            </w: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支持IP+MAC+VLAN+PORT的绑定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支持5级H-QoS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87"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可靠性</w:t>
            </w: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支持NSF/GR for OSFP/BGP/IS-IS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支持热补丁功能，可在线进行补丁升级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支持BFD，BFD for VRRP/BGP/IS-IS/OSPF/RSVP/LDP/RIP/静态路由。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87" w:type="dxa"/>
            <w:vMerge w:val="continue"/>
            <w:noWrap/>
            <w:vAlign w:val="center"/>
          </w:tcPr>
          <w:p>
            <w:pPr>
              <w:pStyle w:val="291"/>
              <w:spacing w:before="156" w:line="360" w:lineRule="auto"/>
              <w:ind w:firstLine="0" w:firstLineChars="0"/>
              <w:rPr>
                <w:rFonts w:ascii="宋体" w:hAnsi="宋体" w:cs="宋体"/>
                <w:szCs w:val="21"/>
              </w:rPr>
            </w:pP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支持IP FRR，满足网络收敛&lt;50ms。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网络安全一体化</w:t>
            </w: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支持防火墙、IPS、负载均衡、无线控制器等，通过硬件插卡实现，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8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▲配置要求</w:t>
            </w:r>
          </w:p>
        </w:tc>
        <w:tc>
          <w:tcPr>
            <w:tcW w:w="7173" w:type="dxa"/>
            <w:noWrap/>
          </w:tcPr>
          <w:p>
            <w:pPr>
              <w:pStyle w:val="291"/>
              <w:spacing w:before="156" w:line="360" w:lineRule="auto"/>
              <w:ind w:firstLine="0" w:firstLineChars="0"/>
              <w:rPr>
                <w:rFonts w:ascii="宋体" w:hAnsi="宋体" w:cs="宋体"/>
                <w:szCs w:val="21"/>
              </w:rPr>
            </w:pPr>
            <w:r>
              <w:rPr>
                <w:rFonts w:hint="eastAsia" w:ascii="宋体" w:hAnsi="宋体" w:cs="宋体"/>
                <w:szCs w:val="21"/>
              </w:rPr>
              <w:t>配置2块主控引擎，配置双交流电源模块，千兆电接口≥</w:t>
            </w:r>
            <w:r>
              <w:rPr>
                <w:rFonts w:ascii="宋体" w:hAnsi="宋体" w:cs="宋体"/>
                <w:szCs w:val="21"/>
              </w:rPr>
              <w:t>8</w:t>
            </w:r>
            <w:r>
              <w:rPr>
                <w:rFonts w:hint="eastAsia" w:ascii="宋体" w:hAnsi="宋体" w:cs="宋体"/>
                <w:szCs w:val="21"/>
              </w:rPr>
              <w:t>；千兆光接口≥</w:t>
            </w:r>
            <w:r>
              <w:rPr>
                <w:rFonts w:ascii="宋体" w:hAnsi="宋体" w:cs="宋体"/>
                <w:szCs w:val="21"/>
              </w:rPr>
              <w:t>12</w:t>
            </w:r>
            <w:r>
              <w:rPr>
                <w:rFonts w:hint="eastAsia" w:ascii="宋体" w:hAnsi="宋体" w:cs="宋体"/>
                <w:szCs w:val="21"/>
              </w:rPr>
              <w:t>；万兆光接口≥4。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87"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其他</w:t>
            </w:r>
          </w:p>
        </w:tc>
        <w:tc>
          <w:tcPr>
            <w:tcW w:w="7173"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投标时提供所投设备工信部入网许可证复印件并加盖投标单位公章；</w:t>
            </w:r>
          </w:p>
        </w:tc>
      </w:tr>
    </w:tbl>
    <w:p>
      <w:pPr>
        <w:spacing w:before="156"/>
        <w:rPr>
          <w:rFonts w:ascii="宋体" w:hAnsi="宋体" w:cs="宋体"/>
          <w:b/>
          <w:szCs w:val="21"/>
        </w:rPr>
      </w:pPr>
      <w:r>
        <w:rPr>
          <w:rFonts w:hint="eastAsia" w:ascii="宋体" w:hAnsi="宋体" w:cs="宋体"/>
          <w:b/>
          <w:szCs w:val="21"/>
        </w:rPr>
        <w:t>15、24口接入交换机</w:t>
      </w:r>
    </w:p>
    <w:tbl>
      <w:tblPr>
        <w:tblStyle w:val="59"/>
        <w:tblW w:w="9075"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指标项</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888" w:type="dxa"/>
            <w:tcBorders>
              <w:top w:val="single" w:color="auto" w:sz="4" w:space="0"/>
              <w:left w:val="single" w:color="auto" w:sz="4" w:space="0"/>
              <w:bottom w:val="nil"/>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▲性能指标</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交换容量≥330Gbps；转发性能≥</w:t>
            </w:r>
            <w:r>
              <w:rPr>
                <w:rFonts w:ascii="宋体" w:hAnsi="宋体" w:cs="宋体"/>
                <w:szCs w:val="21"/>
              </w:rPr>
              <w:t>50</w:t>
            </w:r>
            <w:r>
              <w:rPr>
                <w:rFonts w:hint="eastAsia" w:ascii="宋体" w:hAnsi="宋体" w:cs="宋体"/>
                <w:szCs w:val="21"/>
              </w:rPr>
              <w:t>Mpps。如有投标产品参数指标不同，投标产品参数指标以较低参数指标为准，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端口类型</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配置千兆电口≥24个，千兆光口≥4个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路由功能</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支持IPv4/v6静态路由、动态路由RIP/RIPng，OSPF，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restart"/>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链路聚合</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支持≥8个端口聚合；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continue"/>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支持≥128个聚合组；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continue"/>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支持动态聚合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88" w:type="dxa"/>
            <w:tcBorders>
              <w:top w:val="single" w:color="auto" w:sz="4" w:space="0"/>
              <w:left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SDN/OPENFLOW</w:t>
            </w:r>
          </w:p>
        </w:tc>
        <w:tc>
          <w:tcPr>
            <w:tcW w:w="7187" w:type="dxa"/>
            <w:tcBorders>
              <w:top w:val="single" w:color="auto" w:sz="4" w:space="0"/>
              <w:left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支持OPENFLOW 1.3标准，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restart"/>
            <w:tcBorders>
              <w:top w:val="single" w:color="auto" w:sz="4" w:space="0"/>
              <w:left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安全功能</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支持DHCP Relay、DHCP Server、DHCP Snooping支持AAA认证，支持Radius、NAC等多种方式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vMerge w:val="continue"/>
            <w:tcBorders>
              <w:left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支持IP/Port/MAC的绑定功能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可靠性</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支持G.8032ERPS开放环网协议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888" w:type="dxa"/>
            <w:vMerge w:val="restart"/>
            <w:tcBorders>
              <w:top w:val="single" w:color="auto" w:sz="4" w:space="0"/>
              <w:left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管理维护</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支持SNMP v1/v2/v3、Telnet、RMON</w:t>
            </w:r>
          </w:p>
          <w:p>
            <w:pPr>
              <w:pStyle w:val="291"/>
              <w:spacing w:before="156" w:line="360" w:lineRule="auto"/>
              <w:ind w:firstLine="0" w:firstLineChars="0"/>
              <w:rPr>
                <w:rFonts w:ascii="宋体" w:hAnsi="宋体" w:cs="宋体"/>
                <w:szCs w:val="21"/>
              </w:rPr>
            </w:pPr>
            <w:r>
              <w:rPr>
                <w:rFonts w:hint="eastAsia" w:ascii="宋体" w:hAnsi="宋体" w:cs="宋体"/>
                <w:szCs w:val="21"/>
              </w:rPr>
              <w:t>支持通过命令行、Web、中文图形化配置软件等方式进行配置和管理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888" w:type="dxa"/>
            <w:vMerge w:val="continue"/>
            <w:tcBorders>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能自动从服务器下载配置文件和应用程序，实现零配置启动，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888" w:type="dxa"/>
            <w:tcBorders>
              <w:top w:val="single" w:color="auto" w:sz="4" w:space="0"/>
              <w:left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其他</w:t>
            </w:r>
          </w:p>
        </w:tc>
        <w:tc>
          <w:tcPr>
            <w:tcW w:w="7187"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投标时提供所投设备工信部入网许可证复印件</w:t>
            </w:r>
          </w:p>
          <w:p>
            <w:pPr>
              <w:pStyle w:val="291"/>
              <w:spacing w:before="156" w:line="360" w:lineRule="auto"/>
              <w:ind w:firstLine="0" w:firstLineChars="0"/>
              <w:rPr>
                <w:rFonts w:ascii="宋体" w:hAnsi="宋体" w:cs="宋体"/>
                <w:szCs w:val="21"/>
              </w:rPr>
            </w:pPr>
          </w:p>
        </w:tc>
      </w:tr>
    </w:tbl>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16、网络上网行为监管平台</w:t>
      </w:r>
    </w:p>
    <w:p>
      <w:pPr>
        <w:spacing w:line="360" w:lineRule="auto"/>
        <w:ind w:firstLine="422" w:firstLineChars="200"/>
        <w:rPr>
          <w:rFonts w:ascii="宋体" w:hAnsi="宋体" w:cs="宋体"/>
          <w:b/>
          <w:szCs w:val="21"/>
        </w:rPr>
      </w:pPr>
      <w:r>
        <w:rPr>
          <w:rFonts w:hint="eastAsia" w:ascii="宋体" w:hAnsi="宋体" w:cs="宋体"/>
          <w:b/>
          <w:szCs w:val="21"/>
        </w:rPr>
        <w:t>为保证全区全体师生网络使用的规范性和安全性，同时根据公安部的相关要求，特建设上网行为监管平台，相关要求和规范如下：</w:t>
      </w:r>
    </w:p>
    <w:tbl>
      <w:tblPr>
        <w:tblStyle w:val="59"/>
        <w:tblW w:w="9395" w:type="dxa"/>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
      <w:tblGrid>
        <w:gridCol w:w="808"/>
        <w:gridCol w:w="1754"/>
        <w:gridCol w:w="6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Ex>
        <w:trPr>
          <w:trHeight w:val="283" w:hRule="atLeast"/>
        </w:trPr>
        <w:tc>
          <w:tcPr>
            <w:tcW w:w="808" w:type="dxa"/>
            <w:shd w:val="clear" w:color="auto" w:fill="auto"/>
            <w:noWrap/>
            <w:tcMar>
              <w:top w:w="0" w:type="dxa"/>
              <w:left w:w="80" w:type="dxa"/>
              <w:bottom w:w="0" w:type="dxa"/>
              <w:right w:w="80" w:type="dxa"/>
            </w:tcMar>
          </w:tcPr>
          <w:p>
            <w:pPr>
              <w:spacing w:before="156"/>
            </w:pPr>
            <w:r>
              <w:rPr>
                <w:rFonts w:hint="eastAsia"/>
                <w:lang w:val="zh-TW" w:eastAsia="zh-TW"/>
              </w:rPr>
              <w:t>项目</w:t>
            </w: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指标</w:t>
            </w:r>
          </w:p>
        </w:tc>
        <w:tc>
          <w:tcPr>
            <w:tcW w:w="6833" w:type="dxa"/>
            <w:shd w:val="clear" w:color="auto" w:fill="auto"/>
            <w:noWrap/>
            <w:tcMar>
              <w:top w:w="0" w:type="dxa"/>
              <w:left w:w="80" w:type="dxa"/>
              <w:bottom w:w="0" w:type="dxa"/>
              <w:right w:w="80" w:type="dxa"/>
            </w:tcMar>
          </w:tcPr>
          <w:p>
            <w:pPr>
              <w:spacing w:before="156"/>
            </w:pPr>
            <w:r>
              <w:rPr>
                <w:rFonts w:hint="eastAsia"/>
                <w:lang w:val="zh-TW" w:eastAsia="zh-TW"/>
              </w:rPr>
              <w:t>具体功能要求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08" w:type="dxa"/>
            <w:vMerge w:val="restart"/>
            <w:shd w:val="clear" w:color="auto" w:fill="auto"/>
            <w:noWrap/>
            <w:tcMar>
              <w:top w:w="0" w:type="dxa"/>
              <w:left w:w="85" w:type="dxa"/>
              <w:bottom w:w="0" w:type="dxa"/>
              <w:right w:w="85" w:type="dxa"/>
            </w:tcMar>
            <w:vAlign w:val="center"/>
          </w:tcPr>
          <w:p>
            <w:pPr>
              <w:spacing w:before="156"/>
            </w:pPr>
            <w:r>
              <w:rPr>
                <w:rFonts w:hint="eastAsia"/>
              </w:rPr>
              <w:t>硬件规格</w:t>
            </w: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吞吐量</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w:t>
            </w:r>
            <w:r>
              <w:rPr>
                <w:rFonts w:hint="eastAsia"/>
              </w:rPr>
              <w:t>20Gbps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08" w:type="dxa"/>
            <w:vMerge w:val="continue"/>
            <w:shd w:val="clear" w:color="auto" w:fill="auto"/>
            <w:noWrap/>
            <w:tcMar>
              <w:top w:w="0" w:type="dxa"/>
              <w:left w:w="85" w:type="dxa"/>
              <w:bottom w:w="0" w:type="dxa"/>
              <w:right w:w="85" w:type="dxa"/>
            </w:tcMar>
            <w:vAlign w:val="center"/>
          </w:tcPr>
          <w:p>
            <w:pPr>
              <w:spacing w:before="156"/>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并发会话数</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w:t>
            </w:r>
            <w:r>
              <w:rPr>
                <w:rFonts w:hint="eastAsia"/>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Ex>
        <w:trPr>
          <w:trHeight w:val="283" w:hRule="atLeast"/>
        </w:trPr>
        <w:tc>
          <w:tcPr>
            <w:tcW w:w="808" w:type="dxa"/>
            <w:vMerge w:val="continue"/>
            <w:shd w:val="clear" w:color="auto" w:fill="auto"/>
            <w:noWrap/>
            <w:tcMar>
              <w:top w:w="0" w:type="dxa"/>
              <w:left w:w="85" w:type="dxa"/>
              <w:bottom w:w="0" w:type="dxa"/>
              <w:right w:w="85" w:type="dxa"/>
            </w:tcMar>
            <w:vAlign w:val="center"/>
          </w:tcPr>
          <w:p>
            <w:pPr>
              <w:spacing w:before="156"/>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用户规模</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w:t>
            </w:r>
            <w:r>
              <w:rPr>
                <w:rFonts w:hint="eastAsia"/>
              </w:rPr>
              <w:t>100000</w:t>
            </w:r>
            <w:r>
              <w:rPr>
                <w:rFonts w:hint="eastAsia"/>
                <w:lang w:val="zh-TW" w:eastAsia="zh-TW"/>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08" w:type="dxa"/>
            <w:vMerge w:val="continue"/>
            <w:shd w:val="clear" w:color="auto" w:fill="auto"/>
            <w:noWrap/>
            <w:tcMar>
              <w:top w:w="0" w:type="dxa"/>
              <w:left w:w="85" w:type="dxa"/>
              <w:bottom w:w="0" w:type="dxa"/>
              <w:right w:w="85" w:type="dxa"/>
            </w:tcMar>
            <w:vAlign w:val="center"/>
          </w:tcPr>
          <w:p>
            <w:pPr>
              <w:spacing w:before="156"/>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设备接口</w:t>
            </w:r>
          </w:p>
        </w:tc>
        <w:tc>
          <w:tcPr>
            <w:tcW w:w="6833" w:type="dxa"/>
            <w:shd w:val="clear" w:color="auto" w:fill="auto"/>
            <w:noWrap/>
            <w:tcMar>
              <w:top w:w="0" w:type="dxa"/>
              <w:left w:w="85" w:type="dxa"/>
              <w:bottom w:w="0" w:type="dxa"/>
              <w:right w:w="85" w:type="dxa"/>
            </w:tcMar>
          </w:tcPr>
          <w:p>
            <w:pPr>
              <w:spacing w:before="156"/>
            </w:pPr>
            <w:r>
              <w:rPr>
                <w:rFonts w:hint="eastAsia"/>
              </w:rPr>
              <w:t>4个千兆电口，4个千兆光口，2个万兆光口，支持2个扩展插槽，可支持10G网口。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08" w:type="dxa"/>
            <w:vMerge w:val="continue"/>
            <w:shd w:val="clear" w:color="auto" w:fill="auto"/>
            <w:noWrap/>
            <w:tcMar>
              <w:top w:w="0" w:type="dxa"/>
              <w:left w:w="85" w:type="dxa"/>
              <w:bottom w:w="0"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硬盘</w:t>
            </w:r>
          </w:p>
        </w:tc>
        <w:tc>
          <w:tcPr>
            <w:tcW w:w="6833" w:type="dxa"/>
            <w:shd w:val="clear" w:color="auto" w:fill="auto"/>
            <w:noWrap/>
            <w:tcMar>
              <w:top w:w="0" w:type="dxa"/>
              <w:left w:w="85" w:type="dxa"/>
              <w:bottom w:w="0" w:type="dxa"/>
              <w:right w:w="85" w:type="dxa"/>
            </w:tcMar>
          </w:tcPr>
          <w:p>
            <w:pPr>
              <w:spacing w:before="156"/>
            </w:pPr>
            <w:r>
              <w:rPr>
                <w:rFonts w:hint="eastAsia"/>
              </w:rPr>
              <w:t>要求满足6个月日志存储容量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08" w:type="dxa"/>
            <w:vMerge w:val="continue"/>
            <w:shd w:val="clear" w:color="auto" w:fill="auto"/>
            <w:noWrap/>
            <w:tcMar>
              <w:top w:w="0" w:type="dxa"/>
              <w:left w:w="85" w:type="dxa"/>
              <w:bottom w:w="0"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rPr>
              <w:t>BYPASS</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Ex>
        <w:trPr>
          <w:trHeight w:val="283" w:hRule="atLeast"/>
        </w:trPr>
        <w:tc>
          <w:tcPr>
            <w:tcW w:w="808" w:type="dxa"/>
            <w:vMerge w:val="continue"/>
            <w:shd w:val="clear" w:color="auto" w:fill="auto"/>
            <w:noWrap/>
            <w:tcMar>
              <w:top w:w="0" w:type="dxa"/>
              <w:left w:w="85" w:type="dxa"/>
              <w:bottom w:w="0"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电源</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冗余电源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08" w:type="dxa"/>
            <w:vMerge w:val="continue"/>
            <w:shd w:val="clear" w:color="auto" w:fill="auto"/>
            <w:noWrap/>
            <w:tcMar>
              <w:top w:w="0" w:type="dxa"/>
              <w:left w:w="85" w:type="dxa"/>
              <w:bottom w:w="0"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尺寸</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标准</w:t>
            </w:r>
            <w:r>
              <w:rPr>
                <w:rFonts w:hint="eastAsia"/>
              </w:rPr>
              <w:t>2U</w:t>
            </w:r>
            <w:r>
              <w:rPr>
                <w:rFonts w:hint="eastAsia"/>
                <w:lang w:val="zh-TW" w:eastAsia="zh-TW"/>
              </w:rPr>
              <w:t>架构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08" w:type="dxa"/>
            <w:shd w:val="clear" w:color="auto" w:fill="auto"/>
            <w:noWrap/>
            <w:tcMar>
              <w:top w:w="0" w:type="dxa"/>
              <w:left w:w="85" w:type="dxa"/>
              <w:bottom w:w="0" w:type="dxa"/>
              <w:right w:w="85" w:type="dxa"/>
            </w:tcMar>
            <w:vAlign w:val="center"/>
          </w:tcPr>
          <w:p>
            <w:pPr>
              <w:pStyle w:val="292"/>
              <w:jc w:val="center"/>
              <w:rPr>
                <w:rFonts w:ascii="宋体" w:hAnsi="宋体" w:cs="宋体"/>
                <w:color w:val="auto"/>
              </w:rPr>
            </w:pPr>
            <w:r>
              <w:rPr>
                <w:rFonts w:hint="eastAsia" w:ascii="宋体" w:hAnsi="宋体" w:cs="宋体"/>
                <w:color w:val="auto"/>
                <w:kern w:val="0"/>
              </w:rPr>
              <w:t>IPV6</w:t>
            </w: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所有功能支持</w:t>
            </w:r>
            <w:r>
              <w:rPr>
                <w:rFonts w:hint="eastAsia"/>
              </w:rPr>
              <w:t>IPv6</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支持部署在</w:t>
            </w:r>
            <w:r>
              <w:rPr>
                <w:rFonts w:hint="eastAsia"/>
              </w:rPr>
              <w:t>IPv6</w:t>
            </w:r>
            <w:r>
              <w:rPr>
                <w:rFonts w:hint="eastAsia"/>
                <w:lang w:val="zh-TW" w:eastAsia="zh-TW"/>
              </w:rPr>
              <w:t>环境中，其所有功能（认证、应用控制、内容审计、报表等）都支持</w:t>
            </w:r>
            <w:r>
              <w:rPr>
                <w:rFonts w:hint="eastAsia"/>
              </w:rPr>
              <w:t>IPv6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08" w:type="dxa"/>
            <w:vMerge w:val="restart"/>
            <w:shd w:val="clear" w:color="auto" w:fill="auto"/>
            <w:noWrap/>
            <w:tcMar>
              <w:left w:w="85" w:type="dxa"/>
              <w:right w:w="85" w:type="dxa"/>
            </w:tcMar>
            <w:vAlign w:val="center"/>
          </w:tcPr>
          <w:p>
            <w:pPr>
              <w:spacing w:before="156"/>
              <w:rPr>
                <w:rFonts w:ascii="宋体" w:hAnsi="宋体" w:cs="宋体"/>
                <w:szCs w:val="21"/>
              </w:rPr>
            </w:pPr>
            <w:r>
              <w:rPr>
                <w:rFonts w:hint="eastAsia" w:ascii="宋体" w:hAnsi="宋体" w:cs="宋体"/>
                <w:szCs w:val="21"/>
              </w:rPr>
              <w:t>业务需要</w:t>
            </w: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告警管理</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支持攻击、双机切换告警、移动终端管理告警、风险终端发现告警、</w:t>
            </w:r>
            <w:r>
              <w:rPr>
                <w:rFonts w:hint="eastAsia"/>
              </w:rPr>
              <w:t>web</w:t>
            </w:r>
            <w:r>
              <w:rPr>
                <w:rFonts w:hint="eastAsia"/>
                <w:lang w:val="zh-TW" w:eastAsia="zh-TW"/>
              </w:rPr>
              <w:t>关键字过滤告警、杀毒告警、设备流量超限告警、磁盘</w:t>
            </w:r>
            <w:r>
              <w:rPr>
                <w:rFonts w:hint="eastAsia"/>
              </w:rPr>
              <w:t>/CPU/</w:t>
            </w:r>
            <w:r>
              <w:rPr>
                <w:rFonts w:hint="eastAsia"/>
                <w:lang w:val="zh-TW" w:eastAsia="zh-TW"/>
              </w:rPr>
              <w:t>内存异常告警等；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6"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rPr>
              <w:t>IPsec VPN</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必须具有</w:t>
            </w:r>
            <w:r>
              <w:rPr>
                <w:rFonts w:hint="eastAsia"/>
              </w:rPr>
              <w:t>IPSec VPN</w:t>
            </w:r>
            <w:r>
              <w:rPr>
                <w:rFonts w:hint="eastAsia"/>
                <w:lang w:val="zh-TW" w:eastAsia="zh-TW"/>
              </w:rPr>
              <w:t>远程加密访问和连接的模块，并能提供</w:t>
            </w:r>
            <w:r>
              <w:rPr>
                <w:rFonts w:hint="eastAsia"/>
              </w:rPr>
              <w:t>IPSec VPN</w:t>
            </w:r>
            <w:r>
              <w:rPr>
                <w:rFonts w:hint="eastAsia"/>
                <w:lang w:val="zh-TW" w:eastAsia="zh-TW"/>
              </w:rPr>
              <w:t>客户端授权远程接入访问；</w:t>
            </w:r>
            <w:r>
              <w:rPr>
                <w:rFonts w:hint="eastAsia"/>
              </w:rPr>
              <w:t>IPsec VPN</w:t>
            </w:r>
            <w:r>
              <w:rPr>
                <w:rFonts w:hint="eastAsia"/>
                <w:lang w:val="zh-TW" w:eastAsia="zh-TW"/>
              </w:rPr>
              <w:t>支持多线路功能，支持配置主备线路组和流量分配模式的多线路选路策略；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Ex>
        <w:trPr>
          <w:trHeight w:val="1912"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链路负载</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1.支持按剩余带宽、带宽比例、平均分配、前面优先的方式进行多链路负载；</w:t>
            </w:r>
          </w:p>
          <w:p>
            <w:pPr>
              <w:spacing w:before="156"/>
              <w:rPr>
                <w:lang w:val="en-GB" w:eastAsia="zh-TW"/>
              </w:rPr>
            </w:pPr>
            <w:r>
              <w:rPr>
                <w:rFonts w:hint="eastAsia"/>
                <w:lang w:val="zh-TW" w:eastAsia="zh-TW"/>
              </w:rPr>
              <w:t>2.支持使用</w:t>
            </w:r>
            <w:r>
              <w:rPr>
                <w:rFonts w:hint="eastAsia"/>
              </w:rPr>
              <w:t>VPN</w:t>
            </w:r>
            <w:r>
              <w:rPr>
                <w:rFonts w:hint="eastAsia"/>
                <w:lang w:val="zh-TW" w:eastAsia="zh-TW"/>
              </w:rPr>
              <w:t>做专线备份；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4"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rPr>
              <w:t>Web</w:t>
            </w:r>
            <w:r>
              <w:rPr>
                <w:rFonts w:hint="eastAsia"/>
                <w:lang w:val="zh-TW" w:eastAsia="zh-TW"/>
              </w:rPr>
              <w:t>访问质量检测</w:t>
            </w:r>
          </w:p>
        </w:tc>
        <w:tc>
          <w:tcPr>
            <w:tcW w:w="6833" w:type="dxa"/>
            <w:shd w:val="clear" w:color="auto" w:fill="auto"/>
            <w:noWrap/>
            <w:tcMar>
              <w:top w:w="0" w:type="dxa"/>
              <w:left w:w="85" w:type="dxa"/>
              <w:bottom w:w="0" w:type="dxa"/>
              <w:right w:w="85" w:type="dxa"/>
            </w:tcMar>
          </w:tcPr>
          <w:p>
            <w:pPr>
              <w:spacing w:before="156"/>
              <w:rPr>
                <w:lang w:val="zh-TW" w:eastAsia="zh-TW"/>
              </w:rPr>
            </w:pPr>
            <w:r>
              <w:rPr>
                <w:rFonts w:hint="eastAsia"/>
                <w:lang w:val="zh-TW" w:eastAsia="zh-TW"/>
              </w:rPr>
              <w:t>针对内网用户的</w:t>
            </w:r>
            <w:r>
              <w:rPr>
                <w:rFonts w:hint="eastAsia"/>
              </w:rPr>
              <w:t>web</w:t>
            </w:r>
            <w:r>
              <w:rPr>
                <w:rFonts w:hint="eastAsia"/>
                <w:lang w:val="zh-TW" w:eastAsia="zh-TW"/>
              </w:rPr>
              <w:t>访问质量进行检测，对整体网络提供清晰的整体网络质量评级</w:t>
            </w:r>
          </w:p>
          <w:p>
            <w:pPr>
              <w:spacing w:before="156"/>
              <w:rPr>
                <w:lang w:val="zh-TW" w:eastAsia="zh-TW"/>
              </w:rPr>
            </w:pPr>
            <w:r>
              <w:rPr>
                <w:rFonts w:hint="eastAsia"/>
                <w:lang w:val="zh-TW" w:eastAsia="zh-TW"/>
              </w:rPr>
              <w:t>支持以列表形式展示访问质量差的用户名单</w:t>
            </w:r>
          </w:p>
          <w:p>
            <w:pPr>
              <w:spacing w:before="156"/>
              <w:rPr>
                <w:lang w:val="zh-TW" w:eastAsia="zh-TW"/>
              </w:rPr>
            </w:pPr>
            <w:r>
              <w:rPr>
                <w:rFonts w:hint="eastAsia"/>
                <w:lang w:val="zh-TW" w:eastAsia="zh-TW"/>
              </w:rPr>
              <w:t>支持对单用户进行定向</w:t>
            </w:r>
            <w:r>
              <w:rPr>
                <w:rFonts w:hint="eastAsia"/>
              </w:rPr>
              <w:t>web</w:t>
            </w:r>
            <w:r>
              <w:rPr>
                <w:rFonts w:hint="eastAsia"/>
                <w:lang w:val="zh-TW" w:eastAsia="zh-TW"/>
              </w:rPr>
              <w:t>访问质量检测</w:t>
            </w:r>
          </w:p>
          <w:p>
            <w:pPr>
              <w:spacing w:before="1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vAlign w:val="center"/>
          </w:tcPr>
          <w:p>
            <w:pPr>
              <w:spacing w:before="156"/>
              <w:rPr>
                <w:lang w:val="zh-TW" w:eastAsia="zh-TW"/>
              </w:rPr>
            </w:pPr>
            <w:r>
              <w:rPr>
                <w:rFonts w:hint="eastAsia"/>
                <w:lang w:val="zh-TW" w:eastAsia="zh-TW"/>
              </w:rPr>
              <w:t>进程识别</w:t>
            </w:r>
          </w:p>
        </w:tc>
        <w:tc>
          <w:tcPr>
            <w:tcW w:w="6833" w:type="dxa"/>
            <w:shd w:val="clear" w:color="auto" w:fill="auto"/>
            <w:noWrap/>
            <w:tcMar>
              <w:top w:w="0" w:type="dxa"/>
              <w:left w:w="85" w:type="dxa"/>
              <w:bottom w:w="0" w:type="dxa"/>
              <w:right w:w="85" w:type="dxa"/>
            </w:tcMar>
          </w:tcPr>
          <w:p>
            <w:pPr>
              <w:spacing w:before="156"/>
              <w:rPr>
                <w:lang w:val="zh-TW"/>
              </w:rPr>
            </w:pPr>
            <w:r>
              <w:rPr>
                <w:rFonts w:hint="eastAsia"/>
                <w:lang w:val="zh-TW" w:eastAsia="zh-TW"/>
              </w:rPr>
              <w:t>支持识别终端系统后台运行的进程信息，防止间谍软件的运行；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二维码认证</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支持二维码认证，管理员扫描访客的二维码后对其网络访问授权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3" w:hRule="atLeast"/>
        </w:trPr>
        <w:tc>
          <w:tcPr>
            <w:tcW w:w="808" w:type="dxa"/>
            <w:vMerge w:val="restart"/>
            <w:shd w:val="clear" w:color="auto" w:fill="auto"/>
            <w:noWrap/>
            <w:tcMar>
              <w:top w:w="80" w:type="dxa"/>
              <w:left w:w="85" w:type="dxa"/>
              <w:bottom w:w="80" w:type="dxa"/>
              <w:right w:w="85" w:type="dxa"/>
            </w:tcMar>
            <w:vAlign w:val="center"/>
          </w:tcPr>
          <w:p>
            <w:pPr>
              <w:pStyle w:val="292"/>
              <w:jc w:val="center"/>
              <w:rPr>
                <w:rFonts w:ascii="宋体" w:hAnsi="宋体" w:cs="宋体"/>
                <w:color w:val="auto"/>
              </w:rPr>
            </w:pPr>
            <w:r>
              <w:rPr>
                <w:rFonts w:hint="eastAsia" w:ascii="宋体" w:hAnsi="宋体" w:cs="宋体"/>
                <w:color w:val="auto"/>
                <w:kern w:val="0"/>
                <w:lang w:val="zh-TW" w:eastAsia="zh-TW"/>
              </w:rPr>
              <w:t>应用管理</w:t>
            </w: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应用标签功能分类管理</w:t>
            </w:r>
          </w:p>
        </w:tc>
        <w:tc>
          <w:tcPr>
            <w:tcW w:w="6833" w:type="dxa"/>
            <w:shd w:val="clear" w:color="auto" w:fill="auto"/>
            <w:noWrap/>
            <w:tcMar>
              <w:top w:w="80" w:type="dxa"/>
              <w:left w:w="85" w:type="dxa"/>
              <w:bottom w:w="80" w:type="dxa"/>
              <w:right w:w="85" w:type="dxa"/>
            </w:tcMar>
          </w:tcPr>
          <w:p>
            <w:pPr>
              <w:spacing w:before="156"/>
              <w:rPr>
                <w:lang w:val="zh-TW" w:eastAsia="zh-TW"/>
              </w:rPr>
            </w:pPr>
            <w:r>
              <w:rPr>
                <w:rFonts w:hint="eastAsia"/>
                <w:lang w:val="zh-TW" w:eastAsia="zh-TW"/>
              </w:rPr>
              <w:t>支持根据标签选择应用，标签分类至少包含安全风险、高带宽消耗、发送电子邮件、降低工作效率、外发文件泄密风险、主流论坛和微博发帖</w:t>
            </w:r>
            <w:r>
              <w:rPr>
                <w:rFonts w:hint="eastAsia"/>
              </w:rPr>
              <w:t>6</w:t>
            </w:r>
            <w:r>
              <w:rPr>
                <w:rFonts w:hint="eastAsia"/>
                <w:lang w:val="zh-TW" w:eastAsia="zh-TW"/>
              </w:rPr>
              <w:t>大类；支持根据标签选择一类应用做控制；</w:t>
            </w:r>
          </w:p>
          <w:p>
            <w:pPr>
              <w:spacing w:before="156"/>
              <w:rPr>
                <w:lang w:val="zh-TW" w:eastAsia="zh-TW"/>
              </w:rPr>
            </w:pPr>
            <w:r>
              <w:rPr>
                <w:rFonts w:hint="eastAsia"/>
                <w:lang w:val="zh-TW" w:eastAsia="zh-TW"/>
              </w:rPr>
              <w:t>支持给每个应用自定义标签，支持对每一种应用的定义和解释，帮助客户快速定位应用的分类；</w:t>
            </w:r>
          </w:p>
          <w:p>
            <w:pPr>
              <w:spacing w:before="156"/>
              <w:rPr>
                <w:lang w:val="zh-TW" w:eastAsia="zh-TW"/>
              </w:rPr>
            </w:pPr>
            <w:r>
              <w:rPr>
                <w:rFonts w:hint="eastAsia"/>
                <w:lang w:val="zh-TW" w:eastAsia="zh-TW"/>
              </w:rPr>
              <w:t>支持给每一种应用列上图标，易于客户了解应用的特征。</w:t>
            </w:r>
          </w:p>
          <w:p>
            <w:pPr>
              <w:spacing w:before="1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vAlign w:val="center"/>
          </w:tcPr>
          <w:p>
            <w:pPr>
              <w:spacing w:before="156"/>
            </w:pPr>
            <w:r>
              <w:rPr>
                <w:rFonts w:hint="eastAsia"/>
                <w:lang w:val="zh-TW" w:eastAsia="zh-TW"/>
              </w:rPr>
              <w:t>威胁过滤</w:t>
            </w:r>
          </w:p>
        </w:tc>
        <w:tc>
          <w:tcPr>
            <w:tcW w:w="6833" w:type="dxa"/>
            <w:shd w:val="clear" w:color="auto" w:fill="auto"/>
            <w:noWrap/>
            <w:tcMar>
              <w:top w:w="0" w:type="dxa"/>
              <w:left w:w="85" w:type="dxa"/>
              <w:bottom w:w="0" w:type="dxa"/>
              <w:right w:w="85" w:type="dxa"/>
            </w:tcMar>
          </w:tcPr>
          <w:p>
            <w:pPr>
              <w:spacing w:before="156"/>
              <w:rPr>
                <w:lang w:val="zh-TW" w:eastAsia="zh-TW"/>
              </w:rPr>
            </w:pPr>
            <w:r>
              <w:rPr>
                <w:rFonts w:hint="eastAsia"/>
                <w:lang w:val="zh-TW" w:eastAsia="zh-TW"/>
              </w:rPr>
              <w:t>为保证内网上网终端安全，要求支持危险插件过滤、危险脚本过滤功能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rPr>
              <w:t>SSL</w:t>
            </w:r>
            <w:r>
              <w:rPr>
                <w:rFonts w:hint="eastAsia"/>
                <w:lang w:val="zh-TW" w:eastAsia="zh-TW"/>
              </w:rPr>
              <w:t>加密内容过滤</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针对</w:t>
            </w:r>
            <w:r>
              <w:rPr>
                <w:rFonts w:hint="eastAsia"/>
              </w:rPr>
              <w:t>SSL</w:t>
            </w:r>
            <w:r>
              <w:rPr>
                <w:rFonts w:hint="eastAsia"/>
                <w:lang w:val="zh-TW" w:eastAsia="zh-TW"/>
              </w:rPr>
              <w:t>加密的网站、论坛发帖、</w:t>
            </w:r>
            <w:r>
              <w:rPr>
                <w:rFonts w:hint="eastAsia"/>
              </w:rPr>
              <w:t>web</w:t>
            </w:r>
            <w:r>
              <w:rPr>
                <w:rFonts w:hint="eastAsia"/>
                <w:lang w:val="zh-TW" w:eastAsia="zh-TW"/>
              </w:rPr>
              <w:t>邮箱以及客户端邮箱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rPr>
              <w:t>SSL</w:t>
            </w:r>
            <w:r>
              <w:rPr>
                <w:rFonts w:hint="eastAsia"/>
                <w:lang w:val="zh-TW" w:eastAsia="zh-TW"/>
              </w:rPr>
              <w:t>加密内容审计</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针对</w:t>
            </w:r>
            <w:r>
              <w:rPr>
                <w:rFonts w:hint="eastAsia"/>
              </w:rPr>
              <w:t>SSL</w:t>
            </w:r>
            <w:r>
              <w:rPr>
                <w:rFonts w:hint="eastAsia"/>
                <w:lang w:val="zh-TW" w:eastAsia="zh-TW"/>
              </w:rPr>
              <w:t>加密的网站、论坛发帖、</w:t>
            </w:r>
            <w:r>
              <w:rPr>
                <w:rFonts w:hint="eastAsia"/>
              </w:rPr>
              <w:t>web</w:t>
            </w:r>
            <w:r>
              <w:rPr>
                <w:rFonts w:hint="eastAsia"/>
                <w:lang w:val="zh-TW" w:eastAsia="zh-TW"/>
              </w:rPr>
              <w:t>邮箱以及客户端邮箱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2"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lang w:val="zh-TW" w:eastAsia="zh-TW"/>
              </w:rPr>
              <w:t>应用审计</w:t>
            </w:r>
          </w:p>
        </w:tc>
        <w:tc>
          <w:tcPr>
            <w:tcW w:w="6833" w:type="dxa"/>
            <w:shd w:val="clear" w:color="auto" w:fill="auto"/>
            <w:noWrap/>
            <w:tcMar>
              <w:top w:w="0" w:type="dxa"/>
              <w:left w:w="85" w:type="dxa"/>
              <w:bottom w:w="0" w:type="dxa"/>
              <w:right w:w="85" w:type="dxa"/>
            </w:tcMar>
          </w:tcPr>
          <w:p>
            <w:pPr>
              <w:spacing w:before="156"/>
            </w:pPr>
            <w:r>
              <w:rPr>
                <w:rFonts w:hint="eastAsia"/>
              </w:rPr>
              <w:t>1</w:t>
            </w:r>
            <w:r>
              <w:rPr>
                <w:rFonts w:hint="eastAsia"/>
                <w:lang w:val="zh-TW" w:eastAsia="zh-TW"/>
              </w:rPr>
              <w:t>、支持记录</w:t>
            </w:r>
            <w:r>
              <w:rPr>
                <w:rFonts w:hint="eastAsia"/>
              </w:rPr>
              <w:t>QQ</w:t>
            </w:r>
            <w:r>
              <w:rPr>
                <w:rFonts w:hint="eastAsia"/>
                <w:lang w:val="zh-TW" w:eastAsia="zh-TW"/>
              </w:rPr>
              <w:t>、</w:t>
            </w:r>
            <w:r>
              <w:rPr>
                <w:rFonts w:hint="eastAsia"/>
              </w:rPr>
              <w:t>MSN</w:t>
            </w:r>
            <w:r>
              <w:rPr>
                <w:rFonts w:hint="eastAsia"/>
                <w:lang w:val="zh-TW" w:eastAsia="zh-TW"/>
              </w:rPr>
              <w:t>等</w:t>
            </w:r>
            <w:r>
              <w:rPr>
                <w:rFonts w:hint="eastAsia"/>
              </w:rPr>
              <w:t>IM</w:t>
            </w:r>
            <w:r>
              <w:rPr>
                <w:rFonts w:hint="eastAsia"/>
                <w:lang w:val="zh-TW" w:eastAsia="zh-TW"/>
              </w:rPr>
              <w:t>聊天行为和传文件的内容；</w:t>
            </w:r>
            <w:r>
              <w:rPr>
                <w:rFonts w:hint="eastAsia"/>
                <w:lang w:val="zh-TW" w:eastAsia="zh-TW"/>
              </w:rPr>
              <w:br w:type="textWrapping"/>
            </w:r>
            <w:r>
              <w:rPr>
                <w:rFonts w:hint="eastAsia"/>
              </w:rPr>
              <w:t>2</w:t>
            </w:r>
            <w:r>
              <w:rPr>
                <w:rFonts w:hint="eastAsia"/>
                <w:lang w:val="zh-TW" w:eastAsia="zh-TW"/>
              </w:rPr>
              <w:t>、支持移动</w:t>
            </w:r>
            <w:r>
              <w:rPr>
                <w:rFonts w:hint="eastAsia"/>
              </w:rPr>
              <w:t>APP</w:t>
            </w:r>
            <w:r>
              <w:rPr>
                <w:rFonts w:hint="eastAsia"/>
                <w:lang w:val="zh-TW" w:eastAsia="zh-TW"/>
              </w:rPr>
              <w:t>（</w:t>
            </w:r>
            <w:r>
              <w:rPr>
                <w:rFonts w:hint="eastAsia"/>
              </w:rPr>
              <w:t>IOS</w:t>
            </w:r>
            <w:r>
              <w:rPr>
                <w:rFonts w:hint="eastAsia"/>
                <w:lang w:val="zh-TW" w:eastAsia="zh-TW"/>
              </w:rPr>
              <w:t>和</w:t>
            </w:r>
            <w:r>
              <w:rPr>
                <w:rFonts w:hint="eastAsia"/>
              </w:rPr>
              <w:t>android</w:t>
            </w:r>
            <w:r>
              <w:rPr>
                <w:rFonts w:hint="eastAsia"/>
                <w:lang w:val="zh-TW" w:eastAsia="zh-TW"/>
              </w:rPr>
              <w:t>）审计（如论坛类、微博类、新闻评论类等）</w:t>
            </w:r>
            <w:r>
              <w:rPr>
                <w:rFonts w:hint="eastAsia"/>
                <w:lang w:val="zh-TW" w:eastAsia="zh-TW"/>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808" w:type="dxa"/>
            <w:vMerge w:val="restart"/>
            <w:shd w:val="clear" w:color="auto" w:fill="auto"/>
            <w:noWrap/>
            <w:tcMar>
              <w:left w:w="85" w:type="dxa"/>
              <w:right w:w="85" w:type="dxa"/>
            </w:tcMar>
            <w:vAlign w:val="center"/>
          </w:tcPr>
          <w:p>
            <w:pPr>
              <w:spacing w:before="156"/>
              <w:rPr>
                <w:rFonts w:ascii="宋体" w:hAnsi="宋体" w:cs="宋体"/>
                <w:szCs w:val="21"/>
              </w:rPr>
            </w:pPr>
            <w:r>
              <w:rPr>
                <w:rFonts w:hint="eastAsia" w:ascii="宋体" w:hAnsi="宋体" w:cs="宋体"/>
                <w:szCs w:val="21"/>
              </w:rPr>
              <w:t>带宽管理</w:t>
            </w: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rPr>
              <w:t>上网流速提醒</w:t>
            </w:r>
          </w:p>
        </w:tc>
        <w:tc>
          <w:tcPr>
            <w:tcW w:w="6833" w:type="dxa"/>
            <w:shd w:val="clear" w:color="auto" w:fill="auto"/>
            <w:noWrap/>
            <w:tcMar>
              <w:top w:w="0" w:type="dxa"/>
              <w:left w:w="85" w:type="dxa"/>
              <w:bottom w:w="0" w:type="dxa"/>
              <w:right w:w="85" w:type="dxa"/>
            </w:tcMar>
          </w:tcPr>
          <w:p>
            <w:pPr>
              <w:spacing w:before="156"/>
            </w:pPr>
            <w:r>
              <w:rPr>
                <w:rFonts w:hint="eastAsia"/>
              </w:rPr>
              <w:t>用户指定应用上网流速超过预设阈值后，网关自动提醒该用户；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父子通道</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必须支持流量父子通道技术，且至少支持三级父子通道；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Ex>
        <w:trPr>
          <w:trHeight w:val="96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流控通道实时可视化</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能够实时看到各级流控通道的状态：包括所属线路、瞬时速率、通道占用比例、用户数、保证带宽、最大带宽、优先级，启用状态等。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动态流控</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 xml:space="preserve">支持在设置流量策略后，根据整体线路或者某流量通道内的空闲情况，自动启用和停止使用流量控制策略，以提升带宽的高使用率；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rPr>
              <w:t>P2P</w:t>
            </w:r>
            <w:r>
              <w:rPr>
                <w:rFonts w:hint="eastAsia"/>
                <w:lang w:val="zh-TW" w:eastAsia="zh-TW"/>
              </w:rPr>
              <w:t>智慧流控</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支持通过抑制</w:t>
            </w:r>
            <w:r>
              <w:rPr>
                <w:rFonts w:hint="eastAsia"/>
              </w:rPr>
              <w:t>P2P</w:t>
            </w:r>
            <w:r>
              <w:rPr>
                <w:rFonts w:hint="eastAsia"/>
                <w:lang w:val="zh-TW" w:eastAsia="zh-TW"/>
              </w:rPr>
              <w:t>的上行流量，来减缓</w:t>
            </w:r>
            <w:r>
              <w:rPr>
                <w:rFonts w:hint="eastAsia"/>
              </w:rPr>
              <w:t>P2P</w:t>
            </w:r>
            <w:r>
              <w:rPr>
                <w:rFonts w:hint="eastAsia"/>
                <w:lang w:val="zh-TW" w:eastAsia="zh-TW"/>
              </w:rPr>
              <w:t>的下行流量，从而解决网络出口在做流控后仍然压力较大的问题；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流控黑名单</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基于</w:t>
            </w:r>
            <w:r>
              <w:rPr>
                <w:rFonts w:hint="eastAsia"/>
              </w:rPr>
              <w:t>“</w:t>
            </w:r>
            <w:r>
              <w:rPr>
                <w:rFonts w:hint="eastAsia"/>
                <w:lang w:val="zh-TW" w:eastAsia="zh-TW"/>
              </w:rPr>
              <w:t>流量</w:t>
            </w:r>
            <w:r>
              <w:rPr>
                <w:rFonts w:hint="eastAsia"/>
              </w:rPr>
              <w:t>”</w:t>
            </w:r>
            <w:r>
              <w:rPr>
                <w:rFonts w:hint="eastAsia"/>
                <w:lang w:val="zh-TW" w:eastAsia="zh-TW"/>
              </w:rPr>
              <w:t>、</w:t>
            </w:r>
            <w:r>
              <w:rPr>
                <w:rFonts w:hint="eastAsia"/>
              </w:rPr>
              <w:t>“</w:t>
            </w:r>
            <w:r>
              <w:rPr>
                <w:rFonts w:hint="eastAsia"/>
                <w:lang w:val="zh-TW" w:eastAsia="zh-TW"/>
              </w:rPr>
              <w:t>流速</w:t>
            </w:r>
            <w:r>
              <w:rPr>
                <w:rFonts w:hint="eastAsia"/>
              </w:rPr>
              <w:t>”</w:t>
            </w:r>
            <w:r>
              <w:rPr>
                <w:rFonts w:hint="eastAsia"/>
                <w:lang w:val="zh-TW" w:eastAsia="zh-TW"/>
              </w:rPr>
              <w:t>、</w:t>
            </w:r>
            <w:r>
              <w:rPr>
                <w:rFonts w:hint="eastAsia"/>
              </w:rPr>
              <w:t>“</w:t>
            </w:r>
            <w:r>
              <w:rPr>
                <w:rFonts w:hint="eastAsia"/>
                <w:lang w:val="zh-TW" w:eastAsia="zh-TW"/>
              </w:rPr>
              <w:t>时长</w:t>
            </w:r>
            <w:r>
              <w:rPr>
                <w:rFonts w:hint="eastAsia"/>
              </w:rPr>
              <w:t>”</w:t>
            </w:r>
            <w:r>
              <w:rPr>
                <w:rFonts w:hint="eastAsia"/>
                <w:lang w:val="zh-TW" w:eastAsia="zh-TW"/>
              </w:rPr>
              <w:t>设置配额，当配额耗尽后，将用户加入到指定的流控黑名单惩罚通道中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rPr>
              <w:t>流控单位</w:t>
            </w:r>
          </w:p>
        </w:tc>
        <w:tc>
          <w:tcPr>
            <w:tcW w:w="6833" w:type="dxa"/>
            <w:shd w:val="clear" w:color="auto" w:fill="auto"/>
            <w:noWrap/>
            <w:tcMar>
              <w:top w:w="0" w:type="dxa"/>
              <w:left w:w="85" w:type="dxa"/>
              <w:bottom w:w="0" w:type="dxa"/>
              <w:right w:w="85" w:type="dxa"/>
            </w:tcMar>
          </w:tcPr>
          <w:p>
            <w:pPr>
              <w:spacing w:before="156"/>
            </w:pPr>
            <w:r>
              <w:rPr>
                <w:rFonts w:hint="eastAsia"/>
              </w:rPr>
              <w:t>支持灵活配置流控单位是IP还是用户名（适用于公共账号：多个IP公用一个账号时，可以对每个IP进行限速，更加灵活准确）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rPr>
              <w:t>Wan-lan</w:t>
            </w:r>
            <w:r>
              <w:rPr>
                <w:rFonts w:hint="eastAsia"/>
                <w:lang w:val="zh-TW" w:eastAsia="zh-TW"/>
              </w:rPr>
              <w:t>流控</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支持把每一个外网</w:t>
            </w:r>
            <w:r>
              <w:rPr>
                <w:rFonts w:hint="eastAsia"/>
              </w:rPr>
              <w:t>IP</w:t>
            </w:r>
            <w:r>
              <w:rPr>
                <w:rFonts w:hint="eastAsia"/>
                <w:lang w:val="zh-TW" w:eastAsia="zh-TW"/>
              </w:rPr>
              <w:t>作为通道内的用户，使得通道的用户间公平分配带宽，以及单用户最高带宽属性对外网</w:t>
            </w:r>
            <w:r>
              <w:rPr>
                <w:rFonts w:hint="eastAsia"/>
              </w:rPr>
              <w:t>IP</w:t>
            </w:r>
            <w:r>
              <w:rPr>
                <w:rFonts w:hint="eastAsia"/>
                <w:lang w:val="zh-TW" w:eastAsia="zh-TW"/>
              </w:rPr>
              <w:t>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trPr>
        <w:tc>
          <w:tcPr>
            <w:tcW w:w="808" w:type="dxa"/>
            <w:vMerge w:val="restart"/>
            <w:shd w:val="clear" w:color="auto" w:fill="auto"/>
            <w:noWrap/>
            <w:tcMar>
              <w:left w:w="85" w:type="dxa"/>
              <w:right w:w="85" w:type="dxa"/>
            </w:tcMar>
            <w:vAlign w:val="center"/>
          </w:tcPr>
          <w:p>
            <w:pPr>
              <w:spacing w:before="156"/>
              <w:rPr>
                <w:rFonts w:ascii="宋体" w:hAnsi="宋体" w:cs="宋体"/>
                <w:szCs w:val="21"/>
              </w:rPr>
            </w:pPr>
            <w:r>
              <w:rPr>
                <w:rFonts w:hint="eastAsia" w:ascii="宋体" w:hAnsi="宋体" w:cs="宋体"/>
                <w:szCs w:val="21"/>
              </w:rPr>
              <w:t>日志分析</w:t>
            </w: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外置数据中心支持服务器虚拟化</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提供自有品牌的免费服务器虚拟化产品与外置</w:t>
            </w:r>
            <w:r>
              <w:rPr>
                <w:rFonts w:hint="eastAsia"/>
              </w:rPr>
              <w:t>DC</w:t>
            </w:r>
            <w:r>
              <w:rPr>
                <w:rFonts w:hint="eastAsia"/>
                <w:lang w:val="zh-TW" w:eastAsia="zh-TW"/>
              </w:rPr>
              <w:t>联动，服务器虚拟化能够根据实际用户和流量规模合理分配硬件资源，保障最优资源分配。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ED7E7"/>
          <w:tblLayout w:type="fixed"/>
          <w:tblCellMar>
            <w:top w:w="0" w:type="dxa"/>
            <w:left w:w="0" w:type="dxa"/>
            <w:bottom w:w="0" w:type="dxa"/>
            <w:right w:w="0" w:type="dxa"/>
          </w:tblCellMar>
        </w:tblPrEx>
        <w:trPr>
          <w:trHeight w:val="87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rPr>
              <w:t>趋势报表</w:t>
            </w:r>
          </w:p>
        </w:tc>
        <w:tc>
          <w:tcPr>
            <w:tcW w:w="6833" w:type="dxa"/>
            <w:shd w:val="clear" w:color="auto" w:fill="auto"/>
            <w:noWrap/>
            <w:tcMar>
              <w:top w:w="0" w:type="dxa"/>
              <w:left w:w="85" w:type="dxa"/>
              <w:bottom w:w="0" w:type="dxa"/>
              <w:right w:w="85" w:type="dxa"/>
            </w:tcMar>
          </w:tcPr>
          <w:p>
            <w:pPr>
              <w:spacing w:before="156"/>
            </w:pPr>
            <w:r>
              <w:rPr>
                <w:rFonts w:hint="eastAsia"/>
              </w:rPr>
              <w:t>支持基于</w:t>
            </w:r>
            <w:r>
              <w:rPr>
                <w:rFonts w:hint="eastAsia"/>
                <w:lang w:val="zh-TW" w:eastAsia="zh-TW"/>
              </w:rPr>
              <w:t>时间段</w:t>
            </w:r>
            <w:r>
              <w:rPr>
                <w:rFonts w:hint="eastAsia"/>
              </w:rPr>
              <w:t>/</w:t>
            </w:r>
            <w:r>
              <w:rPr>
                <w:rFonts w:hint="eastAsia"/>
                <w:lang w:val="zh-TW" w:eastAsia="zh-TW"/>
              </w:rPr>
              <w:t>用户</w:t>
            </w:r>
            <w:r>
              <w:rPr>
                <w:rFonts w:hint="eastAsia"/>
              </w:rPr>
              <w:t>/</w:t>
            </w:r>
            <w:r>
              <w:rPr>
                <w:rFonts w:hint="eastAsia"/>
                <w:lang w:val="zh-TW" w:eastAsia="zh-TW"/>
              </w:rPr>
              <w:t>用户组</w:t>
            </w:r>
            <w:r>
              <w:rPr>
                <w:rFonts w:hint="eastAsia"/>
              </w:rPr>
              <w:t>/</w:t>
            </w:r>
            <w:r>
              <w:rPr>
                <w:rFonts w:hint="eastAsia"/>
                <w:lang w:val="zh-TW" w:eastAsia="zh-TW"/>
              </w:rPr>
              <w:t>终端类型</w:t>
            </w:r>
            <w:r>
              <w:rPr>
                <w:rFonts w:hint="eastAsia"/>
              </w:rPr>
              <w:t>/</w:t>
            </w:r>
            <w:r>
              <w:rPr>
                <w:rFonts w:hint="eastAsia"/>
                <w:lang w:val="zh-TW" w:eastAsia="zh-TW"/>
              </w:rPr>
              <w:t>位置等</w:t>
            </w:r>
            <w:r>
              <w:rPr>
                <w:rFonts w:hint="eastAsia"/>
              </w:rPr>
              <w:t>多种维度的流速趋势报表、流控通道趋势报表、应用行为趋势报表、网站分类行为趋势报表等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rPr>
              <w:t>网络整体状况报表</w:t>
            </w:r>
          </w:p>
        </w:tc>
        <w:tc>
          <w:tcPr>
            <w:tcW w:w="6833" w:type="dxa"/>
            <w:shd w:val="clear" w:color="auto" w:fill="auto"/>
            <w:noWrap/>
            <w:tcMar>
              <w:top w:w="0" w:type="dxa"/>
              <w:left w:w="85" w:type="dxa"/>
              <w:bottom w:w="0" w:type="dxa"/>
              <w:right w:w="85" w:type="dxa"/>
            </w:tcMar>
          </w:tcPr>
          <w:p>
            <w:pPr>
              <w:spacing w:before="156"/>
            </w:pPr>
            <w:r>
              <w:rPr>
                <w:rFonts w:hint="eastAsia"/>
              </w:rPr>
              <w:t>从带宽健康分析、工作效率分析、离职风险分析、合规性分析四个大块对网络整体状况进行说明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单用户行为分析</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针对单用户的行为分析（包括：应用流速趋势、应用流量排行、域名流量排行、应用时长排行、域名时长排行、行为汇总排行等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终端接入安全</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支持基于用户和病毒等维度的行为次数排行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1"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搜索中心</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基于时间、用户</w:t>
            </w:r>
            <w:r>
              <w:rPr>
                <w:rFonts w:hint="eastAsia"/>
              </w:rPr>
              <w:t>/</w:t>
            </w:r>
            <w:r>
              <w:rPr>
                <w:rFonts w:hint="eastAsia"/>
                <w:lang w:val="zh-TW" w:eastAsia="zh-TW"/>
              </w:rPr>
              <w:t>组、终端类型、位置、日志类型等条件下的关键字检索定位功能；</w:t>
            </w:r>
          </w:p>
          <w:p>
            <w:pPr>
              <w:spacing w:before="156"/>
            </w:pPr>
            <w:r>
              <w:rPr>
                <w:rFonts w:hint="eastAsia"/>
                <w:lang w:val="zh-TW" w:eastAsia="zh-TW"/>
              </w:rPr>
              <w:t>必须支持对日志中</w:t>
            </w:r>
            <w:r>
              <w:rPr>
                <w:rFonts w:hint="eastAsia"/>
              </w:rPr>
              <w:t>OFFICE</w:t>
            </w:r>
            <w:r>
              <w:rPr>
                <w:rFonts w:hint="eastAsia"/>
                <w:lang w:val="zh-TW" w:eastAsia="zh-TW"/>
              </w:rPr>
              <w:t>等附件正文内容关键字的检索；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关键字订阅</w:t>
            </w:r>
          </w:p>
        </w:tc>
        <w:tc>
          <w:tcPr>
            <w:tcW w:w="6833" w:type="dxa"/>
            <w:shd w:val="clear" w:color="auto" w:fill="auto"/>
            <w:noWrap/>
            <w:tcMar>
              <w:top w:w="0" w:type="dxa"/>
              <w:left w:w="85" w:type="dxa"/>
              <w:bottom w:w="0" w:type="dxa"/>
              <w:right w:w="85" w:type="dxa"/>
            </w:tcMar>
          </w:tcPr>
          <w:p>
            <w:pPr>
              <w:spacing w:before="156"/>
            </w:pPr>
            <w:r>
              <w:rPr>
                <w:rFonts w:hint="eastAsia"/>
                <w:lang w:val="zh-TW" w:eastAsia="zh-TW"/>
              </w:rPr>
              <w:t>支持预置几组关键字，当审计日志中出现这些关键字时，将定期以邮件的方式发送报告给指定邮箱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08" w:type="dxa"/>
            <w:vMerge w:val="continue"/>
            <w:shd w:val="clear" w:color="auto" w:fill="auto"/>
            <w:noWrap/>
            <w:tcMar>
              <w:left w:w="85" w:type="dxa"/>
              <w:right w:w="85" w:type="dxa"/>
            </w:tcMar>
            <w:vAlign w:val="cente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rPr>
                <w:lang w:val="zh-TW" w:eastAsia="zh-TW"/>
              </w:rPr>
            </w:pPr>
            <w:r>
              <w:rPr>
                <w:rFonts w:hint="eastAsia"/>
                <w:lang w:val="zh-TW" w:eastAsia="zh-TW"/>
              </w:rPr>
              <w:t>支持与多种网安日志平台对接</w:t>
            </w:r>
          </w:p>
        </w:tc>
        <w:tc>
          <w:tcPr>
            <w:tcW w:w="6833" w:type="dxa"/>
            <w:shd w:val="clear" w:color="auto" w:fill="auto"/>
            <w:noWrap/>
            <w:tcMar>
              <w:top w:w="0" w:type="dxa"/>
              <w:left w:w="85" w:type="dxa"/>
              <w:bottom w:w="0" w:type="dxa"/>
              <w:right w:w="85" w:type="dxa"/>
            </w:tcMar>
          </w:tcPr>
          <w:p>
            <w:pPr>
              <w:spacing w:before="15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808" w:type="dxa"/>
            <w:vMerge w:val="restart"/>
            <w:shd w:val="clear" w:color="auto" w:fill="auto"/>
            <w:noWrap/>
            <w:tcMar>
              <w:top w:w="0" w:type="dxa"/>
              <w:left w:w="85" w:type="dxa"/>
              <w:bottom w:w="0" w:type="dxa"/>
              <w:right w:w="85" w:type="dxa"/>
            </w:tcMar>
            <w:vAlign w:val="center"/>
          </w:tcPr>
          <w:p>
            <w:pPr>
              <w:spacing w:before="156"/>
              <w:rPr>
                <w:rFonts w:ascii="宋体" w:hAnsi="宋体" w:cs="宋体"/>
                <w:szCs w:val="21"/>
              </w:rPr>
            </w:pPr>
            <w:r>
              <w:rPr>
                <w:rFonts w:hint="eastAsia" w:ascii="宋体" w:hAnsi="宋体" w:cs="宋体"/>
                <w:szCs w:val="21"/>
              </w:rPr>
              <w:t>资质要求</w:t>
            </w:r>
          </w:p>
        </w:tc>
        <w:tc>
          <w:tcPr>
            <w:tcW w:w="1754" w:type="dxa"/>
            <w:vMerge w:val="restart"/>
            <w:shd w:val="clear" w:color="auto" w:fill="auto"/>
            <w:noWrap/>
            <w:tcMar>
              <w:top w:w="0" w:type="dxa"/>
              <w:left w:w="80" w:type="dxa"/>
              <w:bottom w:w="0" w:type="dxa"/>
              <w:right w:w="80" w:type="dxa"/>
            </w:tcMar>
          </w:tcPr>
          <w:p>
            <w:pPr>
              <w:spacing w:before="156"/>
            </w:pPr>
            <w:r>
              <w:rPr>
                <w:rFonts w:hint="eastAsia"/>
              </w:rPr>
              <w:t>产品资质</w:t>
            </w:r>
          </w:p>
        </w:tc>
        <w:tc>
          <w:tcPr>
            <w:tcW w:w="6833" w:type="dxa"/>
            <w:shd w:val="clear" w:color="auto" w:fill="auto"/>
            <w:noWrap/>
            <w:tcMar>
              <w:top w:w="0" w:type="dxa"/>
              <w:left w:w="85" w:type="dxa"/>
              <w:bottom w:w="0" w:type="dxa"/>
              <w:right w:w="85" w:type="dxa"/>
            </w:tcMar>
          </w:tcPr>
          <w:p>
            <w:pPr>
              <w:spacing w:before="156"/>
              <w:rPr>
                <w:lang w:val="zh-TW" w:eastAsia="zh-TW"/>
              </w:rPr>
            </w:pPr>
            <w:r>
              <w:rPr>
                <w:rFonts w:hint="eastAsia"/>
              </w:rPr>
              <w:t>国家网络与信息系统安全产品质量监督检测中心《信息技术产品安全测评证书EAL3级》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808" w:type="dxa"/>
            <w:vMerge w:val="continue"/>
            <w:shd w:val="clear" w:color="auto" w:fill="auto"/>
            <w:noWrap/>
            <w:tcMar>
              <w:top w:w="0" w:type="dxa"/>
              <w:left w:w="80" w:type="dxa"/>
              <w:bottom w:w="0" w:type="dxa"/>
              <w:right w:w="80" w:type="dxa"/>
            </w:tcMar>
          </w:tcPr>
          <w:p>
            <w:pPr>
              <w:spacing w:before="156"/>
              <w:rPr>
                <w:rFonts w:ascii="宋体" w:hAnsi="宋体" w:cs="宋体"/>
                <w:szCs w:val="21"/>
              </w:rPr>
            </w:pPr>
          </w:p>
        </w:tc>
        <w:tc>
          <w:tcPr>
            <w:tcW w:w="1754" w:type="dxa"/>
            <w:vMerge w:val="continue"/>
            <w:shd w:val="clear" w:color="auto" w:fill="auto"/>
            <w:noWrap/>
            <w:tcMar>
              <w:top w:w="0" w:type="dxa"/>
              <w:left w:w="80" w:type="dxa"/>
              <w:bottom w:w="0" w:type="dxa"/>
              <w:right w:w="80" w:type="dxa"/>
            </w:tcMar>
          </w:tcPr>
          <w:p>
            <w:pPr>
              <w:spacing w:before="156"/>
            </w:pPr>
          </w:p>
        </w:tc>
        <w:tc>
          <w:tcPr>
            <w:tcW w:w="6833" w:type="dxa"/>
            <w:shd w:val="clear" w:color="auto" w:fill="auto"/>
            <w:noWrap/>
            <w:tcMar>
              <w:top w:w="0" w:type="dxa"/>
              <w:left w:w="80" w:type="dxa"/>
              <w:bottom w:w="0" w:type="dxa"/>
              <w:right w:w="80" w:type="dxa"/>
            </w:tcMar>
          </w:tcPr>
          <w:p>
            <w:pPr>
              <w:spacing w:before="156"/>
            </w:pPr>
            <w:r>
              <w:rPr>
                <w:rFonts w:hint="eastAsia"/>
              </w:rPr>
              <w:t>公安部颁发的《网络通讯安全审计销售许可证》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3" w:hRule="atLeast"/>
        </w:trPr>
        <w:tc>
          <w:tcPr>
            <w:tcW w:w="808" w:type="dxa"/>
            <w:vMerge w:val="continue"/>
            <w:shd w:val="clear" w:color="auto" w:fill="auto"/>
            <w:noWrap/>
            <w:tcMar>
              <w:top w:w="0" w:type="dxa"/>
              <w:left w:w="80" w:type="dxa"/>
              <w:bottom w:w="0" w:type="dxa"/>
              <w:right w:w="80" w:type="dxa"/>
            </w:tcMar>
          </w:tcPr>
          <w:p>
            <w:pPr>
              <w:spacing w:before="156"/>
              <w:rPr>
                <w:rFonts w:ascii="宋体" w:hAnsi="宋体" w:cs="宋体"/>
                <w:szCs w:val="21"/>
              </w:rPr>
            </w:pPr>
          </w:p>
        </w:tc>
        <w:tc>
          <w:tcPr>
            <w:tcW w:w="1754" w:type="dxa"/>
            <w:shd w:val="clear" w:color="auto" w:fill="auto"/>
            <w:noWrap/>
            <w:tcMar>
              <w:top w:w="0" w:type="dxa"/>
              <w:left w:w="80" w:type="dxa"/>
              <w:bottom w:w="0" w:type="dxa"/>
              <w:right w:w="80" w:type="dxa"/>
            </w:tcMar>
          </w:tcPr>
          <w:p>
            <w:pPr>
              <w:spacing w:before="156"/>
            </w:pPr>
            <w:r>
              <w:rPr>
                <w:rFonts w:hint="eastAsia"/>
              </w:rPr>
              <w:t>售后服务</w:t>
            </w:r>
          </w:p>
        </w:tc>
        <w:tc>
          <w:tcPr>
            <w:tcW w:w="6833" w:type="dxa"/>
            <w:shd w:val="clear" w:color="auto" w:fill="auto"/>
            <w:noWrap/>
            <w:tcMar>
              <w:top w:w="0" w:type="dxa"/>
              <w:left w:w="80" w:type="dxa"/>
              <w:bottom w:w="0" w:type="dxa"/>
              <w:right w:w="80" w:type="dxa"/>
            </w:tcMar>
          </w:tcPr>
          <w:p>
            <w:pPr>
              <w:spacing w:before="156"/>
            </w:pPr>
            <w:r>
              <w:rPr>
                <w:rFonts w:hint="eastAsia"/>
              </w:rPr>
              <w:t>为保证服务质量，要求厂商售后服务体系通过ISO9001认证</w:t>
            </w:r>
          </w:p>
        </w:tc>
      </w:tr>
    </w:tbl>
    <w:p>
      <w:pPr>
        <w:spacing w:before="156"/>
        <w:rPr>
          <w:rFonts w:ascii="宋体" w:hAnsi="宋体" w:cs="宋体"/>
          <w:color w:val="FF0000"/>
          <w:szCs w:val="21"/>
        </w:rPr>
      </w:pPr>
    </w:p>
    <w:p>
      <w:pPr>
        <w:numPr>
          <w:ilvl w:val="2"/>
          <w:numId w:val="0"/>
        </w:numPr>
        <w:spacing w:line="360" w:lineRule="auto"/>
        <w:rPr>
          <w:rFonts w:ascii="宋体" w:hAnsi="宋体" w:cs="宋体"/>
          <w:b/>
          <w:szCs w:val="21"/>
        </w:rPr>
      </w:pPr>
      <w:r>
        <w:rPr>
          <w:rFonts w:hint="eastAsia" w:ascii="宋体" w:hAnsi="宋体" w:cs="宋体"/>
          <w:b/>
          <w:szCs w:val="21"/>
        </w:rPr>
        <w:t>17、全区出口防火墙</w:t>
      </w:r>
    </w:p>
    <w:p>
      <w:pPr>
        <w:numPr>
          <w:ilvl w:val="1"/>
          <w:numId w:val="0"/>
        </w:numPr>
        <w:tabs>
          <w:tab w:val="left" w:pos="576"/>
        </w:tabs>
        <w:jc w:val="left"/>
        <w:rPr>
          <w:rFonts w:ascii="宋体" w:hAnsi="宋体" w:cs="宋体"/>
          <w:b/>
          <w:szCs w:val="21"/>
        </w:rPr>
      </w:pPr>
      <w:r>
        <w:rPr>
          <w:rFonts w:hint="eastAsia" w:ascii="宋体" w:hAnsi="宋体" w:cs="宋体"/>
          <w:b/>
          <w:szCs w:val="21"/>
        </w:rPr>
        <w:t xml:space="preserve">  全区采用统一互联网出口建设模式，相关要求如下：互联网出口下一代防火墙</w:t>
      </w:r>
    </w:p>
    <w:tbl>
      <w:tblPr>
        <w:tblStyle w:val="59"/>
        <w:tblpPr w:leftFromText="180" w:rightFromText="180" w:vertAnchor="text" w:horzAnchor="page" w:tblpX="1770" w:tblpY="382"/>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7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57" w:type="dxa"/>
            <w:noWrap/>
          </w:tcPr>
          <w:p>
            <w:pPr>
              <w:spacing w:before="156"/>
              <w:rPr>
                <w:rFonts w:ascii="宋体" w:hAnsi="宋体" w:cs="宋体"/>
                <w:szCs w:val="21"/>
              </w:rPr>
            </w:pPr>
            <w:r>
              <w:rPr>
                <w:rFonts w:hint="eastAsia" w:ascii="宋体" w:hAnsi="宋体" w:cs="宋体"/>
                <w:szCs w:val="21"/>
              </w:rPr>
              <w:t>技术指标</w:t>
            </w:r>
          </w:p>
        </w:tc>
        <w:tc>
          <w:tcPr>
            <w:tcW w:w="7662" w:type="dxa"/>
            <w:noWrap/>
          </w:tcPr>
          <w:p>
            <w:pPr>
              <w:spacing w:before="156"/>
              <w:rPr>
                <w:rFonts w:ascii="宋体" w:hAnsi="宋体" w:cs="宋体"/>
                <w:szCs w:val="21"/>
              </w:rPr>
            </w:pPr>
            <w:r>
              <w:rPr>
                <w:rFonts w:hint="eastAsia" w:ascii="宋体" w:hAnsi="宋体" w:cs="宋体"/>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57" w:type="dxa"/>
            <w:noWrap/>
          </w:tcPr>
          <w:p>
            <w:pPr>
              <w:spacing w:before="156"/>
              <w:rPr>
                <w:rFonts w:ascii="宋体" w:hAnsi="宋体" w:cs="宋体"/>
                <w:color w:val="000000"/>
                <w:szCs w:val="21"/>
              </w:rPr>
            </w:pPr>
            <w:r>
              <w:rPr>
                <w:rFonts w:hint="eastAsia" w:ascii="宋体" w:hAnsi="宋体"/>
                <w:sz w:val="18"/>
                <w:szCs w:val="18"/>
              </w:rPr>
              <w:t>▲</w:t>
            </w:r>
            <w:r>
              <w:rPr>
                <w:rFonts w:hint="eastAsia" w:ascii="宋体" w:hAnsi="宋体" w:cs="宋体"/>
                <w:color w:val="000000"/>
                <w:szCs w:val="21"/>
              </w:rPr>
              <w:t>设备接口</w:t>
            </w:r>
          </w:p>
        </w:tc>
        <w:tc>
          <w:tcPr>
            <w:tcW w:w="7662" w:type="dxa"/>
            <w:noWrap/>
          </w:tcPr>
          <w:p>
            <w:pPr>
              <w:spacing w:before="156"/>
              <w:rPr>
                <w:rFonts w:ascii="宋体" w:hAnsi="宋体" w:cs="宋体"/>
                <w:color w:val="000000"/>
                <w:szCs w:val="21"/>
              </w:rPr>
            </w:pPr>
            <w:r>
              <w:rPr>
                <w:rFonts w:hint="eastAsia" w:ascii="宋体" w:hAnsi="宋体" w:cs="宋体"/>
                <w:color w:val="000000"/>
                <w:szCs w:val="21"/>
              </w:rPr>
              <w:t>标准2U机架设备,标配6个千兆电口，4个千兆光口，2个万兆光口（要求提供2个万兆光模块），并含1个高速USB2.0接口或USB3.0，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57" w:type="dxa"/>
            <w:noWrap/>
          </w:tcPr>
          <w:p>
            <w:pPr>
              <w:spacing w:before="156"/>
              <w:rPr>
                <w:rFonts w:ascii="宋体" w:hAnsi="宋体" w:cs="宋体"/>
                <w:color w:val="000000"/>
                <w:szCs w:val="21"/>
              </w:rPr>
            </w:pPr>
            <w:r>
              <w:rPr>
                <w:rFonts w:hint="eastAsia" w:ascii="宋体" w:hAnsi="宋体"/>
                <w:sz w:val="18"/>
                <w:szCs w:val="18"/>
              </w:rPr>
              <w:t>▲</w:t>
            </w:r>
            <w:r>
              <w:rPr>
                <w:rFonts w:hint="eastAsia" w:ascii="宋体" w:hAnsi="宋体" w:cs="宋体"/>
                <w:color w:val="000000"/>
                <w:szCs w:val="21"/>
              </w:rPr>
              <w:t>性能</w:t>
            </w:r>
          </w:p>
        </w:tc>
        <w:tc>
          <w:tcPr>
            <w:tcW w:w="7662" w:type="dxa"/>
            <w:noWrap/>
          </w:tcPr>
          <w:p>
            <w:pPr>
              <w:spacing w:before="156"/>
              <w:rPr>
                <w:rFonts w:ascii="宋体" w:hAnsi="宋体" w:cs="宋体"/>
                <w:color w:val="000000"/>
                <w:szCs w:val="21"/>
                <w:lang w:val="zh-CN"/>
              </w:rPr>
            </w:pPr>
            <w:r>
              <w:rPr>
                <w:rFonts w:hint="eastAsia" w:ascii="宋体" w:hAnsi="宋体" w:cs="宋体"/>
                <w:color w:val="000000"/>
                <w:szCs w:val="21"/>
              </w:rPr>
              <w:t>整机吞吐量</w:t>
            </w:r>
            <w:r>
              <w:rPr>
                <w:rFonts w:hint="eastAsia" w:ascii="宋体" w:hAnsi="宋体" w:cs="宋体"/>
                <w:color w:val="000000"/>
                <w:szCs w:val="21"/>
                <w:lang w:val="zh-CN"/>
              </w:rPr>
              <w:t>≥</w:t>
            </w:r>
            <w:r>
              <w:rPr>
                <w:rFonts w:hint="eastAsia" w:ascii="宋体" w:hAnsi="宋体" w:cs="宋体"/>
                <w:color w:val="000000"/>
                <w:szCs w:val="21"/>
              </w:rPr>
              <w:t>20Gb，应用层吞吐量</w:t>
            </w:r>
            <w:r>
              <w:rPr>
                <w:rFonts w:hint="eastAsia" w:ascii="宋体" w:hAnsi="宋体" w:cs="宋体"/>
                <w:color w:val="000000"/>
                <w:szCs w:val="21"/>
                <w:lang w:val="zh-CN"/>
              </w:rPr>
              <w:t>≥</w:t>
            </w:r>
            <w:r>
              <w:rPr>
                <w:rFonts w:hint="eastAsia" w:ascii="宋体" w:hAnsi="宋体" w:cs="宋体"/>
                <w:color w:val="000000"/>
                <w:szCs w:val="21"/>
              </w:rPr>
              <w:t>8Gb，并发连接数</w:t>
            </w:r>
            <w:r>
              <w:rPr>
                <w:rFonts w:hint="eastAsia" w:ascii="宋体" w:hAnsi="宋体" w:cs="宋体"/>
                <w:color w:val="000000"/>
                <w:szCs w:val="21"/>
                <w:lang w:val="zh-CN"/>
              </w:rPr>
              <w:t>≥</w:t>
            </w:r>
            <w:r>
              <w:rPr>
                <w:rFonts w:hint="eastAsia" w:ascii="宋体" w:hAnsi="宋体" w:cs="宋体"/>
                <w:color w:val="000000"/>
                <w:szCs w:val="21"/>
              </w:rPr>
              <w:t>4, 000,000，每秒新建连接数</w:t>
            </w:r>
            <w:r>
              <w:rPr>
                <w:rFonts w:hint="eastAsia" w:ascii="宋体" w:hAnsi="宋体" w:cs="宋体"/>
                <w:color w:val="000000"/>
                <w:szCs w:val="21"/>
                <w:lang w:val="zh-CN"/>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457" w:type="dxa"/>
            <w:noWrap/>
          </w:tcPr>
          <w:p>
            <w:pPr>
              <w:spacing w:before="156"/>
              <w:rPr>
                <w:rFonts w:ascii="宋体" w:hAnsi="宋体" w:cs="宋体"/>
                <w:color w:val="000000"/>
                <w:szCs w:val="21"/>
              </w:rPr>
            </w:pPr>
            <w:r>
              <w:rPr>
                <w:rFonts w:hint="eastAsia" w:ascii="宋体" w:hAnsi="宋体" w:cs="宋体"/>
                <w:color w:val="000000"/>
                <w:szCs w:val="21"/>
              </w:rPr>
              <w:t>硬盘</w:t>
            </w:r>
          </w:p>
        </w:tc>
        <w:tc>
          <w:tcPr>
            <w:tcW w:w="7662" w:type="dxa"/>
            <w:noWrap/>
          </w:tcPr>
          <w:p>
            <w:pPr>
              <w:spacing w:before="156"/>
              <w:rPr>
                <w:rFonts w:ascii="宋体" w:hAnsi="宋体" w:cs="宋体"/>
                <w:color w:val="000000"/>
                <w:szCs w:val="21"/>
              </w:rPr>
            </w:pPr>
            <w:r>
              <w:rPr>
                <w:rFonts w:hint="eastAsia" w:ascii="宋体" w:hAnsi="宋体" w:cs="宋体"/>
                <w:color w:val="000000"/>
                <w:szCs w:val="21"/>
                <w:lang w:val="zh-CN"/>
              </w:rPr>
              <w:t>≥</w:t>
            </w:r>
            <w:r>
              <w:rPr>
                <w:rFonts w:hint="eastAsia" w:ascii="宋体" w:hAnsi="宋体" w:cs="宋体"/>
                <w:color w:val="000000"/>
                <w:szCs w:val="21"/>
              </w:rPr>
              <w:t>1T SATA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57" w:type="dxa"/>
            <w:noWrap/>
            <w:vAlign w:val="center"/>
          </w:tcPr>
          <w:p>
            <w:pPr>
              <w:spacing w:before="156"/>
              <w:rPr>
                <w:rFonts w:ascii="宋体" w:hAnsi="宋体" w:cs="宋体"/>
                <w:color w:val="000000"/>
                <w:szCs w:val="21"/>
              </w:rPr>
            </w:pPr>
            <w:r>
              <w:rPr>
                <w:rFonts w:hint="eastAsia" w:ascii="宋体" w:hAnsi="宋体" w:cs="宋体"/>
                <w:color w:val="000000"/>
                <w:szCs w:val="21"/>
              </w:rPr>
              <w:t>BYPASS</w:t>
            </w:r>
          </w:p>
        </w:tc>
        <w:tc>
          <w:tcPr>
            <w:tcW w:w="7662" w:type="dxa"/>
            <w:noWrap/>
            <w:vAlign w:val="center"/>
          </w:tcPr>
          <w:p>
            <w:pPr>
              <w:spacing w:before="156"/>
              <w:rPr>
                <w:rFonts w:ascii="宋体" w:hAnsi="宋体" w:cs="宋体"/>
                <w:color w:val="000000"/>
                <w:szCs w:val="21"/>
              </w:rPr>
            </w:pPr>
            <w:r>
              <w:rPr>
                <w:rFonts w:hint="eastAsia" w:ascii="宋体" w:hAnsi="宋体" w:cs="宋体"/>
                <w:color w:val="000000"/>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457" w:type="dxa"/>
            <w:noWrap/>
            <w:vAlign w:val="center"/>
          </w:tcPr>
          <w:p>
            <w:pPr>
              <w:spacing w:before="156"/>
              <w:rPr>
                <w:rFonts w:ascii="宋体" w:hAnsi="宋体" w:cs="宋体"/>
                <w:color w:val="000000"/>
                <w:szCs w:val="21"/>
              </w:rPr>
            </w:pPr>
            <w:r>
              <w:rPr>
                <w:rFonts w:hint="eastAsia" w:ascii="宋体" w:hAnsi="宋体" w:cs="宋体"/>
                <w:color w:val="000000"/>
                <w:szCs w:val="21"/>
              </w:rPr>
              <w:t>电源</w:t>
            </w:r>
          </w:p>
        </w:tc>
        <w:tc>
          <w:tcPr>
            <w:tcW w:w="7662" w:type="dxa"/>
            <w:noWrap/>
            <w:vAlign w:val="center"/>
          </w:tcPr>
          <w:p>
            <w:pPr>
              <w:spacing w:before="156"/>
              <w:rPr>
                <w:rFonts w:ascii="宋体" w:hAnsi="宋体" w:cs="宋体"/>
                <w:color w:val="000000"/>
                <w:szCs w:val="21"/>
              </w:rPr>
            </w:pPr>
            <w:r>
              <w:rPr>
                <w:rFonts w:hint="eastAsia" w:ascii="宋体" w:hAnsi="宋体" w:cs="宋体"/>
                <w:color w:val="000000"/>
                <w:szCs w:val="21"/>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57" w:type="dxa"/>
            <w:noWrap/>
          </w:tcPr>
          <w:p>
            <w:pPr>
              <w:spacing w:before="156"/>
              <w:rPr>
                <w:rFonts w:ascii="宋体" w:hAnsi="宋体" w:cs="宋体"/>
                <w:color w:val="000000"/>
                <w:szCs w:val="21"/>
              </w:rPr>
            </w:pPr>
            <w:r>
              <w:rPr>
                <w:rFonts w:hint="eastAsia" w:ascii="宋体" w:hAnsi="宋体" w:cs="宋体"/>
                <w:color w:val="000000"/>
                <w:szCs w:val="21"/>
              </w:rPr>
              <w:t>尺寸</w:t>
            </w:r>
          </w:p>
        </w:tc>
        <w:tc>
          <w:tcPr>
            <w:tcW w:w="7662" w:type="dxa"/>
            <w:noWrap/>
          </w:tcPr>
          <w:p>
            <w:pPr>
              <w:spacing w:before="156"/>
              <w:rPr>
                <w:rFonts w:ascii="宋体" w:hAnsi="宋体" w:cs="宋体"/>
                <w:color w:val="000000"/>
                <w:szCs w:val="21"/>
              </w:rPr>
            </w:pPr>
            <w:r>
              <w:rPr>
                <w:rFonts w:hint="eastAsia" w:ascii="宋体" w:hAnsi="宋体" w:cs="宋体"/>
                <w:color w:val="000000"/>
                <w:szCs w:val="21"/>
              </w:rPr>
              <w:t>标准2U架构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457" w:type="dxa"/>
            <w:noWrap/>
            <w:vAlign w:val="center"/>
          </w:tcPr>
          <w:p>
            <w:pPr>
              <w:spacing w:before="156"/>
              <w:rPr>
                <w:rFonts w:ascii="宋体" w:hAnsi="宋体" w:cs="宋体"/>
                <w:szCs w:val="21"/>
              </w:rPr>
            </w:pPr>
            <w:r>
              <w:rPr>
                <w:rFonts w:hint="eastAsia" w:ascii="宋体" w:hAnsi="宋体" w:cs="宋体"/>
                <w:szCs w:val="21"/>
              </w:rPr>
              <w:t>部署方式</w:t>
            </w:r>
          </w:p>
        </w:tc>
        <w:tc>
          <w:tcPr>
            <w:tcW w:w="7662" w:type="dxa"/>
            <w:noWrap/>
          </w:tcPr>
          <w:p>
            <w:pPr>
              <w:spacing w:before="156"/>
              <w:rPr>
                <w:rFonts w:ascii="宋体" w:hAnsi="宋体" w:cs="宋体"/>
                <w:szCs w:val="21"/>
              </w:rPr>
            </w:pPr>
            <w:r>
              <w:rPr>
                <w:rFonts w:hint="eastAsia" w:ascii="宋体" w:hAnsi="宋体" w:cs="宋体"/>
                <w:szCs w:val="21"/>
              </w:rPr>
              <w:t>支持路由，网桥，单臂，旁路，虚拟网线以及混合部署方式；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57" w:type="dxa"/>
            <w:noWrap/>
            <w:vAlign w:val="center"/>
          </w:tcPr>
          <w:p>
            <w:pPr>
              <w:spacing w:before="156"/>
              <w:rPr>
                <w:rFonts w:ascii="宋体" w:hAnsi="宋体" w:cs="宋体"/>
                <w:szCs w:val="21"/>
              </w:rPr>
            </w:pPr>
            <w:r>
              <w:rPr>
                <w:rFonts w:hint="eastAsia" w:ascii="宋体" w:hAnsi="宋体" w:cs="宋体"/>
                <w:szCs w:val="21"/>
              </w:rPr>
              <w:t>网络特性</w:t>
            </w:r>
          </w:p>
        </w:tc>
        <w:tc>
          <w:tcPr>
            <w:tcW w:w="7662" w:type="dxa"/>
            <w:noWrap/>
          </w:tcPr>
          <w:p>
            <w:pPr>
              <w:spacing w:before="156"/>
              <w:rPr>
                <w:rFonts w:ascii="宋体" w:hAnsi="宋体" w:cs="宋体"/>
                <w:szCs w:val="21"/>
              </w:rPr>
            </w:pPr>
            <w:r>
              <w:rPr>
                <w:rFonts w:hint="eastAsia" w:ascii="宋体" w:hAnsi="宋体" w:cs="宋体"/>
                <w:szCs w:val="21"/>
              </w:rPr>
              <w:t xml:space="preserve">支持802.1Q VLAN Trunk、access接口，VLAN三层接口，子接口；             </w:t>
            </w:r>
          </w:p>
          <w:p>
            <w:pPr>
              <w:spacing w:before="156"/>
              <w:rPr>
                <w:rFonts w:ascii="宋体" w:hAnsi="宋体" w:cs="宋体"/>
                <w:szCs w:val="21"/>
              </w:rPr>
            </w:pPr>
            <w:r>
              <w:rPr>
                <w:rFonts w:hint="eastAsia" w:ascii="宋体" w:hAnsi="宋体" w:cs="宋体"/>
                <w:szCs w:val="21"/>
              </w:rPr>
              <w:t>支持链路聚合功能；</w:t>
            </w:r>
          </w:p>
          <w:p>
            <w:pPr>
              <w:spacing w:before="156"/>
              <w:rPr>
                <w:rFonts w:ascii="宋体" w:hAnsi="宋体" w:cs="宋体"/>
                <w:szCs w:val="21"/>
              </w:rPr>
            </w:pPr>
            <w:r>
              <w:rPr>
                <w:rFonts w:hint="eastAsia" w:ascii="宋体" w:hAnsi="宋体" w:cs="宋体"/>
                <w:szCs w:val="21"/>
              </w:rPr>
              <w:t>支持端口联动功能，当上行/下行端口链路出现故障时，对应的另一端下行/上行端口自动切断链路；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457" w:type="dxa"/>
            <w:noWrap/>
            <w:vAlign w:val="center"/>
          </w:tcPr>
          <w:p>
            <w:pPr>
              <w:spacing w:before="156"/>
              <w:rPr>
                <w:rFonts w:ascii="宋体" w:hAnsi="宋体" w:cs="宋体"/>
                <w:szCs w:val="21"/>
              </w:rPr>
            </w:pPr>
            <w:r>
              <w:rPr>
                <w:rFonts w:hint="eastAsia" w:ascii="宋体" w:hAnsi="宋体" w:cs="宋体"/>
                <w:szCs w:val="21"/>
              </w:rPr>
              <w:t>路由支持</w:t>
            </w:r>
          </w:p>
        </w:tc>
        <w:tc>
          <w:tcPr>
            <w:tcW w:w="7662" w:type="dxa"/>
            <w:noWrap/>
          </w:tcPr>
          <w:p>
            <w:pPr>
              <w:spacing w:before="156"/>
              <w:rPr>
                <w:rFonts w:ascii="宋体" w:hAnsi="宋体" w:cs="宋体"/>
                <w:szCs w:val="21"/>
              </w:rPr>
            </w:pPr>
            <w:r>
              <w:rPr>
                <w:rFonts w:hint="eastAsia" w:ascii="宋体" w:hAnsi="宋体" w:cs="宋体"/>
                <w:szCs w:val="21"/>
              </w:rPr>
              <w:t>支持静态路由，ECMP等价路由；</w:t>
            </w:r>
          </w:p>
          <w:p>
            <w:pPr>
              <w:spacing w:before="156"/>
              <w:rPr>
                <w:rFonts w:ascii="宋体" w:hAnsi="宋体" w:cs="宋体"/>
                <w:szCs w:val="21"/>
              </w:rPr>
            </w:pPr>
            <w:r>
              <w:rPr>
                <w:rFonts w:hint="eastAsia" w:ascii="宋体" w:hAnsi="宋体" w:cs="宋体"/>
                <w:szCs w:val="21"/>
              </w:rPr>
              <w:t>支持RIPv1/v2，OSPFv2/v3，BGP等动态路由协议；</w:t>
            </w:r>
          </w:p>
          <w:p>
            <w:pPr>
              <w:spacing w:before="156"/>
              <w:rPr>
                <w:rFonts w:ascii="宋体" w:hAnsi="宋体" w:cs="宋体"/>
                <w:szCs w:val="21"/>
              </w:rPr>
            </w:pPr>
            <w:r>
              <w:rPr>
                <w:rFonts w:hint="eastAsia" w:ascii="宋体" w:hAnsi="宋体" w:cs="宋体"/>
                <w:szCs w:val="21"/>
              </w:rPr>
              <w:t>支持多链路出站负载，支持基于源/目的IP、源/目的端口、协议、应用类型以及国家地域来进行选路的策略路由选路功能；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457" w:type="dxa"/>
            <w:noWrap/>
            <w:vAlign w:val="center"/>
          </w:tcPr>
          <w:p>
            <w:pPr>
              <w:spacing w:before="156"/>
              <w:rPr>
                <w:rFonts w:ascii="宋体" w:hAnsi="宋体" w:cs="宋体"/>
                <w:szCs w:val="21"/>
              </w:rPr>
            </w:pPr>
            <w:r>
              <w:rPr>
                <w:rFonts w:hint="eastAsia" w:ascii="宋体" w:hAnsi="宋体" w:cs="宋体"/>
                <w:szCs w:val="21"/>
              </w:rPr>
              <w:t>基础功能</w:t>
            </w:r>
          </w:p>
        </w:tc>
        <w:tc>
          <w:tcPr>
            <w:tcW w:w="7662" w:type="dxa"/>
            <w:noWrap/>
          </w:tcPr>
          <w:p>
            <w:pPr>
              <w:spacing w:before="156"/>
              <w:rPr>
                <w:rFonts w:ascii="宋体" w:hAnsi="宋体" w:cs="宋体"/>
                <w:szCs w:val="21"/>
              </w:rPr>
            </w:pPr>
            <w:r>
              <w:rPr>
                <w:rFonts w:hint="eastAsia" w:ascii="宋体" w:hAnsi="宋体" w:cs="宋体"/>
                <w:szCs w:val="21"/>
              </w:rPr>
              <w:t>支持连接会话展示，可针对具体的IP地址进行会话详情查询，支持封锁异常会话信息，并支持设置监听具体IP的会话记录；</w:t>
            </w:r>
          </w:p>
          <w:p>
            <w:pPr>
              <w:spacing w:before="156"/>
              <w:rPr>
                <w:rFonts w:ascii="宋体" w:hAnsi="宋体" w:cs="宋体"/>
                <w:szCs w:val="21"/>
              </w:rPr>
            </w:pPr>
            <w:r>
              <w:rPr>
                <w:rFonts w:hint="eastAsia" w:ascii="宋体" w:hAnsi="宋体" w:cs="宋体"/>
                <w:szCs w:val="21"/>
              </w:rPr>
              <w:t>访问控制规则支持基于源／目的IP，源端口，源／目的区域，用户（组），应用/服务类型，时间组的细化控制方式；</w:t>
            </w:r>
          </w:p>
          <w:p>
            <w:pPr>
              <w:spacing w:before="156"/>
              <w:rPr>
                <w:rFonts w:ascii="宋体" w:hAnsi="宋体" w:cs="宋体"/>
                <w:szCs w:val="21"/>
              </w:rPr>
            </w:pPr>
            <w:r>
              <w:rPr>
                <w:rFonts w:hint="eastAsia" w:ascii="宋体" w:hAnsi="宋体" w:cs="宋体"/>
                <w:szCs w:val="21"/>
              </w:rPr>
              <w:t>访问控制规则支持数据模拟匹配，输入源目的IP、端口、协议五元组信息，模拟策略匹配方式，给出最可能的匹配结果，方便排查故障，或环境部署前的调试；</w:t>
            </w:r>
          </w:p>
          <w:p>
            <w:pPr>
              <w:spacing w:before="156"/>
              <w:rPr>
                <w:rFonts w:ascii="宋体" w:hAnsi="宋体" w:cs="宋体"/>
                <w:szCs w:val="21"/>
              </w:rPr>
            </w:pPr>
            <w:r>
              <w:rPr>
                <w:rFonts w:hint="eastAsia" w:ascii="宋体" w:hAnsi="宋体" w:cs="宋体"/>
                <w:szCs w:val="21"/>
              </w:rPr>
              <w:t>访问控制规则支持分组管理；</w:t>
            </w:r>
          </w:p>
          <w:p>
            <w:pPr>
              <w:spacing w:before="156"/>
              <w:rPr>
                <w:rFonts w:ascii="宋体" w:hAnsi="宋体" w:cs="宋体"/>
                <w:color w:val="000000"/>
                <w:szCs w:val="21"/>
              </w:rPr>
            </w:pPr>
            <w:r>
              <w:rPr>
                <w:rFonts w:hint="eastAsia" w:ascii="宋体" w:hAnsi="宋体" w:cs="宋体"/>
                <w:color w:val="000000"/>
                <w:szCs w:val="21"/>
              </w:rPr>
              <w:t>支持根据国家/地区来进行地域访问控制；</w:t>
            </w:r>
          </w:p>
          <w:p>
            <w:pPr>
              <w:spacing w:before="156"/>
              <w:rPr>
                <w:rFonts w:ascii="宋体" w:hAnsi="宋体" w:cs="宋体"/>
                <w:szCs w:val="21"/>
              </w:rPr>
            </w:pPr>
            <w:r>
              <w:rPr>
                <w:rFonts w:hint="eastAsia" w:ascii="宋体" w:hAnsi="宋体" w:cs="宋体"/>
                <w:szCs w:val="21"/>
              </w:rPr>
              <w:t>能够识别管控的应用类型超过1200种，应用识别规则总数超过3000条；</w:t>
            </w:r>
          </w:p>
          <w:p>
            <w:pPr>
              <w:spacing w:before="156"/>
              <w:rPr>
                <w:rFonts w:ascii="宋体" w:hAnsi="宋体" w:cs="宋体"/>
                <w:color w:val="00B050"/>
                <w:szCs w:val="21"/>
              </w:rPr>
            </w:pPr>
            <w:r>
              <w:rPr>
                <w:rFonts w:hint="eastAsia" w:ascii="宋体" w:hAnsi="宋体" w:cs="宋体"/>
                <w:szCs w:val="21"/>
              </w:rPr>
              <w:t>支持IPv4／v6 NAT地址转换，支持源目的地址转换，目的地址转换和双向地址转换，支持针对源IP、目的IP和双向IP连接数控制；</w:t>
            </w:r>
          </w:p>
          <w:p>
            <w:pPr>
              <w:spacing w:before="156"/>
              <w:rPr>
                <w:rFonts w:ascii="宋体" w:hAnsi="宋体" w:cs="宋体"/>
                <w:szCs w:val="21"/>
              </w:rPr>
            </w:pPr>
            <w:r>
              <w:rPr>
                <w:rFonts w:hint="eastAsia" w:ascii="宋体" w:hAnsi="宋体" w:cs="宋体"/>
                <w:szCs w:val="21"/>
              </w:rPr>
              <w:t>支持基于应用类型，网站类型，文件类型进行带宽分配和流量控制；</w:t>
            </w:r>
          </w:p>
          <w:p>
            <w:pPr>
              <w:spacing w:before="156"/>
              <w:rPr>
                <w:rFonts w:ascii="宋体" w:hAnsi="宋体" w:cs="宋体"/>
                <w:szCs w:val="21"/>
              </w:rPr>
            </w:pPr>
            <w:r>
              <w:rPr>
                <w:rFonts w:hint="eastAsia" w:ascii="宋体" w:hAnsi="宋体" w:cs="宋体"/>
                <w:szCs w:val="21"/>
              </w:rPr>
              <w:t>支持IPSec VPN，SSL VPN，GRE，GRE over OSPF，GRE over IPSec等VPN接入方式；</w:t>
            </w:r>
          </w:p>
          <w:p>
            <w:pPr>
              <w:spacing w:before="156"/>
              <w:rPr>
                <w:rFonts w:ascii="宋体" w:hAnsi="宋体" w:cs="宋体"/>
                <w:szCs w:val="21"/>
              </w:rPr>
            </w:pPr>
            <w:r>
              <w:rPr>
                <w:rFonts w:hint="eastAsia" w:ascii="宋体" w:hAnsi="宋体" w:cs="宋体"/>
                <w:szCs w:val="21"/>
              </w:rPr>
              <w:t>支持在防火墙上配置VPN安全策略对加密隧道内的流量进行清洗；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57" w:type="dxa"/>
            <w:noWrap/>
            <w:vAlign w:val="center"/>
          </w:tcPr>
          <w:p>
            <w:pPr>
              <w:spacing w:before="156"/>
              <w:rPr>
                <w:rFonts w:ascii="宋体" w:hAnsi="宋体" w:cs="宋体"/>
                <w:szCs w:val="21"/>
              </w:rPr>
            </w:pPr>
            <w:r>
              <w:rPr>
                <w:rFonts w:hint="eastAsia" w:ascii="宋体" w:hAnsi="宋体" w:cs="宋体"/>
                <w:szCs w:val="21"/>
              </w:rPr>
              <w:t>内容安全</w:t>
            </w:r>
          </w:p>
        </w:tc>
        <w:tc>
          <w:tcPr>
            <w:tcW w:w="7662" w:type="dxa"/>
            <w:noWrap/>
          </w:tcPr>
          <w:p>
            <w:pPr>
              <w:spacing w:before="156"/>
              <w:rPr>
                <w:rFonts w:ascii="宋体" w:hAnsi="宋体" w:cs="宋体"/>
                <w:szCs w:val="21"/>
              </w:rPr>
            </w:pPr>
            <w:r>
              <w:rPr>
                <w:rFonts w:hint="eastAsia" w:ascii="宋体" w:hAnsi="宋体" w:cs="宋体"/>
                <w:szCs w:val="21"/>
              </w:rPr>
              <w:t>内置病毒样本数量超过200万；</w:t>
            </w:r>
          </w:p>
          <w:p>
            <w:pPr>
              <w:spacing w:before="156"/>
              <w:rPr>
                <w:rFonts w:ascii="宋体" w:hAnsi="宋体" w:cs="宋体"/>
                <w:szCs w:val="21"/>
              </w:rPr>
            </w:pPr>
            <w:r>
              <w:rPr>
                <w:rFonts w:hint="eastAsia" w:ascii="宋体" w:hAnsi="宋体" w:cs="宋体"/>
                <w:szCs w:val="21"/>
              </w:rPr>
              <w:t>支持URL过滤和文件过滤功能，URL过滤支持GET，POST请求过滤和HTTPS网站过滤，文件过滤支持文件上传和下载过滤；</w:t>
            </w:r>
          </w:p>
          <w:p>
            <w:pPr>
              <w:spacing w:before="156"/>
              <w:rPr>
                <w:rFonts w:ascii="宋体" w:hAnsi="宋体" w:cs="宋体"/>
                <w:szCs w:val="21"/>
              </w:rPr>
            </w:pPr>
            <w:r>
              <w:rPr>
                <w:rFonts w:hint="eastAsia" w:ascii="宋体" w:hAnsi="宋体" w:cs="宋体"/>
                <w:szCs w:val="21"/>
              </w:rPr>
              <w:t xml:space="preserve">支持针对SMTP、POP3、IMAP邮件协议的内容检测，如邮件附件病毒检测、邮件内容恶意链接检测，邮件账号撞库攻击检测等，支持根据邮件附件类型进行文件过滤；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57" w:type="dxa"/>
            <w:noWrap/>
            <w:vAlign w:val="center"/>
          </w:tcPr>
          <w:p>
            <w:pPr>
              <w:spacing w:before="156"/>
              <w:rPr>
                <w:rFonts w:ascii="宋体" w:hAnsi="宋体" w:cs="宋体"/>
                <w:szCs w:val="21"/>
              </w:rPr>
            </w:pPr>
            <w:r>
              <w:rPr>
                <w:rFonts w:hint="eastAsia" w:ascii="宋体" w:hAnsi="宋体" w:cs="宋体"/>
                <w:szCs w:val="21"/>
              </w:rPr>
              <w:t>DoS/DDoS攻击防护</w:t>
            </w:r>
          </w:p>
        </w:tc>
        <w:tc>
          <w:tcPr>
            <w:tcW w:w="7662" w:type="dxa"/>
            <w:noWrap/>
          </w:tcPr>
          <w:p>
            <w:pPr>
              <w:spacing w:before="156"/>
              <w:rPr>
                <w:rFonts w:ascii="宋体" w:hAnsi="宋体" w:cs="宋体"/>
                <w:szCs w:val="21"/>
              </w:rPr>
            </w:pPr>
            <w:r>
              <w:rPr>
                <w:rFonts w:hint="eastAsia" w:ascii="宋体" w:hAnsi="宋体" w:cs="宋体"/>
                <w:szCs w:val="21"/>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p>
            <w:pPr>
              <w:spacing w:before="156"/>
              <w:rPr>
                <w:rFonts w:ascii="宋体" w:hAnsi="宋体" w:cs="宋体"/>
                <w:szCs w:val="21"/>
              </w:rPr>
            </w:pPr>
            <w:r>
              <w:rPr>
                <w:rFonts w:hint="eastAsia" w:ascii="宋体" w:hAnsi="宋体" w:cs="宋体"/>
                <w:szCs w:val="21"/>
              </w:rPr>
              <w:t>支持内网访问控制，配置内网区域只允许指定的IP地址或IP范围对外进行访问，防止内部伪造源IP对外DoS攻击的情况</w:t>
            </w:r>
          </w:p>
          <w:p>
            <w:pPr>
              <w:spacing w:before="156"/>
              <w:rPr>
                <w:rFonts w:ascii="宋体" w:hAnsi="宋体" w:cs="宋体"/>
                <w:szCs w:val="21"/>
              </w:rPr>
            </w:pPr>
            <w:r>
              <w:rPr>
                <w:rFonts w:hint="eastAsia" w:ascii="宋体" w:hAnsi="宋体" w:cs="宋体"/>
                <w:szCs w:val="21"/>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57" w:type="dxa"/>
            <w:noWrap/>
            <w:vAlign w:val="center"/>
          </w:tcPr>
          <w:p>
            <w:pPr>
              <w:spacing w:before="156"/>
              <w:rPr>
                <w:rFonts w:ascii="宋体" w:hAnsi="宋体" w:cs="宋体"/>
                <w:szCs w:val="21"/>
              </w:rPr>
            </w:pPr>
            <w:r>
              <w:rPr>
                <w:rFonts w:hint="eastAsia" w:ascii="宋体" w:hAnsi="宋体" w:cs="宋体"/>
                <w:szCs w:val="21"/>
              </w:rPr>
              <w:t>入侵防护功能</w:t>
            </w:r>
          </w:p>
        </w:tc>
        <w:tc>
          <w:tcPr>
            <w:tcW w:w="7662" w:type="dxa"/>
            <w:noWrap/>
          </w:tcPr>
          <w:p>
            <w:pPr>
              <w:spacing w:before="156"/>
              <w:rPr>
                <w:rFonts w:ascii="宋体" w:hAnsi="宋体" w:cs="宋体"/>
                <w:color w:val="000000"/>
                <w:szCs w:val="21"/>
              </w:rPr>
            </w:pPr>
            <w:r>
              <w:rPr>
                <w:rFonts w:hint="eastAsia" w:ascii="宋体" w:hAnsi="宋体" w:cs="宋体"/>
                <w:color w:val="000000"/>
                <w:szCs w:val="21"/>
              </w:rPr>
              <w:t xml:space="preserve">设备具备独立的入侵防护漏洞规则特征库，特征总数在7000条以上；具备防护常见网络协议（SSH、FTP、RDP、VNC、Netbios）和数据库（MySQL、Oracle、MSSQL）的弱密码扫描功能； </w:t>
            </w:r>
          </w:p>
          <w:p>
            <w:pPr>
              <w:spacing w:before="156"/>
              <w:rPr>
                <w:rFonts w:ascii="宋体" w:hAnsi="宋体" w:cs="宋体"/>
                <w:color w:val="000000"/>
                <w:szCs w:val="21"/>
                <w:lang w:val="en-GB"/>
              </w:rPr>
            </w:pPr>
            <w:r>
              <w:rPr>
                <w:rFonts w:hint="eastAsia" w:ascii="宋体" w:hAnsi="宋体" w:cs="宋体"/>
                <w:color w:val="000000"/>
                <w:szCs w:val="21"/>
              </w:rPr>
              <w:t>支持同防火墙访问控制规则进行联动，可以针对检测到的攻击源IP进行联动封锁，支持自定义封锁时间；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57" w:type="dxa"/>
            <w:noWrap/>
            <w:vAlign w:val="center"/>
          </w:tcPr>
          <w:p>
            <w:pPr>
              <w:spacing w:before="156"/>
              <w:rPr>
                <w:rFonts w:ascii="宋体" w:hAnsi="宋体" w:cs="宋体"/>
                <w:szCs w:val="21"/>
              </w:rPr>
            </w:pPr>
            <w:r>
              <w:rPr>
                <w:rFonts w:hint="eastAsia" w:ascii="宋体" w:hAnsi="宋体" w:cs="宋体"/>
                <w:szCs w:val="21"/>
              </w:rPr>
              <w:t>Web应用安全防护</w:t>
            </w:r>
          </w:p>
        </w:tc>
        <w:tc>
          <w:tcPr>
            <w:tcW w:w="7662" w:type="dxa"/>
            <w:noWrap/>
          </w:tcPr>
          <w:p>
            <w:pPr>
              <w:spacing w:before="156"/>
              <w:rPr>
                <w:rFonts w:ascii="宋体" w:hAnsi="宋体" w:cs="宋体"/>
                <w:color w:val="000000"/>
                <w:szCs w:val="21"/>
              </w:rPr>
            </w:pPr>
            <w:r>
              <w:rPr>
                <w:rFonts w:hint="eastAsia" w:ascii="宋体" w:hAnsi="宋体" w:cs="宋体"/>
                <w:color w:val="000000"/>
                <w:szCs w:val="21"/>
              </w:rPr>
              <w:t>支持OWASP十大Web安全威胁防护，支持SQL注入防护、XSS攻击防护、CSRF攻击防护、系统命令注入防护，文件包含攻击，目录遍历攻击，信息泄露，网站扫描，Webshell防护等，Web应用防护规则总数在3000条以上</w:t>
            </w:r>
          </w:p>
          <w:p>
            <w:pPr>
              <w:spacing w:before="156"/>
              <w:rPr>
                <w:rFonts w:ascii="宋体" w:hAnsi="宋体" w:cs="宋体"/>
                <w:color w:val="000000"/>
                <w:szCs w:val="21"/>
              </w:rPr>
            </w:pPr>
            <w:r>
              <w:rPr>
                <w:rFonts w:hint="eastAsia" w:ascii="宋体" w:hAnsi="宋体" w:cs="宋体"/>
                <w:color w:val="000000"/>
                <w:szCs w:val="21"/>
              </w:rPr>
              <w:t>支持HTTP 1.0/1.1，HTTPS协议的安全威胁检测；</w:t>
            </w:r>
          </w:p>
          <w:p>
            <w:pPr>
              <w:spacing w:before="156"/>
              <w:rPr>
                <w:rFonts w:ascii="宋体" w:hAnsi="宋体" w:cs="宋体"/>
                <w:color w:val="000000"/>
                <w:szCs w:val="21"/>
              </w:rPr>
            </w:pPr>
            <w:r>
              <w:rPr>
                <w:rFonts w:hint="eastAsia" w:ascii="宋体" w:hAnsi="宋体" w:cs="宋体"/>
                <w:color w:val="000000"/>
                <w:szCs w:val="21"/>
              </w:rPr>
              <w:t>支持服务器资产自动识别；</w:t>
            </w:r>
          </w:p>
          <w:p>
            <w:pPr>
              <w:spacing w:before="156"/>
              <w:rPr>
                <w:rFonts w:ascii="宋体" w:hAnsi="宋体" w:cs="宋体"/>
                <w:color w:val="000000"/>
                <w:szCs w:val="21"/>
              </w:rPr>
            </w:pPr>
            <w:r>
              <w:rPr>
                <w:rFonts w:hint="eastAsia" w:ascii="宋体" w:hAnsi="宋体" w:cs="宋体"/>
                <w:color w:val="000000"/>
                <w:szCs w:val="21"/>
              </w:rPr>
              <w:t>支持抵御SQL注入、XSS、系统命令等注入型攻击；</w:t>
            </w:r>
          </w:p>
          <w:p>
            <w:pPr>
              <w:spacing w:before="156"/>
              <w:rPr>
                <w:rFonts w:ascii="宋体" w:hAnsi="宋体" w:cs="宋体"/>
                <w:color w:val="000000"/>
                <w:szCs w:val="21"/>
              </w:rPr>
            </w:pPr>
            <w:r>
              <w:rPr>
                <w:rFonts w:hint="eastAsia" w:ascii="宋体" w:hAnsi="宋体" w:cs="宋体"/>
                <w:color w:val="000000"/>
                <w:szCs w:val="21"/>
              </w:rPr>
              <w:t>支持CC攻击、CSRF攻击、COOKIE攻击等攻击防护功能；</w:t>
            </w:r>
          </w:p>
          <w:p>
            <w:pPr>
              <w:spacing w:before="156"/>
              <w:rPr>
                <w:rFonts w:ascii="宋体" w:hAnsi="宋体" w:cs="宋体"/>
                <w:color w:val="000000"/>
                <w:szCs w:val="21"/>
              </w:rPr>
            </w:pPr>
            <w:r>
              <w:rPr>
                <w:rFonts w:hint="eastAsia" w:ascii="宋体" w:hAnsi="宋体" w:cs="宋体"/>
                <w:color w:val="000000"/>
                <w:szCs w:val="21"/>
              </w:rPr>
              <w:t xml:space="preserve">支持对网站的扫描防护和防止恶意爬虫攻击；支持其他类型的Web攻击，如文件包含，目录遍历，信息泄露攻击等； </w:t>
            </w:r>
          </w:p>
          <w:p>
            <w:pPr>
              <w:spacing w:before="156"/>
              <w:rPr>
                <w:rFonts w:ascii="宋体" w:hAnsi="宋体" w:cs="宋体"/>
                <w:color w:val="000000"/>
                <w:szCs w:val="21"/>
              </w:rPr>
            </w:pPr>
            <w:r>
              <w:rPr>
                <w:rFonts w:hint="eastAsia" w:ascii="宋体" w:hAnsi="宋体" w:cs="宋体"/>
                <w:color w:val="000000"/>
                <w:szCs w:val="21"/>
              </w:rPr>
              <w:t>支持针对网站的漏洞扫描进行防护，能够拦截漏洞扫描设备或软件对网站漏洞的扫描探测；</w:t>
            </w:r>
          </w:p>
          <w:p>
            <w:pPr>
              <w:spacing w:before="156"/>
              <w:rPr>
                <w:rFonts w:ascii="宋体" w:hAnsi="宋体" w:cs="宋体"/>
                <w:color w:val="000000"/>
                <w:szCs w:val="21"/>
              </w:rPr>
            </w:pPr>
            <w:r>
              <w:rPr>
                <w:rFonts w:hint="eastAsia" w:ascii="宋体" w:hAnsi="宋体" w:cs="宋体"/>
                <w:color w:val="000000"/>
                <w:szCs w:val="21"/>
              </w:rPr>
              <w:t>支持Windows和Linux系统下网页防篡改功能；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457" w:type="dxa"/>
            <w:noWrap/>
            <w:vAlign w:val="center"/>
          </w:tcPr>
          <w:p>
            <w:pPr>
              <w:spacing w:before="156"/>
              <w:rPr>
                <w:rFonts w:ascii="宋体" w:hAnsi="宋体" w:cs="宋体"/>
                <w:szCs w:val="21"/>
              </w:rPr>
            </w:pPr>
            <w:r>
              <w:rPr>
                <w:rFonts w:hint="eastAsia" w:ascii="宋体" w:hAnsi="宋体" w:cs="宋体"/>
                <w:szCs w:val="21"/>
              </w:rPr>
              <w:t>僵尸主机检测</w:t>
            </w:r>
          </w:p>
        </w:tc>
        <w:tc>
          <w:tcPr>
            <w:tcW w:w="7662" w:type="dxa"/>
            <w:noWrap/>
          </w:tcPr>
          <w:p>
            <w:pPr>
              <w:spacing w:before="156"/>
              <w:rPr>
                <w:rFonts w:ascii="宋体" w:hAnsi="宋体" w:cs="宋体"/>
                <w:szCs w:val="21"/>
              </w:rPr>
            </w:pPr>
            <w:r>
              <w:rPr>
                <w:rFonts w:hint="eastAsia" w:ascii="宋体" w:hAnsi="宋体" w:cs="宋体"/>
                <w:szCs w:val="21"/>
              </w:rPr>
              <w:t>设备具备独立的僵尸网络识别库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57" w:type="dxa"/>
            <w:noWrap/>
            <w:vAlign w:val="center"/>
          </w:tcPr>
          <w:p>
            <w:pPr>
              <w:spacing w:before="156"/>
              <w:rPr>
                <w:rFonts w:ascii="宋体" w:hAnsi="宋体" w:cs="宋体"/>
                <w:szCs w:val="21"/>
              </w:rPr>
            </w:pPr>
            <w:r>
              <w:rPr>
                <w:rFonts w:hint="eastAsia" w:ascii="宋体" w:hAnsi="宋体" w:cs="宋体"/>
                <w:szCs w:val="21"/>
              </w:rPr>
              <w:t>安全可视化</w:t>
            </w:r>
          </w:p>
        </w:tc>
        <w:tc>
          <w:tcPr>
            <w:tcW w:w="7662" w:type="dxa"/>
            <w:noWrap/>
          </w:tcPr>
          <w:p>
            <w:pPr>
              <w:spacing w:before="156"/>
              <w:rPr>
                <w:rFonts w:ascii="宋体" w:hAnsi="宋体" w:cs="宋体"/>
                <w:szCs w:val="21"/>
              </w:rPr>
            </w:pPr>
            <w:bookmarkStart w:id="29" w:name="_Hlk486513412"/>
            <w:r>
              <w:rPr>
                <w:rFonts w:hint="eastAsia" w:ascii="宋体" w:hAnsi="宋体" w:cs="宋体"/>
                <w:color w:val="000000"/>
                <w:szCs w:val="21"/>
              </w:rPr>
              <w:t xml:space="preserve">支持对经过设备的流量进行分析，支持生成和导出威胁报告，报告内容包含对整体发现的漏洞情况进行分析， </w:t>
            </w:r>
            <w:r>
              <w:rPr>
                <w:rFonts w:hint="eastAsia" w:ascii="宋体" w:hAnsi="宋体" w:cs="宋体"/>
                <w:color w:val="000000"/>
                <w:szCs w:val="21"/>
              </w:rPr>
              <w:cr/>
            </w:r>
            <w:bookmarkEnd w:id="29"/>
            <w:bookmarkStart w:id="30" w:name="_Hlk486513590"/>
            <w:r>
              <w:rPr>
                <w:rFonts w:hint="eastAsia" w:ascii="宋体" w:hAnsi="宋体" w:cs="宋体"/>
                <w:color w:val="000000"/>
                <w:szCs w:val="21"/>
              </w:rPr>
              <w:t xml:space="preserve"> 支持自动生成安全风险报表，</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57" w:type="dxa"/>
            <w:noWrap/>
            <w:vAlign w:val="center"/>
          </w:tcPr>
          <w:p>
            <w:pPr>
              <w:spacing w:before="156"/>
              <w:rPr>
                <w:rFonts w:ascii="宋体" w:hAnsi="宋体" w:cs="宋体"/>
                <w:szCs w:val="21"/>
              </w:rPr>
            </w:pPr>
            <w:r>
              <w:rPr>
                <w:rFonts w:hint="eastAsia" w:ascii="宋体" w:hAnsi="宋体" w:cs="宋体"/>
                <w:szCs w:val="21"/>
              </w:rPr>
              <w:t>安全集中管理</w:t>
            </w:r>
          </w:p>
        </w:tc>
        <w:tc>
          <w:tcPr>
            <w:tcW w:w="7662" w:type="dxa"/>
            <w:noWrap/>
          </w:tcPr>
          <w:p>
            <w:pPr>
              <w:spacing w:before="156"/>
              <w:rPr>
                <w:rFonts w:ascii="宋体" w:hAnsi="宋体" w:cs="宋体"/>
                <w:szCs w:val="21"/>
              </w:rPr>
            </w:pPr>
            <w:r>
              <w:rPr>
                <w:rFonts w:hint="eastAsia" w:ascii="宋体" w:hAnsi="宋体" w:cs="宋体"/>
                <w:szCs w:val="21"/>
              </w:rPr>
              <w:t>支持安全设备的集中管理，包括配置统一下发，规则库统一更新，安全日志，流量日志实时上报等功能；</w:t>
            </w:r>
          </w:p>
          <w:p>
            <w:pPr>
              <w:spacing w:before="156"/>
              <w:rPr>
                <w:rFonts w:ascii="宋体" w:hAnsi="宋体" w:cs="宋体"/>
                <w:szCs w:val="21"/>
              </w:rPr>
            </w:pPr>
            <w:r>
              <w:rPr>
                <w:rFonts w:hint="eastAsia" w:ascii="宋体" w:hAnsi="宋体" w:cs="宋体"/>
                <w:szCs w:val="21"/>
              </w:rPr>
              <w:t>安全监控平台可以查看到每台安全设备最近的有效安全事件及安全有效事件趋势图，支持根据每台安全设备的最近的安全趋势进行安全状况分级；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57" w:type="dxa"/>
            <w:noWrap/>
            <w:vAlign w:val="center"/>
          </w:tcPr>
          <w:p>
            <w:pPr>
              <w:spacing w:before="156"/>
              <w:rPr>
                <w:rFonts w:ascii="宋体" w:hAnsi="宋体" w:cs="宋体"/>
                <w:szCs w:val="21"/>
              </w:rPr>
            </w:pPr>
            <w:r>
              <w:rPr>
                <w:rFonts w:hint="eastAsia" w:ascii="宋体" w:hAnsi="宋体" w:cs="宋体"/>
                <w:szCs w:val="21"/>
              </w:rPr>
              <w:t>高可用性</w:t>
            </w:r>
          </w:p>
        </w:tc>
        <w:tc>
          <w:tcPr>
            <w:tcW w:w="7662" w:type="dxa"/>
            <w:noWrap/>
          </w:tcPr>
          <w:p>
            <w:pPr>
              <w:spacing w:before="156"/>
              <w:rPr>
                <w:rFonts w:ascii="宋体" w:hAnsi="宋体" w:cs="宋体"/>
                <w:szCs w:val="21"/>
              </w:rPr>
            </w:pPr>
            <w:r>
              <w:rPr>
                <w:rFonts w:hint="eastAsia" w:ascii="宋体" w:hAnsi="宋体" w:cs="宋体"/>
                <w:szCs w:val="21"/>
              </w:rPr>
              <w:t>双机支持A/S，A/A方式部署；</w:t>
            </w:r>
          </w:p>
          <w:p>
            <w:pPr>
              <w:spacing w:before="156"/>
              <w:rPr>
                <w:rFonts w:ascii="宋体" w:hAnsi="宋体" w:cs="宋体"/>
                <w:szCs w:val="21"/>
              </w:rPr>
            </w:pPr>
            <w:r>
              <w:rPr>
                <w:rFonts w:hint="eastAsia" w:ascii="宋体" w:hAnsi="宋体" w:cs="宋体"/>
                <w:szCs w:val="21"/>
              </w:rPr>
              <w:t>支持配置同步，会话同步和用户状态同步；</w:t>
            </w:r>
          </w:p>
          <w:p>
            <w:pPr>
              <w:spacing w:before="156"/>
              <w:rPr>
                <w:rFonts w:ascii="宋体" w:hAnsi="宋体" w:cs="宋体"/>
                <w:szCs w:val="21"/>
              </w:rPr>
            </w:pPr>
            <w:r>
              <w:rPr>
                <w:rFonts w:hint="eastAsia" w:ascii="宋体" w:hAnsi="宋体" w:cs="宋体"/>
                <w:szCs w:val="21"/>
              </w:rPr>
              <w:t>支持双机心跳线冗余；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57"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售后服务要求</w:t>
            </w:r>
          </w:p>
        </w:tc>
        <w:tc>
          <w:tcPr>
            <w:tcW w:w="7662" w:type="dxa"/>
            <w:tcBorders>
              <w:top w:val="single" w:color="auto" w:sz="4" w:space="0"/>
              <w:left w:val="single" w:color="auto" w:sz="4" w:space="0"/>
              <w:bottom w:val="single" w:color="auto" w:sz="4" w:space="0"/>
              <w:right w:val="single" w:color="auto" w:sz="4" w:space="0"/>
            </w:tcBorders>
            <w:noWrap/>
          </w:tcPr>
          <w:p>
            <w:pPr>
              <w:spacing w:before="156"/>
              <w:rPr>
                <w:rFonts w:ascii="宋体" w:hAnsi="宋体" w:cs="宋体"/>
                <w:szCs w:val="21"/>
              </w:rPr>
            </w:pPr>
            <w:r>
              <w:rPr>
                <w:rFonts w:hint="eastAsia" w:ascii="宋体" w:hAnsi="宋体" w:cs="宋体"/>
                <w:szCs w:val="21"/>
              </w:rPr>
              <w:t>必须在省内有厂家直属的服务办事机构，提供7*24小时快速上门服务和2小时内快速响应服务(官网上必须可查询到办事机构地址) 为保证售后服务质量，要求厂商售后服务体系通过ISO9001认证，</w:t>
            </w:r>
            <w:r>
              <w:rPr>
                <w:rFonts w:hint="eastAsia" w:ascii="宋体" w:hAnsi="宋体" w:cs="宋体"/>
                <w:b/>
                <w:szCs w:val="21"/>
              </w:rPr>
              <w:t>特征库和病毒病五年免费更新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457"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厂商资质</w:t>
            </w:r>
          </w:p>
        </w:tc>
        <w:tc>
          <w:tcPr>
            <w:tcW w:w="7662" w:type="dxa"/>
            <w:tcBorders>
              <w:top w:val="single" w:color="auto" w:sz="4" w:space="0"/>
              <w:left w:val="single" w:color="auto" w:sz="4" w:space="0"/>
              <w:bottom w:val="single" w:color="auto" w:sz="4" w:space="0"/>
              <w:right w:val="single" w:color="auto" w:sz="4" w:space="0"/>
            </w:tcBorders>
            <w:noWrap/>
          </w:tcPr>
          <w:p>
            <w:pPr>
              <w:spacing w:before="156"/>
              <w:rPr>
                <w:rFonts w:ascii="宋体" w:hAnsi="宋体" w:cs="宋体"/>
                <w:szCs w:val="21"/>
              </w:rPr>
            </w:pPr>
            <w:r>
              <w:rPr>
                <w:rFonts w:hint="eastAsia" w:ascii="宋体" w:hAnsi="宋体" w:cs="宋体"/>
                <w:szCs w:val="21"/>
              </w:rPr>
              <w:t>为保证软件开发质量，要求厂商具备CMMI L5认证证书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457"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产品资质</w:t>
            </w:r>
          </w:p>
        </w:tc>
        <w:tc>
          <w:tcPr>
            <w:tcW w:w="7662" w:type="dxa"/>
            <w:tcBorders>
              <w:top w:val="single" w:color="auto" w:sz="4" w:space="0"/>
              <w:left w:val="single" w:color="auto" w:sz="4" w:space="0"/>
              <w:bottom w:val="single" w:color="auto" w:sz="4" w:space="0"/>
              <w:right w:val="single" w:color="auto" w:sz="4" w:space="0"/>
            </w:tcBorders>
            <w:noWrap/>
          </w:tcPr>
          <w:p>
            <w:pPr>
              <w:spacing w:before="156"/>
              <w:rPr>
                <w:rFonts w:ascii="宋体" w:hAnsi="宋体" w:cs="宋体"/>
                <w:szCs w:val="21"/>
              </w:rPr>
            </w:pPr>
            <w:r>
              <w:rPr>
                <w:rFonts w:hint="eastAsia" w:ascii="宋体" w:hAnsi="宋体" w:cs="宋体"/>
                <w:szCs w:val="21"/>
              </w:rPr>
              <w:t>产品应具备计算机信息系统安全专用产品销售许可证；</w:t>
            </w:r>
          </w:p>
          <w:p>
            <w:pPr>
              <w:spacing w:before="156"/>
              <w:rPr>
                <w:rFonts w:ascii="宋体" w:hAnsi="宋体" w:cs="宋体"/>
                <w:szCs w:val="21"/>
              </w:rPr>
            </w:pPr>
            <w:r>
              <w:rPr>
                <w:rFonts w:hint="eastAsia" w:ascii="宋体" w:hAnsi="宋体" w:cs="宋体"/>
                <w:szCs w:val="21"/>
              </w:rPr>
              <w:t>信息技术产品安全测评证书（EAL3+）；</w:t>
            </w:r>
          </w:p>
        </w:tc>
      </w:tr>
    </w:tbl>
    <w:p>
      <w:pPr>
        <w:numPr>
          <w:ilvl w:val="1"/>
          <w:numId w:val="0"/>
        </w:numPr>
        <w:spacing w:line="360" w:lineRule="auto"/>
        <w:rPr>
          <w:rFonts w:ascii="宋体" w:hAnsi="宋体" w:cs="宋体"/>
          <w:szCs w:val="21"/>
        </w:rPr>
      </w:pPr>
    </w:p>
    <w:p>
      <w:pPr>
        <w:numPr>
          <w:ilvl w:val="1"/>
          <w:numId w:val="0"/>
        </w:numPr>
        <w:spacing w:line="360" w:lineRule="auto"/>
        <w:rPr>
          <w:rFonts w:ascii="宋体" w:hAnsi="宋体" w:cs="宋体"/>
          <w:b/>
          <w:szCs w:val="21"/>
        </w:rPr>
      </w:pPr>
      <w:r>
        <w:rPr>
          <w:rFonts w:hint="eastAsia" w:ascii="宋体" w:hAnsi="宋体" w:cs="宋体"/>
          <w:b/>
          <w:szCs w:val="21"/>
        </w:rPr>
        <w:t>18、网络运维平台</w:t>
      </w:r>
    </w:p>
    <w:p>
      <w:pPr>
        <w:spacing w:before="156"/>
        <w:ind w:firstLine="316" w:firstLineChars="150"/>
        <w:rPr>
          <w:rFonts w:ascii="宋体" w:hAnsi="宋体" w:cs="宋体"/>
          <w:b/>
          <w:szCs w:val="21"/>
        </w:rPr>
      </w:pPr>
      <w:r>
        <w:rPr>
          <w:rFonts w:hint="eastAsia" w:ascii="宋体" w:hAnsi="宋体" w:cs="宋体"/>
          <w:b/>
          <w:szCs w:val="21"/>
        </w:rPr>
        <w:t>为保证全区网络的长期稳定运行，本次项目拟建立全区的网络设备运维平台，相关要求和规范如下：</w:t>
      </w:r>
    </w:p>
    <w:tbl>
      <w:tblPr>
        <w:tblStyle w:val="59"/>
        <w:tblpPr w:leftFromText="180" w:rightFromText="180" w:vertAnchor="text" w:horzAnchor="page" w:tblpX="1757" w:tblpY="407"/>
        <w:tblOverlap w:val="never"/>
        <w:tblW w:w="91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7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638" w:type="dxa"/>
            <w:noWrap/>
            <w:vAlign w:val="center"/>
          </w:tcPr>
          <w:p>
            <w:pPr>
              <w:tabs>
                <w:tab w:val="left" w:pos="6195"/>
              </w:tabs>
              <w:spacing w:before="156"/>
              <w:jc w:val="center"/>
              <w:rPr>
                <w:rFonts w:ascii="宋体" w:hAnsi="宋体" w:cs="宋体"/>
                <w:szCs w:val="21"/>
              </w:rPr>
            </w:pPr>
            <w:r>
              <w:rPr>
                <w:rFonts w:hint="eastAsia" w:ascii="宋体" w:hAnsi="宋体" w:cs="宋体"/>
                <w:szCs w:val="21"/>
              </w:rPr>
              <w:t>功能及技术指标</w:t>
            </w:r>
          </w:p>
        </w:tc>
        <w:tc>
          <w:tcPr>
            <w:tcW w:w="7503" w:type="dxa"/>
            <w:noWrap/>
            <w:vAlign w:val="center"/>
          </w:tcPr>
          <w:p>
            <w:pPr>
              <w:tabs>
                <w:tab w:val="left" w:pos="6195"/>
              </w:tabs>
              <w:spacing w:before="156"/>
              <w:jc w:val="center"/>
              <w:rPr>
                <w:rFonts w:ascii="宋体" w:hAnsi="宋体" w:cs="宋体"/>
                <w:szCs w:val="21"/>
              </w:rPr>
            </w:pPr>
            <w:r>
              <w:rPr>
                <w:rFonts w:hint="eastAsia" w:ascii="宋体" w:hAnsi="宋体" w:cs="宋体"/>
                <w:szCs w:val="21"/>
              </w:rPr>
              <w:t>详细技术参数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szCs w:val="21"/>
              </w:rPr>
            </w:pPr>
            <w:r>
              <w:rPr>
                <w:rFonts w:hint="eastAsia" w:ascii="宋体" w:hAnsi="宋体" w:cs="宋体"/>
                <w:szCs w:val="21"/>
              </w:rPr>
              <w:t>部署方式</w:t>
            </w:r>
          </w:p>
        </w:tc>
        <w:tc>
          <w:tcPr>
            <w:tcW w:w="7503" w:type="dxa"/>
            <w:noWrap/>
            <w:vAlign w:val="center"/>
          </w:tcPr>
          <w:p>
            <w:pPr>
              <w:widowControl/>
              <w:spacing w:before="156"/>
              <w:jc w:val="left"/>
              <w:rPr>
                <w:rFonts w:ascii="宋体" w:hAnsi="宋体" w:cs="宋体"/>
                <w:szCs w:val="21"/>
              </w:rPr>
            </w:pPr>
            <w:r>
              <w:rPr>
                <w:rFonts w:hint="eastAsia" w:ascii="宋体" w:hAnsi="宋体" w:cs="宋体"/>
                <w:szCs w:val="21"/>
              </w:rPr>
              <w:t>可以支持Windows、Linux平台及MS SQL、Oracle数据库，支持B/S架构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trPr>
        <w:tc>
          <w:tcPr>
            <w:tcW w:w="1638" w:type="dxa"/>
            <w:vMerge w:val="continue"/>
            <w:noWrap/>
            <w:vAlign w:val="center"/>
          </w:tcPr>
          <w:p>
            <w:pPr>
              <w:spacing w:before="156" w:line="300" w:lineRule="exact"/>
              <w:jc w:val="left"/>
              <w:rPr>
                <w:rFonts w:ascii="宋体" w:hAnsi="宋体" w:cs="宋体"/>
                <w:szCs w:val="21"/>
              </w:rPr>
            </w:pPr>
          </w:p>
        </w:tc>
        <w:tc>
          <w:tcPr>
            <w:tcW w:w="7503" w:type="dxa"/>
            <w:noWrap/>
            <w:vAlign w:val="center"/>
          </w:tcPr>
          <w:p>
            <w:pPr>
              <w:spacing w:before="156"/>
              <w:jc w:val="left"/>
              <w:rPr>
                <w:rFonts w:ascii="宋体" w:hAnsi="宋体" w:cs="宋体"/>
                <w:szCs w:val="21"/>
              </w:rPr>
            </w:pPr>
            <w:r>
              <w:rPr>
                <w:rFonts w:hint="eastAsia" w:ascii="宋体" w:hAnsi="宋体" w:cs="宋体"/>
                <w:szCs w:val="21"/>
              </w:rPr>
              <w:t>可以支持多服务器分布式虚拟化部署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trPr>
        <w:tc>
          <w:tcPr>
            <w:tcW w:w="1638" w:type="dxa"/>
            <w:vMerge w:val="continue"/>
            <w:noWrap/>
            <w:vAlign w:val="center"/>
          </w:tcPr>
          <w:p>
            <w:pPr>
              <w:spacing w:before="156" w:line="300" w:lineRule="exact"/>
              <w:jc w:val="left"/>
              <w:rPr>
                <w:rFonts w:ascii="宋体" w:hAnsi="宋体" w:cs="宋体"/>
                <w:szCs w:val="21"/>
              </w:rPr>
            </w:pPr>
          </w:p>
        </w:tc>
        <w:tc>
          <w:tcPr>
            <w:tcW w:w="7503" w:type="dxa"/>
            <w:noWrap/>
            <w:vAlign w:val="center"/>
          </w:tcPr>
          <w:p>
            <w:pPr>
              <w:spacing w:before="156"/>
              <w:jc w:val="left"/>
              <w:rPr>
                <w:rFonts w:ascii="宋体" w:hAnsi="宋体" w:cs="宋体"/>
                <w:szCs w:val="21"/>
              </w:rPr>
            </w:pPr>
            <w:r>
              <w:rPr>
                <w:rFonts w:hint="eastAsia" w:ascii="宋体" w:hAnsi="宋体" w:cs="宋体"/>
                <w:szCs w:val="21"/>
              </w:rPr>
              <w:t>支持双机热备、冷备模式，实现高可用性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noWrap/>
            <w:vAlign w:val="center"/>
          </w:tcPr>
          <w:p>
            <w:pPr>
              <w:spacing w:before="156" w:line="300" w:lineRule="exact"/>
              <w:jc w:val="left"/>
              <w:rPr>
                <w:rFonts w:ascii="宋体" w:hAnsi="宋体" w:cs="宋体"/>
                <w:szCs w:val="21"/>
              </w:rPr>
            </w:pPr>
            <w:r>
              <w:rPr>
                <w:rFonts w:hint="eastAsia" w:ascii="宋体" w:hAnsi="宋体" w:cs="宋体"/>
                <w:szCs w:val="21"/>
              </w:rPr>
              <w:t>大屏定制</w:t>
            </w:r>
          </w:p>
        </w:tc>
        <w:tc>
          <w:tcPr>
            <w:tcW w:w="7503" w:type="dxa"/>
            <w:noWrap/>
            <w:vAlign w:val="center"/>
          </w:tcPr>
          <w:p>
            <w:pPr>
              <w:widowControl/>
              <w:spacing w:before="156"/>
              <w:jc w:val="left"/>
              <w:rPr>
                <w:rFonts w:ascii="宋体" w:hAnsi="宋体" w:cs="宋体"/>
                <w:szCs w:val="21"/>
              </w:rPr>
            </w:pPr>
            <w:r>
              <w:rPr>
                <w:rFonts w:hint="eastAsia" w:ascii="宋体" w:hAnsi="宋体" w:cs="宋体"/>
                <w:szCs w:val="21"/>
              </w:rPr>
              <w:t>提供拖拽方式布局和增加自定义大屏监控对象和内容，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szCs w:val="21"/>
              </w:rPr>
            </w:pPr>
            <w:r>
              <w:rPr>
                <w:rFonts w:hint="eastAsia" w:ascii="宋体" w:hAnsi="宋体" w:cs="宋体"/>
                <w:szCs w:val="21"/>
              </w:rPr>
              <w:t>IP地址管理</w:t>
            </w:r>
          </w:p>
        </w:tc>
        <w:tc>
          <w:tcPr>
            <w:tcW w:w="7503" w:type="dxa"/>
            <w:noWrap/>
            <w:vAlign w:val="center"/>
          </w:tcPr>
          <w:p>
            <w:pPr>
              <w:widowControl/>
              <w:spacing w:before="156"/>
              <w:jc w:val="left"/>
              <w:rPr>
                <w:rFonts w:ascii="宋体" w:hAnsi="宋体" w:cs="宋体"/>
                <w:szCs w:val="21"/>
              </w:rPr>
            </w:pPr>
            <w:r>
              <w:rPr>
                <w:rFonts w:hint="eastAsia" w:ascii="宋体" w:hAnsi="宋体" w:cs="宋体"/>
                <w:szCs w:val="21"/>
              </w:rPr>
              <w:t>提供IP地址统计、查找功能，IP地址分配完成后，管理员能够通过IP地址分配情况统计图表和各类查询条件，直观的了解和掌握整个网络的IP地址资源使用情况，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szCs w:val="21"/>
              </w:rPr>
            </w:pPr>
          </w:p>
        </w:tc>
        <w:tc>
          <w:tcPr>
            <w:tcW w:w="7503" w:type="dxa"/>
            <w:noWrap/>
            <w:vAlign w:val="center"/>
          </w:tcPr>
          <w:p>
            <w:pPr>
              <w:widowControl/>
              <w:spacing w:before="156"/>
              <w:jc w:val="left"/>
              <w:rPr>
                <w:rFonts w:ascii="宋体" w:hAnsi="宋体" w:cs="宋体"/>
                <w:szCs w:val="21"/>
              </w:rPr>
            </w:pPr>
            <w:r>
              <w:rPr>
                <w:rFonts w:hint="eastAsia" w:ascii="宋体" w:hAnsi="宋体" w:cs="宋体"/>
                <w:szCs w:val="21"/>
              </w:rPr>
              <w:t>对绑定的IP/MAC进行监控，如果该MAC地址对应的机器更换了IP地址，或者其它机器冒用了本IP地址，则系统会立即发送相关告警，通知管理员发生了IP使用违规现象，从而管理员能够及时采取措施应对。通过IP/MAC绑定，能有效的防治网络IP地址使用冲突或盗用的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szCs w:val="21"/>
              </w:rPr>
            </w:pPr>
            <w:r>
              <w:rPr>
                <w:rFonts w:hint="eastAsia" w:ascii="宋体" w:hAnsi="宋体" w:cs="宋体"/>
                <w:szCs w:val="21"/>
              </w:rPr>
              <w:t>配置及软件管理</w:t>
            </w:r>
          </w:p>
        </w:tc>
        <w:tc>
          <w:tcPr>
            <w:tcW w:w="7503" w:type="dxa"/>
            <w:noWrap/>
            <w:vAlign w:val="center"/>
          </w:tcPr>
          <w:p>
            <w:pPr>
              <w:widowControl/>
              <w:spacing w:before="156"/>
              <w:jc w:val="left"/>
              <w:rPr>
                <w:rFonts w:ascii="宋体" w:hAnsi="宋体" w:cs="宋体"/>
                <w:szCs w:val="21"/>
              </w:rPr>
            </w:pPr>
            <w:r>
              <w:rPr>
                <w:rFonts w:hint="eastAsia" w:ascii="宋体" w:hAnsi="宋体" w:cs="宋体"/>
                <w:color w:val="000000"/>
                <w:szCs w:val="21"/>
              </w:rPr>
              <w:t>支持向导方式或者任务方式（周期性任务、一次性任务或立即任务）批量的备份、恢复完整的配置文件，也可以批量的下发配置片断，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szCs w:val="21"/>
              </w:rPr>
            </w:pPr>
          </w:p>
        </w:tc>
        <w:tc>
          <w:tcPr>
            <w:tcW w:w="7503" w:type="dxa"/>
            <w:noWrap/>
            <w:vAlign w:val="center"/>
          </w:tcPr>
          <w:p>
            <w:pPr>
              <w:widowControl/>
              <w:spacing w:before="156"/>
              <w:jc w:val="left"/>
              <w:rPr>
                <w:rFonts w:ascii="宋体" w:hAnsi="宋体" w:cs="宋体"/>
                <w:szCs w:val="21"/>
              </w:rPr>
            </w:pPr>
            <w:r>
              <w:rPr>
                <w:rFonts w:hint="eastAsia" w:ascii="宋体" w:hAnsi="宋体" w:cs="宋体"/>
                <w:color w:val="000000"/>
                <w:szCs w:val="21"/>
              </w:rPr>
              <w:t>支持H3C/HUAWEI/RUIJIE/3COM/CISCO/HP设备的批量配置和软件管理，包括的软件版本和软件库中最新可用的软件，更新设备的软件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提供设备运行配置和启动配置的基线化版本管理，将每个设备相关的配置文件划分为三种版本：基线、普通、草稿。便于管理员识别、管理。通过备份、恢复手段，以及备份历史、升级历史管理，使配置文件管理和软件升级管理具有了可回溯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color w:val="000000"/>
                <w:szCs w:val="21"/>
              </w:rPr>
            </w:pPr>
            <w:r>
              <w:rPr>
                <w:rFonts w:hint="eastAsia" w:ascii="宋体" w:hAnsi="宋体" w:cs="宋体"/>
                <w:color w:val="000000"/>
                <w:szCs w:val="21"/>
              </w:rPr>
              <w:t>支持有线无线一体化管理</w:t>
            </w: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可统一管理AC、Fat/Fit AP、无线终端、交换机、路由器等设备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支持在拓扑上支持展示设备告警、状态，可以十分逼真的展示全网的网络结构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支持在一张拓扑上统一展示AC、AP、PoE交换机、移动终端等设备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color w:val="000000"/>
                <w:szCs w:val="21"/>
              </w:rPr>
            </w:pPr>
            <w:r>
              <w:rPr>
                <w:rFonts w:hint="eastAsia" w:ascii="宋体" w:hAnsi="宋体" w:cs="宋体"/>
                <w:color w:val="000000"/>
                <w:szCs w:val="21"/>
              </w:rPr>
              <w:t>无线管理</w:t>
            </w: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支持对无线设备的深度监控，包括对AC、AP、Radio（射频卡）、在线用户、AP带宽、位置终端数量、WLAN等的监控，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能获取AC设备的连接AP数、在线AP数、在线用户数等指标和详细信息，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能获取FitAP所属AC管理、Vlan ID、移动用户数、接入端口的状态、AP名称、接入的POE设备、接入端口、AP 的上行流量、下行流量、在线用户数、内存利用率退服率管理等指标和详细信息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针对在线用户，支持IP地址、Mac地址、SSID、信号强度、客户端类型、客户端操作系统、信道、所在AP等的管理。Radio（射频卡）监控：如可用性、Radio名称、MAC地址、在线用户数、所在AP、信道、功率等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支持AP退服明细管理，包括AP退服时间、恢复时间及退服时长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color w:val="000000"/>
                <w:szCs w:val="21"/>
              </w:rPr>
            </w:pPr>
            <w:r>
              <w:rPr>
                <w:rFonts w:hint="eastAsia" w:ascii="宋体" w:hAnsi="宋体" w:cs="宋体"/>
                <w:color w:val="000000"/>
                <w:szCs w:val="21"/>
              </w:rPr>
              <w:t>无线增值业务</w:t>
            </w: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支持AP接入端口管理，支持PoE功能的设备，可以通过禁止、使能PoE供电功能使AP重启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建立网络评估任务对无线网络运行状况进行评估，了解WLAN网络运行状况；生成基于拓扑，AP，终端三个维度的网络优化报告，发现薄弱区域，确认需要补点的位置，通过专业报表给未来网络优化提供建议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支持Cisco/Aruba设备管理，包括AC、Fit AP、移动终端等的管理、信息展示和基础的WLAN配置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按指定时间控制无线射频的开闭，节约能源，降低辐射。可以按指定时间控制AP、SSID、Radio的开闭，从而达到控制无线用户上网时间效果，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noWrap/>
            <w:vAlign w:val="center"/>
          </w:tcPr>
          <w:p>
            <w:pPr>
              <w:spacing w:before="156" w:line="300" w:lineRule="exact"/>
              <w:jc w:val="left"/>
              <w:rPr>
                <w:rFonts w:ascii="宋体" w:hAnsi="宋体" w:cs="宋体"/>
                <w:b/>
                <w:color w:val="000000"/>
                <w:szCs w:val="21"/>
              </w:rPr>
            </w:pPr>
            <w:r>
              <w:rPr>
                <w:rFonts w:hint="eastAsia" w:ascii="宋体" w:hAnsi="宋体" w:cs="宋体"/>
                <w:color w:val="000000"/>
                <w:szCs w:val="21"/>
              </w:rPr>
              <w:t>无线位置视图拓扑</w:t>
            </w:r>
          </w:p>
        </w:tc>
        <w:tc>
          <w:tcPr>
            <w:tcW w:w="7503" w:type="dxa"/>
            <w:noWrap/>
            <w:vAlign w:val="center"/>
          </w:tcPr>
          <w:p>
            <w:pPr>
              <w:widowControl/>
              <w:spacing w:before="156"/>
              <w:jc w:val="left"/>
              <w:rPr>
                <w:rFonts w:ascii="宋体" w:hAnsi="宋体" w:cs="宋体"/>
                <w:b/>
                <w:color w:val="000000"/>
                <w:szCs w:val="21"/>
              </w:rPr>
            </w:pPr>
            <w:r>
              <w:rPr>
                <w:rFonts w:hint="eastAsia" w:ascii="宋体" w:hAnsi="宋体" w:cs="宋体"/>
                <w:color w:val="000000"/>
                <w:szCs w:val="21"/>
              </w:rPr>
              <w:t>按照设备所在区域，能够在位置视图中查看AP设备的物理位置，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noWrap/>
            <w:vAlign w:val="center"/>
          </w:tcPr>
          <w:p>
            <w:pPr>
              <w:spacing w:before="156" w:line="300" w:lineRule="exact"/>
              <w:jc w:val="left"/>
              <w:rPr>
                <w:rFonts w:ascii="宋体" w:hAnsi="宋体" w:cs="宋体"/>
                <w:b/>
                <w:color w:val="000000"/>
                <w:szCs w:val="21"/>
              </w:rPr>
            </w:pPr>
            <w:r>
              <w:rPr>
                <w:rFonts w:hint="eastAsia" w:ascii="宋体" w:hAnsi="宋体" w:cs="宋体"/>
                <w:color w:val="000000"/>
                <w:szCs w:val="21"/>
              </w:rPr>
              <w:t>无线网络安全检测</w:t>
            </w:r>
          </w:p>
        </w:tc>
        <w:tc>
          <w:tcPr>
            <w:tcW w:w="7503" w:type="dxa"/>
            <w:noWrap/>
            <w:vAlign w:val="center"/>
          </w:tcPr>
          <w:p>
            <w:pPr>
              <w:widowControl/>
              <w:spacing w:before="156"/>
              <w:jc w:val="left"/>
              <w:rPr>
                <w:rFonts w:ascii="宋体" w:hAnsi="宋体" w:cs="宋体"/>
                <w:b/>
                <w:color w:val="000000"/>
                <w:szCs w:val="21"/>
              </w:rPr>
            </w:pPr>
            <w:r>
              <w:rPr>
                <w:rFonts w:hint="eastAsia" w:ascii="宋体" w:hAnsi="宋体" w:cs="宋体"/>
                <w:color w:val="000000"/>
                <w:szCs w:val="21"/>
              </w:rPr>
              <w:t>支持检测Ad hoc网络、AP MAC地址仿冒、无线客户端MAC地址仿冒、非法信道等威胁，并与消除措施相关联，根据安全事件的严重程度，人工或自动采取反制、忽略、禁用、信任等消除措施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b/>
                <w:color w:val="000000"/>
                <w:szCs w:val="21"/>
              </w:rPr>
            </w:pPr>
            <w:r>
              <w:rPr>
                <w:rFonts w:hint="eastAsia" w:ascii="宋体" w:hAnsi="宋体" w:cs="宋体"/>
                <w:color w:val="000000"/>
                <w:szCs w:val="21"/>
              </w:rPr>
              <w:t>报表机制</w:t>
            </w:r>
          </w:p>
        </w:tc>
        <w:tc>
          <w:tcPr>
            <w:tcW w:w="7503" w:type="dxa"/>
            <w:noWrap/>
            <w:vAlign w:val="center"/>
          </w:tcPr>
          <w:p>
            <w:pPr>
              <w:widowControl/>
              <w:spacing w:before="156"/>
              <w:jc w:val="left"/>
              <w:rPr>
                <w:rFonts w:ascii="宋体" w:hAnsi="宋体" w:cs="宋体"/>
                <w:b/>
                <w:color w:val="000000"/>
                <w:szCs w:val="21"/>
              </w:rPr>
            </w:pPr>
            <w:r>
              <w:rPr>
                <w:rFonts w:hint="eastAsia" w:ascii="宋体" w:hAnsi="宋体" w:cs="宋体"/>
                <w:color w:val="000000"/>
                <w:szCs w:val="21"/>
              </w:rPr>
              <w:t>支持基于任务的性能监控，可定制监控任务，长期监控网络性能，可以形成日报、周报、月报等报表。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支持将自身的组织名称和Logo融入到发布的报表中，定时生成后Email到指定邮箱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restart"/>
            <w:noWrap/>
            <w:vAlign w:val="center"/>
          </w:tcPr>
          <w:p>
            <w:pPr>
              <w:spacing w:before="156" w:line="300" w:lineRule="exact"/>
              <w:jc w:val="left"/>
              <w:rPr>
                <w:rFonts w:ascii="宋体" w:hAnsi="宋体" w:cs="宋体"/>
                <w:color w:val="000000"/>
                <w:szCs w:val="21"/>
              </w:rPr>
            </w:pPr>
            <w:r>
              <w:rPr>
                <w:rFonts w:hint="eastAsia" w:ascii="宋体" w:hAnsi="宋体" w:cs="宋体"/>
                <w:color w:val="000000"/>
                <w:szCs w:val="21"/>
              </w:rPr>
              <w:t>资质要求</w:t>
            </w: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提供中华人民共和国国家版权局颁发的计算机软件著作权登记证书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vMerge w:val="continue"/>
            <w:noWrap/>
            <w:vAlign w:val="center"/>
          </w:tcPr>
          <w:p>
            <w:pPr>
              <w:spacing w:before="156" w:line="300" w:lineRule="exact"/>
              <w:jc w:val="left"/>
              <w:rPr>
                <w:rFonts w:ascii="宋体" w:hAnsi="宋体" w:cs="宋体"/>
                <w:color w:val="000000"/>
                <w:szCs w:val="21"/>
              </w:rPr>
            </w:pPr>
          </w:p>
        </w:tc>
        <w:tc>
          <w:tcPr>
            <w:tcW w:w="7503" w:type="dxa"/>
            <w:noWrap/>
            <w:vAlign w:val="center"/>
          </w:tcPr>
          <w:p>
            <w:pPr>
              <w:widowControl/>
              <w:spacing w:before="156"/>
              <w:jc w:val="left"/>
              <w:rPr>
                <w:rFonts w:ascii="宋体" w:hAnsi="宋体" w:cs="宋体"/>
                <w:color w:val="000000"/>
                <w:szCs w:val="21"/>
              </w:rPr>
            </w:pPr>
            <w:r>
              <w:rPr>
                <w:rFonts w:hint="eastAsia" w:ascii="宋体" w:hAnsi="宋体" w:cs="宋体"/>
                <w:color w:val="000000"/>
                <w:szCs w:val="21"/>
              </w:rPr>
              <w:t>投标产品遵循最高级别研发流程，满足CMMI 5级认证，提供证书证明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1638" w:type="dxa"/>
            <w:noWrap/>
            <w:vAlign w:val="center"/>
          </w:tcPr>
          <w:p>
            <w:pPr>
              <w:widowControl/>
              <w:spacing w:before="156"/>
              <w:rPr>
                <w:rFonts w:ascii="宋体" w:hAnsi="宋体" w:cs="宋体"/>
                <w:szCs w:val="21"/>
              </w:rPr>
            </w:pPr>
            <w:r>
              <w:rPr>
                <w:rFonts w:hint="eastAsia" w:ascii="宋体" w:hAnsi="宋体" w:cs="宋体"/>
                <w:color w:val="000000"/>
                <w:szCs w:val="21"/>
              </w:rPr>
              <w:t>▲</w:t>
            </w:r>
            <w:r>
              <w:rPr>
                <w:rFonts w:hint="eastAsia" w:ascii="宋体" w:hAnsi="宋体" w:cs="宋体"/>
                <w:szCs w:val="21"/>
              </w:rPr>
              <w:t>配置要求</w:t>
            </w:r>
          </w:p>
        </w:tc>
        <w:tc>
          <w:tcPr>
            <w:tcW w:w="7503" w:type="dxa"/>
            <w:noWrap/>
          </w:tcPr>
          <w:p>
            <w:pPr>
              <w:autoSpaceDE w:val="0"/>
              <w:autoSpaceDN w:val="0"/>
              <w:spacing w:before="156"/>
              <w:jc w:val="left"/>
              <w:rPr>
                <w:rFonts w:ascii="宋体" w:hAnsi="宋体" w:cs="宋体"/>
                <w:szCs w:val="21"/>
              </w:rPr>
            </w:pPr>
            <w:r>
              <w:rPr>
                <w:rFonts w:hint="eastAsia" w:ascii="宋体" w:hAnsi="宋体" w:cs="宋体"/>
                <w:szCs w:val="21"/>
              </w:rPr>
              <w:t>本次要求配置无线AP管理授权≥3000，有线网管运维授权≥700</w:t>
            </w:r>
          </w:p>
        </w:tc>
      </w:tr>
    </w:tbl>
    <w:tbl>
      <w:tblPr>
        <w:tblStyle w:val="59"/>
        <w:tblW w:w="9157"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665" w:type="dxa"/>
            <w:tcBorders>
              <w:top w:val="single" w:color="auto" w:sz="4" w:space="0"/>
              <w:left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其他</w:t>
            </w:r>
          </w:p>
        </w:tc>
        <w:tc>
          <w:tcPr>
            <w:tcW w:w="7492" w:type="dxa"/>
            <w:tcBorders>
              <w:top w:val="single" w:color="auto" w:sz="4" w:space="0"/>
              <w:left w:val="single" w:color="auto" w:sz="4" w:space="0"/>
              <w:bottom w:val="single" w:color="auto" w:sz="4" w:space="0"/>
              <w:right w:val="single" w:color="auto"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投标时提供所投设备工信部入网许可证复印件提供原厂3*7*24现场保修服务</w:t>
            </w:r>
          </w:p>
        </w:tc>
      </w:tr>
    </w:tbl>
    <w:p>
      <w:pPr>
        <w:spacing w:before="156"/>
        <w:rPr>
          <w:rFonts w:ascii="宋体" w:hAnsi="宋体" w:cs="宋体"/>
          <w:b/>
          <w:szCs w:val="21"/>
        </w:rPr>
      </w:pPr>
    </w:p>
    <w:p>
      <w:pPr>
        <w:spacing w:before="156"/>
        <w:rPr>
          <w:rFonts w:ascii="宋体" w:hAnsi="宋体" w:cs="宋体"/>
          <w:b/>
          <w:szCs w:val="21"/>
        </w:rPr>
      </w:pPr>
      <w:r>
        <w:rPr>
          <w:rFonts w:hint="eastAsia" w:ascii="宋体" w:hAnsi="宋体" w:cs="宋体"/>
          <w:b/>
          <w:szCs w:val="21"/>
        </w:rPr>
        <w:t>19、无线控制器</w:t>
      </w:r>
    </w:p>
    <w:tbl>
      <w:tblPr>
        <w:tblStyle w:val="59"/>
        <w:tblpPr w:leftFromText="180" w:rightFromText="180" w:vertAnchor="text" w:horzAnchor="page" w:tblpX="1788" w:tblpY="510"/>
        <w:tblOverlap w:val="never"/>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820" w:type="dxa"/>
            <w:shd w:val="clear" w:color="auto" w:fill="FFFFFF"/>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指标项</w:t>
            </w:r>
          </w:p>
        </w:tc>
        <w:tc>
          <w:tcPr>
            <w:tcW w:w="7254" w:type="dxa"/>
            <w:shd w:val="clear" w:color="auto" w:fill="FFFFFF"/>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82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产品形态</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为保证设备可靠性，要求为独立设备，具有独立的硬件加解密以及无线处理芯片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20" w:type="dxa"/>
            <w:vMerge w:val="continue"/>
            <w:noWrap/>
            <w:vAlign w:val="center"/>
          </w:tcPr>
          <w:p>
            <w:pPr>
              <w:pStyle w:val="291"/>
              <w:spacing w:before="156" w:line="360" w:lineRule="auto"/>
              <w:ind w:firstLine="0" w:firstLineChars="0"/>
              <w:rPr>
                <w:rFonts w:ascii="宋体" w:hAnsi="宋体" w:cs="宋体"/>
                <w:szCs w:val="21"/>
              </w:rPr>
            </w:pP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为节省机房空间，整机要求高度≤2U，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电源</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可插拔电源，1+1冗余备份，支持交流或直流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转发性能</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不低于40Gbps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▲可管理的AP数</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控制器最大管理（非面板）AP数≥3000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集群管理</w:t>
            </w:r>
          </w:p>
        </w:tc>
        <w:tc>
          <w:tcPr>
            <w:tcW w:w="7254" w:type="dxa"/>
            <w:noWrap/>
            <w:vAlign w:val="center"/>
          </w:tcPr>
          <w:p>
            <w:pPr>
              <w:pStyle w:val="291"/>
              <w:spacing w:before="156" w:line="360"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vMerge w:val="continue"/>
            <w:noWrap/>
            <w:vAlign w:val="center"/>
          </w:tcPr>
          <w:p>
            <w:pPr>
              <w:pStyle w:val="291"/>
              <w:spacing w:before="156" w:line="360" w:lineRule="auto"/>
              <w:ind w:firstLine="0" w:firstLineChars="0"/>
              <w:rPr>
                <w:rFonts w:ascii="宋体" w:hAnsi="宋体" w:cs="宋体"/>
                <w:szCs w:val="21"/>
              </w:rPr>
            </w:pP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集群AC的管理AP数和用户数量是多台物理AC能力的叠加，保证无线网络具有无缝扩容能力，不受单台设备容量限制，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定位技术</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无线控制器支持精准定位功能，要求定位精度在2米，支持跨信道部署，无需人工采样，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带宽控制</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能针对单一用户及用户群组进行上、下行带宽独立限制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vMerge w:val="restart"/>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无线安全</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能够检测无线入侵，且可对入侵做出反制保护，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vMerge w:val="continue"/>
            <w:noWrap/>
            <w:vAlign w:val="center"/>
          </w:tcPr>
          <w:p>
            <w:pPr>
              <w:pStyle w:val="291"/>
              <w:spacing w:before="156" w:line="360" w:lineRule="auto"/>
              <w:ind w:firstLine="0" w:firstLineChars="0"/>
              <w:rPr>
                <w:rFonts w:ascii="宋体" w:hAnsi="宋体" w:cs="宋体"/>
                <w:szCs w:val="21"/>
              </w:rPr>
            </w:pP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能够基于SSID发现和抑制非法AP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基础功能</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 xml:space="preserve">支持设备内置BYOD功能，本地能够对不同终端类型预设不同授权，可根据终端类型下发不同授权信息，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智慧漫游</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支持802.11k和802.11v协议的智慧漫游技术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转发模式</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支持不同SSID采用不同转发模式(集中转发与本地转发)，灵活组网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tcBorders>
              <w:bottom w:val="single" w:color="000000"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加密</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支持AC/AP间隧道加密，用户接入支持WAPI模式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0" w:type="dxa"/>
            <w:tcBorders>
              <w:top w:val="single" w:color="000000" w:sz="4" w:space="0"/>
              <w:left w:val="single" w:color="000000" w:sz="4" w:space="0"/>
              <w:bottom w:val="single" w:color="000000" w:sz="4" w:space="0"/>
              <w:right w:val="single" w:color="000000"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资质认证</w:t>
            </w:r>
          </w:p>
        </w:tc>
        <w:tc>
          <w:tcPr>
            <w:tcW w:w="7254" w:type="dxa"/>
            <w:tcBorders>
              <w:left w:val="single" w:color="000000"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提供WAPI产业联盟成员证书复印件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820" w:type="dxa"/>
            <w:tcBorders>
              <w:top w:val="single" w:color="000000" w:sz="4" w:space="0"/>
            </w:tcBorders>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▲配置要求</w:t>
            </w:r>
          </w:p>
        </w:tc>
        <w:tc>
          <w:tcPr>
            <w:tcW w:w="7254" w:type="dxa"/>
            <w:noWrap/>
            <w:vAlign w:val="center"/>
          </w:tcPr>
          <w:p>
            <w:pPr>
              <w:pStyle w:val="291"/>
              <w:spacing w:before="156" w:line="360" w:lineRule="auto"/>
              <w:ind w:firstLine="0" w:firstLineChars="0"/>
              <w:rPr>
                <w:rFonts w:ascii="宋体" w:hAnsi="宋体" w:cs="宋体"/>
                <w:szCs w:val="21"/>
              </w:rPr>
            </w:pPr>
            <w:r>
              <w:rPr>
                <w:rFonts w:hint="eastAsia" w:ascii="宋体" w:hAnsi="宋体" w:cs="宋体"/>
                <w:szCs w:val="21"/>
              </w:rPr>
              <w:t>本次要求单台配置交流电源≥2块，万兆光口≥4,千兆电口≥8，千兆光口≥8，配置≥2340个无线AP授权，满足本项目的所有无线AP注册上线</w:t>
            </w:r>
          </w:p>
        </w:tc>
      </w:tr>
    </w:tbl>
    <w:p>
      <w:pPr>
        <w:numPr>
          <w:ilvl w:val="1"/>
          <w:numId w:val="0"/>
        </w:numPr>
        <w:spacing w:line="360" w:lineRule="auto"/>
        <w:rPr>
          <w:rFonts w:ascii="宋体" w:hAnsi="宋体" w:cs="宋体"/>
          <w:szCs w:val="21"/>
        </w:rPr>
      </w:pPr>
    </w:p>
    <w:p>
      <w:pPr>
        <w:numPr>
          <w:ilvl w:val="1"/>
          <w:numId w:val="0"/>
        </w:numPr>
        <w:spacing w:line="360" w:lineRule="auto"/>
        <w:rPr>
          <w:rFonts w:ascii="宋体" w:hAnsi="宋体" w:cs="宋体"/>
          <w:b/>
          <w:szCs w:val="21"/>
        </w:rPr>
      </w:pPr>
      <w:r>
        <w:rPr>
          <w:rFonts w:hint="eastAsia" w:ascii="宋体" w:hAnsi="宋体" w:cs="宋体"/>
          <w:b/>
          <w:szCs w:val="21"/>
        </w:rPr>
        <w:t>20、访客系统</w:t>
      </w:r>
    </w:p>
    <w:p>
      <w:pPr>
        <w:spacing w:before="156" w:line="300" w:lineRule="auto"/>
        <w:ind w:firstLine="420" w:firstLineChars="200"/>
        <w:rPr>
          <w:rFonts w:ascii="宋体" w:hAnsi="宋体" w:cs="宋体"/>
          <w:szCs w:val="21"/>
        </w:rPr>
      </w:pPr>
      <w:r>
        <w:rPr>
          <w:rFonts w:hint="eastAsia" w:ascii="宋体" w:hAnsi="宋体" w:cs="宋体"/>
          <w:szCs w:val="21"/>
        </w:rPr>
        <w:t>访客一体机是集证件扫描、身份证识别(OCR)、数码摄像、射频识别(RFID)与高速热敏打印等技术为一体的多功能进出登记管理系统，能详实、快速的记录来访人员的证件信息、图像信息，并对来访信息提供便捷的多方式查询。读卡符合公安部GA450、1GA450标准　符合非接触IC卡ISO14443标准　具有一代证扫描、二代证机读功能，可储存身份证视读信息。错误信息自动提示，并识别转换成文本文件。摄像对比功能：1200帧/秒高清800万像素的摄像头，摄像后对有效证件进行对比，以断真伪。</w:t>
      </w:r>
    </w:p>
    <w:p>
      <w:pPr>
        <w:spacing w:before="156" w:line="300" w:lineRule="auto"/>
        <w:ind w:firstLine="371" w:firstLineChars="177"/>
        <w:rPr>
          <w:rFonts w:ascii="宋体" w:hAnsi="宋体" w:cs="宋体"/>
          <w:szCs w:val="21"/>
        </w:rPr>
      </w:pPr>
      <w:r>
        <w:rPr>
          <w:rFonts w:hint="eastAsia" w:ascii="宋体" w:hAnsi="宋体" w:cs="宋体"/>
          <w:szCs w:val="21"/>
        </w:rPr>
        <w:t>访客管理软件能够按访客显示已来访的访客资料，包括访客登记时抓拍到的访客照片，能够编辑所有访客资料，删除历史访客资料，</w:t>
      </w:r>
      <w:r>
        <w:rPr>
          <w:rFonts w:hint="eastAsia" w:ascii="宋体" w:hAnsi="宋体" w:cs="宋体"/>
          <w:b/>
          <w:szCs w:val="21"/>
        </w:rPr>
        <w:t>符合接入省级公安机关情报平台技术要求</w:t>
      </w:r>
      <w:r>
        <w:rPr>
          <w:rFonts w:hint="eastAsia" w:ascii="宋体" w:hAnsi="宋体" w:cs="宋体"/>
          <w:szCs w:val="21"/>
        </w:rPr>
        <w:t>，相关建设要求如下：</w:t>
      </w:r>
    </w:p>
    <w:tbl>
      <w:tblPr>
        <w:tblStyle w:val="59"/>
        <w:tblW w:w="727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模块</w:t>
            </w:r>
          </w:p>
        </w:tc>
        <w:tc>
          <w:tcPr>
            <w:tcW w:w="4404" w:type="dxa"/>
            <w:noWrap/>
            <w:vAlign w:val="center"/>
          </w:tcPr>
          <w:p>
            <w:pPr>
              <w:widowControl/>
              <w:spacing w:before="156" w:line="300" w:lineRule="auto"/>
              <w:jc w:val="center"/>
              <w:rPr>
                <w:rFonts w:ascii="宋体" w:hAnsi="宋体" w:cs="宋体"/>
                <w:b/>
                <w:bCs/>
                <w:kern w:val="0"/>
                <w:szCs w:val="21"/>
              </w:rPr>
            </w:pPr>
            <w:r>
              <w:rPr>
                <w:rFonts w:hint="eastAsia" w:ascii="宋体" w:hAnsi="宋体" w:cs="宋体"/>
                <w:b/>
                <w:bCs/>
                <w:kern w:val="0"/>
                <w:szCs w:val="21"/>
              </w:rPr>
              <w:t>详细参数描述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vMerge w:val="restart"/>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主控模块</w:t>
            </w:r>
          </w:p>
        </w:tc>
        <w:tc>
          <w:tcPr>
            <w:tcW w:w="4404" w:type="dxa"/>
            <w:noWrap/>
            <w:vAlign w:val="center"/>
          </w:tcPr>
          <w:p>
            <w:pPr>
              <w:widowControl/>
              <w:spacing w:before="156" w:line="300" w:lineRule="auto"/>
              <w:jc w:val="center"/>
              <w:rPr>
                <w:rFonts w:ascii="宋体" w:hAnsi="宋体" w:cs="宋体"/>
                <w:color w:val="000000"/>
                <w:kern w:val="0"/>
                <w:szCs w:val="21"/>
              </w:rPr>
            </w:pPr>
            <w:r>
              <w:rPr>
                <w:rFonts w:hint="eastAsia" w:ascii="宋体" w:hAnsi="宋体" w:cs="宋体"/>
                <w:color w:val="000000"/>
                <w:kern w:val="0"/>
                <w:szCs w:val="21"/>
              </w:rPr>
              <w:t>ATOM  1.8G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vMerge w:val="continue"/>
            <w:noWrap/>
            <w:vAlign w:val="center"/>
          </w:tcPr>
          <w:p>
            <w:pPr>
              <w:widowControl/>
              <w:spacing w:before="156" w:line="300" w:lineRule="auto"/>
              <w:jc w:val="left"/>
              <w:rPr>
                <w:rFonts w:ascii="宋体" w:hAnsi="宋体" w:cs="宋体"/>
                <w:kern w:val="0"/>
                <w:szCs w:val="21"/>
              </w:rPr>
            </w:pP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2G内存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2872" w:type="dxa"/>
            <w:vMerge w:val="continue"/>
            <w:noWrap/>
            <w:vAlign w:val="center"/>
          </w:tcPr>
          <w:p>
            <w:pPr>
              <w:widowControl/>
              <w:spacing w:before="156" w:line="300" w:lineRule="auto"/>
              <w:jc w:val="left"/>
              <w:rPr>
                <w:rFonts w:ascii="宋体" w:hAnsi="宋体" w:cs="宋体"/>
                <w:kern w:val="0"/>
                <w:szCs w:val="21"/>
              </w:rPr>
            </w:pP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32G 电子盘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电源</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5V/12A,12V/12A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主操作液晶显示器</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大于等于15寸液晶屏 1024*768 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触摸屏</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红外触摸屏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副显液晶屏</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大于等于10寸液晶屏1024*768或以上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凭条打印机（80MM)</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80MM 热敏 带切刀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平面证卡扫描仪</w:t>
            </w:r>
          </w:p>
        </w:tc>
        <w:tc>
          <w:tcPr>
            <w:tcW w:w="4404" w:type="dxa"/>
            <w:noWrap/>
            <w:vAlign w:val="center"/>
          </w:tcPr>
          <w:p>
            <w:pPr>
              <w:widowControl/>
              <w:spacing w:before="156" w:line="300" w:lineRule="auto"/>
              <w:jc w:val="center"/>
              <w:rPr>
                <w:rFonts w:ascii="宋体" w:hAnsi="宋体" w:cs="宋体"/>
                <w:color w:val="FF0000"/>
                <w:kern w:val="0"/>
                <w:szCs w:val="21"/>
              </w:rPr>
            </w:pPr>
            <w:r>
              <w:rPr>
                <w:rFonts w:hint="eastAsia" w:ascii="宋体" w:hAnsi="宋体" w:cs="宋体"/>
                <w:szCs w:val="21"/>
              </w:rPr>
              <w:t>最大5英寸扫描宽度,支持OCR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一维码扫描模块</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红外 串口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二代证识别</w:t>
            </w:r>
          </w:p>
        </w:tc>
        <w:tc>
          <w:tcPr>
            <w:tcW w:w="4404" w:type="dxa"/>
            <w:noWrap/>
            <w:vAlign w:val="center"/>
          </w:tcPr>
          <w:p>
            <w:pPr>
              <w:widowControl/>
              <w:spacing w:before="156" w:line="300" w:lineRule="auto"/>
              <w:jc w:val="center"/>
              <w:rPr>
                <w:rFonts w:ascii="宋体" w:hAnsi="宋体" w:cs="宋体"/>
                <w:color w:val="000000"/>
                <w:kern w:val="0"/>
                <w:szCs w:val="21"/>
              </w:rPr>
            </w:pPr>
            <w:r>
              <w:rPr>
                <w:rFonts w:hint="eastAsia" w:ascii="宋体" w:hAnsi="宋体" w:cs="宋体"/>
                <w:color w:val="000000"/>
                <w:kern w:val="0"/>
                <w:szCs w:val="21"/>
              </w:rPr>
              <w:t>身份证识别器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调制解调器</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电话拨号使用（自备电话线路）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摄像头</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200W像素摄像头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金属机柜</w:t>
            </w:r>
          </w:p>
        </w:tc>
        <w:tc>
          <w:tcPr>
            <w:tcW w:w="4404" w:type="dxa"/>
            <w:noWrap/>
            <w:vAlign w:val="center"/>
          </w:tcPr>
          <w:p>
            <w:pPr>
              <w:widowControl/>
              <w:spacing w:before="156" w:line="30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短信猫</w:t>
            </w:r>
          </w:p>
        </w:tc>
        <w:tc>
          <w:tcPr>
            <w:tcW w:w="4404" w:type="dxa"/>
            <w:noWrap/>
            <w:vAlign w:val="center"/>
          </w:tcPr>
          <w:p>
            <w:pPr>
              <w:widowControl/>
              <w:spacing w:before="156" w:line="300" w:lineRule="auto"/>
              <w:jc w:val="center"/>
              <w:rPr>
                <w:rFonts w:ascii="宋体" w:hAnsi="宋体" w:cs="宋体"/>
                <w:color w:val="FF0000"/>
                <w:kern w:val="0"/>
                <w:szCs w:val="21"/>
              </w:rPr>
            </w:pPr>
            <w:r>
              <w:rPr>
                <w:rFonts w:hint="eastAsia" w:ascii="宋体" w:hAnsi="宋体" w:cs="宋体"/>
                <w:szCs w:val="21"/>
              </w:rPr>
              <w:t>短信发送（自备SIM卡）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软件加密狗</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872"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标准版软件</w:t>
            </w:r>
          </w:p>
        </w:tc>
        <w:tc>
          <w:tcPr>
            <w:tcW w:w="4404" w:type="dxa"/>
            <w:noWrap/>
            <w:vAlign w:val="center"/>
          </w:tcPr>
          <w:p>
            <w:pPr>
              <w:widowControl/>
              <w:spacing w:before="156" w:line="300" w:lineRule="auto"/>
              <w:jc w:val="center"/>
              <w:rPr>
                <w:rFonts w:ascii="宋体" w:hAnsi="宋体" w:cs="宋体"/>
                <w:kern w:val="0"/>
                <w:szCs w:val="21"/>
              </w:rPr>
            </w:pPr>
            <w:r>
              <w:rPr>
                <w:rFonts w:hint="eastAsia" w:ascii="宋体" w:hAnsi="宋体" w:cs="宋体"/>
                <w:kern w:val="0"/>
                <w:szCs w:val="21"/>
              </w:rPr>
              <w:t>软件和客户端软件</w:t>
            </w:r>
          </w:p>
        </w:tc>
      </w:tr>
    </w:tbl>
    <w:p>
      <w:pPr>
        <w:pStyle w:val="189"/>
        <w:spacing w:before="156"/>
        <w:ind w:firstLine="221" w:firstLineChars="100"/>
        <w:rPr>
          <w:rFonts w:ascii="宋体" w:hAnsi="宋体" w:cs="宋体"/>
          <w:b/>
          <w:szCs w:val="21"/>
          <w:lang w:eastAsia="zh-CN"/>
        </w:rPr>
      </w:pPr>
    </w:p>
    <w:p>
      <w:pPr>
        <w:pStyle w:val="189"/>
        <w:spacing w:before="156"/>
        <w:ind w:firstLine="221" w:firstLineChars="100"/>
        <w:rPr>
          <w:rFonts w:ascii="宋体" w:hAnsi="宋体" w:cs="宋体"/>
          <w:b/>
          <w:szCs w:val="21"/>
          <w:lang w:eastAsia="zh-CN"/>
        </w:rPr>
      </w:pPr>
      <w:r>
        <w:rPr>
          <w:rFonts w:hint="eastAsia" w:ascii="宋体" w:hAnsi="宋体" w:cs="宋体"/>
          <w:b/>
          <w:szCs w:val="21"/>
          <w:lang w:eastAsia="zh-CN"/>
        </w:rPr>
        <w:t>21.市教育专网互联路由器</w:t>
      </w:r>
    </w:p>
    <w:p>
      <w:pPr>
        <w:pStyle w:val="189"/>
        <w:spacing w:before="156"/>
        <w:rPr>
          <w:rFonts w:ascii="宋体" w:hAnsi="宋体" w:cs="宋体"/>
          <w:szCs w:val="21"/>
          <w:lang w:eastAsia="zh-CN"/>
        </w:rPr>
      </w:pPr>
      <w:r>
        <w:rPr>
          <w:rFonts w:hint="eastAsia" w:ascii="宋体" w:hAnsi="宋体" w:cs="宋体"/>
          <w:szCs w:val="21"/>
          <w:lang w:eastAsia="zh-CN"/>
        </w:rPr>
        <w:t xml:space="preserve">   本次项目新增一台核心路由器，用于与衢州市教育网互联（</w:t>
      </w:r>
      <w:r>
        <w:rPr>
          <w:rFonts w:hint="eastAsia" w:hAnsi="宋体" w:cs="宋体"/>
          <w:b/>
          <w:bCs/>
          <w:lang w:eastAsia="zh-CN"/>
        </w:rPr>
        <w:t>要求必须接入衢州市教育专网,</w:t>
      </w:r>
      <w:r>
        <w:rPr>
          <w:rFonts w:hint="eastAsia" w:ascii="宋体" w:hAnsi="宋体" w:cs="宋体"/>
          <w:szCs w:val="21"/>
          <w:lang w:eastAsia="zh-CN"/>
        </w:rPr>
        <w:t>）相关要求如下：</w:t>
      </w:r>
    </w:p>
    <w:tbl>
      <w:tblPr>
        <w:tblStyle w:val="59"/>
        <w:tblW w:w="85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443" w:type="dxa"/>
            <w:noWrap/>
            <w:vAlign w:val="center"/>
          </w:tcPr>
          <w:p>
            <w:pPr>
              <w:pStyle w:val="189"/>
              <w:spacing w:before="156"/>
              <w:rPr>
                <w:rFonts w:ascii="宋体" w:hAnsi="宋体" w:cs="宋体"/>
                <w:szCs w:val="21"/>
              </w:rPr>
            </w:pPr>
            <w:r>
              <w:rPr>
                <w:rFonts w:hint="eastAsia" w:ascii="宋体" w:hAnsi="宋体" w:cs="宋体"/>
                <w:szCs w:val="21"/>
              </w:rPr>
              <w:t>功能及技术指标</w:t>
            </w:r>
          </w:p>
        </w:tc>
        <w:tc>
          <w:tcPr>
            <w:tcW w:w="7072" w:type="dxa"/>
            <w:noWrap/>
            <w:vAlign w:val="center"/>
          </w:tcPr>
          <w:p>
            <w:pPr>
              <w:pStyle w:val="189"/>
              <w:spacing w:before="156"/>
              <w:rPr>
                <w:rFonts w:ascii="宋体" w:hAnsi="宋体" w:cs="宋体"/>
                <w:szCs w:val="21"/>
              </w:rPr>
            </w:pPr>
            <w:r>
              <w:rPr>
                <w:rFonts w:hint="eastAsia" w:ascii="宋体" w:hAnsi="宋体" w:cs="宋体"/>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443" w:type="dxa"/>
            <w:noWrap/>
            <w:vAlign w:val="center"/>
          </w:tcPr>
          <w:p>
            <w:pPr>
              <w:pStyle w:val="189"/>
              <w:spacing w:before="156"/>
              <w:rPr>
                <w:rFonts w:ascii="宋体" w:hAnsi="宋体" w:cs="宋体"/>
                <w:szCs w:val="21"/>
              </w:rPr>
            </w:pPr>
            <w:r>
              <w:rPr>
                <w:rFonts w:hint="eastAsia" w:ascii="宋体" w:hAnsi="宋体" w:cs="宋体"/>
                <w:szCs w:val="21"/>
              </w:rPr>
              <w:t>▲性能指标</w:t>
            </w:r>
          </w:p>
        </w:tc>
        <w:tc>
          <w:tcPr>
            <w:tcW w:w="7072"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 xml:space="preserve">交换容量≥80Gbps，包转发≥240Mpps，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443" w:type="dxa"/>
            <w:noWrap/>
          </w:tcPr>
          <w:p>
            <w:pPr>
              <w:pStyle w:val="189"/>
              <w:spacing w:before="156"/>
              <w:rPr>
                <w:rFonts w:ascii="宋体" w:hAnsi="宋体" w:cs="宋体"/>
                <w:szCs w:val="21"/>
              </w:rPr>
            </w:pPr>
            <w:r>
              <w:rPr>
                <w:rFonts w:hint="eastAsia" w:ascii="宋体" w:hAnsi="宋体" w:cs="宋体"/>
                <w:szCs w:val="21"/>
              </w:rPr>
              <w:t>性能规格</w:t>
            </w:r>
          </w:p>
        </w:tc>
        <w:tc>
          <w:tcPr>
            <w:tcW w:w="7072" w:type="dxa"/>
            <w:noWrap/>
          </w:tcPr>
          <w:p>
            <w:pPr>
              <w:pStyle w:val="189"/>
              <w:spacing w:before="156"/>
              <w:rPr>
                <w:rFonts w:ascii="宋体" w:hAnsi="宋体" w:cs="宋体"/>
                <w:szCs w:val="21"/>
                <w:lang w:eastAsia="zh-CN"/>
              </w:rPr>
            </w:pPr>
            <w:r>
              <w:rPr>
                <w:rFonts w:hint="eastAsia" w:ascii="宋体" w:hAnsi="宋体" w:cs="宋体"/>
                <w:szCs w:val="21"/>
                <w:lang w:eastAsia="zh-CN"/>
              </w:rPr>
              <w:t>IPv4路由转发表项(FIB)≥4M</w:t>
            </w:r>
          </w:p>
          <w:p>
            <w:pPr>
              <w:pStyle w:val="189"/>
              <w:spacing w:before="156"/>
              <w:rPr>
                <w:rFonts w:ascii="宋体" w:hAnsi="宋体" w:cs="宋体"/>
                <w:szCs w:val="21"/>
                <w:lang w:eastAsia="zh-CN"/>
              </w:rPr>
            </w:pPr>
            <w:r>
              <w:rPr>
                <w:rFonts w:hint="eastAsia" w:ascii="宋体" w:hAnsi="宋体" w:cs="宋体"/>
                <w:szCs w:val="21"/>
                <w:lang w:eastAsia="zh-CN"/>
              </w:rPr>
              <w:t>IPv6路由转发表项(FIB)≥2M</w:t>
            </w:r>
          </w:p>
          <w:p>
            <w:pPr>
              <w:pStyle w:val="189"/>
              <w:spacing w:before="156"/>
              <w:rPr>
                <w:rFonts w:ascii="宋体" w:hAnsi="宋体" w:cs="宋体"/>
                <w:szCs w:val="21"/>
                <w:lang w:eastAsia="zh-CN"/>
              </w:rPr>
            </w:pPr>
            <w:r>
              <w:rPr>
                <w:rFonts w:hint="eastAsia" w:ascii="宋体" w:hAnsi="宋体" w:cs="宋体"/>
                <w:szCs w:val="21"/>
                <w:lang w:eastAsia="zh-CN"/>
              </w:rPr>
              <w:t>NAT最大并发数≥400万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443" w:type="dxa"/>
            <w:vMerge w:val="restart"/>
            <w:noWrap/>
            <w:vAlign w:val="center"/>
          </w:tcPr>
          <w:p>
            <w:pPr>
              <w:pStyle w:val="189"/>
              <w:spacing w:before="156"/>
              <w:rPr>
                <w:rFonts w:ascii="宋体" w:hAnsi="宋体" w:cs="宋体"/>
                <w:szCs w:val="21"/>
              </w:rPr>
            </w:pPr>
            <w:r>
              <w:rPr>
                <w:rFonts w:hint="eastAsia" w:ascii="宋体" w:hAnsi="宋体" w:cs="宋体"/>
                <w:szCs w:val="21"/>
              </w:rPr>
              <w:t>MPLS和</w:t>
            </w:r>
          </w:p>
          <w:p>
            <w:pPr>
              <w:pStyle w:val="189"/>
              <w:spacing w:before="156"/>
              <w:rPr>
                <w:rFonts w:ascii="宋体" w:hAnsi="宋体" w:cs="宋体"/>
                <w:szCs w:val="21"/>
              </w:rPr>
            </w:pPr>
            <w:r>
              <w:rPr>
                <w:rFonts w:hint="eastAsia" w:ascii="宋体" w:hAnsi="宋体" w:cs="宋体"/>
                <w:szCs w:val="21"/>
              </w:rPr>
              <w:t>IPv4功能</w:t>
            </w:r>
          </w:p>
        </w:tc>
        <w:tc>
          <w:tcPr>
            <w:tcW w:w="7072" w:type="dxa"/>
            <w:noWrap/>
          </w:tcPr>
          <w:p>
            <w:pPr>
              <w:pStyle w:val="189"/>
              <w:spacing w:before="156"/>
              <w:rPr>
                <w:rFonts w:ascii="宋体" w:hAnsi="宋体" w:cs="宋体"/>
                <w:szCs w:val="21"/>
              </w:rPr>
            </w:pPr>
            <w:r>
              <w:rPr>
                <w:rFonts w:hint="eastAsia" w:ascii="宋体" w:hAnsi="宋体" w:cs="宋体"/>
                <w:szCs w:val="21"/>
              </w:rPr>
              <w:t>配置L3VPN：跨域MPLS VPN（Option1/2/3）、嵌套MPLS VPN、分层PE（HoPE）、CE双归属、MCE、多角色主机等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1443" w:type="dxa"/>
            <w:vMerge w:val="continue"/>
            <w:noWrap/>
          </w:tcPr>
          <w:p>
            <w:pPr>
              <w:pStyle w:val="189"/>
              <w:spacing w:before="156"/>
              <w:rPr>
                <w:rFonts w:ascii="宋体" w:hAnsi="宋体" w:cs="宋体"/>
                <w:szCs w:val="21"/>
              </w:rPr>
            </w:pPr>
          </w:p>
        </w:tc>
        <w:tc>
          <w:tcPr>
            <w:tcW w:w="7072" w:type="dxa"/>
            <w:noWrap/>
          </w:tcPr>
          <w:p>
            <w:pPr>
              <w:pStyle w:val="189"/>
              <w:spacing w:before="156"/>
              <w:rPr>
                <w:rFonts w:ascii="宋体" w:hAnsi="宋体" w:cs="宋体"/>
                <w:szCs w:val="21"/>
              </w:rPr>
            </w:pPr>
            <w:r>
              <w:rPr>
                <w:rFonts w:hint="eastAsia" w:ascii="宋体" w:hAnsi="宋体" w:cs="宋体"/>
                <w:szCs w:val="21"/>
              </w:rPr>
              <w:t>配置L2VPN：VPLS、Martini、Kompella、CCC和SVC方式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443" w:type="dxa"/>
            <w:vMerge w:val="continue"/>
            <w:noWrap/>
          </w:tcPr>
          <w:p>
            <w:pPr>
              <w:pStyle w:val="189"/>
              <w:spacing w:before="156"/>
              <w:rPr>
                <w:rFonts w:ascii="宋体" w:hAnsi="宋体" w:cs="宋体"/>
                <w:szCs w:val="21"/>
              </w:rPr>
            </w:pPr>
          </w:p>
        </w:tc>
        <w:tc>
          <w:tcPr>
            <w:tcW w:w="7072" w:type="dxa"/>
            <w:noWrap/>
          </w:tcPr>
          <w:p>
            <w:pPr>
              <w:pStyle w:val="189"/>
              <w:spacing w:before="156"/>
              <w:rPr>
                <w:rFonts w:ascii="宋体" w:hAnsi="宋体" w:cs="宋体"/>
                <w:szCs w:val="21"/>
              </w:rPr>
            </w:pPr>
            <w:r>
              <w:rPr>
                <w:rFonts w:hint="eastAsia" w:ascii="宋体" w:hAnsi="宋体" w:cs="宋体"/>
                <w:szCs w:val="21"/>
              </w:rPr>
              <w:t>配置VPLS/H-VPLS、MPLS TE、RSVP TE、组播VPN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443" w:type="dxa"/>
            <w:vMerge w:val="continue"/>
            <w:noWrap/>
            <w:vAlign w:val="center"/>
          </w:tcPr>
          <w:p>
            <w:pPr>
              <w:pStyle w:val="189"/>
              <w:spacing w:before="156"/>
              <w:rPr>
                <w:rFonts w:ascii="宋体" w:hAnsi="宋体" w:cs="宋体"/>
                <w:szCs w:val="21"/>
              </w:rPr>
            </w:pPr>
          </w:p>
        </w:tc>
        <w:tc>
          <w:tcPr>
            <w:tcW w:w="7072" w:type="dxa"/>
            <w:noWrap/>
          </w:tcPr>
          <w:p>
            <w:pPr>
              <w:pStyle w:val="189"/>
              <w:spacing w:before="156"/>
              <w:rPr>
                <w:rFonts w:ascii="宋体" w:hAnsi="宋体" w:cs="宋体"/>
                <w:szCs w:val="21"/>
              </w:rPr>
            </w:pPr>
            <w:r>
              <w:rPr>
                <w:rFonts w:hint="eastAsia" w:ascii="宋体" w:hAnsi="宋体" w:cs="宋体"/>
                <w:szCs w:val="21"/>
              </w:rPr>
              <w:t>配置RIP、OSPF V2、IS-IS和BGP协议功能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443" w:type="dxa"/>
            <w:vMerge w:val="continue"/>
            <w:noWrap/>
            <w:vAlign w:val="center"/>
          </w:tcPr>
          <w:p>
            <w:pPr>
              <w:pStyle w:val="189"/>
              <w:spacing w:before="156"/>
              <w:rPr>
                <w:rFonts w:ascii="宋体" w:hAnsi="宋体" w:cs="宋体"/>
                <w:szCs w:val="21"/>
              </w:rPr>
            </w:pPr>
          </w:p>
        </w:tc>
        <w:tc>
          <w:tcPr>
            <w:tcW w:w="7072" w:type="dxa"/>
            <w:noWrap/>
          </w:tcPr>
          <w:p>
            <w:pPr>
              <w:pStyle w:val="189"/>
              <w:spacing w:before="156"/>
              <w:rPr>
                <w:rFonts w:ascii="宋体" w:hAnsi="宋体" w:cs="宋体"/>
                <w:szCs w:val="21"/>
              </w:rPr>
            </w:pPr>
            <w:r>
              <w:rPr>
                <w:rFonts w:hint="eastAsia" w:ascii="宋体" w:hAnsi="宋体" w:cs="宋体"/>
                <w:szCs w:val="21"/>
              </w:rPr>
              <w:t>支持策略路由、支持路由策略、ISIS多拓扑路由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443" w:type="dxa"/>
            <w:vMerge w:val="continue"/>
            <w:noWrap/>
            <w:vAlign w:val="center"/>
          </w:tcPr>
          <w:p>
            <w:pPr>
              <w:pStyle w:val="189"/>
              <w:spacing w:before="156"/>
              <w:rPr>
                <w:rFonts w:ascii="宋体" w:hAnsi="宋体" w:cs="宋体"/>
                <w:szCs w:val="21"/>
              </w:rPr>
            </w:pPr>
          </w:p>
        </w:tc>
        <w:tc>
          <w:tcPr>
            <w:tcW w:w="7072" w:type="dxa"/>
            <w:noWrap/>
          </w:tcPr>
          <w:p>
            <w:pPr>
              <w:pStyle w:val="189"/>
              <w:spacing w:before="156"/>
              <w:rPr>
                <w:rFonts w:ascii="宋体" w:hAnsi="宋体" w:cs="宋体"/>
                <w:szCs w:val="21"/>
              </w:rPr>
            </w:pPr>
            <w:r>
              <w:rPr>
                <w:rFonts w:hint="eastAsia" w:ascii="宋体" w:hAnsi="宋体" w:cs="宋体"/>
                <w:szCs w:val="21"/>
              </w:rPr>
              <w:t>配置PIM-DM、PIM-SM、MSDP、MBGP等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3" w:type="dxa"/>
            <w:vMerge w:val="restart"/>
            <w:noWrap/>
            <w:vAlign w:val="center"/>
          </w:tcPr>
          <w:p>
            <w:pPr>
              <w:pStyle w:val="189"/>
              <w:spacing w:before="156"/>
              <w:rPr>
                <w:rFonts w:ascii="宋体" w:hAnsi="宋体" w:cs="宋体"/>
                <w:szCs w:val="21"/>
              </w:rPr>
            </w:pPr>
            <w:r>
              <w:rPr>
                <w:rFonts w:hint="eastAsia" w:ascii="宋体" w:hAnsi="宋体" w:cs="宋体"/>
                <w:szCs w:val="21"/>
              </w:rPr>
              <w:t>网络安全</w:t>
            </w:r>
          </w:p>
        </w:tc>
        <w:tc>
          <w:tcPr>
            <w:tcW w:w="7072" w:type="dxa"/>
            <w:noWrap/>
          </w:tcPr>
          <w:p>
            <w:pPr>
              <w:pStyle w:val="189"/>
              <w:spacing w:before="156"/>
              <w:rPr>
                <w:rFonts w:ascii="宋体" w:hAnsi="宋体" w:cs="宋体"/>
                <w:szCs w:val="21"/>
                <w:lang w:eastAsia="zh-CN"/>
              </w:rPr>
            </w:pPr>
            <w:r>
              <w:rPr>
                <w:rFonts w:hint="eastAsia" w:ascii="宋体" w:hAnsi="宋体" w:cs="宋体"/>
                <w:szCs w:val="21"/>
                <w:lang w:eastAsia="zh-CN"/>
              </w:rPr>
              <w:t>支持TCP防攻击、控制平面限速、URPF、ARP防攻击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3" w:type="dxa"/>
            <w:vMerge w:val="continue"/>
            <w:noWrap/>
            <w:vAlign w:val="center"/>
          </w:tcPr>
          <w:p>
            <w:pPr>
              <w:pStyle w:val="189"/>
              <w:spacing w:before="156"/>
              <w:rPr>
                <w:rFonts w:ascii="宋体" w:hAnsi="宋体" w:cs="宋体"/>
                <w:szCs w:val="21"/>
                <w:lang w:eastAsia="zh-CN"/>
              </w:rPr>
            </w:pPr>
          </w:p>
        </w:tc>
        <w:tc>
          <w:tcPr>
            <w:tcW w:w="7072" w:type="dxa"/>
            <w:noWrap/>
          </w:tcPr>
          <w:p>
            <w:pPr>
              <w:pStyle w:val="189"/>
              <w:spacing w:before="156"/>
              <w:rPr>
                <w:rFonts w:ascii="宋体" w:hAnsi="宋体" w:cs="宋体"/>
                <w:szCs w:val="21"/>
                <w:lang w:eastAsia="zh-CN"/>
              </w:rPr>
            </w:pPr>
            <w:r>
              <w:rPr>
                <w:rFonts w:hint="eastAsia" w:ascii="宋体" w:hAnsi="宋体" w:cs="宋体"/>
                <w:szCs w:val="21"/>
                <w:lang w:eastAsia="zh-CN"/>
              </w:rPr>
              <w:t>设备支持DPI功能，支持IPS功能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3" w:type="dxa"/>
            <w:noWrap/>
            <w:vAlign w:val="center"/>
          </w:tcPr>
          <w:p>
            <w:pPr>
              <w:pStyle w:val="189"/>
              <w:spacing w:before="156"/>
              <w:rPr>
                <w:rFonts w:ascii="宋体" w:hAnsi="宋体" w:cs="宋体"/>
                <w:szCs w:val="21"/>
              </w:rPr>
            </w:pPr>
            <w:r>
              <w:rPr>
                <w:rFonts w:hint="eastAsia" w:ascii="宋体" w:hAnsi="宋体" w:cs="宋体"/>
                <w:szCs w:val="21"/>
              </w:rPr>
              <w:t>智慧负载分担功能</w:t>
            </w:r>
          </w:p>
        </w:tc>
        <w:tc>
          <w:tcPr>
            <w:tcW w:w="7072" w:type="dxa"/>
            <w:noWrap/>
          </w:tcPr>
          <w:p>
            <w:pPr>
              <w:pStyle w:val="189"/>
              <w:spacing w:before="156"/>
              <w:rPr>
                <w:rFonts w:ascii="宋体" w:hAnsi="宋体" w:cs="宋体"/>
                <w:szCs w:val="21"/>
                <w:lang w:eastAsia="zh-CN"/>
              </w:rPr>
            </w:pPr>
            <w:r>
              <w:rPr>
                <w:rFonts w:hint="eastAsia" w:ascii="宋体" w:hAnsi="宋体" w:cs="宋体"/>
                <w:szCs w:val="21"/>
                <w:lang w:eastAsia="zh-CN"/>
              </w:rPr>
              <w:t>设备支持智慧负载分担功能，实现按链路实时带宽占用进行流量负载分担转发，且报文转发无丢包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3" w:type="dxa"/>
            <w:vMerge w:val="restart"/>
            <w:noWrap/>
            <w:vAlign w:val="center"/>
          </w:tcPr>
          <w:p>
            <w:pPr>
              <w:pStyle w:val="189"/>
              <w:spacing w:before="156"/>
              <w:rPr>
                <w:rFonts w:ascii="宋体" w:hAnsi="宋体" w:cs="宋体"/>
                <w:szCs w:val="21"/>
              </w:rPr>
            </w:pPr>
            <w:r>
              <w:rPr>
                <w:rFonts w:hint="eastAsia" w:ascii="宋体" w:hAnsi="宋体" w:cs="宋体"/>
                <w:szCs w:val="21"/>
              </w:rPr>
              <w:t>管理特性</w:t>
            </w:r>
          </w:p>
        </w:tc>
        <w:tc>
          <w:tcPr>
            <w:tcW w:w="7072" w:type="dxa"/>
            <w:noWrap/>
          </w:tcPr>
          <w:p>
            <w:pPr>
              <w:pStyle w:val="189"/>
              <w:spacing w:before="156"/>
              <w:rPr>
                <w:rFonts w:ascii="宋体" w:hAnsi="宋体" w:cs="宋体"/>
                <w:szCs w:val="21"/>
                <w:lang w:eastAsia="zh-CN"/>
              </w:rPr>
            </w:pPr>
            <w:r>
              <w:rPr>
                <w:rFonts w:hint="eastAsia" w:ascii="宋体" w:hAnsi="宋体" w:cs="宋体"/>
                <w:szCs w:val="21"/>
                <w:lang w:eastAsia="zh-CN"/>
              </w:rPr>
              <w:t>支持通过Console口、Telnet方式对设备进行配置、维护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3" w:type="dxa"/>
            <w:vMerge w:val="continue"/>
            <w:noWrap/>
            <w:vAlign w:val="center"/>
          </w:tcPr>
          <w:p>
            <w:pPr>
              <w:pStyle w:val="189"/>
              <w:spacing w:before="156"/>
              <w:rPr>
                <w:rFonts w:ascii="宋体" w:hAnsi="宋体" w:cs="宋体"/>
                <w:szCs w:val="21"/>
                <w:lang w:eastAsia="zh-CN"/>
              </w:rPr>
            </w:pPr>
          </w:p>
        </w:tc>
        <w:tc>
          <w:tcPr>
            <w:tcW w:w="7072" w:type="dxa"/>
            <w:noWrap/>
          </w:tcPr>
          <w:p>
            <w:pPr>
              <w:pStyle w:val="189"/>
              <w:spacing w:before="156"/>
              <w:rPr>
                <w:rFonts w:ascii="宋体" w:hAnsi="宋体" w:cs="宋体"/>
                <w:szCs w:val="21"/>
              </w:rPr>
            </w:pPr>
            <w:r>
              <w:rPr>
                <w:rFonts w:hint="eastAsia" w:ascii="宋体" w:hAnsi="宋体" w:cs="宋体"/>
                <w:szCs w:val="21"/>
              </w:rPr>
              <w:t>支持通过SNMP进行配置和管理（SNMP v1/v2c/v3）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3" w:type="dxa"/>
            <w:vMerge w:val="continue"/>
            <w:noWrap/>
            <w:vAlign w:val="center"/>
          </w:tcPr>
          <w:p>
            <w:pPr>
              <w:pStyle w:val="189"/>
              <w:spacing w:before="156"/>
              <w:rPr>
                <w:rFonts w:ascii="宋体" w:hAnsi="宋体" w:cs="宋体"/>
                <w:szCs w:val="21"/>
              </w:rPr>
            </w:pPr>
          </w:p>
        </w:tc>
        <w:tc>
          <w:tcPr>
            <w:tcW w:w="7072" w:type="dxa"/>
            <w:noWrap/>
          </w:tcPr>
          <w:p>
            <w:pPr>
              <w:pStyle w:val="189"/>
              <w:spacing w:before="156"/>
              <w:rPr>
                <w:rFonts w:ascii="宋体" w:hAnsi="宋体" w:cs="宋体"/>
                <w:szCs w:val="21"/>
              </w:rPr>
            </w:pPr>
            <w:r>
              <w:rPr>
                <w:rFonts w:hint="eastAsia" w:ascii="宋体" w:hAnsi="宋体" w:cs="宋体"/>
                <w:szCs w:val="21"/>
              </w:rPr>
              <w:t>支持RMON（ 1，2，3，9组MIB）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43" w:type="dxa"/>
            <w:noWrap/>
            <w:vAlign w:val="center"/>
          </w:tcPr>
          <w:p>
            <w:pPr>
              <w:pStyle w:val="189"/>
              <w:spacing w:before="156"/>
              <w:rPr>
                <w:rFonts w:ascii="宋体" w:hAnsi="宋体" w:cs="宋体"/>
                <w:szCs w:val="21"/>
              </w:rPr>
            </w:pPr>
            <w:r>
              <w:rPr>
                <w:rFonts w:hint="eastAsia" w:ascii="宋体" w:hAnsi="宋体" w:cs="宋体"/>
                <w:szCs w:val="21"/>
              </w:rPr>
              <w:t>▲配置要求</w:t>
            </w:r>
          </w:p>
        </w:tc>
        <w:tc>
          <w:tcPr>
            <w:tcW w:w="7072" w:type="dxa"/>
            <w:noWrap/>
          </w:tcPr>
          <w:p>
            <w:pPr>
              <w:pStyle w:val="189"/>
              <w:spacing w:before="156"/>
              <w:rPr>
                <w:rFonts w:ascii="宋体" w:hAnsi="宋体" w:cs="宋体"/>
                <w:szCs w:val="21"/>
                <w:lang w:eastAsia="zh-CN"/>
              </w:rPr>
            </w:pPr>
            <w:r>
              <w:rPr>
                <w:rFonts w:hint="eastAsia" w:ascii="宋体" w:hAnsi="宋体" w:cs="宋体"/>
                <w:szCs w:val="21"/>
                <w:lang w:eastAsia="zh-CN"/>
              </w:rPr>
              <w:t>配置模块化交流电源≥2，千兆电口数≥4，复用千兆光口数≥4，万兆光口数≥2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43" w:type="dxa"/>
            <w:noWrap/>
            <w:vAlign w:val="center"/>
          </w:tcPr>
          <w:p>
            <w:pPr>
              <w:pStyle w:val="189"/>
              <w:spacing w:before="156"/>
              <w:rPr>
                <w:rFonts w:ascii="宋体" w:hAnsi="宋体" w:cs="宋体"/>
                <w:szCs w:val="21"/>
              </w:rPr>
            </w:pPr>
            <w:r>
              <w:rPr>
                <w:rFonts w:hint="eastAsia" w:ascii="宋体" w:hAnsi="宋体" w:cs="宋体"/>
                <w:szCs w:val="21"/>
              </w:rPr>
              <w:t>▲认证资质</w:t>
            </w:r>
          </w:p>
        </w:tc>
        <w:tc>
          <w:tcPr>
            <w:tcW w:w="7072"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提供工信部入网证，为保证设备之间良好兼容性，要求和数据中心核心交换机为同一品牌</w:t>
            </w:r>
          </w:p>
        </w:tc>
      </w:tr>
    </w:tbl>
    <w:p>
      <w:pPr>
        <w:ind w:left="210" w:leftChars="100" w:right="210"/>
        <w:rPr>
          <w:rFonts w:ascii="宋体" w:hAnsi="宋体" w:cs="宋体"/>
          <w:szCs w:val="21"/>
        </w:rPr>
      </w:pPr>
    </w:p>
    <w:p>
      <w:pPr>
        <w:pStyle w:val="189"/>
        <w:spacing w:before="156"/>
        <w:rPr>
          <w:rFonts w:ascii="宋体" w:hAnsi="宋体" w:cs="宋体"/>
          <w:b/>
          <w:szCs w:val="21"/>
          <w:lang w:eastAsia="zh-CN"/>
        </w:rPr>
      </w:pPr>
    </w:p>
    <w:p>
      <w:pPr>
        <w:pStyle w:val="189"/>
        <w:spacing w:before="156"/>
        <w:rPr>
          <w:rFonts w:ascii="宋体" w:hAnsi="宋体" w:cs="宋体"/>
          <w:b/>
          <w:szCs w:val="21"/>
          <w:lang w:eastAsia="zh-CN"/>
        </w:rPr>
      </w:pPr>
      <w:r>
        <w:rPr>
          <w:rFonts w:ascii="宋体" w:hAnsi="宋体" w:cs="宋体"/>
          <w:b/>
          <w:szCs w:val="21"/>
          <w:lang w:eastAsia="zh-CN"/>
        </w:rPr>
        <w:t>2</w:t>
      </w:r>
      <w:r>
        <w:rPr>
          <w:rFonts w:hint="eastAsia" w:ascii="宋体" w:hAnsi="宋体" w:cs="宋体"/>
          <w:b/>
          <w:szCs w:val="21"/>
          <w:lang w:eastAsia="zh-CN"/>
        </w:rPr>
        <w:t>2.全区无线漫游安全认证</w:t>
      </w:r>
    </w:p>
    <w:p>
      <w:pPr>
        <w:pStyle w:val="189"/>
        <w:spacing w:before="156"/>
        <w:ind w:firstLine="220" w:firstLineChars="100"/>
        <w:rPr>
          <w:rFonts w:ascii="宋体" w:hAnsi="宋体" w:cs="宋体"/>
          <w:szCs w:val="21"/>
          <w:lang w:eastAsia="zh-CN"/>
        </w:rPr>
      </w:pPr>
      <w:r>
        <w:rPr>
          <w:rFonts w:hint="eastAsia" w:ascii="宋体" w:hAnsi="宋体" w:cs="宋体"/>
          <w:szCs w:val="21"/>
          <w:lang w:eastAsia="zh-CN"/>
        </w:rPr>
        <w:t>本次项目新增无线漫游安全认证设备一台，为全区无线用户提供安全认证和漫游服务：</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440" w:type="dxa"/>
            <w:noWrap/>
            <w:vAlign w:val="center"/>
          </w:tcPr>
          <w:p>
            <w:pPr>
              <w:pStyle w:val="189"/>
              <w:spacing w:before="156"/>
              <w:rPr>
                <w:rFonts w:ascii="宋体" w:hAnsi="宋体" w:cs="宋体"/>
                <w:szCs w:val="21"/>
              </w:rPr>
            </w:pPr>
            <w:r>
              <w:rPr>
                <w:rFonts w:hint="eastAsia" w:ascii="宋体" w:hAnsi="宋体" w:cs="宋体"/>
                <w:szCs w:val="21"/>
              </w:rPr>
              <w:t>功能及性能指标</w:t>
            </w:r>
          </w:p>
        </w:tc>
        <w:tc>
          <w:tcPr>
            <w:tcW w:w="7080" w:type="dxa"/>
            <w:noWrap/>
            <w:vAlign w:val="center"/>
          </w:tcPr>
          <w:p>
            <w:pPr>
              <w:pStyle w:val="189"/>
              <w:spacing w:before="156"/>
              <w:rPr>
                <w:rFonts w:ascii="宋体" w:hAnsi="宋体" w:cs="宋体"/>
                <w:szCs w:val="21"/>
              </w:rPr>
            </w:pPr>
            <w:r>
              <w:rPr>
                <w:rFonts w:hint="eastAsia" w:ascii="宋体" w:hAnsi="宋体" w:cs="宋体"/>
                <w:szCs w:val="21"/>
              </w:rPr>
              <w:t>基本技术要求及配置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restart"/>
            <w:noWrap/>
            <w:vAlign w:val="center"/>
          </w:tcPr>
          <w:p>
            <w:pPr>
              <w:pStyle w:val="189"/>
              <w:spacing w:before="156"/>
              <w:rPr>
                <w:rFonts w:ascii="宋体" w:hAnsi="宋体" w:cs="宋体"/>
                <w:szCs w:val="21"/>
              </w:rPr>
            </w:pPr>
            <w:r>
              <w:rPr>
                <w:rFonts w:hint="eastAsia" w:ascii="宋体" w:hAnsi="宋体" w:cs="宋体"/>
                <w:szCs w:val="21"/>
              </w:rPr>
              <w:t>基本要求</w:t>
            </w: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支持有线无线一体化认证，并支持对接教育局数据中心；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为方便老师管理，需支持多台认证设备共用一个后台和数据库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为保证功能定制不对其他功能使用，后台功能可扩展，各功能以模块形式展现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考虑到教育局后期可能有多种无线品牌接入，为保证本次采购认证设备的高可用性，必须支持和多家主流无线厂家对接</w:t>
            </w:r>
            <w:r>
              <w:rPr>
                <w:rFonts w:ascii="宋体" w:hAnsi="宋体" w:cs="宋体"/>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与无线AP、AC不同品牌，支持地接第三方AC的认证，能在不同品牌AP之间实现漫游认证,实现统一数据源。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restart"/>
            <w:noWrap/>
            <w:vAlign w:val="center"/>
          </w:tcPr>
          <w:p>
            <w:pPr>
              <w:pStyle w:val="189"/>
              <w:spacing w:before="156"/>
              <w:rPr>
                <w:rFonts w:ascii="宋体" w:hAnsi="宋体" w:cs="宋体"/>
                <w:szCs w:val="21"/>
              </w:rPr>
            </w:pPr>
            <w:r>
              <w:rPr>
                <w:rFonts w:hint="eastAsia" w:ascii="宋体" w:hAnsi="宋体" w:cs="宋体"/>
                <w:szCs w:val="21"/>
              </w:rPr>
              <w:t>硬件要求</w:t>
            </w: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含用户连接外网实名制认证、带宽管理，计费、在线监控等功能。总端口≥6个（万兆光口/电口≥2个，千兆光口/电口≥2个。）实现并发≥10000，总用户数≥40000，需要支持实现IPV4/IPV6双栈混合认证计费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rPr>
            </w:pPr>
            <w:r>
              <w:rPr>
                <w:rFonts w:hint="eastAsia" w:ascii="宋体" w:hAnsi="宋体" w:cs="宋体"/>
                <w:szCs w:val="21"/>
              </w:rPr>
              <w:t>系统管理平台必须采用linux架构，支持主流的B/S和C/S架构。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支持双链路达到2000万的数据包线速转发；全双工下128字节以上包转发率需达到100%。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支持主、备服务器的数据自动同步功能。支持集群式负载均衡部署方式；支持分布部署，统一管理模式。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440" w:type="dxa"/>
            <w:vMerge w:val="restart"/>
            <w:noWrap/>
            <w:vAlign w:val="center"/>
          </w:tcPr>
          <w:p>
            <w:pPr>
              <w:pStyle w:val="189"/>
              <w:spacing w:before="156"/>
              <w:rPr>
                <w:rFonts w:ascii="宋体" w:hAnsi="宋体" w:cs="宋体"/>
                <w:szCs w:val="21"/>
              </w:rPr>
            </w:pPr>
            <w:r>
              <w:rPr>
                <w:rFonts w:hint="eastAsia" w:ascii="宋体" w:hAnsi="宋体" w:cs="宋体"/>
                <w:szCs w:val="21"/>
              </w:rPr>
              <w:t>认证方式和能力</w:t>
            </w: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支持登陆地址段、VLAN ID来限制户账号漫游。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tcPr>
          <w:p>
            <w:pPr>
              <w:pStyle w:val="189"/>
              <w:spacing w:before="156"/>
              <w:rPr>
                <w:rFonts w:ascii="宋体" w:hAnsi="宋体" w:cs="宋体"/>
                <w:szCs w:val="21"/>
                <w:lang w:eastAsia="zh-CN"/>
              </w:rPr>
            </w:pPr>
            <w:r>
              <w:rPr>
                <w:rFonts w:hint="eastAsia" w:ascii="宋体" w:hAnsi="宋体" w:cs="宋体"/>
                <w:szCs w:val="21"/>
                <w:lang w:eastAsia="zh-CN"/>
              </w:rPr>
              <w:t>系统支持各品牌AC，BRAS对接。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tcPr>
          <w:p>
            <w:pPr>
              <w:pStyle w:val="189"/>
              <w:spacing w:before="156"/>
              <w:rPr>
                <w:rFonts w:ascii="宋体" w:hAnsi="宋体" w:cs="宋体"/>
                <w:szCs w:val="21"/>
              </w:rPr>
            </w:pPr>
            <w:r>
              <w:rPr>
                <w:rFonts w:hint="eastAsia" w:ascii="宋体" w:hAnsi="宋体" w:cs="宋体"/>
                <w:szCs w:val="21"/>
              </w:rPr>
              <w:t>网关支持RADIUS CLIENT、RADIUS SEVER、RADIUS CACHE功能，使网关与第三方无线控制器、第三方RADIUS SERVER（漫游账号）无缝联连。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需提供独立无感知模块，必须支持无线网络智慧终端用户无感知认证方式，不允许采用Cookie方式实现。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为了提升用户体验，部分有线VLAN用户需要实现跨三层无感知认证，实现一次认证多次使用，跨三层无感知认证需要支持DHCP Server、SNMP方式获取终端MAC信息。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restart"/>
            <w:noWrap/>
            <w:vAlign w:val="center"/>
          </w:tcPr>
          <w:p>
            <w:pPr>
              <w:pStyle w:val="189"/>
              <w:spacing w:before="156"/>
              <w:rPr>
                <w:rFonts w:ascii="宋体" w:hAnsi="宋体" w:cs="宋体"/>
                <w:szCs w:val="21"/>
              </w:rPr>
            </w:pPr>
            <w:r>
              <w:rPr>
                <w:rFonts w:hint="eastAsia" w:ascii="宋体" w:hAnsi="宋体" w:cs="宋体"/>
                <w:szCs w:val="21"/>
              </w:rPr>
              <w:t>LDAP认证</w:t>
            </w: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支持标准的LDAP通信协议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支持高性能，高并发数，2000个以上认证请求/秒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支持可视图形化管理界面，内置关系型数据库，方便查询统计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为保证安全性，支持ACL控制列表和登录认证，防Dos攻击和暴力破解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使用第三方建立的数字化校园平台，可针对教师，学生建立工作平台以及数据中心，并提供相应LDAP或AD域接口提供我方和其他第三方厂家进行对接。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440" w:type="dxa"/>
            <w:vMerge w:val="restart"/>
            <w:noWrap/>
            <w:vAlign w:val="center"/>
          </w:tcPr>
          <w:p>
            <w:pPr>
              <w:pStyle w:val="189"/>
              <w:spacing w:before="156"/>
              <w:rPr>
                <w:rFonts w:ascii="宋体" w:hAnsi="宋体" w:cs="宋体"/>
                <w:szCs w:val="21"/>
              </w:rPr>
            </w:pPr>
            <w:r>
              <w:rPr>
                <w:rFonts w:hint="eastAsia" w:ascii="宋体" w:hAnsi="宋体" w:cs="宋体"/>
                <w:szCs w:val="21"/>
              </w:rPr>
              <w:t>性能、成熟度</w:t>
            </w: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Radius服务器需可支持满足12万以上同时在线用户数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要求瞬时处理认证报文的速度达到6000个或者以上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restart"/>
            <w:shd w:val="clear" w:color="auto" w:fill="FFFFFF"/>
            <w:noWrap/>
            <w:vAlign w:val="center"/>
          </w:tcPr>
          <w:p>
            <w:pPr>
              <w:pStyle w:val="189"/>
              <w:spacing w:before="156"/>
              <w:rPr>
                <w:rFonts w:ascii="宋体" w:hAnsi="宋体" w:cs="宋体"/>
                <w:szCs w:val="21"/>
              </w:rPr>
            </w:pPr>
            <w:r>
              <w:rPr>
                <w:rFonts w:hint="eastAsia" w:ascii="宋体" w:hAnsi="宋体" w:cs="宋体"/>
                <w:szCs w:val="21"/>
              </w:rPr>
              <w:t>系统管理功能</w:t>
            </w:r>
          </w:p>
        </w:tc>
        <w:tc>
          <w:tcPr>
            <w:tcW w:w="7080" w:type="dxa"/>
            <w:shd w:val="clear" w:color="auto" w:fill="FFFFFF"/>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支持专用管理软件、TELNET、SMNP等网管功能操作员日志功能，将每个操作员的所有操作都记录在案，防止一些非常操作。操作员根据不同的组有不同操作权限。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vAlign w:val="center"/>
          </w:tcPr>
          <w:p>
            <w:pPr>
              <w:pStyle w:val="189"/>
              <w:spacing w:before="156"/>
              <w:rPr>
                <w:rFonts w:ascii="宋体" w:hAnsi="宋体" w:cs="宋体"/>
                <w:szCs w:val="21"/>
                <w:lang w:eastAsia="zh-CN"/>
              </w:rPr>
            </w:pPr>
            <w:r>
              <w:rPr>
                <w:rFonts w:hint="eastAsia" w:ascii="宋体" w:hAnsi="宋体" w:cs="宋体"/>
                <w:szCs w:val="21"/>
                <w:lang w:eastAsia="zh-CN"/>
              </w:rPr>
              <w:t>要求不同级别系统管理员、操作人员能划分不同的权限，支持通过远程多名操作人员同时操作，并且管理模块跨平台。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vAlign w:val="center"/>
          </w:tcPr>
          <w:p>
            <w:pPr>
              <w:pStyle w:val="189"/>
              <w:spacing w:before="156"/>
              <w:rPr>
                <w:rFonts w:ascii="宋体" w:hAnsi="宋体" w:cs="宋体"/>
                <w:szCs w:val="21"/>
                <w:lang w:eastAsia="zh-CN"/>
              </w:rPr>
            </w:pPr>
            <w:r>
              <w:rPr>
                <w:rFonts w:hint="eastAsia" w:ascii="宋体" w:hAnsi="宋体" w:cs="宋体"/>
                <w:szCs w:val="21"/>
                <w:lang w:eastAsia="zh-CN"/>
              </w:rPr>
              <w:t>如今后扩展用户数，要求能在线平滑升级，不影响用户的接入。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tcPr>
          <w:p>
            <w:pPr>
              <w:pStyle w:val="189"/>
              <w:spacing w:before="156"/>
              <w:rPr>
                <w:rFonts w:ascii="宋体" w:hAnsi="宋体" w:cs="宋体"/>
                <w:szCs w:val="21"/>
                <w:lang w:eastAsia="zh-CN"/>
              </w:rPr>
            </w:pPr>
            <w:r>
              <w:rPr>
                <w:rFonts w:hint="eastAsia" w:ascii="宋体" w:hAnsi="宋体" w:cs="宋体"/>
                <w:szCs w:val="21"/>
                <w:lang w:eastAsia="zh-CN"/>
              </w:rPr>
              <w:t>系统管理平台必须采用linx架构，支持数据库SQL和Oracle版本，支持主流的B/S和C/S架构方式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tcPr>
          <w:p>
            <w:pPr>
              <w:pStyle w:val="189"/>
              <w:spacing w:before="156"/>
              <w:rPr>
                <w:rFonts w:ascii="宋体" w:hAnsi="宋体" w:cs="宋体"/>
                <w:szCs w:val="21"/>
                <w:lang w:eastAsia="zh-CN"/>
              </w:rPr>
            </w:pPr>
            <w:r>
              <w:rPr>
                <w:rFonts w:hint="eastAsia" w:ascii="宋体" w:hAnsi="宋体" w:cs="宋体"/>
                <w:szCs w:val="21"/>
                <w:lang w:eastAsia="zh-CN"/>
              </w:rPr>
              <w:t>为保证后台管理软件的简易可用性，界面需要简单清晰、可视化，并以柱型、线性、图标等形式展现。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tcPr>
          <w:p>
            <w:pPr>
              <w:pStyle w:val="189"/>
              <w:spacing w:before="156"/>
              <w:rPr>
                <w:rFonts w:ascii="宋体" w:hAnsi="宋体" w:cs="宋体"/>
                <w:szCs w:val="21"/>
                <w:lang w:eastAsia="zh-CN"/>
              </w:rPr>
            </w:pPr>
            <w:r>
              <w:rPr>
                <w:rFonts w:hint="eastAsia" w:ascii="宋体" w:hAnsi="宋体" w:cs="宋体"/>
                <w:szCs w:val="21"/>
                <w:lang w:eastAsia="zh-CN"/>
              </w:rPr>
              <w:t>系统功能以模块方式展现，并保证对单个功能定制不影响其他功能的使用及系统的使用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restart"/>
            <w:shd w:val="clear" w:color="auto" w:fill="FFFFFF"/>
            <w:noWrap/>
            <w:vAlign w:val="center"/>
          </w:tcPr>
          <w:p>
            <w:pPr>
              <w:pStyle w:val="189"/>
              <w:spacing w:before="156"/>
              <w:rPr>
                <w:rFonts w:ascii="宋体" w:hAnsi="宋体" w:cs="宋体"/>
                <w:szCs w:val="21"/>
              </w:rPr>
            </w:pPr>
            <w:r>
              <w:rPr>
                <w:rFonts w:hint="eastAsia" w:ascii="宋体" w:hAnsi="宋体" w:cs="宋体"/>
                <w:szCs w:val="21"/>
              </w:rPr>
              <w:t>组网功能</w:t>
            </w:r>
          </w:p>
        </w:tc>
        <w:tc>
          <w:tcPr>
            <w:tcW w:w="7080" w:type="dxa"/>
            <w:shd w:val="clear" w:color="auto" w:fill="FFFFFF"/>
            <w:noWrap/>
            <w:vAlign w:val="center"/>
          </w:tcPr>
          <w:p>
            <w:pPr>
              <w:pStyle w:val="189"/>
              <w:spacing w:before="156"/>
              <w:rPr>
                <w:rFonts w:ascii="宋体" w:hAnsi="宋体" w:cs="宋体"/>
                <w:szCs w:val="21"/>
                <w:lang w:eastAsia="zh-CN"/>
              </w:rPr>
            </w:pPr>
            <w:r>
              <w:rPr>
                <w:rFonts w:hint="eastAsia" w:ascii="宋体" w:hAnsi="宋体" w:cs="宋体"/>
                <w:szCs w:val="21"/>
                <w:lang w:eastAsia="zh-CN"/>
              </w:rPr>
              <w:t>要求能提供DHCP服务功能，并能基于VLAN分配指定DHCP地址池功能。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vAlign w:val="center"/>
          </w:tcPr>
          <w:p>
            <w:pPr>
              <w:pStyle w:val="189"/>
              <w:spacing w:before="156"/>
              <w:rPr>
                <w:rFonts w:ascii="宋体" w:hAnsi="宋体" w:cs="宋体"/>
                <w:szCs w:val="21"/>
                <w:lang w:eastAsia="zh-CN"/>
              </w:rPr>
            </w:pPr>
            <w:r>
              <w:rPr>
                <w:rFonts w:hint="eastAsia" w:ascii="宋体" w:hAnsi="宋体" w:cs="宋体"/>
                <w:szCs w:val="21"/>
                <w:lang w:eastAsia="zh-CN"/>
              </w:rPr>
              <w:t>支持链路聚合功能,满足上下行单向超过10G流量的网络环境。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tcPr>
          <w:p>
            <w:pPr>
              <w:pStyle w:val="189"/>
              <w:spacing w:before="156"/>
              <w:rPr>
                <w:rFonts w:ascii="宋体" w:hAnsi="宋体" w:cs="宋体"/>
                <w:szCs w:val="21"/>
                <w:lang w:eastAsia="zh-CN"/>
              </w:rPr>
            </w:pPr>
            <w:r>
              <w:rPr>
                <w:rFonts w:hint="eastAsia" w:ascii="宋体" w:hAnsi="宋体" w:cs="宋体"/>
                <w:szCs w:val="21"/>
                <w:lang w:eastAsia="zh-CN"/>
              </w:rPr>
              <w:t>需支持基于源地址或用户组的策略路由。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tcPr>
          <w:p>
            <w:pPr>
              <w:pStyle w:val="189"/>
              <w:spacing w:before="156"/>
              <w:rPr>
                <w:rFonts w:ascii="宋体" w:hAnsi="宋体" w:cs="宋体"/>
                <w:szCs w:val="21"/>
                <w:lang w:eastAsia="zh-CN"/>
              </w:rPr>
            </w:pPr>
            <w:r>
              <w:rPr>
                <w:rFonts w:hint="eastAsia" w:ascii="宋体" w:hAnsi="宋体" w:cs="宋体"/>
                <w:szCs w:val="21"/>
                <w:lang w:eastAsia="zh-CN"/>
              </w:rPr>
              <w:t>要求支持L2/L3转发和路由模式,做为透明模式不用改变网络任何结构和IP。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tcPr>
          <w:p>
            <w:pPr>
              <w:pStyle w:val="189"/>
              <w:spacing w:before="156"/>
              <w:rPr>
                <w:rFonts w:ascii="宋体" w:hAnsi="宋体" w:cs="宋体"/>
                <w:szCs w:val="21"/>
                <w:lang w:eastAsia="zh-CN"/>
              </w:rPr>
            </w:pPr>
            <w:r>
              <w:rPr>
                <w:rFonts w:hint="eastAsia" w:ascii="宋体" w:hAnsi="宋体" w:cs="宋体"/>
                <w:szCs w:val="21"/>
                <w:lang w:eastAsia="zh-CN"/>
              </w:rPr>
              <w:t>实现NAT静/动态方式：在以三层路由转发模式工作时，也可以实现NAT功能,地址映射，端口映射，内网路由策略，源地址策略，目标地址策略，NAT功能支持外网多地址映射。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restart"/>
            <w:shd w:val="clear" w:color="auto" w:fill="FFFFFF"/>
            <w:noWrap/>
            <w:vAlign w:val="center"/>
          </w:tcPr>
          <w:p>
            <w:pPr>
              <w:pStyle w:val="189"/>
              <w:spacing w:before="156"/>
              <w:rPr>
                <w:rFonts w:ascii="宋体" w:hAnsi="宋体" w:cs="宋体"/>
                <w:szCs w:val="21"/>
              </w:rPr>
            </w:pPr>
            <w:r>
              <w:rPr>
                <w:rFonts w:hint="eastAsia" w:ascii="宋体" w:hAnsi="宋体" w:cs="宋体"/>
                <w:szCs w:val="21"/>
              </w:rPr>
              <w:t>产品资质</w:t>
            </w:r>
          </w:p>
        </w:tc>
        <w:tc>
          <w:tcPr>
            <w:tcW w:w="7080" w:type="dxa"/>
            <w:shd w:val="clear" w:color="auto" w:fill="FFFFFF"/>
            <w:noWrap/>
            <w:vAlign w:val="center"/>
          </w:tcPr>
          <w:p>
            <w:pPr>
              <w:pStyle w:val="189"/>
              <w:spacing w:before="156"/>
              <w:rPr>
                <w:rFonts w:ascii="宋体" w:hAnsi="宋体" w:cs="宋体"/>
                <w:szCs w:val="21"/>
                <w:lang w:eastAsia="zh-CN"/>
              </w:rPr>
            </w:pPr>
            <w:r>
              <w:rPr>
                <w:rFonts w:hint="eastAsia" w:ascii="宋体" w:hAnsi="宋体" w:cs="宋体"/>
                <w:szCs w:val="21"/>
                <w:lang w:eastAsia="zh-CN"/>
              </w:rPr>
              <w:t>设备具有公安部颁发的《计算机信息系统安全专用产品检测和销售许可证管理办法》产品销售许可证并提供。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440" w:type="dxa"/>
            <w:vMerge w:val="continue"/>
            <w:shd w:val="clear" w:color="auto" w:fill="FFFFFF"/>
            <w:noWrap/>
            <w:vAlign w:val="center"/>
          </w:tcPr>
          <w:p>
            <w:pPr>
              <w:pStyle w:val="189"/>
              <w:spacing w:before="156"/>
              <w:rPr>
                <w:rFonts w:ascii="宋体" w:hAnsi="宋体" w:cs="宋体"/>
                <w:szCs w:val="21"/>
                <w:lang w:eastAsia="zh-CN"/>
              </w:rPr>
            </w:pPr>
          </w:p>
        </w:tc>
        <w:tc>
          <w:tcPr>
            <w:tcW w:w="7080" w:type="dxa"/>
            <w:shd w:val="clear" w:color="auto" w:fill="FFFFFF"/>
            <w:noWrap/>
            <w:vAlign w:val="center"/>
          </w:tcPr>
          <w:p>
            <w:pPr>
              <w:pStyle w:val="189"/>
              <w:spacing w:before="156"/>
              <w:rPr>
                <w:rFonts w:ascii="宋体" w:hAnsi="宋体" w:cs="宋体"/>
                <w:szCs w:val="21"/>
                <w:lang w:eastAsia="zh-CN"/>
              </w:rPr>
            </w:pPr>
            <w:r>
              <w:rPr>
                <w:rFonts w:hint="eastAsia" w:ascii="宋体" w:hAnsi="宋体" w:cs="宋体"/>
                <w:szCs w:val="21"/>
                <w:lang w:eastAsia="zh-CN"/>
              </w:rPr>
              <w:t>为保证认证设备接入合法性、安全性，可通过串接或镜像方式采集用户的访问日志，日志满足公安部82号令信息安全要求，。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保证系统稳定、高效地运行，并在系统升级的时候对建设好的系统进行同步的升级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提供三年的免费服务，该服务内容包括软件版本升级、提供补丁、功能维护、硬件维修、咨询和用户提出的不超过合同范围的功能修改。免费服务期自产品在安装验收合格之日算起。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Merge w:val="continue"/>
            <w:noWrap/>
            <w:vAlign w:val="center"/>
          </w:tcPr>
          <w:p>
            <w:pPr>
              <w:pStyle w:val="189"/>
              <w:spacing w:before="156"/>
              <w:rPr>
                <w:rFonts w:ascii="宋体" w:hAnsi="宋体" w:cs="宋体"/>
                <w:szCs w:val="21"/>
                <w:lang w:eastAsia="zh-CN"/>
              </w:rPr>
            </w:pPr>
          </w:p>
        </w:tc>
        <w:tc>
          <w:tcPr>
            <w:tcW w:w="7080" w:type="dxa"/>
            <w:noWrap/>
            <w:vAlign w:val="center"/>
          </w:tcPr>
          <w:p>
            <w:pPr>
              <w:pStyle w:val="189"/>
              <w:spacing w:before="156"/>
              <w:rPr>
                <w:rFonts w:ascii="宋体" w:hAnsi="宋体" w:cs="宋体"/>
                <w:szCs w:val="21"/>
                <w:lang w:eastAsia="zh-CN"/>
              </w:rPr>
            </w:pPr>
            <w:r>
              <w:rPr>
                <w:rFonts w:hint="eastAsia" w:ascii="宋体" w:hAnsi="宋体" w:cs="宋体"/>
                <w:szCs w:val="21"/>
                <w:lang w:eastAsia="zh-CN"/>
              </w:rPr>
              <w:t>免费提供现场安装维护；免费提供2人次以上的系统管理技术培训（培训时间每人次不少于30小时）。</w:t>
            </w:r>
          </w:p>
        </w:tc>
      </w:tr>
    </w:tbl>
    <w:p>
      <w:pPr>
        <w:numPr>
          <w:ilvl w:val="2"/>
          <w:numId w:val="0"/>
        </w:numPr>
        <w:spacing w:line="360" w:lineRule="auto"/>
        <w:rPr>
          <w:rFonts w:ascii="宋体" w:hAnsi="宋体" w:cs="宋体"/>
          <w:szCs w:val="21"/>
        </w:rPr>
      </w:pPr>
    </w:p>
    <w:p>
      <w:pPr>
        <w:numPr>
          <w:ilvl w:val="2"/>
          <w:numId w:val="0"/>
        </w:numPr>
        <w:spacing w:line="360" w:lineRule="auto"/>
        <w:rPr>
          <w:rFonts w:ascii="宋体" w:hAnsi="宋体" w:cs="宋体"/>
          <w:b/>
          <w:szCs w:val="21"/>
        </w:rPr>
      </w:pPr>
    </w:p>
    <w:p>
      <w:pPr>
        <w:numPr>
          <w:ilvl w:val="2"/>
          <w:numId w:val="0"/>
        </w:numPr>
        <w:spacing w:line="360" w:lineRule="auto"/>
        <w:rPr>
          <w:rFonts w:ascii="宋体" w:hAnsi="宋体" w:cs="宋体"/>
          <w:b/>
          <w:szCs w:val="21"/>
        </w:rPr>
      </w:pPr>
      <w:r>
        <w:rPr>
          <w:rFonts w:hint="eastAsia" w:ascii="宋体" w:hAnsi="宋体" w:cs="宋体"/>
          <w:b/>
          <w:szCs w:val="21"/>
        </w:rPr>
        <w:t>2</w:t>
      </w:r>
      <w:r>
        <w:rPr>
          <w:rFonts w:hint="eastAsia" w:ascii="宋体" w:hAnsi="宋体" w:cs="宋体"/>
          <w:b/>
          <w:szCs w:val="21"/>
          <w:lang w:val="en-GB"/>
        </w:rPr>
        <w:t>3</w:t>
      </w:r>
      <w:r>
        <w:rPr>
          <w:rFonts w:hint="eastAsia" w:ascii="宋体" w:hAnsi="宋体" w:cs="宋体"/>
          <w:b/>
          <w:szCs w:val="21"/>
        </w:rPr>
        <w:t>、多媒体智慧黑板管理平台</w:t>
      </w:r>
    </w:p>
    <w:tbl>
      <w:tblPr>
        <w:tblStyle w:val="59"/>
        <w:tblW w:w="9540"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8"/>
        <w:gridCol w:w="2816"/>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 w:hRule="atLeast"/>
        </w:trPr>
        <w:tc>
          <w:tcPr>
            <w:tcW w:w="1338" w:type="dxa"/>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货物名称</w:t>
            </w:r>
          </w:p>
        </w:tc>
        <w:tc>
          <w:tcPr>
            <w:tcW w:w="8202" w:type="dxa"/>
            <w:gridSpan w:val="2"/>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38" w:type="dxa"/>
            <w:vMerge w:val="restart"/>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多媒体教学一体机统一管控平台</w:t>
            </w:r>
          </w:p>
        </w:tc>
        <w:tc>
          <w:tcPr>
            <w:tcW w:w="2816" w:type="dxa"/>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数量</w:t>
            </w:r>
          </w:p>
        </w:tc>
        <w:tc>
          <w:tcPr>
            <w:tcW w:w="5386" w:type="dxa"/>
            <w:noWrap/>
            <w:vAlign w:val="center"/>
          </w:tcPr>
          <w:p>
            <w:pPr>
              <w:spacing w:before="156" w:after="130"/>
              <w:rPr>
                <w:rFonts w:ascii="宋体" w:hAnsi="宋体" w:cs="宋体"/>
                <w:color w:val="000000"/>
                <w:szCs w:val="21"/>
              </w:rPr>
            </w:pPr>
            <w:r>
              <w:rPr>
                <w:rFonts w:hint="eastAsia" w:ascii="宋体" w:hAnsi="宋体" w:cs="宋体"/>
                <w:color w:val="000000"/>
                <w:szCs w:val="21"/>
              </w:rPr>
              <w:t>1套，对全区所有智慧黑板进行管理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38" w:type="dxa"/>
            <w:vMerge w:val="continue"/>
            <w:noWrap/>
            <w:vAlign w:val="center"/>
          </w:tcPr>
          <w:p>
            <w:pPr>
              <w:spacing w:before="156" w:after="130"/>
              <w:jc w:val="center"/>
              <w:rPr>
                <w:rFonts w:ascii="宋体" w:hAnsi="宋体" w:cs="宋体"/>
                <w:color w:val="000000"/>
                <w:szCs w:val="21"/>
              </w:rPr>
            </w:pPr>
          </w:p>
        </w:tc>
        <w:tc>
          <w:tcPr>
            <w:tcW w:w="2816" w:type="dxa"/>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本土化及语言支持</w:t>
            </w:r>
          </w:p>
        </w:tc>
        <w:tc>
          <w:tcPr>
            <w:tcW w:w="5386" w:type="dxa"/>
            <w:noWrap/>
            <w:vAlign w:val="center"/>
          </w:tcPr>
          <w:p>
            <w:pPr>
              <w:spacing w:before="156" w:after="130"/>
              <w:rPr>
                <w:rFonts w:ascii="宋体" w:hAnsi="宋体" w:cs="宋体"/>
                <w:color w:val="000000"/>
                <w:szCs w:val="21"/>
              </w:rPr>
            </w:pPr>
            <w:r>
              <w:rPr>
                <w:rFonts w:hint="eastAsia" w:ascii="宋体" w:hAnsi="宋体" w:cs="宋体"/>
                <w:color w:val="000000"/>
                <w:szCs w:val="21"/>
              </w:rPr>
              <w:t>国产正版软件；产品需能支持中文简体/英文等多种语系；产品须为本土化研发，有本土化技术支持服务体系；厂商拥有独立知识产权；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38" w:type="dxa"/>
            <w:vMerge w:val="continue"/>
            <w:noWrap/>
            <w:vAlign w:val="center"/>
          </w:tcPr>
          <w:p>
            <w:pPr>
              <w:spacing w:before="156" w:after="130"/>
              <w:jc w:val="center"/>
              <w:rPr>
                <w:rFonts w:ascii="宋体" w:hAnsi="宋体" w:cs="宋体"/>
                <w:color w:val="000000"/>
                <w:szCs w:val="21"/>
              </w:rPr>
            </w:pPr>
          </w:p>
        </w:tc>
        <w:tc>
          <w:tcPr>
            <w:tcW w:w="2816" w:type="dxa"/>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产品技术</w:t>
            </w:r>
          </w:p>
        </w:tc>
        <w:tc>
          <w:tcPr>
            <w:tcW w:w="5386" w:type="dxa"/>
            <w:noWrap/>
            <w:vAlign w:val="center"/>
          </w:tcPr>
          <w:p>
            <w:pPr>
              <w:spacing w:before="156"/>
              <w:ind w:left="360"/>
              <w:rPr>
                <w:rFonts w:ascii="宋体" w:hAnsi="宋体" w:cs="宋体"/>
                <w:color w:val="000000"/>
                <w:szCs w:val="21"/>
              </w:rPr>
            </w:pPr>
            <w:r>
              <w:rPr>
                <w:rFonts w:hint="eastAsia" w:ascii="宋体" w:hAnsi="宋体" w:cs="宋体"/>
                <w:color w:val="000000"/>
                <w:szCs w:val="21"/>
              </w:rPr>
              <w:t>可实现区教育局层面和学校层面二级管理主要功能为：</w:t>
            </w:r>
          </w:p>
          <w:p>
            <w:pPr>
              <w:spacing w:before="156"/>
              <w:ind w:left="360"/>
              <w:rPr>
                <w:rFonts w:ascii="宋体" w:hAnsi="宋体" w:cs="宋体"/>
                <w:color w:val="000000"/>
                <w:szCs w:val="21"/>
              </w:rPr>
            </w:pPr>
            <w:r>
              <w:rPr>
                <w:rFonts w:hint="eastAsia" w:ascii="宋体" w:hAnsi="宋体" w:cs="宋体"/>
                <w:color w:val="000000"/>
                <w:szCs w:val="21"/>
              </w:rPr>
              <w:t>1. 报表统计：以图文形式对智慧黑板的使用情况进行数据统计，可按天或按月统计，统计内容包括开机率、开机时长、活跃度排名、软件使用情况（PPT、白板软件、多媒体教学资源等），点击统计图可查看详细信息。</w:t>
            </w:r>
          </w:p>
          <w:p>
            <w:pPr>
              <w:spacing w:before="156"/>
              <w:ind w:left="360"/>
              <w:rPr>
                <w:rFonts w:ascii="宋体" w:hAnsi="宋体" w:cs="宋体"/>
                <w:color w:val="000000"/>
                <w:szCs w:val="21"/>
              </w:rPr>
            </w:pPr>
            <w:r>
              <w:rPr>
                <w:rFonts w:hint="eastAsia" w:ascii="宋体" w:hAnsi="宋体" w:cs="宋体"/>
                <w:color w:val="000000"/>
                <w:szCs w:val="21"/>
              </w:rPr>
              <w:t>2. 统计报表导出：支持一键导出统计报表，可按月份导出每月统计数据，导出的多项内容直接复制粘贴可用。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38" w:type="dxa"/>
            <w:vMerge w:val="continue"/>
            <w:noWrap/>
            <w:vAlign w:val="center"/>
          </w:tcPr>
          <w:p>
            <w:pPr>
              <w:spacing w:before="156" w:after="130"/>
              <w:jc w:val="center"/>
              <w:rPr>
                <w:rFonts w:ascii="宋体" w:hAnsi="宋体" w:cs="宋体"/>
                <w:color w:val="000000"/>
                <w:szCs w:val="21"/>
              </w:rPr>
            </w:pPr>
          </w:p>
        </w:tc>
        <w:tc>
          <w:tcPr>
            <w:tcW w:w="2816" w:type="dxa"/>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兼容性</w:t>
            </w:r>
          </w:p>
        </w:tc>
        <w:tc>
          <w:tcPr>
            <w:tcW w:w="5386" w:type="dxa"/>
            <w:noWrap/>
            <w:vAlign w:val="center"/>
          </w:tcPr>
          <w:p>
            <w:pPr>
              <w:spacing w:before="156" w:after="130"/>
              <w:rPr>
                <w:rFonts w:ascii="宋体" w:hAnsi="宋体" w:cs="宋体"/>
                <w:color w:val="000000"/>
                <w:szCs w:val="21"/>
              </w:rPr>
            </w:pPr>
            <w:r>
              <w:rPr>
                <w:rFonts w:hint="eastAsia" w:ascii="宋体" w:hAnsi="宋体" w:cs="宋体"/>
                <w:color w:val="000000"/>
                <w:szCs w:val="21"/>
              </w:rPr>
              <w:t>要求有很好的软、硬件兼容性；兼容HP、IBM、DELL服务器硬件，兼容HP、DELL、升腾、联想、方正等计算机硬件，和INTEL、HP、IBM、DELL等主流硬件厂商有长期技术合作关系；</w:t>
            </w:r>
          </w:p>
          <w:p>
            <w:pPr>
              <w:spacing w:before="156" w:after="130"/>
              <w:rPr>
                <w:rFonts w:ascii="宋体" w:hAnsi="宋体" w:cs="宋体"/>
                <w:color w:val="000000"/>
                <w:szCs w:val="21"/>
              </w:rPr>
            </w:pPr>
            <w:r>
              <w:rPr>
                <w:rFonts w:hint="eastAsia" w:ascii="宋体" w:hAnsi="宋体" w:cs="宋体"/>
                <w:color w:val="000000"/>
                <w:szCs w:val="21"/>
              </w:rPr>
              <w:t>支持各类语音系统、教学软件、多媒体系统、办公软件系统、网络考试系统、设计图纸软件等。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338" w:type="dxa"/>
            <w:vMerge w:val="continue"/>
            <w:noWrap/>
            <w:vAlign w:val="center"/>
          </w:tcPr>
          <w:p>
            <w:pPr>
              <w:spacing w:before="156" w:after="130"/>
              <w:jc w:val="center"/>
              <w:rPr>
                <w:rFonts w:ascii="宋体" w:hAnsi="宋体" w:cs="宋体"/>
                <w:color w:val="000000"/>
                <w:szCs w:val="21"/>
              </w:rPr>
            </w:pPr>
          </w:p>
        </w:tc>
        <w:tc>
          <w:tcPr>
            <w:tcW w:w="2816" w:type="dxa"/>
            <w:noWrap/>
            <w:vAlign w:val="center"/>
          </w:tcPr>
          <w:p>
            <w:pPr>
              <w:spacing w:before="156" w:after="130"/>
              <w:jc w:val="center"/>
              <w:rPr>
                <w:rFonts w:ascii="宋体" w:hAnsi="宋体" w:cs="宋体"/>
                <w:color w:val="000000"/>
                <w:szCs w:val="21"/>
              </w:rPr>
            </w:pPr>
            <w:r>
              <w:rPr>
                <w:rFonts w:hint="eastAsia" w:ascii="宋体" w:hAnsi="宋体" w:cs="宋体"/>
                <w:color w:val="000000"/>
                <w:szCs w:val="21"/>
              </w:rPr>
              <w:t>系统支持</w:t>
            </w:r>
          </w:p>
        </w:tc>
        <w:tc>
          <w:tcPr>
            <w:tcW w:w="5386" w:type="dxa"/>
            <w:noWrap/>
            <w:vAlign w:val="center"/>
          </w:tcPr>
          <w:p>
            <w:pPr>
              <w:spacing w:before="156" w:after="130"/>
              <w:rPr>
                <w:rFonts w:ascii="宋体" w:hAnsi="宋体" w:cs="宋体"/>
                <w:color w:val="000000"/>
                <w:szCs w:val="21"/>
              </w:rPr>
            </w:pPr>
            <w:r>
              <w:rPr>
                <w:rFonts w:hint="eastAsia" w:ascii="宋体" w:hAnsi="宋体" w:cs="宋体"/>
                <w:color w:val="000000"/>
                <w:szCs w:val="21"/>
              </w:rPr>
              <w:t>服务器需支持Windows 2003、2008、2012；</w:t>
            </w:r>
          </w:p>
          <w:p>
            <w:pPr>
              <w:spacing w:before="156" w:after="130"/>
              <w:rPr>
                <w:rFonts w:ascii="宋体" w:hAnsi="宋体" w:cs="宋体"/>
                <w:color w:val="000000"/>
                <w:szCs w:val="21"/>
              </w:rPr>
            </w:pPr>
            <w:r>
              <w:rPr>
                <w:rFonts w:hint="eastAsia" w:ascii="宋体" w:hAnsi="宋体" w:cs="宋体"/>
                <w:color w:val="000000"/>
                <w:szCs w:val="21"/>
              </w:rPr>
              <w:t xml:space="preserve">客户机需支持Windows xp、Windows7、Windows 8、Windows 10，包括32位和64位系统； </w:t>
            </w:r>
          </w:p>
        </w:tc>
      </w:tr>
    </w:tbl>
    <w:p>
      <w:pPr>
        <w:pStyle w:val="293"/>
        <w:spacing w:beforeLines="100" w:afterLines="100" w:line="360" w:lineRule="auto"/>
        <w:ind w:left="0" w:firstLine="0"/>
        <w:outlineLvl w:val="9"/>
        <w:rPr>
          <w:rFonts w:ascii="宋体" w:hAnsi="宋体" w:eastAsia="宋体" w:cs="宋体"/>
          <w:bCs/>
          <w:sz w:val="21"/>
          <w:szCs w:val="21"/>
          <w:lang w:val="en-GB"/>
        </w:rPr>
      </w:pPr>
    </w:p>
    <w:p>
      <w:pPr>
        <w:spacing w:before="156"/>
        <w:ind w:firstLine="211" w:firstLineChars="100"/>
        <w:rPr>
          <w:rFonts w:ascii="宋体" w:hAnsi="宋体" w:cs="宋体"/>
          <w:b/>
          <w:szCs w:val="21"/>
          <w:lang w:val="en-GB"/>
        </w:rPr>
      </w:pPr>
      <w:r>
        <w:rPr>
          <w:rFonts w:hint="eastAsia" w:ascii="宋体" w:hAnsi="宋体" w:cs="宋体"/>
          <w:b/>
          <w:bCs/>
          <w:szCs w:val="21"/>
        </w:rPr>
        <w:t>24.</w:t>
      </w:r>
      <w:r>
        <w:rPr>
          <w:rFonts w:hint="eastAsia" w:ascii="宋体" w:hAnsi="宋体" w:cs="宋体"/>
          <w:b/>
          <w:bCs/>
          <w:szCs w:val="21"/>
          <w:lang w:val="en-GB"/>
        </w:rPr>
        <w:t>视频监控</w:t>
      </w:r>
      <w:r>
        <w:rPr>
          <w:rFonts w:hint="eastAsia" w:ascii="宋体" w:hAnsi="宋体" w:cs="宋体"/>
          <w:b/>
          <w:bCs/>
          <w:szCs w:val="21"/>
        </w:rPr>
        <w:t>所需设备清单</w:t>
      </w:r>
      <w:r>
        <w:rPr>
          <w:rFonts w:hint="eastAsia" w:ascii="宋体" w:hAnsi="宋体" w:cs="宋体"/>
          <w:b/>
          <w:szCs w:val="21"/>
          <w:lang w:val="en-GB"/>
        </w:rPr>
        <w:t>(需要平滑稳定兼容学校现有视频监控系统，学校端存储一月以上，云平台备份一个月以上。平台要求符合接入能省公安平台技术要求)。</w:t>
      </w:r>
    </w:p>
    <w:p>
      <w:pPr>
        <w:spacing w:before="156"/>
        <w:ind w:firstLine="210" w:firstLineChars="100"/>
        <w:rPr>
          <w:rFonts w:ascii="宋体" w:hAnsi="宋体" w:cs="宋体"/>
          <w:szCs w:val="21"/>
        </w:rPr>
      </w:pPr>
      <w:r>
        <w:rPr>
          <w:rFonts w:hint="eastAsia" w:ascii="宋体" w:hAnsi="宋体" w:cs="宋体"/>
          <w:szCs w:val="21"/>
        </w:rPr>
        <w:t>(1)、200万高清枪机</w:t>
      </w:r>
    </w:p>
    <w:tbl>
      <w:tblPr>
        <w:tblStyle w:val="59"/>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 具有200W像素1/2.8英寸 CMOS传感器。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2、镜头毫米数：2.8mm/3.6mm/6.0mm可选；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3. ▲在1920x1080 25fps下，码率设定为1Mbps，RJ45输出，清晰度不小于1100TVL。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4.支持滤光片切换功能，摄像机可在白天、夜晚模式下自动切换滤光片进行成像。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5. 最低照度彩色：0.001lx，黑白：0.0001 lx。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6. 支持H.265、H.264、MPEG-4、MJPEG视频编码格式，其中H.265和H.264都支持Baseline/Main/High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7. 在1920x1080 @30fps下，码率设定为2Mbps，图像传输延时≤85ms。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8. 支持智能编码功能，摄像机开启智能编码功能后，码流节约1/2。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9. 信噪比不小于60dB。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10. 宽动态不小于106dB。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11. 红外补光距离不小于150米。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12. 支持在20%丢包率的网络环境下，可正常显示监视画面。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13. 支持最多同时开启25个视频窗口进行画面浏览。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14. 支持通过IE浏览器对视频图像的亮度，对比度，饱和度，锐度，伽马进行设置。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15. 支持存储卡锁定功能，锁定后的存储卡不能在电脑，手机或其他设备上读取。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16. 支持10行及以上字符叠加，字体大小、颜色、对齐方式可设，具有图片叠加到视频画面功能。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17. 支持IP地址获取和IP地址搜索功能。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18. 支持匿名访问功能，用户无需输入用户名和密码即能浏览视频图像。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19. 支持智能后检索的开启或关闭。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20. 在IE浏览器下，具有认证模式设置选项，且RTSP认证具有basic和digest两种设置选项。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21. 支持匿名访问功能，用户无输入用户名和密码即能浏览视频图像。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22. 支持MAC地址访问控制功能，可添加100个MAC地址。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23.  设置密码时，可以自动提示密码复杂度为高、中、低。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24. 支持区域裁剪功能，裁剪后的视频图像分辨率可设置为704x480等7种分辨率。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25. 支持场景参数设置，可设置4套场景参数，不同场景参数可按设定时间自动切换。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26. 支持自动维护功能，摄像机可自动重启系统或删除旧文件。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27. 具有背光补偿、强光抑制、自动增益、透雾、3D降噪、走廊模式、感兴趣区域、SVC、断网续传、配置保存、断电保护、用户登录锁定、用户管理、远程管理、配置管理等功能。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28. 具有音频异常侦测、人脸检测、人脸增强、场景变更侦测等功能。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29. 摄像机在视频遮挡、存储器满、非法访问、SD卡拔出、网络断开、IP冲突时可给出报警提示。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具有1个100M/1000M RJ45网络接口、1个RESET按键。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支持DC12V/POE供电，电源电压在DC(7~24)V范围内变化时设备可以正常工作。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23" w:type="dxa"/>
            <w:vMerge w:val="continue"/>
            <w:noWrap/>
            <w:vAlign w:val="center"/>
          </w:tcPr>
          <w:p>
            <w:pPr>
              <w:widowControl/>
              <w:spacing w:before="156"/>
              <w:jc w:val="left"/>
              <w:rPr>
                <w:rFonts w:ascii="宋体" w:hAnsi="宋体" w:cs="宋体"/>
                <w:color w:val="000000"/>
                <w:kern w:val="0"/>
                <w:szCs w:val="21"/>
              </w:rPr>
            </w:pPr>
          </w:p>
        </w:tc>
        <w:tc>
          <w:tcPr>
            <w:tcW w:w="7657"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设备工作状态时，支持空气放电8kV，接触放电6kV，电源输入端和网络接口端均支持6kV峰值电压。</w:t>
            </w:r>
          </w:p>
        </w:tc>
      </w:tr>
    </w:tbl>
    <w:p>
      <w:pPr>
        <w:spacing w:before="156"/>
        <w:ind w:firstLine="211" w:firstLineChars="100"/>
        <w:rPr>
          <w:rFonts w:ascii="宋体" w:hAnsi="宋体" w:cs="宋体"/>
          <w:b/>
          <w:szCs w:val="21"/>
        </w:rPr>
      </w:pPr>
      <w:r>
        <w:rPr>
          <w:rFonts w:hint="eastAsia" w:ascii="宋体" w:hAnsi="宋体" w:cs="宋体"/>
          <w:b/>
          <w:szCs w:val="21"/>
        </w:rPr>
        <w:t xml:space="preserve"> (2)、200万高清半球</w:t>
      </w:r>
    </w:p>
    <w:tbl>
      <w:tblPr>
        <w:tblStyle w:val="59"/>
        <w:tblW w:w="8595"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　</w:t>
            </w: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 具有200W像素 CMOS传感器。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2、镜头焦距:2.8mm/3.6mm/6mm可选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 最大分辨率1920x1080。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3. ▲在1920x1080 @ 25fps下，码率设定为1Mbps，RJ45输出，清晰度不小于1100TVL。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4. 最低照度彩色：0.001 lx，黑白：0.0001 lx。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5. 支持H.265、H.264、MJPEG视频编码格式，其中H.264支持Baseline/Main/High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6. 支持三码流技术，主码流最高1920x1080@30fps，第三码流最大1920x1080 @ 30fps，子码流704x480@30fps。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7. 图像传输延时≤90ms。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8. 信噪比不小于58dB。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9. 需具不小于105dB宽动态。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10. 红外补光距离不小于50米。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11. 支持最多同时开启20个视频窗口进行画面浏览。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12. 在IE浏览器下，具有亮度，对比度，饱和度，锐度，gamma设置选项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13. 支持10行及以上字符叠加，叠加位置可设，具有图片叠加到视频画面功能。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14. 支持区域遮盖功能，并能支持4块区域。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15. 支持通过IE浏览器设置录像时段和存储路径，并能通过客户端和IE浏览器对录像文件进行回放。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16. 具有黑白名单功能,支持MAC地址过滤功能。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17. 具备移动侦测、区域入侵、越界入侵、物体遗留、徘徊、停车、快速移动、人员聚集等智能行为分析功能。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18. 具备人脸抓拍、人脸增强、视频遮挡报警、场景变更侦测、故障报警、报警联动等功能。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19. 具有感兴趣区域、SVC可伸缩编码、自动增益、背光补偿、数字降噪、强光抑制、断电保护、智能红外、用户管理、用户登录锁定、日志检索、配置保存等功能。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20. 摄像机能够在-20~70摄氏度，湿度小于93%环境下稳定工作。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21. 支持IP67防护等级。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22. 支持DC12V/POE供电，电源电压在DC12V±30%范围内变化时设备可以正常工作。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23. 设备工作状态时，支持空气放电8kV，接触放电6kV，电源输入端和网络接口端均支持6kV峰值电压。</w:t>
            </w:r>
          </w:p>
        </w:tc>
      </w:tr>
    </w:tbl>
    <w:p>
      <w:pPr>
        <w:spacing w:before="156"/>
        <w:ind w:firstLine="211" w:firstLineChars="100"/>
        <w:rPr>
          <w:rFonts w:ascii="宋体" w:hAnsi="宋体" w:cs="宋体"/>
          <w:b/>
          <w:szCs w:val="21"/>
        </w:rPr>
      </w:pPr>
      <w:r>
        <w:rPr>
          <w:rFonts w:hint="eastAsia" w:ascii="宋体" w:hAnsi="宋体" w:cs="宋体"/>
          <w:b/>
          <w:szCs w:val="21"/>
        </w:rPr>
        <w:t>(3)、200万球机</w:t>
      </w:r>
    </w:p>
    <w:tbl>
      <w:tblPr>
        <w:tblStyle w:val="59"/>
        <w:tblW w:w="8595"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1、支持200万像素；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2、摄像机靶面尺寸不小于1/2.8英寸；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3、支持23倍光学变倍，16倍数字变倍；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4、焦距：5.0mm～115mm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5、支持H.265编码，实现超低码流传输；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6、电源具备较好的环境适应性，电压在AC24V±42%范围内变化时，设备可正常工作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7、支持水平手控速度最大为670°/S，云台定位精度为±0.1°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8、分辨力不小于1100TVL（分辨力为1920*1080，帧率为60fps/S）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9、支持最低照度可达彩色0.0005Lux，黑白0.0002Lux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10、支持宽动态不低于105.6dB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11、设备应不少于1000个预置位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12、支持32条巡航路径，每条巡航可以添加32个预置点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13、支持32条模式路径，每条路径的记录时间应大于16分钟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14、支持定时启动、断电记忆功能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15、可通过IE浏览器在视频图像上叠加通道名称、时间、预置点信息、坐标信息、倍数显示、温度显示和地理位置信息，具有11行字符显示，字体可设置为16×16像素、32×32像素、48×48像素、64×64像素、自适应等模式，字体颜色可设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16、支持主动注册、断线自动重连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17、红外距离不小于550m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18、信噪比支持不小于63.1dB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19、在网络直接环境下，只输出主码流、分辨率设置为1920*1080、帧率设置为50fps、码率2M时，网络延时≤90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20、支持云台限位功能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21、样机支持自动光圈和手动光圈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22、码率设置可为4Kbps-40Mbps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23、音频输入可设置为Line in、Mic in和立体声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24、支持设置396个移动侦测区域，目标移动触发边框将变为绿色，可联动报警并给出提示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25、支持浏览器对存储卡进行读写锁定 支持浏览器对存储卡进行读写锁定 支持浏览器对存储卡进行读写锁定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26、支持单场景跟踪与手动跟踪模式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27、支持热度图功能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28、最多可支持同时开启28个视频窗口进行浏览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29、网络传输能力满足发送2000个数据包，重复测试3次，每次丢包数小于1个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9" w:type="dxa"/>
            <w:vMerge w:val="continue"/>
            <w:noWrap/>
            <w:vAlign w:val="center"/>
          </w:tcPr>
          <w:p>
            <w:pPr>
              <w:widowControl/>
              <w:spacing w:before="156"/>
              <w:jc w:val="left"/>
              <w:rPr>
                <w:rFonts w:ascii="宋体" w:hAnsi="宋体" w:cs="宋体"/>
                <w:color w:val="000000"/>
                <w:kern w:val="0"/>
                <w:szCs w:val="21"/>
              </w:rPr>
            </w:pPr>
          </w:p>
        </w:tc>
        <w:tc>
          <w:tcPr>
            <w:tcW w:w="787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30、具备较强的网络自适应能力，在丢包率为20%的网络环境下，仍可正常显示监视画面。 </w:t>
            </w:r>
          </w:p>
        </w:tc>
      </w:tr>
    </w:tbl>
    <w:p>
      <w:pPr>
        <w:spacing w:before="156"/>
        <w:rPr>
          <w:rFonts w:ascii="宋体" w:hAnsi="宋体" w:cs="宋体"/>
          <w:szCs w:val="21"/>
        </w:rPr>
      </w:pPr>
    </w:p>
    <w:p>
      <w:pPr>
        <w:spacing w:before="156"/>
        <w:ind w:firstLine="211" w:firstLineChars="100"/>
        <w:rPr>
          <w:rFonts w:ascii="宋体" w:hAnsi="宋体" w:cs="宋体"/>
          <w:b/>
          <w:szCs w:val="21"/>
        </w:rPr>
      </w:pPr>
      <w:r>
        <w:rPr>
          <w:rFonts w:hint="eastAsia" w:ascii="宋体" w:hAnsi="宋体" w:cs="宋体"/>
          <w:b/>
          <w:szCs w:val="21"/>
        </w:rPr>
        <w:t>(4)、8路硬盘录像机</w:t>
      </w:r>
    </w:p>
    <w:tbl>
      <w:tblPr>
        <w:tblStyle w:val="59"/>
        <w:tblW w:w="8610"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1、采用嵌入式Linux系统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2、8路2盘位网络硬盘录像机，支持8路H.265或H.264编码的网络高清视频接入；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3、支持4路4K或者8路1080P视频解码回放；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4、支持秒级回放，可记录并回放设备断网前一秒的录像；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5、内置2个SATA接口，最大可支持8TB硬盘，可自动识别硬盘工作状态；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7、支持4K分辨率码流接入并解码输出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8、单路录像可在预览界面上即时直接回放，回放时间为5min-lh可调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9、可支持H.264和H.265编码格式混和接入解码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10、支持1路VGA输出，支持1路HDMI输出；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11、支持4路4K视频解码回放及倒放；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12、支持即时回放：预览界面下，单通道回放刚过去的5-60分钟的录像；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13、支持对关键数据加锁并归档，只有解锁后才可被覆盖；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14、支持对录像的某个时间点进行添加标签，最大支持512个标签，并可进行査询；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15、支持录像切片回放功能实现录像的快速查找，通过录像切片回放可以按时间进度将一段长录像分成4/8份，然后进行多画面同时回放，迅速定位目标，极大地节省录像查找时间；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16、支持双操作系统，支持Normal和Rescue两套系统，可进行切换；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17、支持定时语音播放；支持移动侦测、视频丢失、视频遮盖、报警等事件联动语音播放功能。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25" w:type="dxa"/>
            <w:vMerge w:val="continue"/>
            <w:noWrap/>
            <w:vAlign w:val="center"/>
          </w:tcPr>
          <w:p>
            <w:pPr>
              <w:widowControl/>
              <w:spacing w:before="156"/>
              <w:jc w:val="left"/>
              <w:rPr>
                <w:rFonts w:ascii="宋体" w:hAnsi="宋体" w:cs="宋体"/>
                <w:color w:val="000000"/>
                <w:kern w:val="0"/>
                <w:szCs w:val="21"/>
              </w:rPr>
            </w:pPr>
          </w:p>
        </w:tc>
        <w:tc>
          <w:tcPr>
            <w:tcW w:w="7785"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18、支持登录验证， </w:t>
            </w:r>
          </w:p>
        </w:tc>
      </w:tr>
    </w:tbl>
    <w:p>
      <w:pPr>
        <w:spacing w:before="156"/>
        <w:rPr>
          <w:rFonts w:ascii="宋体" w:hAnsi="宋体" w:cs="宋体"/>
          <w:szCs w:val="21"/>
        </w:rPr>
      </w:pPr>
    </w:p>
    <w:p>
      <w:pPr>
        <w:spacing w:before="156"/>
        <w:ind w:firstLine="211" w:firstLineChars="100"/>
        <w:rPr>
          <w:rFonts w:ascii="宋体" w:hAnsi="宋体" w:cs="宋体"/>
          <w:b/>
          <w:szCs w:val="21"/>
        </w:rPr>
      </w:pPr>
      <w:r>
        <w:rPr>
          <w:rFonts w:hint="eastAsia" w:ascii="宋体" w:hAnsi="宋体" w:cs="宋体"/>
          <w:b/>
          <w:szCs w:val="21"/>
        </w:rPr>
        <w:t>(5)、16路硬盘录像机</w:t>
      </w:r>
    </w:p>
    <w:tbl>
      <w:tblPr>
        <w:tblStyle w:val="59"/>
        <w:tblW w:w="8625"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noWrap/>
            <w:vAlign w:val="center"/>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指标项</w:t>
            </w:r>
          </w:p>
        </w:tc>
        <w:tc>
          <w:tcPr>
            <w:tcW w:w="7891" w:type="dxa"/>
            <w:noWrap/>
            <w:vAlign w:val="center"/>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1、采用嵌入式Linux系统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2、16路8盘位网络硬盘录像机；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3、最大支持16路IPC接入，总码流为320Mbps,最大存储码流为320Mbps,最大转发码流为320Mbps,最大回放码流为128Mbps；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4、当设备探测到视频入侵报警和/或收到报警联动触发信号时，应能启动设备相应的通道进行联动记录，预录报警触发前最大30S视(音)频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5、最大可接入8块接口为SATA的硬盘，每个SATA口可接入最大10TB容量的硬盘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6、支持RAID 0、1、5、6、10、50、60和JBOD模式，并具有一键RAID5功能；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7、支持12M/8M/5M/3M/1080P/1.3M/720P视频输出；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8、支持4K分辨率码流接入并解码输出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9、可接入H.265、H.264、MPEG4、MJPEG、Smart264、Smart265编码格式的前端设备并存储录像文件。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10、支持2路VGA输出，2路HDMI输出；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11、支持16路1080P或4路4K视频解码显示，可同时正放或倒放16路H.265编码，1080P格式的视频图像。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12、支持通过浏览器或客户端，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13、支持即时回放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14、支持1个外置eSATA接口，4个外置USB 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15、支持2个千兆以太网口，并支持网络容错、双网域应用等工作模式 ，支持16路报警输入，6路报警输出接口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16、支持2个不同段IP地址的IPC设备接入，支持将多网口设置同一个IP地址，实现数据链路冗余，当其中一条链路失效，不影响数据传输和存储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17、支持远程管理IPC功能，支持对前端IPC远程升级；支持远程对IPC的编码配置修改，在远程设备界面选择IPC，可直接跳转到IPC登陆界面，登陆IPC后可对IPC进行配置。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18、支持录像切片回放功能实现录像的快速查找，通过录像切片回放可以按时间进度将一段长录像分成4/8/16小份，然后进行多画面同时回放，迅速定位目标，极大地节省录像查找时间；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19、支持双系统应用，当主系统出现故障时，可通过备用系统恢复出场设置并正常启动；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20综合型数字录像设备，当设备探测到视频入侵报警和/或收到报警联动触发信号时，应能启动设备相应的通道进行联动记录。设备应能预录报警触发前≥5s的视（音）频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21、可按照移动侦测、信号量报警、智能侦测等事件类型进行备份，并可进行图片备份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center"/>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22、样机可接入音频编码格式为G.711u、G.711a、G.726、G.722.1、G.729、AAC及PCM的前端设备，且可导入MP3格式的音频文件并播放，可对音频文件重命名并删除,支持多个时间段音频播放设置,可设置不同间隔、次数播放音频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89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23、样机可将登录错误、MAC地址或IP地址冲突事件记录在日志中</w:t>
            </w:r>
            <w:r>
              <w:rPr>
                <w:rFonts w:hint="eastAsia" w:ascii="宋体" w:hAnsi="宋体" w:cs="宋体"/>
                <w:color w:val="000000"/>
                <w:kern w:val="0"/>
                <w:szCs w:val="21"/>
              </w:rPr>
              <w:br w:type="textWrapping"/>
            </w:r>
            <w:r>
              <w:rPr>
                <w:rFonts w:hint="eastAsia" w:ascii="宋体" w:hAnsi="宋体" w:cs="宋体"/>
                <w:color w:val="000000"/>
                <w:kern w:val="0"/>
                <w:szCs w:val="21"/>
              </w:rPr>
              <w:t xml:space="preserve">当样机异常自动重启时，可将当前配置信息保存 </w:t>
            </w:r>
          </w:p>
        </w:tc>
      </w:tr>
    </w:tbl>
    <w:p>
      <w:pPr>
        <w:spacing w:before="156"/>
        <w:rPr>
          <w:rFonts w:ascii="宋体" w:hAnsi="宋体" w:cs="宋体"/>
          <w:b/>
          <w:szCs w:val="21"/>
        </w:rPr>
      </w:pPr>
    </w:p>
    <w:p>
      <w:pPr>
        <w:spacing w:before="156"/>
        <w:ind w:firstLine="211" w:firstLineChars="100"/>
        <w:rPr>
          <w:rFonts w:ascii="宋体" w:hAnsi="宋体" w:cs="宋体"/>
          <w:b/>
          <w:bCs/>
          <w:szCs w:val="21"/>
        </w:rPr>
      </w:pPr>
      <w:r>
        <w:rPr>
          <w:rFonts w:hint="eastAsia" w:ascii="宋体" w:hAnsi="宋体" w:cs="宋体"/>
          <w:b/>
          <w:bCs/>
          <w:szCs w:val="21"/>
        </w:rPr>
        <w:t>(6)、32路硬盘录像机</w:t>
      </w:r>
    </w:p>
    <w:tbl>
      <w:tblPr>
        <w:tblStyle w:val="59"/>
        <w:tblW w:w="865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1、采用嵌入式Linux系统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2、32路8盘位网络硬盘录像机；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3、最大支持32路网络高清信号接入，最大接入带宽320Mbps；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4、当设备探测到视频入侵报警和/或收到报警联动触发信号时，应能启动设备相应的通道进行联动记录，预录报警触发前最大30S视(音)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5、最大可接入8块接口为SATA的硬盘，每个SATA口可接入最大10TB容量的硬盘；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6、支持RAID 0、1、5、6、10、50、60和JBOD模式，并具有一键RAID5功能；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7、支持12M/8M/5M/3M/1080P/1.3M/720P视频输出；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8、支持4K分辨率码流接入并解码输出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9、可接入H.265、H.264、MPEG4、MJPEG、Smart264、Smart265编码格式的前端设备并存储录像文件。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10、支持16路1080P或4路4K视频解码显示，可同时正放或倒放16路H.265编码，1080P格式的视频图像。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11、支持通过浏览器或客户端，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12、支持即时回放；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13、支持2个千兆以太网口，并支持网络容错、双网域应用等工作模式 ，支持16路报警输入，6路报警输出接口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14、支持2个不同段IP地址的IPC设备接入，支持将多网口设置同一个IP地址，实现数据链路冗余，当其中一条链路失效，不影响数据传输和存储；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15、支持远程管理IPC功能，支持对前端IPC远程升级；支持远程对IPC的编码配置修改，在远程设备界面选择IPC，可直接跳转到IPC登陆界面，登陆IPC后可对IPC进行配置；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16、支持录像切片回放功能实现录像的快速查找，通过录像切片回放可以按时间进度将一段长录像分成4/8/16小份，然后进行多画面同时回放，迅速定位目标，节省录像查找时间；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17、支持双系统应用，当主系统出现故障时，可通过备用系统恢复出场设置并正常启动；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21、支持智能回放功能，支持人脸检测等智能事件的录像回放，可按照通道、开始时间和结束时间选择；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22、支持登录验证，密码错误5次以上将被锁定；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49" w:type="dxa"/>
            <w:vMerge w:val="continue"/>
            <w:noWrap/>
            <w:vAlign w:val="center"/>
          </w:tcPr>
          <w:p>
            <w:pPr>
              <w:widowControl/>
              <w:spacing w:before="156"/>
              <w:jc w:val="left"/>
              <w:rPr>
                <w:rFonts w:ascii="宋体" w:hAnsi="宋体" w:cs="宋体"/>
                <w:color w:val="000000"/>
                <w:kern w:val="0"/>
                <w:szCs w:val="21"/>
              </w:rPr>
            </w:pPr>
          </w:p>
        </w:tc>
        <w:tc>
          <w:tcPr>
            <w:tcW w:w="790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23、支持秒级回放，可记录并回放设备断网前一秒图像； </w:t>
            </w:r>
          </w:p>
        </w:tc>
      </w:tr>
    </w:tbl>
    <w:p>
      <w:pPr>
        <w:spacing w:before="156"/>
        <w:rPr>
          <w:rFonts w:ascii="宋体" w:hAnsi="宋体" w:cs="宋体"/>
          <w:szCs w:val="21"/>
        </w:rPr>
      </w:pPr>
    </w:p>
    <w:p>
      <w:pPr>
        <w:spacing w:before="156"/>
        <w:ind w:firstLine="211" w:firstLineChars="100"/>
        <w:rPr>
          <w:rFonts w:ascii="宋体" w:hAnsi="宋体" w:cs="宋体"/>
          <w:b/>
          <w:szCs w:val="21"/>
        </w:rPr>
      </w:pPr>
      <w:r>
        <w:rPr>
          <w:rFonts w:hint="eastAsia" w:ascii="宋体" w:hAnsi="宋体" w:cs="宋体"/>
          <w:b/>
          <w:bCs/>
          <w:szCs w:val="21"/>
        </w:rPr>
        <w:t>(7)、64路硬盘录像机</w:t>
      </w:r>
    </w:p>
    <w:tbl>
      <w:tblPr>
        <w:tblStyle w:val="59"/>
        <w:tblW w:w="8655"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1、采用嵌入式Linux系统；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2、64路16盘位网络硬盘录像机；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3、最大支持64路网络高清信号接入，最大接入带宽640Mbps；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4、当设备探测到视频入侵报警和/或收到报警联动触发信号时，应能启动设备相应的通道进行联动记录，预录报警触发前最大30S视(音)频；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5、最大可接入16块接口为SATA的硬盘，每个SATA口可接入最大10TB容量的硬盘；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6、支持RAID 0、1、5、6、10、50、60和JBOD模式，并具有一键RAID5功能；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7、视频图像，支持12M/8M/1080P/720P视频输出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8、支持16路1080P或4路4K视频解码显示，可同时正放或倒放16路H.265编码，1080P格式的视频图像。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9、支持4K分辨率码流接入并解码输出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10、可接入H.265、H.264、MPEG4、MJPEG、Smart264、Smart265编码格式的前端设备并存储录像文件。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11、支持2路VGA输出，2路HDMI输出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13、支持移动客户端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14、支持通过浏览器或客户端，以CSV文档的形式，导入导出远程设备配置。CSV文档允许用户编辑；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15、支持远程管理IPC功能，支持对前端IPC远程升级；支持远程对IPC的编码配置修改，在远程设备界面选择IPC，可直接跳转到IPC登陆界面，登陆IPC后可对IPC进行配置；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16、支持录像切片回放功能实现录像的快速查找，通过录像切片回放可以按时间进度将一段长录像分成4/8/16小份，然后进行多画面同时回放，迅速定位目标，节省录像查找时间；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17、支持双系统应用，当主系统出现故障时，可通过备用系统恢复出场设置并正常启动；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18、支持智能回放功能，支持人脸检测等智能事件的录像回放，可按照通道、开始时间和结束时间选择；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19、支持AAC及PCM格式音频导入，且可导入MP3格式的音频文件并播放，可对文件进行重命名及删除。支持带音频U盘热插拔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20、支持登录验证，密码错误5次以上将被锁定；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21"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21、支持秒级回放，可记录并回放设备断网前一秒图像； </w:t>
            </w:r>
          </w:p>
        </w:tc>
      </w:tr>
    </w:tbl>
    <w:p>
      <w:pPr>
        <w:spacing w:before="156"/>
        <w:rPr>
          <w:rFonts w:ascii="宋体" w:hAnsi="宋体" w:cs="宋体"/>
          <w:szCs w:val="21"/>
        </w:rPr>
      </w:pPr>
    </w:p>
    <w:p>
      <w:pPr>
        <w:spacing w:before="156"/>
        <w:ind w:firstLine="211" w:firstLineChars="100"/>
        <w:rPr>
          <w:rFonts w:ascii="宋体" w:hAnsi="宋体" w:cs="宋体"/>
          <w:b/>
          <w:szCs w:val="21"/>
        </w:rPr>
      </w:pPr>
      <w:r>
        <w:rPr>
          <w:rFonts w:hint="eastAsia" w:ascii="宋体" w:hAnsi="宋体" w:cs="宋体"/>
          <w:b/>
          <w:szCs w:val="21"/>
        </w:rPr>
        <w:t xml:space="preserve"> (8)、流媒体服务器</w:t>
      </w:r>
    </w:p>
    <w:tbl>
      <w:tblPr>
        <w:tblStyle w:val="59"/>
        <w:tblW w:w="8655" w:type="dxa"/>
        <w:tblInd w:w="341" w:type="dxa"/>
        <w:tblLayout w:type="fixed"/>
        <w:tblCellMar>
          <w:top w:w="0" w:type="dxa"/>
          <w:left w:w="108" w:type="dxa"/>
          <w:bottom w:w="0" w:type="dxa"/>
          <w:right w:w="108" w:type="dxa"/>
        </w:tblCellMar>
      </w:tblPr>
      <w:tblGrid>
        <w:gridCol w:w="734"/>
        <w:gridCol w:w="7921"/>
      </w:tblGrid>
      <w:tr>
        <w:tblPrEx>
          <w:tblLayout w:type="fixed"/>
          <w:tblCellMar>
            <w:top w:w="0" w:type="dxa"/>
            <w:left w:w="108" w:type="dxa"/>
            <w:bottom w:w="0" w:type="dxa"/>
            <w:right w:w="108" w:type="dxa"/>
          </w:tblCellMar>
        </w:tblPrEx>
        <w:trPr>
          <w:trHeight w:val="270" w:hRule="atLeast"/>
        </w:trPr>
        <w:tc>
          <w:tcPr>
            <w:tcW w:w="734" w:type="dxa"/>
            <w:tcBorders>
              <w:top w:val="single" w:color="auto" w:sz="4" w:space="0"/>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921" w:type="dxa"/>
            <w:tcBorders>
              <w:top w:val="single" w:color="auto" w:sz="4" w:space="0"/>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Layout w:type="fixed"/>
          <w:tblCellMar>
            <w:top w:w="0" w:type="dxa"/>
            <w:left w:w="108" w:type="dxa"/>
            <w:bottom w:w="0" w:type="dxa"/>
            <w:right w:w="108" w:type="dxa"/>
          </w:tblCellMar>
        </w:tblPrEx>
        <w:trPr>
          <w:trHeight w:val="540" w:hRule="atLeast"/>
        </w:trPr>
        <w:tc>
          <w:tcPr>
            <w:tcW w:w="734" w:type="dxa"/>
            <w:vMerge w:val="restart"/>
            <w:tcBorders>
              <w:top w:val="nil"/>
              <w:left w:val="single" w:color="auto" w:sz="4" w:space="0"/>
              <w:bottom w:val="single" w:color="auto" w:sz="4" w:space="0"/>
              <w:right w:val="single" w:color="auto" w:sz="4" w:space="0"/>
            </w:tcBorders>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1、1U标准机架式服务器，采用LINUX系统；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2、IntelXeonE3系列CPU核心数8核；内存：配置8GBDDR3ECC内存，可扩展至32G；配置1块1T 3.5吋 6Gb SATA热插拔硬盘，最大支持2块3.5/2.5 寸 SAS/SATA /SSD硬盘混插；网络: 4个100/1000Mbps 以太网口；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3、在纯流媒体转发模式下，单台支持2700Mbps的视频接入和转发带宽；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4、在IPSAN存储模式下，单台同时支持1400Mbps接入+1400Mbps存储+1400Mbps转出；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5、支持第三方视频设备设备接入；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6、支持视频平台取流；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7、支持通过视频软件取流；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8、支持IPSAN存储、云存储；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9、支持录像查询，查询月录像状态和录像段信息；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10、支持客户端录像回放和下载；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11、支持管理员权限加密；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12、支持ONVIF协议和GB28181标准，支持主动注册；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13、支持N+M备份保护；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14、支持与主控平台的高度解耦保护，主控故障，流媒体一体机还能继续执行网络存储计划；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15、组合灵活，扩容方便，支持通过分布式堆叠应用，线性提升平台整体的容量；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16、支持热备功能； </w:t>
            </w:r>
          </w:p>
        </w:tc>
      </w:tr>
      <w:tr>
        <w:tblPrEx>
          <w:tblLayout w:type="fixed"/>
          <w:tblCellMar>
            <w:top w:w="0" w:type="dxa"/>
            <w:left w:w="108" w:type="dxa"/>
            <w:bottom w:w="0" w:type="dxa"/>
            <w:right w:w="108" w:type="dxa"/>
          </w:tblCellMar>
        </w:tblPrEx>
        <w:trPr>
          <w:trHeight w:val="270" w:hRule="atLeast"/>
        </w:trPr>
        <w:tc>
          <w:tcPr>
            <w:tcW w:w="734" w:type="dxa"/>
            <w:vMerge w:val="continue"/>
            <w:tcBorders>
              <w:top w:val="nil"/>
              <w:left w:val="single" w:color="auto" w:sz="4" w:space="0"/>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p>
        </w:tc>
        <w:tc>
          <w:tcPr>
            <w:tcW w:w="7921" w:type="dxa"/>
            <w:tcBorders>
              <w:top w:val="nil"/>
              <w:left w:val="nil"/>
              <w:bottom w:val="single" w:color="auto" w:sz="4" w:space="0"/>
              <w:right w:val="single" w:color="auto" w:sz="4" w:space="0"/>
            </w:tcBorders>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 xml:space="preserve"> 17、支持时钟同步功能； </w:t>
            </w:r>
          </w:p>
        </w:tc>
      </w:tr>
    </w:tbl>
    <w:p>
      <w:pPr>
        <w:spacing w:before="156"/>
        <w:rPr>
          <w:rFonts w:ascii="宋体" w:hAnsi="宋体" w:cs="宋体"/>
          <w:szCs w:val="21"/>
          <w:lang w:val="en-GB"/>
        </w:rPr>
      </w:pPr>
    </w:p>
    <w:p>
      <w:pPr>
        <w:spacing w:before="156"/>
        <w:ind w:firstLine="211" w:firstLineChars="100"/>
        <w:rPr>
          <w:rFonts w:ascii="宋体" w:hAnsi="宋体" w:cs="宋体"/>
          <w:b/>
          <w:szCs w:val="21"/>
        </w:rPr>
      </w:pPr>
      <w:r>
        <w:rPr>
          <w:rFonts w:hint="eastAsia" w:ascii="宋体" w:hAnsi="宋体" w:cs="宋体"/>
          <w:b/>
          <w:szCs w:val="21"/>
        </w:rPr>
        <w:t xml:space="preserve"> (9)、视频监控、运维管理平台及对接网关（除中心外，如学校存在两个及以上不同品牌，为无缝对接，需要配置对接网关）</w:t>
      </w:r>
    </w:p>
    <w:tbl>
      <w:tblPr>
        <w:tblStyle w:val="59"/>
        <w:tblW w:w="8670"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指标项</w:t>
            </w:r>
          </w:p>
        </w:tc>
        <w:tc>
          <w:tcPr>
            <w:tcW w:w="793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34" w:type="dxa"/>
            <w:vMerge w:val="restart"/>
            <w:noWrap/>
          </w:tcPr>
          <w:p>
            <w:pPr>
              <w:widowControl/>
              <w:spacing w:before="156"/>
              <w:jc w:val="center"/>
              <w:rPr>
                <w:rFonts w:ascii="宋体" w:hAnsi="宋体" w:cs="宋体"/>
                <w:color w:val="000000"/>
                <w:kern w:val="0"/>
                <w:szCs w:val="21"/>
              </w:rPr>
            </w:pPr>
            <w:r>
              <w:rPr>
                <w:rFonts w:hint="eastAsia" w:ascii="宋体" w:hAnsi="宋体" w:cs="宋体"/>
                <w:color w:val="000000"/>
                <w:kern w:val="0"/>
                <w:szCs w:val="21"/>
              </w:rPr>
              <w:t>总体要求</w:t>
            </w:r>
          </w:p>
        </w:tc>
        <w:tc>
          <w:tcPr>
            <w:tcW w:w="7936" w:type="dxa"/>
            <w:noWrap/>
            <w:vAlign w:val="center"/>
          </w:tcPr>
          <w:p>
            <w:pPr>
              <w:widowControl/>
              <w:spacing w:before="156"/>
              <w:jc w:val="left"/>
              <w:rPr>
                <w:rFonts w:ascii="宋体" w:hAnsi="宋体" w:cs="宋体"/>
                <w:color w:val="000000"/>
                <w:kern w:val="0"/>
                <w:szCs w:val="21"/>
              </w:rPr>
            </w:pPr>
            <w:r>
              <w:rPr>
                <w:rFonts w:hint="eastAsia" w:ascii="宋体" w:hAnsi="宋体" w:cs="宋体"/>
                <w:b/>
                <w:szCs w:val="21"/>
              </w:rPr>
              <w:t>视频监控平台</w:t>
            </w:r>
            <w:r>
              <w:rPr>
                <w:rFonts w:hint="eastAsia" w:ascii="宋体" w:hAnsi="宋体" w:cs="宋体"/>
                <w:color w:val="000000"/>
                <w:kern w:val="0"/>
                <w:szCs w:val="21"/>
              </w:rPr>
              <w:t>多址进转存800M，绑定进转存1500M，充分提高万路级前端资源集中管理水平</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 多元的IP（段）、GB28181、ONVIF及主动注册等设备添加方式，支持500个设备或5000路通道的承载接入</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支持第三方平台对接等集群拓展.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3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运维平台功能 ：系统概览， 视频质量诊断， 一键运维， 电子地图， 录像状态检测， 报警管理， 设备状态检测， 设备报表， 报修管理.支持5000路通道接入。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34" w:type="dxa"/>
            <w:vMerge w:val="continue"/>
            <w:noWrap/>
            <w:vAlign w:val="center"/>
          </w:tcPr>
          <w:p>
            <w:pPr>
              <w:widowControl/>
              <w:spacing w:before="156"/>
              <w:jc w:val="left"/>
              <w:rPr>
                <w:rFonts w:ascii="宋体" w:hAnsi="宋体" w:cs="宋体"/>
                <w:color w:val="000000"/>
                <w:kern w:val="0"/>
                <w:szCs w:val="21"/>
              </w:rPr>
            </w:pPr>
          </w:p>
        </w:tc>
        <w:tc>
          <w:tcPr>
            <w:tcW w:w="7936" w:type="dxa"/>
            <w:noWrap/>
            <w:vAlign w:val="center"/>
          </w:tcPr>
          <w:p>
            <w:pPr>
              <w:widowControl/>
              <w:spacing w:before="156"/>
              <w:jc w:val="left"/>
              <w:rPr>
                <w:rFonts w:ascii="宋体" w:hAnsi="宋体" w:cs="宋体"/>
                <w:color w:val="000000"/>
                <w:kern w:val="0"/>
                <w:szCs w:val="21"/>
              </w:rPr>
            </w:pPr>
            <w:r>
              <w:rPr>
                <w:rFonts w:hint="eastAsia" w:ascii="宋体" w:hAnsi="宋体" w:cs="宋体"/>
                <w:color w:val="000000"/>
                <w:kern w:val="0"/>
                <w:szCs w:val="21"/>
              </w:rPr>
              <w:t>平台对接网关:硬件加密狗授权机制，Windows Embedded Standard7 64位操作系统；</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支持Web方式访问，配置、管理网关设备；</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多平台多层次级联，跨域互联互通与资源共享；</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支持联网标准协议GBT28181-2011/GB28181-2016/DB33，可以直接接入，同厂家无关；</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符合GB/T 28181-2011(含修改补充文件)、公安机关视频监控系统联网标准符合性检测要求；</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支持平台联网管理基本功能，资源共享与同步、实时预览、云台控制、录像检索/回放/下载、设备控制、报警处理等；</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2万视频通道，1个DSS，16个下级域，1个上级域</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报警频率150条/2s内，报警接收响应时间不超过1.5s；</w:t>
            </w:r>
          </w:p>
          <w:p>
            <w:pPr>
              <w:widowControl/>
              <w:spacing w:before="156"/>
              <w:jc w:val="left"/>
              <w:rPr>
                <w:rFonts w:ascii="宋体" w:hAnsi="宋体" w:cs="宋体"/>
                <w:color w:val="000000"/>
                <w:kern w:val="0"/>
                <w:szCs w:val="21"/>
              </w:rPr>
            </w:pPr>
            <w:r>
              <w:rPr>
                <w:rFonts w:hint="eastAsia" w:ascii="宋体" w:hAnsi="宋体" w:cs="宋体"/>
                <w:color w:val="000000"/>
                <w:kern w:val="0"/>
                <w:szCs w:val="21"/>
              </w:rPr>
              <w:t>项目部署中具备高度的开放性与兼容性，支持国内主流厂商(包括大华、海康、科达、宇视、天地伟业等)视频监控系统的接入；</w:t>
            </w:r>
          </w:p>
        </w:tc>
      </w:tr>
    </w:tbl>
    <w:p>
      <w:pPr>
        <w:spacing w:before="156"/>
        <w:rPr>
          <w:rFonts w:ascii="宋体" w:hAnsi="宋体" w:cs="宋体"/>
          <w:szCs w:val="21"/>
          <w:lang w:val="en-GB"/>
        </w:rPr>
      </w:pPr>
    </w:p>
    <w:p>
      <w:pPr>
        <w:spacing w:before="156"/>
        <w:ind w:firstLine="211" w:firstLineChars="100"/>
        <w:rPr>
          <w:rFonts w:ascii="宋体" w:hAnsi="宋体" w:cs="宋体"/>
          <w:b/>
          <w:szCs w:val="21"/>
          <w:lang w:val="en-GB"/>
        </w:rPr>
      </w:pPr>
      <w:r>
        <w:rPr>
          <w:rFonts w:hint="eastAsia" w:ascii="宋体" w:hAnsi="宋体" w:cs="宋体"/>
          <w:b/>
          <w:szCs w:val="21"/>
        </w:rPr>
        <w:t>（10）每套液晶显示屏参数</w:t>
      </w:r>
      <w:r>
        <w:rPr>
          <w:rFonts w:ascii="宋体" w:hAnsi="宋体" w:cs="宋体"/>
          <w:b/>
          <w:szCs w:val="21"/>
          <w:lang w:val="en-GB"/>
        </w:rPr>
        <w:t>(</w:t>
      </w:r>
      <w:r>
        <w:rPr>
          <w:rFonts w:hint="eastAsia" w:ascii="宋体" w:hAnsi="宋体" w:cs="宋体"/>
          <w:b/>
          <w:szCs w:val="21"/>
          <w:lang w:val="en-GB"/>
        </w:rPr>
        <w:t>每校一套，每套含四块监视器</w:t>
      </w:r>
      <w:r>
        <w:rPr>
          <w:rFonts w:ascii="宋体" w:hAnsi="宋体" w:cs="宋体"/>
          <w:b/>
          <w:szCs w:val="21"/>
          <w:lang w:val="en-GB"/>
        </w:rPr>
        <w:t>)</w:t>
      </w:r>
    </w:p>
    <w:tbl>
      <w:tblPr>
        <w:tblStyle w:val="59"/>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45"/>
        <w:gridCol w:w="6090"/>
        <w:gridCol w:w="60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80" w:type="dxa"/>
            <w:noWrap/>
            <w:vAlign w:val="center"/>
          </w:tcPr>
          <w:p>
            <w:pPr>
              <w:widowControl/>
              <w:adjustRightInd w:val="0"/>
              <w:snapToGrid w:val="0"/>
              <w:spacing w:before="156"/>
              <w:jc w:val="center"/>
              <w:rPr>
                <w:rFonts w:ascii="宋体" w:hAnsi="宋体" w:cs="宋体"/>
                <w:b/>
                <w:bCs/>
                <w:kern w:val="0"/>
                <w:szCs w:val="21"/>
              </w:rPr>
            </w:pPr>
            <w:r>
              <w:rPr>
                <w:rFonts w:hint="eastAsia" w:ascii="宋体" w:hAnsi="宋体" w:cs="宋体"/>
                <w:b/>
                <w:bCs/>
                <w:kern w:val="0"/>
                <w:szCs w:val="21"/>
              </w:rPr>
              <w:t>序号</w:t>
            </w:r>
          </w:p>
        </w:tc>
        <w:tc>
          <w:tcPr>
            <w:tcW w:w="945" w:type="dxa"/>
            <w:noWrap/>
            <w:vAlign w:val="center"/>
          </w:tcPr>
          <w:p>
            <w:pPr>
              <w:widowControl/>
              <w:adjustRightInd w:val="0"/>
              <w:snapToGrid w:val="0"/>
              <w:spacing w:before="156"/>
              <w:jc w:val="center"/>
              <w:rPr>
                <w:rFonts w:ascii="宋体" w:hAnsi="宋体" w:cs="宋体"/>
                <w:b/>
                <w:bCs/>
                <w:kern w:val="0"/>
                <w:szCs w:val="21"/>
              </w:rPr>
            </w:pPr>
            <w:r>
              <w:rPr>
                <w:rFonts w:hint="eastAsia" w:ascii="宋体" w:hAnsi="宋体" w:cs="宋体"/>
                <w:b/>
                <w:bCs/>
                <w:kern w:val="0"/>
                <w:szCs w:val="21"/>
              </w:rPr>
              <w:t>设备名称</w:t>
            </w:r>
          </w:p>
        </w:tc>
        <w:tc>
          <w:tcPr>
            <w:tcW w:w="6090" w:type="dxa"/>
            <w:noWrap/>
            <w:vAlign w:val="center"/>
          </w:tcPr>
          <w:p>
            <w:pPr>
              <w:widowControl/>
              <w:adjustRightInd w:val="0"/>
              <w:snapToGrid w:val="0"/>
              <w:spacing w:before="156"/>
              <w:jc w:val="center"/>
              <w:rPr>
                <w:rFonts w:ascii="宋体" w:hAnsi="宋体" w:cs="宋体"/>
                <w:b/>
                <w:bCs/>
                <w:kern w:val="0"/>
                <w:szCs w:val="21"/>
              </w:rPr>
            </w:pPr>
            <w:r>
              <w:rPr>
                <w:rFonts w:hint="eastAsia" w:ascii="宋体" w:hAnsi="宋体" w:cs="宋体"/>
                <w:b/>
                <w:bCs/>
                <w:kern w:val="0"/>
                <w:szCs w:val="21"/>
              </w:rPr>
              <w:t>技术规格</w:t>
            </w:r>
          </w:p>
        </w:tc>
        <w:tc>
          <w:tcPr>
            <w:tcW w:w="600" w:type="dxa"/>
            <w:noWrap/>
            <w:vAlign w:val="center"/>
          </w:tcPr>
          <w:p>
            <w:pPr>
              <w:widowControl/>
              <w:adjustRightInd w:val="0"/>
              <w:snapToGrid w:val="0"/>
              <w:spacing w:before="156"/>
              <w:jc w:val="center"/>
              <w:rPr>
                <w:rFonts w:ascii="宋体" w:hAnsi="宋体" w:cs="宋体"/>
                <w:b/>
                <w:bCs/>
                <w:kern w:val="0"/>
                <w:szCs w:val="21"/>
              </w:rPr>
            </w:pPr>
            <w:r>
              <w:rPr>
                <w:rFonts w:hint="eastAsia" w:ascii="宋体" w:hAnsi="宋体" w:cs="宋体"/>
                <w:b/>
                <w:bCs/>
                <w:kern w:val="0"/>
                <w:szCs w:val="21"/>
              </w:rPr>
              <w:t>单位</w:t>
            </w:r>
          </w:p>
        </w:tc>
        <w:tc>
          <w:tcPr>
            <w:tcW w:w="570" w:type="dxa"/>
            <w:noWrap/>
            <w:vAlign w:val="center"/>
          </w:tcPr>
          <w:p>
            <w:pPr>
              <w:widowControl/>
              <w:adjustRightInd w:val="0"/>
              <w:snapToGrid w:val="0"/>
              <w:spacing w:before="156"/>
              <w:jc w:val="center"/>
              <w:rPr>
                <w:rFonts w:ascii="宋体" w:hAnsi="宋体" w:cs="宋体"/>
                <w:b/>
                <w:bCs/>
                <w:kern w:val="0"/>
                <w:szCs w:val="21"/>
              </w:rPr>
            </w:pPr>
            <w:r>
              <w:rPr>
                <w:rFonts w:hint="eastAsia" w:ascii="宋体" w:hAnsi="宋体" w:cs="宋体"/>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48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1</w:t>
            </w:r>
          </w:p>
        </w:tc>
        <w:tc>
          <w:tcPr>
            <w:tcW w:w="945" w:type="dxa"/>
            <w:noWrap/>
            <w:vAlign w:val="center"/>
          </w:tcPr>
          <w:p>
            <w:pPr>
              <w:widowControl/>
              <w:spacing w:before="156"/>
              <w:jc w:val="left"/>
              <w:rPr>
                <w:rFonts w:ascii="宋体" w:hAnsi="宋体" w:cs="宋体"/>
                <w:kern w:val="0"/>
                <w:szCs w:val="21"/>
              </w:rPr>
            </w:pPr>
            <w:r>
              <w:rPr>
                <w:rFonts w:hint="eastAsia" w:ascii="宋体" w:hAnsi="宋体" w:cs="宋体"/>
                <w:kern w:val="0"/>
                <w:szCs w:val="21"/>
              </w:rPr>
              <w:t>46寸液晶监视器</w:t>
            </w:r>
          </w:p>
        </w:tc>
        <w:tc>
          <w:tcPr>
            <w:tcW w:w="6090" w:type="dxa"/>
            <w:noWrap/>
            <w:vAlign w:val="center"/>
          </w:tcPr>
          <w:p>
            <w:pPr>
              <w:widowControl/>
              <w:spacing w:before="156"/>
              <w:jc w:val="left"/>
              <w:rPr>
                <w:rFonts w:ascii="宋体" w:hAnsi="宋体" w:cs="宋体"/>
                <w:kern w:val="0"/>
                <w:szCs w:val="21"/>
              </w:rPr>
            </w:pPr>
            <w:r>
              <w:rPr>
                <w:rFonts w:hint="eastAsia" w:ascii="宋体" w:hAnsi="宋体" w:cs="宋体"/>
                <w:kern w:val="0"/>
                <w:szCs w:val="21"/>
              </w:rPr>
              <w:t>LCD液晶显示单元；</w:t>
            </w:r>
          </w:p>
          <w:p>
            <w:pPr>
              <w:widowControl/>
              <w:spacing w:before="156"/>
              <w:jc w:val="left"/>
              <w:rPr>
                <w:rFonts w:ascii="宋体" w:hAnsi="宋体" w:cs="宋体"/>
                <w:kern w:val="0"/>
                <w:szCs w:val="21"/>
              </w:rPr>
            </w:pPr>
            <w:r>
              <w:rPr>
                <w:rFonts w:hint="eastAsia" w:ascii="宋体" w:hAnsi="宋体" w:cs="宋体"/>
                <w:kern w:val="0"/>
                <w:szCs w:val="21"/>
              </w:rPr>
              <w:t>尺寸：46英寸；</w:t>
            </w:r>
          </w:p>
          <w:p>
            <w:pPr>
              <w:widowControl/>
              <w:spacing w:before="156"/>
              <w:jc w:val="left"/>
              <w:rPr>
                <w:rFonts w:ascii="宋体" w:hAnsi="宋体" w:cs="宋体"/>
                <w:kern w:val="0"/>
                <w:szCs w:val="21"/>
              </w:rPr>
            </w:pPr>
            <w:r>
              <w:rPr>
                <w:rFonts w:hint="eastAsia" w:ascii="宋体" w:hAnsi="宋体" w:cs="宋体"/>
                <w:kern w:val="0"/>
                <w:szCs w:val="21"/>
              </w:rPr>
              <w:t>分辨率：1920x1080；</w:t>
            </w:r>
          </w:p>
          <w:p>
            <w:pPr>
              <w:widowControl/>
              <w:spacing w:before="156"/>
              <w:jc w:val="left"/>
              <w:rPr>
                <w:rFonts w:ascii="宋体" w:hAnsi="宋体" w:cs="宋体"/>
                <w:kern w:val="0"/>
                <w:szCs w:val="21"/>
              </w:rPr>
            </w:pPr>
            <w:r>
              <w:rPr>
                <w:rFonts w:hint="eastAsia" w:ascii="宋体" w:hAnsi="宋体" w:cs="宋体"/>
                <w:kern w:val="0"/>
                <w:szCs w:val="21"/>
              </w:rPr>
              <w:t>视角：178°(水平)/ 178°(垂直)；</w:t>
            </w:r>
          </w:p>
          <w:p>
            <w:pPr>
              <w:widowControl/>
              <w:spacing w:before="156"/>
              <w:jc w:val="left"/>
              <w:rPr>
                <w:rFonts w:ascii="宋体" w:hAnsi="宋体" w:cs="宋体"/>
                <w:kern w:val="0"/>
                <w:szCs w:val="21"/>
              </w:rPr>
            </w:pPr>
            <w:r>
              <w:rPr>
                <w:rFonts w:hint="eastAsia" w:ascii="宋体" w:hAnsi="宋体" w:cs="宋体"/>
                <w:kern w:val="0"/>
                <w:szCs w:val="21"/>
              </w:rPr>
              <w:t>响应时间：8ms(G to G)；</w:t>
            </w:r>
          </w:p>
          <w:p>
            <w:pPr>
              <w:widowControl/>
              <w:spacing w:before="156"/>
              <w:jc w:val="left"/>
              <w:rPr>
                <w:rFonts w:ascii="宋体" w:hAnsi="宋体" w:cs="宋体"/>
                <w:kern w:val="0"/>
                <w:szCs w:val="21"/>
              </w:rPr>
            </w:pPr>
            <w:r>
              <w:rPr>
                <w:rFonts w:hint="eastAsia" w:ascii="宋体" w:hAnsi="宋体" w:cs="宋体"/>
                <w:kern w:val="0"/>
                <w:szCs w:val="21"/>
              </w:rPr>
              <w:t>对比度：4500:1；</w:t>
            </w:r>
          </w:p>
          <w:p>
            <w:pPr>
              <w:widowControl/>
              <w:spacing w:before="156"/>
              <w:jc w:val="left"/>
              <w:rPr>
                <w:rFonts w:ascii="宋体" w:hAnsi="宋体" w:cs="宋体"/>
                <w:kern w:val="0"/>
                <w:szCs w:val="21"/>
              </w:rPr>
            </w:pPr>
            <w:r>
              <w:rPr>
                <w:rFonts w:hint="eastAsia" w:ascii="宋体" w:hAnsi="宋体" w:cs="宋体"/>
                <w:kern w:val="0"/>
                <w:szCs w:val="21"/>
              </w:rPr>
              <w:t>亮度：500cd/㎡；</w:t>
            </w:r>
          </w:p>
          <w:p>
            <w:pPr>
              <w:widowControl/>
              <w:spacing w:before="156"/>
              <w:jc w:val="left"/>
              <w:rPr>
                <w:rFonts w:ascii="宋体" w:hAnsi="宋体" w:cs="宋体"/>
                <w:kern w:val="0"/>
                <w:szCs w:val="21"/>
              </w:rPr>
            </w:pPr>
            <w:r>
              <w:rPr>
                <w:rFonts w:hint="eastAsia" w:ascii="宋体" w:hAnsi="宋体" w:cs="宋体"/>
                <w:kern w:val="0"/>
                <w:szCs w:val="21"/>
              </w:rPr>
              <w:t>物理拼缝：3.5mm；</w:t>
            </w:r>
          </w:p>
          <w:p>
            <w:pPr>
              <w:widowControl/>
              <w:spacing w:before="156"/>
              <w:jc w:val="left"/>
              <w:rPr>
                <w:rFonts w:ascii="宋体" w:hAnsi="宋体" w:cs="宋体"/>
                <w:kern w:val="0"/>
                <w:szCs w:val="21"/>
              </w:rPr>
            </w:pPr>
            <w:r>
              <w:rPr>
                <w:rFonts w:hint="eastAsia" w:ascii="宋体" w:hAnsi="宋体" w:cs="宋体"/>
                <w:kern w:val="0"/>
                <w:szCs w:val="21"/>
              </w:rPr>
              <w:t>输入接口：VGA×1，DVI×1，BNC×1，YPbPr×1，HDMI×1；</w:t>
            </w:r>
          </w:p>
          <w:p>
            <w:pPr>
              <w:widowControl/>
              <w:spacing w:before="156"/>
              <w:jc w:val="left"/>
              <w:rPr>
                <w:rFonts w:ascii="宋体" w:hAnsi="宋体" w:cs="宋体"/>
                <w:kern w:val="0"/>
                <w:szCs w:val="21"/>
              </w:rPr>
            </w:pPr>
            <w:r>
              <w:rPr>
                <w:rFonts w:hint="eastAsia" w:ascii="宋体" w:hAnsi="宋体" w:cs="宋体"/>
                <w:kern w:val="0"/>
                <w:szCs w:val="21"/>
              </w:rPr>
              <w:t>输出接口：VGA×1，DVI×1，BNC×2；</w:t>
            </w:r>
          </w:p>
          <w:p>
            <w:pPr>
              <w:widowControl/>
              <w:spacing w:before="156"/>
              <w:jc w:val="left"/>
              <w:rPr>
                <w:rFonts w:ascii="宋体" w:hAnsi="宋体" w:cs="宋体"/>
                <w:kern w:val="0"/>
                <w:szCs w:val="21"/>
              </w:rPr>
            </w:pPr>
            <w:r>
              <w:rPr>
                <w:rFonts w:hint="eastAsia" w:ascii="宋体" w:hAnsi="宋体" w:cs="宋体"/>
                <w:kern w:val="0"/>
                <w:szCs w:val="21"/>
              </w:rPr>
              <w:t>可选配接口 3G SDI(输入×1、输出×1)、DP、HDbaseT、TVI(输入×1、输出×1)、网络源;</w:t>
            </w:r>
          </w:p>
          <w:p>
            <w:pPr>
              <w:widowControl/>
              <w:spacing w:before="156"/>
              <w:jc w:val="left"/>
              <w:rPr>
                <w:rFonts w:ascii="宋体" w:hAnsi="宋体" w:cs="宋体"/>
                <w:kern w:val="0"/>
                <w:szCs w:val="21"/>
              </w:rPr>
            </w:pPr>
            <w:r>
              <w:rPr>
                <w:rFonts w:hint="eastAsia" w:ascii="宋体" w:hAnsi="宋体" w:cs="宋体"/>
                <w:kern w:val="0"/>
                <w:szCs w:val="21"/>
              </w:rPr>
              <w:t>功耗：≤111W；</w:t>
            </w:r>
          </w:p>
          <w:p>
            <w:pPr>
              <w:widowControl/>
              <w:spacing w:before="156"/>
              <w:jc w:val="left"/>
              <w:rPr>
                <w:rFonts w:ascii="宋体" w:hAnsi="宋体" w:cs="宋体"/>
                <w:kern w:val="0"/>
                <w:szCs w:val="21"/>
              </w:rPr>
            </w:pPr>
            <w:r>
              <w:rPr>
                <w:rFonts w:hint="eastAsia" w:ascii="宋体" w:hAnsi="宋体" w:cs="宋体"/>
                <w:kern w:val="0"/>
                <w:szCs w:val="21"/>
              </w:rPr>
              <w:t>电源要求：AC 90-264V～；</w:t>
            </w:r>
          </w:p>
          <w:p>
            <w:pPr>
              <w:widowControl/>
              <w:spacing w:before="156"/>
              <w:jc w:val="left"/>
              <w:rPr>
                <w:rFonts w:ascii="宋体" w:hAnsi="宋体" w:cs="宋体"/>
                <w:kern w:val="0"/>
                <w:szCs w:val="21"/>
              </w:rPr>
            </w:pPr>
            <w:r>
              <w:rPr>
                <w:rFonts w:hint="eastAsia" w:ascii="宋体" w:hAnsi="宋体" w:cs="宋体"/>
                <w:kern w:val="0"/>
                <w:szCs w:val="21"/>
              </w:rPr>
              <w:t>寿命：≥60000 小时；</w:t>
            </w:r>
          </w:p>
          <w:p>
            <w:pPr>
              <w:widowControl/>
              <w:spacing w:before="156"/>
              <w:jc w:val="left"/>
              <w:rPr>
                <w:rFonts w:ascii="宋体" w:hAnsi="宋体" w:cs="宋体"/>
                <w:kern w:val="0"/>
                <w:szCs w:val="21"/>
              </w:rPr>
            </w:pPr>
            <w:r>
              <w:rPr>
                <w:rFonts w:hint="eastAsia" w:ascii="宋体" w:hAnsi="宋体" w:cs="宋体"/>
                <w:kern w:val="0"/>
                <w:szCs w:val="21"/>
              </w:rPr>
              <w:t>工作温度和湿度：0℃--50℃，10%--90%(无凝露)；</w:t>
            </w:r>
          </w:p>
          <w:p>
            <w:pPr>
              <w:widowControl/>
              <w:spacing w:before="156"/>
              <w:jc w:val="left"/>
              <w:rPr>
                <w:rFonts w:ascii="宋体" w:hAnsi="宋体" w:cs="宋体"/>
                <w:kern w:val="0"/>
                <w:szCs w:val="21"/>
              </w:rPr>
            </w:pPr>
            <w:r>
              <w:rPr>
                <w:rFonts w:hint="eastAsia" w:ascii="宋体" w:hAnsi="宋体" w:cs="宋体"/>
                <w:kern w:val="0"/>
                <w:szCs w:val="21"/>
              </w:rPr>
              <w:t>外形尺寸：1022.08mm(W) x 576.67mm(H) x 120.3mm(D)；</w:t>
            </w:r>
          </w:p>
          <w:p>
            <w:pPr>
              <w:widowControl/>
              <w:spacing w:before="156"/>
              <w:jc w:val="left"/>
              <w:rPr>
                <w:rFonts w:ascii="宋体" w:hAnsi="宋体" w:cs="宋体"/>
                <w:kern w:val="0"/>
                <w:szCs w:val="21"/>
              </w:rPr>
            </w:pPr>
            <w:r>
              <w:rPr>
                <w:rFonts w:hint="eastAsia" w:ascii="宋体" w:hAnsi="宋体" w:cs="宋体"/>
                <w:kern w:val="0"/>
                <w:szCs w:val="21"/>
              </w:rPr>
              <w:t>边框宽度 2.3mm（左/上）, 1.2mm（右/下）</w:t>
            </w:r>
          </w:p>
          <w:p>
            <w:pPr>
              <w:widowControl/>
              <w:spacing w:before="156"/>
              <w:jc w:val="left"/>
              <w:rPr>
                <w:rFonts w:ascii="宋体" w:hAnsi="宋体" w:cs="宋体"/>
                <w:kern w:val="0"/>
                <w:szCs w:val="21"/>
              </w:rPr>
            </w:pPr>
            <w:r>
              <w:rPr>
                <w:rFonts w:hint="eastAsia" w:ascii="宋体" w:hAnsi="宋体" w:cs="宋体"/>
                <w:kern w:val="0"/>
                <w:szCs w:val="21"/>
              </w:rPr>
              <w:t>LCD显示单元采用超宽视角液晶屏，视角可达178°，画面的输出精确和稳定，色彩饱和靓丽，屏幕更加明亮。屏幕漏光度小于0.01cd/㎡，可抵抗太阳光等强光干扰,照度在95KLux能正常工作。</w:t>
            </w:r>
          </w:p>
          <w:p>
            <w:pPr>
              <w:widowControl/>
              <w:spacing w:before="156"/>
              <w:jc w:val="left"/>
              <w:rPr>
                <w:rFonts w:ascii="宋体" w:hAnsi="宋体" w:cs="宋体"/>
                <w:kern w:val="0"/>
                <w:szCs w:val="21"/>
              </w:rPr>
            </w:pPr>
            <w:r>
              <w:rPr>
                <w:rFonts w:hint="eastAsia" w:ascii="宋体" w:hAnsi="宋体" w:cs="宋体"/>
                <w:kern w:val="0"/>
                <w:szCs w:val="21"/>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支持一键开启或关闭背光功能，实现节能环保效果。</w:t>
            </w:r>
          </w:p>
          <w:p>
            <w:pPr>
              <w:widowControl/>
              <w:spacing w:before="156"/>
              <w:jc w:val="left"/>
              <w:rPr>
                <w:rFonts w:ascii="宋体" w:hAnsi="宋体" w:cs="宋体"/>
                <w:kern w:val="0"/>
                <w:szCs w:val="21"/>
              </w:rPr>
            </w:pPr>
            <w:r>
              <w:rPr>
                <w:rFonts w:hint="eastAsia" w:ascii="宋体" w:hAnsi="宋体" w:cs="宋体"/>
                <w:kern w:val="0"/>
                <w:szCs w:val="21"/>
              </w:rPr>
              <w:t>LCD显示单元支持同轴高清信号，带1入1出环通接口。</w:t>
            </w:r>
          </w:p>
        </w:tc>
        <w:tc>
          <w:tcPr>
            <w:tcW w:w="60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块</w:t>
            </w:r>
          </w:p>
        </w:tc>
        <w:tc>
          <w:tcPr>
            <w:tcW w:w="57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8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2</w:t>
            </w:r>
          </w:p>
        </w:tc>
        <w:tc>
          <w:tcPr>
            <w:tcW w:w="945" w:type="dxa"/>
            <w:noWrap/>
            <w:vAlign w:val="center"/>
          </w:tcPr>
          <w:p>
            <w:pPr>
              <w:widowControl/>
              <w:spacing w:before="156"/>
              <w:jc w:val="left"/>
              <w:rPr>
                <w:rFonts w:ascii="宋体" w:hAnsi="宋体" w:cs="宋体"/>
                <w:kern w:val="0"/>
                <w:szCs w:val="21"/>
              </w:rPr>
            </w:pPr>
            <w:r>
              <w:rPr>
                <w:rFonts w:hint="eastAsia" w:ascii="宋体" w:hAnsi="宋体" w:cs="宋体"/>
                <w:kern w:val="0"/>
                <w:szCs w:val="21"/>
              </w:rPr>
              <w:t>壁装支架</w:t>
            </w:r>
          </w:p>
        </w:tc>
        <w:tc>
          <w:tcPr>
            <w:tcW w:w="6090" w:type="dxa"/>
            <w:noWrap/>
            <w:vAlign w:val="center"/>
          </w:tcPr>
          <w:p>
            <w:pPr>
              <w:widowControl/>
              <w:spacing w:before="156"/>
              <w:jc w:val="left"/>
              <w:rPr>
                <w:rFonts w:ascii="宋体" w:hAnsi="宋体" w:cs="宋体"/>
                <w:kern w:val="0"/>
                <w:szCs w:val="21"/>
              </w:rPr>
            </w:pPr>
            <w:r>
              <w:rPr>
                <w:rFonts w:hint="eastAsia" w:ascii="宋体" w:hAnsi="宋体" w:cs="宋体"/>
                <w:kern w:val="0"/>
                <w:szCs w:val="21"/>
              </w:rPr>
              <w:t>根据现场定制</w:t>
            </w:r>
          </w:p>
        </w:tc>
        <w:tc>
          <w:tcPr>
            <w:tcW w:w="60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套</w:t>
            </w:r>
          </w:p>
        </w:tc>
        <w:tc>
          <w:tcPr>
            <w:tcW w:w="57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8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3</w:t>
            </w:r>
          </w:p>
        </w:tc>
        <w:tc>
          <w:tcPr>
            <w:tcW w:w="945" w:type="dxa"/>
            <w:noWrap/>
            <w:vAlign w:val="center"/>
          </w:tcPr>
          <w:p>
            <w:pPr>
              <w:widowControl/>
              <w:spacing w:before="156"/>
              <w:jc w:val="left"/>
              <w:rPr>
                <w:rFonts w:ascii="宋体" w:hAnsi="宋体" w:cs="宋体"/>
                <w:kern w:val="0"/>
                <w:szCs w:val="21"/>
              </w:rPr>
            </w:pPr>
            <w:r>
              <w:rPr>
                <w:rFonts w:hint="eastAsia" w:ascii="宋体" w:hAnsi="宋体" w:cs="宋体"/>
                <w:kern w:val="0"/>
                <w:szCs w:val="21"/>
              </w:rPr>
              <w:t>4路高清解码器</w:t>
            </w:r>
          </w:p>
        </w:tc>
        <w:tc>
          <w:tcPr>
            <w:tcW w:w="6090" w:type="dxa"/>
            <w:noWrap/>
            <w:vAlign w:val="center"/>
          </w:tcPr>
          <w:p>
            <w:pPr>
              <w:widowControl/>
              <w:spacing w:before="156"/>
              <w:jc w:val="left"/>
              <w:rPr>
                <w:rFonts w:ascii="宋体" w:hAnsi="宋体" w:cs="宋体"/>
                <w:kern w:val="0"/>
                <w:szCs w:val="21"/>
              </w:rPr>
            </w:pPr>
            <w:r>
              <w:rPr>
                <w:rFonts w:hint="eastAsia" w:ascii="宋体" w:hAnsi="宋体" w:cs="宋体"/>
                <w:kern w:val="0"/>
                <w:szCs w:val="21"/>
              </w:rPr>
              <w:t>采用嵌入式架构，专用Linux系统，使用DSP解码。为了设备稳定可靠运行，不得采用工控机或者PC机的X86架构</w:t>
            </w:r>
          </w:p>
          <w:p>
            <w:pPr>
              <w:widowControl/>
              <w:spacing w:before="156"/>
              <w:jc w:val="left"/>
              <w:rPr>
                <w:rFonts w:ascii="宋体" w:hAnsi="宋体" w:cs="宋体"/>
                <w:kern w:val="0"/>
                <w:szCs w:val="21"/>
              </w:rPr>
            </w:pPr>
            <w:r>
              <w:rPr>
                <w:rFonts w:hint="eastAsia" w:ascii="宋体" w:hAnsi="宋体" w:cs="宋体"/>
                <w:kern w:val="0"/>
                <w:szCs w:val="21"/>
              </w:rPr>
              <w:t>要求设备具备， RJ45网络接口，1路对讲输入，1路对讲输出，1个RS232接口， 1个VGA输入接口，1个DVI输入接口。输出口支持4个HDMI接口。</w:t>
            </w:r>
          </w:p>
          <w:p>
            <w:pPr>
              <w:widowControl/>
              <w:spacing w:before="156"/>
              <w:jc w:val="left"/>
              <w:rPr>
                <w:rFonts w:ascii="宋体" w:hAnsi="宋体" w:cs="宋体"/>
                <w:kern w:val="0"/>
                <w:szCs w:val="21"/>
              </w:rPr>
            </w:pPr>
            <w:r>
              <w:rPr>
                <w:rFonts w:hint="eastAsia" w:ascii="宋体" w:hAnsi="宋体" w:cs="宋体"/>
                <w:kern w:val="0"/>
                <w:szCs w:val="21"/>
              </w:rPr>
              <w:t>设备支持外接电脑桌面解码输出。</w:t>
            </w:r>
          </w:p>
          <w:p>
            <w:pPr>
              <w:widowControl/>
              <w:spacing w:before="156"/>
              <w:jc w:val="left"/>
              <w:rPr>
                <w:rFonts w:ascii="宋体" w:hAnsi="宋体" w:cs="宋体"/>
                <w:kern w:val="0"/>
                <w:szCs w:val="21"/>
              </w:rPr>
            </w:pPr>
            <w:r>
              <w:rPr>
                <w:rFonts w:hint="eastAsia" w:ascii="宋体" w:hAnsi="宋体" w:cs="宋体"/>
                <w:kern w:val="0"/>
                <w:szCs w:val="21"/>
              </w:rPr>
              <w:t>设备支持客户端软件导入和导出参数配置功能。</w:t>
            </w:r>
          </w:p>
          <w:p>
            <w:pPr>
              <w:widowControl/>
              <w:spacing w:before="156"/>
              <w:jc w:val="left"/>
              <w:rPr>
                <w:rFonts w:ascii="宋体" w:hAnsi="宋体" w:cs="宋体"/>
                <w:kern w:val="0"/>
                <w:szCs w:val="21"/>
              </w:rPr>
            </w:pPr>
            <w:r>
              <w:rPr>
                <w:rFonts w:hint="eastAsia" w:ascii="宋体" w:hAnsi="宋体" w:cs="宋体"/>
                <w:kern w:val="0"/>
                <w:szCs w:val="21"/>
              </w:rPr>
              <w:t>设备可以设置1024×768、1280×1024、1280×720、1280×720、1920×1080、1920×1080、1600×1200、3840x2160等的视频图像分辨率通过HDMI输出显示。设备支持按1/4/9/16画面进行分割，也支持1路输入视频发送到多个输出接口拼接显示，支持1x2,1x3, 1x4,2x1,2x2,2x3，2x4，3x1,3x2,4x2的拼接显示</w:t>
            </w:r>
          </w:p>
          <w:p>
            <w:pPr>
              <w:widowControl/>
              <w:spacing w:before="156"/>
              <w:jc w:val="left"/>
              <w:rPr>
                <w:rFonts w:ascii="宋体" w:hAnsi="宋体" w:cs="宋体"/>
                <w:kern w:val="0"/>
                <w:szCs w:val="21"/>
              </w:rPr>
            </w:pPr>
            <w:r>
              <w:rPr>
                <w:rFonts w:hint="eastAsia" w:ascii="宋体" w:hAnsi="宋体" w:cs="宋体"/>
                <w:kern w:val="0"/>
                <w:szCs w:val="21"/>
              </w:rPr>
              <w:t>设备支持视频图像轮巡输出显示。</w:t>
            </w:r>
          </w:p>
          <w:p>
            <w:pPr>
              <w:widowControl/>
              <w:spacing w:before="156"/>
              <w:jc w:val="left"/>
              <w:rPr>
                <w:rFonts w:ascii="宋体" w:hAnsi="宋体" w:cs="宋体"/>
                <w:kern w:val="0"/>
                <w:szCs w:val="21"/>
              </w:rPr>
            </w:pPr>
            <w:r>
              <w:rPr>
                <w:rFonts w:hint="eastAsia" w:ascii="宋体" w:hAnsi="宋体" w:cs="宋体"/>
                <w:kern w:val="0"/>
                <w:szCs w:val="21"/>
              </w:rPr>
              <w:t>设备支持客户端或IE浏览器控制，可将客户端当前回放的录像同步解码后输出显示。 设备支持远程维护和设置网络参数、视频参数等。</w:t>
            </w:r>
          </w:p>
          <w:p>
            <w:pPr>
              <w:widowControl/>
              <w:spacing w:before="156"/>
              <w:jc w:val="left"/>
              <w:rPr>
                <w:rFonts w:ascii="宋体" w:hAnsi="宋体" w:cs="宋体"/>
                <w:kern w:val="0"/>
                <w:szCs w:val="21"/>
              </w:rPr>
            </w:pPr>
            <w:r>
              <w:rPr>
                <w:rFonts w:hint="eastAsia" w:ascii="宋体" w:hAnsi="宋体" w:cs="宋体"/>
                <w:kern w:val="0"/>
                <w:szCs w:val="21"/>
              </w:rPr>
              <w:t xml:space="preserve">要求设备支持ONVIF、RTSP、H264、H265等协议。设备支持软件客户端对云台进行控制、设备客户端具有可以重启设备，进行恢复出厂设置功能。设备客户端支持添加、删除、修改用户功能、 </w:t>
            </w:r>
          </w:p>
          <w:p>
            <w:pPr>
              <w:widowControl/>
              <w:spacing w:before="156"/>
              <w:jc w:val="left"/>
              <w:rPr>
                <w:rFonts w:ascii="宋体" w:hAnsi="宋体" w:cs="宋体"/>
                <w:kern w:val="0"/>
                <w:szCs w:val="21"/>
              </w:rPr>
            </w:pPr>
            <w:r>
              <w:rPr>
                <w:rFonts w:hint="eastAsia" w:ascii="宋体" w:hAnsi="宋体" w:cs="宋体"/>
                <w:kern w:val="0"/>
                <w:szCs w:val="21"/>
              </w:rPr>
              <w:t>设备支持NTP校时和客户端手动校时等功能。</w:t>
            </w:r>
          </w:p>
          <w:p>
            <w:pPr>
              <w:widowControl/>
              <w:spacing w:before="156"/>
              <w:jc w:val="left"/>
              <w:rPr>
                <w:rFonts w:ascii="宋体" w:hAnsi="宋体" w:cs="宋体"/>
                <w:kern w:val="0"/>
                <w:szCs w:val="21"/>
              </w:rPr>
            </w:pPr>
            <w:r>
              <w:rPr>
                <w:rFonts w:hint="eastAsia" w:ascii="宋体" w:hAnsi="宋体" w:cs="宋体"/>
                <w:kern w:val="0"/>
                <w:szCs w:val="21"/>
              </w:rPr>
              <w:t>设备通过高温、低温检测（高温55±2℃，低温-20±3℃，湿度93%，持续时间2H；振动测试；冲击测试；绝缘电阻测试；泄露电阻测试；泄露电流测试等)。</w:t>
            </w:r>
          </w:p>
          <w:p>
            <w:pPr>
              <w:widowControl/>
              <w:spacing w:before="156"/>
              <w:jc w:val="left"/>
              <w:rPr>
                <w:rFonts w:ascii="宋体" w:hAnsi="宋体" w:cs="宋体"/>
                <w:kern w:val="0"/>
                <w:szCs w:val="21"/>
              </w:rPr>
            </w:pPr>
            <w:r>
              <w:rPr>
                <w:rFonts w:hint="eastAsia" w:ascii="宋体" w:hAnsi="宋体" w:cs="宋体"/>
                <w:kern w:val="0"/>
                <w:szCs w:val="21"/>
              </w:rPr>
              <w:t>要求设备支持4000x3000下分辨率的解码输出：可同时输出64路分辨率为1920×1080（H.264/H.265），或40路分辨率为2048×1536（H.264/H.265），或32路分辨率为2592×1944（H.264/H.265），或16路分辨率为3840×2160(H.265），或16路分辨率为4096×2160(H.264）,或8路分辨率为4000×3000的视频图像(H.264）。</w:t>
            </w:r>
          </w:p>
        </w:tc>
        <w:tc>
          <w:tcPr>
            <w:tcW w:w="60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台</w:t>
            </w:r>
          </w:p>
        </w:tc>
        <w:tc>
          <w:tcPr>
            <w:tcW w:w="570" w:type="dxa"/>
            <w:noWrap/>
            <w:vAlign w:val="center"/>
          </w:tcPr>
          <w:p>
            <w:pPr>
              <w:widowControl/>
              <w:spacing w:before="156"/>
              <w:jc w:val="center"/>
              <w:rPr>
                <w:rFonts w:ascii="宋体" w:hAnsi="宋体" w:cs="宋体"/>
                <w:kern w:val="0"/>
                <w:szCs w:val="21"/>
              </w:rPr>
            </w:pPr>
            <w:r>
              <w:rPr>
                <w:rFonts w:hint="eastAsia" w:ascii="宋体" w:hAnsi="宋体" w:cs="宋体"/>
                <w:kern w:val="0"/>
                <w:szCs w:val="21"/>
              </w:rPr>
              <w:t>1</w:t>
            </w:r>
          </w:p>
        </w:tc>
      </w:tr>
    </w:tbl>
    <w:p>
      <w:pPr>
        <w:spacing w:before="156"/>
        <w:rPr>
          <w:rFonts w:ascii="宋体" w:hAnsi="宋体" w:cs="宋体"/>
          <w:szCs w:val="21"/>
        </w:rPr>
      </w:pPr>
    </w:p>
    <w:p>
      <w:pPr>
        <w:spacing w:before="156"/>
        <w:ind w:firstLine="211" w:firstLineChars="100"/>
        <w:rPr>
          <w:rFonts w:ascii="宋体" w:hAnsi="宋体" w:cs="宋体"/>
          <w:b/>
          <w:bCs/>
          <w:szCs w:val="21"/>
        </w:rPr>
      </w:pPr>
      <w:r>
        <w:rPr>
          <w:rFonts w:hint="eastAsia" w:ascii="宋体" w:hAnsi="宋体" w:cs="宋体"/>
          <w:b/>
          <w:bCs/>
          <w:szCs w:val="21"/>
        </w:rPr>
        <w:t>(11)8口POE交换机：(24口POE交换机参见与网络无线AP部分POE交换机)</w:t>
      </w:r>
    </w:p>
    <w:tbl>
      <w:tblPr>
        <w:tblStyle w:val="59"/>
        <w:tblW w:w="8670"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752" w:type="dxa"/>
            <w:tcBorders>
              <w:top w:val="single" w:color="auto" w:sz="4" w:space="0"/>
              <w:left w:val="single" w:color="auto" w:sz="4" w:space="0"/>
              <w:bottom w:val="single" w:color="auto" w:sz="4" w:space="0"/>
              <w:right w:val="single" w:color="auto" w:sz="4" w:space="0"/>
            </w:tcBorders>
            <w:noWrap/>
            <w:vAlign w:val="center"/>
          </w:tcPr>
          <w:p>
            <w:pPr>
              <w:spacing w:before="156"/>
              <w:jc w:val="center"/>
              <w:rPr>
                <w:rFonts w:ascii="宋体" w:hAnsi="宋体" w:cs="宋体"/>
                <w:b/>
                <w:szCs w:val="21"/>
              </w:rPr>
            </w:pPr>
            <w:r>
              <w:rPr>
                <w:rFonts w:hint="eastAsia" w:ascii="宋体" w:hAnsi="宋体" w:cs="宋体"/>
                <w:b/>
                <w:szCs w:val="21"/>
              </w:rPr>
              <w:t>指标项</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jc w:val="center"/>
              <w:rPr>
                <w:rFonts w:ascii="宋体" w:hAnsi="宋体" w:cs="宋体"/>
                <w:b/>
                <w:szCs w:val="21"/>
              </w:rPr>
            </w:pPr>
            <w:r>
              <w:rPr>
                <w:rFonts w:hint="eastAsia" w:ascii="宋体" w:hAnsi="宋体" w:cs="宋体"/>
                <w:b/>
                <w:szCs w:val="21"/>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752" w:type="dxa"/>
            <w:vMerge w:val="restart"/>
            <w:tcBorders>
              <w:top w:val="single" w:color="auto" w:sz="4" w:space="0"/>
              <w:left w:val="single" w:color="auto" w:sz="4" w:space="0"/>
              <w:right w:val="single" w:color="auto" w:sz="4" w:space="0"/>
            </w:tcBorders>
            <w:noWrap/>
            <w:vAlign w:val="center"/>
          </w:tcPr>
          <w:p>
            <w:pPr>
              <w:widowControl/>
              <w:spacing w:before="156"/>
              <w:rPr>
                <w:rFonts w:ascii="宋体" w:hAnsi="宋体" w:cs="宋体"/>
                <w:color w:val="000000"/>
                <w:szCs w:val="21"/>
              </w:rPr>
            </w:pPr>
            <w:r>
              <w:rPr>
                <w:rFonts w:hint="eastAsia" w:ascii="宋体" w:hAnsi="宋体" w:cs="宋体"/>
                <w:color w:val="000000"/>
                <w:szCs w:val="21"/>
              </w:rPr>
              <w:t>▲性能指标</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color w:val="000000"/>
                <w:szCs w:val="21"/>
              </w:rPr>
            </w:pPr>
            <w:r>
              <w:rPr>
                <w:rFonts w:hint="eastAsia" w:ascii="宋体" w:hAnsi="宋体" w:cs="宋体"/>
                <w:color w:val="000000"/>
                <w:szCs w:val="21"/>
              </w:rPr>
              <w:t>交换容量≥330Gbps；转发性能≥27Mpps。如有投标产品参数指标不同，投标产品参数指标以较低参数指标为准，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vMerge w:val="continue"/>
            <w:tcBorders>
              <w:left w:val="single" w:color="auto" w:sz="4" w:space="0"/>
              <w:bottom w:val="single" w:color="auto" w:sz="4" w:space="0"/>
              <w:right w:val="single" w:color="auto" w:sz="4" w:space="0"/>
            </w:tcBorders>
            <w:noWrap/>
            <w:vAlign w:val="center"/>
          </w:tcPr>
          <w:p>
            <w:pPr>
              <w:spacing w:before="156"/>
              <w:rPr>
                <w:rFonts w:ascii="宋体" w:hAnsi="宋体" w:cs="宋体"/>
                <w:color w:val="000000"/>
                <w:szCs w:val="21"/>
              </w:rPr>
            </w:pP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color w:val="000000"/>
                <w:szCs w:val="21"/>
              </w:rPr>
            </w:pPr>
            <w:r>
              <w:rPr>
                <w:rFonts w:hint="eastAsia" w:ascii="宋体" w:hAnsi="宋体" w:cs="宋体"/>
                <w:color w:val="000000"/>
                <w:szCs w:val="21"/>
              </w:rPr>
              <w:t>配置千兆电口≥8个，千兆光口≥2个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color w:val="000000"/>
                <w:szCs w:val="21"/>
              </w:rPr>
            </w:pPr>
            <w:r>
              <w:rPr>
                <w:rFonts w:hint="eastAsia" w:ascii="宋体" w:hAnsi="宋体" w:cs="宋体"/>
                <w:color w:val="000000"/>
                <w:szCs w:val="21"/>
              </w:rPr>
              <w:t>POE供电</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color w:val="000000"/>
                <w:szCs w:val="21"/>
              </w:rPr>
            </w:pPr>
            <w:r>
              <w:rPr>
                <w:rFonts w:hint="eastAsia" w:ascii="宋体" w:hAnsi="宋体" w:cs="宋体"/>
                <w:color w:val="000000"/>
                <w:szCs w:val="21"/>
              </w:rPr>
              <w:t xml:space="preserve">支持8个千兆接口进行POE供电；整机POE供电功率≥125W,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color w:val="000000"/>
                <w:szCs w:val="21"/>
              </w:rPr>
            </w:pPr>
            <w:r>
              <w:rPr>
                <w:rFonts w:hint="eastAsia" w:ascii="宋体" w:hAnsi="宋体" w:cs="宋体"/>
                <w:color w:val="000000"/>
                <w:szCs w:val="21"/>
              </w:rPr>
              <w:t>路由功能</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color w:val="000000"/>
                <w:szCs w:val="21"/>
              </w:rPr>
            </w:pPr>
            <w:r>
              <w:rPr>
                <w:rFonts w:hint="eastAsia" w:ascii="宋体" w:hAnsi="宋体" w:cs="宋体"/>
                <w:color w:val="000000"/>
                <w:szCs w:val="21"/>
              </w:rPr>
              <w:t xml:space="preserve">支持IPv4/v6静态路由、动态路由RIP/RIPng，OSPF，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vMerge w:val="restart"/>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链路聚合</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color w:val="000000"/>
                <w:szCs w:val="21"/>
              </w:rPr>
              <w:t>支持≥8个端口聚合；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156"/>
              <w:jc w:val="left"/>
              <w:rPr>
                <w:rFonts w:ascii="宋体" w:hAnsi="宋体" w:cs="宋体"/>
                <w:szCs w:val="21"/>
              </w:rPr>
            </w:pP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color w:val="000000"/>
                <w:szCs w:val="21"/>
              </w:rPr>
              <w:t>支持≥128个聚合组；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before="156"/>
              <w:jc w:val="left"/>
              <w:rPr>
                <w:rFonts w:ascii="宋体" w:hAnsi="宋体" w:cs="宋体"/>
                <w:szCs w:val="21"/>
              </w:rPr>
            </w:pP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color w:val="000000"/>
                <w:szCs w:val="21"/>
              </w:rPr>
              <w:t>支持动态聚合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752" w:type="dxa"/>
            <w:tcBorders>
              <w:top w:val="single" w:color="auto" w:sz="4" w:space="0"/>
              <w:left w:val="single" w:color="auto" w:sz="4" w:space="0"/>
              <w:right w:val="single" w:color="auto" w:sz="4" w:space="0"/>
            </w:tcBorders>
            <w:noWrap/>
            <w:vAlign w:val="center"/>
          </w:tcPr>
          <w:p>
            <w:pPr>
              <w:spacing w:before="156"/>
              <w:jc w:val="left"/>
              <w:rPr>
                <w:rFonts w:ascii="宋体" w:hAnsi="宋体" w:cs="宋体"/>
                <w:color w:val="000000"/>
                <w:szCs w:val="21"/>
              </w:rPr>
            </w:pPr>
            <w:r>
              <w:rPr>
                <w:rFonts w:hint="eastAsia" w:ascii="宋体" w:hAnsi="宋体" w:cs="宋体"/>
                <w:color w:val="000000"/>
                <w:szCs w:val="21"/>
              </w:rPr>
              <w:t>SDN/OPENFLOW</w:t>
            </w:r>
          </w:p>
        </w:tc>
        <w:tc>
          <w:tcPr>
            <w:tcW w:w="6918" w:type="dxa"/>
            <w:tcBorders>
              <w:top w:val="single" w:color="auto" w:sz="4" w:space="0"/>
              <w:left w:val="single" w:color="auto" w:sz="4" w:space="0"/>
              <w:right w:val="single" w:color="auto" w:sz="4" w:space="0"/>
            </w:tcBorders>
            <w:noWrap/>
            <w:vAlign w:val="center"/>
          </w:tcPr>
          <w:p>
            <w:pPr>
              <w:spacing w:before="156"/>
              <w:rPr>
                <w:rFonts w:ascii="宋体" w:hAnsi="宋体" w:cs="宋体"/>
                <w:color w:val="000000"/>
                <w:szCs w:val="21"/>
              </w:rPr>
            </w:pPr>
            <w:r>
              <w:rPr>
                <w:rFonts w:hint="eastAsia" w:ascii="宋体" w:hAnsi="宋体" w:cs="宋体"/>
                <w:color w:val="000000"/>
                <w:szCs w:val="21"/>
              </w:rPr>
              <w:t>支持OPENFLOW 1.3标准；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vMerge w:val="restart"/>
            <w:tcBorders>
              <w:top w:val="single" w:color="auto" w:sz="4" w:space="0"/>
              <w:left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安全功能</w:t>
            </w:r>
          </w:p>
          <w:p>
            <w:pPr>
              <w:spacing w:before="156"/>
              <w:rPr>
                <w:rFonts w:ascii="宋体" w:hAnsi="宋体" w:cs="宋体"/>
                <w:szCs w:val="21"/>
              </w:rPr>
            </w:pP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支持DHCP Relay、DHCP Server、DHCP Snooping支持AAA认证，支持Radius、NAC等多种方式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vMerge w:val="continue"/>
            <w:tcBorders>
              <w:left w:val="single" w:color="auto" w:sz="4" w:space="0"/>
              <w:right w:val="single" w:color="auto" w:sz="4" w:space="0"/>
            </w:tcBorders>
            <w:noWrap/>
            <w:vAlign w:val="center"/>
          </w:tcPr>
          <w:p>
            <w:pPr>
              <w:widowControl/>
              <w:spacing w:before="156"/>
              <w:jc w:val="left"/>
              <w:rPr>
                <w:rFonts w:ascii="宋体" w:hAnsi="宋体" w:cs="宋体"/>
                <w:szCs w:val="21"/>
              </w:rPr>
            </w:pP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支持IP/Port/MAC的绑定功能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vMerge w:val="continue"/>
            <w:tcBorders>
              <w:left w:val="single" w:color="auto" w:sz="4" w:space="0"/>
              <w:bottom w:val="single" w:color="auto" w:sz="4" w:space="0"/>
              <w:right w:val="single" w:color="auto" w:sz="4" w:space="0"/>
            </w:tcBorders>
            <w:noWrap/>
            <w:vAlign w:val="center"/>
          </w:tcPr>
          <w:p>
            <w:pPr>
              <w:widowControl/>
              <w:spacing w:before="156"/>
              <w:jc w:val="left"/>
              <w:rPr>
                <w:rFonts w:ascii="宋体" w:hAnsi="宋体" w:cs="宋体"/>
                <w:szCs w:val="21"/>
              </w:rPr>
            </w:pP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color w:val="FF0000"/>
                <w:szCs w:val="21"/>
              </w:rPr>
            </w:pPr>
            <w:r>
              <w:rPr>
                <w:rFonts w:hint="eastAsia" w:ascii="宋体" w:hAnsi="宋体" w:cs="宋体"/>
                <w:szCs w:val="21"/>
              </w:rPr>
              <w:t>业务端口防雷能力≥10KV，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可靠性</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支持G.8032ERPS开放环网协议，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752"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QOS</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支持对端口接收报文速率和发送报文速率进行限制</w:t>
            </w:r>
          </w:p>
          <w:p>
            <w:pPr>
              <w:spacing w:before="156"/>
              <w:rPr>
                <w:rFonts w:ascii="宋体" w:hAnsi="宋体" w:cs="宋体"/>
                <w:szCs w:val="21"/>
              </w:rPr>
            </w:pPr>
            <w:r>
              <w:rPr>
                <w:rFonts w:hint="eastAsia" w:ascii="宋体" w:hAnsi="宋体" w:cs="宋体"/>
                <w:szCs w:val="21"/>
              </w:rPr>
              <w:t>支持SP、WRR、SP+WRR等队列调度算法</w:t>
            </w:r>
          </w:p>
          <w:p>
            <w:pPr>
              <w:spacing w:before="156"/>
              <w:rPr>
                <w:rFonts w:ascii="宋体" w:hAnsi="宋体" w:cs="宋体"/>
                <w:szCs w:val="21"/>
              </w:rPr>
            </w:pPr>
            <w:r>
              <w:rPr>
                <w:rFonts w:hint="eastAsia" w:ascii="宋体" w:hAnsi="宋体" w:cs="宋体"/>
                <w:szCs w:val="21"/>
              </w:rPr>
              <w:t>支持基于端口的流量监管</w:t>
            </w:r>
          </w:p>
          <w:p>
            <w:pPr>
              <w:spacing w:before="156"/>
              <w:rPr>
                <w:rFonts w:ascii="宋体" w:hAnsi="宋体" w:cs="宋体"/>
                <w:szCs w:val="21"/>
              </w:rPr>
            </w:pPr>
            <w:r>
              <w:rPr>
                <w:rFonts w:hint="eastAsia" w:ascii="宋体" w:hAnsi="宋体" w:cs="宋体"/>
                <w:szCs w:val="21"/>
              </w:rPr>
              <w:t>支持基于队列限速和端口整形的功能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1752" w:type="dxa"/>
            <w:vMerge w:val="restart"/>
            <w:tcBorders>
              <w:top w:val="single" w:color="auto" w:sz="4" w:space="0"/>
              <w:left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管理维护</w:t>
            </w: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支持SNMP v1/v2/v3、Telnet、RMON</w:t>
            </w:r>
          </w:p>
          <w:p>
            <w:pPr>
              <w:spacing w:before="156"/>
              <w:rPr>
                <w:rFonts w:ascii="宋体" w:hAnsi="宋体" w:cs="宋体"/>
                <w:szCs w:val="21"/>
              </w:rPr>
            </w:pPr>
            <w:r>
              <w:rPr>
                <w:rFonts w:hint="eastAsia" w:ascii="宋体" w:hAnsi="宋体" w:cs="宋体"/>
                <w:szCs w:val="21"/>
              </w:rPr>
              <w:t>支持通过命令行、Web、中文图形化配置软件等方式进行配置和管理</w:t>
            </w:r>
          </w:p>
          <w:p>
            <w:pPr>
              <w:spacing w:before="156"/>
              <w:rPr>
                <w:rFonts w:ascii="宋体" w:hAnsi="宋体" w:cs="宋体"/>
                <w:szCs w:val="21"/>
              </w:rPr>
            </w:pPr>
            <w:r>
              <w:rPr>
                <w:rFonts w:hint="eastAsia" w:ascii="宋体" w:hAnsi="宋体" w:cs="宋体"/>
                <w:szCs w:val="21"/>
              </w:rPr>
              <w:t>支持集群管理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752" w:type="dxa"/>
            <w:vMerge w:val="continue"/>
            <w:tcBorders>
              <w:left w:val="single" w:color="auto" w:sz="4" w:space="0"/>
              <w:bottom w:val="single" w:color="auto" w:sz="4" w:space="0"/>
              <w:right w:val="single" w:color="auto" w:sz="4" w:space="0"/>
            </w:tcBorders>
            <w:noWrap/>
            <w:vAlign w:val="center"/>
          </w:tcPr>
          <w:p>
            <w:pPr>
              <w:spacing w:before="156"/>
              <w:rPr>
                <w:rFonts w:ascii="宋体" w:hAnsi="宋体" w:cs="宋体"/>
                <w:szCs w:val="21"/>
              </w:rPr>
            </w:pPr>
          </w:p>
        </w:tc>
        <w:tc>
          <w:tcPr>
            <w:tcW w:w="6918" w:type="dxa"/>
            <w:tcBorders>
              <w:top w:val="single" w:color="auto" w:sz="4" w:space="0"/>
              <w:left w:val="single" w:color="auto" w:sz="4" w:space="0"/>
              <w:bottom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能自动从服务器下载配置文件和应用程序，实现零配置启动，大幅度降低了大型网络和复杂网络的初始配置工作量，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752" w:type="dxa"/>
            <w:tcBorders>
              <w:top w:val="single" w:color="auto" w:sz="4" w:space="0"/>
              <w:left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资质</w:t>
            </w:r>
          </w:p>
        </w:tc>
        <w:tc>
          <w:tcPr>
            <w:tcW w:w="6918" w:type="dxa"/>
            <w:tcBorders>
              <w:top w:val="single" w:color="auto" w:sz="4" w:space="0"/>
              <w:left w:val="single" w:color="auto" w:sz="4" w:space="0"/>
              <w:right w:val="single" w:color="auto" w:sz="4" w:space="0"/>
            </w:tcBorders>
            <w:noWrap/>
            <w:vAlign w:val="center"/>
          </w:tcPr>
          <w:p>
            <w:pPr>
              <w:spacing w:before="156"/>
              <w:rPr>
                <w:rFonts w:ascii="宋体" w:hAnsi="宋体" w:cs="宋体"/>
                <w:szCs w:val="21"/>
              </w:rPr>
            </w:pPr>
            <w:r>
              <w:rPr>
                <w:rFonts w:hint="eastAsia" w:ascii="宋体" w:hAnsi="宋体" w:cs="宋体"/>
                <w:szCs w:val="21"/>
              </w:rPr>
              <w:t>提供工信部入网证，为保证设备之间良好兼容性，要求和无线产品为同一品牌</w:t>
            </w:r>
          </w:p>
        </w:tc>
      </w:tr>
    </w:tbl>
    <w:p>
      <w:pPr>
        <w:pStyle w:val="290"/>
        <w:spacing w:beforeLines="50"/>
        <w:ind w:left="0" w:firstLine="0" w:firstLineChars="0"/>
        <w:rPr>
          <w:rFonts w:ascii="宋体" w:hAnsi="宋体" w:cs="宋体"/>
          <w:b/>
          <w:bCs/>
          <w:sz w:val="21"/>
          <w:szCs w:val="21"/>
          <w:lang w:val="en-GB"/>
        </w:rPr>
      </w:pPr>
    </w:p>
    <w:p>
      <w:pPr>
        <w:pStyle w:val="290"/>
        <w:spacing w:beforeLines="50"/>
        <w:ind w:left="0" w:firstLine="0" w:firstLineChars="0"/>
        <w:rPr>
          <w:rFonts w:ascii="宋体" w:hAnsi="宋体" w:cs="宋体"/>
          <w:b/>
          <w:bCs/>
          <w:sz w:val="21"/>
          <w:szCs w:val="21"/>
          <w:lang w:val="en-GB"/>
        </w:rPr>
      </w:pPr>
      <w:r>
        <w:rPr>
          <w:rFonts w:hint="eastAsia" w:ascii="宋体" w:hAnsi="宋体" w:cs="宋体"/>
          <w:b/>
          <w:bCs/>
          <w:sz w:val="21"/>
          <w:szCs w:val="21"/>
          <w:lang w:val="en-GB"/>
        </w:rPr>
        <w:t>25、桥架线管</w:t>
      </w:r>
    </w:p>
    <w:p>
      <w:pPr>
        <w:pStyle w:val="290"/>
        <w:spacing w:beforeLines="50"/>
        <w:ind w:left="0" w:firstLine="0" w:firstLineChars="0"/>
        <w:rPr>
          <w:rFonts w:ascii="宋体" w:hAnsi="宋体" w:cs="宋体"/>
          <w:color w:val="000000"/>
          <w:sz w:val="18"/>
          <w:szCs w:val="18"/>
        </w:rPr>
      </w:pPr>
      <w:r>
        <w:rPr>
          <w:rFonts w:hint="eastAsia" w:ascii="宋体" w:hAnsi="宋体" w:cs="宋体"/>
          <w:color w:val="000000"/>
          <w:sz w:val="18"/>
          <w:szCs w:val="18"/>
        </w:rPr>
        <w:t>槽式镀锌桥架、20mm管径KBG管、20mm管径PVC管包括开槽、穿线、粉补、挖沟、回填等</w:t>
      </w:r>
    </w:p>
    <w:p>
      <w:pPr>
        <w:pStyle w:val="290"/>
        <w:spacing w:beforeLines="50"/>
        <w:ind w:left="0" w:firstLine="0" w:firstLineChars="0"/>
        <w:rPr>
          <w:rFonts w:ascii="宋体" w:hAnsi="宋体" w:cs="宋体"/>
          <w:b/>
          <w:bCs/>
          <w:sz w:val="21"/>
          <w:szCs w:val="21"/>
          <w:lang w:val="en-GB"/>
        </w:rPr>
      </w:pPr>
    </w:p>
    <w:p>
      <w:pPr>
        <w:pStyle w:val="290"/>
        <w:spacing w:beforeLines="50"/>
        <w:ind w:left="0" w:firstLine="0" w:firstLineChars="0"/>
        <w:rPr>
          <w:rFonts w:ascii="宋体" w:hAnsi="宋体" w:cs="宋体"/>
          <w:b/>
          <w:bCs/>
          <w:sz w:val="21"/>
          <w:szCs w:val="21"/>
          <w:lang w:val="en-GB"/>
        </w:rPr>
      </w:pPr>
      <w:r>
        <w:rPr>
          <w:rFonts w:hint="eastAsia" w:ascii="宋体" w:hAnsi="宋体" w:cs="宋体"/>
          <w:b/>
          <w:bCs/>
          <w:sz w:val="21"/>
          <w:szCs w:val="21"/>
          <w:lang w:val="en-GB"/>
        </w:rPr>
        <w:t>26、学校核心机交换机机柜、接入层交换机机柜</w:t>
      </w:r>
    </w:p>
    <w:tbl>
      <w:tblPr>
        <w:tblStyle w:val="59"/>
        <w:tblW w:w="8648" w:type="dxa"/>
        <w:jc w:val="center"/>
        <w:tblInd w:w="-318" w:type="dxa"/>
        <w:tblLayout w:type="fixed"/>
        <w:tblCellMar>
          <w:top w:w="0" w:type="dxa"/>
          <w:left w:w="108" w:type="dxa"/>
          <w:bottom w:w="0" w:type="dxa"/>
          <w:right w:w="108" w:type="dxa"/>
        </w:tblCellMar>
      </w:tblPr>
      <w:tblGrid>
        <w:gridCol w:w="579"/>
        <w:gridCol w:w="879"/>
        <w:gridCol w:w="7190"/>
      </w:tblGrid>
      <w:tr>
        <w:tblPrEx>
          <w:tblLayout w:type="fixed"/>
          <w:tblCellMar>
            <w:top w:w="0" w:type="dxa"/>
            <w:left w:w="108" w:type="dxa"/>
            <w:bottom w:w="0" w:type="dxa"/>
            <w:right w:w="108" w:type="dxa"/>
          </w:tblCellMar>
        </w:tblPrEx>
        <w:trPr>
          <w:trHeight w:val="270" w:hRule="atLeast"/>
          <w:jc w:val="center"/>
        </w:trPr>
        <w:tc>
          <w:tcPr>
            <w:tcW w:w="5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品名</w:t>
            </w:r>
          </w:p>
        </w:tc>
        <w:tc>
          <w:tcPr>
            <w:tcW w:w="71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技术参数</w:t>
            </w:r>
          </w:p>
        </w:tc>
      </w:tr>
      <w:tr>
        <w:tblPrEx>
          <w:tblLayout w:type="fixed"/>
          <w:tblCellMar>
            <w:top w:w="0" w:type="dxa"/>
            <w:left w:w="108" w:type="dxa"/>
            <w:bottom w:w="0" w:type="dxa"/>
            <w:right w:w="108" w:type="dxa"/>
          </w:tblCellMar>
        </w:tblPrEx>
        <w:trPr>
          <w:trHeight w:val="799" w:hRule="atLeast"/>
          <w:jc w:val="center"/>
        </w:trPr>
        <w:tc>
          <w:tcPr>
            <w:tcW w:w="5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7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学校核心机交换机机柜机柜42U</w:t>
            </w:r>
          </w:p>
        </w:tc>
        <w:tc>
          <w:tcPr>
            <w:tcW w:w="719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规格：宽600mm*深600mm*高2000mm42U网络机柜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标准：符合ANSI/EIA RS-310-D、IEC60297-2、DIN41494：PART1和DIN41494：PART1标准；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结构：前门为带条形通风孔边框，5mm厚无色透明钢化玻璃门，后门为高密度六角通风孔钢板门,快开式侧板,预留对地安装孔和接地柱,装≥2个风扇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材料：优质冷轧钢板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颜色：黑色</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机柜表面处理：机柜的脱脂、防锈磷化、静电喷涂处理；</w:t>
            </w:r>
          </w:p>
        </w:tc>
      </w:tr>
      <w:tr>
        <w:tblPrEx>
          <w:tblLayout w:type="fixed"/>
          <w:tblCellMar>
            <w:top w:w="0" w:type="dxa"/>
            <w:left w:w="108" w:type="dxa"/>
            <w:bottom w:w="0" w:type="dxa"/>
            <w:right w:w="108" w:type="dxa"/>
          </w:tblCellMar>
        </w:tblPrEx>
        <w:trPr>
          <w:trHeight w:val="799" w:hRule="atLeast"/>
          <w:jc w:val="center"/>
        </w:trPr>
        <w:tc>
          <w:tcPr>
            <w:tcW w:w="5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7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接入层交换机机柜</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12U</w:t>
            </w:r>
          </w:p>
        </w:tc>
        <w:tc>
          <w:tcPr>
            <w:tcW w:w="719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结构：前门为带条形通风孔边框，5mm厚无色透明钢化玻璃门，后门为高密度六角通风孔钢板门,快开式侧板,预留对地安装孔和接地柱,装≥2个风扇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材料：优质冷轧钢板，机柜表面处理：机柜的脱脂、防锈磷化、静电喷涂处理；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颜色：黑色</w:t>
            </w:r>
          </w:p>
        </w:tc>
      </w:tr>
    </w:tbl>
    <w:p>
      <w:pPr>
        <w:pStyle w:val="290"/>
        <w:spacing w:beforeLines="50"/>
        <w:ind w:left="0" w:firstLine="0" w:firstLineChars="0"/>
        <w:rPr>
          <w:rFonts w:ascii="宋体" w:hAnsi="宋体" w:cs="宋体"/>
          <w:b/>
          <w:bCs/>
          <w:sz w:val="21"/>
          <w:szCs w:val="21"/>
          <w:lang w:val="en-GB"/>
        </w:rPr>
      </w:pPr>
    </w:p>
    <w:p>
      <w:pPr>
        <w:pStyle w:val="290"/>
        <w:spacing w:beforeLines="50"/>
        <w:ind w:left="0" w:firstLine="0" w:firstLineChars="0"/>
        <w:rPr>
          <w:rFonts w:ascii="宋体" w:hAnsi="宋体" w:cs="宋体"/>
          <w:b/>
          <w:bCs/>
          <w:sz w:val="21"/>
          <w:szCs w:val="21"/>
          <w:lang w:val="en-GB"/>
        </w:rPr>
      </w:pPr>
    </w:p>
    <w:p>
      <w:pPr>
        <w:pStyle w:val="290"/>
        <w:spacing w:beforeLines="50"/>
        <w:ind w:left="0" w:firstLine="422"/>
        <w:rPr>
          <w:rFonts w:ascii="宋体" w:hAnsi="宋体" w:cs="宋体"/>
          <w:b/>
          <w:bCs/>
          <w:sz w:val="21"/>
          <w:szCs w:val="21"/>
        </w:rPr>
      </w:pPr>
      <w:r>
        <w:rPr>
          <w:rFonts w:hint="eastAsia" w:ascii="宋体" w:hAnsi="宋体" w:cs="宋体"/>
          <w:b/>
          <w:bCs/>
          <w:sz w:val="21"/>
          <w:szCs w:val="21"/>
        </w:rPr>
        <w:t>三、布线要求及施工规范</w:t>
      </w:r>
    </w:p>
    <w:p>
      <w:pPr>
        <w:spacing w:before="156"/>
        <w:ind w:firstLine="422" w:firstLineChars="200"/>
        <w:rPr>
          <w:rFonts w:ascii="宋体" w:hAnsi="宋体" w:cs="宋体"/>
          <w:b/>
          <w:szCs w:val="21"/>
        </w:rPr>
      </w:pPr>
    </w:p>
    <w:p>
      <w:pPr>
        <w:spacing w:before="156"/>
        <w:ind w:firstLine="422" w:firstLineChars="200"/>
        <w:rPr>
          <w:rFonts w:ascii="宋体" w:hAnsi="宋体" w:cs="宋体"/>
          <w:b/>
          <w:szCs w:val="21"/>
        </w:rPr>
      </w:pPr>
      <w:r>
        <w:rPr>
          <w:rFonts w:hint="eastAsia" w:ascii="宋体" w:hAnsi="宋体" w:cs="宋体"/>
          <w:b/>
          <w:szCs w:val="21"/>
        </w:rPr>
        <w:t>光缆要求，从大数据机房到学校核心交换机，要求以裸光纤组网。</w:t>
      </w:r>
    </w:p>
    <w:p>
      <w:pPr>
        <w:spacing w:before="156"/>
        <w:ind w:firstLine="422" w:firstLineChars="200"/>
        <w:rPr>
          <w:rFonts w:ascii="宋体" w:hAnsi="宋体" w:cs="宋体"/>
          <w:b/>
          <w:szCs w:val="21"/>
        </w:rPr>
      </w:pPr>
      <w:r>
        <w:rPr>
          <w:rFonts w:hint="eastAsia" w:ascii="宋体" w:hAnsi="宋体" w:cs="宋体"/>
          <w:b/>
          <w:szCs w:val="21"/>
        </w:rPr>
        <w:t>学校楼宇间必须以光纤组网，学校的核心交换机和接入层交换机必须配备相应的机柜。</w:t>
      </w:r>
    </w:p>
    <w:p>
      <w:pPr>
        <w:spacing w:before="156"/>
        <w:ind w:firstLine="422" w:firstLineChars="200"/>
        <w:rPr>
          <w:rFonts w:ascii="宋体" w:hAnsi="宋体" w:cs="宋体"/>
          <w:b/>
          <w:szCs w:val="21"/>
        </w:rPr>
      </w:pPr>
      <w:r>
        <w:rPr>
          <w:rFonts w:hint="eastAsia" w:ascii="宋体" w:hAnsi="宋体" w:cs="宋体"/>
          <w:b/>
          <w:szCs w:val="21"/>
        </w:rPr>
        <w:t>走廊必须上桥架，教室和办公室内用线槽，信息点以面板固定于墙上。</w:t>
      </w:r>
    </w:p>
    <w:p>
      <w:pPr>
        <w:spacing w:before="156"/>
        <w:ind w:firstLine="420" w:firstLineChars="200"/>
        <w:rPr>
          <w:rFonts w:ascii="宋体" w:hAnsi="宋体" w:cs="宋体"/>
          <w:szCs w:val="21"/>
        </w:rPr>
      </w:pPr>
      <w:r>
        <w:rPr>
          <w:rFonts w:hint="eastAsia" w:ascii="宋体" w:hAnsi="宋体" w:cs="宋体"/>
          <w:szCs w:val="21"/>
        </w:rPr>
        <w:t>网线质量要求：校园网网线质量要求必须采用标准六类网线；</w:t>
      </w:r>
    </w:p>
    <w:p>
      <w:pPr>
        <w:spacing w:before="156"/>
        <w:ind w:firstLine="420" w:firstLineChars="200"/>
        <w:rPr>
          <w:rFonts w:ascii="宋体" w:hAnsi="宋体" w:cs="宋体"/>
          <w:szCs w:val="21"/>
        </w:rPr>
      </w:pPr>
      <w:r>
        <w:rPr>
          <w:rFonts w:hint="eastAsia" w:ascii="宋体" w:hAnsi="宋体" w:cs="宋体"/>
          <w:szCs w:val="21"/>
        </w:rPr>
        <w:t>支持1000Base-LX至5000米，支持10GBASE-LR至10000米；</w:t>
      </w:r>
    </w:p>
    <w:p>
      <w:pPr>
        <w:spacing w:before="156"/>
        <w:ind w:firstLine="420" w:firstLineChars="200"/>
        <w:rPr>
          <w:rFonts w:ascii="宋体" w:hAnsi="宋体" w:cs="宋体"/>
          <w:szCs w:val="21"/>
        </w:rPr>
      </w:pPr>
      <w:r>
        <w:rPr>
          <w:rFonts w:hint="eastAsia" w:ascii="宋体" w:hAnsi="宋体" w:cs="宋体"/>
          <w:szCs w:val="21"/>
        </w:rPr>
        <w:t>符合YD/T901-2009标准；</w:t>
      </w:r>
    </w:p>
    <w:p>
      <w:pPr>
        <w:spacing w:before="156"/>
        <w:ind w:firstLine="420" w:firstLineChars="200"/>
        <w:rPr>
          <w:rFonts w:ascii="宋体" w:hAnsi="宋体" w:cs="宋体"/>
          <w:szCs w:val="21"/>
        </w:rPr>
      </w:pPr>
      <w:r>
        <w:rPr>
          <w:rFonts w:hint="eastAsia" w:ascii="宋体" w:hAnsi="宋体" w:cs="宋体"/>
          <w:szCs w:val="21"/>
        </w:rPr>
        <w:t>楼宇内主干光纤布线采用单模光纤；</w:t>
      </w:r>
    </w:p>
    <w:p>
      <w:pPr>
        <w:spacing w:before="156"/>
        <w:ind w:firstLine="420" w:firstLineChars="200"/>
        <w:rPr>
          <w:rFonts w:ascii="宋体" w:hAnsi="宋体" w:cs="宋体"/>
          <w:szCs w:val="21"/>
        </w:rPr>
      </w:pPr>
      <w:r>
        <w:rPr>
          <w:rFonts w:hint="eastAsia" w:ascii="宋体" w:hAnsi="宋体" w:cs="宋体"/>
          <w:szCs w:val="21"/>
        </w:rPr>
        <w:t>施工质量及规范</w:t>
      </w:r>
    </w:p>
    <w:p>
      <w:pPr>
        <w:spacing w:before="156"/>
        <w:ind w:firstLine="422" w:firstLineChars="200"/>
        <w:rPr>
          <w:rFonts w:ascii="宋体" w:hAnsi="宋体" w:cs="宋体"/>
          <w:szCs w:val="21"/>
        </w:rPr>
      </w:pPr>
      <w:r>
        <w:rPr>
          <w:rFonts w:hint="eastAsia" w:ascii="宋体" w:hAnsi="宋体" w:cs="宋体"/>
          <w:b/>
          <w:szCs w:val="21"/>
        </w:rPr>
        <w:t>综合布线系统产品，含本项目中的有设备的布线.</w:t>
      </w:r>
      <w:r>
        <w:rPr>
          <w:rFonts w:hint="eastAsia" w:ascii="宋体" w:hAnsi="宋体" w:cs="宋体"/>
          <w:szCs w:val="21"/>
        </w:rPr>
        <w:t>包括各种水平线缆、配线架、理线架、模块、数据跳线、面板。</w:t>
      </w:r>
    </w:p>
    <w:p>
      <w:pPr>
        <w:spacing w:before="156"/>
        <w:ind w:firstLine="420" w:firstLineChars="200"/>
        <w:rPr>
          <w:rFonts w:ascii="宋体" w:hAnsi="宋体" w:cs="宋体"/>
          <w:szCs w:val="21"/>
        </w:rPr>
      </w:pPr>
      <w:r>
        <w:rPr>
          <w:rFonts w:hint="eastAsia" w:ascii="宋体" w:hAnsi="宋体" w:cs="宋体"/>
          <w:szCs w:val="21"/>
        </w:rPr>
        <w:t>线缆的品质与安装满足《综合布线系统工程设计规范》GB50311-2007。</w:t>
      </w:r>
    </w:p>
    <w:p>
      <w:pPr>
        <w:spacing w:before="156"/>
        <w:ind w:firstLine="420" w:firstLineChars="200"/>
        <w:rPr>
          <w:rFonts w:ascii="宋体" w:hAnsi="宋体" w:cs="宋体"/>
          <w:szCs w:val="21"/>
        </w:rPr>
      </w:pPr>
      <w:r>
        <w:rPr>
          <w:rFonts w:hint="eastAsia" w:ascii="宋体" w:hAnsi="宋体" w:cs="宋体"/>
          <w:szCs w:val="21"/>
        </w:rPr>
        <w:t>网络开通使用前需提供测试报告以及相关线路图，满足《综合布线系统工程验收规范》GB50312-2007。</w:t>
      </w:r>
    </w:p>
    <w:p>
      <w:pPr>
        <w:spacing w:before="156"/>
        <w:ind w:firstLine="420" w:firstLineChars="200"/>
        <w:rPr>
          <w:rFonts w:ascii="宋体" w:hAnsi="宋体" w:cs="宋体"/>
          <w:szCs w:val="21"/>
        </w:rPr>
      </w:pPr>
      <w:r>
        <w:rPr>
          <w:rFonts w:hint="eastAsia" w:ascii="宋体" w:hAnsi="宋体" w:cs="宋体"/>
          <w:szCs w:val="21"/>
        </w:rPr>
        <w:t>室内AP安装</w:t>
      </w:r>
    </w:p>
    <w:p>
      <w:pPr>
        <w:spacing w:before="156"/>
        <w:ind w:firstLine="420" w:firstLineChars="200"/>
        <w:rPr>
          <w:rFonts w:ascii="宋体" w:hAnsi="宋体" w:cs="宋体"/>
          <w:szCs w:val="21"/>
        </w:rPr>
      </w:pPr>
      <w:r>
        <w:rPr>
          <w:rFonts w:hint="eastAsia" w:ascii="宋体" w:hAnsi="宋体" w:cs="宋体"/>
          <w:szCs w:val="21"/>
        </w:rPr>
        <w:t>安装AP之前，准确记录AP的MAC地址或其他有效编号；</w:t>
      </w:r>
    </w:p>
    <w:p>
      <w:pPr>
        <w:spacing w:before="156"/>
        <w:ind w:firstLine="420" w:firstLineChars="200"/>
        <w:rPr>
          <w:rFonts w:ascii="宋体" w:hAnsi="宋体" w:cs="宋体"/>
          <w:szCs w:val="21"/>
        </w:rPr>
      </w:pPr>
      <w:r>
        <w:rPr>
          <w:rFonts w:hint="eastAsia" w:ascii="宋体" w:hAnsi="宋体" w:cs="宋体"/>
          <w:szCs w:val="21"/>
        </w:rPr>
        <w:t>安装场所应干燥、防尘、通风良好，严禁将设备安装在水房等潮湿、易滴漏地点，安装位置附近不得放置易燃品；</w:t>
      </w:r>
    </w:p>
    <w:p>
      <w:pPr>
        <w:spacing w:before="156"/>
        <w:ind w:firstLine="420" w:firstLineChars="200"/>
        <w:rPr>
          <w:rFonts w:ascii="宋体" w:hAnsi="宋体" w:cs="宋体"/>
          <w:szCs w:val="21"/>
        </w:rPr>
      </w:pPr>
      <w:r>
        <w:rPr>
          <w:rFonts w:hint="eastAsia" w:ascii="宋体" w:hAnsi="宋体" w:cs="宋体"/>
          <w:szCs w:val="21"/>
        </w:rPr>
        <w:t>AP的安装位置便于网线、电源线、馈线的布线，便于维护和更换；</w:t>
      </w:r>
    </w:p>
    <w:p>
      <w:pPr>
        <w:spacing w:before="156"/>
        <w:ind w:firstLine="420" w:firstLineChars="200"/>
        <w:rPr>
          <w:rFonts w:ascii="宋体" w:hAnsi="宋体" w:cs="宋体"/>
          <w:szCs w:val="21"/>
        </w:rPr>
      </w:pPr>
      <w:r>
        <w:rPr>
          <w:rFonts w:hint="eastAsia" w:ascii="宋体" w:hAnsi="宋体" w:cs="宋体"/>
          <w:szCs w:val="21"/>
        </w:rPr>
        <w:t>AP的安装位置距离地面的高度不应小于1.5米；</w:t>
      </w:r>
    </w:p>
    <w:p>
      <w:pPr>
        <w:spacing w:before="156"/>
        <w:ind w:firstLine="420" w:firstLineChars="200"/>
        <w:rPr>
          <w:rFonts w:ascii="宋体" w:hAnsi="宋体" w:cs="宋体"/>
          <w:szCs w:val="21"/>
        </w:rPr>
      </w:pPr>
      <w:r>
        <w:rPr>
          <w:rFonts w:hint="eastAsia" w:ascii="宋体" w:hAnsi="宋体" w:cs="宋体"/>
          <w:szCs w:val="21"/>
        </w:rPr>
        <w:t>在安装AP 设备时，要考虑以太网交换机跟AP 之间的距离限制；</w:t>
      </w:r>
    </w:p>
    <w:p>
      <w:pPr>
        <w:spacing w:before="156"/>
        <w:ind w:firstLine="420" w:firstLineChars="200"/>
        <w:rPr>
          <w:rFonts w:ascii="宋体" w:hAnsi="宋体" w:cs="宋体"/>
          <w:szCs w:val="21"/>
        </w:rPr>
      </w:pPr>
      <w:r>
        <w:rPr>
          <w:rFonts w:hint="eastAsia" w:ascii="宋体" w:hAnsi="宋体" w:cs="宋体"/>
          <w:szCs w:val="21"/>
        </w:rPr>
        <w:t>使用自带天线的AP，需要注意天线位置和天线方向性等，AP周围2米内不得有大的金属体阻档。</w:t>
      </w:r>
    </w:p>
    <w:p>
      <w:pPr>
        <w:spacing w:before="156"/>
        <w:ind w:firstLine="420" w:firstLineChars="200"/>
        <w:rPr>
          <w:rFonts w:ascii="宋体" w:hAnsi="宋体" w:cs="宋体"/>
          <w:szCs w:val="21"/>
        </w:rPr>
      </w:pPr>
      <w:r>
        <w:rPr>
          <w:rFonts w:hint="eastAsia" w:ascii="宋体" w:hAnsi="宋体" w:cs="宋体"/>
          <w:szCs w:val="21"/>
        </w:rPr>
        <w:t>如果吊顶为石膏板或木质，可将AP安装在吊顶内，但必须做好固定，在附近须留有检修口；</w:t>
      </w:r>
    </w:p>
    <w:p>
      <w:pPr>
        <w:spacing w:before="156"/>
        <w:ind w:firstLine="420" w:firstLineChars="200"/>
        <w:rPr>
          <w:rFonts w:ascii="宋体" w:hAnsi="宋体" w:cs="宋体"/>
          <w:szCs w:val="21"/>
        </w:rPr>
      </w:pPr>
      <w:r>
        <w:rPr>
          <w:rFonts w:hint="eastAsia" w:ascii="宋体" w:hAnsi="宋体" w:cs="宋体"/>
          <w:szCs w:val="21"/>
        </w:rPr>
        <w:t>室内WLAN AP 设备宜接地，接地点应与连接的交换机连接至同一接地体，或两个不同的接地电位差不应大于1Vr.m.s。</w:t>
      </w:r>
    </w:p>
    <w:p>
      <w:pPr>
        <w:spacing w:before="156"/>
        <w:ind w:firstLine="420" w:firstLineChars="200"/>
        <w:rPr>
          <w:rFonts w:ascii="宋体" w:hAnsi="宋体" w:cs="宋体"/>
          <w:szCs w:val="21"/>
        </w:rPr>
      </w:pPr>
      <w:r>
        <w:rPr>
          <w:rFonts w:hint="eastAsia" w:ascii="宋体" w:hAnsi="宋体" w:cs="宋体"/>
          <w:szCs w:val="21"/>
        </w:rPr>
        <w:t>设备标准机柜安装主要从散热、安装牢固性以及美观方面进行说明，实际安装中，可根据用户现场环境进行调整，但对于加固及散热二方面内容应遵守以下要点说明。</w:t>
      </w:r>
    </w:p>
    <w:p>
      <w:pPr>
        <w:spacing w:before="156"/>
        <w:ind w:firstLine="420" w:firstLineChars="200"/>
        <w:rPr>
          <w:rFonts w:ascii="宋体" w:hAnsi="宋体" w:cs="宋体"/>
          <w:szCs w:val="21"/>
        </w:rPr>
      </w:pPr>
      <w:r>
        <w:rPr>
          <w:rFonts w:hint="eastAsia" w:ascii="宋体" w:hAnsi="宋体" w:cs="宋体"/>
          <w:szCs w:val="21"/>
        </w:rPr>
        <w:t>1、上架前必须确认机柜空间大小合适：机房环境空间勘察；</w:t>
      </w:r>
    </w:p>
    <w:p>
      <w:pPr>
        <w:spacing w:before="156"/>
        <w:ind w:firstLine="420" w:firstLineChars="200"/>
        <w:rPr>
          <w:rFonts w:ascii="宋体" w:hAnsi="宋体" w:cs="宋体"/>
          <w:szCs w:val="21"/>
        </w:rPr>
      </w:pPr>
      <w:r>
        <w:rPr>
          <w:rFonts w:hint="eastAsia" w:ascii="宋体" w:hAnsi="宋体" w:cs="宋体"/>
          <w:szCs w:val="21"/>
        </w:rPr>
        <w:t>2、设备上架时应平直、顺畅，如有滞涉感，应检查机柜或者设备子架是否损坏变形，不可蛮力安装；</w:t>
      </w:r>
    </w:p>
    <w:p>
      <w:pPr>
        <w:spacing w:before="156"/>
        <w:ind w:firstLine="420" w:firstLineChars="200"/>
        <w:rPr>
          <w:rFonts w:ascii="宋体" w:hAnsi="宋体" w:cs="宋体"/>
          <w:szCs w:val="21"/>
        </w:rPr>
      </w:pPr>
      <w:r>
        <w:rPr>
          <w:rFonts w:hint="eastAsia" w:ascii="宋体" w:hAnsi="宋体" w:cs="宋体"/>
          <w:szCs w:val="21"/>
        </w:rPr>
        <w:t>3、核心交换机自重较大，安装在机柜底部空间；</w:t>
      </w:r>
    </w:p>
    <w:p>
      <w:pPr>
        <w:spacing w:before="156"/>
        <w:ind w:firstLine="420" w:firstLineChars="200"/>
        <w:rPr>
          <w:rFonts w:ascii="宋体" w:hAnsi="宋体" w:cs="宋体"/>
          <w:szCs w:val="21"/>
        </w:rPr>
      </w:pPr>
      <w:r>
        <w:rPr>
          <w:rFonts w:hint="eastAsia" w:ascii="宋体" w:hAnsi="宋体" w:cs="宋体"/>
          <w:szCs w:val="21"/>
        </w:rPr>
        <w:t>4、柜式设备安装于机柜时，不应只通过机柜侧面螺丝进行锁定，根据机柜布局情况、每一台柜式设备均需使用托架进行加固；</w:t>
      </w:r>
    </w:p>
    <w:p>
      <w:pPr>
        <w:spacing w:before="156"/>
        <w:ind w:firstLine="420" w:firstLineChars="200"/>
        <w:rPr>
          <w:rFonts w:ascii="宋体" w:hAnsi="宋体" w:cs="宋体"/>
          <w:szCs w:val="21"/>
        </w:rPr>
      </w:pPr>
      <w:r>
        <w:rPr>
          <w:rFonts w:hint="eastAsia" w:ascii="宋体" w:hAnsi="宋体" w:cs="宋体"/>
          <w:szCs w:val="21"/>
        </w:rPr>
        <w:t>5、柜式设备的侧面螺丝应安装完整，不宜只在对角线进行安装，或者安装不完整；</w:t>
      </w:r>
    </w:p>
    <w:p>
      <w:pPr>
        <w:spacing w:before="156"/>
        <w:ind w:firstLine="420" w:firstLineChars="200"/>
        <w:rPr>
          <w:rFonts w:ascii="宋体" w:hAnsi="宋体" w:cs="宋体"/>
          <w:szCs w:val="21"/>
        </w:rPr>
      </w:pPr>
      <w:r>
        <w:rPr>
          <w:rFonts w:hint="eastAsia" w:ascii="宋体" w:hAnsi="宋体" w:cs="宋体"/>
          <w:szCs w:val="21"/>
        </w:rPr>
        <w:t>6、柜式设备的送风方式有：前后面和两侧面共同进风、上部背面和两侧出风以及左侧进风、右侧出风2种设计，为保证设备散热系统良好运作，设备与机柜侧必须留有一定的空间（5-10cm），设备之间宜预留1U空间，对于封闭式机柜（不透风玻璃柜们），设备与机柜前后挡板应预留空间，否则建议拆卸机柜前后面板；</w:t>
      </w:r>
    </w:p>
    <w:p>
      <w:pPr>
        <w:spacing w:before="156"/>
        <w:ind w:firstLine="420" w:firstLineChars="200"/>
        <w:rPr>
          <w:rFonts w:ascii="宋体" w:hAnsi="宋体" w:cs="宋体"/>
          <w:szCs w:val="21"/>
        </w:rPr>
      </w:pPr>
      <w:r>
        <w:rPr>
          <w:rFonts w:hint="eastAsia" w:ascii="宋体" w:hAnsi="宋体" w:cs="宋体"/>
          <w:szCs w:val="21"/>
        </w:rPr>
        <w:t>7、侧面送风散热方式的设备送风方式均为左侧进风，右侧出风，安装中应避免为了线缆连接（线缆布放应参考设备线缆布放进行）方便，将设备交错安装，导致热空气在设备中循环进出；</w:t>
      </w:r>
    </w:p>
    <w:p>
      <w:pPr>
        <w:spacing w:before="156"/>
        <w:ind w:firstLine="420" w:firstLineChars="200"/>
        <w:rPr>
          <w:rFonts w:ascii="宋体" w:hAnsi="宋体" w:cs="宋体"/>
          <w:szCs w:val="21"/>
        </w:rPr>
      </w:pPr>
      <w:r>
        <w:rPr>
          <w:rFonts w:hint="eastAsia" w:ascii="宋体" w:hAnsi="宋体" w:cs="宋体"/>
          <w:szCs w:val="21"/>
        </w:rPr>
        <w:t>电源线和网络线应采用线槽方式敷设，沿墙水平电缆槽道应与地面平行，沿墙垂直电缆槽道应与地面垂直，网线面板固定墙面。</w:t>
      </w:r>
    </w:p>
    <w:p>
      <w:pPr>
        <w:spacing w:before="156"/>
        <w:ind w:firstLine="420" w:firstLineChars="200"/>
        <w:rPr>
          <w:rFonts w:ascii="宋体" w:hAnsi="宋体" w:cs="宋体"/>
          <w:szCs w:val="21"/>
        </w:rPr>
      </w:pPr>
      <w:r>
        <w:rPr>
          <w:rFonts w:hint="eastAsia" w:ascii="宋体" w:hAnsi="宋体" w:cs="宋体"/>
          <w:szCs w:val="21"/>
        </w:rPr>
        <w:t>电源线应采用整段材料，中间不能有接头，敷设电源线应平直、整齐、不得有急剧弯曲和凹凸不平现象；电源线转弯时，弯曲半径应符合相应技术标准。</w:t>
      </w:r>
    </w:p>
    <w:p>
      <w:pPr>
        <w:spacing w:before="156"/>
        <w:ind w:firstLine="420" w:firstLineChars="200"/>
        <w:rPr>
          <w:rFonts w:ascii="宋体" w:hAnsi="宋体" w:cs="宋体"/>
          <w:szCs w:val="21"/>
        </w:rPr>
      </w:pPr>
      <w:r>
        <w:rPr>
          <w:rFonts w:hint="eastAsia" w:ascii="宋体" w:hAnsi="宋体" w:cs="宋体"/>
          <w:szCs w:val="21"/>
        </w:rPr>
        <w:t>双绞线，走线应自然平直，不得产生扭绞、打圈接头等现象，在管道或吊顶内隐蔽走线绑扎的间距不应大于50cm；设备间网络线预留长度为0.5~1.5米，终端应留有一定空余长度并绑扎整齐固定，便于后期检修和做线缆接头。</w:t>
      </w:r>
    </w:p>
    <w:p>
      <w:pPr>
        <w:spacing w:before="156"/>
        <w:ind w:firstLine="420" w:firstLineChars="200"/>
        <w:rPr>
          <w:rFonts w:ascii="宋体" w:hAnsi="宋体" w:cs="宋体"/>
          <w:szCs w:val="21"/>
        </w:rPr>
      </w:pPr>
      <w:r>
        <w:rPr>
          <w:rFonts w:hint="eastAsia" w:ascii="宋体" w:hAnsi="宋体" w:cs="宋体"/>
          <w:szCs w:val="21"/>
        </w:rPr>
        <w:t>交换机、AP、天线、网络线、POE供电线、电源开关都应贴上标签。标签粘贴在设备、器材正面，以线缆两端可视的地方。标签的标注应工整、清晰，并且标注方法要与竣工图纸上的标注一致。每台设备都应粘贴技术服务及维修热线电话。</w:t>
      </w:r>
    </w:p>
    <w:p>
      <w:pPr>
        <w:spacing w:before="156"/>
        <w:ind w:firstLine="420" w:firstLineChars="200"/>
        <w:rPr>
          <w:rFonts w:ascii="宋体" w:hAnsi="宋体" w:cs="宋体"/>
          <w:szCs w:val="21"/>
        </w:rPr>
      </w:pPr>
      <w:r>
        <w:rPr>
          <w:rFonts w:hint="eastAsia" w:ascii="宋体" w:hAnsi="宋体" w:cs="宋体"/>
          <w:szCs w:val="21"/>
        </w:rPr>
        <w:t>各学校综合机柜建设规范</w:t>
      </w:r>
    </w:p>
    <w:p>
      <w:pPr>
        <w:spacing w:before="156"/>
        <w:ind w:firstLine="420" w:firstLineChars="200"/>
        <w:rPr>
          <w:rFonts w:ascii="宋体" w:hAnsi="宋体" w:cs="宋体"/>
          <w:szCs w:val="21"/>
        </w:rPr>
      </w:pPr>
      <w:r>
        <w:rPr>
          <w:rFonts w:hint="eastAsia" w:ascii="宋体" w:hAnsi="宋体" w:cs="宋体"/>
          <w:szCs w:val="21"/>
        </w:rPr>
        <w:t xml:space="preserve">1.机柜外立柱：采用spcc2..0mm优质冷轧钢板 </w:t>
      </w:r>
    </w:p>
    <w:p>
      <w:pPr>
        <w:spacing w:before="156"/>
        <w:ind w:firstLine="420" w:firstLineChars="200"/>
        <w:rPr>
          <w:rFonts w:ascii="宋体" w:hAnsi="宋体" w:cs="宋体"/>
          <w:szCs w:val="21"/>
        </w:rPr>
      </w:pPr>
      <w:r>
        <w:rPr>
          <w:rFonts w:hint="eastAsia" w:ascii="宋体" w:hAnsi="宋体" w:cs="宋体"/>
          <w:szCs w:val="21"/>
        </w:rPr>
        <w:t xml:space="preserve">2.机柜前、后门：采用spcc1.2mm优质冷轧钢板 </w:t>
      </w:r>
    </w:p>
    <w:p>
      <w:pPr>
        <w:spacing w:before="156"/>
        <w:ind w:firstLine="420" w:firstLineChars="200"/>
        <w:rPr>
          <w:rFonts w:ascii="宋体" w:hAnsi="宋体" w:cs="宋体"/>
          <w:szCs w:val="21"/>
        </w:rPr>
      </w:pPr>
      <w:r>
        <w:rPr>
          <w:rFonts w:hint="eastAsia" w:ascii="宋体" w:hAnsi="宋体" w:cs="宋体"/>
          <w:szCs w:val="21"/>
        </w:rPr>
        <w:t xml:space="preserve">3.机柜内立柱：采用spcc1.5mm优质冷轧钢板 </w:t>
      </w:r>
    </w:p>
    <w:p>
      <w:pPr>
        <w:spacing w:before="156"/>
        <w:ind w:firstLine="420" w:firstLineChars="200"/>
        <w:rPr>
          <w:rFonts w:ascii="宋体" w:hAnsi="宋体" w:cs="宋体"/>
          <w:szCs w:val="21"/>
        </w:rPr>
      </w:pPr>
      <w:r>
        <w:rPr>
          <w:rFonts w:hint="eastAsia" w:ascii="宋体" w:hAnsi="宋体" w:cs="宋体"/>
          <w:szCs w:val="21"/>
        </w:rPr>
        <w:t>4.静载800-1000Kg</w:t>
      </w:r>
    </w:p>
    <w:p>
      <w:pPr>
        <w:spacing w:before="156"/>
        <w:ind w:firstLine="420" w:firstLineChars="200"/>
        <w:rPr>
          <w:rFonts w:ascii="宋体" w:hAnsi="宋体" w:cs="宋体"/>
          <w:szCs w:val="21"/>
        </w:rPr>
      </w:pPr>
      <w:r>
        <w:rPr>
          <w:rFonts w:hint="eastAsia" w:ascii="宋体" w:hAnsi="宋体" w:cs="宋体"/>
          <w:szCs w:val="21"/>
        </w:rPr>
        <w:t>5.产品符合ANSI/EIA; RS-310-D; IEC297-2; DIN41491:PART1; DIN41494:PART7; GB/T3047.2-92标准,兼容ETSI标准</w:t>
      </w:r>
    </w:p>
    <w:p>
      <w:pPr>
        <w:spacing w:before="156"/>
        <w:ind w:firstLine="420" w:firstLineChars="200"/>
        <w:rPr>
          <w:rFonts w:ascii="宋体" w:hAnsi="宋体" w:cs="宋体"/>
          <w:szCs w:val="21"/>
        </w:rPr>
      </w:pPr>
      <w:r>
        <w:rPr>
          <w:rFonts w:hint="eastAsia" w:ascii="宋体" w:hAnsi="宋体" w:cs="宋体"/>
          <w:szCs w:val="21"/>
        </w:rPr>
        <w:t>6.颜色为:RAL9004(黑色)，也可根据提供的色板进行选色来定制所要喷制的颜色 。</w:t>
      </w:r>
    </w:p>
    <w:p>
      <w:pPr>
        <w:numPr>
          <w:ilvl w:val="2"/>
          <w:numId w:val="0"/>
        </w:numPr>
        <w:spacing w:beforeLines="50"/>
        <w:ind w:firstLine="420" w:firstLineChars="200"/>
        <w:rPr>
          <w:rFonts w:ascii="宋体" w:hAnsi="宋体" w:cs="宋体"/>
          <w:szCs w:val="21"/>
        </w:rPr>
      </w:pPr>
      <w:r>
        <w:rPr>
          <w:rFonts w:hint="eastAsia" w:ascii="宋体" w:hAnsi="宋体" w:cs="宋体"/>
          <w:szCs w:val="21"/>
        </w:rPr>
        <w:t>六类双绞线规格要求</w:t>
      </w:r>
    </w:p>
    <w:p>
      <w:pPr>
        <w:spacing w:before="156"/>
        <w:ind w:firstLine="420" w:firstLineChars="200"/>
        <w:rPr>
          <w:rFonts w:ascii="宋体" w:hAnsi="宋体" w:cs="宋体"/>
          <w:szCs w:val="21"/>
        </w:rPr>
      </w:pPr>
      <w:r>
        <w:rPr>
          <w:rFonts w:hint="eastAsia" w:ascii="宋体" w:hAnsi="宋体" w:cs="宋体"/>
          <w:szCs w:val="21"/>
        </w:rPr>
        <w:t xml:space="preserve">1.阻抗: (f=1-500MHz)100±15% </w:t>
      </w:r>
    </w:p>
    <w:p>
      <w:pPr>
        <w:spacing w:before="156"/>
        <w:ind w:firstLine="420" w:firstLineChars="200"/>
        <w:rPr>
          <w:rFonts w:ascii="宋体" w:hAnsi="宋体" w:cs="宋体"/>
          <w:szCs w:val="21"/>
        </w:rPr>
      </w:pPr>
      <w:r>
        <w:rPr>
          <w:rFonts w:hint="eastAsia" w:ascii="宋体" w:hAnsi="宋体" w:cs="宋体"/>
          <w:szCs w:val="21"/>
        </w:rPr>
        <w:t xml:space="preserve">2.最大直流电阻：≤3% </w:t>
      </w:r>
    </w:p>
    <w:p>
      <w:pPr>
        <w:spacing w:before="156"/>
        <w:ind w:firstLine="420" w:firstLineChars="200"/>
        <w:rPr>
          <w:rFonts w:ascii="宋体" w:hAnsi="宋体" w:cs="宋体"/>
          <w:szCs w:val="21"/>
        </w:rPr>
      </w:pPr>
      <w:r>
        <w:rPr>
          <w:rFonts w:hint="eastAsia" w:ascii="宋体" w:hAnsi="宋体" w:cs="宋体"/>
          <w:szCs w:val="21"/>
        </w:rPr>
        <w:t xml:space="preserve">3.工作电容：5.6nF/100米 </w:t>
      </w:r>
    </w:p>
    <w:p>
      <w:pPr>
        <w:spacing w:before="156"/>
        <w:ind w:firstLine="420" w:firstLineChars="200"/>
        <w:rPr>
          <w:rFonts w:ascii="宋体" w:hAnsi="宋体" w:cs="宋体"/>
          <w:szCs w:val="21"/>
        </w:rPr>
      </w:pPr>
      <w:r>
        <w:rPr>
          <w:rFonts w:hint="eastAsia" w:ascii="宋体" w:hAnsi="宋体" w:cs="宋体"/>
          <w:szCs w:val="21"/>
        </w:rPr>
        <w:t xml:space="preserve">4.不平衡电容：＜330pF/100米 </w:t>
      </w:r>
    </w:p>
    <w:p>
      <w:pPr>
        <w:spacing w:before="156"/>
        <w:ind w:firstLine="420" w:firstLineChars="200"/>
        <w:rPr>
          <w:rFonts w:ascii="宋体" w:hAnsi="宋体" w:cs="宋体"/>
          <w:szCs w:val="21"/>
        </w:rPr>
      </w:pPr>
      <w:r>
        <w:rPr>
          <w:rFonts w:hint="eastAsia" w:ascii="宋体" w:hAnsi="宋体" w:cs="宋体"/>
          <w:szCs w:val="21"/>
        </w:rPr>
        <w:t xml:space="preserve">5.延迟偏差:(max)45ns/100m </w:t>
      </w:r>
    </w:p>
    <w:p>
      <w:pPr>
        <w:spacing w:before="156"/>
        <w:ind w:firstLine="420" w:firstLineChars="200"/>
        <w:rPr>
          <w:rFonts w:ascii="宋体" w:hAnsi="宋体" w:cs="宋体"/>
          <w:szCs w:val="21"/>
        </w:rPr>
      </w:pPr>
      <w:r>
        <w:rPr>
          <w:rFonts w:hint="eastAsia" w:ascii="宋体" w:hAnsi="宋体" w:cs="宋体"/>
          <w:szCs w:val="21"/>
        </w:rPr>
        <w:t xml:space="preserve">6.额定传输速率(NVP): 62% </w:t>
      </w:r>
    </w:p>
    <w:tbl>
      <w:tblPr>
        <w:tblStyle w:val="59"/>
        <w:tblW w:w="8370" w:type="dxa"/>
        <w:jc w:val="center"/>
        <w:tblInd w:w="0" w:type="dxa"/>
        <w:tblLayout w:type="fixed"/>
        <w:tblCellMar>
          <w:top w:w="0" w:type="dxa"/>
          <w:left w:w="0" w:type="dxa"/>
          <w:bottom w:w="0" w:type="dxa"/>
          <w:right w:w="0" w:type="dxa"/>
        </w:tblCellMar>
      </w:tblPr>
      <w:tblGrid>
        <w:gridCol w:w="1718"/>
        <w:gridCol w:w="1663"/>
        <w:gridCol w:w="1663"/>
        <w:gridCol w:w="1663"/>
        <w:gridCol w:w="1663"/>
      </w:tblGrid>
      <w:tr>
        <w:tblPrEx>
          <w:tblLayout w:type="fixed"/>
          <w:tblCellMar>
            <w:top w:w="0" w:type="dxa"/>
            <w:left w:w="0" w:type="dxa"/>
            <w:bottom w:w="0" w:type="dxa"/>
            <w:right w:w="0" w:type="dxa"/>
          </w:tblCellMar>
        </w:tblPrEx>
        <w:trPr>
          <w:jc w:val="center"/>
        </w:trPr>
        <w:tc>
          <w:tcPr>
            <w:tcW w:w="1718"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防火等级</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CM</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CMR</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CMP</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LSZH</w:t>
            </w:r>
          </w:p>
        </w:tc>
      </w:tr>
      <w:tr>
        <w:tblPrEx>
          <w:tblLayout w:type="fixed"/>
          <w:tblCellMar>
            <w:top w:w="0" w:type="dxa"/>
            <w:left w:w="0" w:type="dxa"/>
            <w:bottom w:w="0" w:type="dxa"/>
            <w:right w:w="0" w:type="dxa"/>
          </w:tblCellMar>
        </w:tblPrEx>
        <w:trPr>
          <w:jc w:val="center"/>
        </w:trPr>
        <w:tc>
          <w:tcPr>
            <w:tcW w:w="1718"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电缆直径</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8.5±0.2mm</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8.5±0.2mm</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8.5±0.2mm</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8.5±0.2mm</w:t>
            </w:r>
          </w:p>
        </w:tc>
      </w:tr>
      <w:tr>
        <w:tblPrEx>
          <w:tblLayout w:type="fixed"/>
          <w:tblCellMar>
            <w:top w:w="0" w:type="dxa"/>
            <w:left w:w="0" w:type="dxa"/>
            <w:bottom w:w="0" w:type="dxa"/>
            <w:right w:w="0" w:type="dxa"/>
          </w:tblCellMar>
        </w:tblPrEx>
        <w:trPr>
          <w:jc w:val="center"/>
        </w:trPr>
        <w:tc>
          <w:tcPr>
            <w:tcW w:w="1718"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护套材料</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聚氯乙烯(PVC)</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聚氯乙烯(PVC)</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FEP或低烟聚氯乙烯(LSPVC)</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低烟无卤阻燃聚烯烃（LSZHP）</w:t>
            </w:r>
          </w:p>
        </w:tc>
      </w:tr>
      <w:tr>
        <w:tblPrEx>
          <w:tblLayout w:type="fixed"/>
          <w:tblCellMar>
            <w:top w:w="0" w:type="dxa"/>
            <w:left w:w="0" w:type="dxa"/>
            <w:bottom w:w="0" w:type="dxa"/>
            <w:right w:w="0" w:type="dxa"/>
          </w:tblCellMar>
        </w:tblPrEx>
        <w:trPr>
          <w:jc w:val="center"/>
        </w:trPr>
        <w:tc>
          <w:tcPr>
            <w:tcW w:w="1718"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绝缘材料</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HDPE</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HDPE</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氟化乙丙烯（FEP）</w:t>
            </w:r>
          </w:p>
        </w:tc>
        <w:tc>
          <w:tcPr>
            <w:tcW w:w="1663"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LSZHP</w:t>
            </w:r>
          </w:p>
        </w:tc>
      </w:tr>
      <w:tr>
        <w:tblPrEx>
          <w:tblLayout w:type="fixed"/>
          <w:tblCellMar>
            <w:top w:w="0" w:type="dxa"/>
            <w:left w:w="0" w:type="dxa"/>
            <w:bottom w:w="0" w:type="dxa"/>
            <w:right w:w="0" w:type="dxa"/>
          </w:tblCellMar>
        </w:tblPrEx>
        <w:trPr>
          <w:jc w:val="center"/>
        </w:trPr>
        <w:tc>
          <w:tcPr>
            <w:tcW w:w="1718"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导体材料和直径</w:t>
            </w:r>
          </w:p>
        </w:tc>
        <w:tc>
          <w:tcPr>
            <w:tcW w:w="6652" w:type="dxa"/>
            <w:gridSpan w:val="4"/>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无氧圆铜线（纯度99.99%）23AWG</w:t>
            </w:r>
          </w:p>
        </w:tc>
      </w:tr>
      <w:tr>
        <w:tblPrEx>
          <w:tblLayout w:type="fixed"/>
          <w:tblCellMar>
            <w:top w:w="0" w:type="dxa"/>
            <w:left w:w="0" w:type="dxa"/>
            <w:bottom w:w="0" w:type="dxa"/>
            <w:right w:w="0" w:type="dxa"/>
          </w:tblCellMar>
        </w:tblPrEx>
        <w:trPr>
          <w:jc w:val="center"/>
        </w:trPr>
        <w:tc>
          <w:tcPr>
            <w:tcW w:w="1718"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最大牵拉力</w:t>
            </w:r>
          </w:p>
        </w:tc>
        <w:tc>
          <w:tcPr>
            <w:tcW w:w="6652" w:type="dxa"/>
            <w:gridSpan w:val="4"/>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11Kg</w:t>
            </w:r>
          </w:p>
        </w:tc>
      </w:tr>
      <w:tr>
        <w:tblPrEx>
          <w:tblLayout w:type="fixed"/>
          <w:tblCellMar>
            <w:top w:w="0" w:type="dxa"/>
            <w:left w:w="0" w:type="dxa"/>
            <w:bottom w:w="0" w:type="dxa"/>
            <w:right w:w="0" w:type="dxa"/>
          </w:tblCellMar>
        </w:tblPrEx>
        <w:trPr>
          <w:jc w:val="center"/>
        </w:trPr>
        <w:tc>
          <w:tcPr>
            <w:tcW w:w="1718" w:type="dxa"/>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最小弯曲半径</w:t>
            </w:r>
          </w:p>
        </w:tc>
        <w:tc>
          <w:tcPr>
            <w:tcW w:w="6652" w:type="dxa"/>
            <w:gridSpan w:val="4"/>
            <w:tcBorders>
              <w:top w:val="single" w:color="auto" w:sz="2" w:space="0"/>
              <w:left w:val="single" w:color="auto" w:sz="2" w:space="0"/>
              <w:bottom w:val="single" w:color="auto" w:sz="2" w:space="0"/>
              <w:right w:val="single" w:color="auto" w:sz="2" w:space="0"/>
            </w:tcBorders>
            <w:noWrap/>
            <w:tcMar>
              <w:top w:w="0" w:type="dxa"/>
              <w:left w:w="108" w:type="dxa"/>
              <w:bottom w:w="0" w:type="dxa"/>
              <w:right w:w="108" w:type="dxa"/>
            </w:tcMar>
            <w:vAlign w:val="center"/>
          </w:tcPr>
          <w:p>
            <w:pPr>
              <w:spacing w:before="156"/>
              <w:ind w:firstLine="420" w:firstLineChars="200"/>
              <w:rPr>
                <w:rFonts w:ascii="宋体" w:hAnsi="宋体" w:cs="宋体"/>
                <w:szCs w:val="21"/>
              </w:rPr>
            </w:pPr>
            <w:r>
              <w:rPr>
                <w:rFonts w:hint="eastAsia" w:ascii="宋体" w:hAnsi="宋体" w:cs="宋体"/>
                <w:szCs w:val="21"/>
              </w:rPr>
              <w:t>10倍电缆外径</w:t>
            </w:r>
          </w:p>
        </w:tc>
      </w:tr>
    </w:tbl>
    <w:p>
      <w:pPr>
        <w:spacing w:before="156"/>
        <w:ind w:firstLine="420" w:firstLineChars="200"/>
        <w:rPr>
          <w:rFonts w:ascii="宋体" w:hAnsi="宋体" w:cs="宋体"/>
          <w:szCs w:val="21"/>
        </w:rPr>
      </w:pPr>
      <w:r>
        <w:rPr>
          <w:rFonts w:hint="eastAsia" w:ascii="宋体" w:hAnsi="宋体" w:cs="宋体"/>
          <w:szCs w:val="21"/>
        </w:rPr>
        <w:t>施工管理规范</w:t>
      </w:r>
    </w:p>
    <w:p>
      <w:pPr>
        <w:spacing w:before="156"/>
        <w:ind w:firstLine="420" w:firstLineChars="200"/>
        <w:rPr>
          <w:rFonts w:ascii="宋体" w:hAnsi="宋体" w:cs="宋体"/>
          <w:szCs w:val="21"/>
        </w:rPr>
      </w:pPr>
      <w:r>
        <w:rPr>
          <w:rFonts w:hint="eastAsia" w:ascii="宋体" w:hAnsi="宋体" w:cs="宋体"/>
          <w:szCs w:val="21"/>
        </w:rPr>
        <w:t>施工单位应进行现场勘查，施工单位与学校用户根据实际情况分析设计方案，确定施工方案。在施工过程中不能影响学校正常的教学。</w:t>
      </w:r>
    </w:p>
    <w:p>
      <w:pPr>
        <w:numPr>
          <w:ilvl w:val="2"/>
          <w:numId w:val="0"/>
        </w:numPr>
        <w:spacing w:beforeLines="50"/>
        <w:ind w:firstLine="420" w:firstLineChars="200"/>
        <w:rPr>
          <w:rFonts w:ascii="宋体" w:hAnsi="宋体" w:cs="宋体"/>
          <w:szCs w:val="21"/>
        </w:rPr>
      </w:pPr>
      <w:r>
        <w:rPr>
          <w:rFonts w:hint="eastAsia" w:ascii="宋体" w:hAnsi="宋体" w:cs="宋体"/>
          <w:szCs w:val="21"/>
        </w:rPr>
        <w:t>施工中要切实注意安全，带电操作要用专业人员，高空作业要系安全带，雷雨天不得在室外楼顶等高处施工。施工完毕，设备应清洁，外表无灰尘，污痕；工程施工剩余材料要收回，杂物、废物料应清除，所有施工场地应打扫清洁</w:t>
      </w:r>
      <w:r>
        <w:rPr>
          <w:rFonts w:hint="eastAsia" w:ascii="宋体" w:hAnsi="宋体" w:cs="宋体"/>
          <w:szCs w:val="21"/>
          <w:lang w:val="en-GB"/>
        </w:rPr>
        <w:t>,部分设备要根据学校具体情况利旧安装。</w:t>
      </w:r>
    </w:p>
    <w:p>
      <w:pPr>
        <w:pStyle w:val="290"/>
        <w:spacing w:beforeLines="50"/>
        <w:ind w:left="0"/>
        <w:rPr>
          <w:rFonts w:ascii="宋体" w:hAnsi="宋体" w:cs="宋体"/>
          <w:sz w:val="21"/>
          <w:szCs w:val="21"/>
        </w:rPr>
      </w:pPr>
      <w:r>
        <w:rPr>
          <w:rFonts w:hint="eastAsia" w:ascii="宋体" w:hAnsi="宋体" w:cs="宋体"/>
          <w:sz w:val="21"/>
          <w:szCs w:val="21"/>
        </w:rPr>
        <w:t>施工文档应及时记录和归档。</w:t>
      </w:r>
    </w:p>
    <w:p>
      <w:pPr>
        <w:pStyle w:val="290"/>
        <w:spacing w:beforeLines="50"/>
        <w:ind w:left="0" w:firstLine="422"/>
        <w:rPr>
          <w:rFonts w:ascii="宋体" w:hAnsi="宋体" w:cs="宋体"/>
          <w:b/>
          <w:sz w:val="21"/>
          <w:szCs w:val="21"/>
        </w:rPr>
      </w:pPr>
      <w:r>
        <w:rPr>
          <w:rFonts w:hint="eastAsia" w:ascii="宋体" w:hAnsi="宋体" w:cs="宋体"/>
          <w:b/>
          <w:sz w:val="21"/>
          <w:szCs w:val="21"/>
        </w:rPr>
        <w:t>四、验收规范</w:t>
      </w:r>
    </w:p>
    <w:p>
      <w:pPr>
        <w:pStyle w:val="289"/>
        <w:spacing w:before="156"/>
        <w:rPr>
          <w:rFonts w:ascii="宋体" w:hAnsi="宋体" w:cs="宋体"/>
          <w:sz w:val="21"/>
          <w:szCs w:val="21"/>
        </w:rPr>
      </w:pPr>
      <w:r>
        <w:rPr>
          <w:rFonts w:hint="eastAsia" w:ascii="宋体" w:hAnsi="宋体" w:cs="宋体"/>
          <w:sz w:val="21"/>
          <w:szCs w:val="21"/>
        </w:rPr>
        <w:t>验收文件包括学校用户项目设计方案，实施方案和项目合同；学校用户项目资料，应包括系统拓扑、设备安装表、施工走线图、设备清单及测试报告。</w:t>
      </w:r>
    </w:p>
    <w:p>
      <w:pPr>
        <w:pStyle w:val="289"/>
        <w:tabs>
          <w:tab w:val="left" w:pos="709"/>
        </w:tabs>
        <w:spacing w:before="156"/>
        <w:rPr>
          <w:rFonts w:ascii="宋体" w:hAnsi="宋体" w:cs="宋体"/>
          <w:sz w:val="21"/>
          <w:szCs w:val="21"/>
        </w:rPr>
      </w:pPr>
      <w:r>
        <w:rPr>
          <w:rFonts w:hint="eastAsia" w:ascii="宋体" w:hAnsi="宋体" w:cs="宋体"/>
          <w:sz w:val="21"/>
          <w:szCs w:val="21"/>
        </w:rPr>
        <w:t>验收内容</w:t>
      </w:r>
    </w:p>
    <w:p>
      <w:pPr>
        <w:pStyle w:val="289"/>
        <w:numPr>
          <w:ilvl w:val="0"/>
          <w:numId w:val="33"/>
        </w:numPr>
        <w:tabs>
          <w:tab w:val="left" w:pos="709"/>
        </w:tabs>
        <w:spacing w:before="156"/>
        <w:ind w:left="0" w:firstLine="420"/>
        <w:rPr>
          <w:rFonts w:ascii="宋体" w:hAnsi="宋体" w:cs="宋体"/>
          <w:sz w:val="21"/>
          <w:szCs w:val="21"/>
        </w:rPr>
      </w:pPr>
      <w:r>
        <w:rPr>
          <w:rFonts w:hint="eastAsia" w:ascii="宋体" w:hAnsi="宋体" w:cs="宋体"/>
          <w:sz w:val="21"/>
          <w:szCs w:val="21"/>
        </w:rPr>
        <w:t>安装工艺检查。包括AP设备安装检查、天线安装检查、有线设备安装检查、核心设备板卡安装检查、电缆槽道安装检查、线缆布放检查、有源和无源设备安装检查、各类标签标识检查等。</w:t>
      </w:r>
    </w:p>
    <w:p>
      <w:pPr>
        <w:pStyle w:val="289"/>
        <w:numPr>
          <w:ilvl w:val="0"/>
          <w:numId w:val="33"/>
        </w:numPr>
        <w:tabs>
          <w:tab w:val="left" w:pos="709"/>
        </w:tabs>
        <w:spacing w:before="156"/>
        <w:ind w:left="0" w:firstLine="420"/>
        <w:rPr>
          <w:rFonts w:ascii="宋体" w:hAnsi="宋体" w:cs="宋体"/>
          <w:sz w:val="21"/>
          <w:szCs w:val="21"/>
        </w:rPr>
      </w:pPr>
      <w:r>
        <w:rPr>
          <w:rFonts w:hint="eastAsia" w:ascii="宋体" w:hAnsi="宋体" w:cs="宋体"/>
          <w:sz w:val="21"/>
          <w:szCs w:val="21"/>
        </w:rPr>
        <w:t>设备测试。包括AP配置检查，信号覆盖测试，用户认证测试，AP漫游，并发测试，各交换机等本项目中包括的各项设备。</w:t>
      </w:r>
    </w:p>
    <w:p>
      <w:pPr>
        <w:pStyle w:val="289"/>
        <w:numPr>
          <w:ilvl w:val="0"/>
          <w:numId w:val="33"/>
        </w:numPr>
        <w:tabs>
          <w:tab w:val="left" w:pos="709"/>
        </w:tabs>
        <w:spacing w:before="156"/>
        <w:ind w:left="0" w:firstLine="420"/>
        <w:rPr>
          <w:rFonts w:ascii="宋体" w:hAnsi="宋体" w:cs="宋体"/>
          <w:sz w:val="21"/>
          <w:szCs w:val="21"/>
        </w:rPr>
      </w:pPr>
      <w:r>
        <w:rPr>
          <w:rFonts w:hint="eastAsia" w:ascii="宋体" w:hAnsi="宋体" w:cs="宋体"/>
          <w:sz w:val="21"/>
          <w:szCs w:val="21"/>
        </w:rPr>
        <w:t>业务检查。包括AP覆盖用户情况，热点信息检查，热点覆盖区域的总体网络情况，手机终端使用情况，各平台软件的运行情况。</w:t>
      </w:r>
    </w:p>
    <w:p>
      <w:pPr>
        <w:pStyle w:val="290"/>
        <w:spacing w:beforeLines="50"/>
        <w:ind w:left="0" w:firstLine="422"/>
        <w:rPr>
          <w:rFonts w:ascii="宋体" w:hAnsi="宋体" w:cs="宋体"/>
          <w:b/>
          <w:sz w:val="21"/>
          <w:szCs w:val="21"/>
        </w:rPr>
      </w:pPr>
      <w:r>
        <w:rPr>
          <w:rFonts w:hint="eastAsia" w:ascii="宋体" w:hAnsi="宋体" w:cs="宋体"/>
          <w:b/>
          <w:sz w:val="21"/>
          <w:szCs w:val="21"/>
        </w:rPr>
        <w:t>五、服务、付款方式及考核指标：</w:t>
      </w:r>
    </w:p>
    <w:p>
      <w:pPr>
        <w:tabs>
          <w:tab w:val="left" w:pos="1080"/>
        </w:tabs>
        <w:spacing w:before="156" w:line="360" w:lineRule="auto"/>
        <w:ind w:right="63" w:firstLine="420" w:firstLineChars="200"/>
        <w:rPr>
          <w:rFonts w:ascii="宋体" w:hAnsi="宋体" w:cs="宋体"/>
          <w:szCs w:val="21"/>
        </w:rPr>
      </w:pPr>
      <w:r>
        <w:rPr>
          <w:rFonts w:hint="eastAsia" w:ascii="宋体" w:hAnsi="宋体" w:cs="宋体"/>
          <w:szCs w:val="21"/>
        </w:rPr>
        <w:t>合作期内中标方需保证设备正常、稳定运行，满足学校正常教学、办公要求。有专人提供无线网控制器管理和全区无线漫游认证，有专人提供上网行为管理系统，网络线路变更，网络设备配置变更及日常管理，否则酌情扣分。</w:t>
      </w:r>
    </w:p>
    <w:p>
      <w:pPr>
        <w:tabs>
          <w:tab w:val="left" w:pos="1080"/>
        </w:tabs>
        <w:spacing w:before="156" w:line="360" w:lineRule="auto"/>
        <w:ind w:right="63" w:firstLine="420" w:firstLineChars="200"/>
        <w:rPr>
          <w:rFonts w:ascii="宋体" w:hAnsi="宋体" w:cs="宋体"/>
          <w:szCs w:val="21"/>
        </w:rPr>
      </w:pPr>
      <w:r>
        <w:rPr>
          <w:rFonts w:hint="eastAsia" w:ascii="宋体" w:hAnsi="宋体" w:cs="宋体"/>
          <w:szCs w:val="21"/>
        </w:rPr>
        <w:t>服务时间：开通服务热线，有专线专人负责，7*24实时响应,计量周期为学年，非中标方原因造成的故障不在计量范围之内，如线路切割，区域范围停电等不可抗原因。</w:t>
      </w:r>
    </w:p>
    <w:p>
      <w:pPr>
        <w:tabs>
          <w:tab w:val="left" w:pos="1080"/>
        </w:tabs>
        <w:spacing w:before="156" w:line="360" w:lineRule="auto"/>
        <w:ind w:right="63" w:firstLine="420" w:firstLineChars="200"/>
        <w:rPr>
          <w:rFonts w:hint="default" w:ascii="宋体" w:hAnsi="宋体" w:eastAsia="宋体" w:cs="宋体"/>
          <w:szCs w:val="21"/>
          <w:lang w:val="en-US" w:eastAsia="zh-CN"/>
        </w:rPr>
      </w:pPr>
      <w:r>
        <w:rPr>
          <w:rFonts w:hint="eastAsia" w:ascii="宋体" w:hAnsi="宋体" w:cs="宋体"/>
          <w:szCs w:val="21"/>
        </w:rPr>
        <w:t>服务人员：专职人员2名，驻衢江区办公。电脑，办公桌椅等办公用品由中标方提供，办公地点由教育局指定，其中一名专职人员必须有两年以上互联网工作经验同时持有网络工程师及以上证书。工资及各项待遇由中标方发放，衢江区教育局负责考核。</w:t>
      </w:r>
      <w:r>
        <w:rPr>
          <w:rFonts w:hint="eastAsia" w:ascii="宋体" w:hAnsi="宋体" w:cs="宋体"/>
          <w:szCs w:val="21"/>
          <w:lang w:val="en-US" w:eastAsia="zh-CN"/>
        </w:rPr>
        <w:t>期限五年。</w:t>
      </w:r>
    </w:p>
    <w:p>
      <w:pPr>
        <w:pStyle w:val="214"/>
        <w:spacing w:before="156"/>
        <w:rPr>
          <w:rFonts w:ascii="宋体" w:hAnsi="宋体" w:eastAsia="宋体" w:cs="宋体"/>
          <w:sz w:val="21"/>
          <w:szCs w:val="21"/>
        </w:rPr>
      </w:pPr>
      <w:r>
        <w:rPr>
          <w:rFonts w:hint="eastAsia" w:ascii="宋体" w:hAnsi="宋体" w:eastAsia="宋体" w:cs="宋体"/>
          <w:sz w:val="21"/>
          <w:szCs w:val="21"/>
        </w:rPr>
        <w:t>考核具体到每项具体建设内容的故障解决时间，如有线（骨干网、学校网络）、无线、监控、访客系统、后勤管理系统等，各设备应提供备件。最终结算费用以考核分为依据。</w:t>
      </w:r>
    </w:p>
    <w:p>
      <w:pPr>
        <w:pStyle w:val="294"/>
        <w:spacing w:before="96" w:after="96" w:line="240" w:lineRule="auto"/>
        <w:rPr>
          <w:rFonts w:ascii="宋体" w:hAnsi="宋体" w:cs="宋体"/>
          <w:sz w:val="21"/>
          <w:szCs w:val="21"/>
        </w:rPr>
      </w:pPr>
      <w:r>
        <w:rPr>
          <w:rFonts w:hint="eastAsia" w:ascii="宋体" w:hAnsi="宋体" w:cs="宋体"/>
          <w:sz w:val="21"/>
          <w:szCs w:val="21"/>
        </w:rPr>
        <w:t>本项目以购买服务的方式按五学年（3学年+2学年）分期付款，每学年末支付费用约为总款项的五分之一。</w:t>
      </w:r>
    </w:p>
    <w:p>
      <w:pPr>
        <w:pStyle w:val="294"/>
        <w:spacing w:before="96" w:after="96" w:line="24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在验收通过的情况下2019年下半年支付中标价格的五分之一，后续四年</w:t>
      </w:r>
      <w:r>
        <w:rPr>
          <w:rFonts w:hint="eastAsia" w:ascii="宋体" w:hAnsi="宋体" w:cs="宋体"/>
          <w:color w:val="000000"/>
          <w:kern w:val="0"/>
          <w:sz w:val="21"/>
          <w:szCs w:val="21"/>
        </w:rPr>
        <w:t>按照考核要求</w:t>
      </w:r>
      <w:r>
        <w:rPr>
          <w:rFonts w:hint="eastAsia" w:ascii="宋体" w:hAnsi="宋体" w:cs="宋体"/>
          <w:color w:val="000000"/>
          <w:kern w:val="0"/>
          <w:sz w:val="21"/>
          <w:szCs w:val="21"/>
          <w:lang w:val="en-US" w:eastAsia="zh-CN"/>
        </w:rPr>
        <w:t>发放</w:t>
      </w:r>
      <w:r>
        <w:rPr>
          <w:rFonts w:hint="eastAsia" w:ascii="宋体" w:hAnsi="宋体" w:cs="宋体"/>
          <w:color w:val="000000"/>
          <w:kern w:val="0"/>
          <w:sz w:val="21"/>
          <w:szCs w:val="21"/>
        </w:rPr>
        <w:t>：</w:t>
      </w:r>
    </w:p>
    <w:p>
      <w:pPr>
        <w:pStyle w:val="294"/>
        <w:spacing w:before="96" w:after="96" w:line="240" w:lineRule="auto"/>
        <w:rPr>
          <w:rFonts w:ascii="宋体" w:hAnsi="宋体" w:cs="宋体"/>
          <w:color w:val="000000"/>
          <w:kern w:val="0"/>
          <w:sz w:val="21"/>
          <w:szCs w:val="21"/>
        </w:rPr>
      </w:pPr>
      <w:r>
        <w:rPr>
          <w:rFonts w:hint="eastAsia" w:ascii="宋体" w:hAnsi="宋体" w:cs="宋体"/>
          <w:color w:val="000000"/>
          <w:kern w:val="0"/>
          <w:sz w:val="21"/>
          <w:szCs w:val="21"/>
        </w:rPr>
        <w:t>①基本服务费：按合同约定每学</w:t>
      </w:r>
      <w:r>
        <w:rPr>
          <w:rFonts w:hint="eastAsia" w:ascii="宋体" w:hAnsi="宋体" w:cs="宋体"/>
          <w:color w:val="000000"/>
          <w:kern w:val="0"/>
          <w:sz w:val="21"/>
          <w:szCs w:val="21"/>
          <w:lang w:val="en-US" w:eastAsia="zh-CN"/>
        </w:rPr>
        <w:t>年</w:t>
      </w:r>
      <w:r>
        <w:rPr>
          <w:rFonts w:hint="eastAsia" w:ascii="宋体" w:hAnsi="宋体" w:cs="宋体"/>
          <w:color w:val="000000"/>
          <w:kern w:val="0"/>
          <w:sz w:val="21"/>
          <w:szCs w:val="21"/>
        </w:rPr>
        <w:t>应支付服务费的70%作为服务提供商的基本服务费，除服务提供商未按项目建设内容及合同约定提供相关产品及服务外，应全额支付此项费用；其他情况双方协商处理。</w:t>
      </w:r>
    </w:p>
    <w:p>
      <w:pPr>
        <w:pStyle w:val="294"/>
        <w:spacing w:before="96" w:after="96" w:line="240" w:lineRule="auto"/>
        <w:rPr>
          <w:rFonts w:ascii="宋体" w:hAnsi="宋体" w:cs="宋体"/>
          <w:sz w:val="21"/>
          <w:szCs w:val="21"/>
        </w:rPr>
      </w:pPr>
      <w:r>
        <w:rPr>
          <w:rFonts w:hint="eastAsia" w:ascii="宋体" w:hAnsi="宋体" w:cs="宋体"/>
          <w:sz w:val="21"/>
          <w:szCs w:val="21"/>
        </w:rPr>
        <w:t>②服务考核费：按合同约定每学</w:t>
      </w:r>
      <w:r>
        <w:rPr>
          <w:rFonts w:hint="eastAsia" w:ascii="宋体" w:hAnsi="宋体" w:cs="宋体"/>
          <w:sz w:val="21"/>
          <w:szCs w:val="21"/>
          <w:lang w:val="en-US" w:eastAsia="zh-CN"/>
        </w:rPr>
        <w:t>年</w:t>
      </w:r>
      <w:r>
        <w:rPr>
          <w:rFonts w:hint="eastAsia" w:ascii="宋体" w:hAnsi="宋体" w:cs="宋体"/>
          <w:sz w:val="21"/>
          <w:szCs w:val="21"/>
        </w:rPr>
        <w:t xml:space="preserve">应支付服务费的30%作为服务提供商的服务考核费，其考核内容为日常运维的服务考核，最终支付金额为=每学期服务考核费*最终得分% </w:t>
      </w:r>
    </w:p>
    <w:p>
      <w:pPr>
        <w:pStyle w:val="294"/>
        <w:spacing w:before="96" w:after="96" w:line="240" w:lineRule="auto"/>
        <w:rPr>
          <w:rFonts w:hint="eastAsia" w:ascii="宋体" w:hAnsi="宋体" w:cs="宋体"/>
          <w:sz w:val="21"/>
          <w:szCs w:val="21"/>
        </w:rPr>
      </w:pPr>
      <w:r>
        <w:rPr>
          <w:rFonts w:hint="eastAsia" w:ascii="宋体" w:hAnsi="宋体" w:cs="宋体"/>
          <w:sz w:val="21"/>
          <w:szCs w:val="21"/>
        </w:rPr>
        <w:t>每学年应支付服务费=基本服务费+服务考核费</w:t>
      </w:r>
    </w:p>
    <w:p>
      <w:pPr>
        <w:pStyle w:val="294"/>
        <w:spacing w:before="96" w:after="96" w:line="240" w:lineRule="auto"/>
        <w:rPr>
          <w:rFonts w:ascii="宋体" w:hAnsi="宋体" w:cs="宋体"/>
          <w:sz w:val="21"/>
          <w:szCs w:val="21"/>
        </w:rPr>
      </w:pPr>
      <w:r>
        <w:rPr>
          <w:rFonts w:hint="eastAsia" w:ascii="宋体" w:hAnsi="宋体" w:cs="宋体"/>
          <w:sz w:val="21"/>
          <w:szCs w:val="21"/>
        </w:rPr>
        <w:t>相关考核内容及计分办法如下：</w:t>
      </w:r>
    </w:p>
    <w:p>
      <w:pPr>
        <w:pStyle w:val="214"/>
        <w:spacing w:before="156"/>
        <w:ind w:firstLine="562"/>
        <w:rPr>
          <w:rFonts w:ascii="宋体" w:hAnsi="宋体" w:cs="宋体"/>
          <w:b/>
          <w:szCs w:val="21"/>
        </w:rPr>
      </w:pPr>
      <w:r>
        <w:rPr>
          <w:rFonts w:hint="eastAsia" w:ascii="宋体" w:hAnsi="宋体" w:cs="宋体"/>
          <w:b/>
          <w:szCs w:val="21"/>
        </w:rPr>
        <w:t>（1）网络</w:t>
      </w:r>
      <w:r>
        <w:rPr>
          <w:rFonts w:hint="eastAsia" w:ascii="宋体" w:hAnsi="宋体" w:cs="宋体"/>
          <w:b/>
          <w:szCs w:val="21"/>
          <w:lang w:val="en-US" w:eastAsia="zh-CN"/>
        </w:rPr>
        <w:t>4</w:t>
      </w:r>
      <w:r>
        <w:rPr>
          <w:rFonts w:hint="eastAsia" w:ascii="宋体" w:hAnsi="宋体" w:cs="宋体"/>
          <w:b/>
          <w:szCs w:val="21"/>
        </w:rPr>
        <w:t>0分</w:t>
      </w:r>
    </w:p>
    <w:p>
      <w:pPr>
        <w:pStyle w:val="214"/>
        <w:spacing w:before="156"/>
        <w:ind w:left="420" w:firstLine="0" w:firstLineChars="0"/>
        <w:rPr>
          <w:rFonts w:ascii="宋体" w:hAnsi="宋体" w:cs="宋体"/>
          <w:szCs w:val="21"/>
        </w:rPr>
      </w:pPr>
      <w:r>
        <w:rPr>
          <w:rFonts w:hint="eastAsia" w:ascii="宋体" w:hAnsi="宋体" w:cs="宋体"/>
          <w:b/>
          <w:bCs/>
          <w:szCs w:val="21"/>
        </w:rPr>
        <w:fldChar w:fldCharType="begin"/>
      </w:r>
      <w:r>
        <w:rPr>
          <w:rFonts w:hint="eastAsia" w:ascii="宋体" w:hAnsi="宋体" w:cs="宋体"/>
          <w:b/>
          <w:bCs/>
          <w:szCs w:val="21"/>
        </w:rPr>
        <w:instrText xml:space="preserve"> = 1 \* GB3 </w:instrText>
      </w:r>
      <w:r>
        <w:rPr>
          <w:rFonts w:hint="eastAsia" w:ascii="宋体" w:hAnsi="宋体" w:cs="宋体"/>
          <w:b/>
          <w:bCs/>
          <w:szCs w:val="21"/>
        </w:rPr>
        <w:fldChar w:fldCharType="separate"/>
      </w:r>
      <w:r>
        <w:rPr>
          <w:rFonts w:hint="eastAsia" w:ascii="宋体" w:hAnsi="宋体" w:cs="宋体"/>
          <w:b/>
          <w:bCs/>
          <w:szCs w:val="21"/>
        </w:rPr>
        <w:t>①</w:t>
      </w:r>
      <w:r>
        <w:rPr>
          <w:rFonts w:hint="eastAsia" w:ascii="宋体" w:hAnsi="宋体" w:cs="宋体"/>
          <w:b/>
          <w:bCs/>
          <w:szCs w:val="21"/>
        </w:rPr>
        <w:fldChar w:fldCharType="end"/>
      </w:r>
      <w:r>
        <w:rPr>
          <w:rFonts w:hint="eastAsia" w:ascii="宋体" w:hAnsi="宋体" w:cs="宋体"/>
          <w:b/>
          <w:bCs/>
          <w:szCs w:val="21"/>
        </w:rPr>
        <w:t>骨干层及以上设备故障实行7*24小时零时间响应</w:t>
      </w:r>
      <w:r>
        <w:rPr>
          <w:rFonts w:hint="eastAsia" w:ascii="宋体" w:hAnsi="宋体" w:cs="宋体"/>
          <w:szCs w:val="21"/>
        </w:rPr>
        <w:t>，如发生断网</w:t>
      </w:r>
      <w:r>
        <w:rPr>
          <w:rFonts w:hint="eastAsia" w:ascii="宋体" w:hAnsi="宋体" w:cs="宋体"/>
          <w:color w:val="000000"/>
          <w:kern w:val="0"/>
          <w:szCs w:val="21"/>
        </w:rPr>
        <w:t>故障每次扣5分，</w:t>
      </w:r>
      <w:r>
        <w:rPr>
          <w:rFonts w:hint="eastAsia" w:ascii="宋体" w:hAnsi="宋体" w:cs="宋体"/>
          <w:color w:val="000000"/>
          <w:kern w:val="0"/>
          <w:szCs w:val="21"/>
          <w:lang w:val="en-GB"/>
        </w:rPr>
        <w:t>如数据丢失</w:t>
      </w:r>
      <w:r>
        <w:rPr>
          <w:rFonts w:hint="eastAsia" w:ascii="宋体" w:hAnsi="宋体" w:cs="宋体"/>
          <w:color w:val="000000"/>
          <w:kern w:val="0"/>
          <w:szCs w:val="21"/>
        </w:rPr>
        <w:t>故障造成严重后果扣</w:t>
      </w:r>
      <w:r>
        <w:rPr>
          <w:rFonts w:hint="eastAsia" w:ascii="宋体" w:hAnsi="宋体" w:cs="宋体"/>
          <w:color w:val="000000"/>
          <w:kern w:val="0"/>
          <w:szCs w:val="21"/>
          <w:lang w:val="en-US" w:eastAsia="zh-CN"/>
        </w:rPr>
        <w:t>4</w:t>
      </w:r>
      <w:r>
        <w:rPr>
          <w:rFonts w:hint="eastAsia" w:ascii="宋体" w:hAnsi="宋体" w:cs="宋体"/>
          <w:color w:val="000000"/>
          <w:kern w:val="0"/>
          <w:szCs w:val="21"/>
        </w:rPr>
        <w:t>0分，不可抗拒因素除外.如对于骨干网割接工作，需提前24小时进行相关工作通报，如未通报造成业务中断，扣5分。</w:t>
      </w:r>
    </w:p>
    <w:p>
      <w:pPr>
        <w:spacing w:before="156"/>
        <w:ind w:left="420"/>
        <w:rPr>
          <w:rFonts w:ascii="宋体" w:hAnsi="宋体" w:cs="宋体"/>
          <w:b/>
          <w:bCs/>
          <w:color w:val="000000"/>
          <w:kern w:val="0"/>
          <w:szCs w:val="21"/>
        </w:rPr>
      </w:pPr>
      <w:r>
        <w:rPr>
          <w:rFonts w:hint="eastAsia" w:ascii="宋体" w:hAnsi="宋体" w:cs="宋体"/>
          <w:b/>
          <w:bCs/>
          <w:color w:val="000000"/>
          <w:kern w:val="0"/>
          <w:szCs w:val="21"/>
        </w:rPr>
        <w:fldChar w:fldCharType="begin"/>
      </w:r>
      <w:r>
        <w:rPr>
          <w:rFonts w:hint="eastAsia" w:ascii="宋体" w:hAnsi="宋体" w:cs="宋体"/>
          <w:b/>
          <w:bCs/>
          <w:color w:val="000000"/>
          <w:kern w:val="0"/>
          <w:szCs w:val="21"/>
        </w:rPr>
        <w:instrText xml:space="preserve"> = 2 \* GB3 </w:instrText>
      </w:r>
      <w:r>
        <w:rPr>
          <w:rFonts w:hint="eastAsia" w:ascii="宋体" w:hAnsi="宋体" w:cs="宋体"/>
          <w:b/>
          <w:bCs/>
          <w:color w:val="000000"/>
          <w:kern w:val="0"/>
          <w:szCs w:val="21"/>
        </w:rPr>
        <w:fldChar w:fldCharType="separate"/>
      </w:r>
      <w:r>
        <w:rPr>
          <w:rFonts w:hint="eastAsia" w:ascii="宋体" w:hAnsi="宋体" w:cs="宋体"/>
          <w:b/>
          <w:bCs/>
          <w:color w:val="000000"/>
          <w:kern w:val="0"/>
          <w:szCs w:val="21"/>
        </w:rPr>
        <w:t>②</w:t>
      </w:r>
      <w:r>
        <w:rPr>
          <w:rFonts w:hint="eastAsia" w:ascii="宋体" w:hAnsi="宋体" w:cs="宋体"/>
          <w:b/>
          <w:bCs/>
          <w:color w:val="000000"/>
          <w:kern w:val="0"/>
          <w:szCs w:val="21"/>
        </w:rPr>
        <w:fldChar w:fldCharType="end"/>
      </w:r>
      <w:r>
        <w:rPr>
          <w:rFonts w:hint="eastAsia" w:ascii="宋体" w:hAnsi="宋体" w:cs="宋体"/>
          <w:b/>
          <w:bCs/>
          <w:color w:val="000000"/>
          <w:kern w:val="0"/>
          <w:szCs w:val="21"/>
        </w:rPr>
        <w:t>校园内网接入层设备含学校核心交换机故障</w:t>
      </w:r>
    </w:p>
    <w:p>
      <w:pPr>
        <w:spacing w:before="156"/>
        <w:ind w:left="420" w:firstLine="210" w:firstLineChars="100"/>
        <w:rPr>
          <w:rFonts w:ascii="宋体" w:hAnsi="宋体" w:cs="宋体"/>
          <w:color w:val="000000"/>
          <w:kern w:val="0"/>
          <w:szCs w:val="21"/>
        </w:rPr>
      </w:pPr>
      <w:r>
        <w:rPr>
          <w:rFonts w:hint="eastAsia" w:ascii="宋体" w:hAnsi="宋体" w:cs="宋体"/>
          <w:color w:val="000000"/>
          <w:kern w:val="0"/>
          <w:szCs w:val="21"/>
        </w:rPr>
        <w:t>故障解决时间超过2小时（城区）/4小时（农村）扣1分，超过4小时（城区）/8小时（农村）扣2分；超过24小时，扣3分；每超24小时扣3分。</w:t>
      </w:r>
    </w:p>
    <w:p>
      <w:pPr>
        <w:spacing w:before="156"/>
        <w:ind w:left="420"/>
        <w:rPr>
          <w:rFonts w:ascii="宋体" w:hAnsi="宋体" w:cs="宋体"/>
          <w:b/>
          <w:bCs/>
          <w:color w:val="000000"/>
          <w:kern w:val="0"/>
          <w:szCs w:val="21"/>
        </w:rPr>
      </w:pPr>
      <w:r>
        <w:rPr>
          <w:rFonts w:hint="eastAsia" w:ascii="宋体" w:hAnsi="宋体" w:cs="宋体"/>
          <w:b/>
          <w:bCs/>
          <w:color w:val="000000"/>
          <w:kern w:val="0"/>
          <w:szCs w:val="21"/>
        </w:rPr>
        <w:fldChar w:fldCharType="begin"/>
      </w:r>
      <w:r>
        <w:rPr>
          <w:rFonts w:hint="eastAsia" w:ascii="宋体" w:hAnsi="宋体" w:cs="宋体"/>
          <w:b/>
          <w:bCs/>
          <w:color w:val="000000"/>
          <w:kern w:val="0"/>
          <w:szCs w:val="21"/>
        </w:rPr>
        <w:instrText xml:space="preserve"> = 3 \* GB3 </w:instrText>
      </w:r>
      <w:r>
        <w:rPr>
          <w:rFonts w:hint="eastAsia" w:ascii="宋体" w:hAnsi="宋体" w:cs="宋体"/>
          <w:b/>
          <w:bCs/>
          <w:color w:val="000000"/>
          <w:kern w:val="0"/>
          <w:szCs w:val="21"/>
        </w:rPr>
        <w:fldChar w:fldCharType="separate"/>
      </w:r>
      <w:r>
        <w:rPr>
          <w:rFonts w:hint="eastAsia" w:ascii="宋体" w:hAnsi="宋体" w:cs="宋体"/>
          <w:b/>
          <w:bCs/>
          <w:color w:val="000000"/>
          <w:kern w:val="0"/>
          <w:szCs w:val="21"/>
        </w:rPr>
        <w:t>③</w:t>
      </w:r>
      <w:r>
        <w:rPr>
          <w:rFonts w:hint="eastAsia" w:ascii="宋体" w:hAnsi="宋体" w:cs="宋体"/>
          <w:b/>
          <w:bCs/>
          <w:color w:val="000000"/>
          <w:kern w:val="0"/>
          <w:szCs w:val="21"/>
        </w:rPr>
        <w:fldChar w:fldCharType="end"/>
      </w:r>
      <w:r>
        <w:rPr>
          <w:rFonts w:hint="eastAsia" w:ascii="宋体" w:hAnsi="宋体" w:cs="宋体"/>
          <w:b/>
          <w:bCs/>
          <w:color w:val="000000"/>
          <w:kern w:val="0"/>
          <w:szCs w:val="21"/>
        </w:rPr>
        <w:t>接入点设备含无线AP故障</w:t>
      </w:r>
    </w:p>
    <w:p>
      <w:pPr>
        <w:spacing w:before="156"/>
        <w:ind w:left="420" w:firstLine="210" w:firstLineChars="100"/>
        <w:rPr>
          <w:rFonts w:ascii="宋体" w:hAnsi="宋体" w:cs="宋体"/>
          <w:color w:val="000000"/>
          <w:kern w:val="0"/>
          <w:szCs w:val="21"/>
        </w:rPr>
      </w:pPr>
      <w:r>
        <w:rPr>
          <w:rFonts w:hint="eastAsia" w:ascii="宋体" w:hAnsi="宋体" w:cs="宋体"/>
          <w:color w:val="000000"/>
          <w:kern w:val="0"/>
          <w:szCs w:val="21"/>
        </w:rPr>
        <w:t>故障解决时间超过2小时（城区）/4小时（农村）扣1分，超过4小时（城区）/8小时（农村）扣0.2分；超过24小时，扣0.3分；超过24小时没有解决扣0.5分。每超24小时扣0.5分。</w:t>
      </w:r>
    </w:p>
    <w:p>
      <w:pPr>
        <w:spacing w:before="156"/>
        <w:ind w:left="420" w:firstLine="210" w:firstLineChars="100"/>
        <w:rPr>
          <w:rFonts w:ascii="宋体" w:hAnsi="宋体" w:cs="宋体"/>
          <w:color w:val="000000"/>
          <w:kern w:val="0"/>
          <w:szCs w:val="21"/>
        </w:rPr>
      </w:pPr>
      <w:r>
        <w:rPr>
          <w:rFonts w:hint="eastAsia" w:ascii="宋体" w:hAnsi="宋体" w:cs="宋体"/>
          <w:color w:val="000000"/>
          <w:kern w:val="0"/>
          <w:szCs w:val="21"/>
        </w:rPr>
        <w:t>设备故障率，根据AP、交换机故障率（每学年度）情况进行相应考核（算法：故障率=故障AP数/总AP数）,故障率≥3%扣1分，故障率≥5%扣2分，故障率≥10%扣3分。</w:t>
      </w:r>
    </w:p>
    <w:p>
      <w:pPr>
        <w:spacing w:before="156"/>
        <w:ind w:left="420"/>
        <w:rPr>
          <w:rFonts w:ascii="宋体" w:hAnsi="宋体" w:cs="宋体"/>
          <w:b/>
          <w:bCs/>
          <w:color w:val="000000"/>
          <w:kern w:val="0"/>
          <w:szCs w:val="21"/>
        </w:rPr>
      </w:pPr>
      <w:r>
        <w:rPr>
          <w:rFonts w:hint="eastAsia" w:ascii="宋体" w:hAnsi="宋体" w:cs="宋体"/>
          <w:b/>
          <w:bCs/>
          <w:color w:val="000000"/>
          <w:kern w:val="0"/>
          <w:szCs w:val="21"/>
        </w:rPr>
        <w:t xml:space="preserve">（2）监控 </w:t>
      </w:r>
      <w:r>
        <w:rPr>
          <w:rFonts w:hint="eastAsia" w:ascii="宋体" w:hAnsi="宋体" w:cs="宋体"/>
          <w:b/>
          <w:bCs/>
          <w:color w:val="000000"/>
          <w:kern w:val="0"/>
          <w:szCs w:val="21"/>
          <w:lang w:val="en-US" w:eastAsia="zh-CN"/>
        </w:rPr>
        <w:t>20</w:t>
      </w:r>
      <w:r>
        <w:rPr>
          <w:rFonts w:hint="eastAsia" w:ascii="宋体" w:hAnsi="宋体" w:cs="宋体"/>
          <w:b/>
          <w:bCs/>
          <w:color w:val="000000"/>
          <w:kern w:val="0"/>
          <w:szCs w:val="21"/>
        </w:rPr>
        <w:t>分</w:t>
      </w:r>
    </w:p>
    <w:p>
      <w:pPr>
        <w:spacing w:before="156"/>
        <w:ind w:left="420" w:firstLine="210" w:firstLineChars="100"/>
        <w:rPr>
          <w:rFonts w:ascii="宋体" w:hAnsi="宋体" w:cs="宋体"/>
          <w:color w:val="000000"/>
          <w:kern w:val="0"/>
          <w:szCs w:val="21"/>
        </w:rPr>
      </w:pPr>
      <w:r>
        <w:rPr>
          <w:rFonts w:hint="eastAsia" w:ascii="宋体" w:hAnsi="宋体" w:cs="宋体"/>
          <w:color w:val="000000"/>
          <w:kern w:val="0"/>
          <w:szCs w:val="21"/>
        </w:rPr>
        <w:t>每个视频点，故障解决时间超过2小时（城区）/4小时（农村）扣0.1分，超过4小时（城区）/8小时（农村）扣0.2分；超过24小时，扣0.3分；每超24小时扣0.3分。</w:t>
      </w:r>
    </w:p>
    <w:p>
      <w:pPr>
        <w:spacing w:before="156"/>
        <w:ind w:left="420"/>
        <w:rPr>
          <w:rFonts w:ascii="宋体" w:hAnsi="宋体" w:cs="宋体"/>
          <w:b/>
          <w:bCs/>
          <w:color w:val="000000"/>
          <w:kern w:val="0"/>
          <w:szCs w:val="21"/>
        </w:rPr>
      </w:pPr>
      <w:r>
        <w:rPr>
          <w:rFonts w:hint="eastAsia" w:ascii="宋体" w:hAnsi="宋体" w:cs="宋体"/>
          <w:b/>
          <w:bCs/>
          <w:color w:val="000000"/>
          <w:kern w:val="0"/>
          <w:szCs w:val="21"/>
        </w:rPr>
        <w:t>（3）其他设备</w:t>
      </w:r>
      <w:r>
        <w:rPr>
          <w:rFonts w:hint="eastAsia" w:ascii="宋体" w:hAnsi="宋体" w:cs="宋体"/>
          <w:b/>
          <w:bCs/>
          <w:color w:val="000000"/>
          <w:kern w:val="0"/>
          <w:szCs w:val="21"/>
          <w:lang w:val="en-US" w:eastAsia="zh-CN"/>
        </w:rPr>
        <w:t>10</w:t>
      </w:r>
      <w:r>
        <w:rPr>
          <w:rFonts w:hint="eastAsia" w:ascii="宋体" w:hAnsi="宋体" w:cs="宋体"/>
          <w:b/>
          <w:bCs/>
          <w:color w:val="000000"/>
          <w:kern w:val="0"/>
          <w:szCs w:val="21"/>
        </w:rPr>
        <w:t>分</w:t>
      </w:r>
    </w:p>
    <w:p>
      <w:pPr>
        <w:spacing w:before="156"/>
        <w:ind w:left="420" w:firstLine="210" w:firstLineChars="100"/>
        <w:rPr>
          <w:rFonts w:ascii="宋体" w:hAnsi="宋体" w:cs="宋体"/>
          <w:color w:val="000000"/>
          <w:kern w:val="0"/>
          <w:szCs w:val="21"/>
        </w:rPr>
      </w:pPr>
      <w:r>
        <w:rPr>
          <w:rFonts w:hint="eastAsia" w:ascii="宋体" w:hAnsi="宋体" w:cs="宋体"/>
          <w:color w:val="000000"/>
          <w:kern w:val="0"/>
          <w:szCs w:val="21"/>
        </w:rPr>
        <w:t>故障解决时间2小时（城区）/4小时（农村）扣0.1分；超过2小时（城区）/4小时（农村）扣0.2分，超过4小时（城区）/8小时（农村）扣0.3分；超过24小时，扣0.3分；；每超24小时扣0.3分。</w:t>
      </w:r>
    </w:p>
    <w:p>
      <w:pPr>
        <w:spacing w:before="156"/>
        <w:ind w:left="420"/>
        <w:rPr>
          <w:rFonts w:ascii="宋体" w:hAnsi="宋体" w:cs="宋体"/>
          <w:color w:val="000000"/>
          <w:kern w:val="0"/>
          <w:szCs w:val="21"/>
        </w:rPr>
      </w:pPr>
      <w:r>
        <w:rPr>
          <w:rFonts w:hint="eastAsia" w:ascii="宋体" w:hAnsi="宋体" w:cs="宋体"/>
          <w:b/>
          <w:bCs/>
          <w:color w:val="000000"/>
          <w:kern w:val="0"/>
          <w:szCs w:val="21"/>
        </w:rPr>
        <w:t xml:space="preserve">（4）学校满意度 </w:t>
      </w:r>
      <w:r>
        <w:rPr>
          <w:rFonts w:hint="eastAsia" w:ascii="宋体" w:hAnsi="宋体" w:cs="宋体"/>
          <w:b/>
          <w:bCs/>
          <w:color w:val="000000"/>
          <w:kern w:val="0"/>
          <w:szCs w:val="21"/>
          <w:lang w:val="en-US" w:eastAsia="zh-CN"/>
        </w:rPr>
        <w:t>20</w:t>
      </w:r>
      <w:r>
        <w:rPr>
          <w:rFonts w:hint="eastAsia" w:ascii="宋体" w:hAnsi="宋体" w:cs="宋体"/>
          <w:b/>
          <w:bCs/>
          <w:color w:val="000000"/>
          <w:kern w:val="0"/>
          <w:szCs w:val="21"/>
        </w:rPr>
        <w:t xml:space="preserve">分 </w:t>
      </w:r>
    </w:p>
    <w:p>
      <w:pPr>
        <w:spacing w:before="156"/>
        <w:ind w:left="420" w:firstLine="210" w:firstLineChars="100"/>
        <w:rPr>
          <w:rFonts w:ascii="宋体" w:hAnsi="宋体" w:cs="宋体"/>
          <w:color w:val="000000"/>
          <w:kern w:val="0"/>
          <w:szCs w:val="21"/>
        </w:rPr>
      </w:pPr>
      <w:r>
        <w:rPr>
          <w:rFonts w:hint="eastAsia" w:ascii="宋体" w:hAnsi="宋体" w:cs="宋体"/>
          <w:color w:val="000000"/>
          <w:kern w:val="0"/>
          <w:szCs w:val="21"/>
        </w:rPr>
        <w:t>根据派驻人员日常工作服务态度、技能、工作完成情况酌情打分，根据服务商日常提供的网络质量、连通性、故障修改及时率等方面酌情打分，学校对服务提供满意度的评分表。</w:t>
      </w:r>
    </w:p>
    <w:p>
      <w:pPr>
        <w:spacing w:before="156"/>
        <w:ind w:firstLine="103" w:firstLineChars="49"/>
        <w:rPr>
          <w:rFonts w:ascii="宋体" w:hAnsi="宋体" w:cs="宋体"/>
          <w:color w:val="000000"/>
          <w:kern w:val="0"/>
          <w:szCs w:val="21"/>
        </w:rPr>
      </w:pPr>
      <w:r>
        <w:rPr>
          <w:rFonts w:hint="eastAsia" w:ascii="宋体" w:hAnsi="宋体" w:cs="宋体"/>
          <w:b/>
          <w:bCs/>
          <w:color w:val="000000"/>
          <w:kern w:val="0"/>
          <w:szCs w:val="21"/>
        </w:rPr>
        <w:t>（5）巡检工作</w:t>
      </w:r>
      <w:r>
        <w:rPr>
          <w:rFonts w:hint="eastAsia" w:ascii="宋体" w:hAnsi="宋体" w:cs="宋体"/>
          <w:b/>
          <w:bCs/>
          <w:color w:val="000000"/>
          <w:kern w:val="0"/>
          <w:szCs w:val="21"/>
          <w:lang w:val="en-US" w:eastAsia="zh-CN"/>
        </w:rPr>
        <w:t>10</w:t>
      </w:r>
      <w:r>
        <w:rPr>
          <w:rFonts w:hint="eastAsia" w:ascii="宋体" w:hAnsi="宋体" w:cs="宋体"/>
          <w:b/>
          <w:bCs/>
          <w:color w:val="000000"/>
          <w:kern w:val="0"/>
          <w:szCs w:val="21"/>
        </w:rPr>
        <w:t>分</w:t>
      </w:r>
    </w:p>
    <w:p>
      <w:pPr>
        <w:spacing w:before="156"/>
        <w:ind w:left="420" w:firstLine="210" w:firstLineChars="100"/>
        <w:rPr>
          <w:rFonts w:ascii="宋体" w:hAnsi="宋体" w:cs="宋体"/>
          <w:color w:val="000000"/>
          <w:kern w:val="0"/>
          <w:szCs w:val="21"/>
        </w:rPr>
      </w:pPr>
      <w:r>
        <w:rPr>
          <w:rFonts w:hint="eastAsia" w:ascii="宋体" w:hAnsi="宋体" w:cs="宋体"/>
          <w:color w:val="000000"/>
          <w:kern w:val="0"/>
          <w:szCs w:val="21"/>
        </w:rPr>
        <w:t>巡检服务：积极主动发现系统或是项目中存在的风险，制定有效方案并优化，不能每月提供巡检服务并提供报表，每少巡检一次扣罚1分。</w:t>
      </w:r>
    </w:p>
    <w:p>
      <w:pPr>
        <w:pStyle w:val="294"/>
        <w:spacing w:before="96" w:after="96" w:line="240" w:lineRule="auto"/>
        <w:rPr>
          <w:rFonts w:ascii="宋体" w:hAnsi="宋体" w:cs="宋体"/>
          <w:sz w:val="21"/>
          <w:szCs w:val="21"/>
        </w:rPr>
      </w:pPr>
      <w:r>
        <w:rPr>
          <w:rFonts w:hint="eastAsia" w:ascii="宋体" w:hAnsi="宋体" w:cs="宋体"/>
          <w:sz w:val="21"/>
          <w:szCs w:val="21"/>
        </w:rPr>
        <w:t>如出现重大服务质量问题，衢江区教育局将酌情扣除应付款或减少款项的支付。网络信道费用含在各学校建设项目系统集成费用中，合作期内不再单独收取信道租用费用。</w:t>
      </w:r>
    </w:p>
    <w:tbl>
      <w:tblPr>
        <w:tblStyle w:val="59"/>
        <w:tblW w:w="9087" w:type="dxa"/>
        <w:tblInd w:w="93" w:type="dxa"/>
        <w:tblLayout w:type="fixed"/>
        <w:tblCellMar>
          <w:top w:w="0" w:type="dxa"/>
          <w:left w:w="108" w:type="dxa"/>
          <w:bottom w:w="0" w:type="dxa"/>
          <w:right w:w="108" w:type="dxa"/>
        </w:tblCellMar>
      </w:tblPr>
      <w:tblGrid>
        <w:gridCol w:w="584"/>
        <w:gridCol w:w="4632"/>
        <w:gridCol w:w="2385"/>
        <w:gridCol w:w="1486"/>
      </w:tblGrid>
      <w:tr>
        <w:tblPrEx>
          <w:tblLayout w:type="fixed"/>
          <w:tblCellMar>
            <w:top w:w="0" w:type="dxa"/>
            <w:left w:w="108" w:type="dxa"/>
            <w:bottom w:w="0" w:type="dxa"/>
            <w:right w:w="108" w:type="dxa"/>
          </w:tblCellMar>
        </w:tblPrEx>
        <w:trPr>
          <w:trHeight w:val="1360" w:hRule="atLeast"/>
        </w:trPr>
        <w:tc>
          <w:tcPr>
            <w:tcW w:w="9087" w:type="dxa"/>
            <w:gridSpan w:val="4"/>
            <w:tcBorders>
              <w:top w:val="nil"/>
              <w:left w:val="nil"/>
              <w:bottom w:val="single" w:color="auto" w:sz="4" w:space="0"/>
              <w:right w:val="nil"/>
            </w:tcBorders>
            <w:shd w:val="clear" w:color="auto" w:fill="auto"/>
            <w:noWrap/>
            <w:vAlign w:val="center"/>
          </w:tcPr>
          <w:p>
            <w:pPr>
              <w:widowControl/>
              <w:jc w:val="left"/>
              <w:rPr>
                <w:rFonts w:ascii="宋体" w:hAnsi="宋体" w:cs="宋体"/>
                <w:b/>
                <w:bCs/>
                <w:color w:val="000000"/>
                <w:kern w:val="0"/>
                <w:sz w:val="36"/>
                <w:szCs w:val="36"/>
              </w:rPr>
            </w:pPr>
          </w:p>
          <w:p>
            <w:pPr>
              <w:widowControl/>
              <w:jc w:val="left"/>
              <w:rPr>
                <w:rFonts w:ascii="宋体" w:hAnsi="宋体" w:cs="宋体"/>
                <w:b/>
                <w:bCs/>
                <w:color w:val="000000"/>
                <w:kern w:val="0"/>
                <w:sz w:val="36"/>
                <w:szCs w:val="36"/>
              </w:rPr>
            </w:pPr>
          </w:p>
          <w:p>
            <w:pPr>
              <w:widowControl/>
              <w:jc w:val="left"/>
              <w:rPr>
                <w:rFonts w:ascii="宋体" w:hAnsi="宋体" w:cs="宋体"/>
                <w:b/>
                <w:bCs/>
                <w:color w:val="000000"/>
                <w:kern w:val="0"/>
                <w:sz w:val="36"/>
                <w:szCs w:val="36"/>
              </w:rPr>
            </w:pPr>
            <w:r>
              <w:rPr>
                <w:rFonts w:hint="eastAsia" w:ascii="宋体" w:hAnsi="宋体" w:cs="宋体"/>
                <w:b/>
                <w:bCs/>
                <w:color w:val="000000"/>
                <w:kern w:val="0"/>
                <w:sz w:val="36"/>
                <w:szCs w:val="36"/>
              </w:rPr>
              <w:t>衢江区智慧教育项目网络监控清单</w:t>
            </w:r>
          </w:p>
        </w:tc>
      </w:tr>
      <w:tr>
        <w:tblPrEx>
          <w:tblLayout w:type="fixed"/>
          <w:tblCellMar>
            <w:top w:w="0" w:type="dxa"/>
            <w:left w:w="108" w:type="dxa"/>
            <w:bottom w:w="0" w:type="dxa"/>
            <w:right w:w="108" w:type="dxa"/>
          </w:tblCellMar>
        </w:tblPrEx>
        <w:trPr>
          <w:trHeight w:val="810" w:hRule="atLeast"/>
        </w:trPr>
        <w:tc>
          <w:tcPr>
            <w:tcW w:w="5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46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设备</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参数配置</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骨干</w:t>
            </w:r>
            <w:r>
              <w:rPr>
                <w:rFonts w:hint="eastAsia" w:ascii="宋体" w:hAnsi="宋体" w:cs="宋体"/>
                <w:color w:val="000000"/>
                <w:kern w:val="0"/>
                <w:sz w:val="22"/>
                <w:szCs w:val="22"/>
              </w:rPr>
              <w:t>汇聚交换机</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4</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网络运维平台</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82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p>
        </w:tc>
        <w:tc>
          <w:tcPr>
            <w:tcW w:w="463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大数据中心机房含储存，云平台</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网络</w:t>
            </w:r>
            <w:r>
              <w:rPr>
                <w:rFonts w:hint="eastAsia" w:ascii="宋体" w:hAnsi="宋体" w:cs="宋体"/>
                <w:color w:val="000000"/>
                <w:kern w:val="0"/>
                <w:sz w:val="22"/>
                <w:szCs w:val="22"/>
              </w:rPr>
              <w:t>上网行为管理平台</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全区</w:t>
            </w:r>
            <w:r>
              <w:rPr>
                <w:rFonts w:hint="eastAsia" w:ascii="宋体" w:hAnsi="宋体" w:cs="宋体"/>
                <w:color w:val="000000"/>
                <w:kern w:val="0"/>
                <w:sz w:val="22"/>
                <w:szCs w:val="22"/>
              </w:rPr>
              <w:t>核心交换机</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全区出口防火墙</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无线控制器</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门禁访客平台</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门禁访客系统</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20</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w:t>
            </w:r>
          </w:p>
        </w:tc>
        <w:tc>
          <w:tcPr>
            <w:tcW w:w="463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多媒体教学管理平台</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szCs w:val="22"/>
              </w:rPr>
            </w:pPr>
            <w:r>
              <w:rPr>
                <w:rFonts w:ascii="Tahoma" w:hAnsi="Tahoma" w:cs="Tahoma"/>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w:t>
            </w:r>
          </w:p>
        </w:tc>
        <w:tc>
          <w:tcPr>
            <w:tcW w:w="46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教育专网路由器</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w:t>
            </w:r>
          </w:p>
        </w:tc>
        <w:tc>
          <w:tcPr>
            <w:tcW w:w="4632"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rPr>
            </w:pPr>
            <w:r>
              <w:rPr>
                <w:rFonts w:hint="eastAsia" w:ascii="宋体" w:hAnsi="宋体" w:cs="宋体"/>
                <w:color w:val="000000"/>
                <w:kern w:val="0"/>
                <w:sz w:val="20"/>
                <w:lang w:val="en-US" w:eastAsia="zh-CN"/>
              </w:rPr>
              <w:t>全区</w:t>
            </w:r>
            <w:r>
              <w:rPr>
                <w:rFonts w:hint="eastAsia" w:ascii="宋体" w:hAnsi="宋体" w:cs="宋体"/>
                <w:color w:val="000000"/>
                <w:kern w:val="0"/>
                <w:sz w:val="20"/>
              </w:rPr>
              <w:t>无线漫游安全认证</w:t>
            </w:r>
          </w:p>
        </w:tc>
        <w:tc>
          <w:tcPr>
            <w:tcW w:w="238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w:t>
            </w:r>
          </w:p>
        </w:tc>
        <w:tc>
          <w:tcPr>
            <w:tcW w:w="46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lang w:val="en-US" w:eastAsia="zh-CN"/>
              </w:rPr>
            </w:pPr>
            <w:r>
              <w:rPr>
                <w:rFonts w:hint="eastAsia" w:ascii="宋体" w:hAnsi="宋体" w:cs="宋体"/>
                <w:color w:val="000000"/>
                <w:kern w:val="0"/>
                <w:sz w:val="20"/>
              </w:rPr>
              <w:t>视频监控</w:t>
            </w:r>
            <w:r>
              <w:rPr>
                <w:rFonts w:hint="eastAsia" w:ascii="宋体" w:hAnsi="宋体" w:cs="宋体"/>
                <w:color w:val="000000"/>
                <w:kern w:val="0"/>
                <w:sz w:val="20"/>
                <w:lang w:val="en-US" w:eastAsia="zh-CN"/>
              </w:rPr>
              <w:t>设备</w:t>
            </w:r>
          </w:p>
        </w:tc>
        <w:tc>
          <w:tcPr>
            <w:tcW w:w="238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19</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走廊AP</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770</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lang w:val="en-US" w:eastAsia="zh-CN"/>
              </w:rPr>
              <w:t>教师办公室</w:t>
            </w:r>
            <w:r>
              <w:rPr>
                <w:rFonts w:hint="eastAsia" w:ascii="宋体" w:hAnsi="宋体" w:cs="宋体"/>
                <w:color w:val="000000"/>
                <w:kern w:val="0"/>
                <w:sz w:val="20"/>
              </w:rPr>
              <w:t>面板AP</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536</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核心交换机（大</w:t>
            </w:r>
            <w:r>
              <w:rPr>
                <w:rFonts w:hint="eastAsia" w:ascii="宋体" w:hAnsi="宋体" w:cs="宋体"/>
                <w:color w:val="000000"/>
                <w:kern w:val="0"/>
                <w:sz w:val="20"/>
                <w:lang w:val="en-US" w:eastAsia="zh-CN"/>
              </w:rPr>
              <w:t>型学校</w:t>
            </w:r>
            <w:r>
              <w:rPr>
                <w:rFonts w:hint="eastAsia" w:ascii="宋体" w:hAnsi="宋体" w:cs="宋体"/>
                <w:color w:val="000000"/>
                <w:kern w:val="0"/>
                <w:sz w:val="20"/>
              </w:rPr>
              <w:t>）</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核心交换机（小</w:t>
            </w:r>
            <w:r>
              <w:rPr>
                <w:rFonts w:hint="eastAsia" w:ascii="宋体" w:hAnsi="宋体" w:cs="宋体"/>
                <w:color w:val="000000"/>
                <w:kern w:val="0"/>
                <w:sz w:val="20"/>
                <w:lang w:val="en-US" w:eastAsia="zh-CN"/>
              </w:rPr>
              <w:t>型学校</w:t>
            </w:r>
            <w:r>
              <w:rPr>
                <w:rFonts w:hint="eastAsia" w:ascii="宋体" w:hAnsi="宋体" w:cs="宋体"/>
                <w:color w:val="000000"/>
                <w:kern w:val="0"/>
                <w:sz w:val="20"/>
              </w:rPr>
              <w:t>）</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32</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教育大数据管理平台</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19</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优课直录播平台</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285"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后勤管理软件平台</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960" w:hRule="atLeast"/>
        </w:trPr>
        <w:tc>
          <w:tcPr>
            <w:tcW w:w="584"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1</w:t>
            </w:r>
          </w:p>
        </w:tc>
        <w:tc>
          <w:tcPr>
            <w:tcW w:w="46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综合布线含六类线，所需24口交换机，24口POE交换机，机柜、桥架、面板、PVC套管及其他集成材料</w:t>
            </w:r>
          </w:p>
        </w:tc>
        <w:tc>
          <w:tcPr>
            <w:tcW w:w="23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详见技术规范</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以实际需求为准</w:t>
            </w:r>
          </w:p>
        </w:tc>
      </w:tr>
    </w:tbl>
    <w:p>
      <w:pPr>
        <w:pStyle w:val="294"/>
        <w:spacing w:before="96" w:after="96" w:line="240" w:lineRule="auto"/>
        <w:rPr>
          <w:rFonts w:ascii="宋体" w:hAnsi="宋体" w:cs="宋体"/>
          <w:sz w:val="21"/>
          <w:szCs w:val="21"/>
        </w:rPr>
      </w:pPr>
    </w:p>
    <w:p>
      <w:pPr>
        <w:pStyle w:val="294"/>
        <w:spacing w:before="96" w:after="96" w:line="240" w:lineRule="auto"/>
        <w:rPr>
          <w:rFonts w:ascii="宋体" w:hAnsi="宋体" w:cs="宋体"/>
          <w:b/>
          <w:bCs/>
          <w:color w:val="000000"/>
          <w:kern w:val="0"/>
          <w:sz w:val="36"/>
          <w:szCs w:val="36"/>
        </w:rPr>
      </w:pPr>
    </w:p>
    <w:p>
      <w:pPr>
        <w:pStyle w:val="294"/>
        <w:spacing w:before="96" w:after="96" w:line="240" w:lineRule="auto"/>
        <w:rPr>
          <w:rFonts w:ascii="宋体" w:hAnsi="宋体" w:cs="宋体"/>
          <w:sz w:val="21"/>
          <w:szCs w:val="21"/>
          <w:lang w:val="en-GB"/>
        </w:rPr>
      </w:pPr>
      <w:r>
        <w:rPr>
          <w:rFonts w:hint="eastAsia" w:ascii="宋体" w:hAnsi="宋体" w:cs="宋体"/>
          <w:b/>
          <w:bCs/>
          <w:color w:val="000000"/>
          <w:kern w:val="0"/>
          <w:sz w:val="36"/>
          <w:szCs w:val="36"/>
        </w:rPr>
        <w:t>衢江区智慧教育项目网络设备分校清单</w:t>
      </w:r>
    </w:p>
    <w:tbl>
      <w:tblPr>
        <w:tblStyle w:val="59"/>
        <w:tblW w:w="9322" w:type="dxa"/>
        <w:tblInd w:w="0" w:type="dxa"/>
        <w:tblLayout w:type="fixed"/>
        <w:tblCellMar>
          <w:top w:w="0" w:type="dxa"/>
          <w:left w:w="108" w:type="dxa"/>
          <w:bottom w:w="0" w:type="dxa"/>
          <w:right w:w="108" w:type="dxa"/>
        </w:tblCellMar>
      </w:tblPr>
      <w:tblGrid>
        <w:gridCol w:w="97"/>
        <w:gridCol w:w="460"/>
        <w:gridCol w:w="16"/>
        <w:gridCol w:w="1418"/>
        <w:gridCol w:w="531"/>
        <w:gridCol w:w="138"/>
        <w:gridCol w:w="497"/>
        <w:gridCol w:w="238"/>
        <w:gridCol w:w="397"/>
        <w:gridCol w:w="285"/>
        <w:gridCol w:w="478"/>
        <w:gridCol w:w="656"/>
        <w:gridCol w:w="76"/>
        <w:gridCol w:w="772"/>
        <w:gridCol w:w="570"/>
        <w:gridCol w:w="419"/>
        <w:gridCol w:w="989"/>
        <w:gridCol w:w="9"/>
        <w:gridCol w:w="573"/>
        <w:gridCol w:w="703"/>
      </w:tblGrid>
      <w:tr>
        <w:tblPrEx>
          <w:tblLayout w:type="fixed"/>
          <w:tblCellMar>
            <w:top w:w="0" w:type="dxa"/>
            <w:left w:w="108" w:type="dxa"/>
            <w:bottom w:w="0" w:type="dxa"/>
            <w:right w:w="108" w:type="dxa"/>
          </w:tblCellMar>
        </w:tblPrEx>
        <w:trPr>
          <w:gridBefore w:val="1"/>
          <w:gridAfter w:val="1"/>
          <w:wBefore w:w="97" w:type="dxa"/>
          <w:wAfter w:w="703" w:type="dxa"/>
          <w:trHeight w:val="630" w:hRule="atLeast"/>
        </w:trPr>
        <w:tc>
          <w:tcPr>
            <w:tcW w:w="4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序号</w:t>
            </w:r>
          </w:p>
        </w:tc>
        <w:tc>
          <w:tcPr>
            <w:tcW w:w="14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学校</w:t>
            </w:r>
          </w:p>
        </w:tc>
        <w:tc>
          <w:tcPr>
            <w:tcW w:w="5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FF0000"/>
                <w:kern w:val="0"/>
                <w:sz w:val="16"/>
                <w:szCs w:val="16"/>
              </w:rPr>
            </w:pPr>
            <w:r>
              <w:rPr>
                <w:rFonts w:hint="eastAsia" w:ascii="宋体" w:hAnsi="宋体" w:cs="宋体"/>
                <w:b/>
                <w:bCs/>
                <w:color w:val="FF0000"/>
                <w:kern w:val="0"/>
                <w:sz w:val="16"/>
                <w:szCs w:val="16"/>
              </w:rPr>
              <w:t>班级数</w:t>
            </w:r>
          </w:p>
        </w:tc>
        <w:tc>
          <w:tcPr>
            <w:tcW w:w="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FF0000"/>
                <w:kern w:val="0"/>
                <w:sz w:val="16"/>
                <w:szCs w:val="16"/>
              </w:rPr>
            </w:pPr>
            <w:r>
              <w:rPr>
                <w:rFonts w:hint="eastAsia" w:ascii="宋体" w:hAnsi="宋体" w:cs="宋体"/>
                <w:b/>
                <w:bCs/>
                <w:color w:val="FF0000"/>
                <w:kern w:val="0"/>
                <w:sz w:val="16"/>
                <w:szCs w:val="16"/>
              </w:rPr>
              <w:t>专用教室数</w:t>
            </w:r>
          </w:p>
        </w:tc>
        <w:tc>
          <w:tcPr>
            <w:tcW w:w="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FF0000"/>
                <w:kern w:val="0"/>
                <w:sz w:val="16"/>
                <w:szCs w:val="16"/>
              </w:rPr>
            </w:pPr>
            <w:r>
              <w:rPr>
                <w:rFonts w:hint="eastAsia" w:ascii="宋体" w:hAnsi="宋体" w:cs="宋体"/>
                <w:b/>
                <w:bCs/>
                <w:color w:val="FF0000"/>
                <w:kern w:val="0"/>
                <w:sz w:val="16"/>
                <w:szCs w:val="16"/>
              </w:rPr>
              <w:t>教师办公室</w:t>
            </w:r>
          </w:p>
        </w:tc>
        <w:tc>
          <w:tcPr>
            <w:tcW w:w="76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有线信息点</w:t>
            </w:r>
          </w:p>
        </w:tc>
        <w:tc>
          <w:tcPr>
            <w:tcW w:w="732"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走廊无线AP</w:t>
            </w:r>
          </w:p>
        </w:tc>
        <w:tc>
          <w:tcPr>
            <w:tcW w:w="7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办公室面板AP</w:t>
            </w:r>
          </w:p>
        </w:tc>
        <w:tc>
          <w:tcPr>
            <w:tcW w:w="98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核心交换机（大）</w:t>
            </w:r>
          </w:p>
        </w:tc>
        <w:tc>
          <w:tcPr>
            <w:tcW w:w="98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核心交换机（小）</w:t>
            </w:r>
          </w:p>
        </w:tc>
        <w:tc>
          <w:tcPr>
            <w:tcW w:w="582"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FF0000"/>
                <w:kern w:val="0"/>
                <w:sz w:val="16"/>
                <w:szCs w:val="16"/>
              </w:rPr>
            </w:pPr>
            <w:r>
              <w:rPr>
                <w:rFonts w:hint="eastAsia" w:ascii="宋体" w:hAnsi="宋体" w:cs="宋体"/>
                <w:b/>
                <w:bCs/>
                <w:color w:val="FF0000"/>
                <w:kern w:val="0"/>
                <w:sz w:val="16"/>
                <w:szCs w:val="16"/>
              </w:rPr>
              <w:t>教师数</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衢州三中</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77</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56</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181</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65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56</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259</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衢江区第一初中</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47</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50</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143</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48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50</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166</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衢江区第一小学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81</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32</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171</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63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32</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100</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衢江区杜泽中学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27</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97</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31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12</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117</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5</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东港学校双桥</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20</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7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4</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9</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6</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上方镇中心小学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20</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54</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17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12</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58</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7</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上方玳堰小学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8</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3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8</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太真乡中心小学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18</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6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5</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15</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9</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杜泽镇初中</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81</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23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14</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116</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10</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杜泽镇中心小学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19</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13</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56</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19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13</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56</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11</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杜泽镇白水小学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30</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10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6</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25</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12</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莲花镇初中</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13</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46</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16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13</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55</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13</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莲花镇中心小学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19</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58</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17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19</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57</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14</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莲花镇外黄小学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29</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9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5</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21</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15</w:t>
            </w:r>
          </w:p>
        </w:tc>
        <w:tc>
          <w:tcPr>
            <w:tcW w:w="1434"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cs="宋体"/>
                <w:kern w:val="0"/>
                <w:sz w:val="20"/>
              </w:rPr>
            </w:pPr>
            <w:r>
              <w:rPr>
                <w:rFonts w:hint="eastAsia" w:ascii="宋体" w:hAnsi="宋体" w:cs="宋体"/>
                <w:kern w:val="0"/>
                <w:sz w:val="20"/>
              </w:rPr>
              <w:t>峡川镇中心小学</w:t>
            </w:r>
          </w:p>
        </w:tc>
        <w:tc>
          <w:tcPr>
            <w:tcW w:w="531" w:type="dxa"/>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w:t>
            </w:r>
          </w:p>
        </w:tc>
        <w:tc>
          <w:tcPr>
            <w:tcW w:w="635"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20</w:t>
            </w:r>
          </w:p>
        </w:tc>
        <w:tc>
          <w:tcPr>
            <w:tcW w:w="635"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22</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48</w:t>
            </w:r>
          </w:p>
        </w:tc>
        <w:tc>
          <w:tcPr>
            <w:tcW w:w="73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 xml:space="preserve">17 </w:t>
            </w:r>
          </w:p>
        </w:tc>
        <w:tc>
          <w:tcPr>
            <w:tcW w:w="7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22</w:t>
            </w:r>
          </w:p>
        </w:tc>
        <w:tc>
          <w:tcPr>
            <w:tcW w:w="989"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38</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16</w:t>
            </w:r>
          </w:p>
        </w:tc>
        <w:tc>
          <w:tcPr>
            <w:tcW w:w="1434"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cs="宋体"/>
                <w:kern w:val="0"/>
                <w:sz w:val="20"/>
              </w:rPr>
            </w:pPr>
            <w:r>
              <w:rPr>
                <w:rFonts w:hint="eastAsia" w:ascii="宋体" w:hAnsi="宋体" w:cs="宋体"/>
                <w:kern w:val="0"/>
                <w:sz w:val="20"/>
              </w:rPr>
              <w:t>周家乡中心小学</w:t>
            </w:r>
          </w:p>
        </w:tc>
        <w:tc>
          <w:tcPr>
            <w:tcW w:w="531" w:type="dxa"/>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635"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22</w:t>
            </w:r>
          </w:p>
        </w:tc>
        <w:tc>
          <w:tcPr>
            <w:tcW w:w="635"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46</w:t>
            </w:r>
          </w:p>
        </w:tc>
        <w:tc>
          <w:tcPr>
            <w:tcW w:w="73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 xml:space="preserve">17 </w:t>
            </w:r>
          </w:p>
        </w:tc>
        <w:tc>
          <w:tcPr>
            <w:tcW w:w="7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11</w:t>
            </w:r>
          </w:p>
        </w:tc>
        <w:tc>
          <w:tcPr>
            <w:tcW w:w="989"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24</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17</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高家镇中心小学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82</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29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14</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54</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18</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安仁中心小学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9</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33</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11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6</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23</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19</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云溪乡中心小学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17</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65</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21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11</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71</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20</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浮石小学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35</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12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10</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32</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21</w:t>
            </w:r>
          </w:p>
        </w:tc>
        <w:tc>
          <w:tcPr>
            <w:tcW w:w="14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杜泽镇中心幼儿园</w:t>
            </w:r>
          </w:p>
        </w:tc>
        <w:tc>
          <w:tcPr>
            <w:tcW w:w="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5</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rPr>
            </w:pPr>
            <w:r>
              <w:rPr>
                <w:rFonts w:hint="eastAsia" w:ascii="宋体" w:hAnsi="宋体" w:cs="宋体"/>
                <w:kern w:val="0"/>
                <w:sz w:val="20"/>
              </w:rPr>
              <w:t>　</w:t>
            </w:r>
          </w:p>
        </w:tc>
        <w:tc>
          <w:tcPr>
            <w:tcW w:w="6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1</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10</w:t>
            </w:r>
          </w:p>
        </w:tc>
        <w:tc>
          <w:tcPr>
            <w:tcW w:w="73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 xml:space="preserve">6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22</w:t>
            </w:r>
          </w:p>
        </w:tc>
        <w:tc>
          <w:tcPr>
            <w:tcW w:w="14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上方镇中心幼儿园</w:t>
            </w:r>
          </w:p>
        </w:tc>
        <w:tc>
          <w:tcPr>
            <w:tcW w:w="53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4</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rPr>
            </w:pPr>
            <w:r>
              <w:rPr>
                <w:rFonts w:hint="eastAsia" w:ascii="宋体" w:hAnsi="宋体" w:cs="宋体"/>
                <w:kern w:val="0"/>
                <w:sz w:val="20"/>
              </w:rPr>
              <w:t>　</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3</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8</w:t>
            </w:r>
          </w:p>
        </w:tc>
        <w:tc>
          <w:tcPr>
            <w:tcW w:w="73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 xml:space="preserve">8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3</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23</w:t>
            </w:r>
          </w:p>
        </w:tc>
        <w:tc>
          <w:tcPr>
            <w:tcW w:w="14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云溪乡中心幼儿园</w:t>
            </w:r>
          </w:p>
        </w:tc>
        <w:tc>
          <w:tcPr>
            <w:tcW w:w="53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6</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rPr>
            </w:pPr>
            <w:r>
              <w:rPr>
                <w:rFonts w:hint="eastAsia" w:ascii="宋体" w:hAnsi="宋体" w:cs="宋体"/>
                <w:kern w:val="0"/>
                <w:sz w:val="20"/>
              </w:rPr>
              <w:t>　</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1</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12</w:t>
            </w:r>
          </w:p>
        </w:tc>
        <w:tc>
          <w:tcPr>
            <w:tcW w:w="73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 xml:space="preserve">8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9</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24</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实验幼儿园</w:t>
            </w:r>
          </w:p>
        </w:tc>
        <w:tc>
          <w:tcPr>
            <w:tcW w:w="531" w:type="dxa"/>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63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63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0</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0</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2"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25</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东港小学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2"/>
                <w:szCs w:val="22"/>
              </w:rPr>
            </w:pPr>
            <w:r>
              <w:rPr>
                <w:rFonts w:hint="eastAsia" w:ascii="宋体" w:hAnsi="宋体" w:cs="宋体"/>
                <w:color w:val="FF0000"/>
                <w:kern w:val="0"/>
                <w:sz w:val="22"/>
                <w:szCs w:val="22"/>
              </w:rPr>
              <w:t>48</w:t>
            </w:r>
          </w:p>
        </w:tc>
        <w:tc>
          <w:tcPr>
            <w:tcW w:w="63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63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0</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0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0</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2"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26</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启智学校</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14</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5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4</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27</w:t>
            </w:r>
          </w:p>
        </w:tc>
        <w:tc>
          <w:tcPr>
            <w:tcW w:w="1434" w:type="dxa"/>
            <w:gridSpan w:val="2"/>
            <w:tcBorders>
              <w:top w:val="nil"/>
              <w:left w:val="nil"/>
              <w:bottom w:val="single" w:color="auto" w:sz="4" w:space="0"/>
              <w:right w:val="single" w:color="auto" w:sz="4" w:space="0"/>
            </w:tcBorders>
            <w:shd w:val="clear" w:color="000000" w:fill="B6DDE8"/>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第二小学</w:t>
            </w:r>
          </w:p>
        </w:tc>
        <w:tc>
          <w:tcPr>
            <w:tcW w:w="531" w:type="dxa"/>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FF0000"/>
                <w:kern w:val="0"/>
                <w:sz w:val="20"/>
              </w:rPr>
            </w:pPr>
            <w:r>
              <w:rPr>
                <w:rFonts w:hint="eastAsia" w:ascii="宋体" w:hAnsi="宋体" w:cs="宋体"/>
                <w:color w:val="FF0000"/>
                <w:kern w:val="0"/>
                <w:sz w:val="20"/>
              </w:rPr>
              <w:t>49</w:t>
            </w:r>
          </w:p>
        </w:tc>
        <w:tc>
          <w:tcPr>
            <w:tcW w:w="635"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FF0000"/>
                <w:kern w:val="0"/>
                <w:sz w:val="20"/>
              </w:rPr>
            </w:pPr>
            <w:r>
              <w:rPr>
                <w:rFonts w:hint="eastAsia" w:ascii="宋体" w:hAnsi="宋体" w:cs="宋体"/>
                <w:color w:val="FF0000"/>
                <w:kern w:val="0"/>
                <w:sz w:val="20"/>
              </w:rPr>
              <w:t>31</w:t>
            </w:r>
          </w:p>
        </w:tc>
        <w:tc>
          <w:tcPr>
            <w:tcW w:w="635"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FF0000"/>
                <w:kern w:val="0"/>
                <w:sz w:val="20"/>
              </w:rPr>
            </w:pPr>
            <w:r>
              <w:rPr>
                <w:rFonts w:hint="eastAsia" w:ascii="宋体" w:hAnsi="宋体" w:cs="宋体"/>
                <w:color w:val="FF0000"/>
                <w:kern w:val="0"/>
                <w:sz w:val="20"/>
              </w:rPr>
              <w:t>23</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0</w:t>
            </w:r>
          </w:p>
        </w:tc>
        <w:tc>
          <w:tcPr>
            <w:tcW w:w="732"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000000"/>
                <w:kern w:val="0"/>
                <w:sz w:val="20"/>
              </w:rPr>
            </w:pPr>
            <w:r>
              <w:rPr>
                <w:rFonts w:hint="eastAsia" w:ascii="宋体" w:hAnsi="宋体" w:cs="宋体"/>
                <w:color w:val="000000"/>
                <w:kern w:val="0"/>
                <w:sz w:val="20"/>
              </w:rPr>
              <w:t xml:space="preserve">0 </w:t>
            </w:r>
          </w:p>
        </w:tc>
        <w:tc>
          <w:tcPr>
            <w:tcW w:w="7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0</w:t>
            </w:r>
          </w:p>
        </w:tc>
        <w:tc>
          <w:tcPr>
            <w:tcW w:w="989"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shd w:val="clear" w:color="000000" w:fill="B6DDE8"/>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shd w:val="clear" w:color="000000" w:fill="B6DDE8"/>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112</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29</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衢江区实验中学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29</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90</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28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29</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114</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30</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衢江区实验小学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19</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116</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36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19</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104</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31</w:t>
            </w:r>
          </w:p>
        </w:tc>
        <w:tc>
          <w:tcPr>
            <w:tcW w:w="1434" w:type="dxa"/>
            <w:gridSpan w:val="2"/>
            <w:tcBorders>
              <w:top w:val="nil"/>
              <w:left w:val="nil"/>
              <w:bottom w:val="single" w:color="auto" w:sz="4" w:space="0"/>
              <w:right w:val="single" w:color="auto" w:sz="4" w:space="0"/>
            </w:tcBorders>
            <w:shd w:val="clear" w:color="000000" w:fill="B6DDE8"/>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第四小学</w:t>
            </w:r>
          </w:p>
        </w:tc>
        <w:tc>
          <w:tcPr>
            <w:tcW w:w="531" w:type="dxa"/>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FF0000"/>
                <w:kern w:val="0"/>
                <w:sz w:val="20"/>
              </w:rPr>
            </w:pPr>
            <w:r>
              <w:rPr>
                <w:rFonts w:hint="eastAsia" w:ascii="宋体" w:hAnsi="宋体" w:cs="宋体"/>
                <w:color w:val="FF0000"/>
                <w:kern w:val="0"/>
                <w:sz w:val="20"/>
              </w:rPr>
              <w:t>24</w:t>
            </w:r>
          </w:p>
        </w:tc>
        <w:tc>
          <w:tcPr>
            <w:tcW w:w="635"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FF0000"/>
                <w:kern w:val="0"/>
                <w:sz w:val="20"/>
              </w:rPr>
            </w:pPr>
            <w:r>
              <w:rPr>
                <w:rFonts w:hint="eastAsia" w:ascii="宋体" w:hAnsi="宋体" w:cs="宋体"/>
                <w:color w:val="FF0000"/>
                <w:kern w:val="0"/>
                <w:sz w:val="20"/>
              </w:rPr>
              <w:t>28</w:t>
            </w:r>
          </w:p>
        </w:tc>
        <w:tc>
          <w:tcPr>
            <w:tcW w:w="635"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FF0000"/>
                <w:kern w:val="0"/>
                <w:sz w:val="20"/>
              </w:rPr>
            </w:pPr>
            <w:r>
              <w:rPr>
                <w:rFonts w:hint="eastAsia" w:ascii="宋体" w:hAnsi="宋体" w:cs="宋体"/>
                <w:color w:val="FF0000"/>
                <w:kern w:val="0"/>
                <w:sz w:val="20"/>
              </w:rPr>
              <w:t>45</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0</w:t>
            </w:r>
          </w:p>
        </w:tc>
        <w:tc>
          <w:tcPr>
            <w:tcW w:w="732"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000000"/>
                <w:kern w:val="0"/>
                <w:sz w:val="20"/>
              </w:rPr>
            </w:pPr>
            <w:r>
              <w:rPr>
                <w:rFonts w:hint="eastAsia" w:ascii="宋体" w:hAnsi="宋体" w:cs="宋体"/>
                <w:color w:val="000000"/>
                <w:kern w:val="0"/>
                <w:sz w:val="20"/>
              </w:rPr>
              <w:t xml:space="preserve">0 </w:t>
            </w:r>
          </w:p>
        </w:tc>
        <w:tc>
          <w:tcPr>
            <w:tcW w:w="7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0</w:t>
            </w:r>
          </w:p>
        </w:tc>
        <w:tc>
          <w:tcPr>
            <w:tcW w:w="989"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shd w:val="clear" w:color="000000" w:fill="B6DDE8"/>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shd w:val="clear" w:color="000000" w:fill="B6DDE8"/>
            <w:noWrap/>
            <w:vAlign w:val="bottom"/>
          </w:tcPr>
          <w:p>
            <w:pPr>
              <w:widowControl/>
              <w:jc w:val="right"/>
              <w:rPr>
                <w:rFonts w:ascii="宋体" w:hAnsi="宋体" w:cs="宋体"/>
                <w:color w:val="FF0000"/>
                <w:kern w:val="0"/>
                <w:sz w:val="20"/>
              </w:rPr>
            </w:pPr>
            <w:r>
              <w:rPr>
                <w:rFonts w:hint="eastAsia" w:ascii="宋体" w:hAnsi="宋体" w:cs="宋体"/>
                <w:color w:val="FF0000"/>
                <w:kern w:val="0"/>
                <w:sz w:val="20"/>
              </w:rPr>
              <w:t>36</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32</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衢江区大洲中学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13</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16</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49</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16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16</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71</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33</w:t>
            </w:r>
          </w:p>
        </w:tc>
        <w:tc>
          <w:tcPr>
            <w:tcW w:w="1434" w:type="dxa"/>
            <w:gridSpan w:val="2"/>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cs="宋体"/>
                <w:kern w:val="0"/>
                <w:sz w:val="20"/>
              </w:rPr>
            </w:pPr>
            <w:r>
              <w:rPr>
                <w:rFonts w:hint="eastAsia" w:ascii="宋体" w:hAnsi="宋体" w:cs="宋体"/>
                <w:kern w:val="0"/>
                <w:sz w:val="20"/>
              </w:rPr>
              <w:t>衢州市东港初中</w:t>
            </w:r>
          </w:p>
        </w:tc>
        <w:tc>
          <w:tcPr>
            <w:tcW w:w="531" w:type="dxa"/>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36</w:t>
            </w:r>
          </w:p>
        </w:tc>
        <w:tc>
          <w:tcPr>
            <w:tcW w:w="635"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30</w:t>
            </w:r>
          </w:p>
        </w:tc>
        <w:tc>
          <w:tcPr>
            <w:tcW w:w="635"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15</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102</w:t>
            </w:r>
          </w:p>
        </w:tc>
        <w:tc>
          <w:tcPr>
            <w:tcW w:w="73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 xml:space="preserve">33 </w:t>
            </w:r>
          </w:p>
        </w:tc>
        <w:tc>
          <w:tcPr>
            <w:tcW w:w="7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15</w:t>
            </w:r>
          </w:p>
        </w:tc>
        <w:tc>
          <w:tcPr>
            <w:tcW w:w="989"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shd w:val="clear" w:color="000000" w:fill="FFFF00"/>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shd w:val="clear" w:color="000000" w:fill="FFFF00"/>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126</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34</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0"/>
              </w:rPr>
            </w:pPr>
            <w:r>
              <w:rPr>
                <w:rFonts w:hint="eastAsia" w:ascii="宋体" w:hAnsi="宋体" w:cs="宋体"/>
                <w:color w:val="FF0000"/>
                <w:kern w:val="0"/>
                <w:sz w:val="20"/>
              </w:rPr>
              <w:t>廿里镇初中</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22</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18</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106</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32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18</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149</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35</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0"/>
              </w:rPr>
            </w:pPr>
            <w:r>
              <w:rPr>
                <w:rFonts w:hint="eastAsia" w:ascii="宋体" w:hAnsi="宋体" w:cs="宋体"/>
                <w:color w:val="FF0000"/>
                <w:kern w:val="0"/>
                <w:sz w:val="20"/>
              </w:rPr>
              <w:t>廿里小学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50</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22</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128</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39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22</w:t>
            </w:r>
          </w:p>
        </w:tc>
        <w:tc>
          <w:tcPr>
            <w:tcW w:w="989"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98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137</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36</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0"/>
              </w:rPr>
            </w:pPr>
            <w:r>
              <w:rPr>
                <w:rFonts w:hint="eastAsia" w:ascii="宋体" w:hAnsi="宋体" w:cs="宋体"/>
                <w:color w:val="FF0000"/>
                <w:kern w:val="0"/>
                <w:sz w:val="20"/>
              </w:rPr>
              <w:t>廿里岭洋小学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17</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6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2</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37</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后溪镇中心小学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21</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17</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59</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19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12</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56</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38</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湖南镇中心小学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26</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10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7</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21</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39</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黄坛口小学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8</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22</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8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8</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15</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40</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大洲镇中心小学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13</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44</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13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13</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43</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41</w:t>
            </w:r>
          </w:p>
        </w:tc>
        <w:tc>
          <w:tcPr>
            <w:tcW w:w="1434" w:type="dxa"/>
            <w:gridSpan w:val="2"/>
            <w:tcBorders>
              <w:top w:val="nil"/>
              <w:left w:val="nil"/>
              <w:bottom w:val="single" w:color="auto" w:sz="4" w:space="0"/>
              <w:right w:val="single" w:color="auto" w:sz="4" w:space="0"/>
            </w:tcBorders>
            <w:shd w:val="clear" w:color="000000" w:fill="B6DDE8"/>
            <w:noWrap/>
            <w:vAlign w:val="center"/>
          </w:tcPr>
          <w:p>
            <w:pPr>
              <w:widowControl/>
              <w:jc w:val="left"/>
              <w:rPr>
                <w:rFonts w:ascii="宋体" w:hAnsi="宋体" w:cs="宋体"/>
                <w:kern w:val="0"/>
                <w:sz w:val="20"/>
              </w:rPr>
            </w:pPr>
            <w:r>
              <w:rPr>
                <w:rFonts w:hint="eastAsia" w:ascii="宋体" w:hAnsi="宋体" w:cs="宋体"/>
                <w:kern w:val="0"/>
                <w:sz w:val="20"/>
              </w:rPr>
              <w:t>横路初中</w:t>
            </w:r>
          </w:p>
        </w:tc>
        <w:tc>
          <w:tcPr>
            <w:tcW w:w="531" w:type="dxa"/>
            <w:tcBorders>
              <w:top w:val="nil"/>
              <w:left w:val="nil"/>
              <w:bottom w:val="single" w:color="auto" w:sz="4" w:space="0"/>
              <w:right w:val="single" w:color="auto" w:sz="4" w:space="0"/>
            </w:tcBorders>
            <w:shd w:val="clear" w:color="000000" w:fill="B6DDE8"/>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12</w:t>
            </w:r>
          </w:p>
        </w:tc>
        <w:tc>
          <w:tcPr>
            <w:tcW w:w="635" w:type="dxa"/>
            <w:gridSpan w:val="2"/>
            <w:tcBorders>
              <w:top w:val="nil"/>
              <w:left w:val="nil"/>
              <w:bottom w:val="single" w:color="auto" w:sz="4" w:space="0"/>
              <w:right w:val="single" w:color="auto" w:sz="4" w:space="0"/>
            </w:tcBorders>
            <w:shd w:val="clear" w:color="000000" w:fill="B6DDE8"/>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w:t>
            </w:r>
          </w:p>
        </w:tc>
        <w:tc>
          <w:tcPr>
            <w:tcW w:w="635" w:type="dxa"/>
            <w:gridSpan w:val="2"/>
            <w:tcBorders>
              <w:top w:val="nil"/>
              <w:left w:val="nil"/>
              <w:bottom w:val="single" w:color="auto" w:sz="4" w:space="0"/>
              <w:right w:val="single" w:color="auto" w:sz="4" w:space="0"/>
            </w:tcBorders>
            <w:shd w:val="clear" w:color="000000" w:fill="B6DDE8"/>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9</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34</w:t>
            </w:r>
          </w:p>
        </w:tc>
        <w:tc>
          <w:tcPr>
            <w:tcW w:w="73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 xml:space="preserve">11 </w:t>
            </w:r>
          </w:p>
        </w:tc>
        <w:tc>
          <w:tcPr>
            <w:tcW w:w="7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9</w:t>
            </w:r>
          </w:p>
        </w:tc>
        <w:tc>
          <w:tcPr>
            <w:tcW w:w="989" w:type="dxa"/>
            <w:gridSpan w:val="2"/>
            <w:tcBorders>
              <w:top w:val="nil"/>
              <w:left w:val="nil"/>
              <w:bottom w:val="single" w:color="auto" w:sz="4" w:space="0"/>
              <w:right w:val="single" w:color="auto" w:sz="4" w:space="0"/>
            </w:tcBorders>
            <w:shd w:val="clear" w:color="000000" w:fill="B6DDE8"/>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shd w:val="clear" w:color="000000" w:fill="B6DDE8"/>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shd w:val="clear" w:color="000000" w:fill="B6DDE8"/>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38</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42</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0"/>
              </w:rPr>
            </w:pPr>
            <w:r>
              <w:rPr>
                <w:rFonts w:hint="eastAsia" w:ascii="宋体" w:hAnsi="宋体" w:cs="宋体"/>
                <w:color w:val="FF0000"/>
                <w:kern w:val="0"/>
                <w:sz w:val="20"/>
              </w:rPr>
              <w:t>横路小学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14</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35</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11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14</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44</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43</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FF0000"/>
                <w:kern w:val="0"/>
                <w:sz w:val="20"/>
              </w:rPr>
            </w:pPr>
            <w:r>
              <w:rPr>
                <w:rFonts w:hint="eastAsia" w:ascii="宋体" w:hAnsi="宋体" w:cs="宋体"/>
                <w:color w:val="FF0000"/>
                <w:kern w:val="0"/>
                <w:sz w:val="20"/>
              </w:rPr>
              <w:t>全旺镇中心小学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18</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15</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11</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51</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17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11</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55</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44</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全旺镇岩头小学</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6</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3</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18</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6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3</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10</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45</w:t>
            </w:r>
          </w:p>
        </w:tc>
        <w:tc>
          <w:tcPr>
            <w:tcW w:w="1434"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0"/>
              </w:rPr>
            </w:pPr>
            <w:r>
              <w:rPr>
                <w:rFonts w:hint="eastAsia" w:ascii="宋体" w:hAnsi="宋体" w:cs="宋体"/>
                <w:kern w:val="0"/>
                <w:sz w:val="20"/>
              </w:rPr>
              <w:t>廿里镇中心幼儿园</w:t>
            </w:r>
          </w:p>
        </w:tc>
        <w:tc>
          <w:tcPr>
            <w:tcW w:w="531"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13</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1</w:t>
            </w:r>
          </w:p>
        </w:tc>
        <w:tc>
          <w:tcPr>
            <w:tcW w:w="635"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4</w:t>
            </w:r>
          </w:p>
        </w:tc>
        <w:tc>
          <w:tcPr>
            <w:tcW w:w="763"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27</w:t>
            </w:r>
          </w:p>
        </w:tc>
        <w:tc>
          <w:tcPr>
            <w:tcW w:w="73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 xml:space="preserve">8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4</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27</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46</w:t>
            </w:r>
          </w:p>
        </w:tc>
        <w:tc>
          <w:tcPr>
            <w:tcW w:w="14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横路乡中心幼儿园</w:t>
            </w:r>
          </w:p>
        </w:tc>
        <w:tc>
          <w:tcPr>
            <w:tcW w:w="5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5</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rPr>
            </w:pPr>
            <w:r>
              <w:rPr>
                <w:rFonts w:hint="eastAsia" w:ascii="宋体" w:hAnsi="宋体" w:cs="宋体"/>
                <w:kern w:val="0"/>
                <w:sz w:val="20"/>
              </w:rPr>
              <w:t>　</w:t>
            </w:r>
          </w:p>
        </w:tc>
        <w:tc>
          <w:tcPr>
            <w:tcW w:w="63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rPr>
            </w:pPr>
            <w:r>
              <w:rPr>
                <w:rFonts w:hint="eastAsia" w:ascii="宋体" w:hAnsi="宋体" w:cs="宋体"/>
                <w:kern w:val="0"/>
                <w:sz w:val="20"/>
              </w:rPr>
              <w:t>3</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10</w:t>
            </w:r>
          </w:p>
        </w:tc>
        <w:tc>
          <w:tcPr>
            <w:tcW w:w="73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 xml:space="preserve">3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3</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7</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47</w:t>
            </w:r>
          </w:p>
        </w:tc>
        <w:tc>
          <w:tcPr>
            <w:tcW w:w="143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rPr>
            </w:pPr>
            <w:r>
              <w:rPr>
                <w:rFonts w:hint="eastAsia" w:ascii="宋体" w:hAnsi="宋体" w:cs="宋体"/>
                <w:kern w:val="0"/>
                <w:sz w:val="20"/>
              </w:rPr>
              <w:t>东港幼儿园</w:t>
            </w:r>
          </w:p>
        </w:tc>
        <w:tc>
          <w:tcPr>
            <w:tcW w:w="531"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11</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0"/>
              </w:rPr>
            </w:pPr>
            <w:r>
              <w:rPr>
                <w:rFonts w:hint="eastAsia" w:ascii="宋体" w:hAnsi="宋体" w:cs="宋体"/>
                <w:kern w:val="0"/>
                <w:sz w:val="20"/>
              </w:rPr>
              <w:t>　</w:t>
            </w:r>
          </w:p>
        </w:tc>
        <w:tc>
          <w:tcPr>
            <w:tcW w:w="635"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6</w:t>
            </w:r>
          </w:p>
        </w:tc>
        <w:tc>
          <w:tcPr>
            <w:tcW w:w="7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22</w:t>
            </w:r>
          </w:p>
        </w:tc>
        <w:tc>
          <w:tcPr>
            <w:tcW w:w="73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kern w:val="0"/>
                <w:sz w:val="20"/>
              </w:rPr>
            </w:pPr>
            <w:r>
              <w:rPr>
                <w:rFonts w:hint="eastAsia" w:ascii="宋体" w:hAnsi="宋体" w:cs="宋体"/>
                <w:kern w:val="0"/>
                <w:sz w:val="20"/>
              </w:rPr>
              <w:t xml:space="preserve">12 </w:t>
            </w:r>
          </w:p>
        </w:tc>
        <w:tc>
          <w:tcPr>
            <w:tcW w:w="77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6</w:t>
            </w:r>
          </w:p>
        </w:tc>
        <w:tc>
          <w:tcPr>
            <w:tcW w:w="989"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989"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1</w:t>
            </w:r>
          </w:p>
        </w:tc>
        <w:tc>
          <w:tcPr>
            <w:tcW w:w="582" w:type="dxa"/>
            <w:gridSpan w:val="2"/>
            <w:tcBorders>
              <w:top w:val="nil"/>
              <w:left w:val="nil"/>
              <w:bottom w:val="single" w:color="auto" w:sz="4" w:space="0"/>
              <w:right w:val="single" w:color="auto" w:sz="4" w:space="0"/>
            </w:tcBorders>
            <w:noWrap/>
            <w:vAlign w:val="center"/>
          </w:tcPr>
          <w:p>
            <w:pPr>
              <w:widowControl/>
              <w:jc w:val="right"/>
              <w:rPr>
                <w:rFonts w:ascii="宋体" w:hAnsi="宋体" w:cs="宋体"/>
                <w:color w:val="FF0000"/>
                <w:kern w:val="0"/>
                <w:sz w:val="20"/>
              </w:rPr>
            </w:pPr>
            <w:r>
              <w:rPr>
                <w:rFonts w:hint="eastAsia" w:ascii="宋体" w:hAnsi="宋体" w:cs="宋体"/>
                <w:color w:val="FF0000"/>
                <w:kern w:val="0"/>
                <w:sz w:val="20"/>
              </w:rPr>
              <w:t>28</w:t>
            </w:r>
          </w:p>
        </w:tc>
      </w:tr>
      <w:tr>
        <w:tblPrEx>
          <w:tblLayout w:type="fixed"/>
          <w:tblCellMar>
            <w:top w:w="0" w:type="dxa"/>
            <w:left w:w="108" w:type="dxa"/>
            <w:bottom w:w="0" w:type="dxa"/>
            <w:right w:w="108" w:type="dxa"/>
          </w:tblCellMar>
        </w:tblPrEx>
        <w:trPr>
          <w:gridBefore w:val="1"/>
          <w:gridAfter w:val="1"/>
          <w:wBefore w:w="97" w:type="dxa"/>
          <w:wAfter w:w="703" w:type="dxa"/>
          <w:trHeight w:val="270" w:hRule="atLeast"/>
        </w:trPr>
        <w:tc>
          <w:tcPr>
            <w:tcW w:w="1894"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5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63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63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c>
          <w:tcPr>
            <w:tcW w:w="763"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0"/>
              </w:rPr>
            </w:pPr>
            <w:r>
              <w:rPr>
                <w:rFonts w:hint="eastAsia" w:ascii="宋体" w:hAnsi="宋体" w:cs="宋体"/>
                <w:color w:val="000000"/>
                <w:kern w:val="0"/>
                <w:sz w:val="20"/>
              </w:rPr>
              <w:t>2301</w:t>
            </w:r>
          </w:p>
        </w:tc>
        <w:tc>
          <w:tcPr>
            <w:tcW w:w="732"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xml:space="preserve">770 </w:t>
            </w:r>
          </w:p>
        </w:tc>
        <w:tc>
          <w:tcPr>
            <w:tcW w:w="772"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kern w:val="0"/>
                <w:sz w:val="20"/>
              </w:rPr>
            </w:pPr>
            <w:r>
              <w:rPr>
                <w:rFonts w:hint="eastAsia" w:ascii="宋体" w:hAnsi="宋体" w:cs="宋体"/>
                <w:kern w:val="0"/>
                <w:sz w:val="20"/>
              </w:rPr>
              <w:t>536</w:t>
            </w:r>
          </w:p>
        </w:tc>
        <w:tc>
          <w:tcPr>
            <w:tcW w:w="989"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8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FF0000"/>
                <w:kern w:val="0"/>
                <w:sz w:val="22"/>
                <w:szCs w:val="22"/>
              </w:rPr>
            </w:pPr>
            <w:r>
              <w:rPr>
                <w:rFonts w:hint="eastAsia" w:ascii="宋体" w:hAnsi="宋体" w:cs="宋体"/>
                <w:color w:val="FF0000"/>
                <w:kern w:val="0"/>
                <w:sz w:val="22"/>
                <w:szCs w:val="22"/>
              </w:rPr>
              <w:t>　</w:t>
            </w:r>
          </w:p>
        </w:tc>
      </w:tr>
      <w:tr>
        <w:tblPrEx>
          <w:tblLayout w:type="fixed"/>
          <w:tblCellMar>
            <w:top w:w="0" w:type="dxa"/>
            <w:left w:w="108" w:type="dxa"/>
            <w:bottom w:w="0" w:type="dxa"/>
            <w:right w:w="108" w:type="dxa"/>
          </w:tblCellMar>
        </w:tblPrEx>
        <w:trPr>
          <w:trHeight w:val="601" w:hRule="atLeast"/>
        </w:trPr>
        <w:tc>
          <w:tcPr>
            <w:tcW w:w="8046" w:type="dxa"/>
            <w:gridSpan w:val="18"/>
            <w:tcBorders>
              <w:top w:val="nil"/>
              <w:left w:val="nil"/>
              <w:bottom w:val="nil"/>
              <w:right w:val="nil"/>
            </w:tcBorders>
            <w:noWrap/>
            <w:vAlign w:val="center"/>
          </w:tcPr>
          <w:p>
            <w:pPr>
              <w:widowControl/>
              <w:jc w:val="left"/>
              <w:rPr>
                <w:rFonts w:ascii="宋体" w:hAnsi="宋体" w:cs="宋体"/>
                <w:b/>
                <w:bCs/>
                <w:kern w:val="0"/>
                <w:szCs w:val="21"/>
              </w:rPr>
            </w:pPr>
          </w:p>
          <w:p>
            <w:pPr>
              <w:widowControl/>
              <w:jc w:val="left"/>
              <w:rPr>
                <w:rFonts w:ascii="宋体" w:hAnsi="宋体" w:cs="宋体"/>
                <w:b/>
                <w:bCs/>
                <w:kern w:val="0"/>
                <w:szCs w:val="21"/>
              </w:rPr>
            </w:pPr>
            <w:r>
              <w:rPr>
                <w:rFonts w:hint="eastAsia" w:ascii="宋体" w:hAnsi="宋体" w:cs="宋体"/>
                <w:b/>
                <w:bCs/>
                <w:kern w:val="0"/>
                <w:szCs w:val="21"/>
              </w:rPr>
              <w:t>注：有线信息点指有线网络口，视频和无线网点数另计。</w:t>
            </w: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2019年衢江区智慧教育项目视频监控改造学校设备清单</w:t>
            </w:r>
          </w:p>
        </w:tc>
        <w:tc>
          <w:tcPr>
            <w:tcW w:w="1276" w:type="dxa"/>
            <w:gridSpan w:val="2"/>
            <w:tcBorders>
              <w:top w:val="nil"/>
              <w:left w:val="nil"/>
              <w:bottom w:val="nil"/>
              <w:right w:val="nil"/>
            </w:tcBorders>
            <w:noWrap/>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校名</w:t>
            </w:r>
          </w:p>
        </w:tc>
        <w:tc>
          <w:tcPr>
            <w:tcW w:w="7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枪机</w:t>
            </w:r>
          </w:p>
        </w:tc>
        <w:tc>
          <w:tcPr>
            <w:tcW w:w="682"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半球机</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球机</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总点位</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访客系统</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监视屏</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衢江区杜泽中学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莲花镇初中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峡川镇中心学校</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高家镇中心小学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浮石小学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上方镇中心小学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衢州三中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太真乡中心小学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周家乡中心学校</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0"/>
              </w:rPr>
            </w:pPr>
            <w:r>
              <w:rPr>
                <w:rFonts w:hint="eastAsia" w:ascii="宋体" w:hAnsi="宋体" w:cs="宋体"/>
                <w:kern w:val="0"/>
                <w:sz w:val="20"/>
              </w:rPr>
              <w:t>高家镇安仁中心小学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杜泽镇中心幼儿园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上方镇中心幼儿园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云溪乡中心幼儿园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廿里镇中心小学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后溪镇中心小学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大洲镇中心小学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横路小学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衢江区大洲中学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衢江区第二小学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廿里镇初中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湖南镇中心小学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黄坛口乡中心小学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横路初中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衢江区第四小学</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廿里镇中心幼儿园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横路乡中心幼儿园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衢州市东港幼儿园</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01" w:hRule="atLeast"/>
        </w:trPr>
        <w:tc>
          <w:tcPr>
            <w:tcW w:w="573" w:type="dxa"/>
            <w:gridSpan w:val="3"/>
            <w:tcBorders>
              <w:top w:val="nil"/>
              <w:left w:val="single" w:color="auto" w:sz="4" w:space="0"/>
              <w:bottom w:val="single" w:color="auto" w:sz="4" w:space="0"/>
              <w:right w:val="nil"/>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08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73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646</w:t>
            </w:r>
          </w:p>
        </w:tc>
        <w:tc>
          <w:tcPr>
            <w:tcW w:w="68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418"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806</w:t>
            </w:r>
          </w:p>
        </w:tc>
        <w:tc>
          <w:tcPr>
            <w:tcW w:w="1417"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是：20所</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是：19所</w:t>
            </w:r>
          </w:p>
        </w:tc>
      </w:tr>
    </w:tbl>
    <w:p>
      <w:pPr>
        <w:pStyle w:val="294"/>
        <w:spacing w:before="96" w:after="96" w:line="240" w:lineRule="auto"/>
        <w:rPr>
          <w:rFonts w:hint="eastAsia" w:ascii="宋体" w:hAnsi="宋体" w:cs="宋体"/>
          <w:szCs w:val="21"/>
          <w:lang w:val="en-US" w:eastAsia="zh-CN"/>
        </w:rPr>
      </w:pPr>
      <w:r>
        <w:rPr>
          <w:rFonts w:hint="eastAsia" w:ascii="宋体" w:hAnsi="宋体" w:cs="宋体"/>
          <w:szCs w:val="21"/>
          <w:lang w:val="en-US" w:eastAsia="zh-CN"/>
        </w:rPr>
        <w:t>本项目核心产品为交换机，无线ap，监控摄像头，云平台。投标人所投核心产品品牌均相同的按一家投标单位认定。</w:t>
      </w:r>
    </w:p>
    <w:p>
      <w:pPr>
        <w:pStyle w:val="294"/>
        <w:spacing w:before="96" w:after="96" w:line="240" w:lineRule="auto"/>
        <w:rPr>
          <w:rFonts w:hint="default" w:ascii="宋体" w:hAnsi="宋体" w:eastAsia="宋体" w:cs="宋体"/>
          <w:szCs w:val="21"/>
          <w:lang w:val="en-US" w:eastAsia="zh-CN"/>
        </w:rPr>
      </w:pPr>
    </w:p>
    <w:p>
      <w:pPr>
        <w:pStyle w:val="294"/>
        <w:spacing w:before="96" w:after="96" w:line="240" w:lineRule="auto"/>
        <w:rPr>
          <w:rFonts w:ascii="宋体" w:hAnsi="宋体" w:cs="宋体"/>
          <w:szCs w:val="21"/>
          <w:lang w:val="en-GB"/>
        </w:rPr>
      </w:pPr>
    </w:p>
    <w:p>
      <w:pPr>
        <w:spacing w:line="540" w:lineRule="exact"/>
        <w:jc w:val="center"/>
        <w:outlineLvl w:val="0"/>
        <w:rPr>
          <w:rFonts w:ascii="仿宋_GB2312" w:hAnsi="宋体" w:eastAsia="仿宋_GB2312" w:cs="宋体"/>
          <w:b/>
          <w:sz w:val="32"/>
          <w:szCs w:val="32"/>
        </w:rPr>
      </w:pPr>
      <w:r>
        <w:rPr>
          <w:rFonts w:ascii="仿宋_GB2312" w:hAnsi="宋体" w:eastAsia="仿宋_GB2312" w:cs="宋体"/>
          <w:b/>
          <w:sz w:val="32"/>
          <w:szCs w:val="32"/>
        </w:rPr>
        <w:br w:type="page"/>
      </w:r>
      <w:bookmarkStart w:id="31" w:name="_Toc3786"/>
      <w:r>
        <w:rPr>
          <w:rFonts w:hint="eastAsia" w:ascii="仿宋_GB2312" w:hAnsi="宋体" w:eastAsia="仿宋_GB2312" w:cs="宋体"/>
          <w:b/>
          <w:sz w:val="32"/>
          <w:szCs w:val="32"/>
        </w:rPr>
        <w:t>第四章  合同</w:t>
      </w:r>
      <w:bookmarkEnd w:id="26"/>
      <w:bookmarkEnd w:id="27"/>
      <w:bookmarkEnd w:id="28"/>
      <w:r>
        <w:rPr>
          <w:rFonts w:hint="eastAsia" w:ascii="仿宋_GB2312" w:hAnsi="宋体" w:eastAsia="仿宋_GB2312" w:cs="宋体"/>
          <w:b/>
          <w:sz w:val="32"/>
          <w:szCs w:val="32"/>
        </w:rPr>
        <w:t>文本</w:t>
      </w:r>
      <w:bookmarkEnd w:id="31"/>
    </w:p>
    <w:p>
      <w:pPr>
        <w:jc w:val="center"/>
        <w:rPr>
          <w:rFonts w:ascii="仿宋_GB2312" w:hAnsi="宋体" w:eastAsia="仿宋_GB2312"/>
          <w:b/>
          <w:bCs/>
          <w:sz w:val="28"/>
          <w:szCs w:val="28"/>
        </w:rPr>
      </w:pPr>
    </w:p>
    <w:p>
      <w:pPr>
        <w:spacing w:line="500" w:lineRule="exact"/>
        <w:ind w:left="540"/>
        <w:rPr>
          <w:rFonts w:ascii="仿宋_GB2312" w:eastAsia="仿宋_GB2312"/>
          <w:sz w:val="28"/>
          <w:szCs w:val="28"/>
        </w:rPr>
      </w:pPr>
      <w:r>
        <w:rPr>
          <w:rFonts w:hint="eastAsia" w:ascii="仿宋_GB2312" w:eastAsia="仿宋_GB2312"/>
          <w:sz w:val="28"/>
          <w:szCs w:val="28"/>
        </w:rPr>
        <w:t>甲方：</w:t>
      </w:r>
    </w:p>
    <w:p>
      <w:pPr>
        <w:spacing w:line="500" w:lineRule="exact"/>
        <w:ind w:left="540"/>
        <w:rPr>
          <w:rFonts w:ascii="仿宋_GB2312" w:eastAsia="仿宋_GB2312"/>
          <w:sz w:val="28"/>
          <w:szCs w:val="28"/>
        </w:rPr>
      </w:pPr>
      <w:r>
        <w:rPr>
          <w:rFonts w:hint="eastAsia" w:ascii="仿宋_GB2312" w:eastAsia="仿宋_GB2312"/>
          <w:sz w:val="28"/>
          <w:szCs w:val="28"/>
        </w:rPr>
        <w:t>乙方：</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经甲乙双方协商，本着平等互利和诚实信用的原则，双方一致同意，签订本合同.</w:t>
      </w:r>
    </w:p>
    <w:p>
      <w:pPr>
        <w:numPr>
          <w:ilvl w:val="0"/>
          <w:numId w:val="34"/>
        </w:numPr>
        <w:spacing w:beforeLines="50"/>
        <w:rPr>
          <w:rFonts w:ascii="仿宋" w:hAnsi="仿宋" w:eastAsia="仿宋" w:cs="仿宋"/>
          <w:b/>
          <w:sz w:val="28"/>
          <w:szCs w:val="28"/>
        </w:rPr>
      </w:pPr>
      <w:r>
        <w:rPr>
          <w:rFonts w:hint="eastAsia" w:ascii="仿宋" w:hAnsi="仿宋" w:eastAsia="仿宋" w:cs="仿宋"/>
          <w:b/>
          <w:sz w:val="28"/>
          <w:szCs w:val="28"/>
        </w:rPr>
        <w:t>购买服务的内容及期限</w:t>
      </w:r>
    </w:p>
    <w:p>
      <w:pPr>
        <w:spacing w:beforeLines="50"/>
        <w:ind w:firstLine="555"/>
        <w:rPr>
          <w:rFonts w:ascii="仿宋" w:hAnsi="仿宋" w:eastAsia="仿宋" w:cs="仿宋"/>
          <w:sz w:val="28"/>
          <w:szCs w:val="28"/>
        </w:rPr>
      </w:pPr>
      <w:r>
        <w:rPr>
          <w:rFonts w:hint="eastAsia" w:ascii="仿宋" w:hAnsi="仿宋" w:eastAsia="仿宋" w:cs="仿宋"/>
          <w:sz w:val="28"/>
          <w:szCs w:val="28"/>
        </w:rPr>
        <w:t>1、甲方以</w:t>
      </w:r>
      <w:r>
        <w:rPr>
          <w:rFonts w:hint="eastAsia" w:ascii="仿宋" w:hAnsi="仿宋" w:eastAsia="仿宋" w:cs="仿宋"/>
          <w:sz w:val="28"/>
          <w:szCs w:val="28"/>
          <w:u w:val="single"/>
        </w:rPr>
        <w:t>　　　 　（</w:t>
      </w:r>
      <w:r>
        <w:rPr>
          <w:rFonts w:hint="eastAsia" w:ascii="仿宋" w:hAnsi="仿宋" w:eastAsia="仿宋" w:cs="仿宋"/>
          <w:sz w:val="28"/>
          <w:szCs w:val="28"/>
        </w:rPr>
        <w:t>政府采购方式）采购乙方提供的以下服务：</w:t>
      </w:r>
    </w:p>
    <w:p>
      <w:pPr>
        <w:spacing w:beforeLines="50"/>
        <w:rPr>
          <w:rFonts w:ascii="仿宋" w:hAnsi="仿宋" w:eastAsia="仿宋" w:cs="仿宋"/>
          <w:sz w:val="28"/>
          <w:szCs w:val="28"/>
        </w:rPr>
      </w:pPr>
      <w:r>
        <w:rPr>
          <w:rFonts w:hint="eastAsia" w:ascii="仿宋" w:hAnsi="仿宋" w:eastAsia="仿宋" w:cs="仿宋"/>
          <w:sz w:val="28"/>
          <w:szCs w:val="28"/>
        </w:rPr>
        <w:t>。内容包括：</w:t>
      </w:r>
      <w:r>
        <w:rPr>
          <w:rFonts w:hint="eastAsia" w:ascii="仿宋" w:hAnsi="仿宋" w:eastAsia="仿宋" w:cs="仿宋"/>
          <w:sz w:val="28"/>
          <w:szCs w:val="28"/>
          <w:u w:val="single"/>
        </w:rPr>
        <w:t xml:space="preserve">   按中标文件确定（可另附清单）  </w:t>
      </w:r>
      <w:r>
        <w:rPr>
          <w:rFonts w:hint="eastAsia" w:ascii="仿宋" w:hAnsi="仿宋" w:eastAsia="仿宋" w:cs="仿宋"/>
          <w:sz w:val="28"/>
          <w:szCs w:val="28"/>
        </w:rPr>
        <w:t>。</w:t>
      </w:r>
    </w:p>
    <w:p>
      <w:pPr>
        <w:spacing w:beforeLines="50"/>
        <w:ind w:firstLine="560" w:firstLineChars="200"/>
        <w:rPr>
          <w:rFonts w:ascii="仿宋" w:hAnsi="仿宋" w:eastAsia="仿宋" w:cs="仿宋"/>
          <w:sz w:val="28"/>
          <w:szCs w:val="28"/>
        </w:rPr>
      </w:pPr>
      <w:r>
        <w:rPr>
          <w:rFonts w:hint="eastAsia" w:ascii="仿宋" w:hAnsi="仿宋" w:eastAsia="仿宋" w:cs="仿宋"/>
          <w:sz w:val="28"/>
          <w:szCs w:val="28"/>
        </w:rPr>
        <w:t>如在合作期内有迁建和新建学校（幼儿园），中标供应商有义务免费提供网络及各种平台数据的接入。</w:t>
      </w:r>
    </w:p>
    <w:p>
      <w:pPr>
        <w:spacing w:beforeLines="50"/>
        <w:ind w:firstLine="560" w:firstLineChars="200"/>
        <w:rPr>
          <w:rFonts w:ascii="仿宋" w:hAnsi="仿宋" w:eastAsia="仿宋" w:cs="仿宋"/>
          <w:sz w:val="28"/>
          <w:szCs w:val="28"/>
        </w:rPr>
      </w:pPr>
      <w:r>
        <w:rPr>
          <w:rFonts w:hint="eastAsia" w:ascii="仿宋" w:hAnsi="仿宋" w:eastAsia="仿宋" w:cs="仿宋"/>
          <w:sz w:val="28"/>
          <w:szCs w:val="28"/>
        </w:rPr>
        <w:t>若省市有统一教育信息化建设平台，中标供应商应无偿按照省市要求配合升级。</w:t>
      </w:r>
    </w:p>
    <w:p>
      <w:pPr>
        <w:numPr>
          <w:ilvl w:val="0"/>
          <w:numId w:val="35"/>
        </w:numPr>
        <w:spacing w:beforeLines="50"/>
        <w:ind w:firstLine="570"/>
        <w:rPr>
          <w:rFonts w:ascii="仿宋" w:hAnsi="仿宋" w:eastAsia="仿宋" w:cs="仿宋"/>
          <w:sz w:val="28"/>
          <w:szCs w:val="28"/>
        </w:rPr>
      </w:pPr>
      <w:r>
        <w:rPr>
          <w:rFonts w:hint="eastAsia" w:ascii="仿宋" w:hAnsi="仿宋" w:eastAsia="仿宋" w:cs="仿宋"/>
          <w:sz w:val="28"/>
          <w:szCs w:val="28"/>
        </w:rPr>
        <w:t>本合同项目下的服务期限：</w:t>
      </w:r>
    </w:p>
    <w:p>
      <w:pPr>
        <w:spacing w:beforeLines="50"/>
        <w:rPr>
          <w:rFonts w:ascii="仿宋" w:hAnsi="仿宋" w:eastAsia="仿宋" w:cs="仿宋"/>
          <w:sz w:val="28"/>
          <w:szCs w:val="28"/>
        </w:rPr>
      </w:pPr>
      <w:r>
        <w:rPr>
          <w:rFonts w:hint="eastAsia" w:ascii="仿宋" w:hAnsi="仿宋" w:eastAsia="仿宋" w:cs="仿宋"/>
          <w:sz w:val="28"/>
          <w:szCs w:val="28"/>
        </w:rPr>
        <w:t xml:space="preserve">    本次服务期限采取3学年+2学年的模式（经衢江区教育局考核连续六个学期考核分均为80分及以上，则可根据原采购合同的约定续签合同，但续签的单次合同期限一般不得长于原采购的合同期限，且续签次数最多不超过2次、累计时间最长不超过5年。）</w:t>
      </w:r>
    </w:p>
    <w:p>
      <w:pPr>
        <w:spacing w:beforeLines="50"/>
        <w:ind w:firstLine="574" w:firstLineChars="205"/>
        <w:rPr>
          <w:rFonts w:ascii="仿宋" w:hAnsi="仿宋" w:eastAsia="仿宋" w:cs="仿宋"/>
          <w:sz w:val="28"/>
          <w:szCs w:val="28"/>
        </w:rPr>
      </w:pPr>
      <w:r>
        <w:rPr>
          <w:rFonts w:hint="eastAsia" w:ascii="仿宋" w:hAnsi="仿宋" w:eastAsia="仿宋" w:cs="仿宋"/>
          <w:sz w:val="28"/>
          <w:szCs w:val="28"/>
        </w:rPr>
        <w:t>自项目</w:t>
      </w:r>
      <w:r>
        <w:rPr>
          <w:rFonts w:hint="eastAsia" w:ascii="仿宋" w:hAnsi="仿宋" w:eastAsia="仿宋" w:cs="仿宋"/>
          <w:sz w:val="28"/>
          <w:szCs w:val="28"/>
          <w:lang w:val="en-US" w:eastAsia="zh-CN"/>
        </w:rPr>
        <w:t>至</w:t>
      </w:r>
      <w:r>
        <w:rPr>
          <w:rFonts w:hint="eastAsia" w:ascii="仿宋" w:hAnsi="仿宋" w:eastAsia="仿宋" w:cs="仿宋"/>
          <w:sz w:val="28"/>
          <w:szCs w:val="28"/>
        </w:rPr>
        <w:t>总体验收合格之日起至______年月日止，共计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天。</w:t>
      </w:r>
    </w:p>
    <w:p>
      <w:pPr>
        <w:spacing w:beforeLines="50"/>
        <w:ind w:firstLine="570"/>
        <w:rPr>
          <w:rFonts w:ascii="仿宋" w:hAnsi="仿宋" w:eastAsia="仿宋" w:cs="仿宋"/>
          <w:sz w:val="28"/>
          <w:szCs w:val="28"/>
          <w:u w:val="single"/>
        </w:rPr>
      </w:pPr>
      <w:r>
        <w:rPr>
          <w:rFonts w:hint="eastAsia" w:ascii="仿宋" w:hAnsi="仿宋" w:eastAsia="仿宋" w:cs="仿宋"/>
          <w:sz w:val="28"/>
          <w:szCs w:val="28"/>
        </w:rPr>
        <w:t>3、服务地点：。</w:t>
      </w:r>
    </w:p>
    <w:p>
      <w:pPr>
        <w:spacing w:beforeLines="50"/>
        <w:ind w:firstLine="551" w:firstLineChars="196"/>
        <w:rPr>
          <w:rFonts w:ascii="仿宋" w:hAnsi="仿宋" w:eastAsia="仿宋" w:cs="仿宋"/>
          <w:b/>
          <w:sz w:val="28"/>
          <w:szCs w:val="28"/>
        </w:rPr>
      </w:pPr>
      <w:r>
        <w:rPr>
          <w:rFonts w:hint="eastAsia" w:ascii="仿宋" w:hAnsi="仿宋" w:eastAsia="仿宋" w:cs="仿宋"/>
          <w:b/>
          <w:sz w:val="28"/>
          <w:szCs w:val="28"/>
        </w:rPr>
        <w:t>第二条  合同金额</w:t>
      </w:r>
      <w:bookmarkStart w:id="79" w:name="_GoBack"/>
      <w:bookmarkEnd w:id="79"/>
    </w:p>
    <w:p>
      <w:pPr>
        <w:spacing w:beforeLines="50" w:afterLines="50"/>
        <w:ind w:firstLine="560" w:firstLineChars="200"/>
        <w:rPr>
          <w:rFonts w:ascii="仿宋" w:hAnsi="仿宋" w:eastAsia="仿宋" w:cs="仿宋"/>
          <w:kern w:val="0"/>
          <w:sz w:val="28"/>
          <w:szCs w:val="28"/>
        </w:rPr>
      </w:pPr>
      <w:r>
        <w:rPr>
          <w:rFonts w:hint="eastAsia" w:ascii="仿宋" w:hAnsi="仿宋" w:eastAsia="仿宋" w:cs="仿宋"/>
          <w:kern w:val="0"/>
          <w:sz w:val="28"/>
          <w:szCs w:val="28"/>
        </w:rPr>
        <w:t>本合同服务费总金额为人民币（大写）：_____________元（￥_______________元）。</w:t>
      </w:r>
    </w:p>
    <w:p>
      <w:pPr>
        <w:spacing w:beforeLines="50" w:afterLines="50"/>
        <w:ind w:firstLine="562" w:firstLineChars="200"/>
        <w:rPr>
          <w:rFonts w:ascii="宋体" w:hAnsi="宋体" w:cs="宋体"/>
          <w:b/>
          <w:kern w:val="0"/>
          <w:szCs w:val="21"/>
        </w:rPr>
      </w:pPr>
      <w:r>
        <w:rPr>
          <w:rFonts w:hint="eastAsia" w:ascii="仿宋" w:hAnsi="仿宋" w:eastAsia="仿宋" w:cs="仿宋"/>
          <w:b/>
          <w:kern w:val="0"/>
          <w:sz w:val="28"/>
          <w:szCs w:val="28"/>
        </w:rPr>
        <w:t>第三条 服务质量标准为：</w:t>
      </w:r>
    </w:p>
    <w:p>
      <w:pPr>
        <w:widowControl/>
        <w:numPr>
          <w:ilvl w:val="0"/>
          <w:numId w:val="36"/>
        </w:numPr>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合同项目从验收后合格之日起，乙方提供的</w:t>
      </w:r>
      <w:r>
        <w:rPr>
          <w:rFonts w:hint="eastAsia" w:ascii="仿宋" w:hAnsi="仿宋" w:eastAsia="仿宋" w:cs="仿宋"/>
          <w:kern w:val="0"/>
          <w:sz w:val="28"/>
          <w:szCs w:val="28"/>
          <w:lang w:val="en-US" w:eastAsia="zh-CN"/>
        </w:rPr>
        <w:t>硬件质保</w:t>
      </w:r>
      <w:r>
        <w:rPr>
          <w:rFonts w:hint="eastAsia" w:ascii="仿宋" w:hAnsi="仿宋" w:eastAsia="仿宋" w:cs="仿宋"/>
          <w:kern w:val="0"/>
          <w:sz w:val="28"/>
          <w:szCs w:val="28"/>
        </w:rPr>
        <w:t>5年。</w:t>
      </w:r>
      <w:r>
        <w:rPr>
          <w:rFonts w:hint="eastAsia" w:ascii="仿宋" w:hAnsi="仿宋" w:eastAsia="仿宋" w:cs="仿宋"/>
          <w:kern w:val="0"/>
          <w:sz w:val="28"/>
          <w:szCs w:val="28"/>
          <w:lang w:val="en-US" w:eastAsia="zh-CN"/>
        </w:rPr>
        <w:t>质保</w:t>
      </w:r>
      <w:r>
        <w:rPr>
          <w:rFonts w:hint="eastAsia" w:ascii="仿宋" w:hAnsi="仿宋" w:eastAsia="仿宋" w:cs="仿宋"/>
          <w:kern w:val="0"/>
          <w:sz w:val="28"/>
          <w:szCs w:val="28"/>
        </w:rPr>
        <w:t>期满后，乙方仍提供维护服务，收取成本费</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以中标价格为准</w:t>
      </w:r>
      <w:r>
        <w:rPr>
          <w:rFonts w:hint="eastAsia" w:ascii="仿宋" w:hAnsi="仿宋" w:eastAsia="仿宋" w:cs="仿宋"/>
          <w:kern w:val="0"/>
          <w:sz w:val="28"/>
          <w:szCs w:val="28"/>
        </w:rPr>
        <w:t>。</w:t>
      </w:r>
    </w:p>
    <w:p>
      <w:pPr>
        <w:widowControl/>
        <w:numPr>
          <w:ilvl w:val="0"/>
          <w:numId w:val="36"/>
        </w:numPr>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合作期内中标方需保证设备正常、稳定运行，满足学校正常教学、办公要求。有专人提供无线网控制器管理和全区无线漫游认证，有专人提供上网行为管理系统，网络线路变更，网络设备配置变更及日常管理，否则</w:t>
      </w:r>
      <w:r>
        <w:rPr>
          <w:rFonts w:hint="eastAsia" w:ascii="仿宋" w:hAnsi="仿宋" w:eastAsia="仿宋" w:cs="仿宋"/>
          <w:kern w:val="0"/>
          <w:sz w:val="28"/>
          <w:szCs w:val="28"/>
          <w:lang w:val="en-US" w:eastAsia="zh-CN"/>
        </w:rPr>
        <w:t>以考核办法</w:t>
      </w:r>
      <w:r>
        <w:rPr>
          <w:rFonts w:hint="eastAsia" w:ascii="仿宋" w:hAnsi="仿宋" w:eastAsia="仿宋" w:cs="仿宋"/>
          <w:kern w:val="0"/>
          <w:sz w:val="28"/>
          <w:szCs w:val="28"/>
        </w:rPr>
        <w:t>扣分。</w:t>
      </w:r>
    </w:p>
    <w:p>
      <w:pPr>
        <w:widowControl/>
        <w:numPr>
          <w:ilvl w:val="0"/>
          <w:numId w:val="36"/>
        </w:numPr>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sz w:val="28"/>
          <w:szCs w:val="28"/>
        </w:rPr>
        <w:t>服务时间：开通服务热线，有专线专人负责，7*24实时响应,计量周期为学年，非中标方原因造成的故障不在计量范围之内，如线路切割，区域范围停电等不可抗原因。</w:t>
      </w:r>
    </w:p>
    <w:p>
      <w:pPr>
        <w:widowControl/>
        <w:numPr>
          <w:ilvl w:val="0"/>
          <w:numId w:val="36"/>
        </w:numPr>
        <w:overflowPunct w:val="0"/>
        <w:autoSpaceDE w:val="0"/>
        <w:autoSpaceDN w:val="0"/>
        <w:adjustRightInd w:val="0"/>
        <w:snapToGrid w:val="0"/>
        <w:spacing w:beforeLines="50"/>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服务人员：专职人员</w:t>
      </w:r>
      <w:r>
        <w:rPr>
          <w:rFonts w:hint="eastAsia" w:ascii="仿宋" w:hAnsi="仿宋" w:eastAsia="仿宋" w:cs="仿宋"/>
          <w:sz w:val="28"/>
          <w:szCs w:val="28"/>
          <w:lang w:val="en-US" w:eastAsia="zh-CN"/>
        </w:rPr>
        <w:t>两</w:t>
      </w:r>
      <w:r>
        <w:rPr>
          <w:rFonts w:hint="eastAsia" w:ascii="仿宋" w:hAnsi="仿宋" w:eastAsia="仿宋" w:cs="仿宋"/>
          <w:sz w:val="28"/>
          <w:szCs w:val="28"/>
        </w:rPr>
        <w:t>名，驻衢江区教育局办公。如专职人员发生变动须经衢江区教育局同意，否则将</w:t>
      </w:r>
      <w:r>
        <w:rPr>
          <w:rFonts w:hint="eastAsia" w:ascii="仿宋" w:hAnsi="仿宋" w:eastAsia="仿宋" w:cs="仿宋"/>
          <w:sz w:val="28"/>
          <w:szCs w:val="28"/>
          <w:lang w:val="en-US" w:eastAsia="zh-CN"/>
        </w:rPr>
        <w:t>以考核办法</w:t>
      </w:r>
      <w:r>
        <w:rPr>
          <w:rFonts w:hint="eastAsia" w:ascii="仿宋" w:hAnsi="仿宋" w:eastAsia="仿宋" w:cs="仿宋"/>
          <w:sz w:val="28"/>
          <w:szCs w:val="28"/>
        </w:rPr>
        <w:t>扣分。工资及各项待遇由中标方发放，衢江区教育局负责考核。</w:t>
      </w:r>
    </w:p>
    <w:p>
      <w:pPr>
        <w:widowControl/>
        <w:numPr>
          <w:ilvl w:val="0"/>
          <w:numId w:val="36"/>
        </w:numPr>
        <w:overflowPunct w:val="0"/>
        <w:autoSpaceDE w:val="0"/>
        <w:autoSpaceDN w:val="0"/>
        <w:adjustRightInd w:val="0"/>
        <w:snapToGrid w:val="0"/>
        <w:spacing w:beforeLines="50"/>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服务机构：若中标供应商自中标通知书发出之日起三个月内未在衢江区设立分公司（支局）或售后服务网点，则扣除服务考核分5分。</w:t>
      </w:r>
    </w:p>
    <w:p>
      <w:pPr>
        <w:widowControl/>
        <w:numPr>
          <w:ilvl w:val="0"/>
          <w:numId w:val="36"/>
        </w:numPr>
        <w:overflowPunct w:val="0"/>
        <w:autoSpaceDE w:val="0"/>
        <w:autoSpaceDN w:val="0"/>
        <w:adjustRightInd w:val="0"/>
        <w:snapToGrid w:val="0"/>
        <w:spacing w:beforeLines="50"/>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在质保期内，乙方应对货物出现的质量及安全问题负责处理解决并承担一切费用。</w:t>
      </w:r>
    </w:p>
    <w:p>
      <w:pPr>
        <w:numPr>
          <w:ilvl w:val="0"/>
          <w:numId w:val="37"/>
        </w:numPr>
        <w:spacing w:beforeLines="50"/>
        <w:ind w:firstLine="562" w:firstLineChars="200"/>
        <w:rPr>
          <w:rFonts w:ascii="仿宋" w:hAnsi="仿宋" w:eastAsia="仿宋" w:cs="仿宋"/>
          <w:b/>
          <w:sz w:val="28"/>
          <w:szCs w:val="28"/>
        </w:rPr>
      </w:pPr>
      <w:r>
        <w:rPr>
          <w:rFonts w:hint="eastAsia" w:ascii="仿宋" w:hAnsi="仿宋" w:eastAsia="仿宋" w:cs="仿宋"/>
          <w:b/>
          <w:sz w:val="28"/>
          <w:szCs w:val="28"/>
        </w:rPr>
        <w:t xml:space="preserve"> 验收方及验收标准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验收文件包括学校用户项目设计方案，实施方案和项目合同；学校用户项目资料，应包括系统拓扑、设备安装表、施工走线图、设备清单及测试报告。</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验收内容</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1.安装工艺检查。包括AP设备安装检查、天线安装检查、有线设备安装检查、核心设备板卡安装检查、电缆槽道安装检查、线缆布放检查、有源和无源设备安装检查、各类标签标识检查等。</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2.设备测试。包括AP配置检查，信号覆盖测试，用户认证测试，AP漫游，并发测试，各交换机设备，智慧黑板、教学电脑等本项目中包括的各项设备。</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3.业务检查。包括AP覆盖用户情况，热点信息检查，热点覆盖区域的总体网络情况，手机终端使用情况，各平台软件的运行情况。</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.乙方必须在2019年XX月XX日前开通网络信道（含英特网</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电子政务外网、省教育专网</w:t>
      </w:r>
      <w:r>
        <w:rPr>
          <w:rFonts w:hint="eastAsia" w:ascii="仿宋" w:hAnsi="仿宋" w:eastAsia="仿宋" w:cs="仿宋"/>
          <w:kern w:val="0"/>
          <w:sz w:val="28"/>
          <w:szCs w:val="28"/>
        </w:rPr>
        <w:t>）并投入使用。</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b/>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.验收单应有学校相关人员签字及学校公章。</w:t>
      </w:r>
    </w:p>
    <w:p>
      <w:pPr>
        <w:spacing w:beforeLines="50"/>
        <w:ind w:firstLine="562" w:firstLineChars="200"/>
        <w:rPr>
          <w:rFonts w:ascii="宋体" w:hAnsi="宋体" w:cs="宋体"/>
          <w:b/>
          <w:szCs w:val="21"/>
        </w:rPr>
      </w:pPr>
      <w:r>
        <w:rPr>
          <w:rFonts w:hint="eastAsia" w:ascii="仿宋" w:hAnsi="仿宋" w:eastAsia="仿宋" w:cs="仿宋"/>
          <w:b/>
          <w:sz w:val="28"/>
          <w:szCs w:val="28"/>
        </w:rPr>
        <w:t>第五条  服务受益方评价标准及方法</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本项目以百分制形式对服务质量进行考核：</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（一）考核具体到每项具体建设内容的故障解决时间，如有线（骨干网、学校网络）、无线、多媒体教室、电脑、监控、访客系统、后勤管理系统等，各设备应提供备件。最终结算费用以考核分为依据。</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（二）考核办法及计分办法：</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基本服务费：按合同约定每学期应支付服务费的70%作为服务提供商的基本服务费，除服务提供商未按项目建设内容及合同约定提供相关产品及服务外，应全额支付此项费用；其他情况双方协商处理。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服务考核费：按合同约定每学期应支付服务费的30%作为服务提供商的服务考核费，其考核内容为日常运维的服务考核，最终支付金额为=每学期服务考核费*最终得分% ，相关考核内容及计分办法如下：</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（1）网络</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0分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 1 \* GB3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①</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骨干层及以上设备故障实行7*24小时零时间响应，如发生断网故障每次扣5分，</w:t>
      </w:r>
      <w:r>
        <w:rPr>
          <w:rFonts w:hint="eastAsia" w:ascii="仿宋" w:hAnsi="仿宋" w:eastAsia="仿宋" w:cs="仿宋"/>
          <w:kern w:val="0"/>
          <w:sz w:val="28"/>
          <w:szCs w:val="28"/>
          <w:lang w:val="en-GB"/>
        </w:rPr>
        <w:t>如数据丢失</w:t>
      </w:r>
      <w:r>
        <w:rPr>
          <w:rFonts w:hint="eastAsia" w:ascii="仿宋" w:hAnsi="仿宋" w:eastAsia="仿宋" w:cs="仿宋"/>
          <w:kern w:val="0"/>
          <w:sz w:val="28"/>
          <w:szCs w:val="28"/>
        </w:rPr>
        <w:t>故障造成严重后果扣20分，不可抗拒因素除外.如对于骨干网割接工作，需提前24小时进行相关工作通报，如未通报造成业务中断，扣5分。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 2 \* GB3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②</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校园内网接入层设备含学校核心交换机故障故障解决时间超过2小时（城区）/4小时（农村）扣1分，超过4小时（城区）/8小时（农村）扣2分；超过24小时，扣3分；每超24小时扣3分。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 3 \* GB3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rPr>
        <w:t>③</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接入点设备含无线AP故障</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故障解决时间超过2小时（城区）/4小时（农村）扣1分，超过4小时（城区）/8小时（农村）扣0.2分；超过24小时，扣0.3分；超过24小时没有解决扣0.5分。每超24小时扣0.5分。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设备故障率，根据AP、交换机故障率（每学年度）情况进行相应考核（算法：故障率=故障AP数/总AP数）,故障率≥3%扣1分，故障率≥5%扣2分，故障率≥10%扣3分。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 xml:space="preserve">）监控 </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每个视频点，故障解决时间超过2小时（城区）/4小时（农村）扣0.1分，超过4小时（城区）/8小时（农村）扣0.2分；超过24小时，扣0.3分；每超24小时扣0.3分。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）其他设备</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故障解决时间2小时（城区）/4小时（农村）扣0.1分；超过2小时（城区）/4小时（农村）扣0.2分，超过4小时（城区）/8小时（农村）扣0.3分；超过24小时，扣0.3分；；每超24小时扣0.3分。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 xml:space="preserve">）学校满意度 </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 xml:space="preserve">分 </w:t>
      </w:r>
    </w:p>
    <w:p>
      <w:pPr>
        <w:spacing w:beforeLines="50"/>
        <w:ind w:left="420"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根据派驻人员日常工作服务态度、技能、工作完成情况酌情打分，根据服务商日常提供的网络质量、连通性、故障修改及时率等方面酌情打分，学校对服务提供满意度的评分表。</w:t>
      </w:r>
    </w:p>
    <w:p>
      <w:pPr>
        <w:widowControl/>
        <w:numPr>
          <w:ilvl w:val="0"/>
          <w:numId w:val="38"/>
        </w:numPr>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巡检工作</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分</w:t>
      </w:r>
    </w:p>
    <w:p>
      <w:pPr>
        <w:spacing w:beforeLines="50"/>
        <w:ind w:left="420"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巡检服务：积极主动发现系统或是项目中存在的风险，制定有效方案并优化，不能每月提供巡检服务并提供报表，每少巡检一次扣罚1分。</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p>
    <w:p>
      <w:pPr>
        <w:spacing w:beforeLines="50"/>
        <w:ind w:firstLine="562" w:firstLineChars="200"/>
        <w:rPr>
          <w:rFonts w:ascii="仿宋" w:hAnsi="仿宋" w:eastAsia="仿宋" w:cs="仿宋"/>
          <w:b/>
          <w:sz w:val="28"/>
          <w:szCs w:val="28"/>
        </w:rPr>
      </w:pPr>
      <w:r>
        <w:rPr>
          <w:rFonts w:hint="eastAsia" w:ascii="仿宋" w:hAnsi="仿宋" w:eastAsia="仿宋" w:cs="仿宋"/>
          <w:b/>
          <w:sz w:val="28"/>
          <w:szCs w:val="28"/>
        </w:rPr>
        <w:t>第六条  双方权利和义务</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1、甲方</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（1） 按合同规定向乙方支付合同价款。</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（2） 组织对服务（包括所有设备）的验收。</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2、乙方</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（1） 按合同要求提供服务（包括所有设备）。</w:t>
      </w:r>
    </w:p>
    <w:p>
      <w:pPr>
        <w:widowControl/>
        <w:overflowPunct w:val="0"/>
        <w:autoSpaceDE w:val="0"/>
        <w:autoSpaceDN w:val="0"/>
        <w:adjustRightInd w:val="0"/>
        <w:snapToGrid w:val="0"/>
        <w:spacing w:beforeLines="50"/>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（2） 对所提供的服务（包括所有设备）质量问题无条件负责处理。</w:t>
      </w:r>
    </w:p>
    <w:p>
      <w:pPr>
        <w:tabs>
          <w:tab w:val="left" w:pos="630"/>
        </w:tabs>
        <w:spacing w:beforeLines="50"/>
        <w:ind w:firstLine="562" w:firstLineChars="200"/>
        <w:rPr>
          <w:rFonts w:ascii="宋体" w:hAnsi="宋体" w:cs="宋体"/>
          <w:kern w:val="0"/>
          <w:szCs w:val="21"/>
        </w:rPr>
      </w:pPr>
      <w:r>
        <w:rPr>
          <w:rFonts w:hint="eastAsia" w:ascii="仿宋" w:hAnsi="仿宋" w:eastAsia="仿宋" w:cs="仿宋"/>
          <w:b/>
          <w:sz w:val="28"/>
          <w:szCs w:val="28"/>
        </w:rPr>
        <w:t>第七条  付款方式</w:t>
      </w:r>
    </w:p>
    <w:p>
      <w:pPr>
        <w:spacing w:beforeLines="50"/>
        <w:ind w:firstLine="840" w:firstLineChars="300"/>
        <w:rPr>
          <w:rFonts w:ascii="仿宋" w:hAnsi="仿宋" w:eastAsia="仿宋" w:cs="仿宋"/>
          <w:kern w:val="0"/>
          <w:sz w:val="28"/>
          <w:szCs w:val="28"/>
        </w:rPr>
      </w:pPr>
      <w:r>
        <w:rPr>
          <w:rFonts w:hint="eastAsia" w:ascii="仿宋" w:hAnsi="仿宋" w:eastAsia="仿宋" w:cs="仿宋"/>
          <w:kern w:val="0"/>
          <w:sz w:val="28"/>
          <w:szCs w:val="28"/>
        </w:rPr>
        <w:t>分期支付：</w:t>
      </w:r>
    </w:p>
    <w:p>
      <w:pPr>
        <w:spacing w:beforeLines="50"/>
        <w:ind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按学年支付服务费（</w:t>
      </w:r>
      <w:r>
        <w:rPr>
          <w:rFonts w:hint="eastAsia" w:ascii="仿宋" w:hAnsi="仿宋" w:eastAsia="仿宋" w:cs="仿宋"/>
          <w:kern w:val="0"/>
          <w:sz w:val="28"/>
          <w:szCs w:val="28"/>
          <w:lang w:val="en-US" w:eastAsia="zh-CN"/>
        </w:rPr>
        <w:t>甲方收到发票后一个月内</w:t>
      </w:r>
      <w:r>
        <w:rPr>
          <w:rFonts w:hint="eastAsia" w:ascii="仿宋" w:hAnsi="仿宋" w:eastAsia="仿宋" w:cs="仿宋"/>
          <w:sz w:val="28"/>
          <w:szCs w:val="28"/>
        </w:rPr>
        <w:t>支付费用</w:t>
      </w:r>
      <w:r>
        <w:rPr>
          <w:rFonts w:hint="eastAsia" w:ascii="仿宋" w:hAnsi="仿宋" w:eastAsia="仿宋" w:cs="仿宋"/>
          <w:sz w:val="28"/>
          <w:szCs w:val="28"/>
          <w:lang w:eastAsia="zh-CN"/>
        </w:rPr>
        <w:t>，</w:t>
      </w:r>
      <w:r>
        <w:rPr>
          <w:rFonts w:hint="eastAsia" w:ascii="仿宋" w:hAnsi="仿宋" w:eastAsia="仿宋" w:cs="仿宋"/>
          <w:sz w:val="28"/>
          <w:szCs w:val="28"/>
        </w:rPr>
        <w:t>具体见付款明细</w:t>
      </w:r>
      <w:r>
        <w:rPr>
          <w:rFonts w:hint="eastAsia" w:ascii="仿宋" w:hAnsi="仿宋" w:eastAsia="仿宋" w:cs="仿宋"/>
          <w:kern w:val="0"/>
          <w:sz w:val="28"/>
          <w:szCs w:val="28"/>
        </w:rPr>
        <w:t>）：</w:t>
      </w:r>
    </w:p>
    <w:p>
      <w:pPr>
        <w:pStyle w:val="294"/>
        <w:spacing w:before="96" w:after="96" w:line="240"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本项目以购买服务的方式按五学年（3学年+2学年）分期付款，每学年末支付费用约为总款项的五分之一。</w:t>
      </w:r>
    </w:p>
    <w:p>
      <w:pPr>
        <w:pStyle w:val="294"/>
        <w:spacing w:before="96" w:after="96" w:line="240"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在验收通过的情况下2019年下半年支付中标价格的五分之一，后续四年按照考核要求发放：</w:t>
      </w:r>
    </w:p>
    <w:p>
      <w:pPr>
        <w:pStyle w:val="294"/>
        <w:spacing w:before="96" w:after="96" w:line="240"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①基本服务费：按合同约定每学年应支付服务费的70%作为服务提供商的基本服务费，除服务提供商未按项目建设内容及合同约定提供相关产品及服务外，应全额支付此项费用；其他情况双方协商处理。</w:t>
      </w:r>
    </w:p>
    <w:p>
      <w:pPr>
        <w:pStyle w:val="294"/>
        <w:spacing w:before="96" w:after="96" w:line="240" w:lineRule="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②服务考核费：按合同约定每学年应支付服务费的30%作为服务提供商的服务考核费，其考核内容为日常运维的服务考核，最终支付金额为=每学期服务考核费*最终得分% </w:t>
      </w:r>
    </w:p>
    <w:p>
      <w:pPr>
        <w:spacing w:beforeLines="40" w:afterLines="40"/>
        <w:ind w:firstLine="42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每学年应支付服务费=基本服务费+服务考核费</w:t>
      </w:r>
    </w:p>
    <w:p>
      <w:pPr>
        <w:spacing w:beforeLines="40" w:afterLines="40"/>
        <w:ind w:firstLine="420"/>
        <w:rPr>
          <w:rFonts w:ascii="仿宋" w:hAnsi="仿宋" w:eastAsia="仿宋" w:cs="仿宋"/>
          <w:sz w:val="28"/>
          <w:szCs w:val="28"/>
        </w:rPr>
      </w:pPr>
      <w:r>
        <w:rPr>
          <w:rFonts w:hint="eastAsia" w:ascii="仿宋" w:hAnsi="仿宋" w:eastAsia="仿宋" w:cs="仿宋"/>
          <w:sz w:val="28"/>
          <w:szCs w:val="28"/>
        </w:rPr>
        <w:t>如出现重大服务质量问题，衢江区教育局将</w:t>
      </w:r>
      <w:r>
        <w:rPr>
          <w:rFonts w:hint="eastAsia" w:ascii="仿宋" w:hAnsi="仿宋" w:eastAsia="仿宋" w:cs="仿宋"/>
          <w:sz w:val="28"/>
          <w:szCs w:val="28"/>
          <w:lang w:val="en-US" w:eastAsia="zh-CN"/>
        </w:rPr>
        <w:t>以考核办法</w:t>
      </w:r>
      <w:r>
        <w:rPr>
          <w:rFonts w:hint="eastAsia" w:ascii="仿宋" w:hAnsi="仿宋" w:eastAsia="仿宋" w:cs="仿宋"/>
          <w:sz w:val="28"/>
          <w:szCs w:val="28"/>
        </w:rPr>
        <w:t>扣除应付款或减少款项的支付。网络信道费用含在各学校建设项目系统集成费用中，合作期内不再单独收取信道租用费用。</w:t>
      </w:r>
    </w:p>
    <w:p>
      <w:pPr>
        <w:widowControl/>
        <w:overflowPunct w:val="0"/>
        <w:autoSpaceDE w:val="0"/>
        <w:autoSpaceDN w:val="0"/>
        <w:adjustRightInd w:val="0"/>
        <w:snapToGrid w:val="0"/>
        <w:spacing w:beforeLines="50"/>
        <w:ind w:firstLine="562" w:firstLineChars="200"/>
        <w:jc w:val="left"/>
        <w:textAlignment w:val="baseline"/>
        <w:rPr>
          <w:rFonts w:ascii="宋体" w:hAnsi="宋体" w:cs="宋体"/>
          <w:b/>
          <w:bCs/>
          <w:kern w:val="0"/>
          <w:szCs w:val="21"/>
        </w:rPr>
      </w:pPr>
      <w:r>
        <w:rPr>
          <w:rFonts w:hint="eastAsia" w:ascii="仿宋" w:hAnsi="仿宋" w:eastAsia="仿宋" w:cs="仿宋"/>
          <w:b/>
          <w:sz w:val="28"/>
          <w:szCs w:val="28"/>
        </w:rPr>
        <w:t>第八条</w:t>
      </w:r>
      <w:r>
        <w:rPr>
          <w:rFonts w:hint="eastAsia" w:ascii="仿宋" w:hAnsi="仿宋" w:eastAsia="仿宋" w:cs="仿宋"/>
          <w:b/>
          <w:bCs/>
          <w:kern w:val="0"/>
          <w:sz w:val="28"/>
          <w:szCs w:val="28"/>
        </w:rPr>
        <w:t>履约保证金</w:t>
      </w:r>
    </w:p>
    <w:p>
      <w:pPr>
        <w:snapToGrid w:val="0"/>
        <w:spacing w:beforeLines="50"/>
        <w:ind w:firstLine="554" w:firstLineChars="198"/>
        <w:rPr>
          <w:rFonts w:ascii="仿宋" w:hAnsi="仿宋" w:eastAsia="仿宋" w:cs="仿宋"/>
          <w:kern w:val="0"/>
          <w:sz w:val="28"/>
          <w:szCs w:val="28"/>
        </w:rPr>
      </w:pPr>
      <w:r>
        <w:rPr>
          <w:rFonts w:hint="eastAsia" w:ascii="仿宋" w:hAnsi="仿宋" w:eastAsia="仿宋" w:cs="仿宋"/>
          <w:kern w:val="0"/>
          <w:sz w:val="28"/>
          <w:szCs w:val="28"/>
        </w:rPr>
        <w:t>履约保证金：按合同总价5%计取，</w:t>
      </w:r>
      <w:r>
        <w:rPr>
          <w:rFonts w:hint="eastAsia" w:ascii="仿宋" w:hAnsi="仿宋" w:eastAsia="仿宋" w:cs="仿宋"/>
          <w:kern w:val="0"/>
          <w:sz w:val="28"/>
          <w:szCs w:val="28"/>
          <w:lang w:val="en-US" w:eastAsia="zh-CN"/>
        </w:rPr>
        <w:t>乙方应在中标通知书发出5个工作日内交纳给</w:t>
      </w:r>
      <w:r>
        <w:rPr>
          <w:rFonts w:hint="eastAsia" w:ascii="仿宋" w:hAnsi="仿宋" w:eastAsia="仿宋" w:cs="仿宋"/>
          <w:kern w:val="0"/>
          <w:sz w:val="28"/>
          <w:szCs w:val="28"/>
        </w:rPr>
        <w:t>甲方。服务期结束后退付履约保证金，</w:t>
      </w:r>
      <w:r>
        <w:rPr>
          <w:rFonts w:hint="eastAsia" w:ascii="仿宋" w:hAnsi="仿宋" w:eastAsia="仿宋" w:cs="仿宋"/>
          <w:kern w:val="0"/>
          <w:sz w:val="28"/>
          <w:szCs w:val="28"/>
          <w:lang w:val="en-US" w:eastAsia="zh-CN"/>
        </w:rPr>
        <w:t>在乙方无违预条件下，</w:t>
      </w:r>
      <w:r>
        <w:rPr>
          <w:rFonts w:hint="eastAsia" w:ascii="仿宋" w:hAnsi="仿宋" w:eastAsia="仿宋" w:cs="仿宋"/>
          <w:kern w:val="0"/>
          <w:sz w:val="28"/>
          <w:szCs w:val="28"/>
        </w:rPr>
        <w:t>由甲方在到期后的5个工作日内无息退还。</w:t>
      </w:r>
    </w:p>
    <w:p>
      <w:pPr>
        <w:numPr>
          <w:ilvl w:val="0"/>
          <w:numId w:val="39"/>
        </w:numPr>
        <w:tabs>
          <w:tab w:val="left" w:pos="900"/>
        </w:tabs>
        <w:spacing w:beforeLines="50"/>
        <w:ind w:firstLine="562" w:firstLineChars="200"/>
        <w:rPr>
          <w:rFonts w:ascii="仿宋" w:hAnsi="仿宋" w:eastAsia="仿宋" w:cs="仿宋"/>
          <w:b/>
          <w:sz w:val="28"/>
          <w:szCs w:val="28"/>
        </w:rPr>
      </w:pPr>
      <w:r>
        <w:rPr>
          <w:rFonts w:hint="eastAsia" w:ascii="仿宋" w:hAnsi="仿宋" w:eastAsia="仿宋" w:cs="仿宋"/>
          <w:b/>
          <w:sz w:val="28"/>
          <w:szCs w:val="28"/>
        </w:rPr>
        <w:t xml:space="preserve"> 违约责任</w:t>
      </w:r>
    </w:p>
    <w:p>
      <w:pPr>
        <w:tabs>
          <w:tab w:val="left" w:pos="900"/>
        </w:tabs>
        <w:spacing w:beforeLines="50"/>
        <w:rPr>
          <w:rFonts w:ascii="仿宋" w:hAnsi="仿宋" w:eastAsia="仿宋" w:cs="仿宋"/>
          <w:sz w:val="28"/>
          <w:szCs w:val="28"/>
        </w:rPr>
      </w:pPr>
      <w:r>
        <w:rPr>
          <w:rFonts w:hint="eastAsia" w:ascii="仿宋" w:hAnsi="仿宋" w:eastAsia="仿宋" w:cs="仿宋"/>
          <w:sz w:val="28"/>
          <w:szCs w:val="28"/>
        </w:rPr>
        <w:t>1、甲方在付款前</w:t>
      </w:r>
      <w:r>
        <w:rPr>
          <w:rFonts w:hint="eastAsia" w:ascii="仿宋" w:hAnsi="仿宋" w:eastAsia="仿宋" w:cs="仿宋"/>
          <w:sz w:val="28"/>
          <w:szCs w:val="28"/>
          <w:lang w:val="en-US" w:eastAsia="zh-CN"/>
        </w:rPr>
        <w:t>对乙方</w:t>
      </w:r>
      <w:r>
        <w:rPr>
          <w:rFonts w:hint="eastAsia" w:ascii="仿宋" w:hAnsi="仿宋" w:eastAsia="仿宋" w:cs="仿宋"/>
          <w:sz w:val="28"/>
          <w:szCs w:val="28"/>
        </w:rPr>
        <w:t>进行第一学期末和第二学期末两次考核，若前六个学期中有一期考核分未达到60分，则终止合同，合同终止后，乙方无条件将设备、数据、资料移交给甲方。若</w:t>
      </w:r>
      <w:r>
        <w:rPr>
          <w:rFonts w:hint="eastAsia" w:ascii="仿宋" w:hAnsi="仿宋" w:eastAsia="仿宋" w:cs="仿宋"/>
          <w:sz w:val="28"/>
          <w:szCs w:val="28"/>
          <w:lang w:val="en-US" w:eastAsia="zh-CN"/>
        </w:rPr>
        <w:t>乙</w:t>
      </w:r>
      <w:r>
        <w:rPr>
          <w:rFonts w:hint="eastAsia" w:ascii="仿宋" w:hAnsi="仿宋" w:eastAsia="仿宋" w:cs="仿宋"/>
          <w:sz w:val="28"/>
          <w:szCs w:val="28"/>
        </w:rPr>
        <w:t>方该学期服务考核分低于80分，每少一分在下一学期扣除5%的基本服务费</w:t>
      </w:r>
      <w:r>
        <w:rPr>
          <w:rFonts w:hint="eastAsia" w:ascii="仿宋" w:hAnsi="仿宋" w:eastAsia="仿宋" w:cs="仿宋"/>
          <w:sz w:val="28"/>
          <w:szCs w:val="28"/>
          <w:lang w:val="en-US" w:eastAsia="zh-CN"/>
        </w:rPr>
        <w:t>并扣除履约保证金</w:t>
      </w:r>
      <w:r>
        <w:rPr>
          <w:rFonts w:hint="eastAsia" w:ascii="仿宋" w:hAnsi="仿宋" w:eastAsia="仿宋" w:cs="仿宋"/>
          <w:sz w:val="28"/>
          <w:szCs w:val="28"/>
        </w:rPr>
        <w:t>。</w:t>
      </w:r>
    </w:p>
    <w:p>
      <w:pPr>
        <w:tabs>
          <w:tab w:val="left" w:pos="900"/>
        </w:tabs>
        <w:spacing w:beforeLines="50"/>
        <w:ind w:firstLine="560" w:firstLineChars="200"/>
        <w:rPr>
          <w:rFonts w:ascii="仿宋" w:hAnsi="仿宋" w:eastAsia="仿宋" w:cs="仿宋"/>
          <w:sz w:val="28"/>
          <w:szCs w:val="28"/>
        </w:rPr>
      </w:pPr>
      <w:r>
        <w:rPr>
          <w:rFonts w:hint="eastAsia" w:ascii="仿宋" w:hAnsi="仿宋" w:eastAsia="仿宋" w:cs="仿宋"/>
          <w:sz w:val="28"/>
          <w:szCs w:val="28"/>
        </w:rPr>
        <w:t>2、乙方提供的服务不符合采购文件、报价文件或本合同规定的，甲方有权拒收，并且乙方须向甲方支付本合同总价</w:t>
      </w:r>
      <w:r>
        <w:rPr>
          <w:rFonts w:hint="eastAsia" w:ascii="仿宋" w:hAnsi="仿宋" w:eastAsia="仿宋" w:cs="仿宋"/>
          <w:kern w:val="0"/>
          <w:sz w:val="28"/>
          <w:szCs w:val="28"/>
          <w:u w:val="single"/>
        </w:rPr>
        <w:t>5</w:t>
      </w:r>
      <w:r>
        <w:rPr>
          <w:rFonts w:hint="eastAsia" w:ascii="仿宋" w:hAnsi="仿宋" w:eastAsia="仿宋" w:cs="仿宋"/>
          <w:kern w:val="0"/>
          <w:sz w:val="28"/>
          <w:szCs w:val="28"/>
        </w:rPr>
        <w:t>%</w:t>
      </w:r>
      <w:r>
        <w:rPr>
          <w:rFonts w:hint="eastAsia" w:ascii="仿宋" w:hAnsi="仿宋" w:eastAsia="仿宋" w:cs="仿宋"/>
          <w:sz w:val="28"/>
          <w:szCs w:val="28"/>
        </w:rPr>
        <w:t>的违约金</w:t>
      </w:r>
      <w:r>
        <w:rPr>
          <w:rFonts w:hint="eastAsia" w:ascii="仿宋" w:hAnsi="仿宋" w:eastAsia="仿宋" w:cs="仿宋"/>
          <w:sz w:val="28"/>
          <w:szCs w:val="28"/>
          <w:lang w:val="en-US" w:eastAsia="zh-CN"/>
        </w:rPr>
        <w:t>并扣除履约保证金</w:t>
      </w:r>
      <w:r>
        <w:rPr>
          <w:rFonts w:hint="eastAsia" w:ascii="仿宋" w:hAnsi="仿宋" w:eastAsia="仿宋" w:cs="仿宋"/>
          <w:sz w:val="28"/>
          <w:szCs w:val="28"/>
        </w:rPr>
        <w:t>。</w:t>
      </w:r>
    </w:p>
    <w:p>
      <w:pPr>
        <w:tabs>
          <w:tab w:val="left" w:pos="720"/>
          <w:tab w:val="left" w:pos="900"/>
        </w:tabs>
        <w:spacing w:beforeLines="50"/>
        <w:ind w:right="21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3、乙方未能按本合同规定的服务时间提供服务，从逾期之日起每日按本合同总价</w:t>
      </w:r>
      <w:r>
        <w:rPr>
          <w:rFonts w:hint="eastAsia" w:ascii="仿宋" w:hAnsi="仿宋" w:eastAsia="仿宋" w:cs="仿宋"/>
          <w:kern w:val="0"/>
          <w:sz w:val="28"/>
          <w:szCs w:val="28"/>
          <w:u w:val="single"/>
        </w:rPr>
        <w:t xml:space="preserve"> 1 </w:t>
      </w:r>
      <w:r>
        <w:rPr>
          <w:rFonts w:hint="eastAsia" w:ascii="仿宋" w:hAnsi="仿宋" w:eastAsia="仿宋" w:cs="仿宋"/>
          <w:kern w:val="0"/>
          <w:sz w:val="28"/>
          <w:szCs w:val="28"/>
        </w:rPr>
        <w:t>%</w:t>
      </w:r>
      <w:r>
        <w:rPr>
          <w:rFonts w:hint="eastAsia" w:ascii="仿宋" w:hAnsi="仿宋" w:eastAsia="仿宋" w:cs="仿宋"/>
          <w:sz w:val="28"/>
          <w:szCs w:val="28"/>
        </w:rPr>
        <w:t>的数额向甲方支付违约金；逾期半个月以上的，甲方有权终止合同，由此造成的甲方经济损失由乙方承担。</w:t>
      </w:r>
      <w:r>
        <w:rPr>
          <w:rFonts w:hint="eastAsia" w:ascii="仿宋" w:hAnsi="仿宋" w:eastAsia="仿宋" w:cs="仿宋"/>
          <w:sz w:val="28"/>
          <w:szCs w:val="28"/>
          <w:lang w:val="en-US" w:eastAsia="zh-CN"/>
        </w:rPr>
        <w:t>该经济损失包含但不限于甲方为实现补偿支付的律师费等费用。</w:t>
      </w:r>
    </w:p>
    <w:p>
      <w:pPr>
        <w:tabs>
          <w:tab w:val="left" w:pos="720"/>
          <w:tab w:val="left" w:pos="900"/>
        </w:tabs>
        <w:spacing w:beforeLines="50"/>
        <w:ind w:right="210" w:firstLine="560" w:firstLineChars="200"/>
        <w:rPr>
          <w:rFonts w:ascii="仿宋" w:hAnsi="仿宋" w:eastAsia="仿宋" w:cs="仿宋"/>
          <w:sz w:val="28"/>
          <w:szCs w:val="28"/>
        </w:rPr>
      </w:pPr>
      <w:r>
        <w:rPr>
          <w:rFonts w:hint="eastAsia" w:ascii="仿宋" w:hAnsi="仿宋" w:eastAsia="仿宋" w:cs="仿宋"/>
          <w:sz w:val="28"/>
          <w:szCs w:val="28"/>
        </w:rPr>
        <w:t>4、乙方不允许转包该项目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如乙方违规转包，甲方有权终止合同，并收取</w:t>
      </w:r>
      <w:r>
        <w:rPr>
          <w:rFonts w:hint="eastAsia" w:ascii="仿宋" w:hAnsi="仿宋" w:eastAsia="仿宋" w:cs="仿宋"/>
          <w:sz w:val="28"/>
          <w:szCs w:val="28"/>
        </w:rPr>
        <w:t>本合同总价</w:t>
      </w:r>
      <w:r>
        <w:rPr>
          <w:rFonts w:hint="eastAsia" w:ascii="仿宋" w:hAnsi="仿宋" w:eastAsia="仿宋" w:cs="仿宋"/>
          <w:kern w:val="0"/>
          <w:sz w:val="28"/>
          <w:szCs w:val="28"/>
          <w:u w:val="single"/>
        </w:rPr>
        <w:t>5</w:t>
      </w:r>
      <w:r>
        <w:rPr>
          <w:rFonts w:hint="eastAsia" w:ascii="仿宋" w:hAnsi="仿宋" w:eastAsia="仿宋" w:cs="仿宋"/>
          <w:kern w:val="0"/>
          <w:sz w:val="28"/>
          <w:szCs w:val="28"/>
        </w:rPr>
        <w:t>%</w:t>
      </w:r>
      <w:r>
        <w:rPr>
          <w:rFonts w:hint="eastAsia" w:ascii="仿宋" w:hAnsi="仿宋" w:eastAsia="仿宋" w:cs="仿宋"/>
          <w:sz w:val="28"/>
          <w:szCs w:val="28"/>
        </w:rPr>
        <w:t>的违约金。</w:t>
      </w:r>
    </w:p>
    <w:p>
      <w:pPr>
        <w:spacing w:beforeLines="50"/>
        <w:ind w:firstLine="560" w:firstLineChars="200"/>
        <w:rPr>
          <w:rFonts w:ascii="仿宋" w:hAnsi="仿宋" w:eastAsia="仿宋" w:cs="仿宋"/>
          <w:bCs/>
          <w:sz w:val="28"/>
          <w:szCs w:val="28"/>
        </w:rPr>
      </w:pPr>
      <w:r>
        <w:rPr>
          <w:rFonts w:hint="eastAsia" w:ascii="仿宋" w:hAnsi="仿宋" w:eastAsia="仿宋" w:cs="仿宋"/>
          <w:bCs/>
          <w:sz w:val="28"/>
          <w:szCs w:val="28"/>
        </w:rPr>
        <w:t>5、其它违约责任按《中华人民共和国合同法》处理。</w:t>
      </w:r>
    </w:p>
    <w:p>
      <w:pPr>
        <w:tabs>
          <w:tab w:val="left" w:pos="900"/>
        </w:tabs>
        <w:spacing w:beforeLines="50"/>
        <w:ind w:firstLine="562" w:firstLineChars="200"/>
        <w:rPr>
          <w:rFonts w:ascii="仿宋" w:hAnsi="仿宋" w:eastAsia="仿宋" w:cs="仿宋"/>
          <w:b/>
          <w:sz w:val="28"/>
          <w:szCs w:val="28"/>
        </w:rPr>
      </w:pPr>
      <w:r>
        <w:rPr>
          <w:rFonts w:hint="eastAsia" w:ascii="仿宋" w:hAnsi="仿宋" w:eastAsia="仿宋" w:cs="仿宋"/>
          <w:b/>
          <w:sz w:val="28"/>
          <w:szCs w:val="28"/>
        </w:rPr>
        <w:t>第十条  保密条款</w:t>
      </w:r>
    </w:p>
    <w:p>
      <w:pPr>
        <w:spacing w:beforeLines="50"/>
        <w:ind w:firstLine="560" w:firstLineChars="200"/>
        <w:rPr>
          <w:rFonts w:ascii="仿宋" w:hAnsi="仿宋" w:eastAsia="仿宋" w:cs="仿宋"/>
          <w:kern w:val="0"/>
          <w:sz w:val="28"/>
          <w:szCs w:val="28"/>
        </w:rPr>
      </w:pPr>
      <w:r>
        <w:rPr>
          <w:rFonts w:hint="eastAsia" w:ascii="仿宋" w:hAnsi="仿宋" w:eastAsia="仿宋" w:cs="仿宋"/>
          <w:kern w:val="0"/>
          <w:sz w:val="28"/>
          <w:szCs w:val="28"/>
        </w:rPr>
        <w:t>1、乙方对甲方提供的资料负有保密义务，未经甲方同意，不得向项目无关单位和个人提供有关资料。如发生以上情况，甲方有权索赔。</w:t>
      </w:r>
    </w:p>
    <w:p>
      <w:pPr>
        <w:spacing w:beforeLines="50"/>
        <w:ind w:firstLine="560" w:firstLineChars="200"/>
        <w:rPr>
          <w:rFonts w:ascii="仿宋" w:hAnsi="仿宋" w:eastAsia="仿宋" w:cs="仿宋"/>
          <w:kern w:val="0"/>
          <w:sz w:val="28"/>
          <w:szCs w:val="28"/>
        </w:rPr>
      </w:pPr>
      <w:r>
        <w:rPr>
          <w:rFonts w:hint="eastAsia" w:ascii="仿宋" w:hAnsi="仿宋" w:eastAsia="仿宋" w:cs="仿宋"/>
          <w:kern w:val="0"/>
          <w:sz w:val="28"/>
          <w:szCs w:val="28"/>
        </w:rPr>
        <w:t>2、甲方有义务保护乙方的知识产权，未经乙方同意，甲方对工程咨询单位交付的成果文件、资料不得向第三方转让或用于本合同以外的项目。如发生以上情况，乙方有权索赔。</w:t>
      </w:r>
    </w:p>
    <w:p>
      <w:pPr>
        <w:spacing w:beforeLines="50"/>
        <w:ind w:firstLine="551" w:firstLineChars="196"/>
        <w:rPr>
          <w:rFonts w:ascii="仿宋" w:hAnsi="仿宋" w:eastAsia="仿宋" w:cs="仿宋"/>
          <w:b/>
          <w:sz w:val="28"/>
          <w:szCs w:val="28"/>
        </w:rPr>
      </w:pPr>
      <w:r>
        <w:rPr>
          <w:rFonts w:hint="eastAsia" w:ascii="仿宋" w:hAnsi="仿宋" w:eastAsia="仿宋" w:cs="仿宋"/>
          <w:b/>
          <w:sz w:val="28"/>
          <w:szCs w:val="28"/>
        </w:rPr>
        <w:t>第十一条  争议的解决</w:t>
      </w:r>
    </w:p>
    <w:p>
      <w:pPr>
        <w:spacing w:beforeLines="50"/>
        <w:ind w:firstLine="548" w:firstLineChars="196"/>
        <w:rPr>
          <w:rFonts w:ascii="仿宋" w:hAnsi="仿宋" w:eastAsia="仿宋" w:cs="仿宋"/>
          <w:kern w:val="0"/>
          <w:sz w:val="28"/>
          <w:szCs w:val="28"/>
        </w:rPr>
      </w:pPr>
      <w:r>
        <w:rPr>
          <w:rFonts w:hint="eastAsia" w:ascii="仿宋" w:hAnsi="仿宋" w:eastAsia="仿宋" w:cs="仿宋"/>
          <w:kern w:val="0"/>
          <w:sz w:val="28"/>
          <w:szCs w:val="28"/>
        </w:rPr>
        <w:t>本合同为政府采购之合同，本合同中所指甲方与鉴证方享有同等权力，在发生所供商品的质量、售后服务等问题时，甲方有权直接向乙方索赔，签订必要的书面处理协议。如协商不成，任何一方有权向衢江区人民法院提出解决问题。</w:t>
      </w:r>
    </w:p>
    <w:p>
      <w:pPr>
        <w:spacing w:beforeLines="50"/>
        <w:ind w:firstLine="551" w:firstLineChars="196"/>
        <w:rPr>
          <w:rFonts w:ascii="仿宋" w:hAnsi="仿宋" w:eastAsia="仿宋" w:cs="仿宋"/>
          <w:b/>
          <w:sz w:val="28"/>
          <w:szCs w:val="28"/>
        </w:rPr>
      </w:pPr>
      <w:r>
        <w:rPr>
          <w:rFonts w:hint="eastAsia" w:ascii="仿宋" w:hAnsi="仿宋" w:eastAsia="仿宋" w:cs="仿宋"/>
          <w:b/>
          <w:sz w:val="28"/>
          <w:szCs w:val="28"/>
        </w:rPr>
        <w:t>第十二条  不可抗力</w:t>
      </w:r>
    </w:p>
    <w:p>
      <w:pPr>
        <w:spacing w:beforeLines="50"/>
        <w:ind w:firstLine="560" w:firstLineChars="200"/>
        <w:rPr>
          <w:rFonts w:ascii="宋体" w:hAnsi="宋体" w:cs="宋体"/>
          <w:szCs w:val="21"/>
        </w:rPr>
      </w:pP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abs>
          <w:tab w:val="left" w:pos="630"/>
        </w:tabs>
        <w:spacing w:beforeLines="50"/>
        <w:ind w:firstLine="551" w:firstLineChars="196"/>
        <w:rPr>
          <w:rFonts w:ascii="仿宋" w:hAnsi="仿宋" w:eastAsia="仿宋" w:cs="仿宋"/>
          <w:b/>
          <w:sz w:val="28"/>
          <w:szCs w:val="28"/>
        </w:rPr>
      </w:pPr>
      <w:r>
        <w:rPr>
          <w:rFonts w:hint="eastAsia" w:ascii="仿宋" w:hAnsi="仿宋" w:eastAsia="仿宋" w:cs="仿宋"/>
          <w:b/>
          <w:sz w:val="28"/>
          <w:szCs w:val="28"/>
        </w:rPr>
        <w:t>第十三条  合同的终止</w:t>
      </w:r>
    </w:p>
    <w:p>
      <w:pPr>
        <w:tabs>
          <w:tab w:val="left" w:pos="630"/>
        </w:tabs>
        <w:spacing w:beforeLines="50"/>
        <w:ind w:firstLine="548" w:firstLineChars="196"/>
        <w:rPr>
          <w:rFonts w:ascii="仿宋" w:hAnsi="仿宋" w:eastAsia="仿宋" w:cs="仿宋"/>
          <w:b/>
          <w:sz w:val="28"/>
          <w:szCs w:val="28"/>
        </w:rPr>
      </w:pPr>
      <w:r>
        <w:rPr>
          <w:rFonts w:hint="eastAsia" w:ascii="仿宋" w:hAnsi="仿宋" w:eastAsia="仿宋" w:cs="仿宋"/>
          <w:sz w:val="28"/>
          <w:szCs w:val="28"/>
        </w:rPr>
        <w:t>1、合同期满，双方未续签的；</w:t>
      </w:r>
    </w:p>
    <w:p>
      <w:pPr>
        <w:tabs>
          <w:tab w:val="left" w:pos="630"/>
        </w:tabs>
        <w:spacing w:beforeLines="50"/>
        <w:ind w:firstLine="560" w:firstLineChars="200"/>
        <w:rPr>
          <w:rFonts w:ascii="仿宋" w:hAnsi="仿宋" w:eastAsia="仿宋" w:cs="仿宋"/>
          <w:b/>
          <w:sz w:val="28"/>
          <w:szCs w:val="28"/>
        </w:rPr>
      </w:pPr>
      <w:r>
        <w:rPr>
          <w:rFonts w:hint="eastAsia" w:ascii="仿宋" w:hAnsi="仿宋" w:eastAsia="仿宋" w:cs="仿宋"/>
          <w:sz w:val="28"/>
          <w:szCs w:val="28"/>
        </w:rPr>
        <w:t>2、乙方服务能力丧失，致使服务无法正常进行的；</w:t>
      </w:r>
    </w:p>
    <w:p>
      <w:pPr>
        <w:spacing w:beforeLines="50"/>
        <w:ind w:firstLine="560" w:firstLineChars="200"/>
        <w:rPr>
          <w:rFonts w:ascii="仿宋" w:hAnsi="仿宋" w:eastAsia="仿宋" w:cs="仿宋"/>
          <w:b/>
          <w:sz w:val="28"/>
          <w:szCs w:val="28"/>
        </w:rPr>
      </w:pPr>
      <w:r>
        <w:rPr>
          <w:rFonts w:hint="eastAsia" w:ascii="仿宋" w:hAnsi="仿宋" w:eastAsia="仿宋" w:cs="仿宋"/>
          <w:sz w:val="28"/>
          <w:szCs w:val="28"/>
        </w:rPr>
        <w:t>3、在履行合同过程中，发现乙方已不符合国办发〔2013〕96号文件规定的承接主体应具备的条件，造成合同无法履行的。</w:t>
      </w:r>
    </w:p>
    <w:p>
      <w:pPr>
        <w:spacing w:beforeLines="50"/>
        <w:ind w:firstLine="551" w:firstLineChars="196"/>
        <w:rPr>
          <w:rFonts w:ascii="仿宋" w:hAnsi="仿宋" w:eastAsia="仿宋" w:cs="仿宋"/>
          <w:b/>
          <w:sz w:val="28"/>
          <w:szCs w:val="28"/>
        </w:rPr>
      </w:pPr>
      <w:r>
        <w:rPr>
          <w:rFonts w:hint="eastAsia" w:ascii="仿宋" w:hAnsi="仿宋" w:eastAsia="仿宋" w:cs="仿宋"/>
          <w:b/>
          <w:sz w:val="28"/>
          <w:szCs w:val="28"/>
        </w:rPr>
        <w:t>第十四条  税费</w:t>
      </w:r>
    </w:p>
    <w:p>
      <w:pPr>
        <w:spacing w:beforeLines="50"/>
        <w:ind w:firstLine="560" w:firstLineChars="200"/>
        <w:rPr>
          <w:rFonts w:ascii="仿宋" w:hAnsi="仿宋" w:eastAsia="仿宋" w:cs="仿宋"/>
          <w:sz w:val="28"/>
          <w:szCs w:val="28"/>
        </w:rPr>
      </w:pPr>
      <w:r>
        <w:rPr>
          <w:rFonts w:hint="eastAsia" w:ascii="仿宋" w:hAnsi="仿宋" w:eastAsia="仿宋" w:cs="仿宋"/>
          <w:sz w:val="28"/>
          <w:szCs w:val="28"/>
        </w:rPr>
        <w:t>此项目发生的与本合同执行有关的一切税费均由乙方负担。</w:t>
      </w:r>
    </w:p>
    <w:p>
      <w:pPr>
        <w:spacing w:beforeLines="50"/>
        <w:ind w:firstLine="551" w:firstLineChars="196"/>
        <w:rPr>
          <w:rFonts w:ascii="仿宋" w:hAnsi="仿宋" w:eastAsia="仿宋" w:cs="仿宋"/>
          <w:b/>
          <w:sz w:val="28"/>
          <w:szCs w:val="28"/>
        </w:rPr>
      </w:pPr>
      <w:r>
        <w:rPr>
          <w:rFonts w:hint="eastAsia" w:ascii="仿宋" w:hAnsi="仿宋" w:eastAsia="仿宋" w:cs="仿宋"/>
          <w:b/>
          <w:sz w:val="28"/>
          <w:szCs w:val="28"/>
        </w:rPr>
        <w:t>第十五条  其它</w:t>
      </w:r>
    </w:p>
    <w:p>
      <w:pPr>
        <w:spacing w:beforeLines="50"/>
        <w:ind w:firstLine="560" w:firstLineChars="200"/>
        <w:rPr>
          <w:rFonts w:ascii="仿宋" w:hAnsi="仿宋" w:eastAsia="仿宋" w:cs="仿宋"/>
          <w:b/>
          <w:sz w:val="28"/>
          <w:szCs w:val="28"/>
        </w:rPr>
      </w:pPr>
      <w:r>
        <w:rPr>
          <w:rFonts w:hint="eastAsia" w:ascii="仿宋" w:hAnsi="仿宋" w:eastAsia="仿宋" w:cs="仿宋"/>
          <w:sz w:val="28"/>
          <w:szCs w:val="28"/>
        </w:rPr>
        <w:t>1、本合同所有附件及政府采购文件均为合同的有效组成部分，与本合同具有同等法律效力。</w:t>
      </w:r>
    </w:p>
    <w:p>
      <w:pPr>
        <w:spacing w:beforeLines="50"/>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在执行本合同的过程中，所有经双方签署确认的文件（包括会议纪要、补充协议、往来信函）即成为本合同的有效组成部分。</w:t>
      </w:r>
    </w:p>
    <w:p>
      <w:pPr>
        <w:spacing w:beforeLines="50"/>
        <w:ind w:firstLine="560" w:firstLineChars="200"/>
        <w:rPr>
          <w:rFonts w:ascii="仿宋" w:hAnsi="仿宋" w:eastAsia="仿宋" w:cs="仿宋"/>
          <w:sz w:val="28"/>
          <w:szCs w:val="28"/>
        </w:rPr>
      </w:pPr>
      <w:r>
        <w:rPr>
          <w:rFonts w:hint="eastAsia" w:ascii="仿宋" w:hAnsi="仿宋" w:eastAsia="仿宋" w:cs="仿宋"/>
          <w:sz w:val="28"/>
          <w:szCs w:val="28"/>
        </w:rPr>
        <w:t>3、如一方地址、电话、传真号码有变更，应在变更当日内书面通知对方，否则，应承担相应责任。</w:t>
      </w:r>
    </w:p>
    <w:p>
      <w:pPr>
        <w:spacing w:beforeLines="50"/>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4、合作期满后，乙方无条件将设备、数据、资料移交给甲方，并保证能正常运行。 </w:t>
      </w:r>
    </w:p>
    <w:p>
      <w:pPr>
        <w:spacing w:beforeLines="50"/>
        <w:ind w:firstLine="551" w:firstLineChars="196"/>
        <w:rPr>
          <w:rFonts w:ascii="仿宋_GB2312" w:eastAsia="仿宋_GB2312"/>
          <w:sz w:val="28"/>
          <w:szCs w:val="28"/>
          <w:lang w:val="zh-CN"/>
        </w:rPr>
      </w:pPr>
      <w:r>
        <w:rPr>
          <w:rFonts w:hint="eastAsia" w:ascii="仿宋" w:hAnsi="仿宋" w:eastAsia="仿宋" w:cs="仿宋"/>
          <w:b/>
          <w:sz w:val="28"/>
          <w:szCs w:val="28"/>
        </w:rPr>
        <w:t>第十六条  合同的生效</w:t>
      </w:r>
    </w:p>
    <w:p>
      <w:pPr>
        <w:spacing w:line="500" w:lineRule="exact"/>
        <w:ind w:firstLine="560" w:firstLineChars="200"/>
        <w:rPr>
          <w:rFonts w:ascii="仿宋_GB2312" w:eastAsia="仿宋_GB2312"/>
          <w:sz w:val="28"/>
          <w:szCs w:val="28"/>
          <w:lang w:val="zh-CN"/>
        </w:rPr>
      </w:pPr>
      <w:r>
        <w:rPr>
          <w:rFonts w:hint="eastAsia" w:ascii="仿宋_GB2312" w:eastAsia="仿宋_GB2312"/>
          <w:sz w:val="28"/>
          <w:szCs w:val="28"/>
        </w:rPr>
        <w:t>1.本合同经甲方、乙方法定代表人（负责人）或其委托人签字并加盖双方公章，衢州市衢江区政府采购中心 加盖鉴证章后生效。</w:t>
      </w:r>
    </w:p>
    <w:p>
      <w:pPr>
        <w:spacing w:line="500" w:lineRule="exact"/>
        <w:ind w:firstLine="560" w:firstLineChars="200"/>
        <w:rPr>
          <w:rFonts w:ascii="仿宋_GB2312" w:eastAsia="仿宋_GB2312"/>
          <w:sz w:val="28"/>
          <w:szCs w:val="28"/>
          <w:lang w:val="zh-CN"/>
        </w:rPr>
      </w:pPr>
      <w:r>
        <w:rPr>
          <w:rFonts w:hint="eastAsia" w:ascii="仿宋_GB2312" w:eastAsia="仿宋_GB2312"/>
          <w:sz w:val="28"/>
          <w:szCs w:val="28"/>
        </w:rPr>
        <w:t>2.本合同一式肆份，甲、乙双方各执壹份，衢州市衢江区政府采购中心 各执</w:t>
      </w:r>
      <w:r>
        <w:rPr>
          <w:rFonts w:hint="eastAsia" w:ascii="仿宋_GB2312" w:eastAsia="仿宋_GB2312"/>
          <w:sz w:val="28"/>
          <w:szCs w:val="28"/>
          <w:lang w:eastAsia="zh-CN"/>
        </w:rPr>
        <w:t>两</w:t>
      </w:r>
      <w:r>
        <w:rPr>
          <w:rFonts w:hint="eastAsia" w:ascii="仿宋_GB2312" w:eastAsia="仿宋_GB2312"/>
          <w:sz w:val="28"/>
          <w:szCs w:val="28"/>
        </w:rPr>
        <w:t>份。</w:t>
      </w:r>
    </w:p>
    <w:p>
      <w:pPr>
        <w:snapToGrid w:val="0"/>
        <w:spacing w:line="460" w:lineRule="exact"/>
        <w:ind w:firstLine="560" w:firstLineChars="200"/>
        <w:rPr>
          <w:rFonts w:ascii="仿宋_GB2312" w:eastAsia="仿宋_GB2312"/>
          <w:sz w:val="28"/>
          <w:szCs w:val="28"/>
        </w:rPr>
      </w:pP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甲方：（盖章）                  乙方：（盖章）</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lang w:val="en-US" w:eastAsia="zh-CN"/>
        </w:rPr>
        <w:t>授权代表</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授权代表</w:t>
      </w:r>
      <w:r>
        <w:rPr>
          <w:rFonts w:hint="eastAsia" w:ascii="仿宋_GB2312" w:eastAsia="仿宋_GB2312"/>
          <w:sz w:val="28"/>
          <w:szCs w:val="28"/>
        </w:rPr>
        <w:t>：</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联系电话：                      联系电话：</w:t>
      </w:r>
    </w:p>
    <w:p>
      <w:pPr>
        <w:snapToGrid w:val="0"/>
        <w:spacing w:line="500" w:lineRule="exact"/>
        <w:ind w:firstLine="560" w:firstLineChars="200"/>
        <w:rPr>
          <w:rFonts w:ascii="仿宋_GB2312" w:eastAsia="仿宋_GB2312"/>
          <w:sz w:val="28"/>
          <w:szCs w:val="28"/>
        </w:rPr>
      </w:pP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鉴证方: （盖章）衢州市衢江区政府采购中心 </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经办人：</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联系电话:                          </w:t>
      </w:r>
    </w:p>
    <w:p>
      <w:pPr>
        <w:snapToGrid w:val="0"/>
        <w:spacing w:line="500" w:lineRule="exact"/>
        <w:ind w:firstLine="560" w:firstLineChars="200"/>
        <w:rPr>
          <w:rFonts w:ascii="仿宋_GB2312" w:eastAsia="仿宋_GB2312"/>
          <w:sz w:val="28"/>
          <w:szCs w:val="28"/>
        </w:rPr>
        <w:sectPr>
          <w:headerReference r:id="rId8" w:type="first"/>
          <w:footerReference r:id="rId10" w:type="first"/>
          <w:headerReference r:id="rId7" w:type="even"/>
          <w:footerReference r:id="rId9" w:type="even"/>
          <w:pgSz w:w="11906" w:h="16838"/>
          <w:pgMar w:top="1389" w:right="1247" w:bottom="1389" w:left="1247" w:header="851" w:footer="992" w:gutter="284"/>
          <w:cols w:space="720" w:num="1"/>
        </w:sectPr>
      </w:pPr>
      <w:r>
        <w:rPr>
          <w:rFonts w:hint="eastAsia" w:ascii="仿宋_GB2312" w:eastAsia="仿宋_GB2312"/>
          <w:sz w:val="28"/>
          <w:szCs w:val="28"/>
        </w:rPr>
        <w:t>日期：</w:t>
      </w:r>
    </w:p>
    <w:p>
      <w:pPr>
        <w:snapToGrid w:val="0"/>
        <w:spacing w:line="500" w:lineRule="exact"/>
        <w:ind w:firstLine="1600"/>
        <w:outlineLvl w:val="0"/>
        <w:rPr>
          <w:rFonts w:ascii="仿宋_GB2312" w:hAnsi="宋体" w:eastAsia="仿宋_GB2312" w:cs="宋体"/>
          <w:b/>
          <w:sz w:val="32"/>
          <w:szCs w:val="32"/>
        </w:rPr>
      </w:pPr>
      <w:bookmarkStart w:id="32" w:name="_Toc356371458"/>
      <w:bookmarkStart w:id="33" w:name="_Toc18017"/>
      <w:bookmarkStart w:id="34" w:name="_Toc322352985"/>
      <w:bookmarkStart w:id="35" w:name="_Toc354491899"/>
      <w:r>
        <w:rPr>
          <w:rFonts w:hint="eastAsia" w:ascii="仿宋_GB2312" w:hAnsi="宋体" w:eastAsia="仿宋_GB2312" w:cs="宋体"/>
          <w:b/>
          <w:sz w:val="32"/>
          <w:szCs w:val="32"/>
        </w:rPr>
        <w:t>第五章  应提交的有关格式范例</w:t>
      </w:r>
      <w:bookmarkEnd w:id="32"/>
      <w:bookmarkEnd w:id="33"/>
      <w:bookmarkEnd w:id="34"/>
      <w:bookmarkEnd w:id="35"/>
    </w:p>
    <w:p>
      <w:pPr>
        <w:snapToGrid w:val="0"/>
        <w:spacing w:line="500" w:lineRule="exact"/>
        <w:ind w:firstLine="2783" w:firstLineChars="990"/>
        <w:rPr>
          <w:rFonts w:ascii="仿宋_GB2312" w:hAnsi="宋体" w:eastAsia="仿宋_GB2312" w:cs="宋体"/>
          <w:b/>
          <w:sz w:val="32"/>
          <w:szCs w:val="32"/>
        </w:rPr>
      </w:pPr>
      <w:r>
        <w:rPr>
          <w:rStyle w:val="107"/>
          <w:rFonts w:hint="eastAsia" w:ascii="仿宋_GB2312" w:hAnsi="黑体" w:eastAsia="仿宋_GB2312"/>
          <w:sz w:val="28"/>
          <w:szCs w:val="28"/>
        </w:rPr>
        <w:t>一、投标文件封面</w:t>
      </w:r>
    </w:p>
    <w:p>
      <w:pPr>
        <w:ind w:left="1800" w:leftChars="857"/>
        <w:jc w:val="right"/>
        <w:rPr>
          <w:rFonts w:ascii="仿宋_GB2312" w:eastAsia="仿宋_GB2312"/>
          <w:sz w:val="32"/>
          <w:szCs w:val="32"/>
        </w:rPr>
      </w:pPr>
    </w:p>
    <w:p>
      <w:pPr>
        <w:rPr>
          <w:rFonts w:ascii="仿宋_GB2312" w:eastAsia="仿宋_GB2312"/>
          <w:sz w:val="28"/>
          <w:szCs w:val="28"/>
        </w:rPr>
      </w:pPr>
      <w:r>
        <w:rPr>
          <w:rFonts w:hint="eastAsia" w:ascii="仿宋_GB2312" w:eastAsia="仿宋_GB2312"/>
          <w:sz w:val="28"/>
          <w:szCs w:val="28"/>
        </w:rPr>
        <w:t xml:space="preserve">                                                   正本（副本）</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napToGrid w:val="0"/>
        <w:spacing w:line="520" w:lineRule="exact"/>
        <w:ind w:firstLine="3251" w:firstLineChars="739"/>
        <w:rPr>
          <w:rFonts w:ascii="仿宋_GB2312" w:eastAsia="仿宋_GB2312"/>
          <w:sz w:val="44"/>
          <w:szCs w:val="44"/>
        </w:rPr>
      </w:pPr>
      <w:r>
        <w:rPr>
          <w:rFonts w:hint="eastAsia" w:ascii="仿宋_GB2312" w:eastAsia="仿宋_GB2312"/>
          <w:sz w:val="44"/>
          <w:szCs w:val="44"/>
        </w:rPr>
        <w:t>资格审查文件</w:t>
      </w:r>
    </w:p>
    <w:p>
      <w:pPr>
        <w:snapToGrid w:val="0"/>
        <w:spacing w:line="520" w:lineRule="exact"/>
        <w:jc w:val="center"/>
        <w:rPr>
          <w:rFonts w:ascii="仿宋_GB2312" w:eastAsia="仿宋_GB2312"/>
          <w:sz w:val="44"/>
          <w:szCs w:val="44"/>
        </w:rPr>
      </w:pPr>
      <w:bookmarkStart w:id="36" w:name="_Toc357410801"/>
      <w:r>
        <w:rPr>
          <w:rFonts w:hint="eastAsia" w:ascii="仿宋_GB2312" w:eastAsia="仿宋_GB2312"/>
          <w:sz w:val="44"/>
          <w:szCs w:val="44"/>
        </w:rPr>
        <w:t>（技术商务文件、报价文件）</w:t>
      </w:r>
      <w:bookmarkEnd w:id="36"/>
    </w:p>
    <w:p>
      <w:pPr>
        <w:snapToGrid w:val="0"/>
        <w:spacing w:line="520" w:lineRule="exact"/>
        <w:ind w:firstLine="1962" w:firstLineChars="698"/>
        <w:rPr>
          <w:rFonts w:ascii="仿宋_GB2312" w:eastAsia="仿宋_GB2312"/>
          <w:b/>
          <w:sz w:val="28"/>
          <w:szCs w:val="28"/>
        </w:rPr>
      </w:pPr>
    </w:p>
    <w:p>
      <w:pPr>
        <w:snapToGrid w:val="0"/>
        <w:spacing w:line="600" w:lineRule="exact"/>
        <w:rPr>
          <w:rFonts w:ascii="仿宋_GB2312" w:hAnsi="宋体" w:eastAsia="仿宋_GB2312"/>
          <w:sz w:val="28"/>
          <w:szCs w:val="28"/>
          <w:u w:val="single"/>
        </w:rPr>
      </w:pPr>
      <w:bookmarkStart w:id="37" w:name="_Toc357410802"/>
      <w:r>
        <w:rPr>
          <w:rFonts w:hint="eastAsia" w:ascii="仿宋_GB2312" w:hAnsi="宋体" w:eastAsia="仿宋_GB2312"/>
          <w:sz w:val="28"/>
          <w:szCs w:val="28"/>
        </w:rPr>
        <w:t>项目名称：</w:t>
      </w:r>
      <w:bookmarkEnd w:id="37"/>
    </w:p>
    <w:p>
      <w:pPr>
        <w:snapToGrid w:val="0"/>
        <w:spacing w:line="600" w:lineRule="exact"/>
        <w:rPr>
          <w:rFonts w:ascii="仿宋_GB2312" w:hAnsi="宋体" w:eastAsia="仿宋_GB2312"/>
          <w:sz w:val="28"/>
          <w:szCs w:val="28"/>
          <w:u w:val="single"/>
        </w:rPr>
      </w:pPr>
      <w:bookmarkStart w:id="38" w:name="_Toc357410803"/>
      <w:r>
        <w:rPr>
          <w:rFonts w:hint="eastAsia" w:ascii="仿宋_GB2312" w:hAnsi="宋体" w:eastAsia="仿宋_GB2312"/>
          <w:sz w:val="28"/>
          <w:szCs w:val="28"/>
        </w:rPr>
        <w:t>项目编号：</w:t>
      </w:r>
      <w:bookmarkEnd w:id="38"/>
    </w:p>
    <w:p>
      <w:pPr>
        <w:snapToGrid w:val="0"/>
        <w:spacing w:line="600" w:lineRule="exact"/>
        <w:rPr>
          <w:rFonts w:ascii="仿宋_GB2312" w:hAnsi="宋体" w:eastAsia="仿宋_GB2312"/>
          <w:sz w:val="28"/>
          <w:szCs w:val="28"/>
        </w:rPr>
      </w:pPr>
      <w:bookmarkStart w:id="39" w:name="_Toc357410804"/>
      <w:r>
        <w:rPr>
          <w:rFonts w:hint="eastAsia" w:ascii="仿宋_GB2312" w:hAnsi="宋体" w:eastAsia="仿宋_GB2312"/>
          <w:sz w:val="28"/>
          <w:szCs w:val="28"/>
        </w:rPr>
        <w:t>投标人：</w:t>
      </w:r>
      <w:r>
        <w:rPr>
          <w:rFonts w:hint="eastAsia" w:ascii="仿宋_GB2312" w:hAnsi="宋体" w:eastAsia="仿宋_GB2312"/>
          <w:sz w:val="28"/>
          <w:szCs w:val="28"/>
          <w:u w:val="single"/>
        </w:rPr>
        <w:t xml:space="preserve">                       （盖单位公章）</w:t>
      </w:r>
      <w:bookmarkEnd w:id="39"/>
    </w:p>
    <w:p>
      <w:pPr>
        <w:snapToGrid w:val="0"/>
        <w:spacing w:line="600" w:lineRule="exact"/>
        <w:rPr>
          <w:rFonts w:ascii="仿宋_GB2312" w:eastAsia="仿宋_GB2312"/>
          <w:sz w:val="28"/>
          <w:szCs w:val="28"/>
        </w:rPr>
      </w:pPr>
      <w:bookmarkStart w:id="40" w:name="_Toc357410805"/>
      <w:r>
        <w:rPr>
          <w:rFonts w:hint="eastAsia" w:ascii="仿宋_GB2312" w:hAnsi="宋体" w:eastAsia="仿宋_GB2312"/>
          <w:sz w:val="28"/>
          <w:szCs w:val="28"/>
        </w:rPr>
        <w:t>日期：</w:t>
      </w:r>
      <w:r>
        <w:rPr>
          <w:rFonts w:hint="eastAsia" w:ascii="仿宋_GB2312" w:eastAsia="仿宋_GB2312"/>
          <w:sz w:val="28"/>
          <w:szCs w:val="28"/>
        </w:rPr>
        <w:t>年月 日</w:t>
      </w:r>
      <w:bookmarkEnd w:id="40"/>
    </w:p>
    <w:p>
      <w:pPr>
        <w:snapToGrid w:val="0"/>
        <w:spacing w:line="500" w:lineRule="exact"/>
        <w:jc w:val="center"/>
        <w:rPr>
          <w:rStyle w:val="107"/>
          <w:rFonts w:ascii="仿宋_GB2312" w:hAnsi="黑体" w:eastAsia="仿宋_GB2312"/>
          <w:sz w:val="28"/>
          <w:szCs w:val="28"/>
        </w:rPr>
      </w:pPr>
      <w:r>
        <w:rPr>
          <w:rStyle w:val="107"/>
          <w:rFonts w:ascii="仿宋_GB2312" w:hAnsi="黑体" w:eastAsia="仿宋_GB2312"/>
          <w:sz w:val="28"/>
          <w:szCs w:val="28"/>
        </w:rPr>
        <w:br w:type="page"/>
      </w:r>
      <w:bookmarkStart w:id="41" w:name="_Toc476645118"/>
      <w:r>
        <w:rPr>
          <w:rStyle w:val="107"/>
          <w:rFonts w:hint="eastAsia" w:ascii="仿宋_GB2312" w:hAnsi="黑体" w:eastAsia="仿宋_GB2312"/>
          <w:sz w:val="28"/>
          <w:szCs w:val="28"/>
        </w:rPr>
        <w:t>二、资格审查文件</w:t>
      </w:r>
      <w:bookmarkEnd w:id="41"/>
    </w:p>
    <w:p>
      <w:pPr>
        <w:jc w:val="center"/>
        <w:rPr>
          <w:rStyle w:val="107"/>
          <w:rFonts w:ascii="仿宋_GB2312" w:hAnsi="黑体" w:eastAsia="仿宋_GB2312"/>
          <w:b w:val="0"/>
          <w:sz w:val="28"/>
          <w:szCs w:val="28"/>
        </w:rPr>
      </w:pPr>
      <w:r>
        <w:rPr>
          <w:rStyle w:val="107"/>
          <w:rFonts w:hint="eastAsia" w:ascii="仿宋_GB2312" w:hAnsi="黑体" w:eastAsia="仿宋_GB2312"/>
          <w:b w:val="0"/>
          <w:sz w:val="28"/>
          <w:szCs w:val="28"/>
        </w:rPr>
        <w:t>1 投标函</w:t>
      </w:r>
    </w:p>
    <w:p>
      <w:pPr>
        <w:ind w:firstLine="3920"/>
        <w:rPr>
          <w:rFonts w:ascii="仿宋_GB2312" w:eastAsia="仿宋_GB2312"/>
          <w:sz w:val="28"/>
          <w:szCs w:val="28"/>
        </w:rPr>
      </w:pPr>
    </w:p>
    <w:p>
      <w:pPr>
        <w:snapToGrid w:val="0"/>
        <w:spacing w:line="500" w:lineRule="exact"/>
        <w:rPr>
          <w:rFonts w:ascii="仿宋_GB2312" w:hAnsi="宋体" w:eastAsia="仿宋_GB2312"/>
          <w:sz w:val="28"/>
          <w:szCs w:val="28"/>
        </w:rPr>
      </w:pPr>
      <w:r>
        <w:rPr>
          <w:rFonts w:hint="eastAsia" w:ascii="仿宋_GB2312" w:hAnsi="宋体" w:eastAsia="仿宋_GB2312"/>
          <w:sz w:val="28"/>
          <w:szCs w:val="28"/>
        </w:rPr>
        <w:t xml:space="preserve">致： </w:t>
      </w:r>
      <w:r>
        <w:rPr>
          <w:rFonts w:hint="eastAsia" w:ascii="仿宋_GB2312" w:hAnsi="宋体" w:eastAsia="仿宋_GB2312"/>
          <w:sz w:val="28"/>
          <w:szCs w:val="28"/>
          <w:lang w:val="en-US" w:eastAsia="zh-CN"/>
        </w:rPr>
        <w:t>衢州市衢江区政府采购中心</w:t>
      </w:r>
      <w:r>
        <w:rPr>
          <w:rFonts w:hint="eastAsia" w:ascii="仿宋_GB2312" w:hAnsi="宋体" w:eastAsia="仿宋_GB2312"/>
          <w:sz w:val="28"/>
          <w:szCs w:val="28"/>
        </w:rPr>
        <w:t>：</w:t>
      </w:r>
    </w:p>
    <w:p>
      <w:pPr>
        <w:snapToGrid w:val="0"/>
        <w:spacing w:line="500" w:lineRule="exact"/>
        <w:ind w:firstLine="480"/>
        <w:rPr>
          <w:rFonts w:ascii="仿宋_GB2312" w:hAnsi="宋体" w:eastAsia="仿宋_GB2312"/>
          <w:sz w:val="28"/>
          <w:szCs w:val="28"/>
        </w:rPr>
      </w:pPr>
      <w:r>
        <w:rPr>
          <w:rFonts w:hint="eastAsia" w:ascii="仿宋_GB2312" w:hAnsi="宋体" w:eastAsia="仿宋_GB2312"/>
          <w:sz w:val="28"/>
          <w:szCs w:val="28"/>
        </w:rPr>
        <w:t>根据贵方为项目的招标公告（项目编号：），签字代表 （全名）经正式授权并代表投标人 （投标人名称）提交资格审查文件、技术商务文件、报价文件正本各一份、资格审查文件副本</w:t>
      </w:r>
      <w:r>
        <w:rPr>
          <w:rFonts w:hint="eastAsia" w:ascii="仿宋_GB2312" w:hAnsi="宋体" w:eastAsia="仿宋_GB2312"/>
          <w:sz w:val="28"/>
          <w:szCs w:val="28"/>
          <w:u w:val="none"/>
          <w:lang w:val="en-US" w:eastAsia="zh-CN"/>
        </w:rPr>
        <w:t xml:space="preserve">  </w:t>
      </w:r>
      <w:r>
        <w:rPr>
          <w:rFonts w:hint="eastAsia" w:ascii="仿宋_GB2312" w:hAnsi="宋体" w:eastAsia="仿宋_GB2312"/>
          <w:sz w:val="28"/>
          <w:szCs w:val="28"/>
        </w:rPr>
        <w:t>份、技术商务文件、报价文件副本</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份。</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据此函，签字代表宣布同意如下：</w:t>
      </w:r>
    </w:p>
    <w:p>
      <w:pPr>
        <w:pStyle w:val="31"/>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1.我方向贵方提交的所有投标文件、资料都是准确的和真实的。</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3. 我方在投标之前已经与贵方进行了充分的沟通，完全理解并接受招标文件的各项规定和要求，对招标文件的合理性、合法性不再有异议。</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4.本投标有效期自开标日起</w:t>
      </w:r>
      <w:r>
        <w:rPr>
          <w:rFonts w:hint="eastAsia" w:ascii="仿宋_GB2312" w:hAnsi="宋体" w:eastAsia="仿宋_GB2312"/>
          <w:sz w:val="28"/>
          <w:szCs w:val="28"/>
          <w:lang w:val="en-US" w:eastAsia="zh-CN"/>
        </w:rPr>
        <w:t>90</w:t>
      </w:r>
      <w:r>
        <w:rPr>
          <w:rFonts w:hint="eastAsia" w:ascii="仿宋_GB2312" w:hAnsi="宋体" w:eastAsia="仿宋_GB2312"/>
          <w:sz w:val="28"/>
          <w:szCs w:val="28"/>
        </w:rPr>
        <w:t>日。</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5.如中标，本投标文件至本项目合同履行完毕止均保持有效，本投标人将按“招标文件”及政府采购法律、法规的规定履行合同责任和义务。</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6.我方同意按照贵方要求提供与投标有关的一切数据或资料。</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7.与本投标有关的一切正式往来信函请寄：</w:t>
      </w:r>
    </w:p>
    <w:p>
      <w:pPr>
        <w:snapToGrid w:val="0"/>
        <w:spacing w:line="500" w:lineRule="exact"/>
        <w:rPr>
          <w:rFonts w:ascii="仿宋_GB2312" w:hAnsi="宋体" w:eastAsia="仿宋_GB2312"/>
          <w:sz w:val="28"/>
          <w:szCs w:val="28"/>
        </w:rPr>
      </w:pPr>
      <w:r>
        <w:rPr>
          <w:rFonts w:hint="eastAsia" w:ascii="仿宋_GB2312" w:hAnsi="宋体" w:eastAsia="仿宋_GB2312"/>
          <w:sz w:val="28"/>
          <w:szCs w:val="28"/>
        </w:rPr>
        <w:t>地址：    邮编：   电话：</w:t>
      </w:r>
    </w:p>
    <w:p>
      <w:pPr>
        <w:snapToGrid w:val="0"/>
        <w:spacing w:line="500" w:lineRule="exact"/>
        <w:rPr>
          <w:rFonts w:ascii="仿宋_GB2312" w:hAnsi="宋体" w:eastAsia="仿宋_GB2312"/>
          <w:sz w:val="28"/>
          <w:szCs w:val="28"/>
        </w:rPr>
      </w:pPr>
      <w:r>
        <w:rPr>
          <w:rFonts w:hint="eastAsia" w:ascii="仿宋_GB2312" w:hAnsi="宋体" w:eastAsia="仿宋_GB2312"/>
          <w:sz w:val="28"/>
          <w:szCs w:val="28"/>
        </w:rPr>
        <w:t>传真： 投标人代表姓名： 职务：</w:t>
      </w:r>
    </w:p>
    <w:p>
      <w:pPr>
        <w:snapToGrid w:val="0"/>
        <w:spacing w:line="500" w:lineRule="exact"/>
        <w:rPr>
          <w:rFonts w:ascii="仿宋_GB2312" w:hAnsi="宋体" w:eastAsia="仿宋_GB2312"/>
          <w:sz w:val="28"/>
          <w:szCs w:val="28"/>
        </w:rPr>
      </w:pPr>
      <w:r>
        <w:rPr>
          <w:rFonts w:hint="eastAsia" w:ascii="仿宋_GB2312" w:hAnsi="宋体" w:eastAsia="仿宋_GB2312"/>
          <w:sz w:val="28"/>
          <w:szCs w:val="28"/>
        </w:rPr>
        <w:t>投标人名称(公章):</w:t>
      </w:r>
    </w:p>
    <w:p>
      <w:pPr>
        <w:snapToGrid w:val="0"/>
        <w:spacing w:line="500" w:lineRule="exact"/>
        <w:rPr>
          <w:rFonts w:ascii="仿宋_GB2312" w:hAnsi="宋体" w:eastAsia="仿宋_GB2312"/>
          <w:sz w:val="28"/>
          <w:szCs w:val="28"/>
        </w:rPr>
      </w:pPr>
      <w:r>
        <w:rPr>
          <w:rFonts w:hint="eastAsia" w:ascii="仿宋_GB2312" w:hAnsi="宋体" w:eastAsia="仿宋_GB2312"/>
          <w:sz w:val="28"/>
          <w:szCs w:val="28"/>
        </w:rPr>
        <w:t>开户银行：   银行帐号：</w:t>
      </w:r>
    </w:p>
    <w:p>
      <w:pPr>
        <w:snapToGrid w:val="0"/>
        <w:spacing w:line="500" w:lineRule="exact"/>
        <w:rPr>
          <w:rFonts w:ascii="仿宋_GB2312" w:hAnsi="宋体" w:eastAsia="仿宋_GB2312"/>
          <w:sz w:val="28"/>
          <w:szCs w:val="28"/>
        </w:rPr>
      </w:pPr>
      <w:r>
        <w:rPr>
          <w:rFonts w:hint="eastAsia" w:ascii="仿宋_GB2312" w:hAnsi="宋体" w:eastAsia="仿宋_GB2312"/>
          <w:sz w:val="28"/>
          <w:szCs w:val="28"/>
        </w:rPr>
        <w:t>被授权代表签字:</w:t>
      </w:r>
    </w:p>
    <w:p>
      <w:pPr>
        <w:snapToGrid w:val="0"/>
        <w:spacing w:line="500" w:lineRule="exact"/>
        <w:rPr>
          <w:rFonts w:ascii="仿宋_GB2312" w:hAnsi="宋体" w:eastAsia="仿宋_GB2312"/>
          <w:sz w:val="28"/>
          <w:szCs w:val="28"/>
        </w:rPr>
      </w:pPr>
      <w:r>
        <w:rPr>
          <w:rFonts w:hint="eastAsia" w:ascii="仿宋_GB2312" w:hAnsi="宋体" w:eastAsia="仿宋_GB2312"/>
          <w:sz w:val="28"/>
          <w:szCs w:val="28"/>
        </w:rPr>
        <w:t>日期:年月日</w:t>
      </w:r>
    </w:p>
    <w:p>
      <w:pPr>
        <w:spacing w:line="540" w:lineRule="exact"/>
        <w:ind w:firstLine="560" w:firstLineChars="200"/>
        <w:rPr>
          <w:rFonts w:ascii="仿宋_GB2312" w:hAnsi="宋体" w:eastAsia="仿宋_GB2312"/>
          <w:sz w:val="28"/>
          <w:szCs w:val="28"/>
        </w:rPr>
        <w:sectPr>
          <w:headerReference r:id="rId12" w:type="first"/>
          <w:footerReference r:id="rId14" w:type="first"/>
          <w:headerReference r:id="rId11" w:type="even"/>
          <w:footerReference r:id="rId13" w:type="even"/>
          <w:pgSz w:w="11906" w:h="16838"/>
          <w:pgMar w:top="1389" w:right="1247" w:bottom="1389" w:left="1247" w:header="851" w:footer="992" w:gutter="284"/>
          <w:cols w:space="720" w:num="1"/>
          <w:docGrid w:linePitch="312" w:charSpace="0"/>
        </w:sectPr>
      </w:pPr>
    </w:p>
    <w:p>
      <w:pPr>
        <w:spacing w:line="600" w:lineRule="exact"/>
        <w:jc w:val="center"/>
        <w:rPr>
          <w:rFonts w:hAnsi="黑体"/>
        </w:rPr>
      </w:pPr>
      <w:r>
        <w:rPr>
          <w:rFonts w:hint="eastAsia" w:ascii="仿宋_GB2312" w:eastAsia="仿宋_GB2312"/>
          <w:bCs/>
          <w:sz w:val="28"/>
          <w:szCs w:val="28"/>
        </w:rPr>
        <w:t>2 法定代表人（负责人）授权书</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衢州市衢江区政府采购中心 ：</w:t>
      </w:r>
    </w:p>
    <w:p>
      <w:pPr>
        <w:spacing w:line="360" w:lineRule="auto"/>
        <w:ind w:left="139" w:leftChars="66"/>
        <w:rPr>
          <w:rFonts w:ascii="仿宋_GB2312" w:eastAsia="仿宋_GB2312"/>
          <w:sz w:val="28"/>
          <w:szCs w:val="28"/>
        </w:rPr>
      </w:pPr>
      <w:r>
        <w:rPr>
          <w:rFonts w:hint="eastAsia" w:ascii="仿宋_GB2312" w:eastAsia="仿宋_GB2312"/>
          <w:sz w:val="28"/>
          <w:szCs w:val="28"/>
        </w:rPr>
        <w:t>（投标人全称）法定代表人（负责人）授权（全权代表姓名）为全权代表，参加贵方组织的项目（项目编号：），并全权处理采购活动中的一切事宜。</w:t>
      </w:r>
    </w:p>
    <w:p>
      <w:pPr>
        <w:spacing w:beforeLines="50" w:afterLines="50" w:line="360" w:lineRule="auto"/>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签字或盖章：</w:t>
      </w:r>
    </w:p>
    <w:p>
      <w:pPr>
        <w:spacing w:beforeLines="50" w:afterLines="50" w:line="360" w:lineRule="auto"/>
        <w:rPr>
          <w:rFonts w:ascii="仿宋_GB2312" w:eastAsia="仿宋_GB2312"/>
          <w:sz w:val="28"/>
          <w:szCs w:val="28"/>
        </w:rPr>
      </w:pPr>
      <w:r>
        <w:rPr>
          <w:rFonts w:hint="eastAsia" w:ascii="仿宋_GB2312" w:eastAsia="仿宋_GB2312"/>
          <w:sz w:val="28"/>
          <w:szCs w:val="28"/>
        </w:rPr>
        <w:t>投标人全称（公章）：</w:t>
      </w:r>
    </w:p>
    <w:p>
      <w:pPr>
        <w:spacing w:beforeLines="50" w:afterLines="50" w:line="360" w:lineRule="auto"/>
        <w:rPr>
          <w:rFonts w:ascii="仿宋_GB2312" w:eastAsia="仿宋_GB2312"/>
          <w:sz w:val="28"/>
          <w:szCs w:val="28"/>
        </w:rPr>
      </w:pPr>
      <w:r>
        <w:rPr>
          <w:rFonts w:hint="eastAsia" w:ascii="仿宋_GB2312" w:eastAsia="仿宋_GB2312"/>
          <w:sz w:val="28"/>
          <w:szCs w:val="28"/>
        </w:rPr>
        <w:t>日  期：</w:t>
      </w:r>
    </w:p>
    <w:p>
      <w:pPr>
        <w:spacing w:line="360" w:lineRule="auto"/>
        <w:rPr>
          <w:rFonts w:ascii="仿宋_GB2312" w:eastAsia="仿宋_GB2312"/>
          <w:sz w:val="28"/>
          <w:szCs w:val="28"/>
        </w:rPr>
      </w:pPr>
      <w:r>
        <w:rPr>
          <w:rFonts w:hint="eastAsia" w:ascii="仿宋_GB2312" w:eastAsia="仿宋_GB2312"/>
          <w:sz w:val="28"/>
          <w:szCs w:val="28"/>
        </w:rPr>
        <w:t>附：</w:t>
      </w:r>
    </w:p>
    <w:p>
      <w:pPr>
        <w:spacing w:line="360" w:lineRule="auto"/>
        <w:rPr>
          <w:rFonts w:ascii="仿宋_GB2312" w:eastAsia="仿宋_GB2312"/>
          <w:sz w:val="28"/>
          <w:szCs w:val="28"/>
        </w:rPr>
      </w:pPr>
      <w:r>
        <w:rPr>
          <w:rFonts w:hint="eastAsia" w:ascii="仿宋_GB2312" w:eastAsia="仿宋_GB2312"/>
          <w:sz w:val="28"/>
          <w:szCs w:val="28"/>
        </w:rPr>
        <w:t>被授权代表姓名：           性别：</w:t>
      </w:r>
    </w:p>
    <w:p>
      <w:pPr>
        <w:spacing w:line="360" w:lineRule="auto"/>
        <w:rPr>
          <w:rFonts w:ascii="仿宋_GB2312" w:eastAsia="仿宋_GB2312"/>
          <w:sz w:val="28"/>
          <w:szCs w:val="28"/>
        </w:rPr>
      </w:pPr>
      <w:r>
        <w:rPr>
          <w:rFonts w:hint="eastAsia" w:ascii="仿宋_GB2312" w:eastAsia="仿宋_GB2312"/>
          <w:sz w:val="28"/>
          <w:szCs w:val="28"/>
        </w:rPr>
        <w:t>职务：                   职称：</w:t>
      </w:r>
    </w:p>
    <w:p>
      <w:pPr>
        <w:spacing w:line="360" w:lineRule="auto"/>
        <w:rPr>
          <w:rFonts w:ascii="仿宋_GB2312" w:eastAsia="仿宋_GB2312"/>
          <w:sz w:val="28"/>
          <w:szCs w:val="28"/>
        </w:rPr>
      </w:pPr>
      <w:r>
        <w:rPr>
          <w:rFonts w:hint="eastAsia" w:ascii="仿宋_GB2312" w:eastAsia="仿宋_GB2312"/>
          <w:sz w:val="28"/>
          <w:szCs w:val="28"/>
        </w:rPr>
        <w:t>详细通讯地址：</w:t>
      </w:r>
    </w:p>
    <w:p>
      <w:pPr>
        <w:spacing w:line="360" w:lineRule="auto"/>
        <w:rPr>
          <w:rFonts w:ascii="仿宋_GB2312" w:eastAsia="仿宋_GB2312"/>
          <w:sz w:val="28"/>
          <w:szCs w:val="28"/>
        </w:rPr>
      </w:pPr>
      <w:r>
        <w:rPr>
          <w:rFonts w:hint="eastAsia" w:ascii="仿宋_GB2312" w:eastAsia="仿宋_GB2312"/>
          <w:sz w:val="28"/>
          <w:szCs w:val="28"/>
        </w:rPr>
        <w:t>电话：                   传真：</w:t>
      </w:r>
    </w:p>
    <w:p>
      <w:pPr>
        <w:spacing w:line="360" w:lineRule="auto"/>
        <w:rPr>
          <w:rFonts w:ascii="仿宋_GB2312" w:eastAsia="仿宋_GB2312"/>
          <w:sz w:val="28"/>
          <w:szCs w:val="28"/>
        </w:rPr>
      </w:pPr>
      <w:r>
        <w:rPr>
          <w:rFonts w:hint="eastAsia" w:ascii="仿宋_GB2312" w:eastAsia="仿宋_GB2312"/>
          <w:sz w:val="28"/>
          <w:szCs w:val="28"/>
        </w:rPr>
        <w:t>移动电话：</w:t>
      </w:r>
    </w:p>
    <w:p>
      <w:pPr>
        <w:spacing w:line="360" w:lineRule="auto"/>
        <w:rPr>
          <w:rFonts w:ascii="仿宋_GB2312" w:eastAsia="仿宋_GB2312"/>
          <w:sz w:val="28"/>
          <w:szCs w:val="28"/>
        </w:rPr>
      </w:pPr>
      <w:r>
        <w:rPr>
          <w:rFonts w:hint="eastAsia" w:ascii="仿宋_GB2312" w:eastAsia="仿宋_GB2312"/>
          <w:sz w:val="28"/>
          <w:szCs w:val="28"/>
        </w:rPr>
        <w:t>邮政编码：</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500" w:lineRule="exact"/>
        <w:rPr>
          <w:rFonts w:ascii="仿宋_GB2312" w:eastAsia="仿宋_GB2312"/>
          <w:b/>
          <w:color w:val="FF0000"/>
          <w:sz w:val="28"/>
          <w:szCs w:val="28"/>
        </w:rPr>
      </w:pPr>
      <w:r>
        <w:rPr>
          <w:rFonts w:hint="eastAsia" w:ascii="仿宋_GB2312" w:eastAsia="仿宋_GB2312"/>
          <w:b/>
          <w:color w:val="FF0000"/>
          <w:sz w:val="28"/>
          <w:szCs w:val="28"/>
        </w:rPr>
        <w:t>注：</w:t>
      </w:r>
      <w:r>
        <w:rPr>
          <w:rFonts w:hint="eastAsia" w:ascii="仿宋_GB2312" w:eastAsia="仿宋_GB2312"/>
          <w:b/>
          <w:bCs/>
          <w:color w:val="FF0000"/>
          <w:sz w:val="28"/>
          <w:szCs w:val="28"/>
        </w:rPr>
        <w:t>法定代表人（负责人）授权书原件在递交投标文件时单独提供，无需密封进投标文件。</w:t>
      </w:r>
    </w:p>
    <w:p>
      <w:pPr>
        <w:spacing w:line="360" w:lineRule="auto"/>
        <w:rPr>
          <w:rFonts w:ascii="仿宋_GB2312" w:eastAsia="仿宋_GB2312"/>
          <w:sz w:val="28"/>
          <w:szCs w:val="28"/>
        </w:rPr>
      </w:pPr>
    </w:p>
    <w:p>
      <w:pPr>
        <w:spacing w:line="500" w:lineRule="exact"/>
        <w:jc w:val="center"/>
        <w:rPr>
          <w:rFonts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3  投标人</w:t>
      </w:r>
      <w:r>
        <w:rPr>
          <w:rFonts w:hint="eastAsia" w:ascii="仿宋_GB2312" w:eastAsia="仿宋_GB2312"/>
          <w:bCs/>
          <w:sz w:val="28"/>
          <w:szCs w:val="28"/>
        </w:rPr>
        <w:t>资格声明</w:t>
      </w:r>
    </w:p>
    <w:p>
      <w:pPr>
        <w:tabs>
          <w:tab w:val="left" w:pos="1824"/>
        </w:tabs>
        <w:autoSpaceDE w:val="0"/>
        <w:autoSpaceDN w:val="0"/>
        <w:adjustRightInd w:val="0"/>
        <w:spacing w:line="560" w:lineRule="exact"/>
        <w:ind w:left="1824" w:hanging="1824"/>
        <w:rPr>
          <w:rFonts w:ascii="仿宋_GB2312" w:eastAsia="仿宋_GB2312"/>
          <w:sz w:val="28"/>
          <w:szCs w:val="28"/>
        </w:rPr>
      </w:pPr>
      <w:r>
        <w:rPr>
          <w:rFonts w:hint="eastAsia" w:ascii="仿宋_GB2312" w:eastAsia="仿宋_GB2312"/>
          <w:sz w:val="28"/>
          <w:szCs w:val="28"/>
          <w:lang w:val="zh-CN"/>
        </w:rPr>
        <w:t>1、基本情况</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投标人名称：</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地   址：电  话：</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成立和注册日期：</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主管部门：</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公司性质：</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主要负责人：</w:t>
      </w:r>
      <w:r>
        <w:rPr>
          <w:rFonts w:hint="eastAsia" w:ascii="仿宋_GB2312" w:eastAsia="仿宋_GB2312"/>
          <w:sz w:val="28"/>
          <w:szCs w:val="28"/>
          <w:u w:val="single"/>
          <w:lang w:val="zh-CN"/>
        </w:rPr>
        <w:t xml:space="preserve">             　　　</w:t>
      </w:r>
    </w:p>
    <w:p>
      <w:pPr>
        <w:tabs>
          <w:tab w:val="left" w:pos="840"/>
        </w:tabs>
        <w:autoSpaceDE w:val="0"/>
        <w:autoSpaceDN w:val="0"/>
        <w:adjustRightInd w:val="0"/>
        <w:spacing w:line="560" w:lineRule="exact"/>
        <w:ind w:left="840" w:hanging="360"/>
        <w:rPr>
          <w:rFonts w:ascii="仿宋_GB2312" w:eastAsia="仿宋_GB2312"/>
          <w:sz w:val="28"/>
          <w:szCs w:val="28"/>
          <w:lang w:val="zh-CN"/>
        </w:rPr>
      </w:pPr>
      <w:r>
        <w:rPr>
          <w:rFonts w:hint="eastAsia" w:ascii="仿宋_GB2312" w:eastAsia="仿宋_GB2312"/>
          <w:sz w:val="28"/>
          <w:szCs w:val="28"/>
          <w:lang w:val="zh-CN"/>
        </w:rPr>
        <w:t>职工人数：(其中:技术人员)</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最近公司(企业)的主要财务情况（到</w:t>
      </w:r>
      <w:r>
        <w:rPr>
          <w:rFonts w:hint="eastAsia" w:ascii="仿宋_GB2312" w:eastAsia="仿宋_GB2312"/>
          <w:b/>
          <w:bCs/>
          <w:sz w:val="28"/>
          <w:szCs w:val="28"/>
          <w:lang w:val="zh-CN"/>
        </w:rPr>
        <w:t>2018年12月31日</w:t>
      </w:r>
      <w:r>
        <w:rPr>
          <w:rFonts w:hint="eastAsia" w:ascii="仿宋_GB2312" w:eastAsia="仿宋_GB2312"/>
          <w:sz w:val="28"/>
          <w:szCs w:val="28"/>
          <w:lang w:val="zh-CN"/>
        </w:rPr>
        <w:t>止）</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注册资金：</w:t>
      </w:r>
    </w:p>
    <w:p>
      <w:pPr>
        <w:tabs>
          <w:tab w:val="left" w:pos="840"/>
        </w:tabs>
        <w:autoSpaceDE w:val="0"/>
        <w:autoSpaceDN w:val="0"/>
        <w:adjustRightInd w:val="0"/>
        <w:spacing w:line="560" w:lineRule="exact"/>
        <w:ind w:left="840" w:hanging="360"/>
        <w:rPr>
          <w:rFonts w:ascii="仿宋_GB2312" w:eastAsia="仿宋_GB2312"/>
          <w:sz w:val="28"/>
          <w:szCs w:val="28"/>
          <w:lang w:val="zh-CN"/>
        </w:rPr>
      </w:pPr>
      <w:r>
        <w:rPr>
          <w:rFonts w:hint="eastAsia" w:ascii="仿宋_GB2312" w:eastAsia="仿宋_GB2312"/>
          <w:sz w:val="28"/>
          <w:szCs w:val="28"/>
          <w:lang w:val="zh-CN"/>
        </w:rPr>
        <w:t>固定资产：</w:t>
      </w:r>
    </w:p>
    <w:p>
      <w:pPr>
        <w:autoSpaceDE w:val="0"/>
        <w:autoSpaceDN w:val="0"/>
        <w:adjustRightInd w:val="0"/>
        <w:spacing w:line="560" w:lineRule="exact"/>
        <w:ind w:left="480"/>
        <w:rPr>
          <w:rFonts w:ascii="仿宋_GB2312" w:eastAsia="仿宋_GB2312"/>
          <w:sz w:val="28"/>
          <w:szCs w:val="28"/>
          <w:u w:val="single"/>
          <w:lang w:val="zh-CN"/>
        </w:rPr>
      </w:pPr>
      <w:r>
        <w:rPr>
          <w:rFonts w:hint="eastAsia" w:ascii="仿宋_GB2312" w:eastAsia="仿宋_GB2312"/>
          <w:sz w:val="28"/>
          <w:szCs w:val="28"/>
          <w:lang w:val="zh-CN"/>
        </w:rPr>
        <w:t xml:space="preserve">   原值：</w:t>
      </w:r>
    </w:p>
    <w:p>
      <w:pPr>
        <w:autoSpaceDE w:val="0"/>
        <w:autoSpaceDN w:val="0"/>
        <w:adjustRightInd w:val="0"/>
        <w:spacing w:line="560" w:lineRule="exact"/>
        <w:ind w:left="480"/>
        <w:rPr>
          <w:rFonts w:ascii="仿宋_GB2312" w:eastAsia="仿宋_GB2312"/>
          <w:sz w:val="28"/>
          <w:szCs w:val="28"/>
        </w:rPr>
      </w:pPr>
      <w:r>
        <w:rPr>
          <w:rFonts w:hint="eastAsia" w:ascii="仿宋_GB2312" w:eastAsia="仿宋_GB2312"/>
          <w:sz w:val="28"/>
          <w:szCs w:val="28"/>
          <w:lang w:val="zh-CN"/>
        </w:rPr>
        <w:t xml:space="preserve">   净值：</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流动资产：</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长期负债：</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短期负债：</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营业收入/主营业务收入：</w:t>
      </w:r>
    </w:p>
    <w:p>
      <w:pPr>
        <w:tabs>
          <w:tab w:val="left" w:pos="840"/>
        </w:tabs>
        <w:autoSpaceDE w:val="0"/>
        <w:autoSpaceDN w:val="0"/>
        <w:adjustRightInd w:val="0"/>
        <w:spacing w:line="560" w:lineRule="exact"/>
        <w:ind w:left="840" w:hanging="360"/>
        <w:rPr>
          <w:rFonts w:ascii="仿宋_GB2312" w:eastAsia="仿宋_GB2312"/>
          <w:sz w:val="28"/>
          <w:szCs w:val="28"/>
        </w:rPr>
      </w:pPr>
      <w:r>
        <w:rPr>
          <w:rFonts w:hint="eastAsia" w:ascii="仿宋_GB2312" w:eastAsia="仿宋_GB2312"/>
          <w:sz w:val="28"/>
          <w:szCs w:val="28"/>
          <w:lang w:val="zh-CN"/>
        </w:rPr>
        <w:t>利润：</w:t>
      </w:r>
    </w:p>
    <w:p>
      <w:pPr>
        <w:autoSpaceDE w:val="0"/>
        <w:autoSpaceDN w:val="0"/>
        <w:adjustRightInd w:val="0"/>
        <w:spacing w:line="560" w:lineRule="exact"/>
        <w:rPr>
          <w:rFonts w:ascii="仿宋_GB2312" w:eastAsia="仿宋_GB2312"/>
          <w:sz w:val="28"/>
          <w:szCs w:val="28"/>
        </w:rPr>
      </w:pPr>
      <w:r>
        <w:rPr>
          <w:rFonts w:hint="eastAsia" w:ascii="仿宋_GB2312" w:eastAsia="仿宋_GB2312"/>
          <w:sz w:val="28"/>
          <w:szCs w:val="28"/>
          <w:lang w:val="zh-CN"/>
        </w:rPr>
        <w:t xml:space="preserve">  2、最近二年的年度总营业额：</w:t>
      </w:r>
    </w:p>
    <w:p>
      <w:pPr>
        <w:autoSpaceDE w:val="0"/>
        <w:autoSpaceDN w:val="0"/>
        <w:adjustRightInd w:val="0"/>
        <w:spacing w:line="560" w:lineRule="exact"/>
        <w:rPr>
          <w:rFonts w:ascii="仿宋_GB2312" w:eastAsia="仿宋_GB2312"/>
          <w:sz w:val="28"/>
          <w:szCs w:val="28"/>
          <w:u w:val="single"/>
        </w:rPr>
      </w:pPr>
      <w:r>
        <w:rPr>
          <w:rFonts w:hint="eastAsia" w:ascii="仿宋_GB2312" w:eastAsia="仿宋_GB2312"/>
          <w:sz w:val="28"/>
          <w:szCs w:val="28"/>
          <w:lang w:val="zh-CN"/>
        </w:rPr>
        <w:t xml:space="preserve">    年   份    总  额</w:t>
      </w:r>
    </w:p>
    <w:p>
      <w:pPr>
        <w:autoSpaceDE w:val="0"/>
        <w:autoSpaceDN w:val="0"/>
        <w:adjustRightInd w:val="0"/>
        <w:spacing w:line="560" w:lineRule="exact"/>
        <w:ind w:firstLine="480"/>
        <w:rPr>
          <w:rFonts w:ascii="仿宋_GB2312" w:eastAsia="仿宋_GB2312"/>
          <w:sz w:val="28"/>
          <w:szCs w:val="28"/>
          <w:u w:val="single"/>
          <w:lang w:val="zh-CN"/>
        </w:rPr>
      </w:pPr>
      <w:r>
        <w:rPr>
          <w:rFonts w:hint="eastAsia" w:ascii="仿宋_GB2312" w:eastAsia="仿宋_GB2312"/>
          <w:sz w:val="28"/>
          <w:szCs w:val="28"/>
          <w:u w:val="single"/>
          <w:lang w:val="zh-CN"/>
        </w:rPr>
        <w:t>年</w:t>
      </w:r>
    </w:p>
    <w:p>
      <w:pPr>
        <w:autoSpaceDE w:val="0"/>
        <w:autoSpaceDN w:val="0"/>
        <w:adjustRightInd w:val="0"/>
        <w:spacing w:line="560" w:lineRule="exact"/>
        <w:ind w:firstLine="480"/>
        <w:rPr>
          <w:rFonts w:ascii="仿宋_GB2312" w:eastAsia="仿宋_GB2312"/>
          <w:sz w:val="28"/>
          <w:szCs w:val="28"/>
          <w:u w:val="single"/>
          <w:lang w:val="zh-CN"/>
        </w:rPr>
      </w:pPr>
      <w:r>
        <w:rPr>
          <w:rFonts w:hint="eastAsia" w:ascii="仿宋_GB2312" w:eastAsia="仿宋_GB2312"/>
          <w:sz w:val="28"/>
          <w:szCs w:val="28"/>
          <w:u w:val="single"/>
          <w:lang w:val="zh-CN"/>
        </w:rPr>
        <w:t>年</w:t>
      </w:r>
    </w:p>
    <w:p>
      <w:pPr>
        <w:autoSpaceDE w:val="0"/>
        <w:autoSpaceDN w:val="0"/>
        <w:adjustRightInd w:val="0"/>
        <w:spacing w:line="560" w:lineRule="exact"/>
        <w:ind w:firstLine="240"/>
        <w:rPr>
          <w:rFonts w:ascii="仿宋_GB2312" w:eastAsia="仿宋_GB2312"/>
          <w:sz w:val="28"/>
          <w:szCs w:val="28"/>
        </w:rPr>
      </w:pPr>
      <w:r>
        <w:rPr>
          <w:rFonts w:hint="eastAsia" w:ascii="仿宋_GB2312" w:eastAsia="仿宋_GB2312"/>
          <w:sz w:val="28"/>
          <w:szCs w:val="28"/>
          <w:lang w:val="zh-CN"/>
        </w:rPr>
        <w:t>3、最近二年与其他客户签订的较大项目合同：</w:t>
      </w:r>
    </w:p>
    <w:p>
      <w:pPr>
        <w:autoSpaceDE w:val="0"/>
        <w:autoSpaceDN w:val="0"/>
        <w:adjustRightInd w:val="0"/>
        <w:spacing w:line="560" w:lineRule="exact"/>
        <w:rPr>
          <w:rFonts w:ascii="仿宋_GB2312" w:eastAsia="仿宋_GB2312"/>
          <w:sz w:val="28"/>
          <w:szCs w:val="28"/>
          <w:u w:val="single"/>
        </w:rPr>
      </w:pPr>
      <w:r>
        <w:rPr>
          <w:rFonts w:hint="eastAsia" w:ascii="仿宋_GB2312" w:eastAsia="仿宋_GB2312"/>
          <w:sz w:val="28"/>
          <w:szCs w:val="28"/>
          <w:lang w:val="zh-CN"/>
        </w:rPr>
        <w:t>项目名称      地   址    　时  间  　金额(人民币元)</w:t>
      </w:r>
      <w:r>
        <w:rPr>
          <w:rFonts w:hint="eastAsia" w:ascii="仿宋_GB2312" w:eastAsia="仿宋_GB2312"/>
          <w:sz w:val="28"/>
          <w:szCs w:val="28"/>
        </w:rPr>
        <w:br w:type="textWrapping"/>
      </w:r>
      <w:r>
        <w:rPr>
          <w:rFonts w:hint="eastAsia" w:ascii="仿宋_GB2312" w:eastAsia="仿宋_GB2312"/>
          <w:sz w:val="28"/>
          <w:szCs w:val="28"/>
          <w:lang w:val="zh-CN"/>
        </w:rPr>
        <w:t xml:space="preserve">  　   　</w:t>
      </w:r>
      <w:r>
        <w:rPr>
          <w:rFonts w:hint="eastAsia" w:ascii="仿宋_GB2312" w:eastAsia="仿宋_GB2312"/>
          <w:sz w:val="28"/>
          <w:szCs w:val="28"/>
          <w:u w:val="single"/>
          <w:lang w:val="zh-CN"/>
        </w:rPr>
        <w:t xml:space="preserve">             　</w:t>
      </w:r>
    </w:p>
    <w:p>
      <w:pPr>
        <w:autoSpaceDE w:val="0"/>
        <w:autoSpaceDN w:val="0"/>
        <w:adjustRightInd w:val="0"/>
        <w:spacing w:line="560" w:lineRule="exact"/>
        <w:ind w:firstLine="240"/>
        <w:rPr>
          <w:rFonts w:ascii="仿宋_GB2312" w:eastAsia="仿宋_GB2312"/>
          <w:sz w:val="28"/>
          <w:szCs w:val="28"/>
          <w:u w:val="single"/>
          <w:lang w:val="zh-CN"/>
        </w:rPr>
      </w:pPr>
      <w:r>
        <w:rPr>
          <w:rFonts w:hint="eastAsia" w:ascii="仿宋_GB2312" w:eastAsia="仿宋_GB2312"/>
          <w:sz w:val="28"/>
          <w:szCs w:val="28"/>
          <w:lang w:val="zh-CN"/>
        </w:rPr>
        <w:t>4、投标人最近二年法律纠纷情况</w:t>
      </w:r>
      <w:r>
        <w:rPr>
          <w:rFonts w:hint="eastAsia" w:ascii="仿宋_GB2312" w:eastAsia="仿宋_GB2312"/>
          <w:sz w:val="28"/>
          <w:szCs w:val="28"/>
        </w:rPr>
        <w:br w:type="textWrapping"/>
      </w:r>
      <w:r>
        <w:rPr>
          <w:rFonts w:hint="eastAsia" w:ascii="仿宋_GB2312" w:eastAsia="仿宋_GB2312"/>
          <w:sz w:val="28"/>
          <w:szCs w:val="28"/>
          <w:lang w:val="zh-CN"/>
        </w:rPr>
        <w:t>时间     案由    涉及金额     目前办理情况</w:t>
      </w:r>
      <w:r>
        <w:rPr>
          <w:rFonts w:hint="eastAsia" w:ascii="仿宋_GB2312" w:eastAsia="仿宋_GB2312"/>
          <w:sz w:val="28"/>
          <w:szCs w:val="28"/>
        </w:rPr>
        <w:br w:type="textWrapping"/>
      </w:r>
    </w:p>
    <w:p>
      <w:pPr>
        <w:autoSpaceDE w:val="0"/>
        <w:autoSpaceDN w:val="0"/>
        <w:adjustRightInd w:val="0"/>
        <w:spacing w:line="560" w:lineRule="exact"/>
        <w:ind w:firstLine="240"/>
        <w:rPr>
          <w:rFonts w:ascii="仿宋_GB2312" w:eastAsia="仿宋_GB2312"/>
          <w:sz w:val="28"/>
          <w:szCs w:val="28"/>
        </w:rPr>
      </w:pPr>
      <w:r>
        <w:rPr>
          <w:rFonts w:hint="eastAsia" w:ascii="仿宋_GB2312" w:eastAsia="仿宋_GB2312"/>
          <w:sz w:val="28"/>
          <w:szCs w:val="28"/>
          <w:lang w:val="zh-CN"/>
        </w:rPr>
        <w:t>5、有关银行的名称和地址：</w:t>
      </w:r>
    </w:p>
    <w:p>
      <w:pPr>
        <w:autoSpaceDE w:val="0"/>
        <w:autoSpaceDN w:val="0"/>
        <w:adjustRightInd w:val="0"/>
        <w:spacing w:line="560" w:lineRule="exact"/>
        <w:ind w:firstLine="240"/>
        <w:rPr>
          <w:rFonts w:ascii="仿宋_GB2312" w:eastAsia="仿宋_GB2312"/>
          <w:sz w:val="28"/>
          <w:szCs w:val="28"/>
        </w:rPr>
      </w:pPr>
      <w:r>
        <w:rPr>
          <w:rFonts w:hint="eastAsia" w:ascii="仿宋_GB2312" w:eastAsia="仿宋_GB2312"/>
          <w:sz w:val="28"/>
          <w:szCs w:val="28"/>
          <w:lang w:val="zh-CN"/>
        </w:rPr>
        <w:t>6、其他情况：</w:t>
      </w:r>
    </w:p>
    <w:p>
      <w:pPr>
        <w:autoSpaceDE w:val="0"/>
        <w:autoSpaceDN w:val="0"/>
        <w:adjustRightInd w:val="0"/>
        <w:spacing w:line="560" w:lineRule="exact"/>
        <w:ind w:firstLine="480"/>
        <w:rPr>
          <w:rFonts w:ascii="仿宋_GB2312" w:eastAsia="仿宋_GB2312"/>
          <w:sz w:val="28"/>
          <w:szCs w:val="28"/>
        </w:rPr>
      </w:pPr>
      <w:r>
        <w:rPr>
          <w:rFonts w:hint="eastAsia" w:ascii="仿宋_GB2312" w:eastAsia="仿宋_GB2312"/>
          <w:sz w:val="28"/>
          <w:szCs w:val="28"/>
          <w:lang w:val="zh-CN"/>
        </w:rPr>
        <w:t>就我们所知，兹证明上述声明是真实的、正确的，并提供了全部能提供资料和数据，我们同意遵照贵方要求出示此证明文件。</w:t>
      </w:r>
    </w:p>
    <w:p>
      <w:pPr>
        <w:autoSpaceDE w:val="0"/>
        <w:autoSpaceDN w:val="0"/>
        <w:adjustRightInd w:val="0"/>
        <w:spacing w:line="560" w:lineRule="exact"/>
        <w:ind w:firstLine="480"/>
        <w:rPr>
          <w:rFonts w:ascii="仿宋_GB2312" w:eastAsia="仿宋_GB2312"/>
          <w:sz w:val="28"/>
          <w:szCs w:val="28"/>
        </w:rPr>
      </w:pPr>
    </w:p>
    <w:p>
      <w:pPr>
        <w:autoSpaceDE w:val="0"/>
        <w:autoSpaceDN w:val="0"/>
        <w:adjustRightInd w:val="0"/>
        <w:spacing w:line="560" w:lineRule="exact"/>
        <w:ind w:firstLine="480"/>
        <w:rPr>
          <w:rFonts w:ascii="仿宋_GB2312" w:eastAsia="仿宋_GB2312"/>
          <w:sz w:val="28"/>
          <w:szCs w:val="28"/>
        </w:rPr>
      </w:pPr>
    </w:p>
    <w:p>
      <w:pPr>
        <w:autoSpaceDE w:val="0"/>
        <w:autoSpaceDN w:val="0"/>
        <w:adjustRightInd w:val="0"/>
        <w:spacing w:line="560" w:lineRule="exact"/>
        <w:ind w:firstLine="480"/>
        <w:rPr>
          <w:rFonts w:ascii="仿宋_GB2312" w:eastAsia="仿宋_GB2312"/>
          <w:sz w:val="28"/>
          <w:szCs w:val="28"/>
        </w:rPr>
      </w:pPr>
    </w:p>
    <w:p>
      <w:pPr>
        <w:autoSpaceDE w:val="0"/>
        <w:autoSpaceDN w:val="0"/>
        <w:adjustRightInd w:val="0"/>
        <w:spacing w:line="560" w:lineRule="exact"/>
        <w:ind w:firstLine="480"/>
        <w:rPr>
          <w:rFonts w:ascii="仿宋_GB2312" w:eastAsia="仿宋_GB2312"/>
          <w:sz w:val="28"/>
          <w:szCs w:val="28"/>
        </w:rPr>
      </w:pPr>
      <w:r>
        <w:rPr>
          <w:rFonts w:hint="eastAsia" w:ascii="仿宋_GB2312" w:eastAsia="仿宋_GB2312"/>
          <w:sz w:val="28"/>
          <w:szCs w:val="28"/>
          <w:lang w:val="zh-CN"/>
        </w:rPr>
        <w:t>日期</w:t>
      </w:r>
      <w:r>
        <w:rPr>
          <w:rFonts w:hint="eastAsia" w:ascii="仿宋_GB2312" w:eastAsia="仿宋_GB2312"/>
          <w:sz w:val="28"/>
          <w:szCs w:val="28"/>
        </w:rPr>
        <w:t>：</w:t>
      </w:r>
    </w:p>
    <w:p>
      <w:pPr>
        <w:autoSpaceDE w:val="0"/>
        <w:autoSpaceDN w:val="0"/>
        <w:adjustRightInd w:val="0"/>
        <w:spacing w:line="560" w:lineRule="exact"/>
        <w:ind w:firstLine="480"/>
        <w:rPr>
          <w:rFonts w:ascii="仿宋_GB2312" w:eastAsia="仿宋_GB2312"/>
          <w:sz w:val="28"/>
          <w:szCs w:val="28"/>
        </w:rPr>
      </w:pPr>
      <w:r>
        <w:rPr>
          <w:rFonts w:hint="eastAsia" w:ascii="仿宋_GB2312" w:eastAsia="仿宋_GB2312"/>
          <w:sz w:val="28"/>
          <w:szCs w:val="28"/>
          <w:lang w:val="zh-CN"/>
        </w:rPr>
        <w:t>被授权代表签字：</w:t>
      </w:r>
    </w:p>
    <w:p>
      <w:pPr>
        <w:autoSpaceDE w:val="0"/>
        <w:autoSpaceDN w:val="0"/>
        <w:adjustRightInd w:val="0"/>
        <w:spacing w:line="560" w:lineRule="exact"/>
        <w:ind w:firstLine="480"/>
        <w:rPr>
          <w:rFonts w:ascii="仿宋_GB2312" w:eastAsia="仿宋_GB2312"/>
          <w:sz w:val="28"/>
          <w:szCs w:val="28"/>
        </w:rPr>
      </w:pPr>
      <w:r>
        <w:rPr>
          <w:rFonts w:hint="eastAsia" w:ascii="仿宋_GB2312" w:eastAsia="仿宋_GB2312"/>
          <w:sz w:val="28"/>
          <w:szCs w:val="28"/>
          <w:lang w:val="zh-CN"/>
        </w:rPr>
        <w:t>被授权代表的印刷字体姓名：</w:t>
      </w:r>
    </w:p>
    <w:p>
      <w:pPr>
        <w:autoSpaceDE w:val="0"/>
        <w:autoSpaceDN w:val="0"/>
        <w:adjustRightInd w:val="0"/>
        <w:spacing w:line="560" w:lineRule="exact"/>
        <w:ind w:firstLine="480"/>
        <w:rPr>
          <w:rFonts w:ascii="仿宋_GB2312" w:eastAsia="仿宋_GB2312"/>
          <w:sz w:val="28"/>
          <w:szCs w:val="28"/>
        </w:rPr>
      </w:pPr>
      <w:r>
        <w:rPr>
          <w:rFonts w:hint="eastAsia" w:ascii="仿宋_GB2312" w:eastAsia="仿宋_GB2312"/>
          <w:sz w:val="28"/>
          <w:szCs w:val="28"/>
          <w:lang w:val="zh-CN"/>
        </w:rPr>
        <w:t>被授权代表的职务：</w:t>
      </w:r>
    </w:p>
    <w:p>
      <w:pPr>
        <w:autoSpaceDE w:val="0"/>
        <w:autoSpaceDN w:val="0"/>
        <w:adjustRightInd w:val="0"/>
        <w:spacing w:line="560" w:lineRule="exact"/>
        <w:ind w:firstLine="480"/>
        <w:rPr>
          <w:rFonts w:ascii="仿宋_GB2312" w:eastAsia="仿宋_GB2312"/>
          <w:sz w:val="28"/>
          <w:szCs w:val="28"/>
        </w:rPr>
      </w:pPr>
      <w:r>
        <w:rPr>
          <w:rFonts w:hint="eastAsia" w:ascii="仿宋_GB2312" w:eastAsia="仿宋_GB2312"/>
          <w:sz w:val="28"/>
          <w:szCs w:val="28"/>
          <w:lang w:val="zh-CN"/>
        </w:rPr>
        <w:t>电话号和传真号：</w:t>
      </w:r>
    </w:p>
    <w:p>
      <w:pPr>
        <w:autoSpaceDE w:val="0"/>
        <w:autoSpaceDN w:val="0"/>
        <w:adjustRightInd w:val="0"/>
        <w:spacing w:line="560" w:lineRule="exact"/>
        <w:ind w:firstLine="480"/>
        <w:rPr>
          <w:rFonts w:ascii="仿宋_GB2312" w:eastAsia="仿宋_GB2312"/>
          <w:sz w:val="28"/>
          <w:szCs w:val="28"/>
          <w:u w:val="single"/>
        </w:rPr>
      </w:pPr>
      <w:r>
        <w:rPr>
          <w:rFonts w:hint="eastAsia" w:ascii="仿宋_GB2312" w:eastAsia="仿宋_GB2312"/>
          <w:sz w:val="28"/>
          <w:szCs w:val="28"/>
          <w:lang w:val="zh-CN"/>
        </w:rPr>
        <w:t>公章</w:t>
      </w:r>
      <w:r>
        <w:rPr>
          <w:rFonts w:hint="eastAsia" w:ascii="仿宋_GB2312" w:eastAsia="仿宋_GB2312"/>
          <w:sz w:val="28"/>
          <w:szCs w:val="28"/>
        </w:rPr>
        <w:t>：</w:t>
      </w:r>
    </w:p>
    <w:p>
      <w:pPr>
        <w:pStyle w:val="223"/>
        <w:spacing w:line="540" w:lineRule="exact"/>
        <w:ind w:firstLine="0" w:firstLineChars="0"/>
        <w:jc w:val="center"/>
        <w:rPr>
          <w:rFonts w:ascii="Times New Roman" w:hAnsi="Times New Roman" w:eastAsia="宋体"/>
          <w:sz w:val="24"/>
          <w:szCs w:val="20"/>
          <w:u w:val="single"/>
        </w:rPr>
      </w:pPr>
    </w:p>
    <w:p>
      <w:pPr>
        <w:jc w:val="center"/>
        <w:rPr>
          <w:b/>
          <w:sz w:val="24"/>
        </w:rPr>
      </w:pPr>
      <w:r>
        <w:rPr>
          <w:rFonts w:ascii="Times New Roman" w:hAnsi="Times New Roman"/>
          <w:sz w:val="24"/>
          <w:u w:val="single"/>
        </w:rPr>
        <w:br w:type="page"/>
      </w:r>
      <w:bookmarkStart w:id="42" w:name="_Toc476645123"/>
      <w:r>
        <w:rPr>
          <w:rFonts w:hint="eastAsia" w:ascii="Times New Roman" w:hAnsi="Times New Roman"/>
          <w:sz w:val="28"/>
          <w:szCs w:val="28"/>
        </w:rPr>
        <w:t xml:space="preserve">4 </w:t>
      </w:r>
      <w:r>
        <w:rPr>
          <w:rFonts w:hint="eastAsia"/>
          <w:b/>
          <w:sz w:val="24"/>
        </w:rPr>
        <w:t>投标人、投标人法定代表人及本次投标的授权代表无行贿犯罪承诺表</w:t>
      </w:r>
    </w:p>
    <w:p>
      <w:pPr>
        <w:spacing w:line="360" w:lineRule="auto"/>
        <w:rPr>
          <w:rFonts w:ascii="宋体" w:hAnsi="宋体"/>
          <w:b/>
          <w:spacing w:val="20"/>
        </w:rPr>
      </w:pPr>
    </w:p>
    <w:tbl>
      <w:tblPr>
        <w:tblStyle w:val="5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592" w:type="dxa"/>
            <w:tcBorders>
              <w:top w:val="single" w:color="auto" w:sz="4" w:space="0"/>
              <w:left w:val="single" w:color="auto" w:sz="4" w:space="0"/>
              <w:bottom w:val="single" w:color="auto" w:sz="4" w:space="0"/>
              <w:right w:val="single" w:color="auto" w:sz="4" w:space="0"/>
            </w:tcBorders>
            <w:noWrap/>
            <w:vAlign w:val="center"/>
          </w:tcPr>
          <w:p>
            <w:pPr>
              <w:jc w:val="center"/>
              <w:rPr>
                <w:spacing w:val="2"/>
              </w:rPr>
            </w:pPr>
            <w:r>
              <w:rPr>
                <w:rFonts w:hint="eastAsia"/>
                <w:spacing w:val="2"/>
              </w:rPr>
              <w:t>内容</w:t>
            </w:r>
          </w:p>
        </w:tc>
        <w:tc>
          <w:tcPr>
            <w:tcW w:w="6264" w:type="dxa"/>
            <w:tcBorders>
              <w:top w:val="single" w:color="auto" w:sz="4" w:space="0"/>
              <w:left w:val="single" w:color="auto" w:sz="4" w:space="0"/>
              <w:bottom w:val="single" w:color="auto" w:sz="4" w:space="0"/>
              <w:right w:val="single" w:color="auto" w:sz="4" w:space="0"/>
            </w:tcBorders>
            <w:noWrap/>
            <w:vAlign w:val="center"/>
          </w:tcPr>
          <w:p>
            <w:pPr>
              <w:jc w:val="center"/>
              <w:rPr>
                <w:spacing w:val="2"/>
              </w:rPr>
            </w:pPr>
            <w:r>
              <w:rPr>
                <w:rFonts w:hint="eastAsia"/>
                <w:spacing w:val="2"/>
              </w:rPr>
              <w:t>投标截止之日起前3年内行贿犯罪情况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2592" w:type="dxa"/>
            <w:tcBorders>
              <w:top w:val="single" w:color="auto" w:sz="4" w:space="0"/>
              <w:left w:val="single" w:color="auto" w:sz="4" w:space="0"/>
              <w:bottom w:val="single" w:color="auto" w:sz="4" w:space="0"/>
              <w:right w:val="single" w:color="auto" w:sz="4" w:space="0"/>
            </w:tcBorders>
            <w:noWrap/>
            <w:vAlign w:val="center"/>
          </w:tcPr>
          <w:p>
            <w:pPr>
              <w:rPr>
                <w:spacing w:val="2"/>
              </w:rPr>
            </w:pPr>
            <w:r>
              <w:rPr>
                <w:spacing w:val="2"/>
              </w:rPr>
              <w:t>1</w:t>
            </w:r>
            <w:r>
              <w:rPr>
                <w:rFonts w:hint="eastAsia"/>
                <w:spacing w:val="2"/>
              </w:rPr>
              <w:t>、投标人行贿犯罪记录</w:t>
            </w:r>
          </w:p>
        </w:tc>
        <w:tc>
          <w:tcPr>
            <w:tcW w:w="6264" w:type="dxa"/>
            <w:tcBorders>
              <w:top w:val="single" w:color="auto" w:sz="4" w:space="0"/>
              <w:left w:val="single" w:color="auto" w:sz="4" w:space="0"/>
              <w:bottom w:val="single" w:color="auto" w:sz="4" w:space="0"/>
              <w:right w:val="single" w:color="auto" w:sz="4" w:space="0"/>
            </w:tcBorders>
            <w:noWrap/>
            <w:vAlign w:val="center"/>
          </w:tcPr>
          <w:p>
            <w:pPr>
              <w:rPr>
                <w:spacing w:val="2"/>
              </w:rPr>
            </w:pPr>
            <w:r>
              <w:rPr>
                <w:rFonts w:hint="eastAsia"/>
                <w:spacing w:val="2"/>
              </w:rPr>
              <w:t>投标人无行贿犯罪记录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592" w:type="dxa"/>
            <w:tcBorders>
              <w:top w:val="single" w:color="auto" w:sz="4" w:space="0"/>
              <w:left w:val="single" w:color="auto" w:sz="4" w:space="0"/>
              <w:bottom w:val="single" w:color="auto" w:sz="4" w:space="0"/>
              <w:right w:val="single" w:color="auto" w:sz="4" w:space="0"/>
            </w:tcBorders>
            <w:noWrap/>
            <w:vAlign w:val="center"/>
          </w:tcPr>
          <w:p>
            <w:pPr>
              <w:rPr>
                <w:spacing w:val="2"/>
              </w:rPr>
            </w:pPr>
            <w:r>
              <w:rPr>
                <w:spacing w:val="2"/>
              </w:rPr>
              <w:t>2</w:t>
            </w:r>
            <w:r>
              <w:rPr>
                <w:rFonts w:hint="eastAsia"/>
                <w:spacing w:val="2"/>
              </w:rPr>
              <w:t>、投标人法定代表人行贿犯罪记录</w:t>
            </w:r>
          </w:p>
        </w:tc>
        <w:tc>
          <w:tcPr>
            <w:tcW w:w="6264" w:type="dxa"/>
            <w:tcBorders>
              <w:top w:val="single" w:color="auto" w:sz="4" w:space="0"/>
              <w:left w:val="single" w:color="auto" w:sz="4" w:space="0"/>
              <w:bottom w:val="single" w:color="auto" w:sz="4" w:space="0"/>
              <w:right w:val="single" w:color="auto" w:sz="4" w:space="0"/>
            </w:tcBorders>
            <w:noWrap/>
            <w:vAlign w:val="center"/>
          </w:tcPr>
          <w:p>
            <w:pPr>
              <w:rPr>
                <w:spacing w:val="2"/>
              </w:rPr>
            </w:pPr>
            <w:r>
              <w:rPr>
                <w:rFonts w:hint="eastAsia"/>
                <w:spacing w:val="2"/>
              </w:rPr>
              <w:t>投标人法定代表人（姓名：、身份证号码：）无行贿犯罪记录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trPr>
        <w:tc>
          <w:tcPr>
            <w:tcW w:w="2592" w:type="dxa"/>
            <w:tcBorders>
              <w:top w:val="single" w:color="auto" w:sz="4" w:space="0"/>
              <w:left w:val="single" w:color="auto" w:sz="4" w:space="0"/>
              <w:bottom w:val="single" w:color="auto" w:sz="4" w:space="0"/>
              <w:right w:val="single" w:color="auto" w:sz="4" w:space="0"/>
            </w:tcBorders>
            <w:noWrap/>
            <w:vAlign w:val="center"/>
          </w:tcPr>
          <w:p>
            <w:pPr>
              <w:rPr>
                <w:spacing w:val="2"/>
              </w:rPr>
            </w:pPr>
            <w:r>
              <w:rPr>
                <w:spacing w:val="2"/>
              </w:rPr>
              <w:t>3</w:t>
            </w:r>
            <w:r>
              <w:rPr>
                <w:rFonts w:hint="eastAsia"/>
                <w:spacing w:val="2"/>
              </w:rPr>
              <w:t>、本次投标授权代表行贿犯罪记录</w:t>
            </w:r>
          </w:p>
        </w:tc>
        <w:tc>
          <w:tcPr>
            <w:tcW w:w="6264" w:type="dxa"/>
            <w:tcBorders>
              <w:top w:val="single" w:color="auto" w:sz="4" w:space="0"/>
              <w:left w:val="single" w:color="auto" w:sz="4" w:space="0"/>
              <w:bottom w:val="single" w:color="auto" w:sz="4" w:space="0"/>
              <w:right w:val="single" w:color="auto" w:sz="4" w:space="0"/>
            </w:tcBorders>
            <w:noWrap/>
            <w:vAlign w:val="center"/>
          </w:tcPr>
          <w:p>
            <w:pPr>
              <w:rPr>
                <w:spacing w:val="2"/>
              </w:rPr>
            </w:pPr>
            <w:r>
              <w:rPr>
                <w:rFonts w:hint="eastAsia"/>
                <w:spacing w:val="2"/>
              </w:rPr>
              <w:t>本次投标授权代表（姓名：、身份证号码：）无行贿犯罪记录</w:t>
            </w:r>
          </w:p>
        </w:tc>
      </w:tr>
    </w:tbl>
    <w:p>
      <w:pPr>
        <w:spacing w:line="360" w:lineRule="auto"/>
        <w:rPr>
          <w:b/>
          <w:spacing w:val="20"/>
          <w:sz w:val="24"/>
        </w:rPr>
      </w:pPr>
    </w:p>
    <w:p>
      <w:pPr>
        <w:spacing w:line="360" w:lineRule="auto"/>
        <w:rPr>
          <w:b/>
          <w:spacing w:val="20"/>
        </w:rPr>
      </w:pPr>
    </w:p>
    <w:p>
      <w:pPr>
        <w:rPr>
          <w:b/>
        </w:rPr>
      </w:pPr>
      <w:r>
        <w:rPr>
          <w:rFonts w:hint="eastAsia"/>
          <w:b/>
        </w:rPr>
        <w:t>投标人名称：（盖章）</w:t>
      </w:r>
    </w:p>
    <w:p>
      <w:pPr>
        <w:rPr>
          <w:b/>
        </w:rPr>
      </w:pPr>
    </w:p>
    <w:p>
      <w:pPr>
        <w:snapToGrid w:val="0"/>
        <w:spacing w:line="360" w:lineRule="auto"/>
        <w:ind w:left="-6" w:leftChars="-15" w:right="-817" w:rightChars="-389" w:hanging="25" w:hangingChars="12"/>
      </w:pPr>
      <w:r>
        <w:rPr>
          <w:rFonts w:hint="eastAsia"/>
          <w:b/>
        </w:rPr>
        <w:t>投标人代表签字：</w:t>
      </w:r>
    </w:p>
    <w:p>
      <w:pPr>
        <w:pStyle w:val="287"/>
        <w:widowControl/>
        <w:tabs>
          <w:tab w:val="left" w:pos="360"/>
        </w:tabs>
        <w:snapToGrid w:val="0"/>
        <w:spacing w:line="540" w:lineRule="exact"/>
        <w:ind w:right="84" w:rightChars="40"/>
        <w:jc w:val="left"/>
        <w:rPr>
          <w:rFonts w:ascii="仿宋_GB2312" w:eastAsia="仿宋_GB2312"/>
          <w:color w:val="000000"/>
          <w:sz w:val="28"/>
          <w:szCs w:val="28"/>
        </w:rPr>
        <w:sectPr>
          <w:pgSz w:w="11906" w:h="16838"/>
          <w:pgMar w:top="1389" w:right="1247" w:bottom="1389" w:left="1247" w:header="851" w:footer="992" w:gutter="567"/>
          <w:cols w:space="720" w:num="1"/>
          <w:docGrid w:linePitch="312" w:charSpace="0"/>
        </w:sectPr>
      </w:pPr>
    </w:p>
    <w:p>
      <w:pPr>
        <w:pStyle w:val="223"/>
        <w:spacing w:line="540" w:lineRule="exact"/>
        <w:ind w:firstLine="0" w:firstLineChars="0"/>
        <w:jc w:val="center"/>
        <w:rPr>
          <w:rFonts w:ascii="Times New Roman" w:hAnsi="Times New Roman" w:eastAsia="宋体"/>
          <w:sz w:val="24"/>
          <w:szCs w:val="20"/>
          <w:u w:val="single"/>
        </w:rPr>
      </w:pPr>
    </w:p>
    <w:p>
      <w:pPr>
        <w:pStyle w:val="223"/>
        <w:spacing w:line="540" w:lineRule="exact"/>
        <w:ind w:firstLine="0" w:firstLineChars="0"/>
        <w:jc w:val="center"/>
        <w:rPr>
          <w:rStyle w:val="107"/>
          <w:rFonts w:ascii="仿宋_GB2312" w:hAnsi="黑体" w:eastAsia="仿宋_GB2312"/>
          <w:sz w:val="28"/>
          <w:szCs w:val="28"/>
        </w:rPr>
      </w:pPr>
      <w:r>
        <w:rPr>
          <w:rStyle w:val="107"/>
          <w:rFonts w:hint="eastAsia" w:ascii="仿宋_GB2312" w:hAnsi="黑体" w:eastAsia="仿宋_GB2312"/>
          <w:sz w:val="28"/>
          <w:szCs w:val="28"/>
        </w:rPr>
        <w:t>三、技术商务文件格式</w:t>
      </w:r>
      <w:bookmarkEnd w:id="42"/>
    </w:p>
    <w:p>
      <w:pPr>
        <w:pStyle w:val="223"/>
        <w:spacing w:line="540" w:lineRule="exact"/>
        <w:ind w:firstLine="0" w:firstLineChars="0"/>
        <w:jc w:val="center"/>
        <w:rPr>
          <w:rFonts w:hAnsi="Times New Roman" w:cs="宋体"/>
          <w:sz w:val="28"/>
        </w:rPr>
      </w:pPr>
      <w:r>
        <w:rPr>
          <w:rFonts w:hint="eastAsia" w:hAnsi="Times New Roman" w:cs="宋体"/>
          <w:sz w:val="28"/>
        </w:rPr>
        <w:t>1 技术支持及服务承诺书</w:t>
      </w:r>
    </w:p>
    <w:p>
      <w:pPr>
        <w:pStyle w:val="191"/>
        <w:keepNext w:val="0"/>
        <w:keepLines w:val="0"/>
        <w:spacing w:beforeLines="50" w:afterLines="50" w:line="500" w:lineRule="exact"/>
        <w:jc w:val="both"/>
        <w:outlineLvl w:val="9"/>
        <w:rPr>
          <w:rFonts w:ascii="仿宋_GB2312" w:eastAsia="仿宋_GB2312"/>
          <w:b w:val="0"/>
          <w:bCs w:val="0"/>
          <w:sz w:val="28"/>
          <w:szCs w:val="28"/>
        </w:rPr>
      </w:pPr>
      <w:bookmarkStart w:id="43" w:name="_Toc15230"/>
      <w:bookmarkStart w:id="44" w:name="_Toc476645119"/>
      <w:bookmarkStart w:id="45" w:name="_Toc20778"/>
      <w:r>
        <w:rPr>
          <w:rFonts w:hint="eastAsia" w:ascii="仿宋_GB2312" w:eastAsia="仿宋_GB2312"/>
          <w:b w:val="0"/>
          <w:bCs w:val="0"/>
          <w:sz w:val="28"/>
          <w:szCs w:val="28"/>
        </w:rPr>
        <w:t>项目名称：</w:t>
      </w:r>
      <w:bookmarkEnd w:id="43"/>
      <w:bookmarkEnd w:id="44"/>
      <w:bookmarkEnd w:id="45"/>
    </w:p>
    <w:p>
      <w:pPr>
        <w:pStyle w:val="191"/>
        <w:keepNext w:val="0"/>
        <w:keepLines w:val="0"/>
        <w:spacing w:beforeLines="50" w:afterLines="50" w:line="500" w:lineRule="exact"/>
        <w:jc w:val="both"/>
        <w:outlineLvl w:val="9"/>
        <w:rPr>
          <w:rFonts w:ascii="仿宋_GB2312" w:hAnsi="Times New Roman" w:eastAsia="仿宋_GB2312"/>
          <w:b w:val="0"/>
          <w:bCs w:val="0"/>
          <w:sz w:val="28"/>
          <w:szCs w:val="28"/>
        </w:rPr>
      </w:pPr>
      <w:bookmarkStart w:id="46" w:name="_Toc4163"/>
      <w:bookmarkStart w:id="47" w:name="_Toc4179"/>
      <w:bookmarkStart w:id="48" w:name="_Toc476645120"/>
      <w:r>
        <w:rPr>
          <w:rFonts w:hint="eastAsia" w:ascii="仿宋_GB2312" w:eastAsia="仿宋_GB2312"/>
          <w:b w:val="0"/>
          <w:bCs w:val="0"/>
          <w:sz w:val="28"/>
          <w:szCs w:val="28"/>
        </w:rPr>
        <w:t>项目编号：</w:t>
      </w:r>
      <w:bookmarkEnd w:id="46"/>
      <w:bookmarkEnd w:id="47"/>
      <w:bookmarkEnd w:id="48"/>
    </w:p>
    <w:tbl>
      <w:tblPr>
        <w:tblStyle w:val="59"/>
        <w:tblW w:w="9193" w:type="dxa"/>
        <w:jc w:val="center"/>
        <w:tblInd w:w="0" w:type="dxa"/>
        <w:tblLayout w:type="fixed"/>
        <w:tblCellMar>
          <w:top w:w="0" w:type="dxa"/>
          <w:left w:w="0" w:type="dxa"/>
          <w:bottom w:w="0" w:type="dxa"/>
          <w:right w:w="0" w:type="dxa"/>
        </w:tblCellMar>
      </w:tblPr>
      <w:tblGrid>
        <w:gridCol w:w="740"/>
        <w:gridCol w:w="4106"/>
        <w:gridCol w:w="2547"/>
        <w:gridCol w:w="1800"/>
      </w:tblGrid>
      <w:tr>
        <w:tblPrEx>
          <w:tblLayout w:type="fixed"/>
          <w:tblCellMar>
            <w:top w:w="0" w:type="dxa"/>
            <w:left w:w="0" w:type="dxa"/>
            <w:bottom w:w="0" w:type="dxa"/>
            <w:right w:w="0" w:type="dxa"/>
          </w:tblCellMar>
        </w:tblPrEx>
        <w:trPr>
          <w:cantSplit/>
          <w:trHeight w:val="737" w:hRule="atLeast"/>
          <w:jc w:val="center"/>
        </w:trPr>
        <w:tc>
          <w:tcPr>
            <w:tcW w:w="740" w:type="dxa"/>
            <w:tcBorders>
              <w:top w:val="single" w:color="auto" w:sz="8" w:space="0"/>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序号</w:t>
            </w:r>
          </w:p>
        </w:tc>
        <w:tc>
          <w:tcPr>
            <w:tcW w:w="4106" w:type="dxa"/>
            <w:tcBorders>
              <w:top w:val="single" w:color="auto" w:sz="8" w:space="0"/>
              <w:left w:val="nil"/>
              <w:bottom w:val="single" w:color="auto" w:sz="8" w:space="0"/>
              <w:right w:val="single" w:color="auto" w:sz="4"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质量保障措施及服务内容</w:t>
            </w:r>
          </w:p>
        </w:tc>
        <w:tc>
          <w:tcPr>
            <w:tcW w:w="2547" w:type="dxa"/>
            <w:tcBorders>
              <w:top w:val="single" w:color="auto" w:sz="8" w:space="0"/>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承  诺</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备注</w:t>
            </w: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textAlignment w:val="baseline"/>
              <w:rPr>
                <w:rFonts w:ascii="仿宋_GB2312" w:eastAsia="仿宋_GB2312" w:cs="宋体"/>
                <w:sz w:val="28"/>
                <w:szCs w:val="28"/>
              </w:rPr>
            </w:pPr>
            <w:r>
              <w:rPr>
                <w:rFonts w:hint="eastAsia" w:ascii="仿宋_GB2312" w:eastAsia="仿宋_GB2312" w:cs="宋体"/>
                <w:sz w:val="28"/>
                <w:szCs w:val="28"/>
              </w:rPr>
              <w:t>保修时间及保修范围</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2</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有关技术人员现场免费提供安装、调试服务</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left"/>
              <w:rPr>
                <w:rFonts w:ascii="仿宋_GB2312" w:eastAsia="仿宋_GB2312" w:cs="宋体"/>
                <w:sz w:val="28"/>
                <w:szCs w:val="28"/>
              </w:rPr>
            </w:pPr>
          </w:p>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3</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免费换货期限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4</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免费上门服务期限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5</w:t>
            </w:r>
          </w:p>
        </w:tc>
        <w:tc>
          <w:tcPr>
            <w:tcW w:w="4106" w:type="dxa"/>
            <w:tcBorders>
              <w:top w:val="nil"/>
              <w:left w:val="nil"/>
              <w:bottom w:val="single" w:color="auto" w:sz="8"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质保期内产品故障服务响应时限</w:t>
            </w:r>
          </w:p>
        </w:tc>
        <w:tc>
          <w:tcPr>
            <w:tcW w:w="2547" w:type="dxa"/>
            <w:tcBorders>
              <w:top w:val="nil"/>
              <w:left w:val="single" w:color="auto" w:sz="4" w:space="0"/>
              <w:bottom w:val="single" w:color="auto" w:sz="8"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nil"/>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7</w:t>
            </w:r>
          </w:p>
        </w:tc>
        <w:tc>
          <w:tcPr>
            <w:tcW w:w="4106" w:type="dxa"/>
            <w:tcBorders>
              <w:top w:val="nil"/>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质保期满后的保修服务费用</w:t>
            </w:r>
          </w:p>
        </w:tc>
        <w:tc>
          <w:tcPr>
            <w:tcW w:w="2547" w:type="dxa"/>
            <w:tcBorders>
              <w:top w:val="nil"/>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8</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交货时间</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9</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是否有提供备品备件</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10</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是否有质保期外的服务承诺</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11</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货物品牌是否原装正品</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r>
        <w:tblPrEx>
          <w:tblLayout w:type="fixed"/>
          <w:tblCellMar>
            <w:top w:w="0" w:type="dxa"/>
            <w:left w:w="0" w:type="dxa"/>
            <w:bottom w:w="0" w:type="dxa"/>
            <w:right w:w="0" w:type="dxa"/>
          </w:tblCellMar>
        </w:tblPrEx>
        <w:trPr>
          <w:cantSplit/>
          <w:trHeight w:val="567" w:hRule="atLeast"/>
          <w:jc w:val="center"/>
        </w:trPr>
        <w:tc>
          <w:tcPr>
            <w:tcW w:w="740" w:type="dxa"/>
            <w:tcBorders>
              <w:top w:val="single" w:color="auto" w:sz="4" w:space="0"/>
              <w:left w:val="single" w:color="auto" w:sz="8"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r>
              <w:rPr>
                <w:rFonts w:hint="eastAsia" w:ascii="仿宋_GB2312" w:eastAsia="仿宋_GB2312" w:cs="宋体"/>
                <w:sz w:val="28"/>
                <w:szCs w:val="28"/>
              </w:rPr>
              <w:t>12</w:t>
            </w:r>
          </w:p>
        </w:tc>
        <w:tc>
          <w:tcPr>
            <w:tcW w:w="4106" w:type="dxa"/>
            <w:tcBorders>
              <w:top w:val="single" w:color="auto" w:sz="4" w:space="0"/>
              <w:left w:val="nil"/>
              <w:bottom w:val="single" w:color="auto" w:sz="4" w:space="0"/>
              <w:right w:val="single" w:color="auto" w:sz="4" w:space="0"/>
            </w:tcBorders>
            <w:vAlign w:val="center"/>
          </w:tcPr>
          <w:p>
            <w:pPr>
              <w:widowControl/>
              <w:spacing w:line="540" w:lineRule="exact"/>
              <w:ind w:left="105" w:leftChars="50" w:right="105" w:rightChars="50"/>
              <w:rPr>
                <w:rFonts w:ascii="仿宋_GB2312" w:eastAsia="仿宋_GB2312" w:cs="宋体"/>
                <w:sz w:val="28"/>
                <w:szCs w:val="28"/>
              </w:rPr>
            </w:pPr>
            <w:r>
              <w:rPr>
                <w:rFonts w:hint="eastAsia" w:ascii="仿宋_GB2312" w:eastAsia="仿宋_GB2312" w:cs="宋体"/>
                <w:sz w:val="28"/>
                <w:szCs w:val="28"/>
              </w:rPr>
              <w:t>其他</w:t>
            </w:r>
          </w:p>
        </w:tc>
        <w:tc>
          <w:tcPr>
            <w:tcW w:w="2547" w:type="dxa"/>
            <w:tcBorders>
              <w:top w:val="single" w:color="auto" w:sz="4" w:space="0"/>
              <w:left w:val="single" w:color="auto" w:sz="4" w:space="0"/>
              <w:bottom w:val="single" w:color="auto" w:sz="4" w:space="0"/>
              <w:right w:val="single" w:color="auto" w:sz="8" w:space="0"/>
            </w:tcBorders>
            <w:vAlign w:val="center"/>
          </w:tcPr>
          <w:p>
            <w:pPr>
              <w:widowControl/>
              <w:spacing w:line="540" w:lineRule="exact"/>
              <w:jc w:val="center"/>
              <w:rPr>
                <w:rFonts w:ascii="仿宋_GB2312" w:eastAsia="仿宋_GB2312" w:cs="宋体"/>
                <w:sz w:val="28"/>
                <w:szCs w:val="28"/>
              </w:rPr>
            </w:pPr>
          </w:p>
        </w:tc>
        <w:tc>
          <w:tcPr>
            <w:tcW w:w="180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40" w:lineRule="exact"/>
              <w:jc w:val="center"/>
              <w:rPr>
                <w:rFonts w:ascii="仿宋_GB2312" w:eastAsia="仿宋_GB2312" w:cs="宋体"/>
                <w:sz w:val="28"/>
                <w:szCs w:val="28"/>
              </w:rPr>
            </w:pPr>
          </w:p>
        </w:tc>
      </w:tr>
    </w:tbl>
    <w:p>
      <w:pPr>
        <w:autoSpaceDE w:val="0"/>
        <w:autoSpaceDN w:val="0"/>
        <w:adjustRightInd w:val="0"/>
        <w:spacing w:line="540" w:lineRule="exact"/>
        <w:rPr>
          <w:rFonts w:ascii="仿宋_GB2312" w:eastAsia="仿宋_GB2312" w:cs="宋体"/>
          <w:sz w:val="28"/>
          <w:szCs w:val="28"/>
        </w:rPr>
      </w:pPr>
    </w:p>
    <w:p>
      <w:pPr>
        <w:snapToGrid w:val="0"/>
        <w:spacing w:line="540" w:lineRule="exact"/>
        <w:rPr>
          <w:rFonts w:ascii="仿宋_GB2312" w:eastAsia="仿宋_GB2312"/>
          <w:sz w:val="28"/>
          <w:szCs w:val="28"/>
        </w:rPr>
      </w:pPr>
      <w:r>
        <w:rPr>
          <w:rFonts w:hint="eastAsia" w:ascii="仿宋_GB2312" w:eastAsia="仿宋_GB2312"/>
          <w:sz w:val="28"/>
          <w:szCs w:val="28"/>
        </w:rPr>
        <w:t>投标人（盖章）：</w:t>
      </w:r>
    </w:p>
    <w:p>
      <w:pPr>
        <w:snapToGrid w:val="0"/>
        <w:spacing w:line="540" w:lineRule="exact"/>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 xml:space="preserve">或其授权代表人（签字）：                                   </w:t>
      </w:r>
    </w:p>
    <w:p>
      <w:pPr>
        <w:autoSpaceDE w:val="0"/>
        <w:autoSpaceDN w:val="0"/>
        <w:adjustRightInd w:val="0"/>
        <w:snapToGrid w:val="0"/>
        <w:spacing w:line="540" w:lineRule="exact"/>
        <w:rPr>
          <w:rFonts w:ascii="仿宋_GB2312" w:eastAsia="仿宋_GB2312"/>
          <w:sz w:val="28"/>
          <w:szCs w:val="28"/>
        </w:rPr>
      </w:pPr>
      <w:r>
        <w:rPr>
          <w:rFonts w:hint="eastAsia" w:ascii="仿宋_GB2312" w:eastAsia="仿宋_GB2312"/>
          <w:sz w:val="28"/>
          <w:szCs w:val="28"/>
        </w:rPr>
        <w:t>日期：</w:t>
      </w:r>
    </w:p>
    <w:p>
      <w:pPr>
        <w:pStyle w:val="223"/>
        <w:spacing w:line="540" w:lineRule="exact"/>
        <w:ind w:firstLine="0" w:firstLineChars="0"/>
        <w:jc w:val="center"/>
        <w:rPr>
          <w:rFonts w:hAnsi="Times New Roman" w:cs="宋体"/>
          <w:sz w:val="28"/>
        </w:rPr>
      </w:pPr>
      <w:r>
        <w:rPr>
          <w:sz w:val="28"/>
        </w:rPr>
        <w:br w:type="page"/>
      </w:r>
      <w:r>
        <w:rPr>
          <w:rFonts w:hint="eastAsia" w:hAnsi="Times New Roman" w:cs="宋体"/>
          <w:sz w:val="28"/>
        </w:rPr>
        <w:t>2 节能环保产品清单</w:t>
      </w:r>
    </w:p>
    <w:p>
      <w:pPr>
        <w:pStyle w:val="191"/>
        <w:keepNext w:val="0"/>
        <w:keepLines w:val="0"/>
        <w:spacing w:before="0" w:after="0" w:line="500" w:lineRule="exact"/>
        <w:jc w:val="both"/>
        <w:outlineLvl w:val="9"/>
        <w:rPr>
          <w:rFonts w:ascii="仿宋_GB2312" w:eastAsia="仿宋_GB2312"/>
          <w:b w:val="0"/>
          <w:bCs w:val="0"/>
          <w:sz w:val="28"/>
          <w:szCs w:val="28"/>
        </w:rPr>
      </w:pPr>
      <w:bookmarkStart w:id="49" w:name="_Toc476644257"/>
      <w:bookmarkStart w:id="50" w:name="_Toc28982"/>
      <w:bookmarkStart w:id="51" w:name="_Toc476644618"/>
      <w:bookmarkStart w:id="52" w:name="_Toc476644712"/>
      <w:bookmarkStart w:id="53" w:name="_Toc6081"/>
      <w:r>
        <w:rPr>
          <w:rFonts w:hint="eastAsia" w:ascii="仿宋_GB2312" w:eastAsia="仿宋_GB2312"/>
          <w:b w:val="0"/>
          <w:bCs w:val="0"/>
          <w:sz w:val="28"/>
          <w:szCs w:val="28"/>
        </w:rPr>
        <w:t>项目名称：</w:t>
      </w:r>
      <w:bookmarkEnd w:id="49"/>
      <w:bookmarkEnd w:id="50"/>
      <w:bookmarkEnd w:id="51"/>
      <w:bookmarkEnd w:id="52"/>
      <w:bookmarkEnd w:id="53"/>
    </w:p>
    <w:p>
      <w:pPr>
        <w:pStyle w:val="191"/>
        <w:keepNext w:val="0"/>
        <w:keepLines w:val="0"/>
        <w:spacing w:before="0" w:after="0" w:line="500" w:lineRule="exact"/>
        <w:jc w:val="both"/>
        <w:outlineLvl w:val="9"/>
        <w:rPr>
          <w:rFonts w:hAnsi="Times New Roman" w:cs="宋体"/>
          <w:sz w:val="28"/>
        </w:rPr>
      </w:pPr>
      <w:bookmarkStart w:id="54" w:name="_Toc18536"/>
      <w:bookmarkStart w:id="55" w:name="_Toc476644713"/>
      <w:bookmarkStart w:id="56" w:name="_Toc476644258"/>
      <w:bookmarkStart w:id="57" w:name="_Toc11785"/>
      <w:bookmarkStart w:id="58" w:name="_Toc476644619"/>
      <w:r>
        <w:rPr>
          <w:rFonts w:hint="eastAsia" w:ascii="仿宋_GB2312" w:eastAsia="仿宋_GB2312"/>
          <w:b w:val="0"/>
          <w:bCs w:val="0"/>
          <w:sz w:val="28"/>
          <w:szCs w:val="28"/>
        </w:rPr>
        <w:t>项目编号：</w:t>
      </w:r>
      <w:bookmarkEnd w:id="54"/>
      <w:bookmarkEnd w:id="55"/>
      <w:bookmarkEnd w:id="56"/>
      <w:bookmarkEnd w:id="57"/>
      <w:bookmarkEnd w:id="58"/>
    </w:p>
    <w:tbl>
      <w:tblPr>
        <w:tblStyle w:val="59"/>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18"/>
        <w:gridCol w:w="2639"/>
        <w:gridCol w:w="1830"/>
        <w:gridCol w:w="158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44" w:type="dxa"/>
            <w:gridSpan w:val="6"/>
            <w:vAlign w:val="center"/>
          </w:tcPr>
          <w:p>
            <w:pPr>
              <w:rPr>
                <w:rFonts w:ascii="仿宋_GB2312" w:eastAsia="仿宋_GB2312"/>
                <w:b/>
                <w:sz w:val="28"/>
                <w:szCs w:val="28"/>
              </w:rPr>
            </w:pPr>
            <w:r>
              <w:rPr>
                <w:rFonts w:hint="eastAsia" w:ascii="仿宋_GB2312" w:eastAsia="仿宋_GB2312"/>
                <w:b/>
                <w:sz w:val="28"/>
                <w:szCs w:val="28"/>
              </w:rPr>
              <w:t>一、本次投标拟投入的节能产品说明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品牌</w:t>
            </w:r>
          </w:p>
        </w:tc>
        <w:tc>
          <w:tcPr>
            <w:tcW w:w="2639" w:type="dxa"/>
            <w:vAlign w:val="center"/>
          </w:tcPr>
          <w:p>
            <w:pPr>
              <w:jc w:val="center"/>
              <w:rPr>
                <w:rFonts w:ascii="仿宋_GB2312" w:eastAsia="仿宋_GB2312"/>
                <w:sz w:val="28"/>
                <w:szCs w:val="28"/>
              </w:rPr>
            </w:pPr>
            <w:r>
              <w:rPr>
                <w:rFonts w:hint="eastAsia" w:ascii="仿宋_GB2312" w:eastAsia="仿宋_GB2312"/>
                <w:sz w:val="28"/>
                <w:szCs w:val="28"/>
              </w:rPr>
              <w:t>产品型号</w:t>
            </w:r>
          </w:p>
        </w:tc>
        <w:tc>
          <w:tcPr>
            <w:tcW w:w="1830" w:type="dxa"/>
            <w:vAlign w:val="center"/>
          </w:tcPr>
          <w:p>
            <w:pPr>
              <w:jc w:val="center"/>
              <w:rPr>
                <w:rFonts w:ascii="仿宋_GB2312" w:eastAsia="仿宋_GB2312"/>
                <w:b/>
                <w:sz w:val="28"/>
                <w:szCs w:val="28"/>
              </w:rPr>
            </w:pPr>
            <w:r>
              <w:rPr>
                <w:rFonts w:hint="eastAsia" w:ascii="仿宋_GB2312" w:eastAsia="仿宋_GB2312"/>
                <w:b/>
                <w:bCs/>
                <w:sz w:val="28"/>
                <w:szCs w:val="28"/>
              </w:rPr>
              <w:t>认证证书编号</w:t>
            </w:r>
          </w:p>
        </w:tc>
        <w:tc>
          <w:tcPr>
            <w:tcW w:w="1586" w:type="dxa"/>
            <w:vAlign w:val="center"/>
          </w:tcPr>
          <w:p>
            <w:pPr>
              <w:jc w:val="center"/>
              <w:rPr>
                <w:rFonts w:ascii="仿宋_GB2312" w:eastAsia="仿宋_GB2312"/>
                <w:b/>
                <w:sz w:val="28"/>
                <w:szCs w:val="28"/>
              </w:rPr>
            </w:pPr>
            <w:r>
              <w:rPr>
                <w:rFonts w:hint="eastAsia" w:ascii="仿宋_GB2312" w:eastAsia="仿宋_GB2312"/>
                <w:b/>
                <w:sz w:val="28"/>
                <w:szCs w:val="28"/>
              </w:rPr>
              <w:t>发证机构名称</w:t>
            </w: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sz w:val="28"/>
                <w:szCs w:val="28"/>
              </w:rPr>
            </w:pPr>
          </w:p>
        </w:tc>
        <w:tc>
          <w:tcPr>
            <w:tcW w:w="1586"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818" w:type="dxa"/>
            <w:gridSpan w:val="5"/>
            <w:vAlign w:val="center"/>
          </w:tcPr>
          <w:p>
            <w:pPr>
              <w:rPr>
                <w:rFonts w:ascii="仿宋_GB2312" w:eastAsia="仿宋_GB2312"/>
                <w:b/>
                <w:sz w:val="28"/>
                <w:szCs w:val="28"/>
              </w:rPr>
            </w:pPr>
            <w:r>
              <w:rPr>
                <w:rFonts w:hint="eastAsia" w:ascii="仿宋_GB2312" w:eastAsia="仿宋_GB2312"/>
                <w:b/>
                <w:sz w:val="28"/>
                <w:szCs w:val="28"/>
              </w:rPr>
              <w:t>二、本次投标拟投入的环保产品说明</w:t>
            </w:r>
          </w:p>
        </w:tc>
        <w:tc>
          <w:tcPr>
            <w:tcW w:w="1526" w:type="dxa"/>
            <w:vAlign w:val="center"/>
          </w:tcPr>
          <w:p>
            <w:pPr>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品牌</w:t>
            </w:r>
          </w:p>
        </w:tc>
        <w:tc>
          <w:tcPr>
            <w:tcW w:w="2639" w:type="dxa"/>
            <w:vAlign w:val="center"/>
          </w:tcPr>
          <w:p>
            <w:pPr>
              <w:jc w:val="center"/>
              <w:rPr>
                <w:rFonts w:ascii="仿宋_GB2312" w:eastAsia="仿宋_GB2312"/>
                <w:sz w:val="28"/>
                <w:szCs w:val="28"/>
              </w:rPr>
            </w:pPr>
            <w:r>
              <w:rPr>
                <w:rFonts w:hint="eastAsia" w:ascii="仿宋_GB2312" w:eastAsia="仿宋_GB2312"/>
                <w:sz w:val="28"/>
                <w:szCs w:val="28"/>
              </w:rPr>
              <w:t>产品名称、规格型号</w:t>
            </w:r>
          </w:p>
        </w:tc>
        <w:tc>
          <w:tcPr>
            <w:tcW w:w="1830" w:type="dxa"/>
            <w:vAlign w:val="center"/>
          </w:tcPr>
          <w:p>
            <w:pPr>
              <w:jc w:val="center"/>
              <w:rPr>
                <w:rFonts w:ascii="仿宋_GB2312" w:eastAsia="仿宋_GB2312"/>
                <w:b/>
                <w:sz w:val="28"/>
                <w:szCs w:val="28"/>
              </w:rPr>
            </w:pPr>
            <w:r>
              <w:rPr>
                <w:rFonts w:hint="eastAsia" w:ascii="仿宋_GB2312" w:eastAsia="仿宋_GB2312"/>
                <w:b/>
                <w:bCs/>
                <w:sz w:val="28"/>
                <w:szCs w:val="28"/>
              </w:rPr>
              <w:t>认证证书编号</w:t>
            </w:r>
          </w:p>
        </w:tc>
        <w:tc>
          <w:tcPr>
            <w:tcW w:w="1586" w:type="dxa"/>
            <w:vAlign w:val="center"/>
          </w:tcPr>
          <w:p>
            <w:pPr>
              <w:jc w:val="center"/>
              <w:rPr>
                <w:rFonts w:ascii="仿宋_GB2312" w:eastAsia="仿宋_GB2312"/>
                <w:b/>
                <w:sz w:val="28"/>
                <w:szCs w:val="28"/>
              </w:rPr>
            </w:pPr>
            <w:r>
              <w:rPr>
                <w:rFonts w:hint="eastAsia" w:ascii="仿宋_GB2312" w:eastAsia="仿宋_GB2312"/>
                <w:b/>
                <w:sz w:val="28"/>
                <w:szCs w:val="28"/>
              </w:rPr>
              <w:t>发证机构名称</w:t>
            </w:r>
          </w:p>
        </w:tc>
        <w:tc>
          <w:tcPr>
            <w:tcW w:w="1526"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018" w:type="dxa"/>
            <w:vAlign w:val="center"/>
          </w:tcPr>
          <w:p>
            <w:pPr>
              <w:jc w:val="center"/>
              <w:rPr>
                <w:rFonts w:ascii="仿宋_GB2312" w:eastAsia="仿宋_GB2312"/>
                <w:sz w:val="28"/>
                <w:szCs w:val="28"/>
              </w:rPr>
            </w:pP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5"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1018"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2639" w:type="dxa"/>
            <w:vAlign w:val="center"/>
          </w:tcPr>
          <w:p>
            <w:pPr>
              <w:jc w:val="center"/>
              <w:rPr>
                <w:rFonts w:ascii="仿宋_GB2312" w:eastAsia="仿宋_GB2312"/>
                <w:sz w:val="28"/>
                <w:szCs w:val="28"/>
              </w:rPr>
            </w:pPr>
          </w:p>
        </w:tc>
        <w:tc>
          <w:tcPr>
            <w:tcW w:w="1830" w:type="dxa"/>
            <w:vAlign w:val="center"/>
          </w:tcPr>
          <w:p>
            <w:pPr>
              <w:jc w:val="center"/>
              <w:rPr>
                <w:rFonts w:ascii="仿宋_GB2312" w:eastAsia="仿宋_GB2312"/>
                <w:bCs/>
                <w:sz w:val="28"/>
                <w:szCs w:val="28"/>
              </w:rPr>
            </w:pPr>
          </w:p>
        </w:tc>
        <w:tc>
          <w:tcPr>
            <w:tcW w:w="1586" w:type="dxa"/>
            <w:vAlign w:val="center"/>
          </w:tcPr>
          <w:p>
            <w:pPr>
              <w:jc w:val="center"/>
              <w:rPr>
                <w:rFonts w:ascii="仿宋_GB2312" w:eastAsia="仿宋_GB2312"/>
                <w:sz w:val="28"/>
                <w:szCs w:val="28"/>
              </w:rPr>
            </w:pPr>
          </w:p>
        </w:tc>
        <w:tc>
          <w:tcPr>
            <w:tcW w:w="1526" w:type="dxa"/>
          </w:tcPr>
          <w:p>
            <w:pPr>
              <w:jc w:val="center"/>
              <w:rPr>
                <w:rFonts w:ascii="仿宋_GB2312" w:eastAsia="仿宋_GB2312"/>
                <w:sz w:val="28"/>
                <w:szCs w:val="28"/>
              </w:rPr>
            </w:pPr>
          </w:p>
        </w:tc>
      </w:tr>
    </w:tbl>
    <w:p>
      <w:pPr>
        <w:rPr>
          <w:rFonts w:ascii="仿宋_GB2312" w:eastAsia="仿宋_GB2312"/>
          <w:b/>
          <w:sz w:val="28"/>
          <w:szCs w:val="28"/>
        </w:rPr>
      </w:pPr>
      <w:r>
        <w:rPr>
          <w:rFonts w:hint="eastAsia" w:ascii="仿宋_GB2312" w:eastAsia="仿宋_GB2312"/>
          <w:b/>
          <w:sz w:val="28"/>
          <w:szCs w:val="28"/>
        </w:rPr>
        <w:t>注</w:t>
      </w:r>
      <w:r>
        <w:rPr>
          <w:rFonts w:hint="eastAsia" w:ascii="仿宋_GB2312" w:eastAsia="仿宋_GB2312"/>
          <w:b/>
          <w:color w:val="FF0000"/>
          <w:sz w:val="28"/>
          <w:szCs w:val="28"/>
        </w:rPr>
        <w:t>：1、节能产品和环保产品需附上拟投的产品在中国政府采购网（</w:t>
      </w:r>
      <w:r>
        <w:rPr>
          <w:rFonts w:ascii="仿宋_GB2312" w:eastAsia="仿宋_GB2312"/>
          <w:b/>
          <w:color w:val="FF0000"/>
          <w:sz w:val="28"/>
          <w:szCs w:val="28"/>
        </w:rPr>
        <w:t>http://www.ccgp.gov.cn/jnhb/jnhbqd/</w:t>
      </w:r>
      <w:r>
        <w:rPr>
          <w:rFonts w:hint="eastAsia" w:ascii="仿宋_GB2312" w:eastAsia="仿宋_GB2312"/>
          <w:b/>
          <w:color w:val="FF0000"/>
          <w:sz w:val="28"/>
          <w:szCs w:val="28"/>
        </w:rPr>
        <w:t>）节能、环保清单查询结果截图；</w:t>
      </w:r>
    </w:p>
    <w:p>
      <w:pPr>
        <w:ind w:firstLine="562" w:firstLineChars="200"/>
        <w:rPr>
          <w:rFonts w:ascii="仿宋_GB2312" w:eastAsia="仿宋_GB2312"/>
          <w:b/>
          <w:sz w:val="28"/>
          <w:szCs w:val="28"/>
        </w:rPr>
      </w:pPr>
      <w:r>
        <w:rPr>
          <w:rFonts w:hint="eastAsia" w:ascii="仿宋_GB2312" w:eastAsia="仿宋_GB2312"/>
          <w:b/>
          <w:sz w:val="28"/>
          <w:szCs w:val="28"/>
        </w:rPr>
        <w:t>2、投标时未提供环保表格及查询结果截图，环保产品不得分。</w:t>
      </w:r>
    </w:p>
    <w:p>
      <w:pPr>
        <w:ind w:firstLine="562" w:firstLineChars="200"/>
        <w:rPr>
          <w:rFonts w:ascii="仿宋_GB2312" w:eastAsia="仿宋_GB2312"/>
          <w:b/>
          <w:sz w:val="28"/>
          <w:szCs w:val="28"/>
        </w:rPr>
      </w:pPr>
      <w:r>
        <w:rPr>
          <w:rFonts w:hint="eastAsia" w:ascii="仿宋_GB2312" w:eastAsia="仿宋_GB2312"/>
          <w:b/>
          <w:sz w:val="28"/>
          <w:szCs w:val="28"/>
        </w:rPr>
        <w:t>3、</w:t>
      </w:r>
      <w:r>
        <w:rPr>
          <w:rFonts w:hint="eastAsia" w:ascii="微软雅黑" w:hAnsi="微软雅黑" w:eastAsia="微软雅黑" w:cs="微软雅黑"/>
          <w:b/>
          <w:sz w:val="28"/>
          <w:szCs w:val="28"/>
        </w:rPr>
        <w:t>▲</w:t>
      </w:r>
      <w:r>
        <w:rPr>
          <w:rFonts w:hint="eastAsia" w:ascii="仿宋_GB2312" w:eastAsia="仿宋_GB2312"/>
          <w:b/>
          <w:sz w:val="28"/>
          <w:szCs w:val="28"/>
        </w:rPr>
        <w:t>投标时未提供节能表格及查询结果截图，其投标文件为无效标。</w:t>
      </w:r>
    </w:p>
    <w:p>
      <w:pPr>
        <w:rPr>
          <w:rFonts w:ascii="仿宋_GB2312" w:eastAsia="仿宋_GB2312"/>
          <w:b/>
          <w:sz w:val="28"/>
          <w:szCs w:val="28"/>
          <w:u w:val="single"/>
        </w:rPr>
      </w:pPr>
    </w:p>
    <w:p>
      <w:pPr>
        <w:rPr>
          <w:rFonts w:ascii="仿宋_GB2312" w:eastAsia="仿宋_GB2312"/>
          <w:b/>
          <w:sz w:val="28"/>
          <w:szCs w:val="28"/>
          <w:u w:val="single"/>
        </w:rPr>
      </w:pPr>
    </w:p>
    <w:p>
      <w:pPr>
        <w:pStyle w:val="223"/>
        <w:spacing w:line="540" w:lineRule="exact"/>
        <w:ind w:firstLine="0" w:firstLineChars="0"/>
        <w:jc w:val="center"/>
        <w:rPr>
          <w:rStyle w:val="107"/>
          <w:rFonts w:ascii="仿宋_GB2312" w:hAnsi="黑体" w:eastAsia="仿宋_GB2312"/>
          <w:sz w:val="28"/>
          <w:szCs w:val="28"/>
        </w:rPr>
      </w:pPr>
    </w:p>
    <w:p>
      <w:pPr>
        <w:pStyle w:val="223"/>
        <w:spacing w:line="540" w:lineRule="exact"/>
        <w:ind w:firstLine="0" w:firstLineChars="0"/>
        <w:jc w:val="center"/>
        <w:rPr>
          <w:rStyle w:val="107"/>
          <w:rFonts w:ascii="仿宋_GB2312" w:hAnsi="黑体" w:eastAsia="仿宋_GB2312"/>
          <w:sz w:val="28"/>
          <w:szCs w:val="28"/>
        </w:rPr>
      </w:pPr>
    </w:p>
    <w:p>
      <w:pPr>
        <w:pStyle w:val="223"/>
        <w:spacing w:line="540" w:lineRule="exact"/>
        <w:ind w:firstLine="0" w:firstLineChars="0"/>
        <w:jc w:val="center"/>
        <w:rPr>
          <w:rStyle w:val="107"/>
          <w:rFonts w:ascii="仿宋_GB2312" w:hAnsi="黑体" w:eastAsia="仿宋_GB2312"/>
          <w:sz w:val="28"/>
          <w:szCs w:val="28"/>
        </w:rPr>
      </w:pPr>
    </w:p>
    <w:p>
      <w:pPr>
        <w:pStyle w:val="223"/>
        <w:spacing w:line="540" w:lineRule="exact"/>
        <w:ind w:firstLine="0" w:firstLineChars="0"/>
        <w:jc w:val="center"/>
        <w:rPr>
          <w:rStyle w:val="107"/>
          <w:rFonts w:ascii="仿宋_GB2312" w:hAnsi="黑体" w:eastAsia="仿宋_GB2312"/>
          <w:sz w:val="28"/>
          <w:szCs w:val="28"/>
        </w:rPr>
      </w:pPr>
    </w:p>
    <w:p>
      <w:pPr>
        <w:pStyle w:val="223"/>
        <w:spacing w:line="540" w:lineRule="exact"/>
        <w:ind w:firstLine="0" w:firstLineChars="0"/>
        <w:jc w:val="center"/>
        <w:rPr>
          <w:rStyle w:val="107"/>
          <w:rFonts w:ascii="仿宋_GB2312" w:hAnsi="黑体" w:eastAsia="仿宋_GB2312"/>
          <w:sz w:val="28"/>
          <w:szCs w:val="28"/>
        </w:rPr>
      </w:pPr>
    </w:p>
    <w:p>
      <w:pPr>
        <w:pStyle w:val="223"/>
        <w:spacing w:line="540" w:lineRule="exact"/>
        <w:ind w:firstLine="0" w:firstLineChars="0"/>
        <w:jc w:val="center"/>
        <w:rPr>
          <w:rFonts w:hAnsi="Times New Roman" w:cs="宋体"/>
          <w:sz w:val="28"/>
        </w:rPr>
      </w:pPr>
    </w:p>
    <w:p>
      <w:pPr>
        <w:pStyle w:val="223"/>
        <w:spacing w:line="540" w:lineRule="exact"/>
        <w:ind w:firstLine="0" w:firstLineChars="0"/>
        <w:jc w:val="center"/>
        <w:rPr>
          <w:rFonts w:hAnsi="Times New Roman" w:cs="宋体"/>
          <w:sz w:val="28"/>
        </w:rPr>
      </w:pPr>
    </w:p>
    <w:p>
      <w:pPr>
        <w:pStyle w:val="223"/>
        <w:spacing w:line="540" w:lineRule="exact"/>
        <w:ind w:firstLine="0" w:firstLineChars="0"/>
        <w:jc w:val="center"/>
        <w:rPr>
          <w:rFonts w:hAnsi="Times New Roman" w:cs="宋体"/>
          <w:color w:val="000000"/>
          <w:sz w:val="28"/>
        </w:rPr>
      </w:pPr>
      <w:r>
        <w:rPr>
          <w:rFonts w:hAnsi="Times New Roman" w:cs="宋体"/>
          <w:color w:val="000000"/>
          <w:sz w:val="28"/>
        </w:rPr>
        <w:t>3</w:t>
      </w:r>
      <w:r>
        <w:rPr>
          <w:rFonts w:hint="eastAsia" w:hAnsi="Times New Roman" w:cs="宋体"/>
          <w:color w:val="000000"/>
          <w:sz w:val="28"/>
        </w:rPr>
        <w:t>项目组成员汇总表</w:t>
      </w:r>
    </w:p>
    <w:p>
      <w:pPr>
        <w:pStyle w:val="191"/>
        <w:keepNext w:val="0"/>
        <w:keepLines w:val="0"/>
        <w:spacing w:beforeLines="50" w:afterLines="50" w:line="500" w:lineRule="exact"/>
        <w:jc w:val="both"/>
        <w:outlineLvl w:val="9"/>
        <w:rPr>
          <w:rFonts w:ascii="仿宋_GB2312" w:eastAsia="仿宋_GB2312"/>
          <w:b w:val="0"/>
          <w:bCs w:val="0"/>
          <w:color w:val="000000"/>
          <w:sz w:val="28"/>
          <w:szCs w:val="28"/>
        </w:rPr>
      </w:pPr>
      <w:bookmarkStart w:id="59" w:name="_Toc24715"/>
      <w:r>
        <w:rPr>
          <w:rFonts w:hint="eastAsia" w:ascii="仿宋_GB2312" w:eastAsia="仿宋_GB2312"/>
          <w:b w:val="0"/>
          <w:bCs w:val="0"/>
          <w:color w:val="000000"/>
          <w:sz w:val="28"/>
          <w:szCs w:val="28"/>
        </w:rPr>
        <w:t>项目名称：</w:t>
      </w:r>
      <w:bookmarkEnd w:id="59"/>
    </w:p>
    <w:p>
      <w:pPr>
        <w:pStyle w:val="191"/>
        <w:keepNext w:val="0"/>
        <w:keepLines w:val="0"/>
        <w:spacing w:beforeLines="50" w:afterLines="50" w:line="500" w:lineRule="exact"/>
        <w:jc w:val="both"/>
        <w:outlineLvl w:val="9"/>
        <w:rPr>
          <w:rFonts w:ascii="仿宋_GB2312" w:hAnsi="Times New Roman" w:eastAsia="仿宋_GB2312"/>
          <w:b w:val="0"/>
          <w:bCs w:val="0"/>
          <w:color w:val="000000"/>
          <w:sz w:val="28"/>
          <w:szCs w:val="28"/>
        </w:rPr>
      </w:pPr>
      <w:bookmarkStart w:id="60" w:name="_Toc23821"/>
      <w:r>
        <w:rPr>
          <w:rFonts w:hint="eastAsia" w:ascii="仿宋_GB2312" w:eastAsia="仿宋_GB2312"/>
          <w:b w:val="0"/>
          <w:bCs w:val="0"/>
          <w:color w:val="000000"/>
          <w:sz w:val="28"/>
          <w:szCs w:val="28"/>
        </w:rPr>
        <w:t>项目编号：</w:t>
      </w:r>
      <w:bookmarkEnd w:id="60"/>
    </w:p>
    <w:tbl>
      <w:tblPr>
        <w:tblStyle w:val="59"/>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83"/>
        <w:gridCol w:w="924"/>
        <w:gridCol w:w="1746"/>
        <w:gridCol w:w="208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jc w:val="center"/>
        </w:trPr>
        <w:tc>
          <w:tcPr>
            <w:tcW w:w="685"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序号</w:t>
            </w:r>
          </w:p>
        </w:tc>
        <w:tc>
          <w:tcPr>
            <w:tcW w:w="1583"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姓名</w:t>
            </w:r>
          </w:p>
        </w:tc>
        <w:tc>
          <w:tcPr>
            <w:tcW w:w="924"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性别</w:t>
            </w:r>
          </w:p>
        </w:tc>
        <w:tc>
          <w:tcPr>
            <w:tcW w:w="174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职称（或资质）</w:t>
            </w:r>
          </w:p>
        </w:tc>
        <w:tc>
          <w:tcPr>
            <w:tcW w:w="2081"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岗位</w:t>
            </w: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685"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仿宋_GB2312" w:hAnsi="宋体" w:eastAsia="仿宋_GB2312"/>
                <w:color w:val="000000"/>
                <w:kern w:val="0"/>
                <w:sz w:val="28"/>
                <w:szCs w:val="28"/>
              </w:rPr>
            </w:pPr>
          </w:p>
        </w:tc>
      </w:tr>
    </w:tbl>
    <w:p>
      <w:pPr>
        <w:pStyle w:val="31"/>
        <w:spacing w:line="54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此表可在不改变格式的情况下自行制作（必填）</w:t>
      </w:r>
    </w:p>
    <w:p>
      <w:pPr>
        <w:spacing w:line="540" w:lineRule="exact"/>
        <w:rPr>
          <w:rFonts w:hAnsi="宋体"/>
          <w:color w:val="000000"/>
          <w:kern w:val="0"/>
        </w:rPr>
      </w:pPr>
    </w:p>
    <w:p>
      <w:pPr>
        <w:adjustRightInd w:val="0"/>
        <w:snapToGrid w:val="0"/>
        <w:spacing w:line="540" w:lineRule="exact"/>
        <w:ind w:left="482" w:hanging="482"/>
        <w:jc w:val="left"/>
        <w:rPr>
          <w:rFonts w:ascii="仿宋_GB2312" w:eastAsia="仿宋_GB2312"/>
          <w:color w:val="000000"/>
          <w:sz w:val="28"/>
          <w:szCs w:val="28"/>
        </w:rPr>
      </w:pPr>
      <w:r>
        <w:rPr>
          <w:rFonts w:hint="eastAsia" w:ascii="仿宋_GB2312" w:eastAsia="仿宋_GB2312"/>
          <w:color w:val="000000"/>
          <w:sz w:val="28"/>
          <w:szCs w:val="28"/>
        </w:rPr>
        <w:t>投标人（盖章）：</w:t>
      </w:r>
    </w:p>
    <w:p>
      <w:pPr>
        <w:adjustRightInd w:val="0"/>
        <w:snapToGrid w:val="0"/>
        <w:spacing w:line="540" w:lineRule="exact"/>
        <w:ind w:left="482" w:hanging="482"/>
        <w:jc w:val="left"/>
        <w:rPr>
          <w:rFonts w:ascii="仿宋_GB2312" w:eastAsia="仿宋_GB2312"/>
          <w:color w:val="000000"/>
          <w:sz w:val="28"/>
          <w:szCs w:val="28"/>
        </w:rPr>
      </w:pPr>
      <w:r>
        <w:rPr>
          <w:rFonts w:hint="eastAsia" w:ascii="仿宋_GB2312" w:eastAsia="仿宋_GB2312"/>
          <w:color w:val="000000"/>
          <w:sz w:val="28"/>
          <w:szCs w:val="28"/>
        </w:rPr>
        <w:t>法定代表人或其授权代表人（签字）：</w:t>
      </w:r>
    </w:p>
    <w:p>
      <w:pPr>
        <w:adjustRightInd w:val="0"/>
        <w:snapToGrid w:val="0"/>
        <w:spacing w:line="540" w:lineRule="exact"/>
        <w:ind w:left="482" w:hanging="482"/>
        <w:jc w:val="left"/>
        <w:rPr>
          <w:color w:val="000000"/>
          <w:sz w:val="24"/>
        </w:rPr>
      </w:pPr>
      <w:r>
        <w:rPr>
          <w:rFonts w:hint="eastAsia" w:ascii="仿宋_GB2312" w:eastAsia="仿宋_GB2312"/>
          <w:color w:val="000000"/>
          <w:sz w:val="28"/>
          <w:szCs w:val="28"/>
        </w:rPr>
        <w:t>日  期：</w:t>
      </w:r>
    </w:p>
    <w:p>
      <w:pPr>
        <w:pStyle w:val="223"/>
        <w:spacing w:line="540" w:lineRule="exact"/>
        <w:ind w:firstLine="0" w:firstLineChars="0"/>
        <w:jc w:val="center"/>
        <w:rPr>
          <w:rFonts w:hAnsi="Times New Roman" w:cs="宋体"/>
          <w:color w:val="000000"/>
          <w:sz w:val="28"/>
        </w:rPr>
      </w:pPr>
    </w:p>
    <w:p>
      <w:pPr>
        <w:pStyle w:val="223"/>
        <w:spacing w:line="540" w:lineRule="exact"/>
        <w:ind w:firstLine="0" w:firstLineChars="0"/>
        <w:jc w:val="center"/>
        <w:rPr>
          <w:rFonts w:hAnsi="Times New Roman" w:cs="宋体"/>
          <w:color w:val="000000"/>
          <w:sz w:val="28"/>
        </w:rPr>
      </w:pPr>
    </w:p>
    <w:p>
      <w:pPr>
        <w:pStyle w:val="223"/>
        <w:spacing w:line="540" w:lineRule="exact"/>
        <w:ind w:firstLine="0" w:firstLineChars="0"/>
        <w:jc w:val="center"/>
        <w:rPr>
          <w:rFonts w:hAnsi="Times New Roman" w:cs="宋体"/>
          <w:sz w:val="28"/>
        </w:rPr>
      </w:pPr>
    </w:p>
    <w:p>
      <w:pPr>
        <w:pStyle w:val="223"/>
        <w:spacing w:line="540" w:lineRule="exact"/>
        <w:ind w:firstLine="0" w:firstLineChars="0"/>
        <w:jc w:val="center"/>
        <w:rPr>
          <w:rFonts w:hAnsi="Times New Roman" w:cs="宋体"/>
          <w:sz w:val="28"/>
        </w:rPr>
      </w:pPr>
      <w:r>
        <w:rPr>
          <w:rFonts w:hint="eastAsia" w:hAnsi="Times New Roman" w:cs="宋体"/>
          <w:sz w:val="28"/>
        </w:rPr>
        <w:br w:type="page"/>
      </w:r>
    </w:p>
    <w:p>
      <w:pPr>
        <w:pStyle w:val="223"/>
        <w:spacing w:line="540" w:lineRule="exact"/>
        <w:ind w:firstLine="0" w:firstLineChars="0"/>
        <w:jc w:val="center"/>
        <w:rPr>
          <w:rFonts w:hAnsi="Times New Roman" w:cs="宋体"/>
          <w:sz w:val="28"/>
        </w:rPr>
      </w:pPr>
      <w:r>
        <w:rPr>
          <w:rFonts w:hint="eastAsia" w:hAnsi="Times New Roman" w:cs="宋体"/>
          <w:sz w:val="28"/>
        </w:rPr>
        <w:t>4 技术偏离表</w:t>
      </w:r>
    </w:p>
    <w:p>
      <w:pPr>
        <w:pStyle w:val="191"/>
        <w:keepNext w:val="0"/>
        <w:keepLines w:val="0"/>
        <w:spacing w:before="0" w:after="0" w:line="500" w:lineRule="exact"/>
        <w:jc w:val="both"/>
        <w:outlineLvl w:val="9"/>
        <w:rPr>
          <w:rFonts w:ascii="仿宋_GB2312" w:eastAsia="仿宋_GB2312"/>
          <w:b w:val="0"/>
          <w:bCs w:val="0"/>
          <w:sz w:val="28"/>
          <w:szCs w:val="28"/>
        </w:rPr>
      </w:pPr>
      <w:bookmarkStart w:id="61" w:name="_Toc3896"/>
      <w:bookmarkStart w:id="62" w:name="_Toc8247"/>
      <w:bookmarkStart w:id="63" w:name="_Toc476645124"/>
      <w:r>
        <w:rPr>
          <w:rFonts w:hint="eastAsia" w:ascii="仿宋_GB2312" w:eastAsia="仿宋_GB2312"/>
          <w:b w:val="0"/>
          <w:bCs w:val="0"/>
          <w:sz w:val="28"/>
          <w:szCs w:val="28"/>
        </w:rPr>
        <w:t>项目名称：</w:t>
      </w:r>
      <w:bookmarkEnd w:id="61"/>
      <w:bookmarkEnd w:id="62"/>
      <w:bookmarkEnd w:id="63"/>
    </w:p>
    <w:p>
      <w:pPr>
        <w:pStyle w:val="191"/>
        <w:keepNext w:val="0"/>
        <w:keepLines w:val="0"/>
        <w:spacing w:before="0" w:after="0" w:line="500" w:lineRule="exact"/>
        <w:jc w:val="both"/>
        <w:outlineLvl w:val="9"/>
        <w:rPr>
          <w:rFonts w:ascii="仿宋_GB2312" w:hAnsi="Times New Roman" w:eastAsia="仿宋_GB2312"/>
          <w:b w:val="0"/>
          <w:bCs w:val="0"/>
          <w:sz w:val="28"/>
          <w:szCs w:val="28"/>
        </w:rPr>
      </w:pPr>
      <w:bookmarkStart w:id="64" w:name="_Toc14509"/>
      <w:bookmarkStart w:id="65" w:name="_Toc476645125"/>
      <w:bookmarkStart w:id="66" w:name="_Toc24152"/>
      <w:r>
        <w:rPr>
          <w:rFonts w:hint="eastAsia" w:ascii="仿宋_GB2312" w:eastAsia="仿宋_GB2312"/>
          <w:b w:val="0"/>
          <w:bCs w:val="0"/>
          <w:sz w:val="28"/>
          <w:szCs w:val="28"/>
        </w:rPr>
        <w:t>项目编号：</w:t>
      </w:r>
      <w:bookmarkEnd w:id="64"/>
      <w:bookmarkEnd w:id="65"/>
      <w:bookmarkEnd w:id="66"/>
    </w:p>
    <w:tbl>
      <w:tblPr>
        <w:tblStyle w:val="59"/>
        <w:tblW w:w="9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序号</w:t>
            </w:r>
          </w:p>
        </w:tc>
        <w:tc>
          <w:tcPr>
            <w:tcW w:w="2096"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招标文件技术规范要求</w:t>
            </w:r>
          </w:p>
        </w:tc>
        <w:tc>
          <w:tcPr>
            <w:tcW w:w="1985"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投标人响应详细内容</w:t>
            </w:r>
          </w:p>
        </w:tc>
        <w:tc>
          <w:tcPr>
            <w:tcW w:w="1578" w:type="dxa"/>
            <w:tcBorders>
              <w:top w:val="thinThickSmallGap" w:color="auto" w:sz="12"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正/负偏离</w:t>
            </w:r>
          </w:p>
        </w:tc>
        <w:tc>
          <w:tcPr>
            <w:tcW w:w="1449" w:type="dxa"/>
            <w:tcBorders>
              <w:top w:val="thinThickSmallGap" w:color="auto" w:sz="12" w:space="0"/>
              <w:right w:val="single" w:color="auto" w:sz="4" w:space="0"/>
            </w:tcBorders>
            <w:vAlign w:val="center"/>
          </w:tcPr>
          <w:p>
            <w:pPr>
              <w:spacing w:line="500" w:lineRule="exact"/>
              <w:jc w:val="center"/>
              <w:rPr>
                <w:rFonts w:ascii="仿宋_GB2312" w:eastAsia="仿宋_GB2312"/>
                <w:sz w:val="28"/>
                <w:szCs w:val="28"/>
              </w:rPr>
            </w:pPr>
            <w:r>
              <w:rPr>
                <w:rFonts w:hint="eastAsia" w:ascii="仿宋_GB2312" w:eastAsia="仿宋_GB2312"/>
                <w:sz w:val="28"/>
                <w:szCs w:val="28"/>
              </w:rPr>
              <w:t>偏离说明</w:t>
            </w:r>
          </w:p>
        </w:tc>
        <w:tc>
          <w:tcPr>
            <w:tcW w:w="1418" w:type="dxa"/>
            <w:tcBorders>
              <w:top w:val="thinThickSmallGap" w:color="auto" w:sz="12" w:space="0"/>
              <w:left w:val="single" w:color="auto" w:sz="4" w:space="0"/>
              <w:right w:val="thickThin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1</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2</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r>
              <w:rPr>
                <w:rFonts w:ascii="仿宋_GB2312" w:eastAsia="仿宋_GB2312"/>
                <w:sz w:val="28"/>
                <w:szCs w:val="28"/>
              </w:rPr>
              <w:t>…</w:t>
            </w: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tcPr>
          <w:p>
            <w:pPr>
              <w:spacing w:line="500" w:lineRule="exact"/>
              <w:jc w:val="center"/>
              <w:rPr>
                <w:rFonts w:ascii="仿宋_GB2312" w:eastAsia="仿宋_GB2312"/>
                <w:sz w:val="28"/>
                <w:szCs w:val="28"/>
              </w:rPr>
            </w:pPr>
          </w:p>
        </w:tc>
        <w:tc>
          <w:tcPr>
            <w:tcW w:w="2096" w:type="dxa"/>
          </w:tcPr>
          <w:p>
            <w:pPr>
              <w:spacing w:line="500" w:lineRule="exact"/>
              <w:jc w:val="left"/>
              <w:rPr>
                <w:rFonts w:ascii="仿宋_GB2312" w:eastAsia="仿宋_GB2312"/>
                <w:sz w:val="28"/>
                <w:szCs w:val="28"/>
              </w:rPr>
            </w:pPr>
          </w:p>
        </w:tc>
        <w:tc>
          <w:tcPr>
            <w:tcW w:w="1985" w:type="dxa"/>
          </w:tcPr>
          <w:p>
            <w:pPr>
              <w:spacing w:line="500" w:lineRule="exact"/>
              <w:jc w:val="left"/>
              <w:rPr>
                <w:rFonts w:ascii="仿宋_GB2312" w:eastAsia="仿宋_GB2312"/>
                <w:sz w:val="28"/>
                <w:szCs w:val="28"/>
              </w:rPr>
            </w:pPr>
          </w:p>
        </w:tc>
        <w:tc>
          <w:tcPr>
            <w:tcW w:w="1578" w:type="dxa"/>
          </w:tcPr>
          <w:p>
            <w:pPr>
              <w:spacing w:line="500" w:lineRule="exact"/>
              <w:jc w:val="left"/>
              <w:rPr>
                <w:rFonts w:ascii="仿宋_GB2312" w:eastAsia="仿宋_GB2312"/>
                <w:sz w:val="28"/>
                <w:szCs w:val="28"/>
              </w:rPr>
            </w:pPr>
          </w:p>
        </w:tc>
        <w:tc>
          <w:tcPr>
            <w:tcW w:w="1449" w:type="dxa"/>
            <w:tcBorders>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right w:val="thickThinSmallGap" w:color="auto" w:sz="12" w:space="0"/>
            </w:tcBorders>
          </w:tcPr>
          <w:p>
            <w:pPr>
              <w:spacing w:line="5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tcPr>
          <w:p>
            <w:pPr>
              <w:spacing w:line="500" w:lineRule="exact"/>
              <w:jc w:val="center"/>
              <w:rPr>
                <w:rFonts w:ascii="仿宋_GB2312" w:eastAsia="仿宋_GB2312"/>
                <w:sz w:val="28"/>
                <w:szCs w:val="28"/>
              </w:rPr>
            </w:pPr>
          </w:p>
        </w:tc>
        <w:tc>
          <w:tcPr>
            <w:tcW w:w="2096" w:type="dxa"/>
            <w:tcBorders>
              <w:bottom w:val="thickThinSmallGap" w:color="auto" w:sz="12" w:space="0"/>
            </w:tcBorders>
          </w:tcPr>
          <w:p>
            <w:pPr>
              <w:spacing w:line="500" w:lineRule="exact"/>
              <w:jc w:val="left"/>
              <w:rPr>
                <w:rFonts w:ascii="仿宋_GB2312" w:eastAsia="仿宋_GB2312"/>
                <w:sz w:val="28"/>
                <w:szCs w:val="28"/>
              </w:rPr>
            </w:pPr>
          </w:p>
        </w:tc>
        <w:tc>
          <w:tcPr>
            <w:tcW w:w="1985" w:type="dxa"/>
            <w:tcBorders>
              <w:bottom w:val="thickThinSmallGap" w:color="auto" w:sz="12" w:space="0"/>
            </w:tcBorders>
          </w:tcPr>
          <w:p>
            <w:pPr>
              <w:spacing w:line="500" w:lineRule="exact"/>
              <w:jc w:val="left"/>
              <w:rPr>
                <w:rFonts w:ascii="仿宋_GB2312" w:eastAsia="仿宋_GB2312"/>
                <w:sz w:val="28"/>
                <w:szCs w:val="28"/>
              </w:rPr>
            </w:pPr>
          </w:p>
        </w:tc>
        <w:tc>
          <w:tcPr>
            <w:tcW w:w="1578" w:type="dxa"/>
            <w:tcBorders>
              <w:bottom w:val="thickThinSmallGap" w:color="auto" w:sz="12" w:space="0"/>
            </w:tcBorders>
          </w:tcPr>
          <w:p>
            <w:pPr>
              <w:spacing w:line="500" w:lineRule="exact"/>
              <w:jc w:val="left"/>
              <w:rPr>
                <w:rFonts w:ascii="仿宋_GB2312" w:eastAsia="仿宋_GB2312"/>
                <w:sz w:val="28"/>
                <w:szCs w:val="28"/>
              </w:rPr>
            </w:pPr>
          </w:p>
        </w:tc>
        <w:tc>
          <w:tcPr>
            <w:tcW w:w="1449" w:type="dxa"/>
            <w:tcBorders>
              <w:bottom w:val="thickThinSmallGap" w:color="auto" w:sz="12" w:space="0"/>
              <w:right w:val="single" w:color="auto" w:sz="4" w:space="0"/>
            </w:tcBorders>
          </w:tcPr>
          <w:p>
            <w:pPr>
              <w:spacing w:line="500" w:lineRule="exact"/>
              <w:jc w:val="left"/>
              <w:rPr>
                <w:rFonts w:ascii="仿宋_GB2312" w:eastAsia="仿宋_GB2312"/>
                <w:sz w:val="28"/>
                <w:szCs w:val="28"/>
              </w:rPr>
            </w:pPr>
          </w:p>
        </w:tc>
        <w:tc>
          <w:tcPr>
            <w:tcW w:w="1418" w:type="dxa"/>
            <w:tcBorders>
              <w:left w:val="single" w:color="auto" w:sz="4" w:space="0"/>
              <w:bottom w:val="thickThinSmallGap" w:color="auto" w:sz="12" w:space="0"/>
              <w:right w:val="thickThinSmallGap" w:color="auto" w:sz="12" w:space="0"/>
            </w:tcBorders>
          </w:tcPr>
          <w:p>
            <w:pPr>
              <w:spacing w:line="500" w:lineRule="exact"/>
              <w:jc w:val="left"/>
              <w:rPr>
                <w:rFonts w:ascii="仿宋_GB2312" w:eastAsia="仿宋_GB2312"/>
                <w:sz w:val="28"/>
                <w:szCs w:val="28"/>
              </w:rPr>
            </w:pPr>
          </w:p>
        </w:tc>
      </w:tr>
    </w:tbl>
    <w:p>
      <w:pPr>
        <w:spacing w:line="500" w:lineRule="exact"/>
        <w:ind w:firstLine="560" w:firstLineChars="200"/>
      </w:pPr>
      <w:r>
        <w:rPr>
          <w:rFonts w:hint="eastAsia" w:ascii="仿宋_GB2312" w:eastAsia="仿宋_GB2312" w:cs="宋体"/>
          <w:sz w:val="28"/>
          <w:szCs w:val="28"/>
        </w:rPr>
        <w:t>注：投标人递交的技术规格书中与招标文件的技术规格书中的要求有不同时，应逐条列在技术偏离表中并作出“正偏离/负偏离”，同时在说明栏目中具体说明及填写页码，否则将认为投标人接受招标文件的要求。</w:t>
      </w:r>
    </w:p>
    <w:p>
      <w:pPr>
        <w:adjustRightInd w:val="0"/>
        <w:snapToGrid w:val="0"/>
        <w:spacing w:line="500" w:lineRule="exact"/>
        <w:jc w:val="left"/>
        <w:rPr>
          <w:sz w:val="24"/>
        </w:rPr>
      </w:pPr>
    </w:p>
    <w:p>
      <w:pPr>
        <w:adjustRightInd w:val="0"/>
        <w:snapToGrid w:val="0"/>
        <w:spacing w:line="500" w:lineRule="exact"/>
        <w:ind w:left="482" w:hanging="482"/>
        <w:jc w:val="left"/>
        <w:rPr>
          <w:rFonts w:ascii="仿宋_GB2312" w:eastAsia="仿宋_GB2312"/>
          <w:sz w:val="28"/>
          <w:szCs w:val="28"/>
        </w:rPr>
      </w:pPr>
      <w:r>
        <w:rPr>
          <w:rFonts w:hint="eastAsia" w:ascii="仿宋_GB2312" w:eastAsia="仿宋_GB2312"/>
          <w:sz w:val="28"/>
          <w:szCs w:val="28"/>
        </w:rPr>
        <w:t>投标人（盖章）：</w:t>
      </w:r>
    </w:p>
    <w:p>
      <w:pPr>
        <w:adjustRightInd w:val="0"/>
        <w:snapToGrid w:val="0"/>
        <w:spacing w:line="500" w:lineRule="exact"/>
        <w:ind w:left="482" w:hanging="482"/>
        <w:jc w:val="left"/>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bCs/>
          <w:sz w:val="28"/>
          <w:szCs w:val="28"/>
        </w:rPr>
        <w:t>（负责人）</w:t>
      </w:r>
      <w:r>
        <w:rPr>
          <w:rFonts w:hint="eastAsia" w:ascii="仿宋_GB2312" w:eastAsia="仿宋_GB2312"/>
          <w:sz w:val="28"/>
          <w:szCs w:val="28"/>
        </w:rPr>
        <w:t>或其授权代表人（签字）：</w:t>
      </w:r>
    </w:p>
    <w:p>
      <w:pPr>
        <w:spacing w:line="600" w:lineRule="exact"/>
        <w:rPr>
          <w:rFonts w:ascii="仿宋_GB2312" w:eastAsia="仿宋_GB2312"/>
          <w:sz w:val="28"/>
          <w:szCs w:val="28"/>
        </w:rPr>
      </w:pPr>
      <w:r>
        <w:rPr>
          <w:rFonts w:hint="eastAsia" w:ascii="仿宋_GB2312" w:eastAsia="仿宋_GB2312"/>
          <w:sz w:val="28"/>
          <w:szCs w:val="28"/>
        </w:rPr>
        <w:t>日  期：</w:t>
      </w:r>
    </w:p>
    <w:p>
      <w:pPr>
        <w:autoSpaceDE w:val="0"/>
        <w:autoSpaceDN w:val="0"/>
        <w:adjustRightInd w:val="0"/>
        <w:spacing w:line="540" w:lineRule="exact"/>
        <w:rPr>
          <w:sz w:val="24"/>
        </w:rPr>
      </w:pPr>
    </w:p>
    <w:p>
      <w:pPr>
        <w:snapToGrid w:val="0"/>
        <w:spacing w:line="500" w:lineRule="exact"/>
        <w:ind w:firstLine="2783" w:firstLineChars="990"/>
        <w:rPr>
          <w:rStyle w:val="107"/>
          <w:rFonts w:ascii="仿宋_GB2312" w:hAnsi="黑体" w:eastAsia="仿宋_GB2312"/>
          <w:sz w:val="28"/>
          <w:szCs w:val="28"/>
        </w:rPr>
        <w:sectPr>
          <w:pgSz w:w="11906" w:h="16838"/>
          <w:pgMar w:top="1389" w:right="1247" w:bottom="1389" w:left="1247" w:header="851" w:footer="992" w:gutter="284"/>
          <w:cols w:space="720" w:num="1"/>
          <w:docGrid w:linePitch="312" w:charSpace="0"/>
        </w:sectPr>
      </w:pPr>
    </w:p>
    <w:p>
      <w:pPr>
        <w:snapToGrid w:val="0"/>
        <w:spacing w:line="500" w:lineRule="exact"/>
        <w:jc w:val="center"/>
        <w:rPr>
          <w:rStyle w:val="107"/>
          <w:rFonts w:ascii="仿宋_GB2312" w:hAnsi="黑体" w:eastAsia="仿宋_GB2312"/>
          <w:sz w:val="28"/>
          <w:szCs w:val="28"/>
        </w:rPr>
      </w:pPr>
      <w:bookmarkStart w:id="67" w:name="_Toc476645126"/>
      <w:bookmarkStart w:id="68" w:name="_Toc439660041"/>
      <w:r>
        <w:rPr>
          <w:rStyle w:val="107"/>
          <w:rFonts w:hint="eastAsia" w:ascii="仿宋_GB2312" w:hAnsi="黑体" w:eastAsia="仿宋_GB2312"/>
          <w:sz w:val="28"/>
          <w:szCs w:val="28"/>
        </w:rPr>
        <w:t>四、</w:t>
      </w:r>
      <w:bookmarkStart w:id="69" w:name="商务文件格式"/>
      <w:r>
        <w:rPr>
          <w:rStyle w:val="107"/>
          <w:rFonts w:hint="eastAsia" w:ascii="仿宋_GB2312" w:hAnsi="黑体" w:eastAsia="仿宋_GB2312"/>
          <w:sz w:val="28"/>
          <w:szCs w:val="28"/>
        </w:rPr>
        <w:t>报价文件格式</w:t>
      </w:r>
      <w:bookmarkEnd w:id="67"/>
      <w:bookmarkEnd w:id="68"/>
      <w:bookmarkEnd w:id="69"/>
    </w:p>
    <w:p>
      <w:pPr>
        <w:spacing w:line="500" w:lineRule="exact"/>
        <w:jc w:val="center"/>
        <w:rPr>
          <w:rFonts w:ascii="仿宋_GB2312" w:eastAsia="仿宋_GB2312"/>
          <w:sz w:val="28"/>
          <w:szCs w:val="28"/>
        </w:rPr>
      </w:pPr>
      <w:r>
        <w:rPr>
          <w:rFonts w:hint="eastAsia" w:ascii="仿宋_GB2312" w:eastAsia="仿宋_GB2312"/>
          <w:sz w:val="28"/>
          <w:szCs w:val="28"/>
        </w:rPr>
        <w:t>1投标设备报价明细表</w:t>
      </w:r>
    </w:p>
    <w:p>
      <w:pPr>
        <w:wordWrap w:val="0"/>
        <w:rPr>
          <w:rFonts w:ascii="仿宋_GB2312" w:eastAsia="仿宋_GB2312"/>
          <w:sz w:val="28"/>
          <w:szCs w:val="28"/>
        </w:rPr>
      </w:pPr>
      <w:r>
        <w:rPr>
          <w:rFonts w:hint="eastAsia" w:ascii="仿宋_GB2312" w:eastAsia="仿宋_GB2312"/>
          <w:sz w:val="28"/>
          <w:szCs w:val="28"/>
        </w:rPr>
        <w:t>项目名称：</w:t>
      </w:r>
    </w:p>
    <w:p>
      <w:pPr>
        <w:wordWrap w:val="0"/>
        <w:rPr>
          <w:rFonts w:ascii="仿宋_GB2312" w:eastAsia="仿宋_GB2312"/>
          <w:sz w:val="28"/>
          <w:szCs w:val="28"/>
        </w:rPr>
      </w:pPr>
      <w:r>
        <w:rPr>
          <w:rFonts w:hint="eastAsia" w:ascii="仿宋_GB2312" w:eastAsia="仿宋_GB2312"/>
          <w:sz w:val="28"/>
          <w:szCs w:val="28"/>
        </w:rPr>
        <w:t>项目编号：                                                                                单位：元</w:t>
      </w:r>
    </w:p>
    <w:tbl>
      <w:tblPr>
        <w:tblStyle w:val="59"/>
        <w:tblW w:w="14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569"/>
        <w:gridCol w:w="1747"/>
        <w:gridCol w:w="1440"/>
        <w:gridCol w:w="3413"/>
        <w:gridCol w:w="999"/>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noWrap/>
          </w:tcPr>
          <w:p>
            <w:pPr>
              <w:pStyle w:val="223"/>
              <w:adjustRightInd w:val="0"/>
              <w:snapToGrid w:val="0"/>
              <w:spacing w:line="440" w:lineRule="exact"/>
              <w:ind w:firstLine="0" w:firstLineChars="0"/>
              <w:rPr>
                <w:color w:val="000000"/>
                <w:spacing w:val="-20"/>
                <w:sz w:val="28"/>
              </w:rPr>
            </w:pPr>
            <w:r>
              <w:rPr>
                <w:rFonts w:hint="eastAsia"/>
                <w:color w:val="000000"/>
                <w:spacing w:val="-20"/>
                <w:sz w:val="28"/>
              </w:rPr>
              <w:t>序号</w:t>
            </w:r>
          </w:p>
        </w:tc>
        <w:tc>
          <w:tcPr>
            <w:tcW w:w="2569" w:type="dxa"/>
            <w:noWrap/>
          </w:tcPr>
          <w:p>
            <w:pPr>
              <w:pStyle w:val="223"/>
              <w:adjustRightInd w:val="0"/>
              <w:snapToGrid w:val="0"/>
              <w:spacing w:line="440" w:lineRule="exact"/>
              <w:ind w:firstLine="0" w:firstLineChars="0"/>
              <w:rPr>
                <w:color w:val="000000"/>
                <w:sz w:val="28"/>
              </w:rPr>
            </w:pPr>
            <w:r>
              <w:rPr>
                <w:rFonts w:hint="eastAsia"/>
                <w:color w:val="000000"/>
                <w:sz w:val="28"/>
              </w:rPr>
              <w:t>名称</w:t>
            </w:r>
          </w:p>
        </w:tc>
        <w:tc>
          <w:tcPr>
            <w:tcW w:w="1747" w:type="dxa"/>
            <w:noWrap/>
          </w:tcPr>
          <w:p>
            <w:pPr>
              <w:pStyle w:val="223"/>
              <w:adjustRightInd w:val="0"/>
              <w:snapToGrid w:val="0"/>
              <w:spacing w:line="440" w:lineRule="exact"/>
              <w:ind w:firstLine="0" w:firstLineChars="0"/>
              <w:rPr>
                <w:color w:val="000000"/>
                <w:sz w:val="28"/>
              </w:rPr>
            </w:pPr>
            <w:r>
              <w:rPr>
                <w:rFonts w:hint="eastAsia"/>
                <w:color w:val="000000"/>
                <w:sz w:val="28"/>
              </w:rPr>
              <w:t>品牌型号</w:t>
            </w:r>
          </w:p>
        </w:tc>
        <w:tc>
          <w:tcPr>
            <w:tcW w:w="1440" w:type="dxa"/>
            <w:noWrap/>
          </w:tcPr>
          <w:p>
            <w:pPr>
              <w:pStyle w:val="223"/>
              <w:adjustRightInd w:val="0"/>
              <w:snapToGrid w:val="0"/>
              <w:spacing w:line="440" w:lineRule="exact"/>
              <w:ind w:firstLine="0" w:firstLineChars="0"/>
              <w:rPr>
                <w:color w:val="000000"/>
                <w:sz w:val="28"/>
              </w:rPr>
            </w:pPr>
            <w:r>
              <w:rPr>
                <w:rFonts w:hint="eastAsia"/>
                <w:color w:val="000000"/>
                <w:sz w:val="28"/>
              </w:rPr>
              <w:t>制造商</w:t>
            </w:r>
          </w:p>
        </w:tc>
        <w:tc>
          <w:tcPr>
            <w:tcW w:w="3413" w:type="dxa"/>
            <w:noWrap/>
          </w:tcPr>
          <w:p>
            <w:pPr>
              <w:pStyle w:val="223"/>
              <w:adjustRightInd w:val="0"/>
              <w:snapToGrid w:val="0"/>
              <w:spacing w:line="440" w:lineRule="exact"/>
              <w:ind w:firstLine="0" w:firstLineChars="0"/>
              <w:rPr>
                <w:color w:val="000000"/>
                <w:sz w:val="28"/>
              </w:rPr>
            </w:pPr>
            <w:r>
              <w:rPr>
                <w:rFonts w:hint="eastAsia"/>
                <w:color w:val="000000"/>
                <w:sz w:val="28"/>
              </w:rPr>
              <w:t>主要技术参数</w:t>
            </w:r>
          </w:p>
        </w:tc>
        <w:tc>
          <w:tcPr>
            <w:tcW w:w="999" w:type="dxa"/>
            <w:noWrap/>
          </w:tcPr>
          <w:p>
            <w:pPr>
              <w:pStyle w:val="223"/>
              <w:adjustRightInd w:val="0"/>
              <w:snapToGrid w:val="0"/>
              <w:spacing w:line="440" w:lineRule="exact"/>
              <w:ind w:firstLine="0" w:firstLineChars="0"/>
              <w:rPr>
                <w:color w:val="000000"/>
                <w:spacing w:val="-20"/>
                <w:sz w:val="28"/>
              </w:rPr>
            </w:pPr>
            <w:r>
              <w:rPr>
                <w:rFonts w:hint="eastAsia"/>
                <w:color w:val="000000"/>
                <w:spacing w:val="-20"/>
                <w:sz w:val="28"/>
              </w:rPr>
              <w:t>原产地</w:t>
            </w:r>
          </w:p>
        </w:tc>
        <w:tc>
          <w:tcPr>
            <w:tcW w:w="830" w:type="dxa"/>
            <w:noWrap/>
          </w:tcPr>
          <w:p>
            <w:pPr>
              <w:pStyle w:val="223"/>
              <w:adjustRightInd w:val="0"/>
              <w:snapToGrid w:val="0"/>
              <w:spacing w:line="440" w:lineRule="exact"/>
              <w:ind w:firstLine="0" w:firstLineChars="0"/>
              <w:rPr>
                <w:color w:val="000000"/>
                <w:sz w:val="28"/>
              </w:rPr>
            </w:pPr>
            <w:r>
              <w:rPr>
                <w:rFonts w:hint="eastAsia"/>
                <w:color w:val="000000"/>
                <w:sz w:val="28"/>
              </w:rPr>
              <w:t>数量</w:t>
            </w:r>
          </w:p>
        </w:tc>
        <w:tc>
          <w:tcPr>
            <w:tcW w:w="1135" w:type="dxa"/>
            <w:noWrap/>
          </w:tcPr>
          <w:p>
            <w:pPr>
              <w:pStyle w:val="223"/>
              <w:adjustRightInd w:val="0"/>
              <w:snapToGrid w:val="0"/>
              <w:spacing w:line="440" w:lineRule="exact"/>
              <w:ind w:firstLine="0" w:firstLineChars="0"/>
              <w:rPr>
                <w:color w:val="000000"/>
                <w:sz w:val="28"/>
              </w:rPr>
            </w:pPr>
            <w:r>
              <w:rPr>
                <w:rFonts w:hint="eastAsia"/>
                <w:color w:val="000000"/>
                <w:sz w:val="28"/>
              </w:rPr>
              <w:t>单价</w:t>
            </w:r>
          </w:p>
        </w:tc>
        <w:tc>
          <w:tcPr>
            <w:tcW w:w="1260" w:type="dxa"/>
            <w:noWrap/>
          </w:tcPr>
          <w:p>
            <w:pPr>
              <w:pStyle w:val="223"/>
              <w:adjustRightInd w:val="0"/>
              <w:snapToGrid w:val="0"/>
              <w:spacing w:line="440" w:lineRule="exact"/>
              <w:ind w:firstLine="0" w:firstLineChars="0"/>
              <w:rPr>
                <w:color w:val="000000"/>
                <w:sz w:val="28"/>
              </w:rPr>
            </w:pPr>
            <w:r>
              <w:rPr>
                <w:rFonts w:hint="eastAsia"/>
                <w:color w:val="000000"/>
                <w:sz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tcPr>
          <w:p>
            <w:pPr>
              <w:pStyle w:val="223"/>
              <w:adjustRightInd w:val="0"/>
              <w:snapToGrid w:val="0"/>
              <w:spacing w:line="420" w:lineRule="exact"/>
              <w:ind w:firstLine="0" w:firstLineChars="0"/>
              <w:rPr>
                <w:color w:val="000000"/>
                <w:sz w:val="28"/>
              </w:rPr>
            </w:pPr>
            <w:r>
              <w:rPr>
                <w:rFonts w:hint="eastAsia"/>
                <w:color w:val="000000"/>
                <w:sz w:val="28"/>
              </w:rPr>
              <w:t>一</w:t>
            </w:r>
          </w:p>
        </w:tc>
        <w:tc>
          <w:tcPr>
            <w:tcW w:w="2569" w:type="dxa"/>
            <w:noWrap/>
          </w:tcPr>
          <w:p>
            <w:pPr>
              <w:pStyle w:val="223"/>
              <w:adjustRightInd w:val="0"/>
              <w:snapToGrid w:val="0"/>
              <w:spacing w:line="420" w:lineRule="exact"/>
              <w:ind w:firstLine="0" w:firstLineChars="0"/>
              <w:rPr>
                <w:color w:val="000000"/>
                <w:sz w:val="28"/>
              </w:rPr>
            </w:pPr>
            <w:r>
              <w:rPr>
                <w:rFonts w:hint="eastAsia"/>
                <w:color w:val="000000"/>
                <w:sz w:val="28"/>
              </w:rPr>
              <w:t>产品配置清单</w:t>
            </w:r>
          </w:p>
        </w:tc>
        <w:tc>
          <w:tcPr>
            <w:tcW w:w="1747" w:type="dxa"/>
            <w:noWrap/>
          </w:tcPr>
          <w:p>
            <w:pPr>
              <w:pStyle w:val="223"/>
              <w:adjustRightInd w:val="0"/>
              <w:snapToGrid w:val="0"/>
              <w:spacing w:line="420" w:lineRule="exact"/>
              <w:ind w:firstLine="0" w:firstLineChars="0"/>
              <w:rPr>
                <w:color w:val="000000"/>
                <w:sz w:val="28"/>
              </w:rPr>
            </w:pPr>
          </w:p>
        </w:tc>
        <w:tc>
          <w:tcPr>
            <w:tcW w:w="1440" w:type="dxa"/>
            <w:noWrap/>
          </w:tcPr>
          <w:p>
            <w:pPr>
              <w:pStyle w:val="223"/>
              <w:adjustRightInd w:val="0"/>
              <w:snapToGrid w:val="0"/>
              <w:spacing w:line="420" w:lineRule="exact"/>
              <w:ind w:firstLine="0" w:firstLineChars="0"/>
              <w:rPr>
                <w:color w:val="000000"/>
                <w:sz w:val="28"/>
              </w:rPr>
            </w:pPr>
          </w:p>
        </w:tc>
        <w:tc>
          <w:tcPr>
            <w:tcW w:w="3413" w:type="dxa"/>
            <w:noWrap/>
          </w:tcPr>
          <w:p>
            <w:pPr>
              <w:pStyle w:val="223"/>
              <w:adjustRightInd w:val="0"/>
              <w:snapToGrid w:val="0"/>
              <w:spacing w:line="420" w:lineRule="exact"/>
              <w:ind w:firstLine="0" w:firstLineChars="0"/>
              <w:rPr>
                <w:color w:val="000000"/>
                <w:sz w:val="28"/>
              </w:rPr>
            </w:pPr>
          </w:p>
        </w:tc>
        <w:tc>
          <w:tcPr>
            <w:tcW w:w="999" w:type="dxa"/>
            <w:noWrap/>
          </w:tcPr>
          <w:p>
            <w:pPr>
              <w:pStyle w:val="223"/>
              <w:adjustRightInd w:val="0"/>
              <w:snapToGrid w:val="0"/>
              <w:spacing w:line="420" w:lineRule="exact"/>
              <w:ind w:firstLine="0" w:firstLineChars="0"/>
              <w:rPr>
                <w:color w:val="000000"/>
                <w:sz w:val="28"/>
              </w:rPr>
            </w:pPr>
          </w:p>
        </w:tc>
        <w:tc>
          <w:tcPr>
            <w:tcW w:w="830" w:type="dxa"/>
            <w:noWrap/>
          </w:tcPr>
          <w:p>
            <w:pPr>
              <w:pStyle w:val="223"/>
              <w:adjustRightInd w:val="0"/>
              <w:snapToGrid w:val="0"/>
              <w:spacing w:line="420" w:lineRule="exact"/>
              <w:ind w:firstLine="0" w:firstLineChars="0"/>
              <w:rPr>
                <w:color w:val="000000"/>
                <w:sz w:val="28"/>
              </w:rPr>
            </w:pPr>
          </w:p>
        </w:tc>
        <w:tc>
          <w:tcPr>
            <w:tcW w:w="1135" w:type="dxa"/>
            <w:noWrap/>
          </w:tcPr>
          <w:p>
            <w:pPr>
              <w:pStyle w:val="223"/>
              <w:adjustRightInd w:val="0"/>
              <w:snapToGrid w:val="0"/>
              <w:spacing w:line="420" w:lineRule="exact"/>
              <w:ind w:firstLine="0" w:firstLineChars="0"/>
              <w:rPr>
                <w:color w:val="000000"/>
                <w:sz w:val="28"/>
              </w:rPr>
            </w:pPr>
          </w:p>
        </w:tc>
        <w:tc>
          <w:tcPr>
            <w:tcW w:w="1260" w:type="dxa"/>
            <w:noWrap/>
          </w:tcPr>
          <w:p>
            <w:pPr>
              <w:pStyle w:val="223"/>
              <w:adjustRightInd w:val="0"/>
              <w:snapToGrid w:val="0"/>
              <w:spacing w:line="420" w:lineRule="exact"/>
              <w:ind w:firstLine="0" w:firstLineChars="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tcPr>
          <w:p>
            <w:pPr>
              <w:pStyle w:val="223"/>
              <w:adjustRightInd w:val="0"/>
              <w:snapToGrid w:val="0"/>
              <w:spacing w:line="420" w:lineRule="exact"/>
              <w:ind w:firstLine="0" w:firstLineChars="0"/>
              <w:rPr>
                <w:color w:val="000000"/>
                <w:sz w:val="28"/>
              </w:rPr>
            </w:pPr>
            <w:r>
              <w:rPr>
                <w:rFonts w:hint="eastAsia"/>
                <w:color w:val="000000"/>
                <w:sz w:val="28"/>
              </w:rPr>
              <w:t>…</w:t>
            </w:r>
          </w:p>
        </w:tc>
        <w:tc>
          <w:tcPr>
            <w:tcW w:w="2569" w:type="dxa"/>
            <w:noWrap/>
          </w:tcPr>
          <w:p>
            <w:pPr>
              <w:pStyle w:val="223"/>
              <w:adjustRightInd w:val="0"/>
              <w:snapToGrid w:val="0"/>
              <w:spacing w:line="420" w:lineRule="exact"/>
              <w:ind w:firstLine="0" w:firstLineChars="0"/>
              <w:rPr>
                <w:color w:val="000000"/>
                <w:sz w:val="28"/>
              </w:rPr>
            </w:pPr>
          </w:p>
        </w:tc>
        <w:tc>
          <w:tcPr>
            <w:tcW w:w="1747" w:type="dxa"/>
            <w:noWrap/>
          </w:tcPr>
          <w:p>
            <w:pPr>
              <w:pStyle w:val="223"/>
              <w:adjustRightInd w:val="0"/>
              <w:snapToGrid w:val="0"/>
              <w:spacing w:line="420" w:lineRule="exact"/>
              <w:ind w:firstLine="0" w:firstLineChars="0"/>
              <w:rPr>
                <w:color w:val="000000"/>
                <w:sz w:val="28"/>
              </w:rPr>
            </w:pPr>
          </w:p>
        </w:tc>
        <w:tc>
          <w:tcPr>
            <w:tcW w:w="1440" w:type="dxa"/>
            <w:noWrap/>
          </w:tcPr>
          <w:p>
            <w:pPr>
              <w:pStyle w:val="223"/>
              <w:adjustRightInd w:val="0"/>
              <w:snapToGrid w:val="0"/>
              <w:spacing w:line="420" w:lineRule="exact"/>
              <w:ind w:firstLine="0" w:firstLineChars="0"/>
              <w:rPr>
                <w:color w:val="000000"/>
                <w:sz w:val="28"/>
              </w:rPr>
            </w:pPr>
          </w:p>
        </w:tc>
        <w:tc>
          <w:tcPr>
            <w:tcW w:w="3413" w:type="dxa"/>
            <w:noWrap/>
          </w:tcPr>
          <w:p>
            <w:pPr>
              <w:pStyle w:val="223"/>
              <w:adjustRightInd w:val="0"/>
              <w:snapToGrid w:val="0"/>
              <w:spacing w:line="420" w:lineRule="exact"/>
              <w:ind w:firstLine="0" w:firstLineChars="0"/>
              <w:rPr>
                <w:color w:val="000000"/>
                <w:sz w:val="28"/>
              </w:rPr>
            </w:pPr>
          </w:p>
        </w:tc>
        <w:tc>
          <w:tcPr>
            <w:tcW w:w="999" w:type="dxa"/>
            <w:noWrap/>
          </w:tcPr>
          <w:p>
            <w:pPr>
              <w:pStyle w:val="223"/>
              <w:adjustRightInd w:val="0"/>
              <w:snapToGrid w:val="0"/>
              <w:spacing w:line="420" w:lineRule="exact"/>
              <w:ind w:firstLine="0" w:firstLineChars="0"/>
              <w:rPr>
                <w:color w:val="000000"/>
                <w:sz w:val="28"/>
              </w:rPr>
            </w:pPr>
          </w:p>
        </w:tc>
        <w:tc>
          <w:tcPr>
            <w:tcW w:w="830" w:type="dxa"/>
            <w:noWrap/>
          </w:tcPr>
          <w:p>
            <w:pPr>
              <w:pStyle w:val="223"/>
              <w:adjustRightInd w:val="0"/>
              <w:snapToGrid w:val="0"/>
              <w:spacing w:line="420" w:lineRule="exact"/>
              <w:ind w:firstLine="0" w:firstLineChars="0"/>
              <w:rPr>
                <w:color w:val="000000"/>
                <w:sz w:val="28"/>
              </w:rPr>
            </w:pPr>
          </w:p>
        </w:tc>
        <w:tc>
          <w:tcPr>
            <w:tcW w:w="1135" w:type="dxa"/>
            <w:noWrap/>
          </w:tcPr>
          <w:p>
            <w:pPr>
              <w:pStyle w:val="223"/>
              <w:adjustRightInd w:val="0"/>
              <w:snapToGrid w:val="0"/>
              <w:spacing w:line="420" w:lineRule="exact"/>
              <w:ind w:firstLine="0" w:firstLineChars="0"/>
              <w:rPr>
                <w:color w:val="000000"/>
                <w:sz w:val="28"/>
              </w:rPr>
            </w:pPr>
          </w:p>
        </w:tc>
        <w:tc>
          <w:tcPr>
            <w:tcW w:w="1260" w:type="dxa"/>
            <w:noWrap/>
          </w:tcPr>
          <w:p>
            <w:pPr>
              <w:pStyle w:val="223"/>
              <w:adjustRightInd w:val="0"/>
              <w:snapToGrid w:val="0"/>
              <w:spacing w:line="420" w:lineRule="exact"/>
              <w:ind w:firstLine="0" w:firstLineChars="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tcPr>
          <w:p>
            <w:pPr>
              <w:pStyle w:val="223"/>
              <w:adjustRightInd w:val="0"/>
              <w:snapToGrid w:val="0"/>
              <w:spacing w:line="420" w:lineRule="exact"/>
              <w:ind w:firstLine="0" w:firstLineChars="0"/>
              <w:rPr>
                <w:color w:val="000000"/>
                <w:sz w:val="28"/>
              </w:rPr>
            </w:pPr>
            <w:r>
              <w:rPr>
                <w:rFonts w:hint="eastAsia"/>
                <w:color w:val="000000"/>
                <w:sz w:val="28"/>
              </w:rPr>
              <w:t>二</w:t>
            </w:r>
          </w:p>
        </w:tc>
        <w:tc>
          <w:tcPr>
            <w:tcW w:w="2569" w:type="dxa"/>
            <w:noWrap/>
          </w:tcPr>
          <w:p>
            <w:pPr>
              <w:pStyle w:val="223"/>
              <w:adjustRightInd w:val="0"/>
              <w:snapToGrid w:val="0"/>
              <w:spacing w:line="420" w:lineRule="exact"/>
              <w:ind w:firstLine="0" w:firstLineChars="0"/>
              <w:rPr>
                <w:color w:val="000000"/>
                <w:sz w:val="28"/>
              </w:rPr>
            </w:pPr>
            <w:r>
              <w:rPr>
                <w:rFonts w:hint="eastAsia"/>
                <w:color w:val="000000"/>
                <w:sz w:val="28"/>
              </w:rPr>
              <w:t>系统集成及安装调试</w:t>
            </w:r>
          </w:p>
        </w:tc>
        <w:tc>
          <w:tcPr>
            <w:tcW w:w="10824" w:type="dxa"/>
            <w:gridSpan w:val="7"/>
            <w:noWrap/>
          </w:tcPr>
          <w:p>
            <w:pPr>
              <w:pStyle w:val="223"/>
              <w:adjustRightInd w:val="0"/>
              <w:snapToGrid w:val="0"/>
              <w:spacing w:line="420" w:lineRule="exact"/>
              <w:ind w:firstLine="0" w:firstLineChars="0"/>
              <w:rPr>
                <w:color w:val="000000"/>
                <w:sz w:val="28"/>
              </w:rPr>
            </w:pPr>
            <w:r>
              <w:rPr>
                <w:rFonts w:hint="eastAsia"/>
                <w:color w:val="000000"/>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noWrap/>
          </w:tcPr>
          <w:p>
            <w:pPr>
              <w:pStyle w:val="223"/>
              <w:adjustRightInd w:val="0"/>
              <w:snapToGrid w:val="0"/>
              <w:spacing w:line="440" w:lineRule="exact"/>
              <w:ind w:firstLine="0" w:firstLineChars="0"/>
              <w:rPr>
                <w:color w:val="000000"/>
                <w:sz w:val="28"/>
              </w:rPr>
            </w:pPr>
            <w:r>
              <w:rPr>
                <w:rFonts w:hint="eastAsia"/>
                <w:color w:val="000000"/>
                <w:sz w:val="28"/>
              </w:rPr>
              <w:t>三</w:t>
            </w:r>
          </w:p>
        </w:tc>
        <w:tc>
          <w:tcPr>
            <w:tcW w:w="2569" w:type="dxa"/>
            <w:noWrap/>
          </w:tcPr>
          <w:p>
            <w:pPr>
              <w:pStyle w:val="223"/>
              <w:adjustRightInd w:val="0"/>
              <w:snapToGrid w:val="0"/>
              <w:spacing w:line="440" w:lineRule="exact"/>
              <w:ind w:firstLine="0" w:firstLineChars="0"/>
              <w:rPr>
                <w:color w:val="000000"/>
                <w:sz w:val="28"/>
              </w:rPr>
            </w:pPr>
            <w:r>
              <w:rPr>
                <w:rFonts w:hint="eastAsia"/>
                <w:color w:val="000000"/>
                <w:sz w:val="28"/>
              </w:rPr>
              <w:t>总计</w:t>
            </w:r>
          </w:p>
        </w:tc>
        <w:tc>
          <w:tcPr>
            <w:tcW w:w="10824" w:type="dxa"/>
            <w:gridSpan w:val="7"/>
            <w:noWrap/>
          </w:tcPr>
          <w:p>
            <w:pPr>
              <w:adjustRightInd w:val="0"/>
              <w:snapToGrid w:val="0"/>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￥：元</w:t>
            </w:r>
          </w:p>
          <w:p>
            <w:pPr>
              <w:pStyle w:val="223"/>
              <w:adjustRightInd w:val="0"/>
              <w:snapToGrid w:val="0"/>
              <w:spacing w:line="440" w:lineRule="exact"/>
              <w:ind w:firstLine="0" w:firstLineChars="0"/>
              <w:rPr>
                <w:color w:val="000000"/>
                <w:sz w:val="28"/>
              </w:rPr>
            </w:pPr>
            <w:r>
              <w:rPr>
                <w:rFonts w:hint="eastAsia"/>
                <w:color w:val="000000"/>
                <w:sz w:val="28"/>
              </w:rPr>
              <w:t>大写：元</w:t>
            </w:r>
          </w:p>
        </w:tc>
      </w:tr>
    </w:tbl>
    <w:p>
      <w:pPr>
        <w:snapToGrid w:val="0"/>
        <w:spacing w:line="480" w:lineRule="exact"/>
        <w:rPr>
          <w:rFonts w:ascii="仿宋_GB2312" w:eastAsia="仿宋_GB2312"/>
          <w:sz w:val="28"/>
          <w:szCs w:val="28"/>
        </w:rPr>
      </w:pPr>
      <w:r>
        <w:rPr>
          <w:rFonts w:hint="eastAsia" w:ascii="仿宋_GB2312" w:eastAsia="仿宋_GB2312"/>
          <w:sz w:val="28"/>
          <w:szCs w:val="28"/>
        </w:rPr>
        <w:t>注：1、报价应包括运输、培训、安装、调试和售后服务等所有费用。</w:t>
      </w:r>
    </w:p>
    <w:p>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2、按采购需求逐项列出所需的各种费用。</w:t>
      </w:r>
    </w:p>
    <w:p>
      <w:pPr>
        <w:snapToGrid w:val="0"/>
        <w:spacing w:line="480" w:lineRule="exact"/>
        <w:ind w:firstLine="560" w:firstLineChars="200"/>
        <w:rPr>
          <w:rFonts w:ascii="仿宋_GB2312" w:eastAsia="仿宋_GB2312"/>
          <w:sz w:val="28"/>
          <w:szCs w:val="28"/>
        </w:rPr>
      </w:pPr>
      <w:r>
        <w:rPr>
          <w:rFonts w:hint="eastAsia" w:ascii="仿宋_GB2312" w:eastAsia="仿宋_GB2312"/>
          <w:sz w:val="28"/>
          <w:szCs w:val="28"/>
        </w:rPr>
        <w:t>2、以上表格中各项可进一步细分，栏数不够可自加。</w:t>
      </w:r>
    </w:p>
    <w:p>
      <w:pPr>
        <w:snapToGrid w:val="0"/>
        <w:spacing w:line="480" w:lineRule="exact"/>
        <w:rPr>
          <w:rFonts w:ascii="仿宋_GB2312" w:eastAsia="仿宋_GB2312"/>
          <w:sz w:val="28"/>
          <w:szCs w:val="28"/>
        </w:rPr>
      </w:pPr>
      <w:r>
        <w:rPr>
          <w:rFonts w:hint="eastAsia" w:ascii="仿宋_GB2312" w:eastAsia="仿宋_GB2312"/>
          <w:sz w:val="28"/>
          <w:szCs w:val="28"/>
        </w:rPr>
        <w:t>投标人（盖章）：</w:t>
      </w:r>
    </w:p>
    <w:p>
      <w:pPr>
        <w:snapToGrid w:val="0"/>
        <w:spacing w:line="480" w:lineRule="exact"/>
        <w:rPr>
          <w:rFonts w:ascii="仿宋_GB2312" w:eastAsia="仿宋_GB2312"/>
          <w:sz w:val="28"/>
          <w:szCs w:val="28"/>
        </w:rPr>
      </w:pPr>
      <w:r>
        <w:rPr>
          <w:rFonts w:hint="eastAsia" w:ascii="仿宋_GB2312" w:eastAsia="仿宋_GB2312"/>
          <w:sz w:val="28"/>
          <w:szCs w:val="28"/>
        </w:rPr>
        <w:t xml:space="preserve">法定代表人（负责人）或其授权代表人（签字）：                                   </w:t>
      </w:r>
    </w:p>
    <w:p>
      <w:pPr>
        <w:snapToGrid w:val="0"/>
        <w:spacing w:line="480" w:lineRule="exact"/>
        <w:rPr>
          <w:rFonts w:ascii="仿宋_GB2312" w:eastAsia="仿宋_GB2312"/>
          <w:sz w:val="28"/>
          <w:szCs w:val="28"/>
        </w:rPr>
      </w:pPr>
      <w:r>
        <w:rPr>
          <w:rFonts w:hint="eastAsia" w:ascii="仿宋_GB2312" w:eastAsia="仿宋_GB2312"/>
          <w:sz w:val="28"/>
          <w:szCs w:val="28"/>
        </w:rPr>
        <w:t xml:space="preserve">日期： </w:t>
      </w:r>
    </w:p>
    <w:p>
      <w:pPr>
        <w:spacing w:line="500" w:lineRule="exact"/>
        <w:jc w:val="center"/>
        <w:rPr>
          <w:rFonts w:ascii="仿宋_GB2312" w:eastAsia="仿宋_GB2312"/>
          <w:sz w:val="28"/>
          <w:szCs w:val="28"/>
        </w:rPr>
        <w:sectPr>
          <w:pgSz w:w="16838" w:h="11906" w:orient="landscape"/>
          <w:pgMar w:top="1247" w:right="1389" w:bottom="1247" w:left="1389" w:header="851" w:footer="992" w:gutter="284"/>
          <w:cols w:space="720" w:num="1"/>
          <w:docGrid w:linePitch="312" w:charSpace="0"/>
        </w:sectPr>
      </w:pPr>
    </w:p>
    <w:p>
      <w:pPr>
        <w:spacing w:line="500" w:lineRule="exact"/>
        <w:jc w:val="center"/>
        <w:rPr>
          <w:rFonts w:ascii="仿宋_GB2312" w:eastAsia="仿宋_GB2312"/>
          <w:sz w:val="28"/>
          <w:szCs w:val="28"/>
        </w:rPr>
      </w:pPr>
      <w:r>
        <w:rPr>
          <w:rFonts w:hint="eastAsia" w:ascii="仿宋_GB2312" w:eastAsia="仿宋_GB2312"/>
          <w:sz w:val="28"/>
          <w:szCs w:val="28"/>
        </w:rPr>
        <w:t xml:space="preserve"> 2 开标一览表</w:t>
      </w:r>
    </w:p>
    <w:p>
      <w:pPr>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项目名称：                               </w:t>
      </w:r>
    </w:p>
    <w:p>
      <w:pPr>
        <w:snapToGrid w:val="0"/>
        <w:spacing w:line="540" w:lineRule="exact"/>
        <w:rPr>
          <w:rFonts w:ascii="仿宋_GB2312" w:hAnsi="宋体" w:eastAsia="仿宋_GB2312"/>
          <w:sz w:val="28"/>
          <w:szCs w:val="28"/>
        </w:rPr>
      </w:pPr>
      <w:r>
        <w:rPr>
          <w:rFonts w:hint="eastAsia" w:ascii="仿宋_GB2312" w:hAnsi="宋体" w:eastAsia="仿宋_GB2312"/>
          <w:sz w:val="28"/>
          <w:szCs w:val="28"/>
        </w:rPr>
        <w:t>项目编号：                                          金额单位：元</w:t>
      </w:r>
    </w:p>
    <w:tbl>
      <w:tblPr>
        <w:tblStyle w:val="59"/>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3"/>
        <w:gridCol w:w="1797"/>
        <w:gridCol w:w="900"/>
        <w:gridCol w:w="1057"/>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20" w:type="dxa"/>
            <w:noWrap/>
            <w:vAlign w:val="center"/>
          </w:tcPr>
          <w:p>
            <w:pPr>
              <w:pStyle w:val="223"/>
              <w:snapToGrid w:val="0"/>
              <w:spacing w:line="400" w:lineRule="exact"/>
              <w:ind w:left="-107" w:leftChars="-51" w:firstLine="0" w:firstLineChars="0"/>
              <w:rPr>
                <w:color w:val="000000"/>
                <w:sz w:val="28"/>
              </w:rPr>
            </w:pPr>
            <w:r>
              <w:rPr>
                <w:rFonts w:hint="eastAsia"/>
                <w:color w:val="000000"/>
                <w:sz w:val="28"/>
              </w:rPr>
              <w:t>序号</w:t>
            </w:r>
          </w:p>
        </w:tc>
        <w:tc>
          <w:tcPr>
            <w:tcW w:w="1983" w:type="dxa"/>
            <w:noWrap/>
            <w:vAlign w:val="center"/>
          </w:tcPr>
          <w:p>
            <w:pPr>
              <w:pStyle w:val="223"/>
              <w:snapToGrid w:val="0"/>
              <w:spacing w:line="400" w:lineRule="exact"/>
              <w:ind w:firstLine="0" w:firstLineChars="0"/>
              <w:rPr>
                <w:color w:val="000000"/>
                <w:sz w:val="28"/>
              </w:rPr>
            </w:pPr>
            <w:r>
              <w:rPr>
                <w:rFonts w:hint="eastAsia"/>
                <w:color w:val="000000"/>
                <w:sz w:val="28"/>
              </w:rPr>
              <w:t>名称</w:t>
            </w:r>
          </w:p>
        </w:tc>
        <w:tc>
          <w:tcPr>
            <w:tcW w:w="1797" w:type="dxa"/>
            <w:noWrap/>
            <w:vAlign w:val="center"/>
          </w:tcPr>
          <w:p>
            <w:pPr>
              <w:pStyle w:val="223"/>
              <w:snapToGrid w:val="0"/>
              <w:spacing w:line="400" w:lineRule="exact"/>
              <w:ind w:firstLine="0" w:firstLineChars="0"/>
              <w:rPr>
                <w:color w:val="000000"/>
                <w:sz w:val="28"/>
              </w:rPr>
            </w:pPr>
            <w:r>
              <w:rPr>
                <w:rFonts w:hint="eastAsia"/>
                <w:color w:val="000000"/>
                <w:sz w:val="28"/>
              </w:rPr>
              <w:t>品牌型号</w:t>
            </w:r>
          </w:p>
        </w:tc>
        <w:tc>
          <w:tcPr>
            <w:tcW w:w="900" w:type="dxa"/>
            <w:noWrap/>
            <w:vAlign w:val="center"/>
          </w:tcPr>
          <w:p>
            <w:pPr>
              <w:pStyle w:val="223"/>
              <w:snapToGrid w:val="0"/>
              <w:spacing w:line="400" w:lineRule="exact"/>
              <w:ind w:firstLine="0" w:firstLineChars="0"/>
              <w:rPr>
                <w:color w:val="000000"/>
                <w:sz w:val="28"/>
              </w:rPr>
            </w:pPr>
            <w:r>
              <w:rPr>
                <w:rFonts w:hint="eastAsia"/>
                <w:color w:val="000000"/>
                <w:sz w:val="28"/>
              </w:rPr>
              <w:t>数量</w:t>
            </w:r>
          </w:p>
        </w:tc>
        <w:tc>
          <w:tcPr>
            <w:tcW w:w="1057" w:type="dxa"/>
            <w:noWrap/>
            <w:vAlign w:val="center"/>
          </w:tcPr>
          <w:p>
            <w:pPr>
              <w:pStyle w:val="223"/>
              <w:snapToGrid w:val="0"/>
              <w:spacing w:line="400" w:lineRule="exact"/>
              <w:ind w:left="20" w:firstLine="0" w:firstLineChars="0"/>
              <w:rPr>
                <w:color w:val="000000"/>
                <w:sz w:val="28"/>
              </w:rPr>
            </w:pPr>
            <w:r>
              <w:rPr>
                <w:rFonts w:hint="eastAsia"/>
                <w:color w:val="000000"/>
                <w:sz w:val="28"/>
              </w:rPr>
              <w:t>单价</w:t>
            </w:r>
          </w:p>
        </w:tc>
        <w:tc>
          <w:tcPr>
            <w:tcW w:w="1260" w:type="dxa"/>
            <w:noWrap/>
            <w:vAlign w:val="center"/>
          </w:tcPr>
          <w:p>
            <w:pPr>
              <w:pStyle w:val="223"/>
              <w:snapToGrid w:val="0"/>
              <w:spacing w:line="400" w:lineRule="exact"/>
              <w:ind w:firstLine="0" w:firstLineChars="0"/>
              <w:rPr>
                <w:color w:val="000000"/>
                <w:sz w:val="28"/>
              </w:rPr>
            </w:pPr>
            <w:r>
              <w:rPr>
                <w:rFonts w:hint="eastAsia"/>
                <w:color w:val="000000"/>
                <w:sz w:val="28"/>
              </w:rPr>
              <w:t>总价</w:t>
            </w:r>
          </w:p>
        </w:tc>
        <w:tc>
          <w:tcPr>
            <w:tcW w:w="1103" w:type="dxa"/>
            <w:noWrap/>
            <w:vAlign w:val="center"/>
          </w:tcPr>
          <w:p>
            <w:pPr>
              <w:pStyle w:val="223"/>
              <w:snapToGrid w:val="0"/>
              <w:spacing w:line="400" w:lineRule="exact"/>
              <w:ind w:firstLine="0" w:firstLineChars="0"/>
              <w:rPr>
                <w:color w:val="000000"/>
                <w:sz w:val="28"/>
              </w:rPr>
            </w:pPr>
            <w:r>
              <w:rPr>
                <w:rFonts w:hint="eastAsia"/>
                <w:color w:val="000000"/>
                <w:sz w:val="28"/>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20" w:type="dxa"/>
            <w:noWrap/>
            <w:vAlign w:val="center"/>
          </w:tcPr>
          <w:p>
            <w:pPr>
              <w:pStyle w:val="223"/>
              <w:snapToGrid w:val="0"/>
              <w:spacing w:line="240" w:lineRule="auto"/>
              <w:ind w:firstLine="0" w:firstLineChars="0"/>
              <w:rPr>
                <w:color w:val="000000"/>
                <w:sz w:val="28"/>
              </w:rPr>
            </w:pPr>
            <w:r>
              <w:rPr>
                <w:rFonts w:hint="eastAsia"/>
                <w:color w:val="000000"/>
                <w:sz w:val="28"/>
              </w:rPr>
              <w:t>一</w:t>
            </w:r>
          </w:p>
        </w:tc>
        <w:tc>
          <w:tcPr>
            <w:tcW w:w="1983" w:type="dxa"/>
            <w:noWrap/>
          </w:tcPr>
          <w:p>
            <w:pPr>
              <w:pStyle w:val="223"/>
              <w:spacing w:line="360" w:lineRule="auto"/>
              <w:ind w:firstLine="0" w:firstLineChars="0"/>
              <w:rPr>
                <w:color w:val="000000"/>
                <w:sz w:val="28"/>
              </w:rPr>
            </w:pPr>
          </w:p>
        </w:tc>
        <w:tc>
          <w:tcPr>
            <w:tcW w:w="1797" w:type="dxa"/>
            <w:noWrap/>
          </w:tcPr>
          <w:p>
            <w:pPr>
              <w:pStyle w:val="223"/>
              <w:spacing w:line="360" w:lineRule="auto"/>
              <w:ind w:firstLine="577"/>
              <w:rPr>
                <w:color w:val="000000"/>
                <w:sz w:val="28"/>
              </w:rPr>
            </w:pPr>
          </w:p>
        </w:tc>
        <w:tc>
          <w:tcPr>
            <w:tcW w:w="900" w:type="dxa"/>
            <w:noWrap/>
          </w:tcPr>
          <w:p>
            <w:pPr>
              <w:pStyle w:val="223"/>
              <w:spacing w:line="360" w:lineRule="auto"/>
              <w:ind w:firstLine="0" w:firstLineChars="0"/>
              <w:rPr>
                <w:color w:val="000000"/>
                <w:sz w:val="28"/>
              </w:rPr>
            </w:pPr>
          </w:p>
        </w:tc>
        <w:tc>
          <w:tcPr>
            <w:tcW w:w="1057" w:type="dxa"/>
            <w:noWrap/>
          </w:tcPr>
          <w:p>
            <w:pPr>
              <w:pStyle w:val="223"/>
              <w:spacing w:line="360" w:lineRule="auto"/>
              <w:ind w:firstLine="0" w:firstLineChars="0"/>
              <w:rPr>
                <w:color w:val="000000"/>
                <w:sz w:val="28"/>
              </w:rPr>
            </w:pPr>
          </w:p>
        </w:tc>
        <w:tc>
          <w:tcPr>
            <w:tcW w:w="1260" w:type="dxa"/>
            <w:noWrap/>
          </w:tcPr>
          <w:p>
            <w:pPr>
              <w:pStyle w:val="223"/>
              <w:spacing w:line="360" w:lineRule="auto"/>
              <w:ind w:firstLine="0" w:firstLineChars="0"/>
              <w:rPr>
                <w:color w:val="000000"/>
                <w:sz w:val="28"/>
              </w:rPr>
            </w:pPr>
          </w:p>
        </w:tc>
        <w:tc>
          <w:tcPr>
            <w:tcW w:w="1103" w:type="dxa"/>
            <w:vMerge w:val="restart"/>
            <w:noWrap/>
          </w:tcPr>
          <w:p>
            <w:pPr>
              <w:pStyle w:val="223"/>
              <w:spacing w:line="360" w:lineRule="auto"/>
              <w:ind w:firstLine="0" w:firstLineChars="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20" w:type="dxa"/>
            <w:noWrap/>
            <w:vAlign w:val="center"/>
          </w:tcPr>
          <w:p>
            <w:pPr>
              <w:pStyle w:val="223"/>
              <w:snapToGrid w:val="0"/>
              <w:spacing w:line="240" w:lineRule="auto"/>
              <w:ind w:firstLine="0" w:firstLineChars="0"/>
              <w:rPr>
                <w:color w:val="000000"/>
                <w:sz w:val="28"/>
              </w:rPr>
            </w:pPr>
            <w:r>
              <w:rPr>
                <w:rFonts w:hint="eastAsia"/>
                <w:color w:val="000000"/>
                <w:sz w:val="28"/>
              </w:rPr>
              <w:t>二</w:t>
            </w:r>
          </w:p>
        </w:tc>
        <w:tc>
          <w:tcPr>
            <w:tcW w:w="1983" w:type="dxa"/>
            <w:noWrap/>
          </w:tcPr>
          <w:p>
            <w:pPr>
              <w:pStyle w:val="223"/>
              <w:spacing w:line="360" w:lineRule="auto"/>
              <w:ind w:firstLine="0" w:firstLineChars="0"/>
              <w:rPr>
                <w:color w:val="000000"/>
                <w:sz w:val="28"/>
              </w:rPr>
            </w:pPr>
          </w:p>
        </w:tc>
        <w:tc>
          <w:tcPr>
            <w:tcW w:w="1797" w:type="dxa"/>
            <w:noWrap/>
          </w:tcPr>
          <w:p>
            <w:pPr>
              <w:pStyle w:val="223"/>
              <w:spacing w:line="360" w:lineRule="auto"/>
              <w:ind w:firstLine="577"/>
              <w:rPr>
                <w:color w:val="000000"/>
                <w:sz w:val="28"/>
              </w:rPr>
            </w:pPr>
          </w:p>
        </w:tc>
        <w:tc>
          <w:tcPr>
            <w:tcW w:w="900" w:type="dxa"/>
            <w:noWrap/>
          </w:tcPr>
          <w:p>
            <w:pPr>
              <w:pStyle w:val="223"/>
              <w:spacing w:line="360" w:lineRule="auto"/>
              <w:ind w:firstLine="0" w:firstLineChars="0"/>
              <w:rPr>
                <w:color w:val="000000"/>
                <w:sz w:val="28"/>
              </w:rPr>
            </w:pPr>
          </w:p>
        </w:tc>
        <w:tc>
          <w:tcPr>
            <w:tcW w:w="1057" w:type="dxa"/>
            <w:noWrap/>
          </w:tcPr>
          <w:p>
            <w:pPr>
              <w:pStyle w:val="223"/>
              <w:spacing w:line="360" w:lineRule="auto"/>
              <w:ind w:firstLine="0" w:firstLineChars="0"/>
              <w:rPr>
                <w:color w:val="000000"/>
                <w:sz w:val="28"/>
              </w:rPr>
            </w:pPr>
          </w:p>
        </w:tc>
        <w:tc>
          <w:tcPr>
            <w:tcW w:w="1260" w:type="dxa"/>
            <w:noWrap/>
          </w:tcPr>
          <w:p>
            <w:pPr>
              <w:pStyle w:val="223"/>
              <w:spacing w:line="360" w:lineRule="auto"/>
              <w:ind w:firstLine="0" w:firstLineChars="0"/>
              <w:rPr>
                <w:color w:val="000000"/>
                <w:sz w:val="28"/>
              </w:rPr>
            </w:pPr>
          </w:p>
        </w:tc>
        <w:tc>
          <w:tcPr>
            <w:tcW w:w="1103" w:type="dxa"/>
            <w:vMerge w:val="continue"/>
            <w:noWrap/>
          </w:tcPr>
          <w:p>
            <w:pPr>
              <w:pStyle w:val="223"/>
              <w:spacing w:line="360" w:lineRule="auto"/>
              <w:ind w:firstLine="0" w:firstLineChars="0"/>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20" w:type="dxa"/>
            <w:noWrap/>
            <w:vAlign w:val="center"/>
          </w:tcPr>
          <w:p>
            <w:pPr>
              <w:pStyle w:val="223"/>
              <w:snapToGrid w:val="0"/>
              <w:spacing w:line="240" w:lineRule="auto"/>
              <w:ind w:firstLine="0" w:firstLineChars="0"/>
              <w:rPr>
                <w:color w:val="000000"/>
                <w:sz w:val="28"/>
              </w:rPr>
            </w:pPr>
            <w:r>
              <w:rPr>
                <w:rFonts w:hint="eastAsia"/>
                <w:color w:val="000000"/>
                <w:sz w:val="28"/>
              </w:rPr>
              <w:t>三</w:t>
            </w:r>
          </w:p>
        </w:tc>
        <w:tc>
          <w:tcPr>
            <w:tcW w:w="1983" w:type="dxa"/>
            <w:noWrap/>
            <w:vAlign w:val="center"/>
          </w:tcPr>
          <w:p>
            <w:pPr>
              <w:pStyle w:val="223"/>
              <w:snapToGrid w:val="0"/>
              <w:spacing w:line="440" w:lineRule="exact"/>
              <w:ind w:firstLine="0" w:firstLineChars="0"/>
              <w:rPr>
                <w:color w:val="000000"/>
                <w:sz w:val="28"/>
              </w:rPr>
            </w:pPr>
            <w:r>
              <w:rPr>
                <w:rFonts w:hint="eastAsia"/>
                <w:color w:val="000000"/>
                <w:sz w:val="28"/>
              </w:rPr>
              <w:t>系统集成及安装调试</w:t>
            </w:r>
          </w:p>
        </w:tc>
        <w:tc>
          <w:tcPr>
            <w:tcW w:w="6117" w:type="dxa"/>
            <w:gridSpan w:val="5"/>
            <w:noWrap/>
            <w:vAlign w:val="center"/>
          </w:tcPr>
          <w:p>
            <w:pPr>
              <w:pStyle w:val="223"/>
              <w:adjustRightInd w:val="0"/>
              <w:snapToGrid w:val="0"/>
              <w:spacing w:line="420" w:lineRule="exact"/>
              <w:ind w:firstLine="0" w:firstLineChars="0"/>
              <w:rPr>
                <w:color w:val="000000"/>
                <w:sz w:val="28"/>
              </w:rPr>
            </w:pPr>
            <w:r>
              <w:rPr>
                <w:rFonts w:hint="eastAsia"/>
                <w:color w:val="000000"/>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noWrap/>
            <w:vAlign w:val="center"/>
          </w:tcPr>
          <w:p>
            <w:pPr>
              <w:pStyle w:val="223"/>
              <w:snapToGrid w:val="0"/>
              <w:spacing w:line="240" w:lineRule="auto"/>
              <w:ind w:firstLine="0" w:firstLineChars="0"/>
              <w:rPr>
                <w:color w:val="000000"/>
                <w:sz w:val="28"/>
              </w:rPr>
            </w:pPr>
            <w:r>
              <w:rPr>
                <w:rFonts w:hint="eastAsia"/>
                <w:color w:val="000000"/>
                <w:sz w:val="28"/>
              </w:rPr>
              <w:t>四</w:t>
            </w:r>
          </w:p>
        </w:tc>
        <w:tc>
          <w:tcPr>
            <w:tcW w:w="1983" w:type="dxa"/>
            <w:noWrap/>
            <w:vAlign w:val="center"/>
          </w:tcPr>
          <w:p>
            <w:pPr>
              <w:pStyle w:val="223"/>
              <w:snapToGrid w:val="0"/>
              <w:spacing w:line="240" w:lineRule="auto"/>
              <w:ind w:firstLine="0" w:firstLineChars="0"/>
              <w:rPr>
                <w:color w:val="000000"/>
                <w:sz w:val="28"/>
              </w:rPr>
            </w:pPr>
            <w:r>
              <w:rPr>
                <w:rFonts w:hint="eastAsia"/>
                <w:color w:val="000000"/>
                <w:sz w:val="28"/>
              </w:rPr>
              <w:t>总计</w:t>
            </w:r>
          </w:p>
        </w:tc>
        <w:tc>
          <w:tcPr>
            <w:tcW w:w="6117" w:type="dxa"/>
            <w:gridSpan w:val="5"/>
            <w:noWrap/>
          </w:tcPr>
          <w:p>
            <w:pPr>
              <w:adjustRightInd w:val="0"/>
              <w:snapToGrid w:val="0"/>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￥：元</w:t>
            </w:r>
          </w:p>
          <w:p>
            <w:pPr>
              <w:pStyle w:val="223"/>
              <w:adjustRightInd w:val="0"/>
              <w:snapToGrid w:val="0"/>
              <w:spacing w:line="440" w:lineRule="exact"/>
              <w:ind w:firstLine="0" w:firstLineChars="0"/>
              <w:rPr>
                <w:color w:val="000000"/>
                <w:sz w:val="28"/>
              </w:rPr>
            </w:pPr>
            <w:r>
              <w:rPr>
                <w:rFonts w:hint="eastAsia"/>
                <w:color w:val="000000"/>
                <w:sz w:val="28"/>
              </w:rPr>
              <w:t>大写：元</w:t>
            </w:r>
          </w:p>
        </w:tc>
      </w:tr>
    </w:tbl>
    <w:p>
      <w:pPr>
        <w:snapToGrid w:val="0"/>
        <w:spacing w:line="540" w:lineRule="exact"/>
        <w:rPr>
          <w:rFonts w:ascii="仿宋_GB2312" w:eastAsia="仿宋_GB2312"/>
          <w:sz w:val="28"/>
          <w:szCs w:val="28"/>
        </w:rPr>
      </w:pPr>
      <w:r>
        <w:rPr>
          <w:rFonts w:hint="eastAsia" w:ascii="仿宋_GB2312" w:eastAsia="仿宋_GB2312"/>
          <w:sz w:val="28"/>
          <w:szCs w:val="28"/>
        </w:rPr>
        <w:t>投标人（盖章）：</w:t>
      </w:r>
    </w:p>
    <w:p>
      <w:pPr>
        <w:snapToGrid w:val="0"/>
        <w:spacing w:line="540" w:lineRule="exact"/>
        <w:rPr>
          <w:rFonts w:ascii="仿宋_GB2312" w:eastAsia="仿宋_GB2312"/>
          <w:sz w:val="28"/>
          <w:szCs w:val="28"/>
        </w:rPr>
      </w:pPr>
      <w:r>
        <w:rPr>
          <w:rFonts w:hint="eastAsia" w:ascii="仿宋_GB2312" w:eastAsia="仿宋_GB2312"/>
          <w:sz w:val="28"/>
          <w:szCs w:val="28"/>
        </w:rPr>
        <w:t xml:space="preserve">法定代表人（负责人）或其授权代表人（签字）：                                   </w:t>
      </w:r>
    </w:p>
    <w:p>
      <w:pPr>
        <w:snapToGrid w:val="0"/>
        <w:spacing w:line="540" w:lineRule="exact"/>
        <w:rPr>
          <w:rFonts w:ascii="仿宋_GB2312" w:eastAsia="仿宋_GB2312"/>
          <w:sz w:val="28"/>
          <w:szCs w:val="28"/>
        </w:rPr>
      </w:pPr>
      <w:r>
        <w:rPr>
          <w:rFonts w:hint="eastAsia" w:ascii="仿宋_GB2312" w:eastAsia="仿宋_GB2312"/>
          <w:sz w:val="28"/>
          <w:szCs w:val="28"/>
        </w:rPr>
        <w:t>日期：</w:t>
      </w:r>
    </w:p>
    <w:p>
      <w:pPr>
        <w:snapToGrid w:val="0"/>
        <w:spacing w:line="540" w:lineRule="exact"/>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r>
        <w:rPr>
          <w:rFonts w:hint="eastAsia" w:ascii="仿宋_GB2312" w:eastAsia="仿宋_GB2312"/>
          <w:sz w:val="28"/>
          <w:szCs w:val="28"/>
        </w:rPr>
        <w:br w:type="column"/>
      </w:r>
    </w:p>
    <w:p>
      <w:pPr>
        <w:spacing w:afterLines="100" w:line="600" w:lineRule="exact"/>
        <w:jc w:val="center"/>
        <w:rPr>
          <w:rFonts w:ascii="仿宋_GB2312" w:eastAsia="仿宋_GB2312"/>
          <w:sz w:val="28"/>
          <w:szCs w:val="28"/>
        </w:rPr>
      </w:pPr>
      <w:r>
        <w:rPr>
          <w:rFonts w:hint="eastAsia" w:ascii="仿宋_GB2312" w:eastAsia="仿宋_GB2312"/>
          <w:sz w:val="28"/>
          <w:szCs w:val="28"/>
        </w:rPr>
        <w:t>3、中小企业声明函</w:t>
      </w:r>
    </w:p>
    <w:p>
      <w:pPr>
        <w:spacing w:line="588" w:lineRule="exact"/>
        <w:rPr>
          <w:rFonts w:ascii="仿宋_GB2312" w:eastAsia="仿宋_GB2312"/>
          <w:b/>
          <w:spacing w:val="6"/>
          <w:sz w:val="28"/>
          <w:szCs w:val="28"/>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本公司郑重声明，根据《政府采购促进中小企业发展暂行办法》（财库[2011]181号）的规定，本公司为</w:t>
      </w:r>
      <w:bookmarkStart w:id="70" w:name="OLE_LINK2"/>
      <w:bookmarkStart w:id="71" w:name="OLE_LINK5"/>
      <w:r>
        <w:rPr>
          <w:rFonts w:hint="eastAsia" w:ascii="仿宋_GB2312" w:eastAsia="仿宋_GB2312"/>
          <w:spacing w:val="6"/>
          <w:sz w:val="28"/>
          <w:szCs w:val="28"/>
        </w:rPr>
        <w:t>___________ （请填写：中型、小型、微型）企业</w:t>
      </w:r>
      <w:bookmarkEnd w:id="70"/>
      <w:bookmarkEnd w:id="71"/>
      <w:r>
        <w:rPr>
          <w:rFonts w:hint="eastAsia" w:ascii="仿宋_GB2312" w:eastAsia="仿宋_GB2312"/>
          <w:spacing w:val="6"/>
          <w:sz w:val="28"/>
          <w:szCs w:val="28"/>
        </w:rPr>
        <w:t>。即，本公司同时满足以下条件：</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本公司对上述声明的真实性负责。如有虚假，将依法承担相应责任。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pStyle w:val="31"/>
        <w:spacing w:line="560" w:lineRule="exact"/>
        <w:jc w:val="center"/>
        <w:rPr>
          <w:rFonts w:ascii="仿宋_GB2312" w:eastAsia="仿宋_GB2312"/>
          <w:sz w:val="28"/>
          <w:szCs w:val="28"/>
        </w:rPr>
      </w:pPr>
      <w:r>
        <w:rPr>
          <w:rFonts w:hint="eastAsia" w:ascii="仿宋_GB2312" w:eastAsia="仿宋_GB2312"/>
          <w:spacing w:val="6"/>
          <w:sz w:val="28"/>
          <w:szCs w:val="28"/>
        </w:rPr>
        <w:t xml:space="preserve">       日  期：              </w:t>
      </w:r>
    </w:p>
    <w:p>
      <w:pPr>
        <w:pStyle w:val="31"/>
        <w:jc w:val="center"/>
        <w:rPr>
          <w:rFonts w:ascii="仿宋_GB2312" w:eastAsia="仿宋_GB2312"/>
          <w:sz w:val="28"/>
          <w:szCs w:val="28"/>
        </w:rPr>
      </w:pPr>
    </w:p>
    <w:p>
      <w:pPr>
        <w:pStyle w:val="223"/>
        <w:spacing w:line="540" w:lineRule="exact"/>
        <w:ind w:firstLine="0" w:firstLineChars="0"/>
        <w:rPr>
          <w:b/>
          <w:bCs/>
          <w:sz w:val="28"/>
        </w:rPr>
      </w:pPr>
      <w:r>
        <w:rPr>
          <w:rFonts w:hint="eastAsia"/>
          <w:b/>
          <w:bCs/>
          <w:sz w:val="28"/>
        </w:rPr>
        <w:t>注：1.本函为小微企业提供。</w:t>
      </w:r>
    </w:p>
    <w:p>
      <w:pPr>
        <w:pStyle w:val="223"/>
        <w:wordWrap w:val="0"/>
        <w:spacing w:line="540" w:lineRule="exact"/>
        <w:ind w:firstLine="570" w:firstLineChars="0"/>
        <w:rPr>
          <w:b/>
          <w:bCs/>
          <w:sz w:val="28"/>
        </w:rPr>
      </w:pPr>
      <w:r>
        <w:rPr>
          <w:rFonts w:hint="eastAsia"/>
          <w:b/>
          <w:bCs/>
          <w:sz w:val="28"/>
        </w:rPr>
        <w:t>2.须提供“国家企业信用信息公示系统——小微企业名录(网址：</w:t>
      </w:r>
      <w:r>
        <w:rPr>
          <w:b/>
          <w:bCs/>
          <w:sz w:val="28"/>
        </w:rPr>
        <w:t>http://xwqy.gsxt.gov.cn/</w:t>
      </w:r>
      <w:r>
        <w:rPr>
          <w:rFonts w:hint="eastAsia"/>
          <w:b/>
          <w:bCs/>
          <w:sz w:val="28"/>
        </w:rPr>
        <w:t>)”页面查询结果,提供网站截图复印件,未提供者不能享受小微企业优惠政策。</w:t>
      </w:r>
    </w:p>
    <w:p>
      <w:pPr>
        <w:pStyle w:val="223"/>
        <w:spacing w:line="540" w:lineRule="exact"/>
        <w:ind w:firstLine="0" w:firstLineChars="0"/>
        <w:rPr>
          <w:b/>
          <w:bCs/>
          <w:sz w:val="28"/>
        </w:rPr>
      </w:pPr>
    </w:p>
    <w:p>
      <w:pPr>
        <w:pStyle w:val="223"/>
        <w:spacing w:line="540" w:lineRule="exact"/>
        <w:ind w:firstLine="0" w:firstLineChars="0"/>
        <w:rPr>
          <w:b/>
          <w:bCs/>
          <w:sz w:val="28"/>
        </w:rPr>
      </w:pPr>
    </w:p>
    <w:p>
      <w:pPr>
        <w:pStyle w:val="287"/>
        <w:jc w:val="center"/>
        <w:rPr>
          <w:rFonts w:ascii="仿宋_GB2312" w:hAnsi="宋体" w:eastAsia="仿宋_GB2312"/>
          <w:b/>
          <w:color w:val="FF0000"/>
          <w:sz w:val="28"/>
          <w:szCs w:val="28"/>
          <w:lang w:val="en-GB"/>
        </w:rPr>
      </w:pPr>
      <w:r>
        <w:rPr>
          <w:rFonts w:hint="eastAsia" w:ascii="仿宋_GB2312" w:eastAsia="仿宋_GB2312"/>
          <w:color w:val="FF0000"/>
          <w:sz w:val="28"/>
          <w:szCs w:val="28"/>
        </w:rPr>
        <w:t>5、</w:t>
      </w:r>
      <w:r>
        <w:rPr>
          <w:rFonts w:hint="eastAsia" w:ascii="仿宋_GB2312" w:hAnsi="宋体" w:eastAsia="仿宋_GB2312"/>
          <w:b/>
          <w:color w:val="FF0000"/>
          <w:sz w:val="28"/>
          <w:szCs w:val="28"/>
          <w:lang w:val="en-GB"/>
        </w:rPr>
        <w:t>产品适用中小企业政策情况表</w:t>
      </w:r>
    </w:p>
    <w:p>
      <w:pPr>
        <w:pStyle w:val="287"/>
        <w:jc w:val="center"/>
        <w:rPr>
          <w:rFonts w:ascii="仿宋_GB2312" w:hAnsi="宋体" w:eastAsia="仿宋_GB2312"/>
          <w:b/>
          <w:color w:val="FF0000"/>
          <w:sz w:val="28"/>
          <w:szCs w:val="28"/>
          <w:lang w:val="en-GB"/>
        </w:rPr>
      </w:pPr>
      <w:r>
        <w:rPr>
          <w:rFonts w:hint="eastAsia" w:ascii="仿宋_GB2312" w:hAnsi="宋体" w:eastAsia="仿宋_GB2312"/>
          <w:b/>
          <w:color w:val="FF0000"/>
          <w:sz w:val="28"/>
          <w:szCs w:val="28"/>
          <w:lang w:val="en-GB"/>
        </w:rPr>
        <w:t>（中型企业不用填写）</w:t>
      </w:r>
    </w:p>
    <w:tbl>
      <w:tblPr>
        <w:tblStyle w:val="59"/>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709"/>
        <w:gridCol w:w="2076"/>
        <w:gridCol w:w="177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5" w:type="dxa"/>
            <w:vMerge w:val="restart"/>
            <w:noWrap/>
            <w:vAlign w:val="center"/>
          </w:tcPr>
          <w:p>
            <w:pPr>
              <w:pStyle w:val="287"/>
              <w:tabs>
                <w:tab w:val="left" w:pos="1260"/>
              </w:tabs>
              <w:jc w:val="center"/>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中小企业扶持政策</w:t>
            </w:r>
          </w:p>
        </w:tc>
        <w:tc>
          <w:tcPr>
            <w:tcW w:w="8201" w:type="dxa"/>
            <w:gridSpan w:val="4"/>
            <w:noWrap/>
            <w:vAlign w:val="center"/>
          </w:tcPr>
          <w:p>
            <w:pPr>
              <w:pStyle w:val="287"/>
              <w:tabs>
                <w:tab w:val="left" w:pos="1260"/>
              </w:tabs>
              <w:spacing w:line="360" w:lineRule="auto"/>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如属所列情形的，请在括号内打“√”：</w:t>
            </w:r>
          </w:p>
          <w:p>
            <w:pPr>
              <w:pStyle w:val="287"/>
              <w:tabs>
                <w:tab w:val="left" w:pos="1260"/>
              </w:tabs>
              <w:spacing w:line="360" w:lineRule="auto"/>
              <w:rPr>
                <w:rFonts w:ascii="仿宋_GB2312" w:hAnsi="宋体" w:eastAsia="仿宋_GB2312"/>
                <w:color w:val="FF0000"/>
                <w:sz w:val="28"/>
                <w:szCs w:val="28"/>
              </w:rPr>
            </w:pPr>
            <w:r>
              <w:rPr>
                <w:rFonts w:hint="eastAsia" w:ascii="仿宋_GB2312" w:hAnsi="宋体" w:eastAsia="仿宋_GB2312"/>
                <w:color w:val="FF0000"/>
                <w:sz w:val="28"/>
                <w:szCs w:val="28"/>
              </w:rPr>
              <w:t>（  ）小型、微型企业投标且提供本企业制造的产品。</w:t>
            </w:r>
          </w:p>
          <w:p>
            <w:pPr>
              <w:pStyle w:val="287"/>
              <w:tabs>
                <w:tab w:val="left" w:pos="1260"/>
              </w:tabs>
              <w:spacing w:line="360" w:lineRule="auto"/>
              <w:rPr>
                <w:rFonts w:ascii="仿宋_GB2312" w:hAnsi="宋体" w:eastAsia="仿宋_GB2312"/>
                <w:color w:val="FF0000"/>
                <w:sz w:val="28"/>
                <w:szCs w:val="28"/>
              </w:rPr>
            </w:pPr>
            <w:r>
              <w:rPr>
                <w:rFonts w:hint="eastAsia" w:ascii="仿宋_GB2312" w:hAnsi="宋体" w:eastAsia="仿宋_GB2312"/>
                <w:color w:val="FF0000"/>
                <w:sz w:val="28"/>
                <w:szCs w:val="28"/>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5" w:type="dxa"/>
            <w:vMerge w:val="continue"/>
            <w:noWrap/>
            <w:vAlign w:val="center"/>
          </w:tcPr>
          <w:p>
            <w:pPr>
              <w:pStyle w:val="287"/>
              <w:tabs>
                <w:tab w:val="left" w:pos="1260"/>
              </w:tabs>
              <w:jc w:val="center"/>
              <w:rPr>
                <w:rFonts w:ascii="仿宋_GB2312" w:hAnsi="宋体" w:eastAsia="仿宋_GB2312"/>
                <w:color w:val="FF0000"/>
                <w:sz w:val="28"/>
                <w:szCs w:val="28"/>
                <w:lang w:val="en-GB"/>
              </w:rPr>
            </w:pPr>
          </w:p>
        </w:tc>
        <w:tc>
          <w:tcPr>
            <w:tcW w:w="2709" w:type="dxa"/>
            <w:noWrap/>
            <w:vAlign w:val="center"/>
          </w:tcPr>
          <w:p>
            <w:pPr>
              <w:pStyle w:val="287"/>
              <w:tabs>
                <w:tab w:val="left" w:pos="1260"/>
              </w:tabs>
              <w:jc w:val="center"/>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产品名称（品牌、型号）</w:t>
            </w:r>
          </w:p>
        </w:tc>
        <w:tc>
          <w:tcPr>
            <w:tcW w:w="2076" w:type="dxa"/>
            <w:noWrap/>
            <w:vAlign w:val="center"/>
          </w:tcPr>
          <w:p>
            <w:pPr>
              <w:pStyle w:val="287"/>
              <w:tabs>
                <w:tab w:val="left" w:pos="1260"/>
              </w:tabs>
              <w:jc w:val="center"/>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制造商</w:t>
            </w:r>
          </w:p>
        </w:tc>
        <w:tc>
          <w:tcPr>
            <w:tcW w:w="1777" w:type="dxa"/>
            <w:noWrap/>
            <w:vAlign w:val="center"/>
          </w:tcPr>
          <w:p>
            <w:pPr>
              <w:pStyle w:val="287"/>
              <w:tabs>
                <w:tab w:val="left" w:pos="1260"/>
              </w:tabs>
              <w:jc w:val="center"/>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制造商</w:t>
            </w:r>
          </w:p>
          <w:p>
            <w:pPr>
              <w:pStyle w:val="287"/>
              <w:tabs>
                <w:tab w:val="left" w:pos="1260"/>
              </w:tabs>
              <w:jc w:val="center"/>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企业类型</w:t>
            </w:r>
          </w:p>
        </w:tc>
        <w:tc>
          <w:tcPr>
            <w:tcW w:w="1639" w:type="dxa"/>
            <w:noWrap/>
            <w:vAlign w:val="center"/>
          </w:tcPr>
          <w:p>
            <w:pPr>
              <w:pStyle w:val="287"/>
              <w:tabs>
                <w:tab w:val="left" w:pos="1260"/>
              </w:tabs>
              <w:jc w:val="center"/>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5" w:type="dxa"/>
            <w:vMerge w:val="continue"/>
            <w:noWrap/>
            <w:vAlign w:val="center"/>
          </w:tcPr>
          <w:p>
            <w:pPr>
              <w:pStyle w:val="287"/>
              <w:tabs>
                <w:tab w:val="left" w:pos="1260"/>
              </w:tabs>
              <w:jc w:val="center"/>
              <w:rPr>
                <w:rFonts w:ascii="仿宋_GB2312" w:hAnsi="宋体" w:eastAsia="仿宋_GB2312"/>
                <w:color w:val="FF0000"/>
                <w:sz w:val="28"/>
                <w:szCs w:val="28"/>
                <w:lang w:val="en-GB"/>
              </w:rPr>
            </w:pPr>
          </w:p>
        </w:tc>
        <w:tc>
          <w:tcPr>
            <w:tcW w:w="2709" w:type="dxa"/>
            <w:noWrap/>
            <w:vAlign w:val="center"/>
          </w:tcPr>
          <w:p>
            <w:pPr>
              <w:pStyle w:val="287"/>
              <w:tabs>
                <w:tab w:val="left" w:pos="1260"/>
              </w:tabs>
              <w:jc w:val="center"/>
              <w:rPr>
                <w:rFonts w:ascii="仿宋_GB2312" w:hAnsi="宋体" w:eastAsia="仿宋_GB2312"/>
                <w:color w:val="FF0000"/>
                <w:sz w:val="28"/>
                <w:szCs w:val="28"/>
                <w:lang w:val="en-GB"/>
              </w:rPr>
            </w:pPr>
          </w:p>
        </w:tc>
        <w:tc>
          <w:tcPr>
            <w:tcW w:w="2076" w:type="dxa"/>
            <w:noWrap/>
            <w:vAlign w:val="center"/>
          </w:tcPr>
          <w:p>
            <w:pPr>
              <w:pStyle w:val="287"/>
              <w:tabs>
                <w:tab w:val="left" w:pos="1260"/>
              </w:tabs>
              <w:jc w:val="center"/>
              <w:rPr>
                <w:rFonts w:ascii="仿宋_GB2312" w:hAnsi="宋体" w:eastAsia="仿宋_GB2312"/>
                <w:color w:val="FF0000"/>
                <w:sz w:val="28"/>
                <w:szCs w:val="28"/>
                <w:lang w:val="en-GB"/>
              </w:rPr>
            </w:pPr>
          </w:p>
        </w:tc>
        <w:tc>
          <w:tcPr>
            <w:tcW w:w="1777" w:type="dxa"/>
            <w:noWrap/>
            <w:vAlign w:val="center"/>
          </w:tcPr>
          <w:p>
            <w:pPr>
              <w:pStyle w:val="287"/>
              <w:tabs>
                <w:tab w:val="left" w:pos="1260"/>
              </w:tabs>
              <w:jc w:val="center"/>
              <w:rPr>
                <w:rFonts w:ascii="仿宋_GB2312" w:hAnsi="宋体" w:eastAsia="仿宋_GB2312"/>
                <w:color w:val="FF0000"/>
                <w:sz w:val="28"/>
                <w:szCs w:val="28"/>
                <w:lang w:val="en-GB"/>
              </w:rPr>
            </w:pPr>
          </w:p>
        </w:tc>
        <w:tc>
          <w:tcPr>
            <w:tcW w:w="1639" w:type="dxa"/>
            <w:noWrap/>
            <w:vAlign w:val="center"/>
          </w:tcPr>
          <w:p>
            <w:pPr>
              <w:pStyle w:val="287"/>
              <w:tabs>
                <w:tab w:val="left" w:pos="1260"/>
              </w:tabs>
              <w:jc w:val="center"/>
              <w:rPr>
                <w:rFonts w:ascii="仿宋_GB2312" w:hAnsi="宋体" w:eastAsia="仿宋_GB2312"/>
                <w:color w:val="FF0000"/>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5" w:type="dxa"/>
            <w:vMerge w:val="continue"/>
            <w:noWrap/>
            <w:vAlign w:val="center"/>
          </w:tcPr>
          <w:p>
            <w:pPr>
              <w:pStyle w:val="287"/>
              <w:tabs>
                <w:tab w:val="left" w:pos="1260"/>
              </w:tabs>
              <w:jc w:val="center"/>
              <w:rPr>
                <w:rFonts w:ascii="仿宋_GB2312" w:hAnsi="宋体" w:eastAsia="仿宋_GB2312"/>
                <w:color w:val="FF0000"/>
                <w:sz w:val="28"/>
                <w:szCs w:val="28"/>
                <w:lang w:val="en-GB"/>
              </w:rPr>
            </w:pPr>
          </w:p>
        </w:tc>
        <w:tc>
          <w:tcPr>
            <w:tcW w:w="2709" w:type="dxa"/>
            <w:noWrap/>
            <w:vAlign w:val="center"/>
          </w:tcPr>
          <w:p>
            <w:pPr>
              <w:pStyle w:val="287"/>
              <w:tabs>
                <w:tab w:val="left" w:pos="1260"/>
              </w:tabs>
              <w:jc w:val="center"/>
              <w:rPr>
                <w:rFonts w:ascii="仿宋_GB2312" w:hAnsi="宋体" w:eastAsia="仿宋_GB2312"/>
                <w:color w:val="FF0000"/>
                <w:sz w:val="28"/>
                <w:szCs w:val="28"/>
                <w:lang w:val="en-GB"/>
              </w:rPr>
            </w:pPr>
          </w:p>
        </w:tc>
        <w:tc>
          <w:tcPr>
            <w:tcW w:w="2076" w:type="dxa"/>
            <w:noWrap/>
            <w:vAlign w:val="center"/>
          </w:tcPr>
          <w:p>
            <w:pPr>
              <w:pStyle w:val="287"/>
              <w:tabs>
                <w:tab w:val="left" w:pos="1260"/>
              </w:tabs>
              <w:jc w:val="center"/>
              <w:rPr>
                <w:rFonts w:ascii="仿宋_GB2312" w:hAnsi="宋体" w:eastAsia="仿宋_GB2312"/>
                <w:color w:val="FF0000"/>
                <w:sz w:val="28"/>
                <w:szCs w:val="28"/>
                <w:lang w:val="en-GB"/>
              </w:rPr>
            </w:pPr>
          </w:p>
        </w:tc>
        <w:tc>
          <w:tcPr>
            <w:tcW w:w="1777" w:type="dxa"/>
            <w:noWrap/>
            <w:vAlign w:val="center"/>
          </w:tcPr>
          <w:p>
            <w:pPr>
              <w:pStyle w:val="287"/>
              <w:tabs>
                <w:tab w:val="left" w:pos="1260"/>
              </w:tabs>
              <w:jc w:val="center"/>
              <w:rPr>
                <w:rFonts w:ascii="仿宋_GB2312" w:hAnsi="宋体" w:eastAsia="仿宋_GB2312"/>
                <w:color w:val="FF0000"/>
                <w:sz w:val="28"/>
                <w:szCs w:val="28"/>
                <w:lang w:val="en-GB"/>
              </w:rPr>
            </w:pPr>
          </w:p>
        </w:tc>
        <w:tc>
          <w:tcPr>
            <w:tcW w:w="1639" w:type="dxa"/>
            <w:noWrap/>
            <w:vAlign w:val="center"/>
          </w:tcPr>
          <w:p>
            <w:pPr>
              <w:pStyle w:val="287"/>
              <w:tabs>
                <w:tab w:val="left" w:pos="1260"/>
              </w:tabs>
              <w:jc w:val="center"/>
              <w:rPr>
                <w:rFonts w:ascii="仿宋_GB2312" w:hAnsi="宋体" w:eastAsia="仿宋_GB2312"/>
                <w:color w:val="FF0000"/>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5" w:type="dxa"/>
            <w:vMerge w:val="continue"/>
            <w:noWrap/>
            <w:vAlign w:val="center"/>
          </w:tcPr>
          <w:p>
            <w:pPr>
              <w:pStyle w:val="287"/>
              <w:tabs>
                <w:tab w:val="left" w:pos="1260"/>
              </w:tabs>
              <w:jc w:val="center"/>
              <w:rPr>
                <w:rFonts w:ascii="仿宋_GB2312" w:hAnsi="宋体" w:eastAsia="仿宋_GB2312"/>
                <w:color w:val="FF0000"/>
                <w:sz w:val="28"/>
                <w:szCs w:val="28"/>
                <w:lang w:val="en-GB"/>
              </w:rPr>
            </w:pPr>
          </w:p>
        </w:tc>
        <w:tc>
          <w:tcPr>
            <w:tcW w:w="2709" w:type="dxa"/>
            <w:noWrap/>
            <w:vAlign w:val="center"/>
          </w:tcPr>
          <w:p>
            <w:pPr>
              <w:pStyle w:val="287"/>
              <w:tabs>
                <w:tab w:val="left" w:pos="1260"/>
              </w:tabs>
              <w:jc w:val="center"/>
              <w:rPr>
                <w:rFonts w:ascii="仿宋_GB2312" w:hAnsi="宋体" w:eastAsia="仿宋_GB2312"/>
                <w:color w:val="FF0000"/>
                <w:sz w:val="28"/>
                <w:szCs w:val="28"/>
                <w:lang w:val="en-GB"/>
              </w:rPr>
            </w:pPr>
          </w:p>
        </w:tc>
        <w:tc>
          <w:tcPr>
            <w:tcW w:w="2076" w:type="dxa"/>
            <w:noWrap/>
            <w:vAlign w:val="center"/>
          </w:tcPr>
          <w:p>
            <w:pPr>
              <w:pStyle w:val="287"/>
              <w:tabs>
                <w:tab w:val="left" w:pos="1260"/>
              </w:tabs>
              <w:jc w:val="center"/>
              <w:rPr>
                <w:rFonts w:ascii="仿宋_GB2312" w:hAnsi="宋体" w:eastAsia="仿宋_GB2312"/>
                <w:color w:val="FF0000"/>
                <w:sz w:val="28"/>
                <w:szCs w:val="28"/>
                <w:lang w:val="en-GB"/>
              </w:rPr>
            </w:pPr>
          </w:p>
        </w:tc>
        <w:tc>
          <w:tcPr>
            <w:tcW w:w="1777" w:type="dxa"/>
            <w:noWrap/>
            <w:vAlign w:val="center"/>
          </w:tcPr>
          <w:p>
            <w:pPr>
              <w:pStyle w:val="287"/>
              <w:tabs>
                <w:tab w:val="left" w:pos="1260"/>
              </w:tabs>
              <w:jc w:val="center"/>
              <w:rPr>
                <w:rFonts w:ascii="仿宋_GB2312" w:hAnsi="宋体" w:eastAsia="仿宋_GB2312"/>
                <w:color w:val="FF0000"/>
                <w:sz w:val="28"/>
                <w:szCs w:val="28"/>
                <w:lang w:val="en-GB"/>
              </w:rPr>
            </w:pPr>
          </w:p>
        </w:tc>
        <w:tc>
          <w:tcPr>
            <w:tcW w:w="1639" w:type="dxa"/>
            <w:noWrap/>
            <w:vAlign w:val="center"/>
          </w:tcPr>
          <w:p>
            <w:pPr>
              <w:pStyle w:val="287"/>
              <w:tabs>
                <w:tab w:val="left" w:pos="1260"/>
              </w:tabs>
              <w:jc w:val="center"/>
              <w:rPr>
                <w:rFonts w:ascii="仿宋_GB2312" w:hAnsi="宋体" w:eastAsia="仿宋_GB2312"/>
                <w:color w:val="FF0000"/>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25" w:type="dxa"/>
            <w:vMerge w:val="continue"/>
            <w:noWrap/>
            <w:vAlign w:val="center"/>
          </w:tcPr>
          <w:p>
            <w:pPr>
              <w:pStyle w:val="287"/>
              <w:tabs>
                <w:tab w:val="left" w:pos="1260"/>
              </w:tabs>
              <w:jc w:val="center"/>
              <w:rPr>
                <w:rFonts w:ascii="仿宋_GB2312" w:hAnsi="宋体" w:eastAsia="仿宋_GB2312"/>
                <w:color w:val="FF0000"/>
                <w:sz w:val="28"/>
                <w:szCs w:val="28"/>
                <w:lang w:val="en-GB"/>
              </w:rPr>
            </w:pPr>
          </w:p>
        </w:tc>
        <w:tc>
          <w:tcPr>
            <w:tcW w:w="6562" w:type="dxa"/>
            <w:gridSpan w:val="3"/>
            <w:noWrap/>
            <w:vAlign w:val="center"/>
          </w:tcPr>
          <w:p>
            <w:pPr>
              <w:pStyle w:val="287"/>
              <w:tabs>
                <w:tab w:val="left" w:pos="1260"/>
              </w:tabs>
              <w:jc w:val="center"/>
              <w:rPr>
                <w:rFonts w:ascii="仿宋_GB2312" w:hAnsi="宋体" w:eastAsia="仿宋_GB2312"/>
                <w:color w:val="FF0000"/>
                <w:sz w:val="28"/>
                <w:szCs w:val="28"/>
                <w:lang w:val="en-GB"/>
              </w:rPr>
            </w:pPr>
            <w:r>
              <w:rPr>
                <w:rFonts w:hint="eastAsia" w:ascii="仿宋_GB2312" w:hAnsi="宋体" w:eastAsia="仿宋_GB2312"/>
                <w:color w:val="FF0000"/>
                <w:sz w:val="28"/>
                <w:szCs w:val="28"/>
              </w:rPr>
              <w:t>小型、微型企业产品</w:t>
            </w:r>
            <w:r>
              <w:rPr>
                <w:rFonts w:hint="eastAsia" w:ascii="仿宋_GB2312" w:hAnsi="宋体" w:eastAsia="仿宋_GB2312"/>
                <w:color w:val="FF0000"/>
                <w:sz w:val="28"/>
                <w:szCs w:val="28"/>
                <w:lang w:val="en-GB"/>
              </w:rPr>
              <w:t>金额合计</w:t>
            </w:r>
          </w:p>
        </w:tc>
        <w:tc>
          <w:tcPr>
            <w:tcW w:w="1639" w:type="dxa"/>
            <w:noWrap/>
            <w:vAlign w:val="center"/>
          </w:tcPr>
          <w:p>
            <w:pPr>
              <w:pStyle w:val="287"/>
              <w:tabs>
                <w:tab w:val="left" w:pos="1260"/>
              </w:tabs>
              <w:jc w:val="center"/>
              <w:rPr>
                <w:rFonts w:ascii="仿宋_GB2312" w:hAnsi="宋体" w:eastAsia="仿宋_GB2312"/>
                <w:color w:val="FF0000"/>
                <w:sz w:val="28"/>
                <w:szCs w:val="28"/>
                <w:lang w:val="en-GB"/>
              </w:rPr>
            </w:pPr>
          </w:p>
        </w:tc>
      </w:tr>
    </w:tbl>
    <w:p>
      <w:pPr>
        <w:pStyle w:val="287"/>
        <w:spacing w:line="460" w:lineRule="exact"/>
        <w:ind w:left="958" w:hanging="957" w:hangingChars="342"/>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填报要求：</w:t>
      </w:r>
    </w:p>
    <w:p>
      <w:pPr>
        <w:pStyle w:val="287"/>
        <w:widowControl/>
        <w:numPr>
          <w:ilvl w:val="0"/>
          <w:numId w:val="40"/>
        </w:numPr>
        <w:spacing w:line="360" w:lineRule="auto"/>
        <w:ind w:right="84" w:rightChars="40"/>
        <w:jc w:val="left"/>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本表的产品名称、规格型号和注册商标、金额要与《报价明细表》一致。</w:t>
      </w:r>
    </w:p>
    <w:p>
      <w:pPr>
        <w:pStyle w:val="287"/>
        <w:widowControl/>
        <w:numPr>
          <w:ilvl w:val="0"/>
          <w:numId w:val="40"/>
        </w:numPr>
        <w:tabs>
          <w:tab w:val="left" w:pos="360"/>
        </w:tabs>
        <w:spacing w:line="360" w:lineRule="auto"/>
        <w:ind w:left="360" w:right="84" w:rightChars="40" w:hanging="360"/>
        <w:jc w:val="left"/>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制造商为小型或微型企业时才需要填“制造商企业类型”栏，填写内容为“小型”或“微型”。</w:t>
      </w:r>
    </w:p>
    <w:p>
      <w:pPr>
        <w:pStyle w:val="287"/>
        <w:widowControl/>
        <w:numPr>
          <w:ilvl w:val="0"/>
          <w:numId w:val="40"/>
        </w:numPr>
        <w:tabs>
          <w:tab w:val="left" w:pos="360"/>
        </w:tabs>
        <w:spacing w:line="360" w:lineRule="auto"/>
        <w:ind w:left="360" w:right="84" w:rightChars="40" w:hanging="360"/>
        <w:jc w:val="left"/>
        <w:rPr>
          <w:rFonts w:ascii="仿宋_GB2312" w:hAnsi="宋体" w:eastAsia="仿宋_GB2312"/>
          <w:color w:val="FF0000"/>
          <w:sz w:val="28"/>
          <w:szCs w:val="28"/>
          <w:lang w:val="en-GB"/>
        </w:rPr>
      </w:pPr>
      <w:r>
        <w:rPr>
          <w:rFonts w:hint="eastAsia" w:ascii="仿宋_GB2312" w:hAnsi="宋体" w:eastAsia="仿宋_GB2312"/>
          <w:color w:val="FF0000"/>
          <w:sz w:val="28"/>
          <w:szCs w:val="28"/>
          <w:lang w:val="en-GB"/>
        </w:rPr>
        <w:t>请投标人正确填写本表，所填内容将作为评分的依据。</w:t>
      </w:r>
    </w:p>
    <w:p>
      <w:pPr>
        <w:spacing w:line="360" w:lineRule="auto"/>
        <w:rPr>
          <w:rFonts w:ascii="仿宋_GB2312" w:hAnsi="宋体" w:eastAsia="仿宋_GB2312"/>
          <w:b/>
          <w:color w:val="FF0000"/>
          <w:sz w:val="28"/>
          <w:szCs w:val="28"/>
          <w:lang w:val="en-GB"/>
        </w:rPr>
      </w:pPr>
    </w:p>
    <w:p>
      <w:pPr>
        <w:snapToGrid w:val="0"/>
        <w:spacing w:line="540" w:lineRule="exact"/>
        <w:rPr>
          <w:rFonts w:ascii="仿宋_GB2312" w:eastAsia="仿宋_GB2312"/>
          <w:color w:val="000000"/>
          <w:sz w:val="28"/>
          <w:szCs w:val="28"/>
          <w:lang w:val="en-GB"/>
        </w:rPr>
        <w:sectPr>
          <w:pgSz w:w="11906" w:h="16838"/>
          <w:pgMar w:top="1247" w:right="1247" w:bottom="1089" w:left="1247" w:header="851" w:footer="992" w:gutter="284"/>
          <w:cols w:space="720" w:num="1"/>
          <w:docGrid w:linePitch="312" w:charSpace="0"/>
        </w:sectPr>
      </w:pPr>
    </w:p>
    <w:p>
      <w:pPr>
        <w:pStyle w:val="287"/>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6、监狱和戒毒企业证明材料</w:t>
      </w:r>
    </w:p>
    <w:p>
      <w:pPr>
        <w:pStyle w:val="287"/>
        <w:jc w:val="center"/>
        <w:rPr>
          <w:rFonts w:ascii="仿宋_GB2312" w:hAnsi="宋体" w:eastAsia="仿宋_GB2312"/>
          <w:b/>
          <w:sz w:val="28"/>
          <w:szCs w:val="28"/>
          <w:lang w:val="en-GB"/>
        </w:rPr>
      </w:pP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监狱和戒毒企业参加投标时应提供由省级以上监狱管理局、戒毒管理局（含新疆生产建设兵团）出具的属于监狱企业的证明文件。</w:t>
      </w:r>
    </w:p>
    <w:p>
      <w:pPr>
        <w:snapToGrid w:val="0"/>
        <w:spacing w:line="540" w:lineRule="exact"/>
        <w:ind w:firstLine="560" w:firstLineChars="200"/>
        <w:rPr>
          <w:rFonts w:ascii="仿宋_GB2312" w:eastAsia="仿宋_GB2312"/>
          <w:sz w:val="28"/>
          <w:szCs w:val="28"/>
        </w:rPr>
      </w:pPr>
    </w:p>
    <w:p>
      <w:pPr>
        <w:snapToGrid w:val="0"/>
        <w:spacing w:line="540" w:lineRule="exact"/>
        <w:ind w:firstLine="560" w:firstLineChars="200"/>
        <w:rPr>
          <w:rFonts w:ascii="仿宋_GB2312" w:eastAsia="仿宋_GB2312"/>
          <w:sz w:val="28"/>
          <w:szCs w:val="28"/>
        </w:rPr>
      </w:pPr>
    </w:p>
    <w:p>
      <w:pPr>
        <w:snapToGrid w:val="0"/>
        <w:spacing w:line="540" w:lineRule="exact"/>
        <w:ind w:firstLine="560" w:firstLineChars="200"/>
        <w:rPr>
          <w:rFonts w:ascii="仿宋_GB2312" w:eastAsia="仿宋_GB2312"/>
          <w:sz w:val="28"/>
          <w:szCs w:val="28"/>
        </w:rPr>
        <w:sectPr>
          <w:pgSz w:w="11906" w:h="16838"/>
          <w:pgMar w:top="1389" w:right="1247" w:bottom="1389" w:left="1247" w:header="851" w:footer="992" w:gutter="284"/>
          <w:cols w:space="720" w:num="1"/>
          <w:docGrid w:linePitch="312" w:charSpace="0"/>
        </w:sectPr>
      </w:pPr>
    </w:p>
    <w:p>
      <w:pPr>
        <w:pStyle w:val="287"/>
        <w:jc w:val="center"/>
        <w:rPr>
          <w:rFonts w:ascii="仿宋_GB2312" w:hAnsi="宋体" w:eastAsia="仿宋_GB2312"/>
          <w:b/>
          <w:sz w:val="28"/>
          <w:szCs w:val="28"/>
          <w:lang w:val="en-GB"/>
        </w:rPr>
      </w:pPr>
      <w:r>
        <w:rPr>
          <w:rFonts w:hint="eastAsia" w:ascii="仿宋_GB2312" w:eastAsia="仿宋_GB2312"/>
          <w:b/>
          <w:spacing w:val="6"/>
          <w:sz w:val="32"/>
          <w:szCs w:val="32"/>
        </w:rPr>
        <w:t>7、</w:t>
      </w:r>
      <w:r>
        <w:rPr>
          <w:rFonts w:hint="eastAsia" w:ascii="仿宋_GB2312" w:hAnsi="宋体" w:eastAsia="仿宋_GB2312"/>
          <w:b/>
          <w:sz w:val="28"/>
          <w:szCs w:val="28"/>
          <w:lang w:val="en-GB"/>
        </w:rPr>
        <w:t>产品适用</w:t>
      </w:r>
      <w:r>
        <w:rPr>
          <w:rFonts w:hint="eastAsia" w:ascii="仿宋_GB2312" w:eastAsia="仿宋_GB2312"/>
          <w:b/>
          <w:sz w:val="28"/>
          <w:szCs w:val="28"/>
        </w:rPr>
        <w:t>监狱和戒毒企业</w:t>
      </w:r>
      <w:r>
        <w:rPr>
          <w:rFonts w:hint="eastAsia" w:ascii="仿宋_GB2312" w:hAnsi="宋体" w:eastAsia="仿宋_GB2312"/>
          <w:b/>
          <w:sz w:val="28"/>
          <w:szCs w:val="28"/>
          <w:lang w:val="en-GB"/>
        </w:rPr>
        <w:t>政策情况表</w:t>
      </w:r>
    </w:p>
    <w:p>
      <w:pPr>
        <w:pStyle w:val="287"/>
        <w:jc w:val="center"/>
        <w:rPr>
          <w:rFonts w:ascii="仿宋_GB2312" w:hAnsi="宋体" w:eastAsia="仿宋_GB2312"/>
          <w:b/>
          <w:sz w:val="28"/>
          <w:szCs w:val="28"/>
          <w:lang w:val="en-GB"/>
        </w:rPr>
      </w:pPr>
    </w:p>
    <w:tbl>
      <w:tblPr>
        <w:tblStyle w:val="59"/>
        <w:tblW w:w="923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restart"/>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lang w:val="en-GB"/>
              </w:rPr>
              <w:t>扶持政策</w:t>
            </w: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6968" w:type="dxa"/>
            <w:gridSpan w:val="2"/>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bl>
    <w:p>
      <w:pPr>
        <w:pStyle w:val="287"/>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287"/>
        <w:widowControl/>
        <w:numPr>
          <w:ilvl w:val="1"/>
          <w:numId w:val="14"/>
        </w:numPr>
        <w:spacing w:line="360" w:lineRule="auto"/>
        <w:ind w:left="-27"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本表的产品名称、规格型号和注册商标、金额要与《报价明细表》一致。</w:t>
      </w:r>
    </w:p>
    <w:p>
      <w:pPr>
        <w:pStyle w:val="287"/>
        <w:widowControl/>
        <w:spacing w:line="360" w:lineRule="auto"/>
        <w:ind w:left="540" w:right="84" w:rightChars="40"/>
        <w:jc w:val="left"/>
        <w:rPr>
          <w:rFonts w:ascii="仿宋_GB2312" w:hAnsi="宋体" w:eastAsia="仿宋_GB2312"/>
          <w:sz w:val="28"/>
          <w:szCs w:val="28"/>
          <w:lang w:val="en-GB"/>
        </w:rPr>
      </w:pPr>
      <w:r>
        <w:rPr>
          <w:rFonts w:hint="eastAsia" w:ascii="仿宋_GB2312" w:eastAsia="仿宋_GB2312"/>
          <w:sz w:val="28"/>
          <w:szCs w:val="28"/>
        </w:rPr>
        <w:t>2.监狱和戒毒企业</w:t>
      </w:r>
      <w:r>
        <w:rPr>
          <w:rFonts w:hint="eastAsia" w:ascii="仿宋_GB2312" w:hAnsi="宋体" w:eastAsia="仿宋_GB2312"/>
          <w:sz w:val="28"/>
          <w:szCs w:val="28"/>
        </w:rPr>
        <w:t>投标且提供本企业制造的产品才能</w:t>
      </w:r>
      <w:r>
        <w:rPr>
          <w:rFonts w:hint="eastAsia" w:ascii="仿宋_GB2312" w:hAnsi="宋体" w:eastAsia="仿宋_GB2312"/>
          <w:sz w:val="28"/>
          <w:szCs w:val="28"/>
          <w:lang w:val="en-GB"/>
        </w:rPr>
        <w:t>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pStyle w:val="287"/>
        <w:widowControl/>
        <w:spacing w:line="360" w:lineRule="auto"/>
        <w:ind w:left="540"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3. 本表内容不填写将不能享受商务报价里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spacing w:line="588" w:lineRule="exact"/>
        <w:rPr>
          <w:rFonts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br w:type="page"/>
      </w:r>
      <w:r>
        <w:rPr>
          <w:rFonts w:hint="eastAsia" w:ascii="仿宋_GB2312" w:eastAsia="仿宋_GB2312"/>
          <w:b/>
          <w:spacing w:val="6"/>
          <w:sz w:val="32"/>
          <w:szCs w:val="32"/>
        </w:rPr>
        <w:t>8、残疾人福利性单位声明函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单位名称（盖章）：</w:t>
      </w:r>
    </w:p>
    <w:p>
      <w:pPr>
        <w:pStyle w:val="223"/>
        <w:spacing w:line="540" w:lineRule="exact"/>
        <w:ind w:firstLine="0" w:firstLineChars="0"/>
        <w:jc w:val="center"/>
        <w:rPr>
          <w:sz w:val="28"/>
        </w:rPr>
      </w:pPr>
      <w:r>
        <w:rPr>
          <w:rFonts w:hint="eastAsia" w:ascii="仿宋" w:hAnsi="仿宋" w:eastAsia="仿宋"/>
          <w:sz w:val="28"/>
        </w:rPr>
        <w:t xml:space="preserve">                                       日  期：</w:t>
      </w: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pStyle w:val="287"/>
        <w:jc w:val="center"/>
        <w:rPr>
          <w:rFonts w:ascii="仿宋_GB2312" w:eastAsia="仿宋_GB2312"/>
          <w:sz w:val="28"/>
          <w:szCs w:val="28"/>
        </w:rPr>
      </w:pPr>
    </w:p>
    <w:p>
      <w:pPr>
        <w:snapToGrid w:val="0"/>
        <w:spacing w:line="540" w:lineRule="exact"/>
        <w:rPr>
          <w:rFonts w:ascii="仿宋_GB2312" w:eastAsia="仿宋_GB2312"/>
          <w:sz w:val="28"/>
          <w:szCs w:val="28"/>
          <w:lang w:val="en-GB"/>
        </w:rPr>
        <w:sectPr>
          <w:pgSz w:w="11906" w:h="16838"/>
          <w:pgMar w:top="1389" w:right="1247" w:bottom="1389" w:left="1247" w:header="851" w:footer="992" w:gutter="284"/>
          <w:cols w:space="720" w:num="1"/>
          <w:docGrid w:linePitch="312" w:charSpace="0"/>
        </w:sectPr>
      </w:pPr>
    </w:p>
    <w:p>
      <w:pPr>
        <w:pStyle w:val="287"/>
        <w:jc w:val="center"/>
        <w:rPr>
          <w:rFonts w:ascii="仿宋_GB2312" w:hAnsi="宋体" w:eastAsia="仿宋_GB2312"/>
          <w:b/>
          <w:sz w:val="28"/>
          <w:szCs w:val="28"/>
          <w:lang w:val="en-GB"/>
        </w:rPr>
      </w:pPr>
      <w:bookmarkStart w:id="72" w:name="_Toc350256317"/>
      <w:bookmarkStart w:id="73" w:name="_Toc354401539"/>
      <w:bookmarkStart w:id="74" w:name="_Toc316887628"/>
      <w:bookmarkStart w:id="75" w:name="_Toc322352986"/>
      <w:r>
        <w:rPr>
          <w:rFonts w:hint="eastAsia" w:ascii="仿宋_GB2312" w:eastAsia="仿宋_GB2312"/>
          <w:sz w:val="28"/>
          <w:szCs w:val="28"/>
        </w:rPr>
        <w:t>8、</w:t>
      </w:r>
      <w:r>
        <w:rPr>
          <w:rFonts w:hint="eastAsia" w:ascii="仿宋_GB2312" w:hAnsi="宋体" w:eastAsia="仿宋_GB2312"/>
          <w:b/>
          <w:sz w:val="28"/>
          <w:szCs w:val="28"/>
          <w:lang w:val="en-GB"/>
        </w:rPr>
        <w:t>产品适用</w:t>
      </w:r>
      <w:r>
        <w:rPr>
          <w:rFonts w:hint="eastAsia" w:ascii="仿宋_GB2312" w:eastAsia="仿宋_GB2312"/>
          <w:b/>
          <w:spacing w:val="6"/>
          <w:sz w:val="28"/>
          <w:szCs w:val="28"/>
        </w:rPr>
        <w:t>残疾人福利性单位</w:t>
      </w:r>
      <w:r>
        <w:rPr>
          <w:rFonts w:hint="eastAsia" w:ascii="仿宋_GB2312" w:hAnsi="宋体" w:eastAsia="仿宋_GB2312"/>
          <w:b/>
          <w:sz w:val="28"/>
          <w:szCs w:val="28"/>
          <w:lang w:val="en-GB"/>
        </w:rPr>
        <w:t>政策情况表</w:t>
      </w:r>
    </w:p>
    <w:p>
      <w:pPr>
        <w:pStyle w:val="287"/>
        <w:jc w:val="center"/>
        <w:rPr>
          <w:rFonts w:ascii="仿宋_GB2312" w:hAnsi="宋体" w:eastAsia="仿宋_GB2312"/>
          <w:b/>
          <w:sz w:val="28"/>
          <w:szCs w:val="28"/>
          <w:lang w:val="en-GB"/>
        </w:rPr>
      </w:pPr>
    </w:p>
    <w:tbl>
      <w:tblPr>
        <w:tblStyle w:val="59"/>
        <w:tblW w:w="923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restart"/>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残疾人福利性单位扶持政策</w:t>
            </w: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5576"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tcPr>
          <w:p>
            <w:pPr>
              <w:pStyle w:val="287"/>
              <w:tabs>
                <w:tab w:val="left" w:pos="1260"/>
              </w:tabs>
              <w:jc w:val="center"/>
              <w:rPr>
                <w:rFonts w:ascii="仿宋_GB2312" w:hAnsi="宋体" w:eastAsia="仿宋_GB2312"/>
                <w:sz w:val="28"/>
                <w:szCs w:val="28"/>
                <w:lang w:val="en-GB"/>
              </w:rPr>
            </w:pP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72" w:type="dxa"/>
            <w:vMerge w:val="continue"/>
            <w:shd w:val="clear" w:color="auto" w:fill="auto"/>
            <w:noWrap/>
            <w:vAlign w:val="center"/>
          </w:tcPr>
          <w:p>
            <w:pPr>
              <w:pStyle w:val="287"/>
              <w:tabs>
                <w:tab w:val="left" w:pos="1260"/>
              </w:tabs>
              <w:jc w:val="center"/>
              <w:rPr>
                <w:rFonts w:ascii="仿宋_GB2312" w:hAnsi="宋体" w:eastAsia="仿宋_GB2312"/>
                <w:sz w:val="28"/>
                <w:szCs w:val="28"/>
                <w:lang w:val="en-GB"/>
              </w:rPr>
            </w:pPr>
          </w:p>
        </w:tc>
        <w:tc>
          <w:tcPr>
            <w:tcW w:w="6968" w:type="dxa"/>
            <w:gridSpan w:val="2"/>
            <w:shd w:val="clear" w:color="auto" w:fill="auto"/>
            <w:noWrap/>
            <w:vAlign w:val="center"/>
          </w:tcPr>
          <w:p>
            <w:pPr>
              <w:pStyle w:val="287"/>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92" w:type="dxa"/>
            <w:shd w:val="clear" w:color="auto" w:fill="auto"/>
            <w:noWrap/>
            <w:vAlign w:val="center"/>
          </w:tcPr>
          <w:p>
            <w:pPr>
              <w:pStyle w:val="287"/>
              <w:tabs>
                <w:tab w:val="left" w:pos="1260"/>
              </w:tabs>
              <w:jc w:val="center"/>
              <w:rPr>
                <w:rFonts w:ascii="仿宋_GB2312" w:hAnsi="宋体" w:eastAsia="仿宋_GB2312"/>
                <w:sz w:val="28"/>
                <w:szCs w:val="28"/>
                <w:lang w:val="en-GB"/>
              </w:rPr>
            </w:pPr>
          </w:p>
        </w:tc>
      </w:tr>
    </w:tbl>
    <w:p>
      <w:pPr>
        <w:pStyle w:val="287"/>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287"/>
        <w:widowControl/>
        <w:spacing w:line="360" w:lineRule="auto"/>
        <w:ind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1.本表的产品名称、规格型号和注册商标、金额要与《报价明细表》一致。</w:t>
      </w:r>
    </w:p>
    <w:p>
      <w:pPr>
        <w:pStyle w:val="287"/>
        <w:widowControl/>
        <w:spacing w:line="360" w:lineRule="auto"/>
        <w:ind w:right="84" w:rightChars="40"/>
        <w:jc w:val="left"/>
        <w:rPr>
          <w:rFonts w:ascii="仿宋_GB2312" w:hAnsi="宋体" w:eastAsia="仿宋_GB2312"/>
          <w:sz w:val="28"/>
          <w:szCs w:val="28"/>
          <w:lang w:val="en-GB"/>
        </w:rPr>
      </w:pPr>
      <w:r>
        <w:rPr>
          <w:rFonts w:hint="eastAsia" w:ascii="仿宋_GB2312" w:hAnsi="宋体" w:eastAsia="仿宋_GB2312"/>
          <w:sz w:val="28"/>
          <w:szCs w:val="28"/>
          <w:lang w:val="en-GB"/>
        </w:rPr>
        <w:t>2.本表内容不填写将不能享受商务报价里</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产品优惠政策。</w:t>
      </w:r>
    </w:p>
    <w:p>
      <w:pPr>
        <w:autoSpaceDE w:val="0"/>
        <w:autoSpaceDN w:val="0"/>
        <w:adjustRightInd w:val="0"/>
        <w:spacing w:line="540" w:lineRule="exact"/>
        <w:outlineLvl w:val="0"/>
        <w:rPr>
          <w:rFonts w:ascii="仿宋_GB2312" w:eastAsia="仿宋_GB2312" w:cs="宋体"/>
          <w:b/>
          <w:bCs/>
          <w:sz w:val="36"/>
          <w:szCs w:val="36"/>
          <w:lang w:val="zh-CN"/>
        </w:rPr>
      </w:pPr>
      <w:r>
        <w:rPr>
          <w:rFonts w:hint="eastAsia" w:ascii="仿宋_GB2312" w:eastAsia="仿宋_GB2312" w:cs="宋体"/>
          <w:b/>
          <w:bCs/>
          <w:sz w:val="36"/>
          <w:szCs w:val="36"/>
          <w:lang w:val="zh-CN"/>
        </w:rPr>
        <w:br w:type="page"/>
      </w:r>
    </w:p>
    <w:p>
      <w:pPr>
        <w:autoSpaceDE w:val="0"/>
        <w:autoSpaceDN w:val="0"/>
        <w:adjustRightInd w:val="0"/>
        <w:spacing w:line="540" w:lineRule="exact"/>
        <w:jc w:val="center"/>
        <w:outlineLvl w:val="0"/>
        <w:rPr>
          <w:rFonts w:ascii="仿宋_GB2312" w:eastAsia="仿宋_GB2312"/>
          <w:b/>
          <w:bCs/>
          <w:sz w:val="36"/>
          <w:szCs w:val="36"/>
        </w:rPr>
      </w:pPr>
      <w:bookmarkStart w:id="76" w:name="_Toc27138"/>
      <w:r>
        <w:rPr>
          <w:rFonts w:hint="eastAsia" w:ascii="仿宋_GB2312" w:eastAsia="仿宋_GB2312" w:cs="宋体"/>
          <w:b/>
          <w:bCs/>
          <w:sz w:val="36"/>
          <w:szCs w:val="36"/>
          <w:lang w:val="zh-CN"/>
        </w:rPr>
        <w:t>第六章</w:t>
      </w:r>
      <w:bookmarkStart w:id="77" w:name="评标办法及开标程序"/>
      <w:r>
        <w:rPr>
          <w:rFonts w:hint="eastAsia" w:ascii="仿宋_GB2312" w:eastAsia="仿宋_GB2312" w:cs="宋体"/>
          <w:b/>
          <w:bCs/>
          <w:sz w:val="36"/>
          <w:szCs w:val="36"/>
          <w:lang w:val="zh-CN"/>
        </w:rPr>
        <w:t>评标办法及开标程序</w:t>
      </w:r>
      <w:bookmarkEnd w:id="72"/>
      <w:bookmarkEnd w:id="73"/>
      <w:bookmarkEnd w:id="74"/>
      <w:bookmarkEnd w:id="75"/>
      <w:bookmarkEnd w:id="76"/>
      <w:bookmarkEnd w:id="77"/>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一、评标委员会的组成</w:t>
      </w:r>
    </w:p>
    <w:p>
      <w:pPr>
        <w:autoSpaceDE w:val="0"/>
        <w:autoSpaceDN w:val="0"/>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1.评标委员会由7人组成，其中采购单位代表</w:t>
      </w:r>
      <w:r>
        <w:rPr>
          <w:rFonts w:hint="eastAsia" w:ascii="仿宋_GB2312" w:eastAsia="仿宋_GB2312"/>
          <w:sz w:val="28"/>
          <w:szCs w:val="28"/>
          <w:lang w:val="en-US" w:eastAsia="zh-CN"/>
        </w:rPr>
        <w:t>1</w:t>
      </w:r>
      <w:r>
        <w:rPr>
          <w:rFonts w:hint="eastAsia" w:ascii="仿宋_GB2312" w:eastAsia="仿宋_GB2312"/>
          <w:sz w:val="28"/>
          <w:szCs w:val="28"/>
        </w:rPr>
        <w:t>名以及从专家库里随机抽取的专家</w:t>
      </w:r>
      <w:r>
        <w:rPr>
          <w:rFonts w:hint="eastAsia" w:ascii="仿宋_GB2312" w:eastAsia="仿宋_GB2312"/>
          <w:sz w:val="28"/>
          <w:szCs w:val="28"/>
          <w:lang w:val="en-US" w:eastAsia="zh-CN"/>
        </w:rPr>
        <w:t>6</w:t>
      </w:r>
      <w:r>
        <w:rPr>
          <w:rFonts w:hint="eastAsia" w:ascii="仿宋_GB2312" w:eastAsia="仿宋_GB2312"/>
          <w:sz w:val="28"/>
          <w:szCs w:val="28"/>
        </w:rPr>
        <w:t>名，评标委员会对投标文件进行评审。采购单位代表由采购单位按一比二以上的比例推荐，由采购监管人员在开标前半个工作日随机抽取，并代表采购单位负责对项目评审质量和结果的审查，但不得担任评标委员会负责人。</w:t>
      </w:r>
    </w:p>
    <w:p>
      <w:pPr>
        <w:autoSpaceDE w:val="0"/>
        <w:autoSpaceDN w:val="0"/>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2.询标期间，投标人法人代表</w:t>
      </w:r>
      <w:r>
        <w:rPr>
          <w:rFonts w:hint="eastAsia" w:ascii="仿宋_GB2312" w:eastAsia="仿宋_GB2312"/>
          <w:bCs/>
          <w:sz w:val="28"/>
          <w:szCs w:val="28"/>
        </w:rPr>
        <w:t>（负责人）</w:t>
      </w:r>
      <w:r>
        <w:rPr>
          <w:rFonts w:hint="eastAsia" w:ascii="仿宋_GB2312" w:eastAsia="仿宋_GB2312"/>
          <w:sz w:val="28"/>
          <w:szCs w:val="28"/>
        </w:rPr>
        <w:t>或法人</w:t>
      </w:r>
      <w:r>
        <w:rPr>
          <w:rFonts w:hint="eastAsia" w:ascii="仿宋_GB2312" w:eastAsia="仿宋_GB2312"/>
          <w:bCs/>
          <w:sz w:val="28"/>
          <w:szCs w:val="28"/>
        </w:rPr>
        <w:t>（负责人）</w:t>
      </w:r>
      <w:r>
        <w:rPr>
          <w:rFonts w:hint="eastAsia" w:ascii="仿宋_GB2312" w:eastAsia="仿宋_GB2312"/>
          <w:sz w:val="28"/>
          <w:szCs w:val="28"/>
        </w:rPr>
        <w:t>委托人必须在场。负责解答有关事宜。如不在场，则事后不得对采购过程及结果提出异议。</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二、评标原则</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3.投标人得分由技术商务分和报价分合计组成,满分为100分。</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4.技术商务分与报价分合计得分最高者为第一中标候选人，得分次高者为第二中标候选人，总分相同时，价格低者优先。</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5.评标委员会根据招标文件和投标文件，结合技术商务评分细则对各投标人的技术商务部分进行评审。评标委员会各成员所评分值的算术平均值即为各投标人的技术商务分值（计算时四舍五入保留二位小数）。</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 评定结果经采购人确定后，衢州市衢江区政府采购中心 在中标人确定之日起2个工作日内将以书面形式发出《中标通知书》，并在省级以上人民政府财政部门指定的媒体上公告中标结果。</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三、注意事项</w:t>
      </w:r>
    </w:p>
    <w:p>
      <w:pPr>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500" w:lineRule="exact"/>
        <w:ind w:left="425"/>
        <w:rPr>
          <w:rFonts w:ascii="仿宋_GB2312" w:eastAsia="仿宋_GB2312" w:cs="宋体"/>
          <w:b/>
          <w:bCs/>
          <w:sz w:val="28"/>
          <w:szCs w:val="28"/>
          <w:lang w:val="zh-CN"/>
        </w:rPr>
      </w:pPr>
      <w:r>
        <w:rPr>
          <w:rFonts w:hint="eastAsia" w:ascii="仿宋_GB2312" w:eastAsia="仿宋_GB2312" w:cs="宋体"/>
          <w:b/>
          <w:bCs/>
          <w:sz w:val="28"/>
          <w:szCs w:val="28"/>
          <w:lang w:val="zh-CN"/>
        </w:rPr>
        <w:t>四、评分标准</w:t>
      </w:r>
    </w:p>
    <w:tbl>
      <w:tblPr>
        <w:tblStyle w:val="59"/>
        <w:tblW w:w="9344" w:type="dxa"/>
        <w:jc w:val="center"/>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162"/>
        <w:gridCol w:w="2422"/>
        <w:gridCol w:w="4944"/>
        <w:gridCol w:w="816"/>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shd w:val="clear" w:color="auto" w:fill="A6A6A6"/>
            <w:vAlign w:val="center"/>
          </w:tcPr>
          <w:p>
            <w:pPr>
              <w:snapToGrid w:val="0"/>
              <w:spacing w:line="320" w:lineRule="exact"/>
              <w:jc w:val="center"/>
              <w:rPr>
                <w:rFonts w:ascii="仿宋_GB2312" w:eastAsia="仿宋_GB2312"/>
                <w:sz w:val="28"/>
                <w:szCs w:val="28"/>
              </w:rPr>
            </w:pPr>
            <w:r>
              <w:rPr>
                <w:rFonts w:hint="eastAsia" w:ascii="仿宋_GB2312" w:eastAsia="仿宋_GB2312"/>
                <w:sz w:val="28"/>
                <w:szCs w:val="28"/>
              </w:rPr>
              <w:t>评分</w:t>
            </w:r>
          </w:p>
          <w:p>
            <w:pPr>
              <w:autoSpaceDE w:val="0"/>
              <w:autoSpaceDN w:val="0"/>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内容</w:t>
            </w:r>
          </w:p>
        </w:tc>
        <w:tc>
          <w:tcPr>
            <w:tcW w:w="2422"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520" w:lineRule="exact"/>
              <w:ind w:firstLine="140" w:firstLineChars="50"/>
              <w:jc w:val="center"/>
              <w:rPr>
                <w:rFonts w:ascii="仿宋_GB2312" w:eastAsia="仿宋_GB2312"/>
                <w:sz w:val="28"/>
                <w:szCs w:val="28"/>
              </w:rPr>
            </w:pPr>
            <w:r>
              <w:rPr>
                <w:rFonts w:hint="eastAsia" w:ascii="仿宋_GB2312" w:eastAsia="仿宋_GB2312"/>
                <w:sz w:val="28"/>
                <w:szCs w:val="28"/>
              </w:rPr>
              <w:t>细则</w:t>
            </w:r>
          </w:p>
        </w:tc>
        <w:tc>
          <w:tcPr>
            <w:tcW w:w="4944"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400" w:lineRule="exact"/>
              <w:jc w:val="center"/>
              <w:rPr>
                <w:rFonts w:ascii="仿宋_GB2312" w:eastAsia="仿宋_GB2312"/>
                <w:sz w:val="28"/>
                <w:szCs w:val="28"/>
              </w:rPr>
            </w:pPr>
            <w:r>
              <w:rPr>
                <w:rFonts w:hint="eastAsia" w:ascii="仿宋_GB2312" w:eastAsia="仿宋_GB2312"/>
                <w:sz w:val="28"/>
                <w:szCs w:val="28"/>
              </w:rPr>
              <w:t>细则内容</w:t>
            </w:r>
          </w:p>
        </w:tc>
        <w:tc>
          <w:tcPr>
            <w:tcW w:w="816" w:type="dxa"/>
            <w:tcBorders>
              <w:top w:val="single" w:color="auto" w:sz="4" w:space="0"/>
              <w:left w:val="single" w:color="auto" w:sz="4" w:space="0"/>
              <w:bottom w:val="single" w:color="auto" w:sz="4" w:space="0"/>
              <w:right w:val="single" w:color="auto" w:sz="4" w:space="0"/>
            </w:tcBorders>
            <w:shd w:val="clear" w:color="auto" w:fill="A6A6A6"/>
            <w:vAlign w:val="center"/>
          </w:tcPr>
          <w:p>
            <w:pPr>
              <w:autoSpaceDE w:val="0"/>
              <w:autoSpaceDN w:val="0"/>
              <w:adjustRightInd w:val="0"/>
              <w:spacing w:line="520" w:lineRule="exact"/>
              <w:ind w:left="-136" w:leftChars="-65" w:right="-164" w:rightChars="-78"/>
              <w:jc w:val="center"/>
              <w:rPr>
                <w:rFonts w:ascii="仿宋_GB2312" w:eastAsia="仿宋_GB2312"/>
                <w:sz w:val="28"/>
                <w:szCs w:val="28"/>
              </w:rPr>
            </w:pPr>
            <w:r>
              <w:rPr>
                <w:rFonts w:hint="eastAsia" w:ascii="仿宋_GB2312" w:eastAsia="仿宋_GB2312"/>
                <w:sz w:val="28"/>
                <w:szCs w:val="28"/>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投标报价30分</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ascii="仿宋_GB2312" w:eastAsia="仿宋_GB2312"/>
                <w:sz w:val="28"/>
                <w:szCs w:val="28"/>
              </w:rPr>
            </w:pPr>
            <w:r>
              <w:rPr>
                <w:rFonts w:hint="eastAsia" w:ascii="仿宋_GB2312" w:eastAsia="仿宋_GB2312"/>
                <w:sz w:val="28"/>
                <w:szCs w:val="28"/>
              </w:rPr>
              <w:t>报价</w:t>
            </w:r>
          </w:p>
        </w:tc>
        <w:tc>
          <w:tcPr>
            <w:tcW w:w="49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rFonts w:ascii="仿宋_GB2312" w:eastAsia="仿宋_GB2312"/>
                <w:kern w:val="0"/>
                <w:sz w:val="28"/>
                <w:szCs w:val="28"/>
              </w:rPr>
            </w:pPr>
            <w:r>
              <w:rPr>
                <w:rFonts w:hint="eastAsia" w:ascii="仿宋_GB2312" w:eastAsia="仿宋_GB2312"/>
                <w:sz w:val="28"/>
                <w:szCs w:val="28"/>
              </w:rPr>
              <w:t>本项目预算价：人民币</w:t>
            </w:r>
            <w:r>
              <w:rPr>
                <w:rFonts w:hint="eastAsia" w:ascii="仿宋_GB2312" w:hAnsi="宋体" w:cs="宋体" w:eastAsiaTheme="minorEastAsia"/>
                <w:kern w:val="0"/>
                <w:sz w:val="28"/>
                <w:szCs w:val="28"/>
                <w:lang w:eastAsia="zh-CN"/>
              </w:rPr>
              <w:t>2710.4</w:t>
            </w:r>
            <w:r>
              <w:rPr>
                <w:rFonts w:hint="eastAsia" w:ascii="仿宋_GB2312" w:eastAsia="仿宋_GB2312"/>
                <w:sz w:val="28"/>
                <w:szCs w:val="28"/>
              </w:rPr>
              <w:t>万元，基准价为满足评标要求且投标价格最低的投标报价，投标报价得分=(基准价／投标报价)×30，四舍五入，保留两位小数。报价高于预算价（最高限价）的，为无效投标文件。（</w:t>
            </w:r>
            <w:r>
              <w:rPr>
                <w:rFonts w:hint="eastAsia" w:ascii="仿宋_GB2312" w:hAnsi="宋体" w:eastAsia="仿宋_GB2312"/>
                <w:sz w:val="28"/>
                <w:szCs w:val="28"/>
              </w:rPr>
              <w:t>注：对于小型和微型企业（</w:t>
            </w:r>
            <w:r>
              <w:rPr>
                <w:rFonts w:hint="eastAsia" w:ascii="仿宋_GB2312" w:eastAsia="仿宋_GB2312"/>
                <w:sz w:val="28"/>
                <w:szCs w:val="28"/>
              </w:rPr>
              <w:t>监狱和戒毒企业、</w:t>
            </w:r>
            <w:r>
              <w:rPr>
                <w:rFonts w:hint="eastAsia" w:ascii="仿宋_GB2312" w:eastAsia="仿宋_GB2312"/>
                <w:bCs/>
                <w:sz w:val="28"/>
                <w:szCs w:val="28"/>
              </w:rPr>
              <w:t>残疾人福利性单位</w:t>
            </w:r>
            <w:r>
              <w:rPr>
                <w:rFonts w:hint="eastAsia" w:ascii="仿宋_GB2312" w:hAnsi="宋体" w:eastAsia="仿宋_GB2312"/>
                <w:sz w:val="28"/>
                <w:szCs w:val="28"/>
              </w:rPr>
              <w:t>）的报价给予6%的扣除，用扣除后的价格参与评审。小型和微型企业应提供《中小企业声明函》和国家企业信用信息公示系统——小微企业名录查询记录(提供网站截图复印件)；监狱企业应提供监狱企业证明材料；残疾人福利性单位应提供残疾人福利性单位声明函。以上材料未提供不享受报价优惠）。</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kern w:val="0"/>
                <w:sz w:val="28"/>
                <w:szCs w:val="28"/>
              </w:rPr>
            </w:pPr>
            <w:r>
              <w:rPr>
                <w:rFonts w:hint="eastAsia" w:ascii="仿宋_GB2312" w:eastAsia="仿宋_GB2312"/>
                <w:kern w:val="0"/>
                <w:sz w:val="28"/>
                <w:szCs w:val="28"/>
              </w:rPr>
              <w:t>0-30分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案例3分</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ascii="仿宋_GB2312" w:eastAsia="仿宋_GB2312"/>
                <w:sz w:val="28"/>
                <w:szCs w:val="28"/>
              </w:rPr>
            </w:pPr>
            <w:r>
              <w:rPr>
                <w:rFonts w:hint="eastAsia" w:ascii="仿宋_GB2312" w:eastAsia="仿宋_GB2312"/>
                <w:sz w:val="28"/>
                <w:szCs w:val="28"/>
              </w:rPr>
              <w:t>案例</w:t>
            </w:r>
          </w:p>
        </w:tc>
        <w:tc>
          <w:tcPr>
            <w:tcW w:w="49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jc w:val="left"/>
              <w:rPr>
                <w:rFonts w:hint="default" w:ascii="仿宋_GB2312" w:eastAsia="仿宋_GB2312"/>
                <w:sz w:val="28"/>
                <w:szCs w:val="28"/>
                <w:lang w:val="en-US" w:eastAsia="zh-CN"/>
              </w:rPr>
            </w:pPr>
            <w:r>
              <w:rPr>
                <w:rFonts w:hint="eastAsia" w:ascii="仿宋_GB2312" w:eastAsia="仿宋_GB2312"/>
                <w:sz w:val="28"/>
                <w:szCs w:val="28"/>
              </w:rPr>
              <w:t>2016年1月以来投标人实施的政府集中采购类似系统集成项目的成功案例每提供一个得0.5-1分，最高得3分。须提供政府集中采购项目合同及中标（成交）通知书复印件，原件带至开标现场备查</w:t>
            </w:r>
            <w:r>
              <w:rPr>
                <w:rFonts w:hint="eastAsia" w:ascii="仿宋_GB2312" w:eastAsia="仿宋_GB2312"/>
                <w:sz w:val="28"/>
                <w:szCs w:val="28"/>
                <w:lang w:eastAsia="zh-CN"/>
              </w:rPr>
              <w:t>，</w:t>
            </w:r>
            <w:r>
              <w:rPr>
                <w:rFonts w:hint="eastAsia" w:ascii="仿宋_GB2312" w:eastAsia="仿宋_GB2312"/>
                <w:sz w:val="28"/>
                <w:szCs w:val="28"/>
                <w:lang w:val="en-US" w:eastAsia="zh-CN"/>
              </w:rPr>
              <w:t>不带原件不得分。</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kern w:val="0"/>
                <w:sz w:val="28"/>
                <w:szCs w:val="28"/>
              </w:rPr>
              <w:t>0-</w:t>
            </w:r>
            <w:r>
              <w:rPr>
                <w:rFonts w:hint="eastAsia" w:ascii="仿宋_GB2312" w:eastAsia="仿宋_GB2312"/>
                <w:sz w:val="28"/>
                <w:szCs w:val="28"/>
              </w:rPr>
              <w:t>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vMerge w:val="restart"/>
            <w:tcBorders>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投标人情况</w:t>
            </w:r>
            <w:r>
              <w:rPr>
                <w:rFonts w:hint="eastAsia" w:ascii="仿宋_GB2312" w:eastAsia="仿宋_GB2312"/>
                <w:sz w:val="28"/>
                <w:szCs w:val="28"/>
                <w:lang w:val="en-US" w:eastAsia="zh-CN"/>
              </w:rPr>
              <w:t>7</w:t>
            </w:r>
            <w:r>
              <w:rPr>
                <w:rFonts w:hint="eastAsia" w:ascii="仿宋_GB2312" w:eastAsia="仿宋_GB2312"/>
                <w:sz w:val="28"/>
                <w:szCs w:val="28"/>
              </w:rPr>
              <w:t>分</w:t>
            </w:r>
          </w:p>
        </w:tc>
        <w:tc>
          <w:tcPr>
            <w:tcW w:w="242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ascii="仿宋_GB2312" w:eastAsia="仿宋_GB2312"/>
                <w:sz w:val="28"/>
                <w:szCs w:val="28"/>
              </w:rPr>
            </w:pPr>
            <w:r>
              <w:rPr>
                <w:rFonts w:hint="eastAsia" w:ascii="仿宋_GB2312" w:eastAsia="仿宋_GB2312"/>
                <w:sz w:val="28"/>
                <w:szCs w:val="28"/>
              </w:rPr>
              <w:t>光纤分布</w:t>
            </w:r>
          </w:p>
        </w:tc>
        <w:tc>
          <w:tcPr>
            <w:tcW w:w="4944"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left"/>
              <w:rPr>
                <w:rFonts w:ascii="仿宋_GB2312" w:eastAsia="仿宋_GB2312"/>
                <w:sz w:val="28"/>
                <w:szCs w:val="28"/>
              </w:rPr>
            </w:pPr>
            <w:r>
              <w:rPr>
                <w:rFonts w:hint="eastAsia" w:ascii="仿宋_GB2312" w:eastAsia="仿宋_GB2312"/>
                <w:sz w:val="28"/>
                <w:szCs w:val="28"/>
              </w:rPr>
              <w:t>裸光纤网络能分布到各学校得1分；不满足得0分，本项最高得1分。</w:t>
            </w:r>
          </w:p>
        </w:tc>
        <w:tc>
          <w:tcPr>
            <w:tcW w:w="816"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vMerge w:val="continue"/>
            <w:tcBorders>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p>
        </w:tc>
        <w:tc>
          <w:tcPr>
            <w:tcW w:w="242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ascii="仿宋_GB2312" w:eastAsia="仿宋_GB2312"/>
                <w:sz w:val="28"/>
                <w:szCs w:val="28"/>
              </w:rPr>
            </w:pPr>
            <w:r>
              <w:rPr>
                <w:rFonts w:hint="eastAsia" w:ascii="仿宋_GB2312" w:eastAsia="仿宋_GB2312"/>
                <w:sz w:val="28"/>
                <w:szCs w:val="28"/>
              </w:rPr>
              <w:t>网络实力</w:t>
            </w:r>
          </w:p>
        </w:tc>
        <w:tc>
          <w:tcPr>
            <w:tcW w:w="4944"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left"/>
              <w:rPr>
                <w:rFonts w:ascii="仿宋_GB2312" w:eastAsia="仿宋_GB2312"/>
                <w:sz w:val="28"/>
                <w:szCs w:val="28"/>
              </w:rPr>
            </w:pPr>
            <w:r>
              <w:rPr>
                <w:rFonts w:hint="eastAsia" w:ascii="仿宋_GB2312" w:eastAsia="仿宋_GB2312"/>
                <w:sz w:val="28"/>
                <w:szCs w:val="28"/>
              </w:rPr>
              <w:t>根据投标人所提供衢江教育互联网出口建设模式以及质量，满足用户所需建设模式情况进行打分（0-2分），本项最高得2分。</w:t>
            </w:r>
          </w:p>
        </w:tc>
        <w:tc>
          <w:tcPr>
            <w:tcW w:w="816"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162" w:type="dxa"/>
            <w:vMerge w:val="continue"/>
            <w:tcBorders>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p>
        </w:tc>
        <w:tc>
          <w:tcPr>
            <w:tcW w:w="242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center"/>
              <w:rPr>
                <w:rFonts w:ascii="仿宋_GB2312" w:eastAsia="仿宋_GB2312"/>
                <w:sz w:val="28"/>
                <w:szCs w:val="28"/>
              </w:rPr>
            </w:pPr>
            <w:r>
              <w:rPr>
                <w:rFonts w:hint="eastAsia" w:ascii="仿宋_GB2312" w:eastAsia="仿宋_GB2312"/>
                <w:sz w:val="28"/>
                <w:szCs w:val="28"/>
              </w:rPr>
              <w:t>产品工程师</w:t>
            </w:r>
          </w:p>
          <w:p>
            <w:pPr>
              <w:autoSpaceDE w:val="0"/>
              <w:autoSpaceDN w:val="0"/>
              <w:adjustRightInd w:val="0"/>
              <w:snapToGrid w:val="0"/>
              <w:spacing w:line="380" w:lineRule="exact"/>
              <w:ind w:firstLine="140" w:firstLineChars="50"/>
              <w:jc w:val="center"/>
              <w:rPr>
                <w:rFonts w:ascii="仿宋_GB2312" w:eastAsia="仿宋_GB2312"/>
                <w:sz w:val="28"/>
                <w:szCs w:val="28"/>
              </w:rPr>
            </w:pPr>
          </w:p>
        </w:tc>
        <w:tc>
          <w:tcPr>
            <w:tcW w:w="4944"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firstLine="140" w:firstLineChars="50"/>
              <w:jc w:val="left"/>
              <w:rPr>
                <w:rFonts w:ascii="仿宋_GB2312" w:eastAsia="仿宋_GB2312"/>
                <w:sz w:val="28"/>
                <w:szCs w:val="28"/>
              </w:rPr>
            </w:pPr>
            <w:r>
              <w:rPr>
                <w:rFonts w:hint="eastAsia" w:ascii="仿宋_GB2312" w:eastAsia="仿宋_GB2312"/>
                <w:sz w:val="28"/>
                <w:szCs w:val="28"/>
              </w:rPr>
              <w:t>项目组中有人员具有所投主要产品（服务器、网络及通信、安全产品、校园监控）认证工程师证书的，每一项证书得1分。本项最高得4分，需提供相关证书、投标单位为其交纳的2019年01月-2019年04月社保证明或公积金证明复印件，原件现场备查，无原件不得分。</w:t>
            </w:r>
          </w:p>
        </w:tc>
        <w:tc>
          <w:tcPr>
            <w:tcW w:w="816"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hint="eastAsia" w:ascii="仿宋_GB2312" w:eastAsia="仿宋_GB2312"/>
                <w:sz w:val="28"/>
                <w:szCs w:val="28"/>
              </w:rPr>
            </w:pPr>
          </w:p>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节能环保产品2分</w:t>
            </w:r>
          </w:p>
        </w:tc>
        <w:tc>
          <w:tcPr>
            <w:tcW w:w="242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节能环保</w:t>
            </w:r>
          </w:p>
        </w:tc>
        <w:tc>
          <w:tcPr>
            <w:tcW w:w="4944" w:type="dxa"/>
            <w:tcBorders>
              <w:top w:val="single" w:color="auto" w:sz="4" w:space="0"/>
              <w:left w:val="single" w:color="auto" w:sz="4" w:space="0"/>
              <w:right w:val="single" w:color="auto" w:sz="4" w:space="0"/>
            </w:tcBorders>
            <w:vAlign w:val="center"/>
          </w:tcPr>
          <w:p>
            <w:pPr>
              <w:widowControl/>
              <w:snapToGrid w:val="0"/>
              <w:spacing w:line="380" w:lineRule="exact"/>
              <w:rPr>
                <w:rFonts w:ascii="仿宋_GB2312" w:eastAsia="仿宋_GB2312"/>
                <w:sz w:val="28"/>
                <w:szCs w:val="28"/>
              </w:rPr>
            </w:pPr>
            <w:r>
              <w:rPr>
                <w:rFonts w:hint="eastAsia" w:ascii="仿宋_GB2312" w:eastAsia="仿宋_GB2312"/>
                <w:sz w:val="28"/>
                <w:szCs w:val="28"/>
              </w:rPr>
              <w:t>1.所投的设备产品型号有获得政府采购节能产品认证证书的（以中国政府采购网节能产品查询结果截图为准）。每个得0.2分，最多得1分，未提供的不得分。</w:t>
            </w:r>
          </w:p>
          <w:p>
            <w:pPr>
              <w:widowControl/>
              <w:snapToGrid w:val="0"/>
              <w:spacing w:line="380" w:lineRule="exact"/>
              <w:rPr>
                <w:rFonts w:ascii="仿宋_GB2312" w:eastAsia="仿宋_GB2312"/>
                <w:sz w:val="28"/>
                <w:szCs w:val="28"/>
              </w:rPr>
            </w:pPr>
            <w:r>
              <w:rPr>
                <w:rFonts w:hint="eastAsia" w:ascii="仿宋_GB2312" w:eastAsia="仿宋_GB2312"/>
                <w:sz w:val="28"/>
                <w:szCs w:val="28"/>
              </w:rPr>
              <w:t>2.所投的设备产品型号有获得政府采购环境标志产品认证证书的（以中国政府采购网环境标志产品查询结果截图为准）每个得0.2分，最多得1分，未提供的不得分。</w:t>
            </w:r>
          </w:p>
          <w:p>
            <w:pPr>
              <w:widowControl/>
              <w:snapToGrid w:val="0"/>
              <w:spacing w:line="380" w:lineRule="exact"/>
              <w:rPr>
                <w:rFonts w:ascii="仿宋_GB2312" w:eastAsia="仿宋_GB2312"/>
                <w:sz w:val="28"/>
                <w:szCs w:val="28"/>
              </w:rPr>
            </w:pPr>
            <w:r>
              <w:rPr>
                <w:rFonts w:hint="eastAsia" w:ascii="仿宋_GB2312" w:eastAsia="仿宋_GB2312"/>
                <w:sz w:val="28"/>
                <w:szCs w:val="28"/>
              </w:rPr>
              <w:t>注：政府强制采购的节能产品除外；未提供节能和环保产品中国政府采购网查询结果截图的不得分。</w:t>
            </w:r>
          </w:p>
        </w:tc>
        <w:tc>
          <w:tcPr>
            <w:tcW w:w="816" w:type="dxa"/>
            <w:tcBorders>
              <w:top w:val="single" w:color="auto" w:sz="4" w:space="0"/>
              <w:left w:val="single" w:color="auto" w:sz="4" w:space="0"/>
              <w:right w:val="single" w:color="auto" w:sz="4" w:space="0"/>
            </w:tcBorders>
            <w:vAlign w:val="center"/>
          </w:tcPr>
          <w:p>
            <w:pPr>
              <w:widowControl/>
              <w:snapToGrid w:val="0"/>
              <w:spacing w:line="380" w:lineRule="exact"/>
              <w:ind w:left="-136" w:leftChars="-65" w:right="-164" w:rightChars="-78" w:firstLine="140" w:firstLineChars="50"/>
              <w:jc w:val="center"/>
              <w:rPr>
                <w:rFonts w:ascii="仿宋_GB2312" w:eastAsia="仿宋_GB2312"/>
                <w:sz w:val="28"/>
                <w:szCs w:val="28"/>
              </w:rPr>
            </w:pPr>
            <w:r>
              <w:rPr>
                <w:rFonts w:hint="eastAsia" w:ascii="仿宋_GB2312" w:eastAsia="仿宋_GB2312"/>
                <w:sz w:val="28"/>
                <w:szCs w:val="28"/>
              </w:rPr>
              <w:t>0-2分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410" w:hRule="atLeast"/>
          <w:jc w:val="center"/>
        </w:trPr>
        <w:tc>
          <w:tcPr>
            <w:tcW w:w="1162" w:type="dxa"/>
            <w:vMerge w:val="restart"/>
            <w:tcBorders>
              <w:top w:val="single" w:color="auto" w:sz="4" w:space="0"/>
              <w:left w:val="single" w:color="auto" w:sz="4" w:space="0"/>
              <w:right w:val="single" w:color="auto" w:sz="4" w:space="0"/>
            </w:tcBorders>
            <w:vAlign w:val="center"/>
          </w:tcPr>
          <w:p>
            <w:pPr>
              <w:widowControl/>
              <w:snapToGrid w:val="0"/>
              <w:spacing w:line="380" w:lineRule="exact"/>
              <w:jc w:val="center"/>
              <w:rPr>
                <w:rFonts w:ascii="仿宋_GB2312" w:eastAsia="仿宋_GB2312"/>
                <w:sz w:val="28"/>
                <w:szCs w:val="28"/>
              </w:rPr>
            </w:pPr>
            <w:r>
              <w:rPr>
                <w:rFonts w:hint="eastAsia" w:ascii="仿宋_GB2312" w:eastAsia="仿宋_GB2312"/>
                <w:sz w:val="28"/>
                <w:szCs w:val="28"/>
              </w:rPr>
              <w:t>系统集成方案</w:t>
            </w:r>
            <w:r>
              <w:rPr>
                <w:rFonts w:hint="eastAsia" w:ascii="仿宋_GB2312" w:eastAsia="仿宋_GB2312"/>
                <w:sz w:val="28"/>
                <w:szCs w:val="28"/>
                <w:lang w:val="en-US" w:eastAsia="zh-CN"/>
              </w:rPr>
              <w:t>8</w:t>
            </w:r>
            <w:r>
              <w:rPr>
                <w:rFonts w:hint="eastAsia" w:ascii="仿宋_GB2312" w:eastAsia="仿宋_GB2312"/>
                <w:sz w:val="28"/>
                <w:szCs w:val="28"/>
              </w:rPr>
              <w:t>分</w:t>
            </w:r>
          </w:p>
        </w:tc>
        <w:tc>
          <w:tcPr>
            <w:tcW w:w="2422" w:type="dxa"/>
            <w:tcBorders>
              <w:top w:val="single" w:color="auto" w:sz="4" w:space="0"/>
              <w:left w:val="single" w:color="auto" w:sz="4" w:space="0"/>
              <w:right w:val="single" w:color="auto" w:sz="4" w:space="0"/>
            </w:tcBorders>
            <w:vAlign w:val="center"/>
          </w:tcPr>
          <w:p>
            <w:pPr>
              <w:widowControl/>
              <w:snapToGrid w:val="0"/>
              <w:spacing w:line="380" w:lineRule="exact"/>
              <w:rPr>
                <w:rFonts w:ascii="仿宋_GB2312" w:eastAsia="仿宋_GB2312"/>
                <w:sz w:val="28"/>
                <w:szCs w:val="28"/>
              </w:rPr>
            </w:pPr>
            <w:r>
              <w:rPr>
                <w:rFonts w:hint="eastAsia" w:ascii="仿宋_GB2312" w:eastAsia="仿宋_GB2312"/>
                <w:sz w:val="28"/>
                <w:szCs w:val="28"/>
              </w:rPr>
              <w:t>校园监控方案</w:t>
            </w:r>
          </w:p>
          <w:p>
            <w:pPr>
              <w:widowControl/>
              <w:snapToGrid w:val="0"/>
              <w:spacing w:line="380" w:lineRule="exact"/>
              <w:rPr>
                <w:rFonts w:ascii="仿宋_GB2312" w:eastAsia="仿宋_GB2312"/>
                <w:sz w:val="28"/>
                <w:szCs w:val="28"/>
              </w:rPr>
            </w:pPr>
          </w:p>
        </w:tc>
        <w:tc>
          <w:tcPr>
            <w:tcW w:w="4944" w:type="dxa"/>
            <w:tcBorders>
              <w:top w:val="single" w:color="auto" w:sz="4" w:space="0"/>
              <w:left w:val="single" w:color="auto" w:sz="4" w:space="0"/>
              <w:right w:val="single" w:color="auto" w:sz="4" w:space="0"/>
            </w:tcBorders>
            <w:vAlign w:val="center"/>
          </w:tcPr>
          <w:p>
            <w:pPr>
              <w:widowControl/>
              <w:snapToGrid w:val="0"/>
              <w:spacing w:line="380" w:lineRule="exact"/>
              <w:rPr>
                <w:rFonts w:ascii="仿宋_GB2312" w:eastAsia="仿宋_GB2312"/>
                <w:sz w:val="28"/>
                <w:szCs w:val="28"/>
              </w:rPr>
            </w:pPr>
            <w:r>
              <w:rPr>
                <w:rFonts w:hint="eastAsia" w:ascii="仿宋_GB2312" w:eastAsia="仿宋_GB2312"/>
                <w:sz w:val="28"/>
                <w:szCs w:val="28"/>
              </w:rPr>
              <w:t>能够满足衢江教育局平安校园要求、并能与学校已建校园监控无缝对接的得1分，不能对接得0分。在满足学校本地录像机存储一个月的基础上，提供视频监控数据云存储一个月以上，提供可行性具体参数方案、承诺函及提供云平台的相关建设合同、机房位置，提供人脸识别系统并提供可行性具体参数方案得</w:t>
            </w:r>
            <w:r>
              <w:rPr>
                <w:rFonts w:hint="eastAsia" w:ascii="仿宋_GB2312" w:eastAsia="仿宋_GB2312"/>
                <w:sz w:val="28"/>
                <w:szCs w:val="28"/>
                <w:lang w:val="en-US" w:eastAsia="zh-CN"/>
              </w:rPr>
              <w:t>2</w:t>
            </w:r>
            <w:r>
              <w:rPr>
                <w:rFonts w:hint="eastAsia" w:ascii="仿宋_GB2312" w:eastAsia="仿宋_GB2312"/>
                <w:sz w:val="28"/>
                <w:szCs w:val="28"/>
              </w:rPr>
              <w:t>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w:t>
            </w:r>
            <w:r>
              <w:rPr>
                <w:rFonts w:hint="eastAsia" w:ascii="仿宋_GB2312" w:eastAsia="仿宋_GB2312"/>
                <w:sz w:val="28"/>
                <w:szCs w:val="28"/>
                <w:lang w:val="en-US" w:eastAsia="zh-CN"/>
              </w:rPr>
              <w:t>3</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62" w:type="dxa"/>
            <w:vMerge w:val="continue"/>
            <w:tcBorders>
              <w:top w:val="single" w:color="auto" w:sz="4" w:space="0"/>
              <w:left w:val="single" w:color="auto" w:sz="4" w:space="0"/>
              <w:right w:val="single" w:color="auto" w:sz="4" w:space="0"/>
            </w:tcBorders>
            <w:vAlign w:val="center"/>
          </w:tcPr>
          <w:p>
            <w:pPr>
              <w:snapToGrid w:val="0"/>
              <w:spacing w:line="380" w:lineRule="exact"/>
              <w:jc w:val="center"/>
              <w:rPr>
                <w:rFonts w:ascii="仿宋_GB2312" w:eastAsia="仿宋_GB2312"/>
                <w:sz w:val="28"/>
                <w:szCs w:val="28"/>
              </w:rPr>
            </w:pPr>
          </w:p>
        </w:tc>
        <w:tc>
          <w:tcPr>
            <w:tcW w:w="2422" w:type="dxa"/>
            <w:vMerge w:val="restart"/>
            <w:tcBorders>
              <w:top w:val="single" w:color="auto" w:sz="4" w:space="0"/>
              <w:left w:val="single" w:color="auto" w:sz="4" w:space="0"/>
              <w:right w:val="single" w:color="auto" w:sz="4" w:space="0"/>
            </w:tcBorders>
            <w:vAlign w:val="center"/>
          </w:tcPr>
          <w:p>
            <w:pPr>
              <w:widowControl/>
              <w:snapToGrid w:val="0"/>
              <w:spacing w:line="380" w:lineRule="exact"/>
              <w:rPr>
                <w:rFonts w:ascii="仿宋_GB2312" w:eastAsia="仿宋_GB2312"/>
                <w:sz w:val="28"/>
                <w:szCs w:val="28"/>
              </w:rPr>
            </w:pPr>
            <w:r>
              <w:rPr>
                <w:rFonts w:hint="eastAsia" w:ascii="仿宋_GB2312" w:eastAsia="仿宋_GB2312"/>
                <w:sz w:val="28"/>
                <w:szCs w:val="28"/>
              </w:rPr>
              <w:t>网络及视频监控布线方案</w:t>
            </w:r>
          </w:p>
        </w:tc>
        <w:tc>
          <w:tcPr>
            <w:tcW w:w="4944" w:type="dxa"/>
            <w:vMerge w:val="restart"/>
            <w:tcBorders>
              <w:top w:val="single" w:color="auto" w:sz="4" w:space="0"/>
              <w:left w:val="single" w:color="auto" w:sz="4" w:space="0"/>
              <w:right w:val="single" w:color="auto" w:sz="4" w:space="0"/>
            </w:tcBorders>
            <w:vAlign w:val="center"/>
          </w:tcPr>
          <w:p>
            <w:pPr>
              <w:widowControl/>
              <w:snapToGrid w:val="0"/>
              <w:spacing w:line="380" w:lineRule="exact"/>
              <w:rPr>
                <w:rFonts w:ascii="仿宋_GB2312" w:eastAsia="仿宋_GB2312"/>
                <w:sz w:val="28"/>
                <w:szCs w:val="28"/>
              </w:rPr>
            </w:pPr>
            <w:r>
              <w:rPr>
                <w:rFonts w:hint="eastAsia" w:ascii="仿宋_GB2312" w:eastAsia="仿宋_GB2312"/>
                <w:sz w:val="28"/>
                <w:szCs w:val="28"/>
              </w:rPr>
              <w:t>有符合招标方要求的分校分项目施工进度表、详细桥架、线槽等可行性布线方案得</w:t>
            </w:r>
            <w:r>
              <w:rPr>
                <w:rFonts w:hint="eastAsia" w:ascii="仿宋_GB2312" w:eastAsia="仿宋_GB2312"/>
                <w:sz w:val="28"/>
                <w:szCs w:val="28"/>
                <w:lang w:val="en-US" w:eastAsia="zh-CN"/>
              </w:rPr>
              <w:t>3-5</w:t>
            </w:r>
            <w:r>
              <w:rPr>
                <w:rFonts w:hint="eastAsia" w:ascii="仿宋_GB2312" w:eastAsia="仿宋_GB2312"/>
                <w:sz w:val="28"/>
                <w:szCs w:val="28"/>
              </w:rPr>
              <w:t>分；方案不详细，可行性差的得0</w:t>
            </w:r>
            <w:r>
              <w:rPr>
                <w:rFonts w:hint="eastAsia" w:ascii="仿宋_GB2312" w:eastAsia="仿宋_GB2312"/>
                <w:sz w:val="28"/>
                <w:szCs w:val="28"/>
                <w:lang w:val="en-US" w:eastAsia="zh-CN"/>
              </w:rPr>
              <w:t>-3</w:t>
            </w:r>
            <w:r>
              <w:rPr>
                <w:rFonts w:hint="eastAsia" w:ascii="仿宋_GB2312" w:eastAsia="仿宋_GB2312"/>
                <w:sz w:val="28"/>
                <w:szCs w:val="28"/>
              </w:rPr>
              <w:t>分。</w:t>
            </w:r>
          </w:p>
        </w:tc>
        <w:tc>
          <w:tcPr>
            <w:tcW w:w="816" w:type="dxa"/>
            <w:vMerge w:val="restart"/>
            <w:tcBorders>
              <w:top w:val="single" w:color="auto" w:sz="4" w:space="0"/>
              <w:left w:val="single" w:color="auto" w:sz="4" w:space="0"/>
              <w:right w:val="single" w:color="auto" w:sz="4" w:space="0"/>
            </w:tcBorders>
            <w:vAlign w:val="center"/>
          </w:tcPr>
          <w:p>
            <w:pPr>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w:t>
            </w:r>
            <w:r>
              <w:rPr>
                <w:rFonts w:hint="eastAsia" w:ascii="仿宋_GB2312" w:eastAsia="仿宋_GB2312"/>
                <w:sz w:val="28"/>
                <w:szCs w:val="28"/>
                <w:lang w:val="en-US" w:eastAsia="zh-CN"/>
              </w:rPr>
              <w:t>5</w:t>
            </w:r>
            <w:r>
              <w:rPr>
                <w:rFonts w:hint="eastAsia" w:ascii="仿宋_GB2312" w:eastAsia="仿宋_GB2312"/>
                <w:sz w:val="28"/>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62" w:type="dxa"/>
            <w:tcBorders>
              <w:top w:val="nil"/>
              <w:left w:val="single" w:color="auto" w:sz="4" w:space="0"/>
              <w:right w:val="single" w:color="auto" w:sz="4" w:space="0"/>
            </w:tcBorders>
            <w:vAlign w:val="center"/>
          </w:tcPr>
          <w:p>
            <w:pPr>
              <w:snapToGrid w:val="0"/>
              <w:spacing w:line="380" w:lineRule="exact"/>
              <w:jc w:val="center"/>
              <w:rPr>
                <w:rFonts w:ascii="仿宋_GB2312" w:eastAsia="仿宋_GB2312"/>
                <w:sz w:val="28"/>
                <w:szCs w:val="28"/>
              </w:rPr>
            </w:pPr>
          </w:p>
        </w:tc>
        <w:tc>
          <w:tcPr>
            <w:tcW w:w="242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4944" w:type="dxa"/>
            <w:vMerge w:val="continue"/>
            <w:tcBorders>
              <w:left w:val="single" w:color="auto" w:sz="4" w:space="0"/>
              <w:right w:val="single" w:color="auto" w:sz="4" w:space="0"/>
            </w:tcBorders>
            <w:vAlign w:val="center"/>
          </w:tcPr>
          <w:p>
            <w:pPr>
              <w:widowControl/>
              <w:snapToGrid w:val="0"/>
              <w:spacing w:line="380" w:lineRule="exact"/>
              <w:jc w:val="left"/>
              <w:rPr>
                <w:rFonts w:ascii="仿宋_GB2312" w:eastAsia="仿宋_GB2312"/>
                <w:sz w:val="28"/>
                <w:szCs w:val="28"/>
              </w:rPr>
            </w:pPr>
          </w:p>
        </w:tc>
        <w:tc>
          <w:tcPr>
            <w:tcW w:w="816" w:type="dxa"/>
            <w:vMerge w:val="continue"/>
            <w:tcBorders>
              <w:left w:val="single" w:color="auto" w:sz="4" w:space="0"/>
              <w:right w:val="single" w:color="auto" w:sz="4" w:space="0"/>
            </w:tcBorders>
            <w:vAlign w:val="center"/>
          </w:tcPr>
          <w:p>
            <w:pPr>
              <w:snapToGrid w:val="0"/>
              <w:spacing w:line="380" w:lineRule="exact"/>
              <w:ind w:left="-136" w:leftChars="-65" w:right="-164" w:rightChars="-78"/>
              <w:jc w:val="center"/>
              <w:rPr>
                <w:rFonts w:ascii="仿宋_GB2312" w:eastAsia="仿宋_GB2312"/>
                <w:sz w:val="28"/>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restart"/>
            <w:tcBorders>
              <w:top w:val="single" w:color="auto" w:sz="4" w:space="0"/>
              <w:left w:val="single" w:color="auto" w:sz="4" w:space="0"/>
              <w:right w:val="single" w:color="auto" w:sz="4" w:space="0"/>
            </w:tcBorders>
            <w:vAlign w:val="center"/>
          </w:tcPr>
          <w:p>
            <w:pPr>
              <w:widowControl/>
              <w:snapToGrid w:val="0"/>
              <w:spacing w:line="380" w:lineRule="exact"/>
              <w:jc w:val="center"/>
              <w:rPr>
                <w:rFonts w:ascii="仿宋_GB2312" w:eastAsia="仿宋_GB2312"/>
                <w:sz w:val="28"/>
                <w:szCs w:val="28"/>
              </w:rPr>
            </w:pPr>
            <w:r>
              <w:rPr>
                <w:rFonts w:hint="eastAsia" w:ascii="仿宋_GB2312" w:eastAsia="仿宋_GB2312"/>
                <w:sz w:val="28"/>
                <w:szCs w:val="28"/>
              </w:rPr>
              <w:t>技术方案及配置情况</w:t>
            </w:r>
          </w:p>
          <w:p>
            <w:pPr>
              <w:snapToGrid w:val="0"/>
              <w:spacing w:line="38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7</w:t>
            </w:r>
            <w:r>
              <w:rPr>
                <w:rFonts w:hint="eastAsia" w:ascii="仿宋_GB2312" w:eastAsia="仿宋_GB2312"/>
                <w:sz w:val="28"/>
                <w:szCs w:val="28"/>
              </w:rPr>
              <w:t>分</w:t>
            </w: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lang w:val="en-US" w:eastAsia="zh-CN"/>
              </w:rPr>
              <w:t>骨干</w:t>
            </w:r>
            <w:r>
              <w:rPr>
                <w:rFonts w:hint="eastAsia" w:ascii="仿宋" w:hAnsi="仿宋" w:eastAsia="仿宋" w:cs="仿宋"/>
                <w:color w:val="000000"/>
                <w:kern w:val="0"/>
                <w:sz w:val="28"/>
                <w:szCs w:val="28"/>
              </w:rPr>
              <w:t>汇聚交换机</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网络运维平台</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大数据中心机房含储存，云平台</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打“▲”指标为实质性指标，负偏离将作无效标；其他参数指标，每负偏离一项，扣0.2-0.5分，共5分，扣完为止。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lang w:val="en-US" w:eastAsia="zh-CN"/>
              </w:rPr>
              <w:t>网络</w:t>
            </w:r>
            <w:r>
              <w:rPr>
                <w:rFonts w:hint="eastAsia" w:ascii="仿宋" w:hAnsi="仿宋" w:eastAsia="仿宋" w:cs="仿宋"/>
                <w:color w:val="000000"/>
                <w:kern w:val="0"/>
                <w:sz w:val="28"/>
                <w:szCs w:val="28"/>
              </w:rPr>
              <w:t>上网行为管理平台</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全区核心交换机</w:t>
            </w:r>
          </w:p>
        </w:tc>
        <w:tc>
          <w:tcPr>
            <w:tcW w:w="4944" w:type="dxa"/>
            <w:vMerge w:val="restart"/>
            <w:tcBorders>
              <w:top w:val="single" w:color="auto" w:sz="4" w:space="0"/>
              <w:left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打“▲”指标为实质性指标，负偏离将作无效标；其他参数指标，每负偏离一项，扣0.2-0.5分，共1分，扣完为止。</w:t>
            </w:r>
          </w:p>
        </w:tc>
        <w:tc>
          <w:tcPr>
            <w:tcW w:w="816" w:type="dxa"/>
            <w:tcBorders>
              <w:top w:val="single" w:color="auto" w:sz="4" w:space="0"/>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全区出口防火墙</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无线控制器</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292"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访客</w:t>
            </w:r>
            <w:r>
              <w:rPr>
                <w:rFonts w:hint="eastAsia" w:ascii="仿宋" w:hAnsi="仿宋" w:eastAsia="仿宋" w:cs="仿宋"/>
                <w:color w:val="000000"/>
                <w:kern w:val="0"/>
                <w:sz w:val="28"/>
                <w:szCs w:val="28"/>
                <w:lang w:val="en-US" w:eastAsia="zh-CN"/>
              </w:rPr>
              <w:t>平台及</w:t>
            </w:r>
            <w:r>
              <w:rPr>
                <w:rFonts w:hint="eastAsia" w:ascii="仿宋" w:hAnsi="仿宋" w:eastAsia="仿宋" w:cs="仿宋"/>
                <w:color w:val="000000"/>
                <w:kern w:val="0"/>
                <w:sz w:val="28"/>
                <w:szCs w:val="28"/>
              </w:rPr>
              <w:t>系统</w:t>
            </w:r>
          </w:p>
        </w:tc>
        <w:tc>
          <w:tcPr>
            <w:tcW w:w="4944" w:type="dxa"/>
            <w:tcBorders>
              <w:top w:val="single" w:color="auto" w:sz="4" w:space="0"/>
              <w:left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“▲”指标为实质性指标，负偏离将作无效标；其他参数指标，每负偏离一项，扣0.2-0.5分，共2分，扣完为止。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w:t>
            </w:r>
            <w:r>
              <w:rPr>
                <w:rFonts w:hint="eastAsia" w:ascii="仿宋_GB2312" w:eastAsia="仿宋_GB2312"/>
                <w:szCs w:val="28"/>
                <w:lang w:val="en-US" w:eastAsia="zh-CN"/>
              </w:rPr>
              <w:t>3</w:t>
            </w:r>
            <w:r>
              <w:rPr>
                <w:rFonts w:hint="eastAsia" w:ascii="仿宋_GB2312" w:eastAsia="仿宋_GB2312"/>
                <w:szCs w:val="28"/>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多媒体教学管理平台</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教育专网路由器</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lang w:val="en-US" w:eastAsia="zh-CN"/>
              </w:rPr>
              <w:t>全区</w:t>
            </w:r>
            <w:r>
              <w:rPr>
                <w:rFonts w:hint="eastAsia" w:ascii="仿宋" w:hAnsi="仿宋" w:eastAsia="仿宋" w:cs="仿宋"/>
                <w:color w:val="000000"/>
                <w:kern w:val="0"/>
                <w:sz w:val="28"/>
                <w:szCs w:val="28"/>
              </w:rPr>
              <w:t>无线漫游安全认证</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rPr>
              <w:t>视频监控</w:t>
            </w:r>
            <w:r>
              <w:rPr>
                <w:rFonts w:hint="eastAsia" w:ascii="仿宋" w:hAnsi="仿宋" w:eastAsia="仿宋" w:cs="仿宋"/>
                <w:color w:val="000000"/>
                <w:kern w:val="0"/>
                <w:sz w:val="28"/>
                <w:szCs w:val="28"/>
                <w:lang w:val="en-US" w:eastAsia="zh-CN"/>
              </w:rPr>
              <w:t>设备</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打“▲”指标为实质性指标，负偏离将作无效标；其他参数指标，每负偏离一项，扣0.2-0.5分，共5分，扣完为止。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走廊AP</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打“▲”指标为实质性指标，负偏离将作无效标；其他参数指标，每负偏离一项，扣0.2-0.5分，共2分，扣完为止。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lang w:val="en-US" w:eastAsia="zh-CN"/>
              </w:rPr>
              <w:t>教师办公室</w:t>
            </w:r>
            <w:r>
              <w:rPr>
                <w:rFonts w:hint="eastAsia" w:ascii="仿宋" w:hAnsi="仿宋" w:eastAsia="仿宋" w:cs="仿宋"/>
                <w:color w:val="000000"/>
                <w:kern w:val="0"/>
                <w:sz w:val="28"/>
                <w:szCs w:val="28"/>
              </w:rPr>
              <w:t>面板AP</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核心交换机（大</w:t>
            </w:r>
            <w:r>
              <w:rPr>
                <w:rFonts w:hint="eastAsia" w:ascii="仿宋" w:hAnsi="仿宋" w:eastAsia="仿宋" w:cs="仿宋"/>
                <w:color w:val="000000"/>
                <w:kern w:val="0"/>
                <w:sz w:val="28"/>
                <w:szCs w:val="28"/>
                <w:lang w:val="en-US" w:eastAsia="zh-CN"/>
              </w:rPr>
              <w:t>型学校</w:t>
            </w:r>
            <w:r>
              <w:rPr>
                <w:rFonts w:hint="eastAsia" w:ascii="仿宋" w:hAnsi="仿宋" w:eastAsia="仿宋" w:cs="仿宋"/>
                <w:color w:val="000000"/>
                <w:kern w:val="0"/>
                <w:sz w:val="28"/>
                <w:szCs w:val="28"/>
              </w:rPr>
              <w:t>）</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核心交换机（小</w:t>
            </w:r>
            <w:r>
              <w:rPr>
                <w:rFonts w:hint="eastAsia" w:ascii="仿宋" w:hAnsi="仿宋" w:eastAsia="仿宋" w:cs="仿宋"/>
                <w:color w:val="000000"/>
                <w:kern w:val="0"/>
                <w:sz w:val="28"/>
                <w:szCs w:val="28"/>
                <w:lang w:val="en-US" w:eastAsia="zh-CN"/>
              </w:rPr>
              <w:t>型学校</w:t>
            </w:r>
            <w:r>
              <w:rPr>
                <w:rFonts w:hint="eastAsia" w:ascii="仿宋" w:hAnsi="仿宋" w:eastAsia="仿宋" w:cs="仿宋"/>
                <w:color w:val="000000"/>
                <w:kern w:val="0"/>
                <w:sz w:val="28"/>
                <w:szCs w:val="28"/>
              </w:rPr>
              <w:t>）</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教育大数据管理平台</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打“▲”指标为实质性指标，负偏离将作无效标；其他参数指标，每负偏离一项，扣0.2-0.5分，共2分，扣完为止。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0-2分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优课直录</w:t>
            </w:r>
            <w:r>
              <w:rPr>
                <w:rFonts w:hint="eastAsia" w:ascii="仿宋" w:hAnsi="仿宋" w:eastAsia="仿宋" w:cs="仿宋"/>
                <w:color w:val="000000"/>
                <w:kern w:val="0"/>
                <w:sz w:val="28"/>
                <w:szCs w:val="28"/>
                <w:lang w:val="en-US" w:eastAsia="zh-CN"/>
              </w:rPr>
              <w:t>点</w:t>
            </w:r>
            <w:r>
              <w:rPr>
                <w:rFonts w:hint="eastAsia" w:ascii="仿宋" w:hAnsi="仿宋" w:eastAsia="仿宋" w:cs="仿宋"/>
                <w:color w:val="000000"/>
                <w:kern w:val="0"/>
                <w:sz w:val="28"/>
                <w:szCs w:val="28"/>
              </w:rPr>
              <w:t>播平台</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1195"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后勤管理软件平台</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“▲”指标为实质性指标，负偏离将作无效标；其他参数指标，每负偏离一项，扣0.2-0.5分，共1分，扣完为止。</w:t>
            </w:r>
          </w:p>
        </w:tc>
        <w:tc>
          <w:tcPr>
            <w:tcW w:w="816" w:type="dxa"/>
            <w:tcBorders>
              <w:top w:val="single" w:color="auto" w:sz="4" w:space="0"/>
              <w:left w:val="single" w:color="auto" w:sz="4" w:space="0"/>
              <w:bottom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0-1分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vMerge w:val="continue"/>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bottom w:val="single" w:color="auto" w:sz="4" w:space="0"/>
              <w:right w:val="single" w:color="auto" w:sz="4" w:space="0"/>
            </w:tcBorders>
          </w:tcPr>
          <w:p>
            <w:pPr>
              <w:widowControl/>
              <w:rPr>
                <w:rFonts w:ascii="仿宋" w:hAnsi="仿宋" w:eastAsia="仿宋" w:cs="仿宋"/>
                <w:sz w:val="28"/>
                <w:szCs w:val="28"/>
              </w:rPr>
            </w:pPr>
            <w:r>
              <w:rPr>
                <w:rFonts w:hint="eastAsia" w:ascii="仿宋" w:hAnsi="仿宋" w:eastAsia="仿宋" w:cs="仿宋"/>
                <w:color w:val="000000"/>
                <w:kern w:val="0"/>
                <w:sz w:val="28"/>
                <w:szCs w:val="28"/>
              </w:rPr>
              <w:t>综合布线含六类线，所需24口交换机，24口POE交换机，机柜、桥架、面板、PVC套管及其他集成材料</w:t>
            </w:r>
          </w:p>
        </w:tc>
        <w:tc>
          <w:tcPr>
            <w:tcW w:w="4944" w:type="dxa"/>
            <w:tcBorders>
              <w:top w:val="single" w:color="auto" w:sz="4" w:space="0"/>
              <w:left w:val="single" w:color="auto" w:sz="4" w:space="0"/>
              <w:bottom w:val="single" w:color="auto" w:sz="4" w:space="0"/>
              <w:right w:val="single" w:color="auto" w:sz="4" w:space="0"/>
            </w:tcBorders>
          </w:tcPr>
          <w:p>
            <w:pPr>
              <w:pStyle w:val="24"/>
              <w:spacing w:line="360" w:lineRule="exact"/>
              <w:ind w:firstLine="0"/>
              <w:jc w:val="left"/>
              <w:rPr>
                <w:rFonts w:ascii="仿宋_GB2312" w:eastAsia="仿宋_GB2312"/>
                <w:szCs w:val="28"/>
              </w:rPr>
            </w:pPr>
            <w:r>
              <w:rPr>
                <w:rFonts w:hint="eastAsia" w:ascii="仿宋_GB2312" w:eastAsia="仿宋_GB2312"/>
                <w:szCs w:val="28"/>
              </w:rPr>
              <w:t>打“▲”指标为实质性指标，负偏离将作无效标；其他参数指标，每负偏离一项，扣0.2-0.5分，共5分，扣完为止</w:t>
            </w:r>
          </w:p>
        </w:tc>
        <w:tc>
          <w:tcPr>
            <w:tcW w:w="816" w:type="dxa"/>
            <w:tcBorders>
              <w:top w:val="single" w:color="auto" w:sz="4" w:space="0"/>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r>
              <w:rPr>
                <w:rFonts w:hint="eastAsia" w:ascii="仿宋_GB2312" w:eastAsia="仿宋_GB2312"/>
                <w:szCs w:val="28"/>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1162" w:type="dxa"/>
            <w:tcBorders>
              <w:left w:val="single" w:color="auto" w:sz="4" w:space="0"/>
              <w:right w:val="single" w:color="auto" w:sz="4" w:space="0"/>
            </w:tcBorders>
            <w:vAlign w:val="center"/>
          </w:tcPr>
          <w:p>
            <w:pPr>
              <w:pStyle w:val="24"/>
              <w:spacing w:before="156" w:line="320" w:lineRule="exact"/>
              <w:ind w:firstLine="0"/>
              <w:jc w:val="left"/>
              <w:rPr>
                <w:rFonts w:ascii="仿宋_GB2312" w:eastAsia="仿宋_GB2312"/>
                <w:szCs w:val="28"/>
              </w:rPr>
            </w:pPr>
          </w:p>
        </w:tc>
        <w:tc>
          <w:tcPr>
            <w:tcW w:w="2422" w:type="dxa"/>
            <w:tcBorders>
              <w:top w:val="single" w:color="auto" w:sz="4" w:space="0"/>
              <w:left w:val="single" w:color="auto" w:sz="4" w:space="0"/>
              <w:right w:val="single" w:color="auto" w:sz="4" w:space="0"/>
            </w:tcBorders>
            <w:vAlign w:val="center"/>
          </w:tcPr>
          <w:p>
            <w:pPr>
              <w:pStyle w:val="24"/>
              <w:spacing w:before="156" w:line="360" w:lineRule="exact"/>
              <w:ind w:left="0" w:leftChars="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bidi="ar-SA"/>
              </w:rPr>
              <w:t>备品备件情况</w:t>
            </w:r>
          </w:p>
        </w:tc>
        <w:tc>
          <w:tcPr>
            <w:tcW w:w="4944" w:type="dxa"/>
            <w:tcBorders>
              <w:top w:val="single" w:color="auto" w:sz="4" w:space="0"/>
              <w:left w:val="single" w:color="auto" w:sz="4" w:space="0"/>
              <w:right w:val="single" w:color="auto" w:sz="4" w:space="0"/>
            </w:tcBorders>
            <w:vAlign w:val="top"/>
          </w:tcPr>
          <w:p>
            <w:pPr>
              <w:widowControl/>
              <w:snapToGrid w:val="0"/>
              <w:spacing w:line="380" w:lineRule="exact"/>
              <w:jc w:val="center"/>
              <w:rPr>
                <w:rFonts w:hint="eastAsia" w:ascii="仿宋_GB2312" w:eastAsia="仿宋_GB2312"/>
                <w:szCs w:val="28"/>
              </w:rPr>
            </w:pPr>
            <w:r>
              <w:rPr>
                <w:rFonts w:hint="eastAsia" w:ascii="FangSong_GB2312" w:eastAsia="FangSong_GB2312"/>
                <w:sz w:val="28"/>
                <w:szCs w:val="28"/>
                <w:lang w:val="en-US" w:eastAsia="zh-CN"/>
              </w:rPr>
              <w:t>评委根据</w:t>
            </w:r>
            <w:r>
              <w:rPr>
                <w:rFonts w:hint="eastAsia" w:ascii="FangSong_GB2312" w:eastAsia="FangSong_GB2312"/>
                <w:sz w:val="28"/>
                <w:szCs w:val="28"/>
              </w:rPr>
              <w:t>货物配件、附件、辅助材料、备份机比例、可选件情况等</w:t>
            </w:r>
            <w:r>
              <w:rPr>
                <w:rFonts w:hint="eastAsia" w:ascii="FangSong_GB2312" w:eastAsia="FangSong_GB2312"/>
                <w:sz w:val="28"/>
                <w:szCs w:val="28"/>
                <w:lang w:val="en-US" w:eastAsia="zh-CN"/>
              </w:rPr>
              <w:t>打分</w:t>
            </w:r>
            <w:r>
              <w:rPr>
                <w:rFonts w:hint="eastAsia" w:ascii="FangSong_GB2312" w:eastAsia="FangSong_GB2312"/>
                <w:sz w:val="28"/>
                <w:szCs w:val="28"/>
              </w:rPr>
              <w:t>。本项最高得</w:t>
            </w:r>
            <w:r>
              <w:rPr>
                <w:rFonts w:hint="eastAsia" w:ascii="FangSong_GB2312" w:eastAsia="FangSong_GB2312"/>
                <w:sz w:val="28"/>
                <w:szCs w:val="28"/>
                <w:lang w:val="en-US" w:eastAsia="zh-CN"/>
              </w:rPr>
              <w:t>1</w:t>
            </w:r>
            <w:r>
              <w:rPr>
                <w:rFonts w:hint="eastAsia" w:ascii="FangSong_GB2312" w:eastAsia="FangSong_GB2312"/>
                <w:sz w:val="28"/>
                <w:szCs w:val="28"/>
              </w:rPr>
              <w:t>分。</w:t>
            </w:r>
          </w:p>
        </w:tc>
        <w:tc>
          <w:tcPr>
            <w:tcW w:w="816" w:type="dxa"/>
            <w:tcBorders>
              <w:top w:val="single" w:color="auto" w:sz="4" w:space="0"/>
              <w:left w:val="single" w:color="auto" w:sz="4" w:space="0"/>
              <w:right w:val="single" w:color="auto" w:sz="4" w:space="0"/>
            </w:tcBorders>
            <w:vAlign w:val="center"/>
          </w:tcPr>
          <w:p>
            <w:pPr>
              <w:pStyle w:val="24"/>
              <w:spacing w:before="156" w:line="320" w:lineRule="exact"/>
              <w:ind w:firstLine="0"/>
              <w:jc w:val="left"/>
              <w:rPr>
                <w:rFonts w:hint="eastAsia" w:ascii="FangSong_GB2312" w:eastAsia="FangSong_GB2312"/>
                <w:szCs w:val="28"/>
              </w:rPr>
            </w:pPr>
            <w:r>
              <w:rPr>
                <w:rFonts w:hint="eastAsia" w:ascii="FangSong_GB2312" w:eastAsia="FangSong_GB2312"/>
                <w:szCs w:val="28"/>
              </w:rPr>
              <w:t>0-</w:t>
            </w:r>
            <w:r>
              <w:rPr>
                <w:rFonts w:hint="eastAsia" w:ascii="FangSong_GB2312" w:eastAsia="FangSong_GB2312"/>
                <w:szCs w:val="28"/>
                <w:lang w:val="en-US" w:eastAsia="zh-CN"/>
              </w:rPr>
              <w:t>1</w:t>
            </w:r>
            <w:r>
              <w:rPr>
                <w:rFonts w:hint="eastAsia" w:ascii="FangSong_GB2312" w:eastAsia="FangSong_GB2312"/>
                <w:szCs w:val="28"/>
              </w:rPr>
              <w:t>分</w:t>
            </w:r>
          </w:p>
          <w:p>
            <w:pPr>
              <w:pStyle w:val="24"/>
              <w:spacing w:before="156" w:line="320" w:lineRule="exact"/>
              <w:ind w:firstLine="0" w:firstLineChars="0"/>
              <w:jc w:val="left"/>
              <w:rPr>
                <w:rFonts w:hint="eastAsia" w:ascii="仿宋_GB2312" w:eastAsia="仿宋_GB2312"/>
                <w:szCs w:val="28"/>
              </w:rPr>
            </w:pP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售后服务、培训及服务承诺12分</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rPr>
                <w:rFonts w:ascii="仿宋_GB2312" w:eastAsia="仿宋_GB2312"/>
                <w:sz w:val="28"/>
                <w:szCs w:val="28"/>
              </w:rPr>
            </w:pPr>
            <w:r>
              <w:rPr>
                <w:rFonts w:hint="eastAsia" w:ascii="仿宋_GB2312" w:eastAsia="仿宋_GB2312"/>
                <w:sz w:val="28"/>
                <w:szCs w:val="28"/>
              </w:rPr>
              <w:t>售后服务</w:t>
            </w:r>
          </w:p>
        </w:tc>
        <w:tc>
          <w:tcPr>
            <w:tcW w:w="49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ascii="仿宋_GB2312" w:eastAsia="仿宋_GB2312"/>
                <w:sz w:val="28"/>
                <w:szCs w:val="28"/>
              </w:rPr>
            </w:pPr>
            <w:r>
              <w:rPr>
                <w:rFonts w:hint="eastAsia" w:ascii="仿宋_GB2312" w:eastAsia="仿宋_GB2312"/>
                <w:sz w:val="28"/>
                <w:szCs w:val="28"/>
              </w:rPr>
              <w:t>1、</w:t>
            </w:r>
            <w:r>
              <w:rPr>
                <w:rFonts w:hint="eastAsia" w:ascii="仿宋_GB2312" w:eastAsia="仿宋_GB2312" w:cs="宋体"/>
                <w:sz w:val="28"/>
                <w:szCs w:val="32"/>
              </w:rPr>
              <w:t>投保人提供科学、合理、具体的免费保修及售后服务措施和方案（包括服务措施、产品质量保证、回访等）的得2-3分；投保人提供“三包”基本完整的，免费保修及售后服务措施和方案基本合理的（包括质保年限、服务措施、产品质量保证、回访等）的得0.5-1.5分；投保人未提供详细完整的“三包”，免费保修及售后服务措施和方案不合理的（包括质保年限、服务措施、产品质量保证、回访、技术培训等）的不得分。（0-3分）</w:t>
            </w:r>
          </w:p>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80" w:lineRule="exact"/>
              <w:ind w:right="25"/>
              <w:jc w:val="left"/>
              <w:rPr>
                <w:rFonts w:ascii="仿宋_GB2312" w:eastAsia="仿宋_GB2312"/>
                <w:sz w:val="28"/>
                <w:szCs w:val="28"/>
              </w:rPr>
            </w:pPr>
            <w:r>
              <w:rPr>
                <w:rFonts w:hint="eastAsia" w:ascii="仿宋_GB2312" w:eastAsia="仿宋_GB2312"/>
                <w:sz w:val="28"/>
                <w:szCs w:val="28"/>
              </w:rPr>
              <w:t>2、投标人在衢州市设有生产基地或售后服务网点的得2分；在衢州市外浙江省内设有生产基地或售后服务网点的得1分；其他不得分；售后服务网点须提供有效的营业执照复印件及授权书。（0-2分）</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left="-136" w:leftChars="-65" w:right="-164" w:rightChars="-78"/>
              <w:jc w:val="center"/>
              <w:rPr>
                <w:rFonts w:ascii="仿宋_GB2312" w:eastAsia="仿宋_GB2312"/>
                <w:sz w:val="28"/>
                <w:szCs w:val="28"/>
              </w:rPr>
            </w:pPr>
            <w:r>
              <w:rPr>
                <w:rFonts w:hint="eastAsia" w:ascii="仿宋_GB2312" w:eastAsia="仿宋_GB2312"/>
                <w:sz w:val="28"/>
                <w:szCs w:val="28"/>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vMerge w:val="continue"/>
            <w:tcBorders>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培训</w:t>
            </w:r>
          </w:p>
        </w:tc>
        <w:tc>
          <w:tcPr>
            <w:tcW w:w="4944"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rPr>
                <w:rFonts w:ascii="仿宋_GB2312" w:eastAsia="仿宋_GB2312"/>
                <w:sz w:val="28"/>
                <w:szCs w:val="28"/>
              </w:rPr>
            </w:pPr>
            <w:r>
              <w:rPr>
                <w:rFonts w:hint="eastAsia" w:ascii="仿宋_GB2312" w:eastAsia="仿宋_GB2312"/>
                <w:sz w:val="28"/>
                <w:szCs w:val="28"/>
              </w:rPr>
              <w:t>投标人提供的人员培训计划合理规范，培训课程具体丰富，师资配备合理的得2.5-3分；提供的人员培训计划基本合理规范，培训课程简单，师资配备基本合理的得1-2分；提供的人员培训计划不合理规范，培训课程空洞单一，师资配备不合理的不得分。</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left="-136" w:leftChars="-65" w:right="-164" w:rightChars="-78" w:firstLine="140" w:firstLineChars="50"/>
              <w:jc w:val="center"/>
              <w:rPr>
                <w:rFonts w:ascii="仿宋_GB2312" w:eastAsia="仿宋_GB2312"/>
                <w:sz w:val="28"/>
                <w:szCs w:val="28"/>
              </w:rPr>
            </w:pPr>
            <w:r>
              <w:rPr>
                <w:rFonts w:hint="eastAsia" w:ascii="仿宋_GB2312" w:eastAsia="仿宋_GB2312"/>
                <w:sz w:val="28"/>
                <w:szCs w:val="28"/>
              </w:rPr>
              <w:t>0-3分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1162" w:type="dxa"/>
            <w:vMerge w:val="continue"/>
            <w:tcBorders>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p>
        </w:tc>
        <w:tc>
          <w:tcPr>
            <w:tcW w:w="242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80" w:lineRule="exact"/>
              <w:jc w:val="center"/>
              <w:rPr>
                <w:rFonts w:ascii="仿宋_GB2312" w:eastAsia="仿宋_GB2312"/>
                <w:sz w:val="28"/>
                <w:szCs w:val="28"/>
              </w:rPr>
            </w:pPr>
            <w:r>
              <w:rPr>
                <w:rFonts w:hint="eastAsia" w:ascii="仿宋_GB2312" w:eastAsia="仿宋_GB2312"/>
                <w:sz w:val="28"/>
                <w:szCs w:val="28"/>
              </w:rPr>
              <w:t>原厂质保承诺函</w:t>
            </w:r>
          </w:p>
        </w:tc>
        <w:tc>
          <w:tcPr>
            <w:tcW w:w="4944" w:type="dxa"/>
            <w:tcBorders>
              <w:top w:val="single" w:color="auto" w:sz="4" w:space="0"/>
              <w:left w:val="single" w:color="auto" w:sz="4" w:space="0"/>
              <w:right w:val="single" w:color="auto" w:sz="4" w:space="0"/>
            </w:tcBorders>
            <w:vAlign w:val="center"/>
          </w:tcPr>
          <w:p>
            <w:pPr>
              <w:widowControl/>
              <w:snapToGrid w:val="0"/>
              <w:spacing w:line="380" w:lineRule="exact"/>
              <w:rPr>
                <w:rFonts w:ascii="仿宋_GB2312" w:eastAsia="仿宋_GB2312"/>
                <w:sz w:val="28"/>
                <w:szCs w:val="28"/>
              </w:rPr>
            </w:pPr>
            <w:r>
              <w:rPr>
                <w:rFonts w:hint="eastAsia" w:ascii="仿宋_GB2312" w:eastAsia="仿宋_GB2312"/>
                <w:sz w:val="28"/>
                <w:szCs w:val="28"/>
              </w:rPr>
              <w:t>投标人能提供（服务器、网络及无线网络、安全产品、校园监控）原厂三年质保承诺函复印件，每提供一个得0.5分，提供原厂五年质保承诺函复印件，每提供一个得1分最高得4分，原件带至开标现场备查，否则不得分。</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left="-136" w:leftChars="-65" w:right="-164" w:rightChars="-78" w:firstLine="140" w:firstLineChars="50"/>
              <w:jc w:val="center"/>
              <w:rPr>
                <w:rFonts w:ascii="仿宋_GB2312" w:eastAsia="仿宋_GB2312"/>
                <w:sz w:val="28"/>
                <w:szCs w:val="28"/>
              </w:rPr>
            </w:pPr>
            <w:r>
              <w:rPr>
                <w:rFonts w:hint="eastAsia" w:ascii="仿宋_GB2312" w:eastAsia="仿宋_GB2312"/>
                <w:sz w:val="28"/>
                <w:szCs w:val="28"/>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rPr>
                <w:rFonts w:ascii="仿宋_GB2312" w:eastAsia="仿宋_GB2312" w:cs="宋体"/>
                <w:sz w:val="28"/>
                <w:szCs w:val="32"/>
              </w:rPr>
            </w:pPr>
            <w:r>
              <w:rPr>
                <w:rFonts w:hint="eastAsia" w:ascii="仿宋_GB2312" w:eastAsia="仿宋_GB2312"/>
                <w:sz w:val="28"/>
                <w:szCs w:val="28"/>
              </w:rPr>
              <w:t>投标文件质量1分</w:t>
            </w: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仿宋_GB2312" w:eastAsia="仿宋_GB2312" w:cs="宋体"/>
                <w:sz w:val="28"/>
                <w:szCs w:val="32"/>
              </w:rPr>
            </w:pPr>
            <w:r>
              <w:rPr>
                <w:rFonts w:hint="eastAsia" w:ascii="仿宋_GB2312" w:eastAsia="仿宋_GB2312"/>
                <w:sz w:val="28"/>
                <w:szCs w:val="28"/>
              </w:rPr>
              <w:t>投标文件质量</w:t>
            </w:r>
          </w:p>
        </w:tc>
        <w:tc>
          <w:tcPr>
            <w:tcW w:w="4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left"/>
              <w:rPr>
                <w:rFonts w:ascii="仿宋_GB2312" w:eastAsia="仿宋_GB2312" w:cs="宋体"/>
                <w:sz w:val="28"/>
                <w:szCs w:val="32"/>
              </w:rPr>
            </w:pPr>
            <w:r>
              <w:rPr>
                <w:rFonts w:hint="eastAsia" w:ascii="仿宋_GB2312" w:eastAsia="仿宋_GB2312"/>
                <w:sz w:val="28"/>
                <w:szCs w:val="28"/>
              </w:rPr>
              <w:t>投标文件内容完整、条理清晰、简洁明了、外观整齐的得1分；投标文件内容基本完整、条理基本清晰、排序杂乱的得0.5分；投标文件内容不完整、条理不清晰、未进行排序的得不得分。</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spacing w:line="380" w:lineRule="exact"/>
              <w:ind w:left="-136" w:leftChars="-65" w:right="-164" w:rightChars="-78" w:firstLine="140" w:firstLineChars="50"/>
              <w:jc w:val="center"/>
              <w:rPr>
                <w:rFonts w:ascii="仿宋_GB2312" w:eastAsia="仿宋_GB2312"/>
                <w:sz w:val="28"/>
                <w:szCs w:val="28"/>
              </w:rPr>
            </w:pPr>
            <w:r>
              <w:rPr>
                <w:rFonts w:hint="eastAsia" w:ascii="仿宋_GB2312" w:eastAsia="仿宋_GB2312"/>
                <w:sz w:val="28"/>
                <w:szCs w:val="28"/>
              </w:rPr>
              <w:t>0-1分</w:t>
            </w:r>
          </w:p>
        </w:tc>
      </w:tr>
    </w:tbl>
    <w:p>
      <w:pPr>
        <w:autoSpaceDE w:val="0"/>
        <w:autoSpaceDN w:val="0"/>
        <w:adjustRightInd w:val="0"/>
        <w:snapToGrid w:val="0"/>
        <w:spacing w:line="500" w:lineRule="exact"/>
        <w:ind w:left="425"/>
        <w:rPr>
          <w:rFonts w:ascii="仿宋_GB2312" w:eastAsia="仿宋_GB2312" w:cs="宋体"/>
          <w:b/>
          <w:bCs/>
          <w:sz w:val="28"/>
          <w:szCs w:val="28"/>
          <w:lang w:val="zh-CN"/>
        </w:rPr>
      </w:pPr>
      <w:bookmarkStart w:id="78" w:name="_Toc356371476"/>
      <w:r>
        <w:rPr>
          <w:rFonts w:hint="eastAsia" w:ascii="仿宋_GB2312" w:eastAsia="仿宋_GB2312" w:cs="宋体"/>
          <w:b/>
          <w:bCs/>
          <w:sz w:val="28"/>
          <w:szCs w:val="28"/>
          <w:lang w:val="zh-CN"/>
        </w:rPr>
        <w:t>五、开评标程序</w:t>
      </w:r>
      <w:bookmarkEnd w:id="78"/>
    </w:p>
    <w:p>
      <w:pPr>
        <w:autoSpaceDE w:val="0"/>
        <w:autoSpaceDN w:val="0"/>
        <w:adjustRightInd w:val="0"/>
        <w:snapToGrid w:val="0"/>
        <w:spacing w:line="420" w:lineRule="exact"/>
        <w:ind w:firstLine="560" w:firstLineChars="200"/>
        <w:rPr>
          <w:rFonts w:ascii="仿宋_GB2312" w:hAnsi="Times New Roman" w:eastAsia="仿宋_GB2312" w:cs="宋体"/>
          <w:b/>
          <w:bCs/>
          <w:color w:val="000000"/>
          <w:sz w:val="28"/>
          <w:szCs w:val="28"/>
          <w:lang w:val="zh-CN"/>
        </w:rPr>
      </w:pPr>
      <w:r>
        <w:rPr>
          <w:rFonts w:hint="eastAsia" w:ascii="仿宋_GB2312" w:hAnsi="Times New Roman" w:eastAsia="仿宋_GB2312"/>
          <w:color w:val="000000"/>
          <w:sz w:val="28"/>
          <w:szCs w:val="28"/>
        </w:rPr>
        <w:t>8.主持人宣布投标截止时间，截止时间以国家授时中心标准时间为准，宣布招标会议开始；</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9.公证处确认供应商法定代表人或授权委托代理人资格、到场及投标文件递交等情况；</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10.公证处检查各供应商的标函密封、标记情况；</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11.由公证处众启封各供应商的资格审查文件，送采购人代表进行审查。</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 xml:space="preserve">12.由公证处宣布资格审查结果并按送达标书的逆顺序当众启封审查合格的供应商的技术商务文件，送评标室给评标小组独立评标，如有疑问，可对投标人进行询标，投标人要向评标委员会澄清有关问题，并最终以书面形式进行答复。评委对各供应商打资信及技术分。 </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13.由公证处按顺序拆封各供应商的报价文件，并宣布各供应商报价，并送评标委员会进行审查。如有疑问，可对投标人进行询标，投标人要向评标委员会澄清有关问题，并最终以书面形式进行答复。</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14.最后由公证员计算出各供应商的报价得分，在现场监督人员的监督下，进行复核，然后加计总分后当场公布各供应商的各项得分及总分，评标委员会按评标办法和细则规定推荐中标候选人。</w:t>
      </w:r>
    </w:p>
    <w:p>
      <w:pPr>
        <w:autoSpaceDE w:val="0"/>
        <w:autoSpaceDN w:val="0"/>
        <w:adjustRightInd w:val="0"/>
        <w:snapToGrid w:val="0"/>
        <w:spacing w:line="420" w:lineRule="exact"/>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15.公证员宣读公证词；</w:t>
      </w:r>
    </w:p>
    <w:p>
      <w:pPr>
        <w:autoSpaceDE w:val="0"/>
        <w:autoSpaceDN w:val="0"/>
        <w:adjustRightInd w:val="0"/>
        <w:snapToGrid w:val="0"/>
        <w:spacing w:line="420" w:lineRule="exact"/>
        <w:ind w:firstLine="560" w:firstLineChars="200"/>
        <w:rPr>
          <w:rFonts w:ascii="Times New Roman" w:hAnsi="Times New Roman"/>
          <w:color w:val="000000"/>
          <w:sz w:val="28"/>
          <w:szCs w:val="28"/>
        </w:rPr>
      </w:pPr>
      <w:r>
        <w:rPr>
          <w:rFonts w:hint="eastAsia" w:ascii="仿宋_GB2312" w:hAnsi="Times New Roman" w:eastAsia="仿宋_GB2312"/>
          <w:color w:val="000000"/>
          <w:sz w:val="28"/>
          <w:szCs w:val="28"/>
        </w:rPr>
        <w:t>16.开标会结束。</w:t>
      </w:r>
    </w:p>
    <w:p>
      <w:pPr>
        <w:autoSpaceDE w:val="0"/>
        <w:autoSpaceDN w:val="0"/>
        <w:adjustRightInd w:val="0"/>
        <w:spacing w:line="540" w:lineRule="exact"/>
        <w:rPr>
          <w:sz w:val="28"/>
          <w:szCs w:val="28"/>
        </w:rPr>
      </w:pP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KaiTi_GB2312">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A Bk BT">
    <w:altName w:val="Arial"/>
    <w:panose1 w:val="00000000000000000000"/>
    <w:charset w:val="00"/>
    <w:family w:val="swiss"/>
    <w:pitch w:val="default"/>
    <w:sig w:usb0="00000000" w:usb1="00000000" w:usb2="00000000" w:usb3="00000000" w:csb0="0000001B" w:csb1="00000000"/>
  </w:font>
  <w:font w:name="Univers">
    <w:altName w:val="Arial"/>
    <w:panose1 w:val="00000000000000000000"/>
    <w:charset w:val="00"/>
    <w:family w:val="swiss"/>
    <w:pitch w:val="default"/>
    <w:sig w:usb0="00000000" w:usb1="00000000" w:usb2="00000000" w:usb3="00000000" w:csb0="0000000F" w:csb1="00000000"/>
  </w:font>
  <w:font w:name="Book Antiqua">
    <w:panose1 w:val="020406020503050303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Style w:val="66"/>
      </w:rPr>
    </w:pPr>
    <w:r>
      <w:rPr>
        <w:rFonts w:hint="eastAsia"/>
      </w:rPr>
      <w:t>第</w:t>
    </w:r>
    <w:r>
      <w:fldChar w:fldCharType="begin"/>
    </w:r>
    <w:r>
      <w:rPr>
        <w:rStyle w:val="66"/>
      </w:rPr>
      <w:instrText xml:space="preserve"> PAGE </w:instrText>
    </w:r>
    <w:r>
      <w:fldChar w:fldCharType="separate"/>
    </w:r>
    <w:r>
      <w:rPr>
        <w:rStyle w:val="66"/>
      </w:rPr>
      <w:t>31</w:t>
    </w:r>
    <w:r>
      <w:fldChar w:fldCharType="end"/>
    </w:r>
    <w:r>
      <w:rPr>
        <w:rStyle w:val="66"/>
        <w:rFonts w:hint="eastAsia"/>
      </w:rPr>
      <w:t>页 共</w:t>
    </w:r>
    <w:r>
      <w:fldChar w:fldCharType="begin"/>
    </w:r>
    <w:r>
      <w:rPr>
        <w:rStyle w:val="66"/>
      </w:rPr>
      <w:instrText xml:space="preserve"> NUMPAGES </w:instrText>
    </w:r>
    <w:r>
      <w:fldChar w:fldCharType="separate"/>
    </w:r>
    <w:r>
      <w:rPr>
        <w:rStyle w:val="66"/>
      </w:rPr>
      <w:t>109</w:t>
    </w:r>
    <w:r>
      <w:fldChar w:fldCharType="end"/>
    </w:r>
    <w:r>
      <w:rPr>
        <w:rStyle w:val="66"/>
        <w:rFonts w:hint="eastAsia"/>
      </w:rPr>
      <w:t>页</w:t>
    </w:r>
  </w:p>
  <w:p>
    <w:pPr>
      <w:pStyle w:val="38"/>
      <w:pBdr>
        <w:top w:val="single" w:color="auto" w:sz="4" w:space="1"/>
      </w:pBdr>
      <w:jc w:val="center"/>
    </w:pPr>
    <w:r>
      <w:rPr>
        <w:rFonts w:hint="eastAsia"/>
      </w:rPr>
      <w:t xml:space="preserve">衢州市衢江区政府采购中心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none" w:color="auto" w:sz="0" w:space="0"/>
        <w:left w:val="none" w:color="auto" w:sz="0" w:space="0"/>
        <w:bottom w:val="single" w:color="auto" w:sz="4" w:space="1"/>
        <w:right w:val="none" w:color="auto" w:sz="0" w:space="0"/>
      </w:pBdr>
      <w:jc w:val="center"/>
    </w:pPr>
    <w:r>
      <w:rPr>
        <w:rFonts w:hint="eastAsia"/>
      </w:rPr>
      <w:t>衢江区智慧教育网络监控系统采购项目公开招标采购文件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5EBB7"/>
    <w:multiLevelType w:val="singleLevel"/>
    <w:tmpl w:val="9915EBB7"/>
    <w:lvl w:ilvl="0" w:tentative="0">
      <w:start w:val="1"/>
      <w:numFmt w:val="decimal"/>
      <w:lvlText w:val="%1."/>
      <w:lvlJc w:val="left"/>
      <w:pPr>
        <w:tabs>
          <w:tab w:val="left" w:pos="312"/>
        </w:tabs>
      </w:pPr>
    </w:lvl>
  </w:abstractNum>
  <w:abstractNum w:abstractNumId="1">
    <w:nsid w:val="B894DD66"/>
    <w:multiLevelType w:val="multilevel"/>
    <w:tmpl w:val="B894DD66"/>
    <w:lvl w:ilvl="0" w:tentative="0">
      <w:start w:val="9"/>
      <w:numFmt w:val="decimal"/>
      <w:suff w:val="space"/>
      <w:lvlText w:val="%1、"/>
      <w:lvlJc w:val="left"/>
      <w:pPr>
        <w:ind w:left="425" w:firstLine="142"/>
      </w:pPr>
      <w:rPr>
        <w:rFonts w:hint="default" w:ascii="宋体" w:hAnsi="宋体" w:eastAsia="宋体" w:cs="宋体"/>
      </w:rPr>
    </w:lvl>
    <w:lvl w:ilvl="1" w:tentative="0">
      <w:start w:val="43"/>
      <w:numFmt w:val="decimal"/>
      <w:suff w:val="space"/>
      <w:lvlText w:val="%2."/>
      <w:lvlJc w:val="left"/>
      <w:pPr>
        <w:tabs>
          <w:tab w:val="left" w:pos="420"/>
        </w:tabs>
        <w:ind w:left="0" w:firstLine="567"/>
      </w:pPr>
      <w:rPr>
        <w:rFonts w:hint="default" w:ascii="宋体" w:hAnsi="宋体" w:eastAsia="宋体" w:cs="宋体"/>
        <w:b w:val="0"/>
        <w:i w:val="0"/>
      </w:rPr>
    </w:lvl>
    <w:lvl w:ilvl="2" w:tentative="0">
      <w:start w:val="2"/>
      <w:numFmt w:val="decimal"/>
      <w:suff w:val="nothing"/>
      <w:lvlText w:val="%2.%3"/>
      <w:lvlJc w:val="left"/>
      <w:pPr>
        <w:tabs>
          <w:tab w:val="left" w:pos="0"/>
        </w:tabs>
        <w:ind w:left="0" w:firstLine="567"/>
      </w:pPr>
      <w:rPr>
        <w:rFonts w:hint="default"/>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C516C31A"/>
    <w:multiLevelType w:val="singleLevel"/>
    <w:tmpl w:val="C516C31A"/>
    <w:lvl w:ilvl="0" w:tentative="0">
      <w:start w:val="2"/>
      <w:numFmt w:val="decimal"/>
      <w:suff w:val="nothing"/>
      <w:lvlText w:val="%1、"/>
      <w:lvlJc w:val="left"/>
    </w:lvl>
  </w:abstractNum>
  <w:abstractNum w:abstractNumId="3">
    <w:nsid w:val="CB1F8E51"/>
    <w:multiLevelType w:val="singleLevel"/>
    <w:tmpl w:val="CB1F8E51"/>
    <w:lvl w:ilvl="0" w:tentative="0">
      <w:start w:val="32"/>
      <w:numFmt w:val="decimal"/>
      <w:suff w:val="nothing"/>
      <w:lvlText w:val="%1．"/>
      <w:lvlJc w:val="left"/>
      <w:pPr>
        <w:ind w:left="0" w:firstLine="403"/>
      </w:pPr>
      <w:rPr>
        <w:rFonts w:hint="default"/>
      </w:rPr>
    </w:lvl>
  </w:abstractNum>
  <w:abstractNum w:abstractNumId="4">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5">
    <w:nsid w:val="0000000A"/>
    <w:multiLevelType w:val="multilevel"/>
    <w:tmpl w:val="0000000A"/>
    <w:lvl w:ilvl="0" w:tentative="0">
      <w:start w:val="1"/>
      <w:numFmt w:val="none"/>
      <w:pStyle w:val="182"/>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6">
    <w:nsid w:val="0000000B"/>
    <w:multiLevelType w:val="multilevel"/>
    <w:tmpl w:val="0000000B"/>
    <w:lvl w:ilvl="0" w:tentative="0">
      <w:start w:val="1"/>
      <w:numFmt w:val="bullet"/>
      <w:pStyle w:val="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24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5"/>
    <w:multiLevelType w:val="singleLevel"/>
    <w:tmpl w:val="00000015"/>
    <w:lvl w:ilvl="0" w:tentative="0">
      <w:start w:val="1"/>
      <w:numFmt w:val="decimal"/>
      <w:pStyle w:val="227"/>
      <w:lvlText w:val="%1．"/>
      <w:lvlJc w:val="left"/>
      <w:pPr>
        <w:tabs>
          <w:tab w:val="left" w:pos="360"/>
        </w:tabs>
        <w:ind w:left="245" w:hanging="245"/>
      </w:pPr>
      <w:rPr>
        <w:rFonts w:ascii="Times New Roman" w:hAnsi="Times New Roman" w:eastAsia="Times New Roman" w:cs="Times New Roman"/>
      </w:rPr>
    </w:lvl>
  </w:abstractNum>
  <w:abstractNum w:abstractNumId="9">
    <w:nsid w:val="00000016"/>
    <w:multiLevelType w:val="multilevel"/>
    <w:tmpl w:val="00000016"/>
    <w:lvl w:ilvl="0" w:tentative="0">
      <w:start w:val="1"/>
      <w:numFmt w:val="decimal"/>
      <w:pStyle w:val="27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8"/>
    <w:multiLevelType w:val="multilevel"/>
    <w:tmpl w:val="00000018"/>
    <w:lvl w:ilvl="0" w:tentative="0">
      <w:start w:val="1"/>
      <w:numFmt w:val="bullet"/>
      <w:pStyle w:val="21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A"/>
    <w:multiLevelType w:val="multilevel"/>
    <w:tmpl w:val="0000001A"/>
    <w:lvl w:ilvl="0" w:tentative="0">
      <w:start w:val="1"/>
      <w:numFmt w:val="decimal"/>
      <w:pStyle w:val="235"/>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2">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256"/>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4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2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953B789"/>
    <w:multiLevelType w:val="singleLevel"/>
    <w:tmpl w:val="0953B789"/>
    <w:lvl w:ilvl="0" w:tentative="0">
      <w:start w:val="30"/>
      <w:numFmt w:val="decimal"/>
      <w:suff w:val="nothing"/>
      <w:lvlText w:val="%1．"/>
      <w:lvlJc w:val="left"/>
      <w:pPr>
        <w:tabs>
          <w:tab w:val="left" w:pos="0"/>
        </w:tabs>
        <w:ind w:left="82" w:firstLine="315"/>
      </w:pPr>
      <w:rPr>
        <w:rFonts w:hint="default" w:ascii="宋体" w:hAnsi="宋体" w:eastAsia="宋体" w:cs="宋体"/>
      </w:rPr>
    </w:lvl>
  </w:abstractNum>
  <w:abstractNum w:abstractNumId="16">
    <w:nsid w:val="1AA728CC"/>
    <w:multiLevelType w:val="multilevel"/>
    <w:tmpl w:val="1AA728CC"/>
    <w:lvl w:ilvl="0" w:tentative="0">
      <w:start w:val="1"/>
      <w:numFmt w:val="lowerLetter"/>
      <w:pStyle w:val="5"/>
      <w:lvlText w:val="%1)"/>
      <w:lvlJc w:val="left"/>
      <w:pPr>
        <w:ind w:left="420" w:hanging="420"/>
      </w:pPr>
    </w:lvl>
    <w:lvl w:ilvl="1" w:tentative="0">
      <w:start w:val="1"/>
      <w:numFmt w:val="lowerLetter"/>
      <w:pStyle w:val="207"/>
      <w:lvlText w:val="%2)"/>
      <w:lvlJc w:val="left"/>
      <w:pPr>
        <w:ind w:left="840" w:hanging="420"/>
      </w:pPr>
    </w:lvl>
    <w:lvl w:ilvl="2" w:tentative="0">
      <w:start w:val="1"/>
      <w:numFmt w:val="lowerRoman"/>
      <w:pStyle w:val="239"/>
      <w:lvlText w:val="%3."/>
      <w:lvlJc w:val="right"/>
      <w:pPr>
        <w:ind w:left="1260" w:hanging="420"/>
      </w:pPr>
    </w:lvl>
    <w:lvl w:ilvl="3" w:tentative="0">
      <w:start w:val="1"/>
      <w:numFmt w:val="decimal"/>
      <w:pStyle w:val="234"/>
      <w:lvlText w:val="%4."/>
      <w:lvlJc w:val="left"/>
      <w:pPr>
        <w:ind w:left="1680" w:hanging="420"/>
      </w:pPr>
    </w:lvl>
    <w:lvl w:ilvl="4" w:tentative="0">
      <w:start w:val="1"/>
      <w:numFmt w:val="lowerLetter"/>
      <w:pStyle w:val="228"/>
      <w:lvlText w:val="%5)"/>
      <w:lvlJc w:val="left"/>
      <w:pPr>
        <w:ind w:left="2100" w:hanging="420"/>
      </w:pPr>
    </w:lvl>
    <w:lvl w:ilvl="5" w:tentative="0">
      <w:start w:val="1"/>
      <w:numFmt w:val="lowerRoman"/>
      <w:pStyle w:val="253"/>
      <w:lvlText w:val="%6."/>
      <w:lvlJc w:val="right"/>
      <w:pPr>
        <w:ind w:left="2520" w:hanging="420"/>
      </w:pPr>
    </w:lvl>
    <w:lvl w:ilvl="6" w:tentative="0">
      <w:start w:val="1"/>
      <w:numFmt w:val="decimal"/>
      <w:pStyle w:val="238"/>
      <w:lvlText w:val="%7."/>
      <w:lvlJc w:val="left"/>
      <w:pPr>
        <w:ind w:left="2940" w:hanging="420"/>
      </w:pPr>
    </w:lvl>
    <w:lvl w:ilvl="7" w:tentative="0">
      <w:start w:val="1"/>
      <w:numFmt w:val="lowerLetter"/>
      <w:pStyle w:val="285"/>
      <w:lvlText w:val="%8)"/>
      <w:lvlJc w:val="left"/>
      <w:pPr>
        <w:ind w:left="3360" w:hanging="420"/>
      </w:pPr>
    </w:lvl>
    <w:lvl w:ilvl="8" w:tentative="0">
      <w:start w:val="1"/>
      <w:numFmt w:val="lowerRoman"/>
      <w:pStyle w:val="270"/>
      <w:lvlText w:val="%9."/>
      <w:lvlJc w:val="right"/>
      <w:pPr>
        <w:ind w:left="3780" w:hanging="420"/>
      </w:pPr>
    </w:lvl>
  </w:abstractNum>
  <w:abstractNum w:abstractNumId="17">
    <w:nsid w:val="1C6A3682"/>
    <w:multiLevelType w:val="multilevel"/>
    <w:tmpl w:val="1C6A3682"/>
    <w:lvl w:ilvl="0" w:tentative="0">
      <w:start w:val="1"/>
      <w:numFmt w:val="chineseCountingThousand"/>
      <w:suff w:val="space"/>
      <w:lvlText w:val="%1"/>
      <w:lvlJc w:val="left"/>
      <w:pPr>
        <w:ind w:left="0" w:firstLine="567"/>
      </w:pPr>
      <w:rPr>
        <w:rFonts w:hint="eastAsia"/>
      </w:rPr>
    </w:lvl>
    <w:lvl w:ilvl="1" w:tentative="0">
      <w:start w:val="1"/>
      <w:numFmt w:val="decimal"/>
      <w:suff w:val="space"/>
      <w:lvlText w:val="%2."/>
      <w:lvlJc w:val="left"/>
      <w:pPr>
        <w:ind w:left="0"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1E710C16"/>
    <w:multiLevelType w:val="multilevel"/>
    <w:tmpl w:val="1E710C1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21793DC1"/>
    <w:multiLevelType w:val="singleLevel"/>
    <w:tmpl w:val="21793DC1"/>
    <w:lvl w:ilvl="0" w:tentative="0">
      <w:start w:val="7"/>
      <w:numFmt w:val="decimal"/>
      <w:suff w:val="space"/>
      <w:lvlText w:val="(%1)"/>
      <w:lvlJc w:val="left"/>
    </w:lvl>
  </w:abstractNum>
  <w:abstractNum w:abstractNumId="21">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2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26E719CE"/>
    <w:multiLevelType w:val="multilevel"/>
    <w:tmpl w:val="26E719CE"/>
    <w:lvl w:ilvl="0" w:tentative="0">
      <w:start w:val="5"/>
      <w:numFmt w:val="chineseCountingThousand"/>
      <w:suff w:val="space"/>
      <w:lvlText w:val="%1"/>
      <w:lvlJc w:val="left"/>
      <w:pPr>
        <w:ind w:left="425" w:firstLine="142"/>
      </w:pPr>
      <w:rPr>
        <w:rFonts w:hint="eastAsia"/>
      </w:rPr>
    </w:lvl>
    <w:lvl w:ilvl="1" w:tentative="0">
      <w:start w:val="1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338F2BAA"/>
    <w:multiLevelType w:val="multilevel"/>
    <w:tmpl w:val="338F2BAA"/>
    <w:lvl w:ilvl="0" w:tentative="0">
      <w:start w:val="9"/>
      <w:numFmt w:val="chineseCountingThousand"/>
      <w:suff w:val="space"/>
      <w:lvlText w:val="%1、"/>
      <w:lvlJc w:val="left"/>
      <w:pPr>
        <w:ind w:left="425" w:firstLine="142"/>
      </w:pPr>
      <w:rPr>
        <w:rFonts w:hint="eastAsia"/>
      </w:rPr>
    </w:lvl>
    <w:lvl w:ilvl="1" w:tentative="0">
      <w:start w:val="43"/>
      <w:numFmt w:val="decimal"/>
      <w:suff w:val="space"/>
      <w:lvlText w:val="%2."/>
      <w:lvlJc w:val="left"/>
      <w:pPr>
        <w:tabs>
          <w:tab w:val="left" w:pos="0"/>
        </w:tabs>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3A6BB05B"/>
    <w:multiLevelType w:val="multilevel"/>
    <w:tmpl w:val="3A6BB05B"/>
    <w:lvl w:ilvl="0" w:tentative="0">
      <w:start w:val="6"/>
      <w:numFmt w:val="chineseCountingThousand"/>
      <w:suff w:val="space"/>
      <w:lvlText w:val="%1"/>
      <w:lvlJc w:val="left"/>
      <w:pPr>
        <w:ind w:left="425" w:firstLine="142"/>
      </w:pPr>
      <w:rPr>
        <w:rFonts w:hint="eastAsia"/>
      </w:rPr>
    </w:lvl>
    <w:lvl w:ilvl="1" w:tentative="0">
      <w:start w:val="36"/>
      <w:numFmt w:val="decimal"/>
      <w:suff w:val="space"/>
      <w:lvlText w:val="%2."/>
      <w:lvlJc w:val="left"/>
      <w:pPr>
        <w:tabs>
          <w:tab w:val="left" w:pos="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0"/>
        </w:tabs>
        <w:ind w:left="0"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4259D053"/>
    <w:multiLevelType w:val="multilevel"/>
    <w:tmpl w:val="4259D053"/>
    <w:lvl w:ilvl="0" w:tentative="0">
      <w:start w:val="6"/>
      <w:numFmt w:val="chineseCountingThousand"/>
      <w:suff w:val="space"/>
      <w:lvlText w:val="%1"/>
      <w:lvlJc w:val="left"/>
      <w:pPr>
        <w:ind w:left="425" w:firstLine="142"/>
      </w:pPr>
      <w:rPr>
        <w:rFonts w:hint="eastAsia"/>
      </w:rPr>
    </w:lvl>
    <w:lvl w:ilvl="1" w:tentative="0">
      <w:start w:val="45"/>
      <w:numFmt w:val="decimal"/>
      <w:suff w:val="space"/>
      <w:lvlText w:val="%2."/>
      <w:lvlJc w:val="left"/>
      <w:pPr>
        <w:tabs>
          <w:tab w:val="left" w:pos="420"/>
        </w:tabs>
        <w:ind w:left="0" w:firstLine="567"/>
      </w:pPr>
      <w:rPr>
        <w:rFonts w:hint="eastAsia" w:ascii="宋体" w:hAnsi="宋体" w:eastAsia="宋体" w:cs="宋体"/>
        <w:b w:val="0"/>
        <w:i w:val="0"/>
      </w:rPr>
    </w:lvl>
    <w:lvl w:ilvl="2" w:tentative="0">
      <w:start w:val="1"/>
      <w:numFmt w:val="decimal"/>
      <w:suff w:val="nothing"/>
      <w:lvlText w:val="%2.%3"/>
      <w:lvlJc w:val="left"/>
      <w:pPr>
        <w:tabs>
          <w:tab w:val="left" w:pos="420"/>
        </w:tabs>
        <w:ind w:left="0" w:firstLine="567"/>
      </w:pPr>
      <w:rPr>
        <w:rFonts w:hint="eastAsia" w:ascii="宋体" w:hAnsi="宋体" w:eastAsia="宋体" w:cs="宋体"/>
        <w:b w:val="0"/>
        <w:sz w:val="28"/>
        <w:szCs w:val="28"/>
      </w:rPr>
    </w:lvl>
    <w:lvl w:ilvl="3" w:tentative="0">
      <w:start w:val="1"/>
      <w:numFmt w:val="decimal"/>
      <w:suff w:val="nothing"/>
      <w:lvlText w:val="%2.%3.%4"/>
      <w:lvlJc w:val="left"/>
      <w:pPr>
        <w:ind w:left="0" w:firstLine="567"/>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461963F3"/>
    <w:multiLevelType w:val="multilevel"/>
    <w:tmpl w:val="461963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48B62725"/>
    <w:multiLevelType w:val="multilevel"/>
    <w:tmpl w:val="48B62725"/>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4AC8D752"/>
    <w:multiLevelType w:val="singleLevel"/>
    <w:tmpl w:val="4AC8D752"/>
    <w:lvl w:ilvl="0" w:tentative="0">
      <w:start w:val="4"/>
      <w:numFmt w:val="chineseCounting"/>
      <w:suff w:val="space"/>
      <w:lvlText w:val="第%1条"/>
      <w:lvlJc w:val="left"/>
      <w:rPr>
        <w:rFonts w:hint="eastAsia"/>
      </w:rPr>
    </w:lvl>
  </w:abstractNum>
  <w:abstractNum w:abstractNumId="31">
    <w:nsid w:val="4B832166"/>
    <w:multiLevelType w:val="multilevel"/>
    <w:tmpl w:val="4B8321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45A4CDB"/>
    <w:multiLevelType w:val="multilevel"/>
    <w:tmpl w:val="545A4C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8FB44C6"/>
    <w:multiLevelType w:val="multilevel"/>
    <w:tmpl w:val="68FB44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35">
    <w:nsid w:val="6F728535"/>
    <w:multiLevelType w:val="singleLevel"/>
    <w:tmpl w:val="6F728535"/>
    <w:lvl w:ilvl="0" w:tentative="0">
      <w:start w:val="31"/>
      <w:numFmt w:val="decimal"/>
      <w:suff w:val="nothing"/>
      <w:lvlText w:val="%1．"/>
      <w:lvlJc w:val="left"/>
      <w:pPr>
        <w:ind w:left="0" w:firstLine="403"/>
      </w:pPr>
      <w:rPr>
        <w:rFonts w:hint="default"/>
      </w:rPr>
    </w:lvl>
  </w:abstractNum>
  <w:abstractNum w:abstractNumId="36">
    <w:nsid w:val="719C086C"/>
    <w:multiLevelType w:val="singleLevel"/>
    <w:tmpl w:val="719C086C"/>
    <w:lvl w:ilvl="0" w:tentative="0">
      <w:start w:val="9"/>
      <w:numFmt w:val="chineseCounting"/>
      <w:suff w:val="space"/>
      <w:lvlText w:val="第%1条"/>
      <w:lvlJc w:val="left"/>
      <w:rPr>
        <w:rFonts w:hint="eastAsia"/>
      </w:rPr>
    </w:lvl>
  </w:abstractNum>
  <w:abstractNum w:abstractNumId="37">
    <w:nsid w:val="71A21D98"/>
    <w:multiLevelType w:val="multilevel"/>
    <w:tmpl w:val="71A21D98"/>
    <w:lvl w:ilvl="0" w:tentative="0">
      <w:start w:val="1"/>
      <w:numFmt w:val="japaneseCounting"/>
      <w:lvlText w:val="第%1条"/>
      <w:lvlJc w:val="left"/>
      <w:pPr>
        <w:ind w:left="1436" w:hanging="885"/>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38">
    <w:nsid w:val="7995FD1E"/>
    <w:multiLevelType w:val="singleLevel"/>
    <w:tmpl w:val="7995FD1E"/>
    <w:lvl w:ilvl="0" w:tentative="0">
      <w:start w:val="33"/>
      <w:numFmt w:val="decimal"/>
      <w:suff w:val="nothing"/>
      <w:lvlText w:val="%1．"/>
      <w:lvlJc w:val="left"/>
      <w:pPr>
        <w:ind w:left="0" w:firstLine="403"/>
      </w:pPr>
      <w:rPr>
        <w:rFonts w:hint="default"/>
      </w:rPr>
    </w:lvl>
  </w:abstractNum>
  <w:abstractNum w:abstractNumId="39">
    <w:nsid w:val="79B4DDB7"/>
    <w:multiLevelType w:val="singleLevel"/>
    <w:tmpl w:val="79B4DDB7"/>
    <w:lvl w:ilvl="0" w:tentative="0">
      <w:start w:val="34"/>
      <w:numFmt w:val="decimal"/>
      <w:suff w:val="nothing"/>
      <w:lvlText w:val="%1．"/>
      <w:lvlJc w:val="left"/>
      <w:pPr>
        <w:ind w:left="0" w:firstLine="403"/>
      </w:pPr>
      <w:rPr>
        <w:rFonts w:hint="default"/>
      </w:rPr>
    </w:lvl>
  </w:abstractNum>
  <w:num w:numId="1">
    <w:abstractNumId w:val="16"/>
  </w:num>
  <w:num w:numId="2">
    <w:abstractNumId w:val="6"/>
  </w:num>
  <w:num w:numId="3">
    <w:abstractNumId w:val="4"/>
  </w:num>
  <w:num w:numId="4">
    <w:abstractNumId w:val="5"/>
  </w:num>
  <w:num w:numId="5">
    <w:abstractNumId w:val="10"/>
  </w:num>
  <w:num w:numId="6">
    <w:abstractNumId w:val="14"/>
  </w:num>
  <w:num w:numId="7">
    <w:abstractNumId w:val="8"/>
  </w:num>
  <w:num w:numId="8">
    <w:abstractNumId w:val="11"/>
  </w:num>
  <w:num w:numId="9">
    <w:abstractNumId w:val="7"/>
  </w:num>
  <w:num w:numId="10">
    <w:abstractNumId w:val="13"/>
  </w:num>
  <w:num w:numId="11">
    <w:abstractNumId w:val="12"/>
  </w:num>
  <w:num w:numId="12">
    <w:abstractNumId w:val="9"/>
  </w:num>
  <w:num w:numId="13">
    <w:abstractNumId w:val="17"/>
  </w:num>
  <w:num w:numId="14">
    <w:abstractNumId w:val="19"/>
  </w:num>
  <w:num w:numId="15">
    <w:abstractNumId w:val="28"/>
  </w:num>
  <w:num w:numId="16">
    <w:abstractNumId w:val="23"/>
  </w:num>
  <w:num w:numId="17">
    <w:abstractNumId w:val="22"/>
  </w:num>
  <w:num w:numId="18">
    <w:abstractNumId w:val="21"/>
  </w:num>
  <w:num w:numId="19">
    <w:abstractNumId w:val="15"/>
  </w:num>
  <w:num w:numId="20">
    <w:abstractNumId w:val="35"/>
  </w:num>
  <w:num w:numId="21">
    <w:abstractNumId w:val="3"/>
  </w:num>
  <w:num w:numId="22">
    <w:abstractNumId w:val="38"/>
  </w:num>
  <w:num w:numId="23">
    <w:abstractNumId w:val="39"/>
  </w:num>
  <w:num w:numId="24">
    <w:abstractNumId w:val="25"/>
  </w:num>
  <w:num w:numId="25">
    <w:abstractNumId w:val="24"/>
  </w:num>
  <w:num w:numId="26">
    <w:abstractNumId w:val="1"/>
  </w:num>
  <w:num w:numId="27">
    <w:abstractNumId w:val="26"/>
  </w:num>
  <w:num w:numId="28">
    <w:abstractNumId w:val="33"/>
  </w:num>
  <w:num w:numId="29">
    <w:abstractNumId w:val="27"/>
  </w:num>
  <w:num w:numId="30">
    <w:abstractNumId w:val="32"/>
  </w:num>
  <w:num w:numId="31">
    <w:abstractNumId w:val="31"/>
  </w:num>
  <w:num w:numId="32">
    <w:abstractNumId w:val="29"/>
  </w:num>
  <w:num w:numId="33">
    <w:abstractNumId w:val="18"/>
  </w:num>
  <w:num w:numId="34">
    <w:abstractNumId w:val="37"/>
  </w:num>
  <w:num w:numId="35">
    <w:abstractNumId w:val="2"/>
  </w:num>
  <w:num w:numId="36">
    <w:abstractNumId w:val="0"/>
  </w:num>
  <w:num w:numId="37">
    <w:abstractNumId w:val="30"/>
  </w:num>
  <w:num w:numId="38">
    <w:abstractNumId w:val="20"/>
  </w:num>
  <w:num w:numId="39">
    <w:abstractNumId w:val="3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368"/>
    <w:rsid w:val="000054AD"/>
    <w:rsid w:val="00005D4A"/>
    <w:rsid w:val="00006B4E"/>
    <w:rsid w:val="00006DDD"/>
    <w:rsid w:val="00010879"/>
    <w:rsid w:val="00010D30"/>
    <w:rsid w:val="00011304"/>
    <w:rsid w:val="00011513"/>
    <w:rsid w:val="00012E6D"/>
    <w:rsid w:val="00012F08"/>
    <w:rsid w:val="000141D1"/>
    <w:rsid w:val="0001491E"/>
    <w:rsid w:val="000167E0"/>
    <w:rsid w:val="00016FE2"/>
    <w:rsid w:val="00021252"/>
    <w:rsid w:val="0002128C"/>
    <w:rsid w:val="00021E17"/>
    <w:rsid w:val="000227A9"/>
    <w:rsid w:val="000231AD"/>
    <w:rsid w:val="00024BCF"/>
    <w:rsid w:val="000252FD"/>
    <w:rsid w:val="00025414"/>
    <w:rsid w:val="00030418"/>
    <w:rsid w:val="000305AD"/>
    <w:rsid w:val="0003300E"/>
    <w:rsid w:val="0003452C"/>
    <w:rsid w:val="00034868"/>
    <w:rsid w:val="00035C9C"/>
    <w:rsid w:val="0003664D"/>
    <w:rsid w:val="0003776A"/>
    <w:rsid w:val="00040A06"/>
    <w:rsid w:val="00040E34"/>
    <w:rsid w:val="00041D1D"/>
    <w:rsid w:val="00044EFC"/>
    <w:rsid w:val="00045B61"/>
    <w:rsid w:val="00045E9D"/>
    <w:rsid w:val="0004606F"/>
    <w:rsid w:val="0004706F"/>
    <w:rsid w:val="00047BE9"/>
    <w:rsid w:val="000504C3"/>
    <w:rsid w:val="000523C3"/>
    <w:rsid w:val="00052ED3"/>
    <w:rsid w:val="000532FB"/>
    <w:rsid w:val="00054138"/>
    <w:rsid w:val="00056192"/>
    <w:rsid w:val="0005682D"/>
    <w:rsid w:val="0005708D"/>
    <w:rsid w:val="0005727F"/>
    <w:rsid w:val="000611BF"/>
    <w:rsid w:val="0006128F"/>
    <w:rsid w:val="000643EB"/>
    <w:rsid w:val="0006566F"/>
    <w:rsid w:val="0006667C"/>
    <w:rsid w:val="00066F33"/>
    <w:rsid w:val="00071707"/>
    <w:rsid w:val="00071829"/>
    <w:rsid w:val="000720A2"/>
    <w:rsid w:val="00073189"/>
    <w:rsid w:val="000734DB"/>
    <w:rsid w:val="00073511"/>
    <w:rsid w:val="0007419F"/>
    <w:rsid w:val="000747D9"/>
    <w:rsid w:val="00075C0A"/>
    <w:rsid w:val="00075D20"/>
    <w:rsid w:val="00076158"/>
    <w:rsid w:val="00080346"/>
    <w:rsid w:val="00080609"/>
    <w:rsid w:val="000808D4"/>
    <w:rsid w:val="000813FA"/>
    <w:rsid w:val="00082ECF"/>
    <w:rsid w:val="0008308A"/>
    <w:rsid w:val="00083823"/>
    <w:rsid w:val="00086379"/>
    <w:rsid w:val="00087119"/>
    <w:rsid w:val="0009020B"/>
    <w:rsid w:val="0009031B"/>
    <w:rsid w:val="0009274A"/>
    <w:rsid w:val="00093407"/>
    <w:rsid w:val="00093559"/>
    <w:rsid w:val="00095EA6"/>
    <w:rsid w:val="00097E54"/>
    <w:rsid w:val="000A0B2B"/>
    <w:rsid w:val="000A1A2A"/>
    <w:rsid w:val="000A2B29"/>
    <w:rsid w:val="000A403E"/>
    <w:rsid w:val="000A5789"/>
    <w:rsid w:val="000A6CF4"/>
    <w:rsid w:val="000A6ECD"/>
    <w:rsid w:val="000A7298"/>
    <w:rsid w:val="000B012E"/>
    <w:rsid w:val="000B0802"/>
    <w:rsid w:val="000B083C"/>
    <w:rsid w:val="000B118B"/>
    <w:rsid w:val="000B198C"/>
    <w:rsid w:val="000B238C"/>
    <w:rsid w:val="000B2A27"/>
    <w:rsid w:val="000B2E81"/>
    <w:rsid w:val="000B5EB6"/>
    <w:rsid w:val="000B63D7"/>
    <w:rsid w:val="000B65FD"/>
    <w:rsid w:val="000C0902"/>
    <w:rsid w:val="000C169E"/>
    <w:rsid w:val="000C68CB"/>
    <w:rsid w:val="000C69BF"/>
    <w:rsid w:val="000C7F0D"/>
    <w:rsid w:val="000D03A1"/>
    <w:rsid w:val="000D0627"/>
    <w:rsid w:val="000D07C3"/>
    <w:rsid w:val="000D184A"/>
    <w:rsid w:val="000D28D5"/>
    <w:rsid w:val="000D4B1F"/>
    <w:rsid w:val="000D55DC"/>
    <w:rsid w:val="000D6319"/>
    <w:rsid w:val="000D7176"/>
    <w:rsid w:val="000D72E2"/>
    <w:rsid w:val="000E12CA"/>
    <w:rsid w:val="000E61C3"/>
    <w:rsid w:val="000E7B99"/>
    <w:rsid w:val="000E7E59"/>
    <w:rsid w:val="000E7EF6"/>
    <w:rsid w:val="000F1C8B"/>
    <w:rsid w:val="000F1DD3"/>
    <w:rsid w:val="000F2DF8"/>
    <w:rsid w:val="000F326C"/>
    <w:rsid w:val="000F3D25"/>
    <w:rsid w:val="000F441D"/>
    <w:rsid w:val="000F6BE1"/>
    <w:rsid w:val="0010006B"/>
    <w:rsid w:val="001011F6"/>
    <w:rsid w:val="00102D4D"/>
    <w:rsid w:val="00103527"/>
    <w:rsid w:val="00103EF4"/>
    <w:rsid w:val="00105E66"/>
    <w:rsid w:val="00105EE8"/>
    <w:rsid w:val="001062FC"/>
    <w:rsid w:val="00107490"/>
    <w:rsid w:val="001076D4"/>
    <w:rsid w:val="0010790D"/>
    <w:rsid w:val="0011276E"/>
    <w:rsid w:val="0011294C"/>
    <w:rsid w:val="001148E5"/>
    <w:rsid w:val="00117C63"/>
    <w:rsid w:val="00120B7A"/>
    <w:rsid w:val="00120EA3"/>
    <w:rsid w:val="0012233B"/>
    <w:rsid w:val="00122505"/>
    <w:rsid w:val="00122756"/>
    <w:rsid w:val="00122D07"/>
    <w:rsid w:val="001241FA"/>
    <w:rsid w:val="001243E3"/>
    <w:rsid w:val="00124508"/>
    <w:rsid w:val="00124E1B"/>
    <w:rsid w:val="00124F19"/>
    <w:rsid w:val="00125A04"/>
    <w:rsid w:val="00126E7A"/>
    <w:rsid w:val="00126F46"/>
    <w:rsid w:val="001273DF"/>
    <w:rsid w:val="00130C8C"/>
    <w:rsid w:val="001310E9"/>
    <w:rsid w:val="00132831"/>
    <w:rsid w:val="001329BD"/>
    <w:rsid w:val="00141659"/>
    <w:rsid w:val="001439A4"/>
    <w:rsid w:val="00143D8A"/>
    <w:rsid w:val="001445BC"/>
    <w:rsid w:val="0014479B"/>
    <w:rsid w:val="00146B32"/>
    <w:rsid w:val="00147709"/>
    <w:rsid w:val="00150907"/>
    <w:rsid w:val="00151E87"/>
    <w:rsid w:val="00151F90"/>
    <w:rsid w:val="00152ED7"/>
    <w:rsid w:val="001559E8"/>
    <w:rsid w:val="00155A2E"/>
    <w:rsid w:val="001574C8"/>
    <w:rsid w:val="00157E2C"/>
    <w:rsid w:val="00160B10"/>
    <w:rsid w:val="00160DB6"/>
    <w:rsid w:val="00160F51"/>
    <w:rsid w:val="00161146"/>
    <w:rsid w:val="00163388"/>
    <w:rsid w:val="00166332"/>
    <w:rsid w:val="00167310"/>
    <w:rsid w:val="00170980"/>
    <w:rsid w:val="001712BD"/>
    <w:rsid w:val="00171CB5"/>
    <w:rsid w:val="001720C5"/>
    <w:rsid w:val="001728F6"/>
    <w:rsid w:val="00172A27"/>
    <w:rsid w:val="001736A4"/>
    <w:rsid w:val="00173C6F"/>
    <w:rsid w:val="001761E7"/>
    <w:rsid w:val="00176468"/>
    <w:rsid w:val="00176BD0"/>
    <w:rsid w:val="00180851"/>
    <w:rsid w:val="00180BBE"/>
    <w:rsid w:val="00181833"/>
    <w:rsid w:val="0018246D"/>
    <w:rsid w:val="00182D88"/>
    <w:rsid w:val="001848C9"/>
    <w:rsid w:val="001869E8"/>
    <w:rsid w:val="00191176"/>
    <w:rsid w:val="00193769"/>
    <w:rsid w:val="001938CC"/>
    <w:rsid w:val="00193F73"/>
    <w:rsid w:val="00194C7B"/>
    <w:rsid w:val="00194D7C"/>
    <w:rsid w:val="00196D14"/>
    <w:rsid w:val="001978F2"/>
    <w:rsid w:val="00197BCA"/>
    <w:rsid w:val="00197BE6"/>
    <w:rsid w:val="00197D3F"/>
    <w:rsid w:val="001A0FF0"/>
    <w:rsid w:val="001A2E25"/>
    <w:rsid w:val="001A2E75"/>
    <w:rsid w:val="001A396A"/>
    <w:rsid w:val="001A49FB"/>
    <w:rsid w:val="001A5B84"/>
    <w:rsid w:val="001A5F55"/>
    <w:rsid w:val="001A6292"/>
    <w:rsid w:val="001A6DAA"/>
    <w:rsid w:val="001B2E17"/>
    <w:rsid w:val="001B3AEC"/>
    <w:rsid w:val="001B3F56"/>
    <w:rsid w:val="001B62F9"/>
    <w:rsid w:val="001C0EE3"/>
    <w:rsid w:val="001C114E"/>
    <w:rsid w:val="001C2B04"/>
    <w:rsid w:val="001C6217"/>
    <w:rsid w:val="001C6CE5"/>
    <w:rsid w:val="001D1B34"/>
    <w:rsid w:val="001D2438"/>
    <w:rsid w:val="001D2AF5"/>
    <w:rsid w:val="001D420C"/>
    <w:rsid w:val="001D4215"/>
    <w:rsid w:val="001D4F84"/>
    <w:rsid w:val="001D5266"/>
    <w:rsid w:val="001D678F"/>
    <w:rsid w:val="001D7DFD"/>
    <w:rsid w:val="001E2A7A"/>
    <w:rsid w:val="001E2AC8"/>
    <w:rsid w:val="001E3FEB"/>
    <w:rsid w:val="001E413D"/>
    <w:rsid w:val="001E671D"/>
    <w:rsid w:val="001E6DEA"/>
    <w:rsid w:val="001E6FAA"/>
    <w:rsid w:val="001F0EDA"/>
    <w:rsid w:val="001F2338"/>
    <w:rsid w:val="001F2B7D"/>
    <w:rsid w:val="001F3258"/>
    <w:rsid w:val="001F3915"/>
    <w:rsid w:val="001F549F"/>
    <w:rsid w:val="001F5D25"/>
    <w:rsid w:val="00200B91"/>
    <w:rsid w:val="0020367B"/>
    <w:rsid w:val="00203A85"/>
    <w:rsid w:val="00203FAA"/>
    <w:rsid w:val="0020439D"/>
    <w:rsid w:val="00204AF9"/>
    <w:rsid w:val="00205458"/>
    <w:rsid w:val="002103C8"/>
    <w:rsid w:val="00213B47"/>
    <w:rsid w:val="0021696E"/>
    <w:rsid w:val="00221449"/>
    <w:rsid w:val="002220B0"/>
    <w:rsid w:val="00226717"/>
    <w:rsid w:val="002272D2"/>
    <w:rsid w:val="002276AE"/>
    <w:rsid w:val="00227A3B"/>
    <w:rsid w:val="00234573"/>
    <w:rsid w:val="0023589C"/>
    <w:rsid w:val="002374D5"/>
    <w:rsid w:val="002406B1"/>
    <w:rsid w:val="00240942"/>
    <w:rsid w:val="00240992"/>
    <w:rsid w:val="00240DFD"/>
    <w:rsid w:val="00240E80"/>
    <w:rsid w:val="00243EF9"/>
    <w:rsid w:val="00245ECC"/>
    <w:rsid w:val="00247559"/>
    <w:rsid w:val="00250056"/>
    <w:rsid w:val="00250DCC"/>
    <w:rsid w:val="00252C03"/>
    <w:rsid w:val="00253895"/>
    <w:rsid w:val="00254308"/>
    <w:rsid w:val="00254CDB"/>
    <w:rsid w:val="00255204"/>
    <w:rsid w:val="002554F3"/>
    <w:rsid w:val="00260B9D"/>
    <w:rsid w:val="002610C1"/>
    <w:rsid w:val="00261852"/>
    <w:rsid w:val="0026303D"/>
    <w:rsid w:val="00263E1D"/>
    <w:rsid w:val="002641DB"/>
    <w:rsid w:val="002648E7"/>
    <w:rsid w:val="00265C1B"/>
    <w:rsid w:val="0027018D"/>
    <w:rsid w:val="00271BEF"/>
    <w:rsid w:val="002736F3"/>
    <w:rsid w:val="002739D0"/>
    <w:rsid w:val="00273D8B"/>
    <w:rsid w:val="002745D5"/>
    <w:rsid w:val="00276BC3"/>
    <w:rsid w:val="00277845"/>
    <w:rsid w:val="00277A29"/>
    <w:rsid w:val="002817B9"/>
    <w:rsid w:val="002818B7"/>
    <w:rsid w:val="002821F0"/>
    <w:rsid w:val="002822CE"/>
    <w:rsid w:val="0028290C"/>
    <w:rsid w:val="0028384F"/>
    <w:rsid w:val="00284A17"/>
    <w:rsid w:val="002864BB"/>
    <w:rsid w:val="00286F22"/>
    <w:rsid w:val="0029097C"/>
    <w:rsid w:val="00297364"/>
    <w:rsid w:val="002A0415"/>
    <w:rsid w:val="002A0756"/>
    <w:rsid w:val="002A3D3F"/>
    <w:rsid w:val="002A52D2"/>
    <w:rsid w:val="002A5D19"/>
    <w:rsid w:val="002A7523"/>
    <w:rsid w:val="002B19B9"/>
    <w:rsid w:val="002B1B2F"/>
    <w:rsid w:val="002B2730"/>
    <w:rsid w:val="002B4036"/>
    <w:rsid w:val="002B5B4F"/>
    <w:rsid w:val="002C22EC"/>
    <w:rsid w:val="002C26CE"/>
    <w:rsid w:val="002C2A05"/>
    <w:rsid w:val="002C2B78"/>
    <w:rsid w:val="002C321C"/>
    <w:rsid w:val="002C34AE"/>
    <w:rsid w:val="002C4265"/>
    <w:rsid w:val="002C4C5C"/>
    <w:rsid w:val="002C5B62"/>
    <w:rsid w:val="002C76EA"/>
    <w:rsid w:val="002C772E"/>
    <w:rsid w:val="002D0794"/>
    <w:rsid w:val="002D0D06"/>
    <w:rsid w:val="002D1D6A"/>
    <w:rsid w:val="002D2407"/>
    <w:rsid w:val="002D3CBC"/>
    <w:rsid w:val="002D4199"/>
    <w:rsid w:val="002D5774"/>
    <w:rsid w:val="002D64AB"/>
    <w:rsid w:val="002E27B4"/>
    <w:rsid w:val="002E2A8C"/>
    <w:rsid w:val="002E433B"/>
    <w:rsid w:val="002E5BBB"/>
    <w:rsid w:val="002E650E"/>
    <w:rsid w:val="002E6510"/>
    <w:rsid w:val="002E6F83"/>
    <w:rsid w:val="002F0489"/>
    <w:rsid w:val="002F182C"/>
    <w:rsid w:val="002F286E"/>
    <w:rsid w:val="002F390E"/>
    <w:rsid w:val="002F435F"/>
    <w:rsid w:val="002F55C3"/>
    <w:rsid w:val="003027DE"/>
    <w:rsid w:val="00303165"/>
    <w:rsid w:val="00303B8A"/>
    <w:rsid w:val="0030410F"/>
    <w:rsid w:val="00304DAB"/>
    <w:rsid w:val="00306149"/>
    <w:rsid w:val="003069EF"/>
    <w:rsid w:val="00307C81"/>
    <w:rsid w:val="003156B6"/>
    <w:rsid w:val="00316674"/>
    <w:rsid w:val="00320A65"/>
    <w:rsid w:val="003210AE"/>
    <w:rsid w:val="00321A27"/>
    <w:rsid w:val="00324D93"/>
    <w:rsid w:val="0032662E"/>
    <w:rsid w:val="003323DC"/>
    <w:rsid w:val="00336357"/>
    <w:rsid w:val="0033646D"/>
    <w:rsid w:val="00337297"/>
    <w:rsid w:val="00337851"/>
    <w:rsid w:val="0034020D"/>
    <w:rsid w:val="00340820"/>
    <w:rsid w:val="00342CBB"/>
    <w:rsid w:val="003434B3"/>
    <w:rsid w:val="00344151"/>
    <w:rsid w:val="003446AF"/>
    <w:rsid w:val="00346A1F"/>
    <w:rsid w:val="00347BFA"/>
    <w:rsid w:val="00350885"/>
    <w:rsid w:val="0035188E"/>
    <w:rsid w:val="003518D9"/>
    <w:rsid w:val="00351B64"/>
    <w:rsid w:val="00354624"/>
    <w:rsid w:val="003550F1"/>
    <w:rsid w:val="003565B6"/>
    <w:rsid w:val="0035763B"/>
    <w:rsid w:val="00357E1E"/>
    <w:rsid w:val="0036020D"/>
    <w:rsid w:val="00360A5B"/>
    <w:rsid w:val="00360F0F"/>
    <w:rsid w:val="00361D75"/>
    <w:rsid w:val="00362CBB"/>
    <w:rsid w:val="00363332"/>
    <w:rsid w:val="003647D3"/>
    <w:rsid w:val="00366A37"/>
    <w:rsid w:val="00370EE3"/>
    <w:rsid w:val="00371B75"/>
    <w:rsid w:val="0037468D"/>
    <w:rsid w:val="00376283"/>
    <w:rsid w:val="003803E1"/>
    <w:rsid w:val="00380721"/>
    <w:rsid w:val="00380C99"/>
    <w:rsid w:val="00382C2A"/>
    <w:rsid w:val="00385574"/>
    <w:rsid w:val="003855CD"/>
    <w:rsid w:val="0038586C"/>
    <w:rsid w:val="00392968"/>
    <w:rsid w:val="00392D12"/>
    <w:rsid w:val="00393017"/>
    <w:rsid w:val="003939F6"/>
    <w:rsid w:val="00394131"/>
    <w:rsid w:val="003944CE"/>
    <w:rsid w:val="00396007"/>
    <w:rsid w:val="003960A0"/>
    <w:rsid w:val="00396AE9"/>
    <w:rsid w:val="00396CD1"/>
    <w:rsid w:val="003A1063"/>
    <w:rsid w:val="003A3CAA"/>
    <w:rsid w:val="003A4554"/>
    <w:rsid w:val="003A4609"/>
    <w:rsid w:val="003A6996"/>
    <w:rsid w:val="003A6CE6"/>
    <w:rsid w:val="003B09FA"/>
    <w:rsid w:val="003B0FDE"/>
    <w:rsid w:val="003B149B"/>
    <w:rsid w:val="003B1B30"/>
    <w:rsid w:val="003B2458"/>
    <w:rsid w:val="003B2F26"/>
    <w:rsid w:val="003B3270"/>
    <w:rsid w:val="003B36BC"/>
    <w:rsid w:val="003B4027"/>
    <w:rsid w:val="003B4973"/>
    <w:rsid w:val="003B4FE1"/>
    <w:rsid w:val="003B6688"/>
    <w:rsid w:val="003C0BBB"/>
    <w:rsid w:val="003C230B"/>
    <w:rsid w:val="003C3CF5"/>
    <w:rsid w:val="003C682E"/>
    <w:rsid w:val="003C6E56"/>
    <w:rsid w:val="003C7CB7"/>
    <w:rsid w:val="003D0635"/>
    <w:rsid w:val="003D3A87"/>
    <w:rsid w:val="003D3BBB"/>
    <w:rsid w:val="003D4752"/>
    <w:rsid w:val="003D4BBD"/>
    <w:rsid w:val="003D6027"/>
    <w:rsid w:val="003D680B"/>
    <w:rsid w:val="003D702F"/>
    <w:rsid w:val="003D703C"/>
    <w:rsid w:val="003E04E3"/>
    <w:rsid w:val="003E05FA"/>
    <w:rsid w:val="003E19E2"/>
    <w:rsid w:val="003E3217"/>
    <w:rsid w:val="003E34E8"/>
    <w:rsid w:val="003E4C1C"/>
    <w:rsid w:val="003E568D"/>
    <w:rsid w:val="003E56E5"/>
    <w:rsid w:val="003E6160"/>
    <w:rsid w:val="003E61B4"/>
    <w:rsid w:val="003E7345"/>
    <w:rsid w:val="003F14F8"/>
    <w:rsid w:val="003F22A9"/>
    <w:rsid w:val="003F3483"/>
    <w:rsid w:val="003F37FD"/>
    <w:rsid w:val="003F392F"/>
    <w:rsid w:val="003F395C"/>
    <w:rsid w:val="003F3A15"/>
    <w:rsid w:val="003F48D7"/>
    <w:rsid w:val="003F5203"/>
    <w:rsid w:val="003F523C"/>
    <w:rsid w:val="003F53B2"/>
    <w:rsid w:val="003F5C04"/>
    <w:rsid w:val="003F7A58"/>
    <w:rsid w:val="0040059C"/>
    <w:rsid w:val="004012FE"/>
    <w:rsid w:val="00401573"/>
    <w:rsid w:val="004038BF"/>
    <w:rsid w:val="0040477B"/>
    <w:rsid w:val="00404BC3"/>
    <w:rsid w:val="00405A5C"/>
    <w:rsid w:val="004062FB"/>
    <w:rsid w:val="004071F5"/>
    <w:rsid w:val="00407462"/>
    <w:rsid w:val="00407A46"/>
    <w:rsid w:val="0041026B"/>
    <w:rsid w:val="004104BB"/>
    <w:rsid w:val="00410E7A"/>
    <w:rsid w:val="0041149D"/>
    <w:rsid w:val="00412572"/>
    <w:rsid w:val="00412965"/>
    <w:rsid w:val="00414158"/>
    <w:rsid w:val="00415216"/>
    <w:rsid w:val="00415DAE"/>
    <w:rsid w:val="00420910"/>
    <w:rsid w:val="00420E8C"/>
    <w:rsid w:val="00423390"/>
    <w:rsid w:val="00423B7A"/>
    <w:rsid w:val="00424BCB"/>
    <w:rsid w:val="004272B0"/>
    <w:rsid w:val="00427F3C"/>
    <w:rsid w:val="00430175"/>
    <w:rsid w:val="0043028A"/>
    <w:rsid w:val="004312AA"/>
    <w:rsid w:val="0043167D"/>
    <w:rsid w:val="00431871"/>
    <w:rsid w:val="00431DB1"/>
    <w:rsid w:val="00432DBF"/>
    <w:rsid w:val="004330C5"/>
    <w:rsid w:val="00433838"/>
    <w:rsid w:val="004348A1"/>
    <w:rsid w:val="004350D7"/>
    <w:rsid w:val="00436C89"/>
    <w:rsid w:val="00436E52"/>
    <w:rsid w:val="004370F1"/>
    <w:rsid w:val="00440502"/>
    <w:rsid w:val="00440FE1"/>
    <w:rsid w:val="00444723"/>
    <w:rsid w:val="004450C6"/>
    <w:rsid w:val="00445949"/>
    <w:rsid w:val="00445CE6"/>
    <w:rsid w:val="00447EC1"/>
    <w:rsid w:val="00454FDA"/>
    <w:rsid w:val="00456C6F"/>
    <w:rsid w:val="004573C1"/>
    <w:rsid w:val="004573DA"/>
    <w:rsid w:val="004616DB"/>
    <w:rsid w:val="004626A6"/>
    <w:rsid w:val="0046301D"/>
    <w:rsid w:val="00463958"/>
    <w:rsid w:val="00463D24"/>
    <w:rsid w:val="004653D7"/>
    <w:rsid w:val="0046584B"/>
    <w:rsid w:val="00466DBD"/>
    <w:rsid w:val="00471D94"/>
    <w:rsid w:val="00472F89"/>
    <w:rsid w:val="00476823"/>
    <w:rsid w:val="004771EE"/>
    <w:rsid w:val="004775F5"/>
    <w:rsid w:val="00481954"/>
    <w:rsid w:val="004829E4"/>
    <w:rsid w:val="004838BE"/>
    <w:rsid w:val="0048528A"/>
    <w:rsid w:val="00486895"/>
    <w:rsid w:val="00486CFF"/>
    <w:rsid w:val="00486D37"/>
    <w:rsid w:val="00487242"/>
    <w:rsid w:val="00490B79"/>
    <w:rsid w:val="004918AF"/>
    <w:rsid w:val="00491AF4"/>
    <w:rsid w:val="004920FE"/>
    <w:rsid w:val="00492F6C"/>
    <w:rsid w:val="004937AB"/>
    <w:rsid w:val="0049490A"/>
    <w:rsid w:val="00495104"/>
    <w:rsid w:val="0049624A"/>
    <w:rsid w:val="00496DBE"/>
    <w:rsid w:val="004A1047"/>
    <w:rsid w:val="004A4060"/>
    <w:rsid w:val="004A4462"/>
    <w:rsid w:val="004A471E"/>
    <w:rsid w:val="004A4877"/>
    <w:rsid w:val="004A4AC6"/>
    <w:rsid w:val="004A6FD1"/>
    <w:rsid w:val="004B0ED1"/>
    <w:rsid w:val="004B1732"/>
    <w:rsid w:val="004B1C43"/>
    <w:rsid w:val="004B20DA"/>
    <w:rsid w:val="004B2195"/>
    <w:rsid w:val="004B3F08"/>
    <w:rsid w:val="004C19CA"/>
    <w:rsid w:val="004C3054"/>
    <w:rsid w:val="004C3970"/>
    <w:rsid w:val="004C3F61"/>
    <w:rsid w:val="004C4EB0"/>
    <w:rsid w:val="004C5079"/>
    <w:rsid w:val="004C50EB"/>
    <w:rsid w:val="004C5362"/>
    <w:rsid w:val="004C7251"/>
    <w:rsid w:val="004D02A8"/>
    <w:rsid w:val="004D0840"/>
    <w:rsid w:val="004D0FD6"/>
    <w:rsid w:val="004D27F7"/>
    <w:rsid w:val="004D2CF5"/>
    <w:rsid w:val="004D3350"/>
    <w:rsid w:val="004D372F"/>
    <w:rsid w:val="004D78B1"/>
    <w:rsid w:val="004D7B43"/>
    <w:rsid w:val="004E1262"/>
    <w:rsid w:val="004E3028"/>
    <w:rsid w:val="004E4C97"/>
    <w:rsid w:val="004E6214"/>
    <w:rsid w:val="004E75F6"/>
    <w:rsid w:val="004F0318"/>
    <w:rsid w:val="004F0844"/>
    <w:rsid w:val="004F0A4D"/>
    <w:rsid w:val="004F2355"/>
    <w:rsid w:val="004F243D"/>
    <w:rsid w:val="004F256F"/>
    <w:rsid w:val="004F2600"/>
    <w:rsid w:val="004F2CBF"/>
    <w:rsid w:val="004F2F2D"/>
    <w:rsid w:val="004F36C4"/>
    <w:rsid w:val="004F37A5"/>
    <w:rsid w:val="005015F3"/>
    <w:rsid w:val="00503407"/>
    <w:rsid w:val="00503575"/>
    <w:rsid w:val="00503907"/>
    <w:rsid w:val="0050405D"/>
    <w:rsid w:val="0050426C"/>
    <w:rsid w:val="00504C12"/>
    <w:rsid w:val="00505AF7"/>
    <w:rsid w:val="00507222"/>
    <w:rsid w:val="00507945"/>
    <w:rsid w:val="00510240"/>
    <w:rsid w:val="00510BA5"/>
    <w:rsid w:val="00512269"/>
    <w:rsid w:val="005204DC"/>
    <w:rsid w:val="005213A2"/>
    <w:rsid w:val="0052180B"/>
    <w:rsid w:val="00521C90"/>
    <w:rsid w:val="00522CA2"/>
    <w:rsid w:val="00523334"/>
    <w:rsid w:val="00523D21"/>
    <w:rsid w:val="00524C40"/>
    <w:rsid w:val="00531868"/>
    <w:rsid w:val="00531D78"/>
    <w:rsid w:val="00533480"/>
    <w:rsid w:val="00534369"/>
    <w:rsid w:val="00535260"/>
    <w:rsid w:val="00535323"/>
    <w:rsid w:val="005378E3"/>
    <w:rsid w:val="00540CCB"/>
    <w:rsid w:val="005445B8"/>
    <w:rsid w:val="00544D61"/>
    <w:rsid w:val="0054510A"/>
    <w:rsid w:val="00546D69"/>
    <w:rsid w:val="00547FE8"/>
    <w:rsid w:val="0055039F"/>
    <w:rsid w:val="00551170"/>
    <w:rsid w:val="0055150A"/>
    <w:rsid w:val="0055186B"/>
    <w:rsid w:val="0055189C"/>
    <w:rsid w:val="00552362"/>
    <w:rsid w:val="0055295F"/>
    <w:rsid w:val="00554097"/>
    <w:rsid w:val="005555C7"/>
    <w:rsid w:val="00556209"/>
    <w:rsid w:val="005578FB"/>
    <w:rsid w:val="00557BE5"/>
    <w:rsid w:val="00560782"/>
    <w:rsid w:val="00561AEA"/>
    <w:rsid w:val="00564340"/>
    <w:rsid w:val="005657B4"/>
    <w:rsid w:val="00565B0B"/>
    <w:rsid w:val="0056696E"/>
    <w:rsid w:val="00566AE0"/>
    <w:rsid w:val="00566ED9"/>
    <w:rsid w:val="0056757F"/>
    <w:rsid w:val="005700E1"/>
    <w:rsid w:val="00570A35"/>
    <w:rsid w:val="00572579"/>
    <w:rsid w:val="00573BEA"/>
    <w:rsid w:val="00574371"/>
    <w:rsid w:val="00574E5F"/>
    <w:rsid w:val="00576F88"/>
    <w:rsid w:val="00580E94"/>
    <w:rsid w:val="00580F24"/>
    <w:rsid w:val="00582B1B"/>
    <w:rsid w:val="005840BF"/>
    <w:rsid w:val="0058545F"/>
    <w:rsid w:val="0058699C"/>
    <w:rsid w:val="00587C08"/>
    <w:rsid w:val="005901FB"/>
    <w:rsid w:val="005918C1"/>
    <w:rsid w:val="00592508"/>
    <w:rsid w:val="005930A5"/>
    <w:rsid w:val="0059540B"/>
    <w:rsid w:val="005955C0"/>
    <w:rsid w:val="0059694E"/>
    <w:rsid w:val="00596C2F"/>
    <w:rsid w:val="005972FB"/>
    <w:rsid w:val="005A0C9C"/>
    <w:rsid w:val="005A2C4C"/>
    <w:rsid w:val="005A6357"/>
    <w:rsid w:val="005A74A5"/>
    <w:rsid w:val="005A7F0A"/>
    <w:rsid w:val="005B111A"/>
    <w:rsid w:val="005B1300"/>
    <w:rsid w:val="005B3559"/>
    <w:rsid w:val="005B45FB"/>
    <w:rsid w:val="005B48E4"/>
    <w:rsid w:val="005B5A3E"/>
    <w:rsid w:val="005B6A22"/>
    <w:rsid w:val="005B71C6"/>
    <w:rsid w:val="005C0A5F"/>
    <w:rsid w:val="005C1761"/>
    <w:rsid w:val="005C2F7F"/>
    <w:rsid w:val="005D0329"/>
    <w:rsid w:val="005D0839"/>
    <w:rsid w:val="005D16A6"/>
    <w:rsid w:val="005D1E14"/>
    <w:rsid w:val="005D26C5"/>
    <w:rsid w:val="005D2B5A"/>
    <w:rsid w:val="005D354F"/>
    <w:rsid w:val="005D4C39"/>
    <w:rsid w:val="005D6A7D"/>
    <w:rsid w:val="005D72E3"/>
    <w:rsid w:val="005E05A1"/>
    <w:rsid w:val="005E13D4"/>
    <w:rsid w:val="005E31CE"/>
    <w:rsid w:val="005E39D5"/>
    <w:rsid w:val="005E4B9B"/>
    <w:rsid w:val="005E4DA7"/>
    <w:rsid w:val="005E5317"/>
    <w:rsid w:val="005E6A83"/>
    <w:rsid w:val="005E72DE"/>
    <w:rsid w:val="005F199D"/>
    <w:rsid w:val="005F233E"/>
    <w:rsid w:val="005F26EA"/>
    <w:rsid w:val="005F27C0"/>
    <w:rsid w:val="005F3288"/>
    <w:rsid w:val="005F3A97"/>
    <w:rsid w:val="005F3D8C"/>
    <w:rsid w:val="005F50D5"/>
    <w:rsid w:val="005F6E63"/>
    <w:rsid w:val="005F7A95"/>
    <w:rsid w:val="006000D3"/>
    <w:rsid w:val="006004FE"/>
    <w:rsid w:val="00600E3D"/>
    <w:rsid w:val="0060425F"/>
    <w:rsid w:val="006045CD"/>
    <w:rsid w:val="00604B8C"/>
    <w:rsid w:val="00604DED"/>
    <w:rsid w:val="00605925"/>
    <w:rsid w:val="00606179"/>
    <w:rsid w:val="00613A79"/>
    <w:rsid w:val="006151C5"/>
    <w:rsid w:val="00617473"/>
    <w:rsid w:val="006174DF"/>
    <w:rsid w:val="006175E3"/>
    <w:rsid w:val="00620D28"/>
    <w:rsid w:val="0062116A"/>
    <w:rsid w:val="00622083"/>
    <w:rsid w:val="0062341C"/>
    <w:rsid w:val="006236C9"/>
    <w:rsid w:val="0062386A"/>
    <w:rsid w:val="00624724"/>
    <w:rsid w:val="00624E37"/>
    <w:rsid w:val="00626076"/>
    <w:rsid w:val="00626DAA"/>
    <w:rsid w:val="006313B5"/>
    <w:rsid w:val="00631CA5"/>
    <w:rsid w:val="006371FD"/>
    <w:rsid w:val="00640002"/>
    <w:rsid w:val="006407B1"/>
    <w:rsid w:val="00640943"/>
    <w:rsid w:val="00642BCE"/>
    <w:rsid w:val="00647F78"/>
    <w:rsid w:val="006521E3"/>
    <w:rsid w:val="0065268F"/>
    <w:rsid w:val="006530C8"/>
    <w:rsid w:val="006531FE"/>
    <w:rsid w:val="0065350D"/>
    <w:rsid w:val="00653886"/>
    <w:rsid w:val="00655893"/>
    <w:rsid w:val="00655E2A"/>
    <w:rsid w:val="00662666"/>
    <w:rsid w:val="006633DD"/>
    <w:rsid w:val="0066358D"/>
    <w:rsid w:val="00664DA8"/>
    <w:rsid w:val="00665D69"/>
    <w:rsid w:val="0067456C"/>
    <w:rsid w:val="00674B0F"/>
    <w:rsid w:val="00674D53"/>
    <w:rsid w:val="006752A4"/>
    <w:rsid w:val="00675BBA"/>
    <w:rsid w:val="00676236"/>
    <w:rsid w:val="00676788"/>
    <w:rsid w:val="006769D6"/>
    <w:rsid w:val="00676E85"/>
    <w:rsid w:val="00677352"/>
    <w:rsid w:val="00680AA9"/>
    <w:rsid w:val="0068124E"/>
    <w:rsid w:val="00682136"/>
    <w:rsid w:val="00682BEF"/>
    <w:rsid w:val="00683E34"/>
    <w:rsid w:val="00684A39"/>
    <w:rsid w:val="00686067"/>
    <w:rsid w:val="00686AE6"/>
    <w:rsid w:val="00691AEA"/>
    <w:rsid w:val="00693F10"/>
    <w:rsid w:val="0069559D"/>
    <w:rsid w:val="00695CDC"/>
    <w:rsid w:val="00695D5C"/>
    <w:rsid w:val="00696700"/>
    <w:rsid w:val="00696CA7"/>
    <w:rsid w:val="00697D9E"/>
    <w:rsid w:val="006A0370"/>
    <w:rsid w:val="006A0AFE"/>
    <w:rsid w:val="006A13B2"/>
    <w:rsid w:val="006A1C41"/>
    <w:rsid w:val="006A22EA"/>
    <w:rsid w:val="006A2BC4"/>
    <w:rsid w:val="006A4298"/>
    <w:rsid w:val="006A51D4"/>
    <w:rsid w:val="006A548E"/>
    <w:rsid w:val="006A5702"/>
    <w:rsid w:val="006A7EB9"/>
    <w:rsid w:val="006B080E"/>
    <w:rsid w:val="006B2383"/>
    <w:rsid w:val="006B3680"/>
    <w:rsid w:val="006B463B"/>
    <w:rsid w:val="006B4C5A"/>
    <w:rsid w:val="006B5301"/>
    <w:rsid w:val="006B5AFC"/>
    <w:rsid w:val="006B7D23"/>
    <w:rsid w:val="006C05C6"/>
    <w:rsid w:val="006C06EA"/>
    <w:rsid w:val="006C0E05"/>
    <w:rsid w:val="006C0E31"/>
    <w:rsid w:val="006C20A7"/>
    <w:rsid w:val="006C2F47"/>
    <w:rsid w:val="006C4A90"/>
    <w:rsid w:val="006C64D3"/>
    <w:rsid w:val="006D023B"/>
    <w:rsid w:val="006D0505"/>
    <w:rsid w:val="006D1170"/>
    <w:rsid w:val="006D2EB7"/>
    <w:rsid w:val="006D325A"/>
    <w:rsid w:val="006D4754"/>
    <w:rsid w:val="006D51EE"/>
    <w:rsid w:val="006D5A67"/>
    <w:rsid w:val="006D5C08"/>
    <w:rsid w:val="006D61C1"/>
    <w:rsid w:val="006E1860"/>
    <w:rsid w:val="006E2CD9"/>
    <w:rsid w:val="006E3859"/>
    <w:rsid w:val="006E4663"/>
    <w:rsid w:val="006E524C"/>
    <w:rsid w:val="006F04D4"/>
    <w:rsid w:val="006F10D9"/>
    <w:rsid w:val="006F2AEC"/>
    <w:rsid w:val="006F2CB0"/>
    <w:rsid w:val="006F38AC"/>
    <w:rsid w:val="00701AE0"/>
    <w:rsid w:val="00702714"/>
    <w:rsid w:val="00703344"/>
    <w:rsid w:val="007069F3"/>
    <w:rsid w:val="00706C65"/>
    <w:rsid w:val="00710A83"/>
    <w:rsid w:val="00711814"/>
    <w:rsid w:val="0071212C"/>
    <w:rsid w:val="00713305"/>
    <w:rsid w:val="007133A5"/>
    <w:rsid w:val="00713571"/>
    <w:rsid w:val="007168B6"/>
    <w:rsid w:val="007179D0"/>
    <w:rsid w:val="007204A5"/>
    <w:rsid w:val="007211A3"/>
    <w:rsid w:val="0072255B"/>
    <w:rsid w:val="0072279C"/>
    <w:rsid w:val="00723F4B"/>
    <w:rsid w:val="007251C2"/>
    <w:rsid w:val="00732480"/>
    <w:rsid w:val="00732BA8"/>
    <w:rsid w:val="00732D3B"/>
    <w:rsid w:val="00733943"/>
    <w:rsid w:val="00733B64"/>
    <w:rsid w:val="007357AF"/>
    <w:rsid w:val="00735BE4"/>
    <w:rsid w:val="007365A2"/>
    <w:rsid w:val="0073675E"/>
    <w:rsid w:val="0073755E"/>
    <w:rsid w:val="007407C4"/>
    <w:rsid w:val="0074143F"/>
    <w:rsid w:val="00743F16"/>
    <w:rsid w:val="0074466D"/>
    <w:rsid w:val="00744CEA"/>
    <w:rsid w:val="00747B72"/>
    <w:rsid w:val="00750134"/>
    <w:rsid w:val="007502F9"/>
    <w:rsid w:val="0075088B"/>
    <w:rsid w:val="00752149"/>
    <w:rsid w:val="00752661"/>
    <w:rsid w:val="00755A70"/>
    <w:rsid w:val="00755B17"/>
    <w:rsid w:val="00755D2B"/>
    <w:rsid w:val="00756AD7"/>
    <w:rsid w:val="00757CC8"/>
    <w:rsid w:val="007645F0"/>
    <w:rsid w:val="00764C62"/>
    <w:rsid w:val="00764F77"/>
    <w:rsid w:val="00765022"/>
    <w:rsid w:val="0076749F"/>
    <w:rsid w:val="0077423A"/>
    <w:rsid w:val="0077431C"/>
    <w:rsid w:val="0077432E"/>
    <w:rsid w:val="00774609"/>
    <w:rsid w:val="0077523A"/>
    <w:rsid w:val="007766B8"/>
    <w:rsid w:val="0077699D"/>
    <w:rsid w:val="00781FD1"/>
    <w:rsid w:val="00783F9B"/>
    <w:rsid w:val="00784A65"/>
    <w:rsid w:val="007866A3"/>
    <w:rsid w:val="00786B8E"/>
    <w:rsid w:val="0079014E"/>
    <w:rsid w:val="0079104B"/>
    <w:rsid w:val="00791AD5"/>
    <w:rsid w:val="00792A8F"/>
    <w:rsid w:val="00792FB6"/>
    <w:rsid w:val="007937AE"/>
    <w:rsid w:val="00793CC7"/>
    <w:rsid w:val="00795957"/>
    <w:rsid w:val="00796FE9"/>
    <w:rsid w:val="007970DA"/>
    <w:rsid w:val="007A03AD"/>
    <w:rsid w:val="007A15D0"/>
    <w:rsid w:val="007A1C96"/>
    <w:rsid w:val="007A2AD2"/>
    <w:rsid w:val="007A426A"/>
    <w:rsid w:val="007A465B"/>
    <w:rsid w:val="007A49A7"/>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5DB"/>
    <w:rsid w:val="007D2A66"/>
    <w:rsid w:val="007D4AB8"/>
    <w:rsid w:val="007D5EB6"/>
    <w:rsid w:val="007D636D"/>
    <w:rsid w:val="007D709F"/>
    <w:rsid w:val="007E0409"/>
    <w:rsid w:val="007E130C"/>
    <w:rsid w:val="007E15D4"/>
    <w:rsid w:val="007E1702"/>
    <w:rsid w:val="007E184C"/>
    <w:rsid w:val="007E48B7"/>
    <w:rsid w:val="007E4DDA"/>
    <w:rsid w:val="007E7D40"/>
    <w:rsid w:val="007F39C2"/>
    <w:rsid w:val="007F448A"/>
    <w:rsid w:val="007F4EA2"/>
    <w:rsid w:val="007F5A30"/>
    <w:rsid w:val="007F7B28"/>
    <w:rsid w:val="008016F8"/>
    <w:rsid w:val="00801899"/>
    <w:rsid w:val="0080270D"/>
    <w:rsid w:val="0080304B"/>
    <w:rsid w:val="008044D4"/>
    <w:rsid w:val="008047CE"/>
    <w:rsid w:val="00806ED8"/>
    <w:rsid w:val="00810902"/>
    <w:rsid w:val="00810B34"/>
    <w:rsid w:val="00811B5E"/>
    <w:rsid w:val="00811BD9"/>
    <w:rsid w:val="00811D91"/>
    <w:rsid w:val="00811FE7"/>
    <w:rsid w:val="00812042"/>
    <w:rsid w:val="0081230E"/>
    <w:rsid w:val="008159EB"/>
    <w:rsid w:val="00817FE3"/>
    <w:rsid w:val="00822FE5"/>
    <w:rsid w:val="00823B3B"/>
    <w:rsid w:val="00824152"/>
    <w:rsid w:val="008251E6"/>
    <w:rsid w:val="00830431"/>
    <w:rsid w:val="008306AE"/>
    <w:rsid w:val="0083152F"/>
    <w:rsid w:val="008318C4"/>
    <w:rsid w:val="00832951"/>
    <w:rsid w:val="00833592"/>
    <w:rsid w:val="00834427"/>
    <w:rsid w:val="008346E2"/>
    <w:rsid w:val="008350C0"/>
    <w:rsid w:val="00836996"/>
    <w:rsid w:val="00837275"/>
    <w:rsid w:val="008412C2"/>
    <w:rsid w:val="008412D6"/>
    <w:rsid w:val="00841EC0"/>
    <w:rsid w:val="00842775"/>
    <w:rsid w:val="008442B7"/>
    <w:rsid w:val="0084499C"/>
    <w:rsid w:val="00845636"/>
    <w:rsid w:val="0085018C"/>
    <w:rsid w:val="008508EC"/>
    <w:rsid w:val="00850B1C"/>
    <w:rsid w:val="00850DDB"/>
    <w:rsid w:val="00850DF4"/>
    <w:rsid w:val="00852292"/>
    <w:rsid w:val="00852ABD"/>
    <w:rsid w:val="00853568"/>
    <w:rsid w:val="00855012"/>
    <w:rsid w:val="00855302"/>
    <w:rsid w:val="00860373"/>
    <w:rsid w:val="008669E8"/>
    <w:rsid w:val="00866C7B"/>
    <w:rsid w:val="00867767"/>
    <w:rsid w:val="008708ED"/>
    <w:rsid w:val="00870C74"/>
    <w:rsid w:val="0087189A"/>
    <w:rsid w:val="00872601"/>
    <w:rsid w:val="0087411E"/>
    <w:rsid w:val="008750DB"/>
    <w:rsid w:val="00875271"/>
    <w:rsid w:val="008755C8"/>
    <w:rsid w:val="00882452"/>
    <w:rsid w:val="0088361C"/>
    <w:rsid w:val="0088389A"/>
    <w:rsid w:val="00885AD4"/>
    <w:rsid w:val="0089049C"/>
    <w:rsid w:val="008905F0"/>
    <w:rsid w:val="008906E6"/>
    <w:rsid w:val="00890D52"/>
    <w:rsid w:val="00890F77"/>
    <w:rsid w:val="008915C9"/>
    <w:rsid w:val="0089318F"/>
    <w:rsid w:val="0089628E"/>
    <w:rsid w:val="008977A0"/>
    <w:rsid w:val="008A0272"/>
    <w:rsid w:val="008A0B50"/>
    <w:rsid w:val="008A20C1"/>
    <w:rsid w:val="008A287C"/>
    <w:rsid w:val="008A2C8E"/>
    <w:rsid w:val="008A4072"/>
    <w:rsid w:val="008A41C3"/>
    <w:rsid w:val="008A52CE"/>
    <w:rsid w:val="008A560A"/>
    <w:rsid w:val="008A74B5"/>
    <w:rsid w:val="008B3B3F"/>
    <w:rsid w:val="008B3D39"/>
    <w:rsid w:val="008B4AA9"/>
    <w:rsid w:val="008B4E91"/>
    <w:rsid w:val="008B4FCE"/>
    <w:rsid w:val="008B60B9"/>
    <w:rsid w:val="008B6129"/>
    <w:rsid w:val="008B64CC"/>
    <w:rsid w:val="008C28D2"/>
    <w:rsid w:val="008C2F50"/>
    <w:rsid w:val="008C3B02"/>
    <w:rsid w:val="008C3C1B"/>
    <w:rsid w:val="008C4A3B"/>
    <w:rsid w:val="008C59BF"/>
    <w:rsid w:val="008C6CAE"/>
    <w:rsid w:val="008C7316"/>
    <w:rsid w:val="008C7D3E"/>
    <w:rsid w:val="008D0EAA"/>
    <w:rsid w:val="008D0F3E"/>
    <w:rsid w:val="008D16FD"/>
    <w:rsid w:val="008D1CAE"/>
    <w:rsid w:val="008D221C"/>
    <w:rsid w:val="008D4112"/>
    <w:rsid w:val="008D71D0"/>
    <w:rsid w:val="008E0282"/>
    <w:rsid w:val="008E0D61"/>
    <w:rsid w:val="008E433B"/>
    <w:rsid w:val="008E57A9"/>
    <w:rsid w:val="008E6D76"/>
    <w:rsid w:val="008F0197"/>
    <w:rsid w:val="008F0617"/>
    <w:rsid w:val="008F299F"/>
    <w:rsid w:val="008F4E6D"/>
    <w:rsid w:val="008F6DAF"/>
    <w:rsid w:val="008F74C6"/>
    <w:rsid w:val="0090210B"/>
    <w:rsid w:val="0090497E"/>
    <w:rsid w:val="00907FA7"/>
    <w:rsid w:val="009102C0"/>
    <w:rsid w:val="00912793"/>
    <w:rsid w:val="00914528"/>
    <w:rsid w:val="00916D24"/>
    <w:rsid w:val="009204BD"/>
    <w:rsid w:val="00920C1F"/>
    <w:rsid w:val="00922562"/>
    <w:rsid w:val="00922BC5"/>
    <w:rsid w:val="00922C60"/>
    <w:rsid w:val="00922E2C"/>
    <w:rsid w:val="009234FD"/>
    <w:rsid w:val="00923E5A"/>
    <w:rsid w:val="00924CB5"/>
    <w:rsid w:val="00925227"/>
    <w:rsid w:val="009255E6"/>
    <w:rsid w:val="00927A89"/>
    <w:rsid w:val="00934005"/>
    <w:rsid w:val="0093495D"/>
    <w:rsid w:val="009360B3"/>
    <w:rsid w:val="00937511"/>
    <w:rsid w:val="009415AF"/>
    <w:rsid w:val="00943076"/>
    <w:rsid w:val="00944946"/>
    <w:rsid w:val="00944E54"/>
    <w:rsid w:val="00945B65"/>
    <w:rsid w:val="0094674F"/>
    <w:rsid w:val="00946A1B"/>
    <w:rsid w:val="00947F6C"/>
    <w:rsid w:val="00950857"/>
    <w:rsid w:val="00950939"/>
    <w:rsid w:val="00950DC6"/>
    <w:rsid w:val="00951ABA"/>
    <w:rsid w:val="00953AF8"/>
    <w:rsid w:val="00954D82"/>
    <w:rsid w:val="00954F46"/>
    <w:rsid w:val="00955062"/>
    <w:rsid w:val="00956422"/>
    <w:rsid w:val="00957245"/>
    <w:rsid w:val="00957A7D"/>
    <w:rsid w:val="00957DC1"/>
    <w:rsid w:val="0096023B"/>
    <w:rsid w:val="00961391"/>
    <w:rsid w:val="00962966"/>
    <w:rsid w:val="009631A3"/>
    <w:rsid w:val="00964F08"/>
    <w:rsid w:val="009656CA"/>
    <w:rsid w:val="00965BEB"/>
    <w:rsid w:val="009668FC"/>
    <w:rsid w:val="00967794"/>
    <w:rsid w:val="00967AB5"/>
    <w:rsid w:val="00967C1D"/>
    <w:rsid w:val="00970229"/>
    <w:rsid w:val="009703E8"/>
    <w:rsid w:val="00970A3B"/>
    <w:rsid w:val="00971D5C"/>
    <w:rsid w:val="00972629"/>
    <w:rsid w:val="00973629"/>
    <w:rsid w:val="00973887"/>
    <w:rsid w:val="00974C2C"/>
    <w:rsid w:val="00976F33"/>
    <w:rsid w:val="00977270"/>
    <w:rsid w:val="00980F85"/>
    <w:rsid w:val="0098226D"/>
    <w:rsid w:val="00984C43"/>
    <w:rsid w:val="00985626"/>
    <w:rsid w:val="009861A1"/>
    <w:rsid w:val="00986E67"/>
    <w:rsid w:val="00986F03"/>
    <w:rsid w:val="009908A1"/>
    <w:rsid w:val="00990D5F"/>
    <w:rsid w:val="00994266"/>
    <w:rsid w:val="0099758F"/>
    <w:rsid w:val="009A0FDA"/>
    <w:rsid w:val="009A2755"/>
    <w:rsid w:val="009A3691"/>
    <w:rsid w:val="009A3A21"/>
    <w:rsid w:val="009A49E6"/>
    <w:rsid w:val="009A53BC"/>
    <w:rsid w:val="009A5F97"/>
    <w:rsid w:val="009A6837"/>
    <w:rsid w:val="009A7CE3"/>
    <w:rsid w:val="009B0D0E"/>
    <w:rsid w:val="009B518F"/>
    <w:rsid w:val="009B52CE"/>
    <w:rsid w:val="009B554E"/>
    <w:rsid w:val="009B5894"/>
    <w:rsid w:val="009B61EB"/>
    <w:rsid w:val="009B65B9"/>
    <w:rsid w:val="009C13CC"/>
    <w:rsid w:val="009C3716"/>
    <w:rsid w:val="009C587C"/>
    <w:rsid w:val="009C76A4"/>
    <w:rsid w:val="009D06AB"/>
    <w:rsid w:val="009D1366"/>
    <w:rsid w:val="009D2520"/>
    <w:rsid w:val="009D37B8"/>
    <w:rsid w:val="009D3F55"/>
    <w:rsid w:val="009D587B"/>
    <w:rsid w:val="009D5C11"/>
    <w:rsid w:val="009D6FA6"/>
    <w:rsid w:val="009D6FB5"/>
    <w:rsid w:val="009D7D5A"/>
    <w:rsid w:val="009E072F"/>
    <w:rsid w:val="009E07E3"/>
    <w:rsid w:val="009E2007"/>
    <w:rsid w:val="009E3756"/>
    <w:rsid w:val="009E479E"/>
    <w:rsid w:val="009E60B9"/>
    <w:rsid w:val="009F064F"/>
    <w:rsid w:val="009F1D19"/>
    <w:rsid w:val="009F3008"/>
    <w:rsid w:val="009F327C"/>
    <w:rsid w:val="009F3F49"/>
    <w:rsid w:val="009F459D"/>
    <w:rsid w:val="009F51B5"/>
    <w:rsid w:val="00A0000A"/>
    <w:rsid w:val="00A0001A"/>
    <w:rsid w:val="00A00E82"/>
    <w:rsid w:val="00A0149C"/>
    <w:rsid w:val="00A025F9"/>
    <w:rsid w:val="00A02C42"/>
    <w:rsid w:val="00A02C63"/>
    <w:rsid w:val="00A03580"/>
    <w:rsid w:val="00A03EFB"/>
    <w:rsid w:val="00A06010"/>
    <w:rsid w:val="00A105B4"/>
    <w:rsid w:val="00A10944"/>
    <w:rsid w:val="00A10CA3"/>
    <w:rsid w:val="00A1272B"/>
    <w:rsid w:val="00A128B5"/>
    <w:rsid w:val="00A1322E"/>
    <w:rsid w:val="00A13BAB"/>
    <w:rsid w:val="00A13D88"/>
    <w:rsid w:val="00A140D0"/>
    <w:rsid w:val="00A1428F"/>
    <w:rsid w:val="00A14CFA"/>
    <w:rsid w:val="00A150C2"/>
    <w:rsid w:val="00A15519"/>
    <w:rsid w:val="00A164C0"/>
    <w:rsid w:val="00A17029"/>
    <w:rsid w:val="00A172EE"/>
    <w:rsid w:val="00A202E1"/>
    <w:rsid w:val="00A21B21"/>
    <w:rsid w:val="00A23236"/>
    <w:rsid w:val="00A237B5"/>
    <w:rsid w:val="00A24010"/>
    <w:rsid w:val="00A240EC"/>
    <w:rsid w:val="00A24716"/>
    <w:rsid w:val="00A26886"/>
    <w:rsid w:val="00A2730E"/>
    <w:rsid w:val="00A30409"/>
    <w:rsid w:val="00A3156B"/>
    <w:rsid w:val="00A32C22"/>
    <w:rsid w:val="00A33168"/>
    <w:rsid w:val="00A34675"/>
    <w:rsid w:val="00A347C4"/>
    <w:rsid w:val="00A35FF5"/>
    <w:rsid w:val="00A368AA"/>
    <w:rsid w:val="00A42505"/>
    <w:rsid w:val="00A43E5B"/>
    <w:rsid w:val="00A44FFE"/>
    <w:rsid w:val="00A46979"/>
    <w:rsid w:val="00A46A5D"/>
    <w:rsid w:val="00A507D9"/>
    <w:rsid w:val="00A53E79"/>
    <w:rsid w:val="00A54D48"/>
    <w:rsid w:val="00A54DAF"/>
    <w:rsid w:val="00A55037"/>
    <w:rsid w:val="00A5572F"/>
    <w:rsid w:val="00A5737B"/>
    <w:rsid w:val="00A57498"/>
    <w:rsid w:val="00A57A95"/>
    <w:rsid w:val="00A60095"/>
    <w:rsid w:val="00A6013E"/>
    <w:rsid w:val="00A61E94"/>
    <w:rsid w:val="00A6242C"/>
    <w:rsid w:val="00A62CB1"/>
    <w:rsid w:val="00A62F09"/>
    <w:rsid w:val="00A63386"/>
    <w:rsid w:val="00A70F85"/>
    <w:rsid w:val="00A711FF"/>
    <w:rsid w:val="00A71E64"/>
    <w:rsid w:val="00A73795"/>
    <w:rsid w:val="00A73B34"/>
    <w:rsid w:val="00A74397"/>
    <w:rsid w:val="00A74A0D"/>
    <w:rsid w:val="00A74E36"/>
    <w:rsid w:val="00A752B0"/>
    <w:rsid w:val="00A763E9"/>
    <w:rsid w:val="00A779D0"/>
    <w:rsid w:val="00A77D52"/>
    <w:rsid w:val="00A80A17"/>
    <w:rsid w:val="00A80DBE"/>
    <w:rsid w:val="00A81DC3"/>
    <w:rsid w:val="00A822EE"/>
    <w:rsid w:val="00A83693"/>
    <w:rsid w:val="00A8497C"/>
    <w:rsid w:val="00A86762"/>
    <w:rsid w:val="00A90125"/>
    <w:rsid w:val="00A902D2"/>
    <w:rsid w:val="00A91E1B"/>
    <w:rsid w:val="00A92388"/>
    <w:rsid w:val="00A92490"/>
    <w:rsid w:val="00A93BF8"/>
    <w:rsid w:val="00A94D39"/>
    <w:rsid w:val="00A95399"/>
    <w:rsid w:val="00A97B05"/>
    <w:rsid w:val="00AA08FD"/>
    <w:rsid w:val="00AA3479"/>
    <w:rsid w:val="00AA3638"/>
    <w:rsid w:val="00AA54A4"/>
    <w:rsid w:val="00AA6AA1"/>
    <w:rsid w:val="00AA763D"/>
    <w:rsid w:val="00AB0426"/>
    <w:rsid w:val="00AB0AD5"/>
    <w:rsid w:val="00AB1C34"/>
    <w:rsid w:val="00AB3AE9"/>
    <w:rsid w:val="00AB42C2"/>
    <w:rsid w:val="00AB44CA"/>
    <w:rsid w:val="00AB4F10"/>
    <w:rsid w:val="00AB7A94"/>
    <w:rsid w:val="00AC303E"/>
    <w:rsid w:val="00AC4144"/>
    <w:rsid w:val="00AC5544"/>
    <w:rsid w:val="00AC7365"/>
    <w:rsid w:val="00AD06C6"/>
    <w:rsid w:val="00AD1C5D"/>
    <w:rsid w:val="00AD274E"/>
    <w:rsid w:val="00AD2808"/>
    <w:rsid w:val="00AD2CBF"/>
    <w:rsid w:val="00AD3A89"/>
    <w:rsid w:val="00AD3E0D"/>
    <w:rsid w:val="00AD5216"/>
    <w:rsid w:val="00AD5AAB"/>
    <w:rsid w:val="00AD5F4C"/>
    <w:rsid w:val="00AE0888"/>
    <w:rsid w:val="00AE21E7"/>
    <w:rsid w:val="00AE4DBA"/>
    <w:rsid w:val="00AF1ACA"/>
    <w:rsid w:val="00AF20F9"/>
    <w:rsid w:val="00AF2876"/>
    <w:rsid w:val="00AF3185"/>
    <w:rsid w:val="00AF32BE"/>
    <w:rsid w:val="00AF3439"/>
    <w:rsid w:val="00AF3F19"/>
    <w:rsid w:val="00AF43E5"/>
    <w:rsid w:val="00AF4FE5"/>
    <w:rsid w:val="00AF7107"/>
    <w:rsid w:val="00AF7D5A"/>
    <w:rsid w:val="00B00078"/>
    <w:rsid w:val="00B001D0"/>
    <w:rsid w:val="00B0128F"/>
    <w:rsid w:val="00B01ED9"/>
    <w:rsid w:val="00B0349D"/>
    <w:rsid w:val="00B03FD6"/>
    <w:rsid w:val="00B04593"/>
    <w:rsid w:val="00B053EC"/>
    <w:rsid w:val="00B059B8"/>
    <w:rsid w:val="00B0675E"/>
    <w:rsid w:val="00B07539"/>
    <w:rsid w:val="00B07B82"/>
    <w:rsid w:val="00B10F85"/>
    <w:rsid w:val="00B112D5"/>
    <w:rsid w:val="00B114A8"/>
    <w:rsid w:val="00B11888"/>
    <w:rsid w:val="00B12A24"/>
    <w:rsid w:val="00B12DE7"/>
    <w:rsid w:val="00B137ED"/>
    <w:rsid w:val="00B14025"/>
    <w:rsid w:val="00B147D8"/>
    <w:rsid w:val="00B156EE"/>
    <w:rsid w:val="00B2144F"/>
    <w:rsid w:val="00B21475"/>
    <w:rsid w:val="00B21EB2"/>
    <w:rsid w:val="00B220D9"/>
    <w:rsid w:val="00B22251"/>
    <w:rsid w:val="00B2232F"/>
    <w:rsid w:val="00B22987"/>
    <w:rsid w:val="00B22CE5"/>
    <w:rsid w:val="00B244A6"/>
    <w:rsid w:val="00B253A9"/>
    <w:rsid w:val="00B26B13"/>
    <w:rsid w:val="00B306AA"/>
    <w:rsid w:val="00B308AA"/>
    <w:rsid w:val="00B30E91"/>
    <w:rsid w:val="00B33244"/>
    <w:rsid w:val="00B33639"/>
    <w:rsid w:val="00B3385F"/>
    <w:rsid w:val="00B34E34"/>
    <w:rsid w:val="00B35A27"/>
    <w:rsid w:val="00B35D95"/>
    <w:rsid w:val="00B35E2D"/>
    <w:rsid w:val="00B36290"/>
    <w:rsid w:val="00B41FD3"/>
    <w:rsid w:val="00B423F0"/>
    <w:rsid w:val="00B42877"/>
    <w:rsid w:val="00B44AFA"/>
    <w:rsid w:val="00B45322"/>
    <w:rsid w:val="00B50C78"/>
    <w:rsid w:val="00B5138F"/>
    <w:rsid w:val="00B53282"/>
    <w:rsid w:val="00B532AA"/>
    <w:rsid w:val="00B566F3"/>
    <w:rsid w:val="00B569B4"/>
    <w:rsid w:val="00B57385"/>
    <w:rsid w:val="00B6342B"/>
    <w:rsid w:val="00B63885"/>
    <w:rsid w:val="00B63CB3"/>
    <w:rsid w:val="00B65C85"/>
    <w:rsid w:val="00B672EB"/>
    <w:rsid w:val="00B6739E"/>
    <w:rsid w:val="00B67CF6"/>
    <w:rsid w:val="00B71545"/>
    <w:rsid w:val="00B717BE"/>
    <w:rsid w:val="00B73634"/>
    <w:rsid w:val="00B7363F"/>
    <w:rsid w:val="00B73874"/>
    <w:rsid w:val="00B73BC9"/>
    <w:rsid w:val="00B77F03"/>
    <w:rsid w:val="00B81C1A"/>
    <w:rsid w:val="00B83302"/>
    <w:rsid w:val="00B83B63"/>
    <w:rsid w:val="00B84BE9"/>
    <w:rsid w:val="00B85C3D"/>
    <w:rsid w:val="00B86B12"/>
    <w:rsid w:val="00B91CBD"/>
    <w:rsid w:val="00B91E78"/>
    <w:rsid w:val="00B926A6"/>
    <w:rsid w:val="00B92933"/>
    <w:rsid w:val="00B92C12"/>
    <w:rsid w:val="00B92EE8"/>
    <w:rsid w:val="00B944C4"/>
    <w:rsid w:val="00B95CA1"/>
    <w:rsid w:val="00B963D1"/>
    <w:rsid w:val="00B967DA"/>
    <w:rsid w:val="00B96BCD"/>
    <w:rsid w:val="00B97547"/>
    <w:rsid w:val="00BA0009"/>
    <w:rsid w:val="00BA1504"/>
    <w:rsid w:val="00BA2205"/>
    <w:rsid w:val="00BA35A8"/>
    <w:rsid w:val="00BA41AF"/>
    <w:rsid w:val="00BA4F0A"/>
    <w:rsid w:val="00BA4F13"/>
    <w:rsid w:val="00BA515C"/>
    <w:rsid w:val="00BA750F"/>
    <w:rsid w:val="00BA7D2B"/>
    <w:rsid w:val="00BB0A38"/>
    <w:rsid w:val="00BB184C"/>
    <w:rsid w:val="00BB1DB9"/>
    <w:rsid w:val="00BB21BD"/>
    <w:rsid w:val="00BB3409"/>
    <w:rsid w:val="00BB349E"/>
    <w:rsid w:val="00BB3874"/>
    <w:rsid w:val="00BB3C60"/>
    <w:rsid w:val="00BB4017"/>
    <w:rsid w:val="00BB58A2"/>
    <w:rsid w:val="00BB63E9"/>
    <w:rsid w:val="00BB758E"/>
    <w:rsid w:val="00BC1B99"/>
    <w:rsid w:val="00BC407C"/>
    <w:rsid w:val="00BC4179"/>
    <w:rsid w:val="00BC476E"/>
    <w:rsid w:val="00BC737C"/>
    <w:rsid w:val="00BD1423"/>
    <w:rsid w:val="00BD2449"/>
    <w:rsid w:val="00BD2FD3"/>
    <w:rsid w:val="00BD3975"/>
    <w:rsid w:val="00BD3ABA"/>
    <w:rsid w:val="00BD46FC"/>
    <w:rsid w:val="00BD5762"/>
    <w:rsid w:val="00BD5D12"/>
    <w:rsid w:val="00BD7A0F"/>
    <w:rsid w:val="00BE05D1"/>
    <w:rsid w:val="00BE209D"/>
    <w:rsid w:val="00BE476F"/>
    <w:rsid w:val="00BE51DB"/>
    <w:rsid w:val="00BE5578"/>
    <w:rsid w:val="00BE6705"/>
    <w:rsid w:val="00BE7522"/>
    <w:rsid w:val="00BE7DB5"/>
    <w:rsid w:val="00BF017F"/>
    <w:rsid w:val="00BF02D1"/>
    <w:rsid w:val="00BF127E"/>
    <w:rsid w:val="00BF194B"/>
    <w:rsid w:val="00BF29A1"/>
    <w:rsid w:val="00BF5443"/>
    <w:rsid w:val="00BF6C09"/>
    <w:rsid w:val="00C00A0F"/>
    <w:rsid w:val="00C023C9"/>
    <w:rsid w:val="00C024E0"/>
    <w:rsid w:val="00C0645F"/>
    <w:rsid w:val="00C110BD"/>
    <w:rsid w:val="00C1152B"/>
    <w:rsid w:val="00C11C0E"/>
    <w:rsid w:val="00C12ED8"/>
    <w:rsid w:val="00C134D4"/>
    <w:rsid w:val="00C1412E"/>
    <w:rsid w:val="00C148AD"/>
    <w:rsid w:val="00C14C03"/>
    <w:rsid w:val="00C14D07"/>
    <w:rsid w:val="00C15942"/>
    <w:rsid w:val="00C164F1"/>
    <w:rsid w:val="00C1782E"/>
    <w:rsid w:val="00C17973"/>
    <w:rsid w:val="00C202CC"/>
    <w:rsid w:val="00C209B8"/>
    <w:rsid w:val="00C20A97"/>
    <w:rsid w:val="00C2259D"/>
    <w:rsid w:val="00C234FA"/>
    <w:rsid w:val="00C23A25"/>
    <w:rsid w:val="00C24829"/>
    <w:rsid w:val="00C27975"/>
    <w:rsid w:val="00C27AD1"/>
    <w:rsid w:val="00C3007E"/>
    <w:rsid w:val="00C30E90"/>
    <w:rsid w:val="00C30E9D"/>
    <w:rsid w:val="00C32811"/>
    <w:rsid w:val="00C35F9D"/>
    <w:rsid w:val="00C361D1"/>
    <w:rsid w:val="00C37A4A"/>
    <w:rsid w:val="00C41BBB"/>
    <w:rsid w:val="00C42F2A"/>
    <w:rsid w:val="00C44433"/>
    <w:rsid w:val="00C450FF"/>
    <w:rsid w:val="00C4735F"/>
    <w:rsid w:val="00C50349"/>
    <w:rsid w:val="00C51077"/>
    <w:rsid w:val="00C510E2"/>
    <w:rsid w:val="00C512D8"/>
    <w:rsid w:val="00C52B1D"/>
    <w:rsid w:val="00C5313B"/>
    <w:rsid w:val="00C5600F"/>
    <w:rsid w:val="00C57D39"/>
    <w:rsid w:val="00C603C5"/>
    <w:rsid w:val="00C60B53"/>
    <w:rsid w:val="00C623F7"/>
    <w:rsid w:val="00C64233"/>
    <w:rsid w:val="00C66FA5"/>
    <w:rsid w:val="00C67CF1"/>
    <w:rsid w:val="00C67F66"/>
    <w:rsid w:val="00C72061"/>
    <w:rsid w:val="00C758EC"/>
    <w:rsid w:val="00C75DA9"/>
    <w:rsid w:val="00C76002"/>
    <w:rsid w:val="00C807F3"/>
    <w:rsid w:val="00C8489E"/>
    <w:rsid w:val="00C84AEF"/>
    <w:rsid w:val="00C90821"/>
    <w:rsid w:val="00C90EB8"/>
    <w:rsid w:val="00C91BA2"/>
    <w:rsid w:val="00C92833"/>
    <w:rsid w:val="00C94350"/>
    <w:rsid w:val="00CA0287"/>
    <w:rsid w:val="00CA0C33"/>
    <w:rsid w:val="00CA1932"/>
    <w:rsid w:val="00CA336E"/>
    <w:rsid w:val="00CA45A8"/>
    <w:rsid w:val="00CA47F6"/>
    <w:rsid w:val="00CA4F91"/>
    <w:rsid w:val="00CA6115"/>
    <w:rsid w:val="00CA62C6"/>
    <w:rsid w:val="00CB0BD3"/>
    <w:rsid w:val="00CB0C3F"/>
    <w:rsid w:val="00CB1E94"/>
    <w:rsid w:val="00CB32E1"/>
    <w:rsid w:val="00CB4258"/>
    <w:rsid w:val="00CB4CDA"/>
    <w:rsid w:val="00CB531F"/>
    <w:rsid w:val="00CB6111"/>
    <w:rsid w:val="00CB6351"/>
    <w:rsid w:val="00CB6A05"/>
    <w:rsid w:val="00CB6FC8"/>
    <w:rsid w:val="00CC12C4"/>
    <w:rsid w:val="00CC1E8E"/>
    <w:rsid w:val="00CC237B"/>
    <w:rsid w:val="00CC2759"/>
    <w:rsid w:val="00CC38FD"/>
    <w:rsid w:val="00CC3C2A"/>
    <w:rsid w:val="00CC6094"/>
    <w:rsid w:val="00CC7830"/>
    <w:rsid w:val="00CD019F"/>
    <w:rsid w:val="00CD1672"/>
    <w:rsid w:val="00CD2365"/>
    <w:rsid w:val="00CD3300"/>
    <w:rsid w:val="00CD33BA"/>
    <w:rsid w:val="00CD6AE7"/>
    <w:rsid w:val="00CD6B1E"/>
    <w:rsid w:val="00CD78A6"/>
    <w:rsid w:val="00CE069C"/>
    <w:rsid w:val="00CE366C"/>
    <w:rsid w:val="00CE5704"/>
    <w:rsid w:val="00CE5868"/>
    <w:rsid w:val="00CF1174"/>
    <w:rsid w:val="00CF1579"/>
    <w:rsid w:val="00CF1649"/>
    <w:rsid w:val="00CF3A32"/>
    <w:rsid w:val="00CF45E8"/>
    <w:rsid w:val="00CF45F3"/>
    <w:rsid w:val="00CF54D5"/>
    <w:rsid w:val="00D001BC"/>
    <w:rsid w:val="00D01AF5"/>
    <w:rsid w:val="00D02BAE"/>
    <w:rsid w:val="00D02DB5"/>
    <w:rsid w:val="00D04F2E"/>
    <w:rsid w:val="00D070AF"/>
    <w:rsid w:val="00D071F2"/>
    <w:rsid w:val="00D07732"/>
    <w:rsid w:val="00D07BA2"/>
    <w:rsid w:val="00D111D5"/>
    <w:rsid w:val="00D11D06"/>
    <w:rsid w:val="00D11E1B"/>
    <w:rsid w:val="00D12EDC"/>
    <w:rsid w:val="00D13434"/>
    <w:rsid w:val="00D13A6C"/>
    <w:rsid w:val="00D15C05"/>
    <w:rsid w:val="00D20D77"/>
    <w:rsid w:val="00D211AA"/>
    <w:rsid w:val="00D213D0"/>
    <w:rsid w:val="00D27053"/>
    <w:rsid w:val="00D27FF9"/>
    <w:rsid w:val="00D311C1"/>
    <w:rsid w:val="00D31910"/>
    <w:rsid w:val="00D31AEC"/>
    <w:rsid w:val="00D324F5"/>
    <w:rsid w:val="00D3371D"/>
    <w:rsid w:val="00D339EF"/>
    <w:rsid w:val="00D35E5C"/>
    <w:rsid w:val="00D3620F"/>
    <w:rsid w:val="00D42639"/>
    <w:rsid w:val="00D436E5"/>
    <w:rsid w:val="00D43C6F"/>
    <w:rsid w:val="00D44C17"/>
    <w:rsid w:val="00D4530E"/>
    <w:rsid w:val="00D45380"/>
    <w:rsid w:val="00D506AD"/>
    <w:rsid w:val="00D50AEE"/>
    <w:rsid w:val="00D51C7F"/>
    <w:rsid w:val="00D52F16"/>
    <w:rsid w:val="00D55991"/>
    <w:rsid w:val="00D60868"/>
    <w:rsid w:val="00D608A5"/>
    <w:rsid w:val="00D63AF4"/>
    <w:rsid w:val="00D651BD"/>
    <w:rsid w:val="00D6539E"/>
    <w:rsid w:val="00D65746"/>
    <w:rsid w:val="00D71A85"/>
    <w:rsid w:val="00D71BE1"/>
    <w:rsid w:val="00D7201F"/>
    <w:rsid w:val="00D744D4"/>
    <w:rsid w:val="00D74743"/>
    <w:rsid w:val="00D74A54"/>
    <w:rsid w:val="00D75823"/>
    <w:rsid w:val="00D75A49"/>
    <w:rsid w:val="00D75CAD"/>
    <w:rsid w:val="00D764A5"/>
    <w:rsid w:val="00D77DDC"/>
    <w:rsid w:val="00D80153"/>
    <w:rsid w:val="00D801AD"/>
    <w:rsid w:val="00D84AE8"/>
    <w:rsid w:val="00D86002"/>
    <w:rsid w:val="00D867F5"/>
    <w:rsid w:val="00D911AF"/>
    <w:rsid w:val="00D9158D"/>
    <w:rsid w:val="00D9173E"/>
    <w:rsid w:val="00D922D4"/>
    <w:rsid w:val="00D93912"/>
    <w:rsid w:val="00D93E9A"/>
    <w:rsid w:val="00D93F0C"/>
    <w:rsid w:val="00D95EFE"/>
    <w:rsid w:val="00D975EB"/>
    <w:rsid w:val="00D976F9"/>
    <w:rsid w:val="00DA5834"/>
    <w:rsid w:val="00DA6E1E"/>
    <w:rsid w:val="00DB18F4"/>
    <w:rsid w:val="00DB306D"/>
    <w:rsid w:val="00DB34F6"/>
    <w:rsid w:val="00DB39E4"/>
    <w:rsid w:val="00DB5BFA"/>
    <w:rsid w:val="00DB6BE7"/>
    <w:rsid w:val="00DB6E15"/>
    <w:rsid w:val="00DB6FA9"/>
    <w:rsid w:val="00DB7DC3"/>
    <w:rsid w:val="00DC1177"/>
    <w:rsid w:val="00DC2106"/>
    <w:rsid w:val="00DC32E4"/>
    <w:rsid w:val="00DC3990"/>
    <w:rsid w:val="00DC4B86"/>
    <w:rsid w:val="00DC4D44"/>
    <w:rsid w:val="00DC5F8A"/>
    <w:rsid w:val="00DC7F94"/>
    <w:rsid w:val="00DD019C"/>
    <w:rsid w:val="00DD02A6"/>
    <w:rsid w:val="00DD1C87"/>
    <w:rsid w:val="00DD28E9"/>
    <w:rsid w:val="00DD3FCE"/>
    <w:rsid w:val="00DD4135"/>
    <w:rsid w:val="00DD475D"/>
    <w:rsid w:val="00DD4A60"/>
    <w:rsid w:val="00DD615D"/>
    <w:rsid w:val="00DD6B8A"/>
    <w:rsid w:val="00DD7AC5"/>
    <w:rsid w:val="00DE00E8"/>
    <w:rsid w:val="00DE191E"/>
    <w:rsid w:val="00DE1931"/>
    <w:rsid w:val="00DE43D9"/>
    <w:rsid w:val="00DE5DC2"/>
    <w:rsid w:val="00DE675A"/>
    <w:rsid w:val="00DE7A0D"/>
    <w:rsid w:val="00DF175B"/>
    <w:rsid w:val="00DF1B80"/>
    <w:rsid w:val="00DF216C"/>
    <w:rsid w:val="00DF37CB"/>
    <w:rsid w:val="00DF42E8"/>
    <w:rsid w:val="00E004CC"/>
    <w:rsid w:val="00E00598"/>
    <w:rsid w:val="00E0225B"/>
    <w:rsid w:val="00E0272D"/>
    <w:rsid w:val="00E03604"/>
    <w:rsid w:val="00E052DA"/>
    <w:rsid w:val="00E073D6"/>
    <w:rsid w:val="00E10C40"/>
    <w:rsid w:val="00E1174E"/>
    <w:rsid w:val="00E12825"/>
    <w:rsid w:val="00E12EC5"/>
    <w:rsid w:val="00E13834"/>
    <w:rsid w:val="00E13BC4"/>
    <w:rsid w:val="00E13E8E"/>
    <w:rsid w:val="00E140B6"/>
    <w:rsid w:val="00E14820"/>
    <w:rsid w:val="00E171BA"/>
    <w:rsid w:val="00E179A4"/>
    <w:rsid w:val="00E211D2"/>
    <w:rsid w:val="00E249F5"/>
    <w:rsid w:val="00E24FE2"/>
    <w:rsid w:val="00E26A6D"/>
    <w:rsid w:val="00E26B0E"/>
    <w:rsid w:val="00E27098"/>
    <w:rsid w:val="00E319AD"/>
    <w:rsid w:val="00E3625E"/>
    <w:rsid w:val="00E369F0"/>
    <w:rsid w:val="00E40312"/>
    <w:rsid w:val="00E415FA"/>
    <w:rsid w:val="00E41CA8"/>
    <w:rsid w:val="00E42382"/>
    <w:rsid w:val="00E42932"/>
    <w:rsid w:val="00E44E53"/>
    <w:rsid w:val="00E46833"/>
    <w:rsid w:val="00E5110A"/>
    <w:rsid w:val="00E51687"/>
    <w:rsid w:val="00E522E8"/>
    <w:rsid w:val="00E52AF8"/>
    <w:rsid w:val="00E52C03"/>
    <w:rsid w:val="00E52C89"/>
    <w:rsid w:val="00E53230"/>
    <w:rsid w:val="00E545BD"/>
    <w:rsid w:val="00E54F0E"/>
    <w:rsid w:val="00E5770F"/>
    <w:rsid w:val="00E578E0"/>
    <w:rsid w:val="00E601D8"/>
    <w:rsid w:val="00E6078B"/>
    <w:rsid w:val="00E612EF"/>
    <w:rsid w:val="00E62133"/>
    <w:rsid w:val="00E637FD"/>
    <w:rsid w:val="00E63968"/>
    <w:rsid w:val="00E64021"/>
    <w:rsid w:val="00E64B68"/>
    <w:rsid w:val="00E64FFE"/>
    <w:rsid w:val="00E67EF4"/>
    <w:rsid w:val="00E7046A"/>
    <w:rsid w:val="00E71A8D"/>
    <w:rsid w:val="00E724A3"/>
    <w:rsid w:val="00E744F2"/>
    <w:rsid w:val="00E74932"/>
    <w:rsid w:val="00E749FD"/>
    <w:rsid w:val="00E755C4"/>
    <w:rsid w:val="00E757A2"/>
    <w:rsid w:val="00E76EC1"/>
    <w:rsid w:val="00E77915"/>
    <w:rsid w:val="00E77FF3"/>
    <w:rsid w:val="00E80226"/>
    <w:rsid w:val="00E81F1A"/>
    <w:rsid w:val="00E83542"/>
    <w:rsid w:val="00E83F1F"/>
    <w:rsid w:val="00E845C4"/>
    <w:rsid w:val="00E846E1"/>
    <w:rsid w:val="00E86432"/>
    <w:rsid w:val="00E90231"/>
    <w:rsid w:val="00E93AFE"/>
    <w:rsid w:val="00E95348"/>
    <w:rsid w:val="00EA3D83"/>
    <w:rsid w:val="00EA6AAC"/>
    <w:rsid w:val="00EA6C10"/>
    <w:rsid w:val="00EA7C09"/>
    <w:rsid w:val="00EB0AED"/>
    <w:rsid w:val="00EB3C27"/>
    <w:rsid w:val="00EB4673"/>
    <w:rsid w:val="00EB5790"/>
    <w:rsid w:val="00EB5A7D"/>
    <w:rsid w:val="00EB72B4"/>
    <w:rsid w:val="00EC0034"/>
    <w:rsid w:val="00EC0529"/>
    <w:rsid w:val="00EC0EDF"/>
    <w:rsid w:val="00EC1F24"/>
    <w:rsid w:val="00EC2624"/>
    <w:rsid w:val="00EC3979"/>
    <w:rsid w:val="00EC5A9B"/>
    <w:rsid w:val="00EC6500"/>
    <w:rsid w:val="00ED1066"/>
    <w:rsid w:val="00ED316F"/>
    <w:rsid w:val="00ED3307"/>
    <w:rsid w:val="00ED4DA9"/>
    <w:rsid w:val="00ED4DC5"/>
    <w:rsid w:val="00ED5557"/>
    <w:rsid w:val="00ED5613"/>
    <w:rsid w:val="00ED660C"/>
    <w:rsid w:val="00ED6759"/>
    <w:rsid w:val="00ED7C6A"/>
    <w:rsid w:val="00EE0A14"/>
    <w:rsid w:val="00EE1634"/>
    <w:rsid w:val="00EE20AC"/>
    <w:rsid w:val="00EE20EE"/>
    <w:rsid w:val="00EE301D"/>
    <w:rsid w:val="00EE47AA"/>
    <w:rsid w:val="00EE4D89"/>
    <w:rsid w:val="00EE513C"/>
    <w:rsid w:val="00EE7223"/>
    <w:rsid w:val="00EF0399"/>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BD7"/>
    <w:rsid w:val="00F154AA"/>
    <w:rsid w:val="00F2117B"/>
    <w:rsid w:val="00F22522"/>
    <w:rsid w:val="00F24080"/>
    <w:rsid w:val="00F243E1"/>
    <w:rsid w:val="00F270EE"/>
    <w:rsid w:val="00F30014"/>
    <w:rsid w:val="00F301F6"/>
    <w:rsid w:val="00F3385F"/>
    <w:rsid w:val="00F3386F"/>
    <w:rsid w:val="00F33B60"/>
    <w:rsid w:val="00F347CA"/>
    <w:rsid w:val="00F35231"/>
    <w:rsid w:val="00F359B0"/>
    <w:rsid w:val="00F36002"/>
    <w:rsid w:val="00F36C4F"/>
    <w:rsid w:val="00F3785F"/>
    <w:rsid w:val="00F42EF8"/>
    <w:rsid w:val="00F44C8E"/>
    <w:rsid w:val="00F47FA4"/>
    <w:rsid w:val="00F51463"/>
    <w:rsid w:val="00F53320"/>
    <w:rsid w:val="00F53E0A"/>
    <w:rsid w:val="00F5416B"/>
    <w:rsid w:val="00F56987"/>
    <w:rsid w:val="00F57635"/>
    <w:rsid w:val="00F5789B"/>
    <w:rsid w:val="00F61D43"/>
    <w:rsid w:val="00F61F6B"/>
    <w:rsid w:val="00F65028"/>
    <w:rsid w:val="00F658AD"/>
    <w:rsid w:val="00F658F6"/>
    <w:rsid w:val="00F65BC0"/>
    <w:rsid w:val="00F66C6B"/>
    <w:rsid w:val="00F67B9F"/>
    <w:rsid w:val="00F67E7A"/>
    <w:rsid w:val="00F7103B"/>
    <w:rsid w:val="00F7348B"/>
    <w:rsid w:val="00F74D92"/>
    <w:rsid w:val="00F7518B"/>
    <w:rsid w:val="00F7658A"/>
    <w:rsid w:val="00F7799C"/>
    <w:rsid w:val="00F800AA"/>
    <w:rsid w:val="00F84343"/>
    <w:rsid w:val="00F86016"/>
    <w:rsid w:val="00F86F12"/>
    <w:rsid w:val="00F9420E"/>
    <w:rsid w:val="00F94A06"/>
    <w:rsid w:val="00F95AAF"/>
    <w:rsid w:val="00F96592"/>
    <w:rsid w:val="00F96C0A"/>
    <w:rsid w:val="00F96CA8"/>
    <w:rsid w:val="00F97075"/>
    <w:rsid w:val="00FA07FF"/>
    <w:rsid w:val="00FA0999"/>
    <w:rsid w:val="00FA1E95"/>
    <w:rsid w:val="00FA300F"/>
    <w:rsid w:val="00FA582C"/>
    <w:rsid w:val="00FA58AF"/>
    <w:rsid w:val="00FA5B89"/>
    <w:rsid w:val="00FA6C63"/>
    <w:rsid w:val="00FB143C"/>
    <w:rsid w:val="00FB271C"/>
    <w:rsid w:val="00FB2E16"/>
    <w:rsid w:val="00FB2E73"/>
    <w:rsid w:val="00FB373A"/>
    <w:rsid w:val="00FB3CA5"/>
    <w:rsid w:val="00FB3E26"/>
    <w:rsid w:val="00FB50D0"/>
    <w:rsid w:val="00FC03B4"/>
    <w:rsid w:val="00FC3388"/>
    <w:rsid w:val="00FC372D"/>
    <w:rsid w:val="00FC4598"/>
    <w:rsid w:val="00FC631A"/>
    <w:rsid w:val="00FC6DD6"/>
    <w:rsid w:val="00FD1C54"/>
    <w:rsid w:val="00FE24DC"/>
    <w:rsid w:val="00FE3A25"/>
    <w:rsid w:val="00FE3B46"/>
    <w:rsid w:val="00FE43E7"/>
    <w:rsid w:val="00FE4B74"/>
    <w:rsid w:val="00FE5A29"/>
    <w:rsid w:val="00FE5CC1"/>
    <w:rsid w:val="00FF14BC"/>
    <w:rsid w:val="00FF2D72"/>
    <w:rsid w:val="00FF5C54"/>
    <w:rsid w:val="00FF75B6"/>
    <w:rsid w:val="032536AE"/>
    <w:rsid w:val="03257395"/>
    <w:rsid w:val="09884983"/>
    <w:rsid w:val="0AC6573A"/>
    <w:rsid w:val="0BC605CC"/>
    <w:rsid w:val="0E7B1E6B"/>
    <w:rsid w:val="10D30E9F"/>
    <w:rsid w:val="16952EFB"/>
    <w:rsid w:val="1B501AE0"/>
    <w:rsid w:val="1D487D41"/>
    <w:rsid w:val="1D8E1F5C"/>
    <w:rsid w:val="2923229A"/>
    <w:rsid w:val="2A465301"/>
    <w:rsid w:val="2A8547D8"/>
    <w:rsid w:val="34282790"/>
    <w:rsid w:val="39201E14"/>
    <w:rsid w:val="40185C63"/>
    <w:rsid w:val="44990667"/>
    <w:rsid w:val="47465CD4"/>
    <w:rsid w:val="4908426D"/>
    <w:rsid w:val="493252AA"/>
    <w:rsid w:val="4FE51E47"/>
    <w:rsid w:val="50BF4103"/>
    <w:rsid w:val="528929EE"/>
    <w:rsid w:val="5608424E"/>
    <w:rsid w:val="5A797258"/>
    <w:rsid w:val="5E291182"/>
    <w:rsid w:val="649C6437"/>
    <w:rsid w:val="675D5AD8"/>
    <w:rsid w:val="697F0D7F"/>
    <w:rsid w:val="6C5736D3"/>
    <w:rsid w:val="6D4A4013"/>
    <w:rsid w:val="6FD75EC2"/>
    <w:rsid w:val="70A2061B"/>
    <w:rsid w:val="71503AFB"/>
    <w:rsid w:val="72703FCD"/>
    <w:rsid w:val="772D24F9"/>
    <w:rsid w:val="77932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7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2"/>
    <w:qFormat/>
    <w:uiPriority w:val="0"/>
    <w:pPr>
      <w:keepNext/>
      <w:keepLines/>
      <w:spacing w:before="260" w:after="260" w:line="416" w:lineRule="auto"/>
      <w:outlineLvl w:val="2"/>
    </w:pPr>
    <w:rPr>
      <w:b/>
      <w:bCs/>
      <w:sz w:val="32"/>
      <w:szCs w:val="32"/>
    </w:rPr>
  </w:style>
  <w:style w:type="paragraph" w:styleId="5">
    <w:name w:val="heading 4"/>
    <w:basedOn w:val="1"/>
    <w:next w:val="1"/>
    <w:link w:val="105"/>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6">
    <w:name w:val="heading 5"/>
    <w:basedOn w:val="1"/>
    <w:next w:val="1"/>
    <w:link w:val="168"/>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7">
    <w:name w:val="heading 6"/>
    <w:basedOn w:val="1"/>
    <w:next w:val="1"/>
    <w:link w:val="141"/>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8">
    <w:name w:val="heading 7"/>
    <w:basedOn w:val="1"/>
    <w:next w:val="1"/>
    <w:link w:val="131"/>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9">
    <w:name w:val="heading 8"/>
    <w:basedOn w:val="1"/>
    <w:next w:val="1"/>
    <w:link w:val="98"/>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0">
    <w:name w:val="heading 9"/>
    <w:basedOn w:val="1"/>
    <w:next w:val="1"/>
    <w:link w:val="128"/>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3">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pPr>
  </w:style>
  <w:style w:type="paragraph" w:styleId="12">
    <w:name w:val="toc 7"/>
    <w:basedOn w:val="1"/>
    <w:next w:val="1"/>
    <w:qFormat/>
    <w:uiPriority w:val="0"/>
    <w:pPr>
      <w:ind w:left="1260"/>
      <w:jc w:val="left"/>
    </w:pPr>
    <w:rPr>
      <w:rFonts w:ascii="仿宋_GB2312" w:eastAsia="仿宋_GB2312"/>
      <w:sz w:val="18"/>
      <w:szCs w:val="18"/>
    </w:rPr>
  </w:style>
  <w:style w:type="paragraph" w:styleId="13">
    <w:name w:val="index 8"/>
    <w:basedOn w:val="1"/>
    <w:next w:val="1"/>
    <w:qFormat/>
    <w:uiPriority w:val="0"/>
    <w:pPr>
      <w:widowControl/>
      <w:ind w:left="1920" w:hanging="240"/>
      <w:jc w:val="left"/>
    </w:pPr>
    <w:rPr>
      <w:rFonts w:ascii="仿宋_GB2312" w:eastAsia="仿宋_GB2312"/>
      <w:kern w:val="0"/>
      <w:sz w:val="24"/>
      <w:szCs w:val="28"/>
    </w:rPr>
  </w:style>
  <w:style w:type="paragraph" w:styleId="14">
    <w:name w:val="Normal Indent"/>
    <w:basedOn w:val="1"/>
    <w:link w:val="73"/>
    <w:qFormat/>
    <w:uiPriority w:val="0"/>
    <w:pPr>
      <w:widowControl/>
      <w:adjustRightInd w:val="0"/>
      <w:snapToGrid w:val="0"/>
      <w:spacing w:line="480" w:lineRule="exact"/>
      <w:ind w:firstLine="567"/>
    </w:pPr>
    <w:rPr>
      <w:rFonts w:ascii="宋体"/>
      <w:snapToGrid w:val="0"/>
      <w:color w:val="000000"/>
      <w:kern w:val="28"/>
      <w:sz w:val="28"/>
    </w:rPr>
  </w:style>
  <w:style w:type="paragraph" w:styleId="15">
    <w:name w:val="caption"/>
    <w:basedOn w:val="1"/>
    <w:next w:val="1"/>
    <w:qFormat/>
    <w:uiPriority w:val="0"/>
    <w:pPr>
      <w:widowControl/>
      <w:spacing w:after="480"/>
      <w:jc w:val="left"/>
    </w:pPr>
    <w:rPr>
      <w:b/>
      <w:bCs/>
      <w:color w:val="4F81BD"/>
      <w:kern w:val="0"/>
      <w:sz w:val="18"/>
      <w:szCs w:val="18"/>
      <w:lang w:eastAsia="en-US" w:bidi="en-US"/>
    </w:rPr>
  </w:style>
  <w:style w:type="paragraph" w:styleId="16">
    <w:name w:val="index 5"/>
    <w:basedOn w:val="1"/>
    <w:next w:val="1"/>
    <w:qFormat/>
    <w:uiPriority w:val="0"/>
    <w:pPr>
      <w:widowControl/>
      <w:ind w:left="1200" w:hanging="240"/>
      <w:jc w:val="left"/>
    </w:pPr>
    <w:rPr>
      <w:rFonts w:ascii="仿宋_GB2312" w:eastAsia="仿宋_GB2312"/>
      <w:kern w:val="0"/>
      <w:sz w:val="24"/>
      <w:szCs w:val="28"/>
    </w:rPr>
  </w:style>
  <w:style w:type="paragraph" w:styleId="17">
    <w:name w:val="List Bullet"/>
    <w:basedOn w:val="18"/>
    <w:qFormat/>
    <w:uiPriority w:val="0"/>
    <w:pPr>
      <w:widowControl/>
      <w:numPr>
        <w:ilvl w:val="0"/>
        <w:numId w:val="2"/>
      </w:numPr>
      <w:tabs>
        <w:tab w:val="left" w:pos="840"/>
      </w:tabs>
      <w:spacing w:line="360" w:lineRule="auto"/>
      <w:ind w:right="720" w:firstLine="0" w:firstLineChars="0"/>
      <w:jc w:val="left"/>
    </w:pPr>
    <w:rPr>
      <w:kern w:val="0"/>
      <w:sz w:val="24"/>
      <w:szCs w:val="20"/>
    </w:rPr>
  </w:style>
  <w:style w:type="paragraph" w:styleId="18">
    <w:name w:val="List"/>
    <w:basedOn w:val="1"/>
    <w:qFormat/>
    <w:uiPriority w:val="0"/>
    <w:pPr>
      <w:ind w:left="200" w:hanging="200" w:hangingChars="200"/>
    </w:pPr>
    <w:rPr>
      <w:rFonts w:ascii="仿宋_GB2312" w:eastAsia="仿宋_GB2312"/>
      <w:sz w:val="28"/>
      <w:szCs w:val="28"/>
    </w:rPr>
  </w:style>
  <w:style w:type="paragraph" w:styleId="19">
    <w:name w:val="Document Map"/>
    <w:basedOn w:val="1"/>
    <w:link w:val="129"/>
    <w:qFormat/>
    <w:uiPriority w:val="0"/>
    <w:pPr>
      <w:shd w:val="clear" w:color="auto" w:fill="000080"/>
    </w:pPr>
    <w:rPr>
      <w:kern w:val="0"/>
      <w:sz w:val="20"/>
      <w:szCs w:val="24"/>
      <w:shd w:val="clear" w:color="auto" w:fill="000080"/>
    </w:rPr>
  </w:style>
  <w:style w:type="paragraph" w:styleId="20">
    <w:name w:val="annotation text"/>
    <w:basedOn w:val="1"/>
    <w:link w:val="175"/>
    <w:unhideWhenUsed/>
    <w:qFormat/>
    <w:uiPriority w:val="99"/>
    <w:pPr>
      <w:jc w:val="left"/>
    </w:pPr>
    <w:rPr>
      <w:rFonts w:ascii="仿宋_GB2312" w:eastAsia="仿宋_GB2312"/>
      <w:sz w:val="28"/>
      <w:szCs w:val="28"/>
    </w:rPr>
  </w:style>
  <w:style w:type="paragraph" w:styleId="21">
    <w:name w:val="index 6"/>
    <w:basedOn w:val="1"/>
    <w:next w:val="1"/>
    <w:qFormat/>
    <w:uiPriority w:val="0"/>
    <w:pPr>
      <w:widowControl/>
      <w:ind w:left="1440" w:hanging="240"/>
      <w:jc w:val="left"/>
    </w:pPr>
    <w:rPr>
      <w:rFonts w:ascii="仿宋_GB2312" w:eastAsia="仿宋_GB2312"/>
      <w:kern w:val="0"/>
      <w:sz w:val="24"/>
      <w:szCs w:val="28"/>
    </w:rPr>
  </w:style>
  <w:style w:type="paragraph" w:styleId="22">
    <w:name w:val="Body Text 3"/>
    <w:basedOn w:val="1"/>
    <w:link w:val="93"/>
    <w:qFormat/>
    <w:uiPriority w:val="0"/>
    <w:rPr>
      <w:rFonts w:ascii="宋体" w:hAnsi="宋体"/>
      <w:b/>
      <w:bCs/>
      <w:sz w:val="24"/>
      <w:szCs w:val="24"/>
    </w:rPr>
  </w:style>
  <w:style w:type="paragraph" w:styleId="23">
    <w:name w:val="Body Text"/>
    <w:basedOn w:val="1"/>
    <w:link w:val="80"/>
    <w:qFormat/>
    <w:uiPriority w:val="0"/>
    <w:rPr>
      <w:rFonts w:eastAsia="黑体"/>
      <w:b/>
      <w:bCs/>
      <w:spacing w:val="20"/>
      <w:kern w:val="52"/>
      <w:sz w:val="56"/>
      <w:szCs w:val="24"/>
    </w:rPr>
  </w:style>
  <w:style w:type="paragraph" w:styleId="24">
    <w:name w:val="Body Text Indent"/>
    <w:basedOn w:val="1"/>
    <w:link w:val="125"/>
    <w:qFormat/>
    <w:uiPriority w:val="0"/>
    <w:pPr>
      <w:spacing w:line="360" w:lineRule="auto"/>
      <w:ind w:firstLine="435"/>
    </w:pPr>
    <w:rPr>
      <w:sz w:val="28"/>
      <w:szCs w:val="24"/>
    </w:rPr>
  </w:style>
  <w:style w:type="paragraph" w:styleId="25">
    <w:name w:val="List Number 3"/>
    <w:basedOn w:val="1"/>
    <w:qFormat/>
    <w:uiPriority w:val="0"/>
    <w:pPr>
      <w:numPr>
        <w:ilvl w:val="0"/>
        <w:numId w:val="3"/>
      </w:numPr>
      <w:contextualSpacing/>
    </w:pPr>
    <w:rPr>
      <w:rFonts w:ascii="仿宋_GB2312" w:eastAsia="仿宋_GB2312"/>
      <w:sz w:val="28"/>
      <w:szCs w:val="28"/>
    </w:rPr>
  </w:style>
  <w:style w:type="paragraph" w:styleId="26">
    <w:name w:val="List 2"/>
    <w:basedOn w:val="18"/>
    <w:qFormat/>
    <w:uiPriority w:val="0"/>
    <w:pPr>
      <w:spacing w:after="120" w:line="400" w:lineRule="exact"/>
      <w:ind w:left="0" w:firstLine="0" w:firstLineChars="0"/>
    </w:pPr>
    <w:rPr>
      <w:sz w:val="24"/>
      <w:szCs w:val="20"/>
    </w:rPr>
  </w:style>
  <w:style w:type="paragraph" w:styleId="27">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8">
    <w:name w:val="index 4"/>
    <w:basedOn w:val="1"/>
    <w:next w:val="1"/>
    <w:qFormat/>
    <w:uiPriority w:val="0"/>
    <w:pPr>
      <w:widowControl/>
      <w:ind w:left="960" w:hanging="240"/>
      <w:jc w:val="left"/>
    </w:pPr>
    <w:rPr>
      <w:rFonts w:ascii="仿宋_GB2312" w:eastAsia="仿宋_GB2312"/>
      <w:kern w:val="0"/>
      <w:sz w:val="24"/>
      <w:szCs w:val="28"/>
    </w:rPr>
  </w:style>
  <w:style w:type="paragraph" w:styleId="29">
    <w:name w:val="toc 5"/>
    <w:basedOn w:val="1"/>
    <w:next w:val="1"/>
    <w:qFormat/>
    <w:uiPriority w:val="0"/>
    <w:pPr>
      <w:ind w:left="840"/>
      <w:jc w:val="left"/>
    </w:pPr>
    <w:rPr>
      <w:rFonts w:ascii="仿宋_GB2312" w:eastAsia="仿宋_GB2312"/>
      <w:sz w:val="18"/>
      <w:szCs w:val="18"/>
    </w:rPr>
  </w:style>
  <w:style w:type="paragraph" w:styleId="30">
    <w:name w:val="toc 3"/>
    <w:basedOn w:val="1"/>
    <w:next w:val="1"/>
    <w:qFormat/>
    <w:uiPriority w:val="0"/>
    <w:pPr>
      <w:ind w:left="420"/>
      <w:jc w:val="left"/>
    </w:pPr>
    <w:rPr>
      <w:rFonts w:ascii="仿宋_GB2312" w:eastAsia="仿宋_GB2312"/>
      <w:i/>
      <w:iCs/>
      <w:sz w:val="20"/>
    </w:rPr>
  </w:style>
  <w:style w:type="paragraph" w:styleId="31">
    <w:name w:val="Plain Text"/>
    <w:basedOn w:val="1"/>
    <w:link w:val="121"/>
    <w:qFormat/>
    <w:uiPriority w:val="0"/>
    <w:rPr>
      <w:rFonts w:ascii="宋体" w:hAnsi="Courier New"/>
    </w:rPr>
  </w:style>
  <w:style w:type="paragraph" w:styleId="32">
    <w:name w:val="toc 8"/>
    <w:basedOn w:val="1"/>
    <w:next w:val="1"/>
    <w:qFormat/>
    <w:uiPriority w:val="0"/>
    <w:pPr>
      <w:ind w:left="1470"/>
      <w:jc w:val="left"/>
    </w:pPr>
    <w:rPr>
      <w:rFonts w:ascii="仿宋_GB2312" w:eastAsia="仿宋_GB2312"/>
      <w:sz w:val="18"/>
      <w:szCs w:val="18"/>
    </w:rPr>
  </w:style>
  <w:style w:type="paragraph" w:styleId="33">
    <w:name w:val="index 3"/>
    <w:basedOn w:val="1"/>
    <w:next w:val="1"/>
    <w:qFormat/>
    <w:uiPriority w:val="0"/>
    <w:pPr>
      <w:widowControl/>
      <w:ind w:left="720" w:hanging="240"/>
      <w:jc w:val="left"/>
    </w:pPr>
    <w:rPr>
      <w:rFonts w:ascii="仿宋_GB2312" w:eastAsia="仿宋_GB2312"/>
      <w:kern w:val="0"/>
      <w:sz w:val="24"/>
      <w:szCs w:val="28"/>
    </w:rPr>
  </w:style>
  <w:style w:type="paragraph" w:styleId="34">
    <w:name w:val="Date"/>
    <w:basedOn w:val="1"/>
    <w:next w:val="1"/>
    <w:link w:val="146"/>
    <w:qFormat/>
    <w:uiPriority w:val="0"/>
    <w:pPr>
      <w:ind w:left="100" w:leftChars="2500"/>
    </w:pPr>
  </w:style>
  <w:style w:type="paragraph" w:styleId="35">
    <w:name w:val="Body Text Indent 2"/>
    <w:basedOn w:val="1"/>
    <w:link w:val="96"/>
    <w:qFormat/>
    <w:uiPriority w:val="0"/>
    <w:pPr>
      <w:spacing w:line="432" w:lineRule="auto"/>
      <w:ind w:firstLine="480" w:firstLineChars="200"/>
    </w:pPr>
    <w:rPr>
      <w:sz w:val="24"/>
      <w:szCs w:val="21"/>
    </w:rPr>
  </w:style>
  <w:style w:type="paragraph" w:styleId="36">
    <w:name w:val="endnote text"/>
    <w:basedOn w:val="1"/>
    <w:link w:val="120"/>
    <w:qFormat/>
    <w:uiPriority w:val="0"/>
    <w:pPr>
      <w:snapToGrid w:val="0"/>
      <w:jc w:val="left"/>
    </w:pPr>
    <w:rPr>
      <w:rFonts w:ascii="仿宋_GB2312" w:eastAsia="仿宋_GB2312"/>
      <w:sz w:val="28"/>
      <w:szCs w:val="28"/>
    </w:rPr>
  </w:style>
  <w:style w:type="paragraph" w:styleId="37">
    <w:name w:val="Balloon Text"/>
    <w:basedOn w:val="1"/>
    <w:link w:val="108"/>
    <w:semiHidden/>
    <w:qFormat/>
    <w:uiPriority w:val="0"/>
    <w:rPr>
      <w:sz w:val="18"/>
      <w:szCs w:val="18"/>
    </w:rPr>
  </w:style>
  <w:style w:type="paragraph" w:styleId="38">
    <w:name w:val="footer"/>
    <w:basedOn w:val="1"/>
    <w:link w:val="151"/>
    <w:qFormat/>
    <w:uiPriority w:val="0"/>
    <w:pPr>
      <w:tabs>
        <w:tab w:val="center" w:pos="4153"/>
        <w:tab w:val="right" w:pos="8306"/>
      </w:tabs>
      <w:snapToGrid w:val="0"/>
      <w:jc w:val="left"/>
    </w:pPr>
    <w:rPr>
      <w:sz w:val="18"/>
      <w:szCs w:val="18"/>
    </w:rPr>
  </w:style>
  <w:style w:type="paragraph" w:styleId="39">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0">
    <w:name w:val="toc 1"/>
    <w:basedOn w:val="1"/>
    <w:next w:val="1"/>
    <w:qFormat/>
    <w:uiPriority w:val="39"/>
    <w:pPr>
      <w:spacing w:line="360" w:lineRule="auto"/>
    </w:pPr>
    <w:rPr>
      <w:rFonts w:eastAsia="仿宋_GB2312"/>
      <w:sz w:val="32"/>
    </w:rPr>
  </w:style>
  <w:style w:type="paragraph" w:styleId="41">
    <w:name w:val="toc 4"/>
    <w:basedOn w:val="1"/>
    <w:next w:val="1"/>
    <w:qFormat/>
    <w:uiPriority w:val="0"/>
    <w:pPr>
      <w:ind w:left="630"/>
      <w:jc w:val="left"/>
    </w:pPr>
    <w:rPr>
      <w:rFonts w:ascii="仿宋_GB2312" w:eastAsia="仿宋_GB2312"/>
      <w:sz w:val="18"/>
      <w:szCs w:val="18"/>
    </w:rPr>
  </w:style>
  <w:style w:type="paragraph" w:styleId="42">
    <w:name w:val="index heading"/>
    <w:basedOn w:val="1"/>
    <w:next w:val="43"/>
    <w:qFormat/>
    <w:uiPriority w:val="0"/>
    <w:pPr>
      <w:widowControl/>
      <w:jc w:val="left"/>
    </w:pPr>
    <w:rPr>
      <w:rFonts w:ascii="仿宋_GB2312" w:eastAsia="仿宋_GB2312"/>
      <w:kern w:val="0"/>
      <w:sz w:val="24"/>
      <w:szCs w:val="28"/>
    </w:rPr>
  </w:style>
  <w:style w:type="paragraph" w:styleId="43">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4">
    <w:name w:val="Subtitle"/>
    <w:basedOn w:val="1"/>
    <w:next w:val="1"/>
    <w:qFormat/>
    <w:uiPriority w:val="0"/>
    <w:pPr>
      <w:widowControl/>
      <w:spacing w:after="480" w:line="276" w:lineRule="auto"/>
      <w:jc w:val="left"/>
    </w:pPr>
    <w:rPr>
      <w:rFonts w:ascii="Cambria" w:hAnsi="Cambria"/>
      <w:i/>
      <w:iCs/>
      <w:color w:val="4F81BD"/>
      <w:spacing w:val="15"/>
      <w:kern w:val="0"/>
      <w:sz w:val="24"/>
      <w:szCs w:val="24"/>
      <w:lang w:eastAsia="en-US" w:bidi="en-US"/>
    </w:rPr>
  </w:style>
  <w:style w:type="paragraph" w:styleId="45">
    <w:name w:val="footnote text"/>
    <w:basedOn w:val="1"/>
    <w:link w:val="81"/>
    <w:qFormat/>
    <w:uiPriority w:val="0"/>
    <w:pPr>
      <w:snapToGrid w:val="0"/>
      <w:jc w:val="left"/>
    </w:pPr>
    <w:rPr>
      <w:rFonts w:ascii="仿宋_GB2312" w:eastAsia="仿宋_GB2312"/>
      <w:sz w:val="18"/>
      <w:szCs w:val="18"/>
    </w:rPr>
  </w:style>
  <w:style w:type="paragraph" w:styleId="46">
    <w:name w:val="toc 6"/>
    <w:basedOn w:val="1"/>
    <w:next w:val="1"/>
    <w:qFormat/>
    <w:uiPriority w:val="0"/>
    <w:pPr>
      <w:ind w:left="1050"/>
      <w:jc w:val="left"/>
    </w:pPr>
    <w:rPr>
      <w:rFonts w:ascii="仿宋_GB2312" w:eastAsia="仿宋_GB2312"/>
      <w:sz w:val="18"/>
      <w:szCs w:val="18"/>
    </w:rPr>
  </w:style>
  <w:style w:type="paragraph" w:styleId="47">
    <w:name w:val="Body Text Indent 3"/>
    <w:basedOn w:val="1"/>
    <w:link w:val="173"/>
    <w:qFormat/>
    <w:uiPriority w:val="0"/>
    <w:pPr>
      <w:spacing w:line="540" w:lineRule="exact"/>
      <w:ind w:left="479" w:leftChars="228"/>
    </w:pPr>
    <w:rPr>
      <w:rFonts w:ascii="隶书" w:hAnsi="宋体" w:eastAsia="隶书"/>
      <w:szCs w:val="24"/>
    </w:rPr>
  </w:style>
  <w:style w:type="paragraph" w:styleId="48">
    <w:name w:val="index 7"/>
    <w:basedOn w:val="1"/>
    <w:next w:val="1"/>
    <w:qFormat/>
    <w:uiPriority w:val="0"/>
    <w:pPr>
      <w:widowControl/>
      <w:ind w:left="1680" w:hanging="240"/>
      <w:jc w:val="left"/>
    </w:pPr>
    <w:rPr>
      <w:rFonts w:ascii="仿宋_GB2312" w:eastAsia="仿宋_GB2312"/>
      <w:kern w:val="0"/>
      <w:sz w:val="24"/>
      <w:szCs w:val="28"/>
    </w:rPr>
  </w:style>
  <w:style w:type="paragraph" w:styleId="49">
    <w:name w:val="index 9"/>
    <w:basedOn w:val="1"/>
    <w:next w:val="1"/>
    <w:qFormat/>
    <w:uiPriority w:val="0"/>
    <w:pPr>
      <w:widowControl/>
      <w:ind w:left="2160" w:hanging="240"/>
      <w:jc w:val="left"/>
    </w:pPr>
    <w:rPr>
      <w:rFonts w:ascii="仿宋_GB2312" w:eastAsia="仿宋_GB2312"/>
      <w:kern w:val="0"/>
      <w:sz w:val="24"/>
      <w:szCs w:val="28"/>
    </w:rPr>
  </w:style>
  <w:style w:type="paragraph" w:styleId="50">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1">
    <w:name w:val="toc 2"/>
    <w:basedOn w:val="1"/>
    <w:next w:val="1"/>
    <w:qFormat/>
    <w:uiPriority w:val="39"/>
    <w:pPr>
      <w:ind w:left="210"/>
      <w:jc w:val="left"/>
    </w:pPr>
    <w:rPr>
      <w:rFonts w:ascii="仿宋_GB2312" w:eastAsia="仿宋_GB2312"/>
      <w:smallCaps/>
      <w:sz w:val="20"/>
    </w:rPr>
  </w:style>
  <w:style w:type="paragraph" w:styleId="52">
    <w:name w:val="toc 9"/>
    <w:basedOn w:val="1"/>
    <w:next w:val="1"/>
    <w:qFormat/>
    <w:uiPriority w:val="0"/>
    <w:pPr>
      <w:ind w:left="1680"/>
      <w:jc w:val="left"/>
    </w:pPr>
    <w:rPr>
      <w:rFonts w:ascii="仿宋_GB2312" w:eastAsia="仿宋_GB2312"/>
      <w:sz w:val="18"/>
      <w:szCs w:val="18"/>
    </w:rPr>
  </w:style>
  <w:style w:type="paragraph" w:styleId="53">
    <w:name w:val="Body Text 2"/>
    <w:basedOn w:val="1"/>
    <w:link w:val="89"/>
    <w:qFormat/>
    <w:uiPriority w:val="0"/>
    <w:pPr>
      <w:spacing w:line="360" w:lineRule="auto"/>
    </w:pPr>
    <w:rPr>
      <w:sz w:val="24"/>
      <w:szCs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5">
    <w:name w:val="index 2"/>
    <w:basedOn w:val="1"/>
    <w:next w:val="1"/>
    <w:qFormat/>
    <w:uiPriority w:val="0"/>
    <w:pPr>
      <w:widowControl/>
      <w:ind w:left="480" w:hanging="240"/>
      <w:jc w:val="left"/>
    </w:pPr>
    <w:rPr>
      <w:rFonts w:ascii="仿宋_GB2312" w:eastAsia="仿宋_GB2312"/>
      <w:kern w:val="0"/>
      <w:sz w:val="24"/>
      <w:szCs w:val="28"/>
    </w:rPr>
  </w:style>
  <w:style w:type="paragraph" w:styleId="56">
    <w:name w:val="Title"/>
    <w:basedOn w:val="1"/>
    <w:next w:val="1"/>
    <w:link w:val="167"/>
    <w:qFormat/>
    <w:uiPriority w:val="0"/>
    <w:pPr>
      <w:jc w:val="center"/>
    </w:pPr>
    <w:rPr>
      <w:rFonts w:ascii="Arial" w:hAnsi="Arial"/>
      <w:b/>
      <w:kern w:val="0"/>
      <w:sz w:val="36"/>
      <w:lang w:eastAsia="en-US"/>
    </w:rPr>
  </w:style>
  <w:style w:type="paragraph" w:styleId="57">
    <w:name w:val="annotation subject"/>
    <w:basedOn w:val="20"/>
    <w:next w:val="20"/>
    <w:link w:val="79"/>
    <w:qFormat/>
    <w:uiPriority w:val="0"/>
    <w:rPr>
      <w:rFonts w:ascii="Times New Roman" w:eastAsia="宋体"/>
      <w:b/>
      <w:bCs/>
      <w:sz w:val="21"/>
      <w:szCs w:val="24"/>
    </w:rPr>
  </w:style>
  <w:style w:type="paragraph" w:styleId="58">
    <w:name w:val="Body Text First Indent"/>
    <w:basedOn w:val="23"/>
    <w:link w:val="164"/>
    <w:qFormat/>
    <w:uiPriority w:val="0"/>
    <w:pPr>
      <w:adjustRightInd w:val="0"/>
      <w:spacing w:after="120" w:line="360" w:lineRule="auto"/>
      <w:ind w:firstLine="420"/>
      <w:textAlignment w:val="baseline"/>
    </w:pPr>
    <w:rPr>
      <w:rFonts w:eastAsia="KaiTi_GB2312"/>
      <w:b w:val="0"/>
      <w:bCs w:val="0"/>
      <w:spacing w:val="0"/>
      <w:kern w:val="0"/>
      <w:sz w:val="24"/>
      <w:szCs w:val="20"/>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1">
    <w:name w:val="Table Elegant"/>
    <w:basedOn w:val="5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2">
    <w:name w:val="Table Classic 1"/>
    <w:basedOn w:val="59"/>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style>
  <w:style w:type="character" w:styleId="67">
    <w:name w:val="FollowedHyperlink"/>
    <w:qFormat/>
    <w:uiPriority w:val="0"/>
    <w:rPr>
      <w:color w:val="800080"/>
      <w:u w:val="single"/>
    </w:rPr>
  </w:style>
  <w:style w:type="character" w:styleId="68">
    <w:name w:val="Emphasis"/>
    <w:qFormat/>
    <w:uiPriority w:val="0"/>
    <w:rPr>
      <w:color w:val="CC0000"/>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styleId="71">
    <w:name w:val="footnote reference"/>
    <w:qFormat/>
    <w:uiPriority w:val="0"/>
    <w:rPr>
      <w:vertAlign w:val="superscript"/>
    </w:rPr>
  </w:style>
  <w:style w:type="character" w:customStyle="1" w:styleId="72">
    <w:name w:val="番茄花园"/>
    <w:qFormat/>
    <w:uiPriority w:val="0"/>
    <w:rPr>
      <w:rFonts w:ascii="Arial" w:hAnsi="Arial" w:eastAsia="宋体" w:cs="Arial"/>
      <w:color w:val="000080"/>
      <w:sz w:val="18"/>
      <w:szCs w:val="20"/>
    </w:rPr>
  </w:style>
  <w:style w:type="character" w:customStyle="1" w:styleId="73">
    <w:name w:val="正文缩进 Char"/>
    <w:link w:val="14"/>
    <w:qFormat/>
    <w:uiPriority w:val="0"/>
    <w:rPr>
      <w:rFonts w:ascii="宋体" w:eastAsia="宋体"/>
      <w:snapToGrid w:val="0"/>
      <w:color w:val="000000"/>
      <w:kern w:val="28"/>
      <w:sz w:val="28"/>
      <w:lang w:val="en-US" w:eastAsia="zh-CN" w:bidi="ar-SA"/>
    </w:rPr>
  </w:style>
  <w:style w:type="character" w:customStyle="1" w:styleId="74">
    <w:name w:val="Char Char18"/>
    <w:qFormat/>
    <w:uiPriority w:val="0"/>
    <w:rPr>
      <w:rFonts w:ascii="Cambria" w:hAnsi="Cambria" w:eastAsia="宋体" w:cs="Times New Roman"/>
      <w:i/>
      <w:iCs/>
      <w:color w:val="404040"/>
      <w:sz w:val="20"/>
      <w:szCs w:val="20"/>
    </w:rPr>
  </w:style>
  <w:style w:type="character" w:customStyle="1" w:styleId="75">
    <w:name w:val="H5 Char"/>
    <w:qFormat/>
    <w:uiPriority w:val="0"/>
    <w:rPr>
      <w:rFonts w:ascii="Arial" w:hAnsi="Arial"/>
      <w:sz w:val="22"/>
    </w:rPr>
  </w:style>
  <w:style w:type="character" w:customStyle="1" w:styleId="76">
    <w:name w:val="H6 Char1"/>
    <w:qFormat/>
    <w:uiPriority w:val="0"/>
    <w:rPr>
      <w:rFonts w:ascii="Arial" w:hAnsi="Arial" w:eastAsia="宋体" w:cs="Times New Roman"/>
      <w:i/>
      <w:sz w:val="22"/>
      <w:szCs w:val="28"/>
    </w:rPr>
  </w:style>
  <w:style w:type="character" w:customStyle="1" w:styleId="77">
    <w:name w:val="g1"/>
    <w:qFormat/>
    <w:uiPriority w:val="0"/>
    <w:rPr>
      <w:color w:val="008000"/>
    </w:rPr>
  </w:style>
  <w:style w:type="character" w:customStyle="1" w:styleId="78">
    <w:name w:val="文档结构图 Char1"/>
    <w:semiHidden/>
    <w:qFormat/>
    <w:uiPriority w:val="0"/>
    <w:rPr>
      <w:rFonts w:ascii="宋体" w:hAnsi="Times New Roman" w:eastAsia="宋体" w:cs="Times New Roman"/>
      <w:sz w:val="18"/>
      <w:szCs w:val="18"/>
    </w:rPr>
  </w:style>
  <w:style w:type="character" w:customStyle="1" w:styleId="79">
    <w:name w:val="批注主题 Char"/>
    <w:link w:val="57"/>
    <w:qFormat/>
    <w:uiPriority w:val="0"/>
    <w:rPr>
      <w:rFonts w:eastAsia="宋体"/>
      <w:b/>
      <w:bCs/>
      <w:kern w:val="2"/>
      <w:sz w:val="21"/>
      <w:szCs w:val="24"/>
      <w:lang w:val="en-US" w:eastAsia="zh-CN" w:bidi="ar-SA"/>
    </w:rPr>
  </w:style>
  <w:style w:type="character" w:customStyle="1" w:styleId="80">
    <w:name w:val="正文文本 Char2"/>
    <w:link w:val="23"/>
    <w:qFormat/>
    <w:uiPriority w:val="0"/>
    <w:rPr>
      <w:rFonts w:eastAsia="黑体"/>
      <w:b/>
      <w:bCs/>
      <w:spacing w:val="20"/>
      <w:kern w:val="52"/>
      <w:sz w:val="56"/>
      <w:szCs w:val="24"/>
      <w:lang w:val="en-US" w:eastAsia="zh-CN" w:bidi="ar-SA"/>
    </w:rPr>
  </w:style>
  <w:style w:type="character" w:customStyle="1" w:styleId="81">
    <w:name w:val="脚注文本 Char"/>
    <w:link w:val="45"/>
    <w:qFormat/>
    <w:uiPriority w:val="0"/>
    <w:rPr>
      <w:rFonts w:ascii="仿宋_GB2312" w:eastAsia="仿宋_GB2312"/>
      <w:kern w:val="2"/>
      <w:sz w:val="18"/>
      <w:szCs w:val="18"/>
      <w:lang w:val="en-US" w:eastAsia="zh-CN" w:bidi="ar-SA"/>
    </w:rPr>
  </w:style>
  <w:style w:type="character" w:customStyle="1" w:styleId="82">
    <w:name w:val="普通文字 Char Char6"/>
    <w:qFormat/>
    <w:uiPriority w:val="0"/>
    <w:rPr>
      <w:rFonts w:ascii="宋体" w:hAnsi="Courier New" w:eastAsia="仿宋_GB2312" w:cs="Times New Roman"/>
      <w:kern w:val="0"/>
      <w:sz w:val="28"/>
      <w:szCs w:val="20"/>
      <w:lang w:val="en-US" w:eastAsia="zh-CN"/>
    </w:rPr>
  </w:style>
  <w:style w:type="character" w:customStyle="1" w:styleId="83">
    <w:name w:val="h1 Char"/>
    <w:qFormat/>
    <w:uiPriority w:val="0"/>
    <w:rPr>
      <w:rFonts w:ascii="Calibri" w:hAnsi="Calibri"/>
      <w:b/>
      <w:bCs/>
      <w:kern w:val="44"/>
      <w:sz w:val="44"/>
      <w:szCs w:val="44"/>
    </w:rPr>
  </w:style>
  <w:style w:type="character" w:customStyle="1" w:styleId="84">
    <w:name w:val="书籍标题1"/>
    <w:qFormat/>
    <w:uiPriority w:val="0"/>
    <w:rPr>
      <w:b/>
      <w:bCs/>
      <w:smallCaps/>
      <w:spacing w:val="5"/>
    </w:rPr>
  </w:style>
  <w:style w:type="character" w:customStyle="1" w:styleId="85">
    <w:name w:val="EHPT Char"/>
    <w:qFormat/>
    <w:uiPriority w:val="0"/>
    <w:rPr>
      <w:rFonts w:ascii="Calibri" w:hAnsi="Calibri" w:eastAsia="宋体"/>
      <w:kern w:val="2"/>
      <w:sz w:val="21"/>
      <w:szCs w:val="22"/>
      <w:lang w:val="en-US" w:eastAsia="zh-CN" w:bidi="ar-SA"/>
    </w:rPr>
  </w:style>
  <w:style w:type="character" w:customStyle="1" w:styleId="86">
    <w:name w:val="不明显强调1"/>
    <w:qFormat/>
    <w:uiPriority w:val="0"/>
    <w:rPr>
      <w:i/>
      <w:iCs/>
      <w:color w:val="808080"/>
    </w:rPr>
  </w:style>
  <w:style w:type="character" w:customStyle="1" w:styleId="87">
    <w:name w:val="Char Char20"/>
    <w:qFormat/>
    <w:uiPriority w:val="0"/>
    <w:rPr>
      <w:rFonts w:ascii="Cambria" w:hAnsi="Cambria" w:eastAsia="宋体" w:cs="Times New Roman"/>
      <w:i/>
      <w:iCs/>
      <w:color w:val="404040"/>
    </w:rPr>
  </w:style>
  <w:style w:type="character" w:customStyle="1" w:styleId="88">
    <w:name w:val="PI Char1"/>
    <w:qFormat/>
    <w:uiPriority w:val="0"/>
    <w:rPr>
      <w:rFonts w:ascii="仿宋_GB2312" w:eastAsia="仿宋_GB2312"/>
      <w:kern w:val="2"/>
      <w:sz w:val="28"/>
      <w:szCs w:val="28"/>
      <w:lang w:val="zh-CN" w:eastAsia="zh-CN" w:bidi="ar-SA"/>
    </w:rPr>
  </w:style>
  <w:style w:type="character" w:customStyle="1" w:styleId="89">
    <w:name w:val="正文文本 2 Char"/>
    <w:link w:val="53"/>
    <w:qFormat/>
    <w:uiPriority w:val="0"/>
    <w:rPr>
      <w:rFonts w:eastAsia="宋体"/>
      <w:kern w:val="2"/>
      <w:sz w:val="24"/>
      <w:szCs w:val="24"/>
      <w:lang w:val="en-US" w:eastAsia="zh-CN" w:bidi="ar-SA"/>
    </w:rPr>
  </w:style>
  <w:style w:type="character" w:customStyle="1" w:styleId="90">
    <w:name w:val="标书正文格式 Char"/>
    <w:link w:val="91"/>
    <w:qFormat/>
    <w:uiPriority w:val="0"/>
    <w:rPr>
      <w:rFonts w:ascii="KaiTi_GB2312" w:eastAsia="KaiTi_GB2312"/>
      <w:color w:val="000000"/>
      <w:kern w:val="2"/>
      <w:sz w:val="24"/>
      <w:szCs w:val="24"/>
      <w:lang w:val="en-US" w:eastAsia="zh-CN" w:bidi="ar-SA"/>
    </w:rPr>
  </w:style>
  <w:style w:type="paragraph" w:customStyle="1" w:styleId="91">
    <w:name w:val="标书正文格式"/>
    <w:link w:val="90"/>
    <w:qFormat/>
    <w:uiPriority w:val="0"/>
    <w:pPr>
      <w:spacing w:line="360" w:lineRule="auto"/>
      <w:ind w:firstLine="480" w:firstLineChars="200"/>
    </w:pPr>
    <w:rPr>
      <w:rFonts w:ascii="KaiTi_GB2312" w:hAnsi="Calibri" w:eastAsia="KaiTi_GB2312" w:cs="Times New Roman"/>
      <w:color w:val="000000"/>
      <w:kern w:val="2"/>
      <w:sz w:val="24"/>
      <w:szCs w:val="24"/>
      <w:lang w:val="en-US" w:eastAsia="zh-CN" w:bidi="ar-SA"/>
    </w:rPr>
  </w:style>
  <w:style w:type="character" w:customStyle="1" w:styleId="92">
    <w:name w:val="普通文字 Char Char8"/>
    <w:qFormat/>
    <w:uiPriority w:val="0"/>
    <w:rPr>
      <w:rFonts w:ascii="宋体" w:hAnsi="Courier New" w:eastAsia="宋体"/>
    </w:rPr>
  </w:style>
  <w:style w:type="character" w:customStyle="1" w:styleId="93">
    <w:name w:val="正文文本 3 Char"/>
    <w:link w:val="22"/>
    <w:qFormat/>
    <w:uiPriority w:val="0"/>
    <w:rPr>
      <w:rFonts w:ascii="宋体" w:hAnsi="宋体" w:eastAsia="宋体"/>
      <w:b/>
      <w:bCs/>
      <w:kern w:val="2"/>
      <w:sz w:val="24"/>
      <w:szCs w:val="24"/>
      <w:lang w:val="en-US" w:eastAsia="zh-CN" w:bidi="ar-SA"/>
    </w:rPr>
  </w:style>
  <w:style w:type="character" w:customStyle="1" w:styleId="94">
    <w:name w:val="页脚 Char1"/>
    <w:semiHidden/>
    <w:qFormat/>
    <w:uiPriority w:val="0"/>
    <w:rPr>
      <w:rFonts w:ascii="仿宋_GB2312" w:hAnsi="Times New Roman" w:eastAsia="仿宋_GB2312" w:cs="Times New Roman"/>
      <w:sz w:val="18"/>
      <w:szCs w:val="18"/>
    </w:rPr>
  </w:style>
  <w:style w:type="character" w:customStyle="1" w:styleId="95">
    <w:name w:val="正文文本 Char1"/>
    <w:semiHidden/>
    <w:qFormat/>
    <w:uiPriority w:val="0"/>
    <w:rPr>
      <w:rFonts w:ascii="仿宋_GB2312" w:hAnsi="Times New Roman" w:eastAsia="仿宋_GB2312" w:cs="Times New Roman"/>
      <w:sz w:val="28"/>
      <w:szCs w:val="28"/>
    </w:rPr>
  </w:style>
  <w:style w:type="character" w:customStyle="1" w:styleId="96">
    <w:name w:val="正文文本缩进 2 Char"/>
    <w:link w:val="35"/>
    <w:semiHidden/>
    <w:qFormat/>
    <w:uiPriority w:val="0"/>
    <w:rPr>
      <w:rFonts w:eastAsia="宋体"/>
      <w:kern w:val="2"/>
      <w:sz w:val="24"/>
      <w:szCs w:val="21"/>
      <w:lang w:val="en-US" w:eastAsia="zh-CN" w:bidi="ar-SA"/>
    </w:rPr>
  </w:style>
  <w:style w:type="character" w:customStyle="1" w:styleId="97">
    <w:name w:val="text9"/>
    <w:basedOn w:val="63"/>
    <w:qFormat/>
    <w:uiPriority w:val="0"/>
  </w:style>
  <w:style w:type="character" w:customStyle="1" w:styleId="98">
    <w:name w:val="标题 8 Char"/>
    <w:link w:val="9"/>
    <w:qFormat/>
    <w:uiPriority w:val="0"/>
    <w:rPr>
      <w:rFonts w:ascii="Arial" w:hAnsi="Arial" w:eastAsia="宋体"/>
      <w:i/>
      <w:kern w:val="2"/>
      <w:sz w:val="28"/>
      <w:szCs w:val="28"/>
      <w:lang w:val="en-US" w:eastAsia="zh-CN" w:bidi="ar-SA"/>
    </w:rPr>
  </w:style>
  <w:style w:type="character" w:customStyle="1" w:styleId="99">
    <w:name w:val="标题 3 Char Char"/>
    <w:qFormat/>
    <w:uiPriority w:val="0"/>
    <w:rPr>
      <w:rFonts w:ascii="宋体" w:hAnsi="宋体" w:eastAsia="宋体"/>
      <w:color w:val="666666"/>
      <w:kern w:val="2"/>
      <w:sz w:val="28"/>
      <w:szCs w:val="28"/>
      <w:lang w:val="en-US" w:eastAsia="zh-CN" w:bidi="ar-SA"/>
    </w:rPr>
  </w:style>
  <w:style w:type="character" w:customStyle="1" w:styleId="100">
    <w:name w:val="apple-converted-space"/>
    <w:basedOn w:val="63"/>
    <w:qFormat/>
    <w:uiPriority w:val="0"/>
  </w:style>
  <w:style w:type="character" w:customStyle="1" w:styleId="101">
    <w:name w:val="EHPT Char1"/>
    <w:qFormat/>
    <w:uiPriority w:val="0"/>
    <w:rPr>
      <w:rFonts w:ascii="Calibri" w:hAnsi="Calibri" w:eastAsia="宋体"/>
      <w:kern w:val="2"/>
      <w:sz w:val="21"/>
      <w:szCs w:val="22"/>
      <w:lang w:val="en-US" w:eastAsia="zh-CN" w:bidi="ar-SA"/>
    </w:rPr>
  </w:style>
  <w:style w:type="character" w:customStyle="1" w:styleId="102">
    <w:name w:val="Char Char19"/>
    <w:qFormat/>
    <w:uiPriority w:val="0"/>
    <w:rPr>
      <w:rFonts w:ascii="Cambria" w:hAnsi="Cambria" w:eastAsia="宋体" w:cs="Times New Roman"/>
      <w:color w:val="4F81BD"/>
      <w:sz w:val="20"/>
      <w:szCs w:val="20"/>
    </w:rPr>
  </w:style>
  <w:style w:type="character" w:customStyle="1" w:styleId="103">
    <w:name w:val="Char Char4"/>
    <w:qFormat/>
    <w:uiPriority w:val="0"/>
    <w:rPr>
      <w:rFonts w:ascii="仿宋_GB2312" w:eastAsia="仿宋_GB2312"/>
      <w:kern w:val="2"/>
      <w:sz w:val="28"/>
      <w:szCs w:val="28"/>
      <w:lang w:val="zh-CN" w:eastAsia="zh-CN" w:bidi="ar-SA"/>
    </w:rPr>
  </w:style>
  <w:style w:type="character" w:customStyle="1" w:styleId="104">
    <w:name w:val="EmailStyle191"/>
    <w:semiHidden/>
    <w:qFormat/>
    <w:uiPriority w:val="0"/>
    <w:rPr>
      <w:rFonts w:ascii="Arial" w:hAnsi="Arial" w:eastAsia="宋体" w:cs="Arial"/>
      <w:color w:val="000080"/>
      <w:sz w:val="18"/>
      <w:szCs w:val="20"/>
    </w:rPr>
  </w:style>
  <w:style w:type="character" w:customStyle="1" w:styleId="105">
    <w:name w:val="标题 4 Char"/>
    <w:link w:val="5"/>
    <w:qFormat/>
    <w:uiPriority w:val="0"/>
    <w:rPr>
      <w:rFonts w:ascii="Cambria" w:hAnsi="Cambria" w:eastAsia="宋体"/>
      <w:b/>
      <w:bCs/>
      <w:kern w:val="2"/>
      <w:sz w:val="28"/>
      <w:szCs w:val="28"/>
      <w:lang w:val="en-US" w:eastAsia="zh-CN" w:bidi="ar-SA"/>
    </w:rPr>
  </w:style>
  <w:style w:type="character" w:customStyle="1" w:styleId="106">
    <w:name w:val="正文文本 3 Char1"/>
    <w:semiHidden/>
    <w:qFormat/>
    <w:uiPriority w:val="0"/>
    <w:rPr>
      <w:rFonts w:ascii="仿宋_GB2312" w:hAnsi="Times New Roman" w:eastAsia="仿宋_GB2312" w:cs="Times New Roman"/>
      <w:sz w:val="16"/>
      <w:szCs w:val="16"/>
    </w:rPr>
  </w:style>
  <w:style w:type="character" w:customStyle="1" w:styleId="107">
    <w:name w:val="标题 2 Char"/>
    <w:qFormat/>
    <w:uiPriority w:val="0"/>
    <w:rPr>
      <w:rFonts w:ascii="宋体" w:hAnsi="宋体" w:eastAsia="黑体"/>
      <w:b/>
      <w:bCs/>
      <w:kern w:val="2"/>
      <w:sz w:val="24"/>
      <w:szCs w:val="32"/>
      <w:lang w:val="en-US" w:eastAsia="zh-CN" w:bidi="ar-SA"/>
    </w:rPr>
  </w:style>
  <w:style w:type="character" w:customStyle="1" w:styleId="108">
    <w:name w:val="批注框文本 Char"/>
    <w:link w:val="37"/>
    <w:semiHidden/>
    <w:qFormat/>
    <w:uiPriority w:val="0"/>
    <w:rPr>
      <w:rFonts w:eastAsia="宋体"/>
      <w:kern w:val="2"/>
      <w:sz w:val="18"/>
      <w:szCs w:val="18"/>
      <w:lang w:val="en-US" w:eastAsia="zh-CN" w:bidi="ar-SA"/>
    </w:rPr>
  </w:style>
  <w:style w:type="character" w:customStyle="1" w:styleId="109">
    <w:name w:val="maincontenttable1"/>
    <w:qFormat/>
    <w:uiPriority w:val="0"/>
    <w:rPr>
      <w:sz w:val="18"/>
      <w:szCs w:val="18"/>
    </w:rPr>
  </w:style>
  <w:style w:type="character" w:customStyle="1" w:styleId="110">
    <w:name w:val="纯文本 Char1"/>
    <w:semiHidden/>
    <w:qFormat/>
    <w:uiPriority w:val="0"/>
    <w:rPr>
      <w:rFonts w:ascii="宋体" w:hAnsi="Courier New" w:eastAsia="宋体" w:cs="Courier New"/>
      <w:szCs w:val="21"/>
    </w:rPr>
  </w:style>
  <w:style w:type="character" w:customStyle="1" w:styleId="111">
    <w:name w:val="PI Char"/>
    <w:qFormat/>
    <w:uiPriority w:val="0"/>
    <w:rPr>
      <w:rFonts w:ascii="仿宋_GB2312" w:eastAsia="仿宋_GB2312"/>
      <w:kern w:val="2"/>
      <w:sz w:val="28"/>
      <w:szCs w:val="28"/>
      <w:lang w:val="zh-CN" w:eastAsia="zh-CN" w:bidi="ar-SA"/>
    </w:rPr>
  </w:style>
  <w:style w:type="character" w:customStyle="1" w:styleId="112">
    <w:name w:val="批注主题 Char1"/>
    <w:semiHidden/>
    <w:qFormat/>
    <w:uiPriority w:val="0"/>
    <w:rPr>
      <w:rFonts w:ascii="仿宋_GB2312" w:eastAsia="仿宋_GB2312"/>
      <w:b/>
      <w:bCs/>
      <w:kern w:val="2"/>
      <w:sz w:val="28"/>
      <w:szCs w:val="28"/>
      <w:lang w:val="en-US" w:eastAsia="zh-CN" w:bidi="ar-SA"/>
    </w:rPr>
  </w:style>
  <w:style w:type="character" w:customStyle="1" w:styleId="113">
    <w:name w:val="明显引用 Char"/>
    <w:link w:val="114"/>
    <w:qFormat/>
    <w:uiPriority w:val="0"/>
    <w:rPr>
      <w:rFonts w:ascii="Calibri" w:hAnsi="Calibri" w:eastAsia="宋体"/>
      <w:b/>
      <w:bCs/>
      <w:i/>
      <w:iCs/>
      <w:color w:val="4F81BD"/>
      <w:sz w:val="22"/>
      <w:szCs w:val="22"/>
      <w:lang w:val="en-US" w:eastAsia="en-US" w:bidi="en-US"/>
    </w:rPr>
  </w:style>
  <w:style w:type="paragraph" w:styleId="114">
    <w:name w:val="Intense Quote"/>
    <w:basedOn w:val="1"/>
    <w:next w:val="1"/>
    <w:link w:val="113"/>
    <w:qFormat/>
    <w:uiPriority w:val="0"/>
    <w:pPr>
      <w:widowControl/>
      <w:pBdr>
        <w:bottom w:val="single" w:color="4F81BD" w:sz="4" w:space="4"/>
      </w:pBdr>
      <w:spacing w:before="200" w:after="280" w:line="276" w:lineRule="auto"/>
      <w:ind w:left="936" w:right="936"/>
      <w:jc w:val="left"/>
    </w:pPr>
    <w:rPr>
      <w:b/>
      <w:bCs/>
      <w:i/>
      <w:iCs/>
      <w:color w:val="4F81BD"/>
      <w:kern w:val="0"/>
      <w:sz w:val="22"/>
      <w:szCs w:val="22"/>
      <w:lang w:eastAsia="en-US" w:bidi="en-US"/>
    </w:rPr>
  </w:style>
  <w:style w:type="character" w:customStyle="1" w:styleId="115">
    <w:name w:val="font11"/>
    <w:qFormat/>
    <w:uiPriority w:val="0"/>
    <w:rPr>
      <w:rFonts w:hint="eastAsia" w:ascii="KaiTi_GB2312" w:eastAsia="KaiTi_GB2312"/>
      <w:color w:val="000000"/>
      <w:sz w:val="21"/>
      <w:szCs w:val="21"/>
      <w:u w:val="none"/>
    </w:rPr>
  </w:style>
  <w:style w:type="character" w:customStyle="1" w:styleId="116">
    <w:name w:val="文字 Char"/>
    <w:link w:val="117"/>
    <w:qFormat/>
    <w:uiPriority w:val="0"/>
    <w:rPr>
      <w:rFonts w:ascii="宋体" w:hAnsi="宋体" w:eastAsia="宋体"/>
      <w:sz w:val="28"/>
      <w:lang w:bidi="ar-SA"/>
    </w:rPr>
  </w:style>
  <w:style w:type="paragraph" w:customStyle="1" w:styleId="117">
    <w:name w:val="文字"/>
    <w:basedOn w:val="1"/>
    <w:link w:val="116"/>
    <w:qFormat/>
    <w:uiPriority w:val="0"/>
    <w:pPr>
      <w:tabs>
        <w:tab w:val="left" w:pos="8520"/>
      </w:tabs>
      <w:spacing w:line="312" w:lineRule="auto"/>
      <w:ind w:right="-210" w:firstLine="556"/>
    </w:pPr>
    <w:rPr>
      <w:rFonts w:ascii="宋体" w:hAnsi="宋体"/>
      <w:kern w:val="0"/>
      <w:sz w:val="28"/>
    </w:rPr>
  </w:style>
  <w:style w:type="character" w:customStyle="1" w:styleId="118">
    <w:name w:val="访问过的超链接1"/>
    <w:qFormat/>
    <w:uiPriority w:val="0"/>
    <w:rPr>
      <w:color w:val="800080"/>
      <w:u w:val="single"/>
    </w:rPr>
  </w:style>
  <w:style w:type="character" w:customStyle="1" w:styleId="119">
    <w:name w:val="正文文本缩进 Char"/>
    <w:qFormat/>
    <w:uiPriority w:val="0"/>
    <w:rPr>
      <w:rFonts w:ascii="仿宋_GB2312" w:hAnsi="Times New Roman" w:eastAsia="仿宋_GB2312" w:cs="Times New Roman"/>
      <w:sz w:val="28"/>
      <w:szCs w:val="28"/>
    </w:rPr>
  </w:style>
  <w:style w:type="character" w:customStyle="1" w:styleId="120">
    <w:name w:val="尾注文本 Char"/>
    <w:link w:val="36"/>
    <w:qFormat/>
    <w:uiPriority w:val="0"/>
    <w:rPr>
      <w:rFonts w:ascii="仿宋_GB2312" w:eastAsia="仿宋_GB2312"/>
      <w:kern w:val="2"/>
      <w:sz w:val="28"/>
      <w:szCs w:val="28"/>
      <w:lang w:val="en-US" w:eastAsia="zh-CN" w:bidi="ar-SA"/>
    </w:rPr>
  </w:style>
  <w:style w:type="character" w:customStyle="1" w:styleId="121">
    <w:name w:val="纯文本 Char"/>
    <w:link w:val="31"/>
    <w:qFormat/>
    <w:locked/>
    <w:uiPriority w:val="0"/>
    <w:rPr>
      <w:rFonts w:ascii="宋体" w:hAnsi="Courier New" w:eastAsia="宋体"/>
      <w:kern w:val="2"/>
      <w:sz w:val="21"/>
      <w:lang w:val="en-US" w:eastAsia="zh-CN" w:bidi="ar-SA"/>
    </w:rPr>
  </w:style>
  <w:style w:type="character" w:customStyle="1" w:styleId="122">
    <w:name w:val="标题 3 Char"/>
    <w:link w:val="4"/>
    <w:qFormat/>
    <w:uiPriority w:val="0"/>
    <w:rPr>
      <w:rFonts w:eastAsia="宋体"/>
      <w:b/>
      <w:bCs/>
      <w:kern w:val="2"/>
      <w:sz w:val="32"/>
      <w:szCs w:val="32"/>
      <w:lang w:val="en-US" w:eastAsia="zh-CN" w:bidi="ar-SA"/>
    </w:rPr>
  </w:style>
  <w:style w:type="character" w:customStyle="1" w:styleId="123">
    <w:name w:val="页眉 Char"/>
    <w:link w:val="39"/>
    <w:qFormat/>
    <w:uiPriority w:val="0"/>
    <w:rPr>
      <w:rFonts w:eastAsia="宋体"/>
      <w:kern w:val="2"/>
      <w:sz w:val="18"/>
      <w:lang w:val="en-US" w:eastAsia="zh-CN" w:bidi="ar-SA"/>
    </w:rPr>
  </w:style>
  <w:style w:type="character" w:customStyle="1" w:styleId="124">
    <w:name w:val="Heading 2 Hidden Char2"/>
    <w:qFormat/>
    <w:uiPriority w:val="0"/>
    <w:rPr>
      <w:rFonts w:ascii="Cambria" w:hAnsi="Cambria" w:eastAsia="宋体" w:cs="Times New Roman"/>
      <w:b/>
      <w:bCs/>
      <w:color w:val="4F81BD"/>
      <w:sz w:val="26"/>
      <w:szCs w:val="26"/>
    </w:rPr>
  </w:style>
  <w:style w:type="character" w:customStyle="1" w:styleId="125">
    <w:name w:val="正文文本缩进 Char2"/>
    <w:link w:val="24"/>
    <w:qFormat/>
    <w:uiPriority w:val="0"/>
    <w:rPr>
      <w:rFonts w:eastAsia="宋体"/>
      <w:kern w:val="2"/>
      <w:sz w:val="28"/>
      <w:szCs w:val="24"/>
      <w:lang w:val="en-US" w:eastAsia="zh-CN" w:bidi="ar-SA"/>
    </w:rPr>
  </w:style>
  <w:style w:type="character" w:customStyle="1" w:styleId="126">
    <w:name w:val="正文文本 Char"/>
    <w:qFormat/>
    <w:uiPriority w:val="0"/>
    <w:rPr>
      <w:rFonts w:ascii="仿宋_GB2312" w:hAnsi="Times New Roman" w:eastAsia="仿宋_GB2312" w:cs="Times New Roman"/>
      <w:sz w:val="28"/>
      <w:szCs w:val="28"/>
    </w:rPr>
  </w:style>
  <w:style w:type="character" w:customStyle="1" w:styleId="127">
    <w:name w:val="ca-9"/>
    <w:basedOn w:val="63"/>
    <w:qFormat/>
    <w:uiPriority w:val="0"/>
  </w:style>
  <w:style w:type="character" w:customStyle="1" w:styleId="128">
    <w:name w:val="标题 9 Char"/>
    <w:link w:val="10"/>
    <w:qFormat/>
    <w:uiPriority w:val="0"/>
    <w:rPr>
      <w:rFonts w:ascii="Arial" w:hAnsi="Arial" w:eastAsia="宋体"/>
      <w:i/>
      <w:kern w:val="2"/>
      <w:sz w:val="18"/>
      <w:szCs w:val="28"/>
      <w:lang w:val="en-US" w:eastAsia="zh-CN" w:bidi="ar-SA"/>
    </w:rPr>
  </w:style>
  <w:style w:type="character" w:customStyle="1" w:styleId="129">
    <w:name w:val="文档结构图 Char"/>
    <w:link w:val="19"/>
    <w:qFormat/>
    <w:uiPriority w:val="0"/>
    <w:rPr>
      <w:rFonts w:eastAsia="宋体"/>
      <w:szCs w:val="24"/>
      <w:shd w:val="clear" w:color="auto" w:fill="000080"/>
      <w:lang w:bidi="ar-SA"/>
    </w:rPr>
  </w:style>
  <w:style w:type="character" w:customStyle="1" w:styleId="130">
    <w:name w:val="EHPT Char2"/>
    <w:qFormat/>
    <w:uiPriority w:val="0"/>
    <w:rPr>
      <w:rFonts w:ascii="Calibri" w:hAnsi="Calibri"/>
      <w:kern w:val="2"/>
      <w:sz w:val="21"/>
      <w:szCs w:val="22"/>
    </w:rPr>
  </w:style>
  <w:style w:type="character" w:customStyle="1" w:styleId="131">
    <w:name w:val="标题 7 Char"/>
    <w:link w:val="8"/>
    <w:qFormat/>
    <w:uiPriority w:val="0"/>
    <w:rPr>
      <w:rFonts w:ascii="Arial" w:hAnsi="Arial" w:eastAsia="宋体"/>
      <w:kern w:val="2"/>
      <w:sz w:val="28"/>
      <w:szCs w:val="28"/>
      <w:lang w:val="en-US" w:eastAsia="zh-CN" w:bidi="ar-SA"/>
    </w:rPr>
  </w:style>
  <w:style w:type="character" w:customStyle="1" w:styleId="132">
    <w:name w:val="text1"/>
    <w:qFormat/>
    <w:uiPriority w:val="0"/>
    <w:rPr>
      <w:rFonts w:hint="eastAsia" w:ascii="宋体" w:hAnsi="宋体" w:eastAsia="宋体"/>
      <w:color w:val="000099"/>
      <w:sz w:val="18"/>
      <w:szCs w:val="18"/>
    </w:rPr>
  </w:style>
  <w:style w:type="character" w:customStyle="1" w:styleId="133">
    <w:name w:val="明显参考1"/>
    <w:qFormat/>
    <w:uiPriority w:val="0"/>
    <w:rPr>
      <w:b/>
      <w:bCs/>
      <w:smallCaps/>
      <w:color w:val="C0504D"/>
      <w:spacing w:val="5"/>
      <w:u w:val="single"/>
    </w:rPr>
  </w:style>
  <w:style w:type="character" w:customStyle="1" w:styleId="134">
    <w:name w:val="bei2"/>
    <w:basedOn w:val="63"/>
    <w:qFormat/>
    <w:uiPriority w:val="0"/>
  </w:style>
  <w:style w:type="character" w:customStyle="1" w:styleId="135">
    <w:name w:val="明显强调1"/>
    <w:qFormat/>
    <w:uiPriority w:val="0"/>
    <w:rPr>
      <w:b/>
      <w:bCs/>
      <w:i/>
      <w:iCs/>
      <w:color w:val="4F81BD"/>
    </w:rPr>
  </w:style>
  <w:style w:type="character" w:customStyle="1" w:styleId="136">
    <w:name w:val="PI Char2"/>
    <w:qFormat/>
    <w:uiPriority w:val="0"/>
    <w:rPr>
      <w:rFonts w:ascii="仿宋_GB2312" w:eastAsia="仿宋_GB2312"/>
      <w:kern w:val="2"/>
      <w:sz w:val="28"/>
      <w:szCs w:val="28"/>
      <w:lang w:val="zh-CN" w:eastAsia="zh-CN" w:bidi="ar-SA"/>
    </w:rPr>
  </w:style>
  <w:style w:type="character" w:customStyle="1" w:styleId="137">
    <w:name w:val="EHPT Char4"/>
    <w:qFormat/>
    <w:uiPriority w:val="0"/>
    <w:rPr>
      <w:rFonts w:eastAsia="黑体"/>
      <w:b/>
      <w:bCs/>
      <w:spacing w:val="20"/>
      <w:kern w:val="52"/>
      <w:sz w:val="56"/>
      <w:szCs w:val="24"/>
      <w:lang w:val="en-US" w:eastAsia="zh-CN" w:bidi="ar-SA"/>
    </w:rPr>
  </w:style>
  <w:style w:type="character" w:customStyle="1" w:styleId="138">
    <w:name w:val="www序号1) Char"/>
    <w:link w:val="139"/>
    <w:qFormat/>
    <w:uiPriority w:val="0"/>
    <w:rPr>
      <w:rFonts w:eastAsia="宋体"/>
      <w:sz w:val="24"/>
      <w:szCs w:val="24"/>
      <w:lang w:bidi="ar-SA"/>
    </w:rPr>
  </w:style>
  <w:style w:type="paragraph" w:customStyle="1" w:styleId="139">
    <w:name w:val="www序号1)"/>
    <w:basedOn w:val="1"/>
    <w:link w:val="138"/>
    <w:qFormat/>
    <w:uiPriority w:val="0"/>
    <w:pPr>
      <w:tabs>
        <w:tab w:val="left" w:pos="2160"/>
      </w:tabs>
      <w:ind w:left="2160" w:hanging="420"/>
    </w:pPr>
    <w:rPr>
      <w:kern w:val="0"/>
      <w:sz w:val="24"/>
      <w:szCs w:val="24"/>
    </w:rPr>
  </w:style>
  <w:style w:type="character" w:customStyle="1" w:styleId="140">
    <w:name w:val="正文文本 2 Char1"/>
    <w:semiHidden/>
    <w:qFormat/>
    <w:uiPriority w:val="0"/>
    <w:rPr>
      <w:rFonts w:ascii="仿宋_GB2312" w:hAnsi="Times New Roman" w:eastAsia="仿宋_GB2312" w:cs="Times New Roman"/>
      <w:sz w:val="28"/>
      <w:szCs w:val="28"/>
    </w:rPr>
  </w:style>
  <w:style w:type="character" w:customStyle="1" w:styleId="141">
    <w:name w:val="标题 6 Char"/>
    <w:link w:val="7"/>
    <w:qFormat/>
    <w:uiPriority w:val="0"/>
    <w:rPr>
      <w:rFonts w:ascii="Arial" w:hAnsi="Arial" w:eastAsia="仿宋_GB2312"/>
      <w:i/>
      <w:sz w:val="22"/>
      <w:lang w:val="en-US" w:eastAsia="zh-CN" w:bidi="ar-SA"/>
    </w:rPr>
  </w:style>
  <w:style w:type="character" w:customStyle="1" w:styleId="142">
    <w:name w:val="正文首行缩进 Char1"/>
    <w:basedOn w:val="126"/>
    <w:semiHidden/>
    <w:qFormat/>
    <w:uiPriority w:val="0"/>
    <w:rPr>
      <w:rFonts w:ascii="仿宋_GB2312" w:hAnsi="Times New Roman" w:eastAsia="仿宋_GB2312" w:cs="Times New Roman"/>
      <w:sz w:val="28"/>
      <w:szCs w:val="28"/>
    </w:rPr>
  </w:style>
  <w:style w:type="character" w:customStyle="1" w:styleId="143">
    <w:name w:val="large1"/>
    <w:qFormat/>
    <w:uiPriority w:val="0"/>
    <w:rPr>
      <w:rFonts w:hint="eastAsia" w:ascii="宋体" w:hAnsi="宋体" w:eastAsia="宋体"/>
      <w:sz w:val="21"/>
      <w:szCs w:val="21"/>
    </w:rPr>
  </w:style>
  <w:style w:type="character" w:customStyle="1" w:styleId="144">
    <w:name w:val="标题 Char1"/>
    <w:qFormat/>
    <w:uiPriority w:val="0"/>
    <w:rPr>
      <w:rFonts w:ascii="Cambria" w:hAnsi="Cambria" w:eastAsia="宋体" w:cs="Times New Roman"/>
      <w:b/>
      <w:bCs/>
      <w:sz w:val="32"/>
      <w:szCs w:val="32"/>
    </w:rPr>
  </w:style>
  <w:style w:type="character" w:customStyle="1" w:styleId="145">
    <w:name w:val="unnamed11"/>
    <w:qFormat/>
    <w:uiPriority w:val="0"/>
    <w:rPr>
      <w:sz w:val="18"/>
      <w:szCs w:val="18"/>
    </w:rPr>
  </w:style>
  <w:style w:type="character" w:customStyle="1" w:styleId="146">
    <w:name w:val="日期 Char"/>
    <w:link w:val="34"/>
    <w:qFormat/>
    <w:uiPriority w:val="0"/>
    <w:rPr>
      <w:rFonts w:eastAsia="宋体"/>
      <w:kern w:val="2"/>
      <w:sz w:val="21"/>
      <w:lang w:val="en-US" w:eastAsia="zh-CN" w:bidi="ar-SA"/>
    </w:rPr>
  </w:style>
  <w:style w:type="character" w:customStyle="1" w:styleId="147">
    <w:name w:val="表正文 Char"/>
    <w:qFormat/>
    <w:uiPriority w:val="0"/>
    <w:rPr>
      <w:rFonts w:ascii="仿宋_GB2312" w:eastAsia="仿宋_GB2312"/>
      <w:kern w:val="2"/>
      <w:sz w:val="28"/>
    </w:rPr>
  </w:style>
  <w:style w:type="character" w:customStyle="1" w:styleId="148">
    <w:name w:val="Heading 2 Hidden Char1"/>
    <w:qFormat/>
    <w:uiPriority w:val="0"/>
    <w:rPr>
      <w:rFonts w:ascii="Arial" w:hAnsi="Arial" w:eastAsia="黑体"/>
      <w:b/>
      <w:bCs/>
      <w:kern w:val="2"/>
      <w:sz w:val="32"/>
      <w:szCs w:val="32"/>
    </w:rPr>
  </w:style>
  <w:style w:type="character" w:customStyle="1" w:styleId="149">
    <w:name w:val="引用 Char"/>
    <w:link w:val="150"/>
    <w:qFormat/>
    <w:uiPriority w:val="0"/>
    <w:rPr>
      <w:rFonts w:ascii="Calibri" w:hAnsi="Calibri" w:eastAsia="宋体"/>
      <w:i/>
      <w:iCs/>
      <w:color w:val="000000"/>
      <w:sz w:val="22"/>
      <w:szCs w:val="22"/>
      <w:lang w:val="en-US" w:eastAsia="en-US" w:bidi="en-US"/>
    </w:rPr>
  </w:style>
  <w:style w:type="paragraph" w:styleId="150">
    <w:name w:val="Quote"/>
    <w:basedOn w:val="1"/>
    <w:next w:val="1"/>
    <w:link w:val="149"/>
    <w:qFormat/>
    <w:uiPriority w:val="0"/>
    <w:pPr>
      <w:widowControl/>
      <w:spacing w:after="480" w:line="276" w:lineRule="auto"/>
      <w:jc w:val="left"/>
    </w:pPr>
    <w:rPr>
      <w:i/>
      <w:iCs/>
      <w:color w:val="000000"/>
      <w:kern w:val="0"/>
      <w:sz w:val="22"/>
      <w:szCs w:val="22"/>
      <w:lang w:eastAsia="en-US" w:bidi="en-US"/>
    </w:rPr>
  </w:style>
  <w:style w:type="character" w:customStyle="1" w:styleId="151">
    <w:name w:val="页脚 Char"/>
    <w:link w:val="38"/>
    <w:qFormat/>
    <w:uiPriority w:val="0"/>
    <w:rPr>
      <w:rFonts w:eastAsia="宋体"/>
      <w:kern w:val="2"/>
      <w:sz w:val="18"/>
      <w:szCs w:val="18"/>
      <w:lang w:val="en-US" w:eastAsia="zh-CN" w:bidi="ar-SA"/>
    </w:rPr>
  </w:style>
  <w:style w:type="character" w:customStyle="1" w:styleId="152">
    <w:name w:val="正文2 Char Char"/>
    <w:link w:val="153"/>
    <w:qFormat/>
    <w:uiPriority w:val="0"/>
    <w:rPr>
      <w:kern w:val="2"/>
      <w:sz w:val="24"/>
    </w:rPr>
  </w:style>
  <w:style w:type="paragraph" w:customStyle="1" w:styleId="153">
    <w:name w:val="正文2"/>
    <w:basedOn w:val="1"/>
    <w:link w:val="152"/>
    <w:qFormat/>
    <w:uiPriority w:val="0"/>
    <w:pPr>
      <w:adjustRightInd w:val="0"/>
      <w:spacing w:before="156" w:line="360" w:lineRule="auto"/>
      <w:ind w:firstLine="510" w:firstLineChars="200"/>
    </w:pPr>
    <w:rPr>
      <w:sz w:val="24"/>
    </w:rPr>
  </w:style>
  <w:style w:type="character" w:customStyle="1" w:styleId="154">
    <w:name w:val="不明显参考1"/>
    <w:qFormat/>
    <w:uiPriority w:val="0"/>
    <w:rPr>
      <w:smallCaps/>
      <w:color w:val="C0504D"/>
      <w:u w:val="single"/>
    </w:rPr>
  </w:style>
  <w:style w:type="character" w:customStyle="1" w:styleId="155">
    <w:name w:val="14normal1"/>
    <w:qFormat/>
    <w:uiPriority w:val="0"/>
    <w:rPr>
      <w:rFonts w:hint="default" w:ascii="ˎ̥" w:hAnsi="ˎ̥"/>
      <w:color w:val="000000"/>
      <w:sz w:val="21"/>
      <w:szCs w:val="21"/>
    </w:rPr>
  </w:style>
  <w:style w:type="character" w:customStyle="1" w:styleId="156">
    <w:name w:val="EHPT Char3"/>
    <w:qFormat/>
    <w:uiPriority w:val="0"/>
    <w:rPr>
      <w:rFonts w:ascii="Calibri" w:hAnsi="Calibri" w:eastAsia="宋体"/>
    </w:rPr>
  </w:style>
  <w:style w:type="character" w:customStyle="1" w:styleId="157">
    <w:name w:val="批注文字 Char"/>
    <w:qFormat/>
    <w:uiPriority w:val="99"/>
    <w:rPr>
      <w:rFonts w:eastAsia="宋体"/>
      <w:kern w:val="2"/>
      <w:sz w:val="21"/>
      <w:szCs w:val="24"/>
      <w:lang w:val="en-US" w:eastAsia="zh-CN" w:bidi="ar-SA"/>
    </w:rPr>
  </w:style>
  <w:style w:type="character" w:customStyle="1" w:styleId="158">
    <w:name w:val="正文文本缩进 Char1"/>
    <w:semiHidden/>
    <w:qFormat/>
    <w:uiPriority w:val="0"/>
    <w:rPr>
      <w:rFonts w:ascii="仿宋_GB2312" w:hAnsi="Times New Roman" w:eastAsia="仿宋_GB2312" w:cs="Times New Roman"/>
      <w:sz w:val="28"/>
      <w:szCs w:val="28"/>
    </w:rPr>
  </w:style>
  <w:style w:type="character" w:customStyle="1" w:styleId="159">
    <w:name w:val="Char Char14"/>
    <w:qFormat/>
    <w:uiPriority w:val="0"/>
    <w:rPr>
      <w:rFonts w:ascii="宋体" w:hAnsi="Courier New" w:eastAsia="宋体"/>
      <w:sz w:val="21"/>
      <w:lang w:val="en-US" w:eastAsia="zh-CN" w:bidi="ar-SA"/>
    </w:rPr>
  </w:style>
  <w:style w:type="character" w:customStyle="1" w:styleId="160">
    <w:name w:val="正文文本缩进 3 Char1"/>
    <w:semiHidden/>
    <w:qFormat/>
    <w:uiPriority w:val="0"/>
    <w:rPr>
      <w:rFonts w:ascii="仿宋_GB2312" w:hAnsi="Times New Roman" w:eastAsia="仿宋_GB2312" w:cs="Times New Roman"/>
      <w:sz w:val="16"/>
      <w:szCs w:val="16"/>
    </w:rPr>
  </w:style>
  <w:style w:type="character" w:customStyle="1" w:styleId="161">
    <w:name w:val="font21"/>
    <w:qFormat/>
    <w:uiPriority w:val="0"/>
    <w:rPr>
      <w:rFonts w:hint="eastAsia" w:ascii="KaiTi_GB2312" w:eastAsia="KaiTi_GB2312"/>
      <w:color w:val="000000"/>
      <w:sz w:val="21"/>
      <w:szCs w:val="21"/>
      <w:u w:val="single"/>
    </w:rPr>
  </w:style>
  <w:style w:type="character" w:customStyle="1" w:styleId="162">
    <w:name w:val="ca-10"/>
    <w:basedOn w:val="63"/>
    <w:qFormat/>
    <w:uiPriority w:val="0"/>
  </w:style>
  <w:style w:type="character" w:customStyle="1" w:styleId="163">
    <w:name w:val="style321"/>
    <w:qFormat/>
    <w:uiPriority w:val="0"/>
    <w:rPr>
      <w:b/>
      <w:bCs/>
      <w:color w:val="FF9900"/>
      <w:sz w:val="23"/>
      <w:szCs w:val="23"/>
    </w:rPr>
  </w:style>
  <w:style w:type="character" w:customStyle="1" w:styleId="164">
    <w:name w:val="正文首行缩进 Char"/>
    <w:link w:val="58"/>
    <w:qFormat/>
    <w:uiPriority w:val="0"/>
    <w:rPr>
      <w:rFonts w:ascii="Calibri" w:hAnsi="Calibri" w:eastAsia="KaiTi_GB2312"/>
      <w:sz w:val="24"/>
      <w:lang w:bidi="ar-SA"/>
    </w:rPr>
  </w:style>
  <w:style w:type="character" w:customStyle="1" w:styleId="165">
    <w:name w:val="font1"/>
    <w:qFormat/>
    <w:uiPriority w:val="0"/>
    <w:rPr>
      <w:color w:val="333333"/>
      <w:sz w:val="18"/>
      <w:szCs w:val="18"/>
      <w:u w:val="none"/>
    </w:rPr>
  </w:style>
  <w:style w:type="character" w:customStyle="1" w:styleId="166">
    <w:name w:val="标题 2 Char1"/>
    <w:link w:val="3"/>
    <w:qFormat/>
    <w:uiPriority w:val="0"/>
    <w:rPr>
      <w:rFonts w:ascii="Arial" w:hAnsi="Arial" w:eastAsia="黑体"/>
      <w:b/>
      <w:bCs/>
      <w:kern w:val="2"/>
      <w:sz w:val="32"/>
      <w:szCs w:val="32"/>
      <w:lang w:val="en-US" w:eastAsia="zh-CN" w:bidi="ar-SA"/>
    </w:rPr>
  </w:style>
  <w:style w:type="character" w:customStyle="1" w:styleId="167">
    <w:name w:val="标题 Char"/>
    <w:link w:val="56"/>
    <w:qFormat/>
    <w:uiPriority w:val="0"/>
    <w:rPr>
      <w:rFonts w:ascii="Arial" w:hAnsi="Arial" w:eastAsia="宋体"/>
      <w:b/>
      <w:sz w:val="36"/>
      <w:lang w:eastAsia="en-US" w:bidi="ar-SA"/>
    </w:rPr>
  </w:style>
  <w:style w:type="character" w:customStyle="1" w:styleId="168">
    <w:name w:val="标题 5 Char"/>
    <w:link w:val="6"/>
    <w:qFormat/>
    <w:uiPriority w:val="0"/>
    <w:rPr>
      <w:rFonts w:ascii="Arial" w:hAnsi="Arial" w:eastAsia="宋体"/>
      <w:kern w:val="2"/>
      <w:sz w:val="22"/>
      <w:szCs w:val="28"/>
      <w:lang w:val="en-US" w:eastAsia="zh-CN" w:bidi="ar-SA"/>
    </w:rPr>
  </w:style>
  <w:style w:type="character" w:customStyle="1" w:styleId="169">
    <w:name w:val="bulletintext1"/>
    <w:qFormat/>
    <w:uiPriority w:val="0"/>
    <w:rPr>
      <w:color w:val="000000"/>
      <w:sz w:val="18"/>
      <w:szCs w:val="18"/>
    </w:rPr>
  </w:style>
  <w:style w:type="character" w:customStyle="1" w:styleId="170">
    <w:name w:val="普通文字 Char Char4"/>
    <w:qFormat/>
    <w:uiPriority w:val="0"/>
    <w:rPr>
      <w:rFonts w:ascii="宋体" w:hAnsi="Courier New" w:eastAsia="宋体"/>
      <w:sz w:val="21"/>
      <w:lang w:val="en-US" w:eastAsia="zh-CN" w:bidi="ar-SA"/>
    </w:rPr>
  </w:style>
  <w:style w:type="character" w:customStyle="1" w:styleId="171">
    <w:name w:val="PI Char3"/>
    <w:qFormat/>
    <w:uiPriority w:val="0"/>
    <w:rPr>
      <w:rFonts w:ascii="仿宋_GB2312" w:eastAsia="仿宋_GB2312"/>
      <w:kern w:val="2"/>
      <w:sz w:val="28"/>
      <w:szCs w:val="28"/>
      <w:lang w:val="zh-CN"/>
    </w:rPr>
  </w:style>
  <w:style w:type="character" w:customStyle="1" w:styleId="172">
    <w:name w:val="标题 1 Char"/>
    <w:link w:val="2"/>
    <w:qFormat/>
    <w:uiPriority w:val="0"/>
    <w:rPr>
      <w:rFonts w:eastAsia="宋体"/>
      <w:b/>
      <w:bCs/>
      <w:kern w:val="44"/>
      <w:sz w:val="44"/>
      <w:szCs w:val="44"/>
      <w:lang w:val="en-US" w:eastAsia="zh-CN" w:bidi="ar-SA"/>
    </w:rPr>
  </w:style>
  <w:style w:type="character" w:customStyle="1" w:styleId="173">
    <w:name w:val="正文文本缩进 3 Char"/>
    <w:link w:val="47"/>
    <w:qFormat/>
    <w:uiPriority w:val="0"/>
    <w:rPr>
      <w:rFonts w:ascii="隶书" w:hAnsi="宋体" w:eastAsia="隶书"/>
      <w:kern w:val="2"/>
      <w:sz w:val="21"/>
      <w:szCs w:val="24"/>
      <w:lang w:val="en-US" w:eastAsia="zh-CN" w:bidi="ar-SA"/>
    </w:rPr>
  </w:style>
  <w:style w:type="character" w:customStyle="1" w:styleId="174">
    <w:name w:val="日期 Char1"/>
    <w:semiHidden/>
    <w:qFormat/>
    <w:uiPriority w:val="0"/>
    <w:rPr>
      <w:rFonts w:ascii="仿宋_GB2312" w:hAnsi="Times New Roman" w:eastAsia="仿宋_GB2312" w:cs="Times New Roman"/>
      <w:sz w:val="28"/>
      <w:szCs w:val="28"/>
    </w:rPr>
  </w:style>
  <w:style w:type="character" w:customStyle="1" w:styleId="175">
    <w:name w:val="批注文字 Char1"/>
    <w:link w:val="20"/>
    <w:qFormat/>
    <w:uiPriority w:val="0"/>
    <w:rPr>
      <w:rFonts w:ascii="仿宋_GB2312" w:eastAsia="仿宋_GB2312"/>
      <w:kern w:val="2"/>
      <w:sz w:val="28"/>
      <w:szCs w:val="28"/>
      <w:lang w:val="en-US" w:eastAsia="zh-CN" w:bidi="ar-SA"/>
    </w:rPr>
  </w:style>
  <w:style w:type="character" w:customStyle="1" w:styleId="176">
    <w:name w:val="bullet Char"/>
    <w:qFormat/>
    <w:uiPriority w:val="0"/>
    <w:rPr>
      <w:b/>
      <w:i/>
      <w:sz w:val="24"/>
    </w:rPr>
  </w:style>
  <w:style w:type="character" w:customStyle="1" w:styleId="177">
    <w:name w:val="Char Char"/>
    <w:qFormat/>
    <w:uiPriority w:val="0"/>
    <w:rPr>
      <w:rFonts w:ascii="宋体" w:hAnsi="宋体" w:eastAsia="宋体"/>
      <w:sz w:val="24"/>
      <w:szCs w:val="24"/>
      <w:lang w:val="en-US" w:eastAsia="zh-CN" w:bidi="ar-SA"/>
    </w:rPr>
  </w:style>
  <w:style w:type="character" w:customStyle="1" w:styleId="178">
    <w:name w:val="Heading 3 - old Char"/>
    <w:qFormat/>
    <w:uiPriority w:val="0"/>
    <w:rPr>
      <w:rFonts w:ascii="Calibri" w:hAnsi="Calibri"/>
      <w:b/>
      <w:bCs/>
      <w:kern w:val="2"/>
      <w:sz w:val="32"/>
      <w:szCs w:val="32"/>
    </w:rPr>
  </w:style>
  <w:style w:type="character" w:customStyle="1" w:styleId="179">
    <w:name w:val="ca-3"/>
    <w:basedOn w:val="63"/>
    <w:qFormat/>
    <w:uiPriority w:val="0"/>
  </w:style>
  <w:style w:type="character" w:customStyle="1" w:styleId="180">
    <w:name w:val="表格 Char Char"/>
    <w:link w:val="181"/>
    <w:qFormat/>
    <w:uiPriority w:val="0"/>
    <w:rPr>
      <w:rFonts w:ascii="宋体" w:hAnsi="宋体"/>
      <w:lang w:bidi="ar-SA"/>
    </w:rPr>
  </w:style>
  <w:style w:type="paragraph" w:customStyle="1" w:styleId="181">
    <w:name w:val="表格"/>
    <w:basedOn w:val="1"/>
    <w:link w:val="180"/>
    <w:qFormat/>
    <w:uiPriority w:val="0"/>
    <w:pPr>
      <w:snapToGrid w:val="0"/>
      <w:ind w:firstLine="42" w:firstLineChars="21"/>
    </w:pPr>
    <w:rPr>
      <w:rFonts w:ascii="宋体" w:hAnsi="宋体"/>
      <w:kern w:val="0"/>
      <w:sz w:val="20"/>
    </w:rPr>
  </w:style>
  <w:style w:type="paragraph" w:customStyle="1" w:styleId="182">
    <w:name w:val="RFI List 2"/>
    <w:basedOn w:val="183"/>
    <w:qFormat/>
    <w:uiPriority w:val="0"/>
    <w:pPr>
      <w:numPr>
        <w:ilvl w:val="0"/>
        <w:numId w:val="4"/>
      </w:numPr>
      <w:tabs>
        <w:tab w:val="left" w:pos="360"/>
        <w:tab w:val="left" w:pos="720"/>
        <w:tab w:val="left" w:pos="1800"/>
      </w:tabs>
      <w:ind w:left="720" w:hanging="720"/>
    </w:pPr>
    <w:rPr>
      <w:rFonts w:eastAsia="Times New Roman"/>
      <w:b w:val="0"/>
      <w:bCs/>
    </w:rPr>
  </w:style>
  <w:style w:type="paragraph" w:customStyle="1" w:styleId="183">
    <w:name w:val="RFI List 1"/>
    <w:basedOn w:val="184"/>
    <w:qFormat/>
    <w:uiPriority w:val="0"/>
    <w:pPr>
      <w:tabs>
        <w:tab w:val="left" w:pos="360"/>
        <w:tab w:val="left" w:pos="720"/>
        <w:tab w:val="left" w:pos="1800"/>
      </w:tabs>
      <w:spacing w:before="240" w:after="160"/>
      <w:ind w:left="720" w:hanging="720"/>
      <w:outlineLvl w:val="0"/>
    </w:pPr>
    <w:rPr>
      <w:b/>
      <w:color w:val="auto"/>
    </w:rPr>
  </w:style>
  <w:style w:type="paragraph" w:customStyle="1" w:styleId="184">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185">
    <w:name w:val="Style Body Text Indent 2 + 11 pt Line spacing:  1.5 lines"/>
    <w:basedOn w:val="35"/>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186">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187">
    <w:name w:val="标题3正文"/>
    <w:basedOn w:val="1"/>
    <w:qFormat/>
    <w:uiPriority w:val="0"/>
    <w:pPr>
      <w:snapToGrid w:val="0"/>
      <w:spacing w:line="360" w:lineRule="auto"/>
      <w:ind w:firstLine="480" w:firstLineChars="200"/>
    </w:pPr>
    <w:rPr>
      <w:sz w:val="24"/>
      <w:szCs w:val="24"/>
    </w:rPr>
  </w:style>
  <w:style w:type="paragraph" w:customStyle="1" w:styleId="188">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styleId="189">
    <w:name w:val="No Spacing"/>
    <w:link w:val="295"/>
    <w:qFormat/>
    <w:uiPriority w:val="0"/>
    <w:rPr>
      <w:rFonts w:ascii="Calibri" w:hAnsi="Calibri" w:eastAsia="宋体" w:cs="Times New Roman"/>
      <w:sz w:val="22"/>
      <w:szCs w:val="22"/>
      <w:lang w:val="en-US" w:eastAsia="en-US" w:bidi="en-US"/>
    </w:rPr>
  </w:style>
  <w:style w:type="paragraph" w:customStyle="1" w:styleId="190">
    <w:name w:val="样式 样式1 + 加粗 行距: 固定值 20 磅"/>
    <w:basedOn w:val="191"/>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191">
    <w:name w:val="样式1"/>
    <w:basedOn w:val="3"/>
    <w:qFormat/>
    <w:uiPriority w:val="0"/>
    <w:pPr>
      <w:spacing w:line="415" w:lineRule="auto"/>
      <w:jc w:val="center"/>
    </w:pPr>
    <w:rPr>
      <w:rFonts w:ascii="宋体" w:hAnsi="宋体"/>
      <w:sz w:val="36"/>
      <w:szCs w:val="36"/>
    </w:rPr>
  </w:style>
  <w:style w:type="paragraph" w:customStyle="1" w:styleId="192">
    <w:name w:val="文档正文"/>
    <w:basedOn w:val="1"/>
    <w:qFormat/>
    <w:uiPriority w:val="0"/>
    <w:rPr>
      <w:rFonts w:ascii="Arial" w:hAnsi="Arial" w:eastAsia="仿宋_GB2312" w:cs="Arial"/>
      <w:bCs/>
      <w:sz w:val="24"/>
      <w:szCs w:val="28"/>
    </w:rPr>
  </w:style>
  <w:style w:type="paragraph" w:customStyle="1" w:styleId="193">
    <w:name w:val="BodyText"/>
    <w:basedOn w:val="1"/>
    <w:qFormat/>
    <w:uiPriority w:val="0"/>
    <w:pPr>
      <w:widowControl/>
      <w:spacing w:after="120"/>
      <w:jc w:val="left"/>
    </w:pPr>
    <w:rPr>
      <w:rFonts w:ascii="FuturaA Bk BT" w:hAnsi="FuturaA Bk BT" w:eastAsia="仿宋_GB2312"/>
      <w:kern w:val="0"/>
      <w:sz w:val="20"/>
    </w:rPr>
  </w:style>
  <w:style w:type="paragraph" w:customStyle="1" w:styleId="194">
    <w:name w:val="RFI text from 3rd Level"/>
    <w:basedOn w:val="195"/>
    <w:qFormat/>
    <w:uiPriority w:val="0"/>
    <w:pPr>
      <w:tabs>
        <w:tab w:val="left" w:pos="360"/>
        <w:tab w:val="left" w:pos="720"/>
        <w:tab w:val="left" w:pos="1080"/>
      </w:tabs>
    </w:pPr>
    <w:rPr>
      <w:b w:val="0"/>
      <w:lang w:eastAsia="zh-CN"/>
    </w:rPr>
  </w:style>
  <w:style w:type="paragraph" w:customStyle="1" w:styleId="195">
    <w:name w:val="RFI text from 2nd Level"/>
    <w:basedOn w:val="184"/>
    <w:qFormat/>
    <w:uiPriority w:val="0"/>
    <w:pPr>
      <w:tabs>
        <w:tab w:val="left" w:pos="360"/>
      </w:tabs>
      <w:ind w:left="720"/>
    </w:pPr>
    <w:rPr>
      <w:b/>
      <w:bCs/>
      <w:color w:val="auto"/>
    </w:rPr>
  </w:style>
  <w:style w:type="paragraph" w:customStyle="1" w:styleId="196">
    <w:name w:val="1 Char Char Char Char"/>
    <w:basedOn w:val="1"/>
    <w:qFormat/>
    <w:uiPriority w:val="0"/>
    <w:rPr>
      <w:rFonts w:ascii="Tahoma" w:hAnsi="Tahoma"/>
      <w:sz w:val="24"/>
    </w:rPr>
  </w:style>
  <w:style w:type="paragraph" w:customStyle="1" w:styleId="197">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8">
    <w:name w:val="Char Char Char Char Char Char Char Char1 Char"/>
    <w:basedOn w:val="1"/>
    <w:qFormat/>
    <w:uiPriority w:val="0"/>
    <w:rPr>
      <w:rFonts w:ascii="仿宋_GB2312" w:eastAsia="仿宋_GB2312"/>
      <w:sz w:val="28"/>
    </w:rPr>
  </w:style>
  <w:style w:type="paragraph" w:customStyle="1" w:styleId="199">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00">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201">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02">
    <w:name w:val="Char1"/>
    <w:basedOn w:val="1"/>
    <w:qFormat/>
    <w:uiPriority w:val="0"/>
    <w:rPr>
      <w:rFonts w:ascii="仿宋_GB2312" w:eastAsia="仿宋_GB2312"/>
      <w:b/>
      <w:sz w:val="32"/>
      <w:szCs w:val="32"/>
    </w:rPr>
  </w:style>
  <w:style w:type="paragraph" w:customStyle="1" w:styleId="203">
    <w:name w:val="小四缩进"/>
    <w:basedOn w:val="1"/>
    <w:qFormat/>
    <w:uiPriority w:val="0"/>
    <w:pPr>
      <w:spacing w:line="360" w:lineRule="auto"/>
      <w:ind w:firstLine="480" w:firstLineChars="200"/>
    </w:pPr>
    <w:rPr>
      <w:sz w:val="24"/>
      <w:szCs w:val="24"/>
    </w:rPr>
  </w:style>
  <w:style w:type="paragraph" w:customStyle="1" w:styleId="204">
    <w:name w:val="Char11"/>
    <w:basedOn w:val="1"/>
    <w:qFormat/>
    <w:uiPriority w:val="0"/>
    <w:rPr>
      <w:rFonts w:ascii="Tahoma" w:hAnsi="Tahoma" w:eastAsia="仿宋_GB2312"/>
      <w:sz w:val="24"/>
    </w:rPr>
  </w:style>
  <w:style w:type="paragraph" w:customStyle="1" w:styleId="205">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206">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207">
    <w:name w:val="Head1"/>
    <w:qFormat/>
    <w:uiPriority w:val="0"/>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08">
    <w:name w:val="标题2正文 Char"/>
    <w:basedOn w:val="1"/>
    <w:qFormat/>
    <w:uiPriority w:val="0"/>
    <w:pPr>
      <w:snapToGrid w:val="0"/>
      <w:spacing w:line="360" w:lineRule="auto"/>
      <w:ind w:firstLine="480" w:firstLineChars="200"/>
    </w:pPr>
    <w:rPr>
      <w:sz w:val="24"/>
      <w:szCs w:val="24"/>
    </w:rPr>
  </w:style>
  <w:style w:type="paragraph" w:customStyle="1" w:styleId="209">
    <w:name w:val="正文文本 21"/>
    <w:basedOn w:val="1"/>
    <w:qFormat/>
    <w:uiPriority w:val="0"/>
    <w:pPr>
      <w:adjustRightInd w:val="0"/>
      <w:spacing w:line="300" w:lineRule="auto"/>
      <w:jc w:val="center"/>
    </w:pPr>
    <w:rPr>
      <w:rFonts w:hint="eastAsia" w:ascii="宋体" w:hAnsi="宋体"/>
      <w:sz w:val="24"/>
    </w:rPr>
  </w:style>
  <w:style w:type="paragraph" w:customStyle="1" w:styleId="210">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211">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212">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13">
    <w:name w:val="Char Char Char Char Char Char Char Char1 Char1"/>
    <w:basedOn w:val="1"/>
    <w:qFormat/>
    <w:uiPriority w:val="0"/>
    <w:rPr>
      <w:rFonts w:ascii="仿宋_GB2312" w:eastAsia="仿宋_GB2312"/>
      <w:sz w:val="28"/>
    </w:rPr>
  </w:style>
  <w:style w:type="paragraph" w:styleId="214">
    <w:name w:val="List Paragraph"/>
    <w:basedOn w:val="1"/>
    <w:qFormat/>
    <w:uiPriority w:val="34"/>
    <w:pPr>
      <w:ind w:firstLine="420" w:firstLineChars="200"/>
    </w:pPr>
    <w:rPr>
      <w:rFonts w:eastAsia="仿宋_GB2312"/>
      <w:sz w:val="28"/>
      <w:szCs w:val="22"/>
    </w:rPr>
  </w:style>
  <w:style w:type="paragraph" w:customStyle="1" w:styleId="215">
    <w:name w:val="标题 3.5"/>
    <w:basedOn w:val="4"/>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16">
    <w:name w:val="Achievement"/>
    <w:basedOn w:val="23"/>
    <w:qFormat/>
    <w:uiPriority w:val="0"/>
    <w:pPr>
      <w:widowControl/>
      <w:numPr>
        <w:ilvl w:val="0"/>
        <w:numId w:val="5"/>
      </w:numPr>
      <w:spacing w:after="60" w:line="220" w:lineRule="atLeast"/>
    </w:pPr>
    <w:rPr>
      <w:rFonts w:ascii="Arial" w:hAnsi="Arial" w:eastAsia="宋体"/>
      <w:b w:val="0"/>
      <w:bCs w:val="0"/>
      <w:spacing w:val="-5"/>
      <w:kern w:val="0"/>
      <w:sz w:val="20"/>
      <w:szCs w:val="20"/>
    </w:rPr>
  </w:style>
  <w:style w:type="paragraph" w:customStyle="1" w:styleId="217">
    <w:name w:val="Char"/>
    <w:basedOn w:val="1"/>
    <w:qFormat/>
    <w:uiPriority w:val="0"/>
    <w:rPr>
      <w:rFonts w:ascii="仿宋_GB2312" w:eastAsia="仿宋_GB2312"/>
      <w:sz w:val="28"/>
      <w:szCs w:val="28"/>
    </w:rPr>
  </w:style>
  <w:style w:type="paragraph" w:customStyle="1" w:styleId="218">
    <w:name w:val="标题2正文"/>
    <w:basedOn w:val="1"/>
    <w:qFormat/>
    <w:uiPriority w:val="0"/>
    <w:pPr>
      <w:snapToGrid w:val="0"/>
      <w:spacing w:line="360" w:lineRule="auto"/>
      <w:ind w:firstLine="480" w:firstLineChars="200"/>
    </w:pPr>
    <w:rPr>
      <w:sz w:val="24"/>
      <w:szCs w:val="24"/>
    </w:rPr>
  </w:style>
  <w:style w:type="paragraph" w:customStyle="1" w:styleId="219">
    <w:name w:val="Char Char2 Char Char"/>
    <w:basedOn w:val="19"/>
    <w:qFormat/>
    <w:uiPriority w:val="0"/>
    <w:pPr>
      <w:spacing w:line="436" w:lineRule="exact"/>
    </w:pPr>
    <w:rPr>
      <w:rFonts w:ascii="Tahoma" w:hAnsi="Tahoma"/>
      <w:kern w:val="2"/>
      <w:sz w:val="24"/>
      <w:szCs w:val="20"/>
      <w:shd w:val="clear" w:color="auto" w:fill="auto"/>
    </w:rPr>
  </w:style>
  <w:style w:type="paragraph" w:customStyle="1" w:styleId="220">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221">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222">
    <w:name w:val="正文无缩进"/>
    <w:basedOn w:val="223"/>
    <w:qFormat/>
    <w:uiPriority w:val="0"/>
    <w:pPr>
      <w:ind w:firstLine="0" w:firstLineChars="0"/>
    </w:pPr>
  </w:style>
  <w:style w:type="paragraph" w:customStyle="1" w:styleId="2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4">
    <w:name w:val="标题6"/>
    <w:basedOn w:val="1"/>
    <w:next w:val="2"/>
    <w:qFormat/>
    <w:uiPriority w:val="0"/>
    <w:pPr>
      <w:widowControl/>
      <w:snapToGrid w:val="0"/>
      <w:spacing w:beforeLines="50" w:afterLines="50" w:line="520" w:lineRule="atLeast"/>
      <w:ind w:firstLine="200" w:firstLineChars="200"/>
    </w:pPr>
    <w:rPr>
      <w:rFonts w:cs="Arial"/>
      <w:b/>
      <w:sz w:val="24"/>
      <w:szCs w:val="24"/>
    </w:rPr>
  </w:style>
  <w:style w:type="paragraph" w:customStyle="1" w:styleId="225">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项目1"/>
    <w:basedOn w:val="14"/>
    <w:next w:val="14"/>
    <w:qFormat/>
    <w:uiPriority w:val="0"/>
    <w:pPr>
      <w:widowControl w:val="0"/>
      <w:numPr>
        <w:ilvl w:val="3"/>
        <w:numId w:val="6"/>
      </w:numPr>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27">
    <w:name w:val="RFI abc 1st Level"/>
    <w:basedOn w:val="1"/>
    <w:qFormat/>
    <w:uiPriority w:val="0"/>
    <w:pPr>
      <w:widowControl/>
      <w:numPr>
        <w:ilvl w:val="0"/>
        <w:numId w:val="7"/>
      </w:numPr>
      <w:tabs>
        <w:tab w:val="left" w:pos="1440"/>
      </w:tabs>
      <w:ind w:left="1440"/>
    </w:pPr>
    <w:rPr>
      <w:rFonts w:ascii="Arial (W1)" w:hAnsi="Arial (W1)" w:eastAsia="仿宋_GB2312"/>
      <w:kern w:val="0"/>
      <w:sz w:val="24"/>
      <w:szCs w:val="28"/>
      <w:lang w:val="en-GB" w:eastAsia="en-US"/>
    </w:rPr>
  </w:style>
  <w:style w:type="paragraph" w:customStyle="1" w:styleId="228">
    <w:name w:val="Level 2: 1."/>
    <w:qFormat/>
    <w:uiPriority w:val="0"/>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229">
    <w:name w:val="Char1 Char Char Char"/>
    <w:basedOn w:val="1"/>
    <w:qFormat/>
    <w:uiPriority w:val="0"/>
    <w:pPr>
      <w:ind w:left="420" w:hanging="420"/>
    </w:pPr>
    <w:rPr>
      <w:rFonts w:ascii="仿宋_GB2312" w:eastAsia="仿宋_GB2312"/>
      <w:sz w:val="24"/>
      <w:szCs w:val="28"/>
    </w:rPr>
  </w:style>
  <w:style w:type="paragraph" w:customStyle="1" w:styleId="230">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31">
    <w:name w:val="正文段"/>
    <w:basedOn w:val="1"/>
    <w:qFormat/>
    <w:uiPriority w:val="0"/>
    <w:pPr>
      <w:widowControl/>
      <w:snapToGrid w:val="0"/>
      <w:spacing w:afterLines="50"/>
      <w:ind w:firstLine="200" w:firstLineChars="200"/>
    </w:pPr>
    <w:rPr>
      <w:kern w:val="0"/>
      <w:sz w:val="24"/>
    </w:rPr>
  </w:style>
  <w:style w:type="paragraph" w:customStyle="1" w:styleId="232">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233">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234">
    <w:name w:val="Level 1: a."/>
    <w:qFormat/>
    <w:uiPriority w:val="0"/>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235">
    <w:name w:val="项目"/>
    <w:basedOn w:val="23"/>
    <w:next w:val="23"/>
    <w:qFormat/>
    <w:uiPriority w:val="0"/>
    <w:pPr>
      <w:numPr>
        <w:ilvl w:val="0"/>
        <w:numId w:val="8"/>
      </w:numPr>
      <w:tabs>
        <w:tab w:val="left" w:pos="420"/>
      </w:tabs>
      <w:spacing w:line="360" w:lineRule="auto"/>
      <w:ind w:left="420"/>
    </w:pPr>
    <w:rPr>
      <w:rFonts w:eastAsia="宋体"/>
      <w:b w:val="0"/>
      <w:bCs w:val="0"/>
      <w:spacing w:val="0"/>
      <w:kern w:val="0"/>
      <w:sz w:val="24"/>
      <w:szCs w:val="20"/>
    </w:rPr>
  </w:style>
  <w:style w:type="paragraph" w:customStyle="1" w:styleId="236">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237">
    <w:name w:val="Char Char1 Char Char"/>
    <w:basedOn w:val="1"/>
    <w:semiHidden/>
    <w:qFormat/>
    <w:uiPriority w:val="0"/>
    <w:rPr>
      <w:rFonts w:ascii="仿宋_GB2312" w:eastAsia="仿宋_GB2312"/>
      <w:sz w:val="28"/>
      <w:szCs w:val="28"/>
    </w:rPr>
  </w:style>
  <w:style w:type="paragraph" w:customStyle="1" w:styleId="238">
    <w:name w:val="Level 4: (i)"/>
    <w:basedOn w:val="1"/>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39">
    <w:name w:val="Head2"/>
    <w:qFormat/>
    <w:uiPriority w:val="0"/>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40">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241">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242">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43">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44">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45">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246">
    <w:name w:val="Style Heading 3 + Line spacing:  1.5 lines"/>
    <w:basedOn w:val="4"/>
    <w:qFormat/>
    <w:uiPriority w:val="0"/>
    <w:pPr>
      <w:keepLines w:val="0"/>
      <w:widowControl/>
      <w:numPr>
        <w:ilvl w:val="2"/>
        <w:numId w:val="9"/>
      </w:numPr>
      <w:tabs>
        <w:tab w:val="left" w:pos="1152"/>
        <w:tab w:val="left" w:pos="1680"/>
      </w:tabs>
      <w:spacing w:before="0" w:after="0" w:line="360" w:lineRule="auto"/>
      <w:ind w:left="236" w:leftChars="236"/>
    </w:pPr>
    <w:rPr>
      <w:rFonts w:ascii="仿宋_GB2312" w:eastAsia="黑体"/>
      <w:sz w:val="28"/>
      <w:szCs w:val="28"/>
    </w:rPr>
  </w:style>
  <w:style w:type="paragraph" w:customStyle="1" w:styleId="247">
    <w:name w:val="Char1 Char Char Char Char Char Char Char Char Char Char Char Char Char Char Char"/>
    <w:basedOn w:val="1"/>
    <w:qFormat/>
    <w:uiPriority w:val="0"/>
    <w:rPr>
      <w:szCs w:val="24"/>
    </w:rPr>
  </w:style>
  <w:style w:type="paragraph" w:customStyle="1" w:styleId="248">
    <w:name w:val="1.1.1Head2"/>
    <w:qFormat/>
    <w:uiPriority w:val="0"/>
    <w:pPr>
      <w:numPr>
        <w:ilvl w:val="2"/>
        <w:numId w:val="10"/>
      </w:numPr>
      <w:tabs>
        <w:tab w:val="left" w:pos="2880"/>
      </w:tabs>
      <w:spacing w:before="28" w:after="28"/>
      <w:outlineLvl w:val="2"/>
    </w:pPr>
    <w:rPr>
      <w:rFonts w:ascii="Arial" w:hAnsi="Arial" w:eastAsia="宋体" w:cs="Times New Roman"/>
      <w:b/>
      <w:lang w:val="en-US" w:eastAsia="en-US" w:bidi="ar-SA"/>
    </w:rPr>
  </w:style>
  <w:style w:type="paragraph" w:customStyle="1" w:styleId="249">
    <w:name w:val="RFI Heading 4th Level"/>
    <w:basedOn w:val="184"/>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50">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51">
    <w:name w:val="标题 3.1"/>
    <w:basedOn w:val="4"/>
    <w:qFormat/>
    <w:uiPriority w:val="0"/>
    <w:pPr>
      <w:tabs>
        <w:tab w:val="left" w:pos="5614"/>
      </w:tabs>
      <w:spacing w:line="600" w:lineRule="exact"/>
    </w:pPr>
    <w:rPr>
      <w:rFonts w:ascii="仿宋_GB2312"/>
      <w:sz w:val="36"/>
    </w:rPr>
  </w:style>
  <w:style w:type="paragraph" w:customStyle="1" w:styleId="252">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253">
    <w:name w:val="Level 3: (a)"/>
    <w:basedOn w:val="1"/>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54">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55">
    <w:name w:val="Char1 Char Char Char Char Char Char"/>
    <w:basedOn w:val="1"/>
    <w:qFormat/>
    <w:uiPriority w:val="0"/>
    <w:pPr>
      <w:adjustRightInd w:val="0"/>
    </w:pPr>
    <w:rPr>
      <w:rFonts w:ascii="Tahoma" w:hAnsi="Tahoma"/>
      <w:sz w:val="24"/>
    </w:rPr>
  </w:style>
  <w:style w:type="paragraph" w:customStyle="1" w:styleId="256">
    <w:name w:val="1.1.1.1Heading3"/>
    <w:basedOn w:val="4"/>
    <w:qFormat/>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257">
    <w:name w:val="Char2"/>
    <w:basedOn w:val="1"/>
    <w:qFormat/>
    <w:uiPriority w:val="0"/>
    <w:rPr>
      <w:rFonts w:ascii="仿宋_GB2312" w:eastAsia="仿宋_GB2312"/>
      <w:b/>
      <w:sz w:val="32"/>
      <w:szCs w:val="32"/>
    </w:rPr>
  </w:style>
  <w:style w:type="paragraph" w:customStyle="1" w:styleId="258">
    <w:name w:val="Char3"/>
    <w:basedOn w:val="1"/>
    <w:qFormat/>
    <w:uiPriority w:val="0"/>
    <w:rPr>
      <w:rFonts w:ascii="仿宋_GB2312" w:eastAsia="仿宋_GB2312"/>
      <w:b/>
      <w:sz w:val="32"/>
      <w:szCs w:val="32"/>
    </w:rPr>
  </w:style>
  <w:style w:type="paragraph" w:customStyle="1" w:styleId="259">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60">
    <w:name w:val="p0"/>
    <w:basedOn w:val="1"/>
    <w:qFormat/>
    <w:uiPriority w:val="0"/>
    <w:pPr>
      <w:widowControl/>
    </w:pPr>
    <w:rPr>
      <w:rFonts w:ascii="仿宋_GB2312" w:hAnsi="宋体" w:eastAsia="仿宋_GB2312" w:cs="宋体"/>
      <w:kern w:val="0"/>
      <w:sz w:val="28"/>
      <w:szCs w:val="28"/>
    </w:rPr>
  </w:style>
  <w:style w:type="paragraph" w:customStyle="1" w:styleId="261">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262">
    <w:name w:val="p18"/>
    <w:basedOn w:val="1"/>
    <w:qFormat/>
    <w:uiPriority w:val="0"/>
    <w:pPr>
      <w:widowControl/>
      <w:spacing w:before="156" w:after="156" w:line="400" w:lineRule="atLeast"/>
    </w:pPr>
    <w:rPr>
      <w:rFonts w:ascii="宋体" w:hAnsi="宋体" w:cs="宋体"/>
      <w:kern w:val="0"/>
      <w:sz w:val="24"/>
      <w:szCs w:val="24"/>
    </w:rPr>
  </w:style>
  <w:style w:type="paragraph" w:customStyle="1" w:styleId="263">
    <w:name w:val="List Paragraph1"/>
    <w:basedOn w:val="1"/>
    <w:qFormat/>
    <w:uiPriority w:val="0"/>
    <w:pPr>
      <w:ind w:firstLine="420" w:firstLineChars="200"/>
    </w:pPr>
    <w:rPr>
      <w:szCs w:val="24"/>
    </w:rPr>
  </w:style>
  <w:style w:type="paragraph" w:customStyle="1" w:styleId="264">
    <w:name w:val="Style Heading 3 + 11 pt Line spacing:  1.5 lines"/>
    <w:basedOn w:val="4"/>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65">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26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7">
    <w:name w:val="Char21"/>
    <w:basedOn w:val="1"/>
    <w:qFormat/>
    <w:uiPriority w:val="0"/>
    <w:rPr>
      <w:rFonts w:ascii="仿宋_GB2312" w:eastAsia="仿宋_GB2312"/>
      <w:b/>
      <w:sz w:val="32"/>
      <w:szCs w:val="32"/>
    </w:rPr>
  </w:style>
  <w:style w:type="paragraph" w:customStyle="1" w:styleId="268">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269">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70">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71">
    <w:name w:val="正文缩进4格"/>
    <w:basedOn w:val="223"/>
    <w:qFormat/>
    <w:uiPriority w:val="0"/>
    <w:pPr>
      <w:ind w:left="651" w:leftChars="310" w:firstLine="608" w:firstLineChars="196"/>
    </w:pPr>
    <w:rPr>
      <w:color w:val="000000"/>
    </w:rPr>
  </w:style>
  <w:style w:type="paragraph" w:customStyle="1" w:styleId="272">
    <w:name w:val="Char Char Char Char Char Char Char Char Char Char"/>
    <w:basedOn w:val="1"/>
    <w:qFormat/>
    <w:uiPriority w:val="0"/>
    <w:rPr>
      <w:rFonts w:ascii="Tahoma" w:hAnsi="Tahoma"/>
      <w:sz w:val="24"/>
    </w:rPr>
  </w:style>
  <w:style w:type="paragraph" w:customStyle="1" w:styleId="273">
    <w:name w:val="www正文"/>
    <w:basedOn w:val="1"/>
    <w:qFormat/>
    <w:uiPriority w:val="0"/>
    <w:pPr>
      <w:ind w:firstLine="480" w:firstLineChars="200"/>
    </w:pPr>
    <w:rPr>
      <w:rFonts w:ascii="仿宋_GB2312" w:eastAsia="仿宋_GB2312"/>
      <w:sz w:val="24"/>
      <w:szCs w:val="28"/>
    </w:rPr>
  </w:style>
  <w:style w:type="paragraph" w:customStyle="1" w:styleId="274">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75">
    <w:name w:val="条目2"/>
    <w:basedOn w:val="31"/>
    <w:qFormat/>
    <w:uiPriority w:val="0"/>
    <w:pPr>
      <w:numPr>
        <w:ilvl w:val="0"/>
        <w:numId w:val="12"/>
      </w:numPr>
      <w:tabs>
        <w:tab w:val="left" w:pos="420"/>
      </w:tabs>
      <w:spacing w:line="360" w:lineRule="auto"/>
    </w:pPr>
    <w:rPr>
      <w:rFonts w:cs="Courier New"/>
      <w:color w:val="000000"/>
      <w:sz w:val="24"/>
      <w:szCs w:val="21"/>
    </w:rPr>
  </w:style>
  <w:style w:type="paragraph" w:customStyle="1" w:styleId="276">
    <w:name w:val="简单回函地址"/>
    <w:basedOn w:val="1"/>
    <w:qFormat/>
    <w:uiPriority w:val="0"/>
    <w:rPr>
      <w:rFonts w:ascii="宋体" w:hAnsi="宋体" w:eastAsia="仿宋_GB2312"/>
      <w:color w:val="000000"/>
      <w:sz w:val="28"/>
      <w:szCs w:val="21"/>
    </w:rPr>
  </w:style>
  <w:style w:type="paragraph" w:customStyle="1" w:styleId="277">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278">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279">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80">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281">
    <w:name w:val="1.1 Header2"/>
    <w:basedOn w:val="1"/>
    <w:qFormat/>
    <w:uiPriority w:val="0"/>
    <w:pPr>
      <w:widowControl/>
      <w:jc w:val="left"/>
    </w:pPr>
    <w:rPr>
      <w:rFonts w:ascii="宋体" w:hAnsi="宋体" w:eastAsia="仿宋_GB2312"/>
      <w:color w:val="000000"/>
      <w:kern w:val="0"/>
      <w:sz w:val="24"/>
      <w:szCs w:val="21"/>
    </w:rPr>
  </w:style>
  <w:style w:type="paragraph" w:customStyle="1" w:styleId="282">
    <w:name w:val="日期右"/>
    <w:basedOn w:val="34"/>
    <w:qFormat/>
    <w:uiPriority w:val="0"/>
    <w:pPr>
      <w:spacing w:line="600" w:lineRule="exact"/>
      <w:ind w:left="0" w:leftChars="0"/>
      <w:jc w:val="right"/>
    </w:pPr>
    <w:rPr>
      <w:rFonts w:eastAsia="仿宋_GB2312"/>
      <w:sz w:val="31"/>
      <w:szCs w:val="24"/>
    </w:rPr>
  </w:style>
  <w:style w:type="paragraph" w:customStyle="1" w:styleId="283">
    <w:name w:val="正文缩进6格"/>
    <w:basedOn w:val="271"/>
    <w:qFormat/>
    <w:uiPriority w:val="0"/>
    <w:pPr>
      <w:ind w:left="1758" w:leftChars="854"/>
    </w:pPr>
  </w:style>
  <w:style w:type="paragraph" w:customStyle="1" w:styleId="284">
    <w:name w:val="Char1 Char Char Char1"/>
    <w:basedOn w:val="1"/>
    <w:qFormat/>
    <w:uiPriority w:val="0"/>
    <w:pPr>
      <w:ind w:left="420" w:hanging="420"/>
    </w:pPr>
    <w:rPr>
      <w:rFonts w:ascii="仿宋_GB2312" w:eastAsia="仿宋_GB2312"/>
      <w:sz w:val="24"/>
      <w:szCs w:val="28"/>
    </w:rPr>
  </w:style>
  <w:style w:type="paragraph" w:customStyle="1" w:styleId="285">
    <w:name w:val="Level 5: (1)"/>
    <w:basedOn w:val="1"/>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86">
    <w:name w:val="Table Text"/>
    <w:basedOn w:val="1"/>
    <w:qFormat/>
    <w:uiPriority w:val="0"/>
    <w:pPr>
      <w:widowControl/>
      <w:spacing w:before="60" w:after="60"/>
      <w:jc w:val="left"/>
    </w:pPr>
    <w:rPr>
      <w:kern w:val="0"/>
      <w:szCs w:val="24"/>
    </w:rPr>
  </w:style>
  <w:style w:type="paragraph" w:customStyle="1" w:styleId="287">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8">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列出段落1"/>
    <w:basedOn w:val="1"/>
    <w:qFormat/>
    <w:uiPriority w:val="0"/>
    <w:pPr>
      <w:ind w:firstLine="420" w:firstLineChars="200"/>
    </w:pPr>
    <w:rPr>
      <w:kern w:val="0"/>
      <w:sz w:val="20"/>
      <w:szCs w:val="24"/>
    </w:rPr>
  </w:style>
  <w:style w:type="paragraph" w:customStyle="1" w:styleId="290">
    <w:name w:val="列出段落3"/>
    <w:basedOn w:val="1"/>
    <w:qFormat/>
    <w:uiPriority w:val="0"/>
    <w:pPr>
      <w:ind w:left="420" w:firstLine="420" w:firstLineChars="200"/>
    </w:pPr>
    <w:rPr>
      <w:kern w:val="0"/>
      <w:sz w:val="20"/>
    </w:rPr>
  </w:style>
  <w:style w:type="paragraph" w:customStyle="1" w:styleId="291">
    <w:name w:val="张世超样式-正文文本1"/>
    <w:basedOn w:val="1"/>
    <w:qFormat/>
    <w:uiPriority w:val="0"/>
    <w:pPr>
      <w:ind w:firstLine="200" w:firstLineChars="200"/>
    </w:pPr>
    <w:rPr>
      <w:szCs w:val="24"/>
    </w:rPr>
  </w:style>
  <w:style w:type="paragraph" w:customStyle="1" w:styleId="29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293">
    <w:name w:val="标题 2（绿盟科技）"/>
    <w:basedOn w:val="3"/>
    <w:next w:val="1"/>
    <w:qFormat/>
    <w:uiPriority w:val="0"/>
    <w:pPr>
      <w:ind w:left="794" w:hanging="794"/>
      <w:jc w:val="left"/>
    </w:pPr>
    <w:rPr>
      <w:bCs w:val="0"/>
    </w:rPr>
  </w:style>
  <w:style w:type="paragraph" w:customStyle="1" w:styleId="294">
    <w:name w:val="文章正文 Char Char1"/>
    <w:basedOn w:val="1"/>
    <w:qFormat/>
    <w:uiPriority w:val="0"/>
    <w:pPr>
      <w:spacing w:beforeLines="40" w:afterLines="40" w:line="360" w:lineRule="auto"/>
      <w:ind w:firstLine="420"/>
    </w:pPr>
    <w:rPr>
      <w:sz w:val="24"/>
      <w:szCs w:val="24"/>
    </w:rPr>
  </w:style>
  <w:style w:type="character" w:customStyle="1" w:styleId="295">
    <w:name w:val="无间隔 Char"/>
    <w:link w:val="189"/>
    <w:qFormat/>
    <w:uiPriority w:val="0"/>
    <w:rPr>
      <w:rFonts w:ascii="Calibri" w:hAnsi="Calibri"/>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衢州市政府采购中心</Company>
  <Pages>109</Pages>
  <Words>10536</Words>
  <Characters>60059</Characters>
  <Lines>500</Lines>
  <Paragraphs>140</Paragraphs>
  <TotalTime>33</TotalTime>
  <ScaleCrop>false</ScaleCrop>
  <LinksUpToDate>false</LinksUpToDate>
  <CharactersWithSpaces>70455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2019-04-24T08:14:00Z</dcterms:created>
  <dc:creator>W</dc:creator>
  <cp:lastModifiedBy>user</cp:lastModifiedBy>
  <cp:lastPrinted>2019-05-16T10:24:00Z</cp:lastPrinted>
  <dcterms:modified xsi:type="dcterms:W3CDTF">2019-05-24T07:50:46Z</dcterms:modified>
  <dc:title>政府采购招标文件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