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87EBE">
      <w:pPr>
        <w:spacing w:line="360" w:lineRule="auto"/>
        <w:ind w:left="0" w:leftChars="0" w:firstLine="0" w:firstLineChars="0"/>
        <w:jc w:val="both"/>
        <w:textAlignment w:val="baseline"/>
        <w:rPr>
          <w:rFonts w:hint="eastAsia" w:ascii="宋体" w:hAnsi="宋体" w:eastAsia="宋体"/>
          <w:b/>
          <w:color w:val="auto"/>
          <w:spacing w:val="2"/>
          <w:position w:val="-3"/>
          <w:sz w:val="44"/>
          <w:szCs w:val="44"/>
          <w:highlight w:val="none"/>
          <w:lang w:eastAsia="zh-CN"/>
        </w:rPr>
      </w:pPr>
    </w:p>
    <w:p w14:paraId="3838B03B">
      <w:pPr>
        <w:rPr>
          <w:rFonts w:hint="eastAsia"/>
          <w:highlight w:val="none"/>
          <w:lang w:eastAsia="zh-CN"/>
        </w:rPr>
      </w:pPr>
    </w:p>
    <w:p w14:paraId="5E8F9A66">
      <w:pPr>
        <w:pStyle w:val="57"/>
        <w:jc w:val="center"/>
        <w:rPr>
          <w:rFonts w:hint="eastAsia" w:ascii="宋体" w:hAnsi="宋体" w:eastAsia="宋体" w:cs="宋体"/>
          <w:b/>
          <w:color w:val="auto"/>
          <w:spacing w:val="2"/>
          <w:position w:val="-3"/>
          <w:sz w:val="48"/>
          <w:szCs w:val="48"/>
          <w:highlight w:val="none"/>
          <w:lang w:eastAsia="zh-CN"/>
        </w:rPr>
      </w:pPr>
      <w:r>
        <w:rPr>
          <w:rFonts w:hint="eastAsia" w:ascii="宋体" w:hAnsi="宋体" w:eastAsia="宋体" w:cs="宋体"/>
          <w:b/>
          <w:color w:val="auto"/>
          <w:spacing w:val="2"/>
          <w:position w:val="-3"/>
          <w:sz w:val="48"/>
          <w:szCs w:val="48"/>
          <w:highlight w:val="none"/>
          <w:lang w:eastAsia="zh-CN"/>
        </w:rPr>
        <w:t>常山县紫港街道外港零担菜市场临时疏导点</w:t>
      </w:r>
    </w:p>
    <w:p w14:paraId="14E43AA5">
      <w:pPr>
        <w:pStyle w:val="57"/>
        <w:jc w:val="center"/>
        <w:rPr>
          <w:rFonts w:hint="eastAsia" w:ascii="宋体" w:hAnsi="宋体" w:eastAsia="宋体" w:cs="宋体"/>
          <w:b/>
          <w:color w:val="auto"/>
          <w:spacing w:val="2"/>
          <w:position w:val="-3"/>
          <w:sz w:val="48"/>
          <w:szCs w:val="48"/>
          <w:highlight w:val="none"/>
          <w:lang w:eastAsia="zh-CN"/>
        </w:rPr>
      </w:pPr>
    </w:p>
    <w:p w14:paraId="34D7FDA7">
      <w:pPr>
        <w:pStyle w:val="57"/>
        <w:jc w:val="center"/>
        <w:rPr>
          <w:rFonts w:hint="eastAsia" w:ascii="宋体" w:hAnsi="宋体" w:eastAsia="宋体" w:cs="宋体"/>
          <w:b/>
          <w:color w:val="auto"/>
          <w:spacing w:val="2"/>
          <w:position w:val="-3"/>
          <w:sz w:val="52"/>
          <w:szCs w:val="52"/>
          <w:highlight w:val="none"/>
          <w:lang w:eastAsia="zh-CN"/>
        </w:rPr>
      </w:pPr>
      <w:r>
        <w:rPr>
          <w:rFonts w:hint="eastAsia" w:ascii="宋体" w:hAnsi="宋体" w:eastAsia="宋体" w:cs="宋体"/>
          <w:b/>
          <w:color w:val="auto"/>
          <w:spacing w:val="2"/>
          <w:position w:val="-3"/>
          <w:sz w:val="48"/>
          <w:szCs w:val="48"/>
          <w:highlight w:val="none"/>
          <w:lang w:eastAsia="zh-CN"/>
        </w:rPr>
        <w:t>运营管理项目</w:t>
      </w:r>
    </w:p>
    <w:p w14:paraId="5B19B3EF">
      <w:pPr>
        <w:pStyle w:val="61"/>
        <w:jc w:val="center"/>
        <w:rPr>
          <w:rFonts w:hint="eastAsia"/>
          <w:highlight w:val="none"/>
          <w:lang w:eastAsia="zh-CN"/>
        </w:rPr>
      </w:pPr>
    </w:p>
    <w:p w14:paraId="5F9610BF">
      <w:pPr>
        <w:spacing w:line="360" w:lineRule="auto"/>
        <w:ind w:left="0" w:leftChars="0" w:firstLine="0" w:firstLineChars="0"/>
        <w:jc w:val="both"/>
        <w:textAlignment w:val="baseline"/>
        <w:rPr>
          <w:rFonts w:hint="eastAsia" w:ascii="宋体" w:hAnsi="宋体" w:cs="宋体"/>
          <w:b/>
          <w:color w:val="auto"/>
          <w:spacing w:val="2"/>
          <w:position w:val="-3"/>
          <w:sz w:val="84"/>
          <w:szCs w:val="84"/>
          <w:highlight w:val="none"/>
        </w:rPr>
      </w:pPr>
    </w:p>
    <w:p w14:paraId="6E58926E">
      <w:pPr>
        <w:spacing w:line="360" w:lineRule="auto"/>
        <w:ind w:left="0" w:leftChars="0" w:firstLine="0" w:firstLineChars="0"/>
        <w:jc w:val="center"/>
        <w:textAlignment w:val="baseline"/>
        <w:rPr>
          <w:rFonts w:hint="eastAsia" w:ascii="宋体" w:hAnsi="宋体" w:cs="宋体"/>
          <w:b/>
          <w:color w:val="auto"/>
          <w:spacing w:val="2"/>
          <w:position w:val="-3"/>
          <w:sz w:val="84"/>
          <w:szCs w:val="84"/>
          <w:highlight w:val="none"/>
        </w:rPr>
      </w:pPr>
      <w:r>
        <w:rPr>
          <w:rFonts w:hint="eastAsia" w:ascii="宋体" w:hAnsi="宋体" w:cs="宋体"/>
          <w:b/>
          <w:color w:val="auto"/>
          <w:spacing w:val="2"/>
          <w:position w:val="-3"/>
          <w:sz w:val="84"/>
          <w:szCs w:val="84"/>
          <w:highlight w:val="none"/>
        </w:rPr>
        <w:t>竞争性磋商文件</w:t>
      </w:r>
    </w:p>
    <w:p w14:paraId="74C0CF4E">
      <w:pPr>
        <w:spacing w:line="360" w:lineRule="auto"/>
        <w:ind w:left="0" w:leftChars="0" w:firstLine="0" w:firstLineChars="0"/>
        <w:jc w:val="center"/>
        <w:textAlignment w:val="baseline"/>
        <w:rPr>
          <w:rFonts w:hint="eastAsia" w:ascii="宋体" w:hAnsi="宋体" w:eastAsia="宋体" w:cs="宋体"/>
          <w:b/>
          <w:color w:val="auto"/>
          <w:spacing w:val="2"/>
          <w:kern w:val="0"/>
          <w:position w:val="-3"/>
          <w:sz w:val="52"/>
          <w:szCs w:val="52"/>
          <w:highlight w:val="none"/>
          <w:lang w:val="en-US" w:eastAsia="zh-CN" w:bidi="ar-SA"/>
        </w:rPr>
      </w:pPr>
    </w:p>
    <w:p w14:paraId="5E0795EC">
      <w:pPr>
        <w:spacing w:line="360" w:lineRule="auto"/>
        <w:ind w:left="0" w:leftChars="0" w:firstLine="0" w:firstLineChars="0"/>
        <w:jc w:val="center"/>
        <w:textAlignment w:val="baseline"/>
        <w:rPr>
          <w:rFonts w:hint="eastAsia" w:ascii="宋体" w:hAnsi="宋体" w:eastAsia="宋体" w:cs="宋体"/>
          <w:b/>
          <w:color w:val="auto"/>
          <w:spacing w:val="2"/>
          <w:kern w:val="0"/>
          <w:position w:val="-3"/>
          <w:sz w:val="52"/>
          <w:szCs w:val="52"/>
          <w:highlight w:val="none"/>
          <w:lang w:val="en-US" w:eastAsia="zh-CN" w:bidi="ar-SA"/>
        </w:rPr>
      </w:pPr>
      <w:r>
        <w:rPr>
          <w:rFonts w:hint="eastAsia" w:ascii="宋体" w:hAnsi="宋体" w:eastAsia="宋体" w:cs="宋体"/>
          <w:b/>
          <w:color w:val="auto"/>
          <w:spacing w:val="2"/>
          <w:kern w:val="0"/>
          <w:position w:val="-3"/>
          <w:sz w:val="52"/>
          <w:szCs w:val="52"/>
          <w:highlight w:val="none"/>
          <w:lang w:val="en-US" w:eastAsia="zh-CN" w:bidi="ar-SA"/>
        </w:rPr>
        <w:t>（线上电子招投标）</w:t>
      </w:r>
    </w:p>
    <w:p w14:paraId="7B8E0136">
      <w:pPr>
        <w:spacing w:line="360" w:lineRule="auto"/>
        <w:jc w:val="center"/>
        <w:textAlignment w:val="baseline"/>
        <w:rPr>
          <w:rFonts w:ascii="宋体" w:hAnsi="宋体" w:cs="宋体"/>
          <w:bCs/>
          <w:color w:val="auto"/>
          <w:sz w:val="24"/>
          <w:szCs w:val="24"/>
          <w:highlight w:val="none"/>
        </w:rPr>
      </w:pPr>
    </w:p>
    <w:p w14:paraId="1D0B1571">
      <w:pPr>
        <w:spacing w:line="360" w:lineRule="auto"/>
        <w:jc w:val="center"/>
        <w:textAlignment w:val="baseline"/>
        <w:rPr>
          <w:rFonts w:ascii="宋体" w:hAnsi="宋体" w:cs="宋体"/>
          <w:bCs/>
          <w:color w:val="auto"/>
          <w:sz w:val="24"/>
          <w:szCs w:val="24"/>
          <w:highlight w:val="none"/>
        </w:rPr>
      </w:pPr>
    </w:p>
    <w:p w14:paraId="5DF380DC">
      <w:pPr>
        <w:pStyle w:val="12"/>
        <w:textAlignment w:val="baseline"/>
        <w:rPr>
          <w:rFonts w:ascii="宋体" w:hAnsi="宋体" w:cs="宋体"/>
          <w:color w:val="auto"/>
          <w:highlight w:val="none"/>
        </w:rPr>
      </w:pPr>
    </w:p>
    <w:p w14:paraId="52DC298A">
      <w:pPr>
        <w:pStyle w:val="2"/>
        <w:ind w:left="0" w:leftChars="0" w:firstLine="0" w:firstLineChars="0"/>
      </w:pPr>
    </w:p>
    <w:p w14:paraId="03298B8D">
      <w:pPr>
        <w:keepNext w:val="0"/>
        <w:keepLines w:val="0"/>
        <w:pageBreakBefore w:val="0"/>
        <w:widowControl w:val="0"/>
        <w:kinsoku/>
        <w:wordWrap/>
        <w:overflowPunct/>
        <w:topLinePunct w:val="0"/>
        <w:autoSpaceDE/>
        <w:autoSpaceDN/>
        <w:bidi w:val="0"/>
        <w:adjustRightInd/>
        <w:snapToGrid/>
        <w:spacing w:line="760" w:lineRule="exact"/>
        <w:ind w:left="0" w:leftChars="0" w:firstLine="2441" w:firstLineChars="800"/>
        <w:textAlignment w:val="baseline"/>
        <w:rPr>
          <w:rFonts w:hint="eastAsia" w:ascii="宋体" w:hAnsi="宋体" w:cs="宋体"/>
          <w:b/>
          <w:color w:val="auto"/>
          <w:spacing w:val="2"/>
          <w:position w:val="-3"/>
          <w:sz w:val="30"/>
          <w:szCs w:val="30"/>
          <w:highlight w:val="none"/>
          <w:lang w:eastAsia="zh-CN"/>
        </w:rPr>
      </w:pPr>
      <w:r>
        <w:rPr>
          <w:rFonts w:hint="eastAsia" w:ascii="宋体" w:hAnsi="宋体" w:cs="宋体"/>
          <w:b/>
          <w:color w:val="auto"/>
          <w:spacing w:val="2"/>
          <w:position w:val="-3"/>
          <w:sz w:val="30"/>
          <w:szCs w:val="30"/>
          <w:highlight w:val="none"/>
        </w:rPr>
        <w:t>项目编号：</w:t>
      </w:r>
      <w:r>
        <w:rPr>
          <w:rFonts w:hint="eastAsia" w:ascii="宋体" w:hAnsi="宋体" w:cs="宋体"/>
          <w:b/>
          <w:color w:val="auto"/>
          <w:spacing w:val="2"/>
          <w:position w:val="-3"/>
          <w:sz w:val="30"/>
          <w:szCs w:val="30"/>
          <w:highlight w:val="none"/>
          <w:lang w:eastAsia="zh-CN"/>
        </w:rPr>
        <w:t>JYZFCG-2025-CS008</w:t>
      </w:r>
    </w:p>
    <w:p w14:paraId="18B90140">
      <w:pPr>
        <w:keepNext w:val="0"/>
        <w:keepLines w:val="0"/>
        <w:pageBreakBefore w:val="0"/>
        <w:widowControl w:val="0"/>
        <w:kinsoku/>
        <w:wordWrap/>
        <w:overflowPunct/>
        <w:topLinePunct w:val="0"/>
        <w:autoSpaceDE/>
        <w:autoSpaceDN/>
        <w:bidi w:val="0"/>
        <w:adjustRightInd/>
        <w:snapToGrid/>
        <w:spacing w:line="760" w:lineRule="exact"/>
        <w:ind w:left="0" w:leftChars="0" w:firstLine="2441" w:firstLineChars="800"/>
        <w:jc w:val="both"/>
        <w:textAlignment w:val="baseline"/>
        <w:rPr>
          <w:rFonts w:ascii="宋体" w:hAnsi="宋体" w:cs="宋体"/>
          <w:b/>
          <w:color w:val="auto"/>
          <w:spacing w:val="2"/>
          <w:position w:val="-3"/>
          <w:sz w:val="30"/>
          <w:szCs w:val="30"/>
          <w:highlight w:val="none"/>
        </w:rPr>
      </w:pPr>
      <w:r>
        <w:rPr>
          <w:rFonts w:hint="eastAsia" w:ascii="宋体" w:hAnsi="宋体" w:cs="宋体"/>
          <w:b/>
          <w:color w:val="auto"/>
          <w:spacing w:val="2"/>
          <w:position w:val="-3"/>
          <w:sz w:val="30"/>
          <w:szCs w:val="30"/>
          <w:highlight w:val="none"/>
        </w:rPr>
        <w:t>采</w:t>
      </w:r>
      <w:r>
        <w:rPr>
          <w:rFonts w:hint="eastAsia" w:ascii="宋体" w:hAnsi="宋体" w:cs="宋体"/>
          <w:b/>
          <w:color w:val="auto"/>
          <w:spacing w:val="2"/>
          <w:position w:val="-3"/>
          <w:sz w:val="30"/>
          <w:szCs w:val="30"/>
          <w:highlight w:val="none"/>
          <w:lang w:val="en-US" w:eastAsia="zh-CN"/>
        </w:rPr>
        <w:t xml:space="preserve"> </w:t>
      </w:r>
      <w:r>
        <w:rPr>
          <w:rFonts w:hint="eastAsia" w:ascii="宋体" w:hAnsi="宋体" w:cs="宋体"/>
          <w:b/>
          <w:color w:val="auto"/>
          <w:spacing w:val="2"/>
          <w:position w:val="-3"/>
          <w:sz w:val="30"/>
          <w:szCs w:val="30"/>
          <w:highlight w:val="none"/>
        </w:rPr>
        <w:t>购</w:t>
      </w:r>
      <w:r>
        <w:rPr>
          <w:rFonts w:hint="eastAsia" w:ascii="宋体" w:hAnsi="宋体" w:cs="宋体"/>
          <w:b/>
          <w:color w:val="auto"/>
          <w:spacing w:val="2"/>
          <w:position w:val="-3"/>
          <w:sz w:val="30"/>
          <w:szCs w:val="30"/>
          <w:highlight w:val="none"/>
          <w:lang w:val="en-US" w:eastAsia="zh-CN"/>
        </w:rPr>
        <w:t xml:space="preserve"> </w:t>
      </w:r>
      <w:r>
        <w:rPr>
          <w:rFonts w:hint="eastAsia" w:ascii="宋体" w:hAnsi="宋体" w:cs="宋体"/>
          <w:b/>
          <w:color w:val="auto"/>
          <w:spacing w:val="2"/>
          <w:position w:val="-3"/>
          <w:sz w:val="30"/>
          <w:szCs w:val="30"/>
          <w:highlight w:val="none"/>
        </w:rPr>
        <w:t>人：</w:t>
      </w:r>
      <w:r>
        <w:rPr>
          <w:rFonts w:hint="eastAsia" w:ascii="宋体" w:hAnsi="宋体" w:cs="宋体"/>
          <w:b/>
          <w:color w:val="auto"/>
          <w:spacing w:val="2"/>
          <w:position w:val="-3"/>
          <w:sz w:val="30"/>
          <w:szCs w:val="30"/>
          <w:highlight w:val="none"/>
          <w:lang w:eastAsia="zh-CN"/>
        </w:rPr>
        <w:t>常山县紫港街道办事处</w:t>
      </w:r>
    </w:p>
    <w:p w14:paraId="0DA27E24">
      <w:pPr>
        <w:keepNext w:val="0"/>
        <w:keepLines w:val="0"/>
        <w:pageBreakBefore w:val="0"/>
        <w:widowControl w:val="0"/>
        <w:kinsoku/>
        <w:wordWrap/>
        <w:overflowPunct/>
        <w:topLinePunct w:val="0"/>
        <w:autoSpaceDE/>
        <w:autoSpaceDN/>
        <w:bidi w:val="0"/>
        <w:adjustRightInd/>
        <w:snapToGrid/>
        <w:spacing w:line="760" w:lineRule="exact"/>
        <w:ind w:left="0" w:leftChars="0" w:firstLine="2441" w:firstLineChars="800"/>
        <w:textAlignment w:val="baseline"/>
        <w:rPr>
          <w:rFonts w:hint="eastAsia" w:ascii="宋体" w:hAnsi="宋体" w:eastAsia="宋体" w:cs="宋体"/>
          <w:b/>
          <w:color w:val="auto"/>
          <w:spacing w:val="2"/>
          <w:position w:val="-3"/>
          <w:sz w:val="30"/>
          <w:szCs w:val="30"/>
          <w:highlight w:val="none"/>
          <w:lang w:eastAsia="zh-CN"/>
        </w:rPr>
      </w:pPr>
      <w:r>
        <w:rPr>
          <w:rFonts w:hint="eastAsia" w:ascii="宋体" w:hAnsi="宋体" w:cs="宋体"/>
          <w:b/>
          <w:color w:val="auto"/>
          <w:spacing w:val="2"/>
          <w:position w:val="-3"/>
          <w:sz w:val="30"/>
          <w:szCs w:val="30"/>
          <w:highlight w:val="none"/>
        </w:rPr>
        <w:t>代理机构：</w:t>
      </w:r>
      <w:r>
        <w:rPr>
          <w:rFonts w:hint="eastAsia" w:ascii="宋体" w:hAnsi="宋体" w:cs="宋体"/>
          <w:b/>
          <w:color w:val="auto"/>
          <w:spacing w:val="2"/>
          <w:position w:val="-3"/>
          <w:sz w:val="30"/>
          <w:szCs w:val="30"/>
          <w:highlight w:val="none"/>
          <w:lang w:eastAsia="zh-CN"/>
        </w:rPr>
        <w:t>浙江九越建设管理有限公司</w:t>
      </w:r>
    </w:p>
    <w:p w14:paraId="6206B56A">
      <w:pPr>
        <w:spacing w:line="700" w:lineRule="exact"/>
        <w:jc w:val="center"/>
        <w:textAlignment w:val="baseline"/>
        <w:rPr>
          <w:rFonts w:hint="eastAsia" w:ascii="宋体" w:hAnsi="宋体" w:cs="宋体"/>
          <w:b/>
          <w:color w:val="auto"/>
          <w:spacing w:val="2"/>
          <w:position w:val="-3"/>
          <w:sz w:val="32"/>
          <w:szCs w:val="32"/>
          <w:highlight w:val="none"/>
        </w:rPr>
      </w:pPr>
    </w:p>
    <w:p w14:paraId="3160FE4C">
      <w:pPr>
        <w:spacing w:line="700" w:lineRule="exact"/>
        <w:ind w:left="0" w:leftChars="0" w:firstLine="0" w:firstLineChars="0"/>
        <w:jc w:val="center"/>
        <w:textAlignment w:val="baseline"/>
        <w:rPr>
          <w:rFonts w:hint="eastAsia" w:ascii="宋体" w:hAnsi="宋体" w:cs="宋体"/>
          <w:b/>
          <w:color w:val="auto"/>
          <w:spacing w:val="2"/>
          <w:position w:val="-3"/>
          <w:sz w:val="30"/>
          <w:szCs w:val="30"/>
          <w:highlight w:val="none"/>
        </w:rPr>
      </w:pPr>
      <w:r>
        <w:rPr>
          <w:rFonts w:hint="eastAsia" w:ascii="宋体" w:hAnsi="宋体" w:cs="宋体"/>
          <w:b/>
          <w:color w:val="auto"/>
          <w:spacing w:val="2"/>
          <w:position w:val="-3"/>
          <w:sz w:val="30"/>
          <w:szCs w:val="30"/>
          <w:highlight w:val="none"/>
        </w:rPr>
        <w:t>二〇二</w:t>
      </w:r>
      <w:r>
        <w:rPr>
          <w:rFonts w:hint="eastAsia" w:ascii="宋体" w:hAnsi="宋体" w:cs="宋体"/>
          <w:b/>
          <w:color w:val="auto"/>
          <w:spacing w:val="2"/>
          <w:position w:val="-3"/>
          <w:sz w:val="30"/>
          <w:szCs w:val="30"/>
          <w:highlight w:val="none"/>
          <w:lang w:eastAsia="zh-CN"/>
        </w:rPr>
        <w:t>五</w:t>
      </w:r>
      <w:r>
        <w:rPr>
          <w:rFonts w:hint="eastAsia" w:ascii="宋体" w:hAnsi="宋体" w:cs="宋体"/>
          <w:b/>
          <w:color w:val="auto"/>
          <w:spacing w:val="2"/>
          <w:position w:val="-3"/>
          <w:sz w:val="30"/>
          <w:szCs w:val="30"/>
          <w:highlight w:val="none"/>
        </w:rPr>
        <w:t>年</w:t>
      </w:r>
      <w:r>
        <w:rPr>
          <w:rFonts w:hint="eastAsia" w:ascii="宋体" w:hAnsi="宋体" w:cs="宋体"/>
          <w:b/>
          <w:color w:val="auto"/>
          <w:spacing w:val="2"/>
          <w:position w:val="-3"/>
          <w:sz w:val="30"/>
          <w:szCs w:val="30"/>
          <w:highlight w:val="none"/>
          <w:lang w:val="en-US" w:eastAsia="zh-CN"/>
        </w:rPr>
        <w:t>六</w:t>
      </w:r>
      <w:r>
        <w:rPr>
          <w:rFonts w:hint="eastAsia" w:ascii="宋体" w:hAnsi="宋体" w:cs="宋体"/>
          <w:b/>
          <w:color w:val="auto"/>
          <w:spacing w:val="2"/>
          <w:position w:val="-3"/>
          <w:sz w:val="30"/>
          <w:szCs w:val="30"/>
          <w:highlight w:val="none"/>
        </w:rPr>
        <w:t>月</w:t>
      </w:r>
    </w:p>
    <w:p w14:paraId="4308D7F7">
      <w:pPr>
        <w:tabs>
          <w:tab w:val="left" w:pos="3311"/>
        </w:tabs>
        <w:bidi w:val="0"/>
        <w:ind w:left="0" w:leftChars="0" w:firstLine="0" w:firstLineChars="0"/>
        <w:jc w:val="left"/>
        <w:rPr>
          <w:color w:val="auto"/>
          <w:highlight w:val="none"/>
          <w:lang w:val="en-US" w:eastAsia="zh-CN"/>
        </w:rPr>
        <w:sectPr>
          <w:pgSz w:w="11906" w:h="16838"/>
          <w:pgMar w:top="1440" w:right="1083" w:bottom="1440" w:left="1083" w:header="851" w:footer="992" w:gutter="0"/>
          <w:cols w:space="720" w:num="1"/>
          <w:docGrid w:type="lines" w:linePitch="312" w:charSpace="0"/>
        </w:sectPr>
      </w:pPr>
    </w:p>
    <w:p w14:paraId="57CCBAA9">
      <w:pPr>
        <w:spacing w:before="24" w:after="24" w:line="360" w:lineRule="auto"/>
        <w:ind w:firstLine="723" w:firstLineChars="200"/>
        <w:jc w:val="center"/>
        <w:textAlignment w:val="baseline"/>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sdt>
      <w:sdtPr>
        <w:rPr>
          <w:rFonts w:ascii="宋体" w:hAnsi="宋体"/>
          <w:color w:val="auto"/>
          <w:kern w:val="0"/>
          <w:sz w:val="24"/>
          <w:highlight w:val="none"/>
          <w:lang w:val="zh-CN"/>
        </w:rPr>
        <w:id w:val="147455864"/>
        <w15:color w:val="DBDBDB"/>
      </w:sdtPr>
      <w:sdtEndPr>
        <w:rPr>
          <w:rFonts w:hint="eastAsia" w:ascii="宋体" w:hAnsi="宋体" w:cs="宋体"/>
          <w:bCs/>
          <w:color w:val="auto"/>
          <w:kern w:val="0"/>
          <w:sz w:val="24"/>
          <w:szCs w:val="28"/>
          <w:highlight w:val="none"/>
          <w:lang w:val="zh-CN"/>
        </w:rPr>
      </w:sdtEndPr>
      <w:sdtContent>
        <w:p w14:paraId="22D1E770">
          <w:pPr>
            <w:ind w:firstLine="480" w:firstLineChars="200"/>
            <w:jc w:val="center"/>
            <w:rPr>
              <w:color w:val="auto"/>
              <w:highlight w:val="none"/>
            </w:rPr>
          </w:pPr>
        </w:p>
        <w:p w14:paraId="14E00C61">
          <w:pPr>
            <w:pStyle w:val="101"/>
            <w:tabs>
              <w:tab w:val="right" w:leader="dot" w:pos="10206"/>
            </w:tabs>
            <w:ind w:firstLine="562" w:firstLineChars="200"/>
            <w:rPr>
              <w:rFonts w:ascii="宋体" w:hAnsi="宋体" w:cs="宋体"/>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TOC \o "1-1" \h \u </w:instrText>
          </w:r>
          <w:r>
            <w:rPr>
              <w:rFonts w:hint="eastAsia" w:ascii="宋体" w:hAnsi="宋体" w:cs="宋体"/>
              <w:b/>
              <w:bCs/>
              <w:color w:val="auto"/>
              <w:sz w:val="28"/>
              <w:szCs w:val="28"/>
              <w:highlight w:val="none"/>
            </w:rPr>
            <w:fldChar w:fldCharType="separate"/>
          </w:r>
          <w:r>
            <w:rPr>
              <w:color w:val="auto"/>
              <w:highlight w:val="none"/>
            </w:rPr>
            <w:fldChar w:fldCharType="begin"/>
          </w:r>
          <w:r>
            <w:rPr>
              <w:color w:val="auto"/>
              <w:highlight w:val="none"/>
            </w:rPr>
            <w:instrText xml:space="preserve"> HYPERLINK \l "_Toc3203" </w:instrText>
          </w:r>
          <w:r>
            <w:rPr>
              <w:color w:val="auto"/>
              <w:highlight w:val="none"/>
            </w:rPr>
            <w:fldChar w:fldCharType="separate"/>
          </w:r>
          <w:r>
            <w:rPr>
              <w:rFonts w:hint="eastAsia" w:ascii="宋体" w:hAnsi="宋体" w:cs="宋体"/>
              <w:bCs/>
              <w:color w:val="auto"/>
              <w:sz w:val="28"/>
              <w:szCs w:val="28"/>
              <w:highlight w:val="none"/>
            </w:rPr>
            <w:t>第一章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_Toc3203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8E91949">
          <w:pPr>
            <w:pStyle w:val="101"/>
            <w:tabs>
              <w:tab w:val="right" w:leader="dot" w:pos="10206"/>
            </w:tabs>
            <w:ind w:firstLine="400" w:firstLineChars="20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"_Toc16791" </w:instrText>
          </w:r>
          <w:r>
            <w:rPr>
              <w:color w:val="auto"/>
              <w:highlight w:val="none"/>
            </w:rPr>
            <w:fldChar w:fldCharType="separate"/>
          </w:r>
          <w:r>
            <w:rPr>
              <w:rFonts w:hint="eastAsia" w:ascii="宋体" w:hAnsi="宋体" w:cs="宋体"/>
              <w:bCs/>
              <w:color w:val="auto"/>
              <w:sz w:val="28"/>
              <w:szCs w:val="28"/>
              <w:highlight w:val="none"/>
            </w:rPr>
            <w:t>第二章  磋商供应商须知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_Toc16791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EA8609D">
          <w:pPr>
            <w:pStyle w:val="101"/>
            <w:tabs>
              <w:tab w:val="right" w:leader="dot" w:pos="10206"/>
            </w:tabs>
            <w:ind w:firstLine="400" w:firstLineChars="200"/>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"_Toc26093" </w:instrText>
          </w:r>
          <w:r>
            <w:rPr>
              <w:color w:val="auto"/>
              <w:highlight w:val="none"/>
            </w:rPr>
            <w:fldChar w:fldCharType="separate"/>
          </w:r>
          <w:r>
            <w:rPr>
              <w:rFonts w:hint="eastAsia" w:ascii="宋体" w:hAnsi="宋体" w:cs="宋体"/>
              <w:bCs/>
              <w:color w:val="auto"/>
              <w:kern w:val="2"/>
              <w:sz w:val="28"/>
              <w:szCs w:val="28"/>
              <w:highlight w:val="none"/>
            </w:rPr>
            <w:t xml:space="preserve">第三章  </w:t>
          </w:r>
          <w:r>
            <w:rPr>
              <w:rFonts w:hint="eastAsia" w:ascii="宋体" w:hAnsi="宋体" w:cs="宋体"/>
              <w:bCs/>
              <w:color w:val="auto"/>
              <w:kern w:val="2"/>
              <w:sz w:val="28"/>
              <w:szCs w:val="28"/>
              <w:highlight w:val="none"/>
              <w:lang w:val="zh-CN"/>
            </w:rPr>
            <w:t>采购内容及要求</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3</w:t>
          </w:r>
        </w:p>
        <w:p w14:paraId="03D9A2DC">
          <w:pPr>
            <w:pStyle w:val="101"/>
            <w:tabs>
              <w:tab w:val="right" w:leader="dot" w:pos="10206"/>
            </w:tabs>
            <w:ind w:firstLine="400" w:firstLineChars="20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"_Toc21547" </w:instrText>
          </w:r>
          <w:r>
            <w:rPr>
              <w:color w:val="auto"/>
              <w:highlight w:val="none"/>
            </w:rPr>
            <w:fldChar w:fldCharType="separate"/>
          </w:r>
          <w:r>
            <w:rPr>
              <w:rFonts w:hint="eastAsia" w:ascii="宋体" w:hAnsi="宋体" w:cs="宋体"/>
              <w:color w:val="auto"/>
              <w:sz w:val="28"/>
              <w:szCs w:val="28"/>
              <w:highlight w:val="none"/>
            </w:rPr>
            <w:t>第四章  合同格式样本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_Toc21547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343F3C9">
          <w:pPr>
            <w:pStyle w:val="101"/>
            <w:tabs>
              <w:tab w:val="right" w:leader="dot" w:pos="10206"/>
            </w:tabs>
            <w:ind w:firstLine="400" w:firstLineChars="200"/>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"_Toc17895" </w:instrText>
          </w:r>
          <w:r>
            <w:rPr>
              <w:color w:val="auto"/>
              <w:highlight w:val="none"/>
            </w:rPr>
            <w:fldChar w:fldCharType="separate"/>
          </w:r>
          <w:r>
            <w:rPr>
              <w:rFonts w:hint="eastAsia" w:ascii="宋体" w:hAnsi="宋体" w:cs="宋体"/>
              <w:color w:val="auto"/>
              <w:sz w:val="28"/>
              <w:szCs w:val="28"/>
              <w:highlight w:val="none"/>
            </w:rPr>
            <w:t xml:space="preserve">第五章  </w:t>
          </w:r>
          <w:r>
            <w:rPr>
              <w:rFonts w:hint="eastAsia" w:ascii="宋体" w:hAnsi="宋体" w:cs="宋体"/>
              <w:color w:val="auto"/>
              <w:sz w:val="28"/>
              <w:szCs w:val="28"/>
              <w:highlight w:val="none"/>
              <w:lang w:val="zh-CN"/>
            </w:rPr>
            <w:t>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427DB308">
          <w:pPr>
            <w:pStyle w:val="101"/>
            <w:tabs>
              <w:tab w:val="right" w:leader="dot" w:pos="10206"/>
            </w:tabs>
            <w:ind w:firstLine="400" w:firstLineChars="200"/>
            <w:rPr>
              <w:color w:val="auto"/>
              <w:highlight w:val="none"/>
            </w:rPr>
          </w:pPr>
          <w:r>
            <w:rPr>
              <w:color w:val="auto"/>
              <w:highlight w:val="none"/>
            </w:rPr>
            <w:fldChar w:fldCharType="begin"/>
          </w:r>
          <w:r>
            <w:rPr>
              <w:color w:val="auto"/>
              <w:highlight w:val="none"/>
            </w:rPr>
            <w:instrText xml:space="preserve"> HYPERLINK \l "_Toc4286" </w:instrText>
          </w:r>
          <w:r>
            <w:rPr>
              <w:color w:val="auto"/>
              <w:highlight w:val="none"/>
            </w:rPr>
            <w:fldChar w:fldCharType="separate"/>
          </w:r>
          <w:r>
            <w:rPr>
              <w:rFonts w:hint="eastAsia" w:ascii="宋体" w:hAnsi="宋体" w:cs="宋体"/>
              <w:bCs/>
              <w:color w:val="auto"/>
              <w:sz w:val="28"/>
              <w:szCs w:val="28"/>
              <w:highlight w:val="none"/>
            </w:rPr>
            <w:t>第六章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_Toc4286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270955B">
          <w:pPr>
            <w:pStyle w:val="101"/>
            <w:tabs>
              <w:tab w:val="right" w:leader="dot" w:pos="10206"/>
            </w:tabs>
            <w:rPr>
              <w:color w:val="auto"/>
              <w:highlight w:val="none"/>
            </w:rPr>
          </w:pPr>
        </w:p>
        <w:p w14:paraId="068A5139">
          <w:pPr>
            <w:pStyle w:val="67"/>
            <w:ind w:firstLine="480" w:firstLineChars="200"/>
            <w:jc w:val="both"/>
            <w:textAlignment w:val="baseline"/>
            <w:rPr>
              <w:rFonts w:cs="宋体"/>
              <w:bCs/>
              <w:color w:val="auto"/>
              <w:szCs w:val="28"/>
              <w:highlight w:val="none"/>
            </w:rPr>
            <w:sectPr>
              <w:footerReference r:id="rId5" w:type="default"/>
              <w:pgSz w:w="11906" w:h="16838"/>
              <w:pgMar w:top="1440" w:right="850" w:bottom="1440" w:left="850" w:header="851" w:footer="992" w:gutter="0"/>
              <w:pgNumType w:start="1"/>
              <w:cols w:space="720" w:num="1"/>
              <w:docGrid w:type="lines" w:linePitch="312" w:charSpace="0"/>
            </w:sectPr>
          </w:pPr>
          <w:r>
            <w:rPr>
              <w:rFonts w:hint="eastAsia" w:cs="宋体"/>
              <w:bCs/>
              <w:color w:val="auto"/>
              <w:szCs w:val="28"/>
              <w:highlight w:val="none"/>
            </w:rPr>
            <w:fldChar w:fldCharType="end"/>
          </w:r>
          <w:bookmarkStart w:id="101" w:name="_GoBack"/>
        </w:p>
      </w:sdtContent>
    </w:sdt>
    <w:bookmarkEnd w:id="101"/>
    <w:p w14:paraId="243C2AF4">
      <w:pPr>
        <w:spacing w:after="312" w:afterAutospacing="1" w:line="360" w:lineRule="auto"/>
        <w:ind w:firstLine="602" w:firstLineChars="200"/>
        <w:jc w:val="center"/>
        <w:textAlignment w:val="baseline"/>
        <w:outlineLvl w:val="0"/>
        <w:rPr>
          <w:rFonts w:ascii="宋体" w:hAnsi="宋体" w:cs="宋体"/>
          <w:b/>
          <w:bCs/>
          <w:color w:val="auto"/>
          <w:sz w:val="30"/>
          <w:szCs w:val="30"/>
          <w:highlight w:val="none"/>
        </w:rPr>
      </w:pPr>
      <w:bookmarkStart w:id="0" w:name="_Toc421834139"/>
      <w:bookmarkStart w:id="1" w:name="_Toc3203"/>
      <w:bookmarkStart w:id="2" w:name="_Toc32466"/>
      <w:r>
        <w:rPr>
          <w:rFonts w:hint="eastAsia" w:ascii="宋体" w:hAnsi="宋体" w:cs="宋体"/>
          <w:b/>
          <w:bCs/>
          <w:color w:val="auto"/>
          <w:sz w:val="30"/>
          <w:szCs w:val="30"/>
          <w:highlight w:val="none"/>
        </w:rPr>
        <w:t>第一章</w:t>
      </w:r>
      <w:bookmarkEnd w:id="0"/>
      <w:r>
        <w:rPr>
          <w:rFonts w:hint="eastAsia" w:ascii="宋体" w:hAnsi="宋体" w:cs="宋体"/>
          <w:b/>
          <w:bCs/>
          <w:color w:val="auto"/>
          <w:sz w:val="30"/>
          <w:szCs w:val="30"/>
          <w:highlight w:val="none"/>
        </w:rPr>
        <w:t xml:space="preserve">  竞争性磋商公告</w:t>
      </w:r>
      <w:bookmarkEnd w:id="1"/>
      <w:bookmarkEnd w:id="2"/>
    </w:p>
    <w:tbl>
      <w:tblPr>
        <w:tblStyle w:val="33"/>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6"/>
      </w:tblGrid>
      <w:tr w14:paraId="712B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6" w:type="dxa"/>
          </w:tcPr>
          <w:p w14:paraId="36052570">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项目概况</w:t>
            </w:r>
          </w:p>
          <w:p w14:paraId="589970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 xml:space="preserve">常山县紫港街道外港零担菜市场临时疏导点运营管理项目 </w:t>
            </w:r>
            <w:r>
              <w:rPr>
                <w:rFonts w:hint="eastAsia" w:ascii="宋体" w:hAnsi="宋体" w:cs="宋体"/>
                <w:color w:val="auto"/>
                <w:szCs w:val="21"/>
                <w:highlight w:val="none"/>
              </w:rPr>
              <w:t>的潜在供应商应在</w:t>
            </w:r>
            <w:r>
              <w:rPr>
                <w:rFonts w:hint="eastAsia" w:ascii="宋体" w:hAnsi="宋体" w:cs="宋体"/>
                <w:b/>
                <w:bCs/>
                <w:color w:val="auto"/>
                <w:szCs w:val="21"/>
                <w:highlight w:val="none"/>
                <w:u w:val="single" w:color="000000"/>
              </w:rPr>
              <w:t>政府采购云平台（www.zcygov.cn）</w:t>
            </w:r>
            <w:r>
              <w:rPr>
                <w:rFonts w:hint="eastAsia" w:ascii="宋体" w:hAnsi="宋体" w:cs="宋体"/>
                <w:color w:val="auto"/>
                <w:szCs w:val="21"/>
                <w:highlight w:val="none"/>
              </w:rPr>
              <w:t>获取</w:t>
            </w:r>
            <w:r>
              <w:rPr>
                <w:rFonts w:hint="eastAsia" w:ascii="宋体" w:hAnsi="宋体" w:cs="宋体"/>
                <w:color w:val="auto"/>
                <w:szCs w:val="21"/>
                <w:highlight w:val="none"/>
                <w:lang w:eastAsia="zh-CN"/>
              </w:rPr>
              <w:t>（下载）</w:t>
            </w:r>
            <w:r>
              <w:rPr>
                <w:rFonts w:hint="eastAsia" w:ascii="宋体" w:hAnsi="宋体" w:cs="宋体"/>
                <w:color w:val="auto"/>
                <w:szCs w:val="21"/>
                <w:highlight w:val="none"/>
              </w:rPr>
              <w:t>采购文件，并于</w:t>
            </w:r>
            <w:r>
              <w:rPr>
                <w:rFonts w:hint="eastAsia" w:ascii="宋体" w:hAnsi="宋体" w:cs="宋体"/>
                <w:b/>
                <w:bCs/>
                <w:color w:val="auto"/>
                <w:szCs w:val="21"/>
                <w:highlight w:val="none"/>
                <w:u w:val="single" w:color="000000"/>
                <w:lang w:eastAsia="zh-CN"/>
              </w:rPr>
              <w:t>2025年07月09日14时30分</w:t>
            </w:r>
            <w:r>
              <w:rPr>
                <w:rFonts w:hint="eastAsia" w:ascii="宋体" w:hAnsi="宋体" w:cs="宋体"/>
                <w:color w:val="auto"/>
                <w:szCs w:val="21"/>
                <w:highlight w:val="none"/>
              </w:rPr>
              <w:t>（北京时间）前提交</w:t>
            </w:r>
            <w:r>
              <w:rPr>
                <w:rFonts w:hint="eastAsia" w:ascii="宋体" w:hAnsi="宋体" w:cs="宋体"/>
                <w:color w:val="auto"/>
                <w:szCs w:val="21"/>
                <w:highlight w:val="none"/>
                <w:lang w:eastAsia="zh-CN"/>
              </w:rPr>
              <w:t>（上传）</w:t>
            </w:r>
            <w:r>
              <w:rPr>
                <w:rFonts w:hint="eastAsia" w:ascii="宋体" w:hAnsi="宋体" w:cs="宋体"/>
                <w:color w:val="auto"/>
                <w:szCs w:val="21"/>
                <w:highlight w:val="none"/>
              </w:rPr>
              <w:t>响应文件。</w:t>
            </w:r>
          </w:p>
        </w:tc>
      </w:tr>
    </w:tbl>
    <w:p w14:paraId="13520EF2">
      <w:pPr>
        <w:keepNext w:val="0"/>
        <w:keepLines w:val="0"/>
        <w:pageBreakBefore w:val="0"/>
        <w:widowControl/>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highlight w:val="none"/>
        </w:rPr>
      </w:pPr>
      <w:bookmarkStart w:id="3" w:name="_Toc28359013"/>
      <w:bookmarkStart w:id="4" w:name="_Toc28359090"/>
      <w:bookmarkStart w:id="5" w:name="_Toc35393799"/>
      <w:bookmarkStart w:id="6" w:name="_Toc35393630"/>
      <w:r>
        <w:rPr>
          <w:rFonts w:hint="eastAsia" w:ascii="宋体" w:hAnsi="宋体" w:cs="宋体"/>
          <w:b/>
          <w:bCs/>
          <w:color w:val="auto"/>
          <w:highlight w:val="none"/>
        </w:rPr>
        <w:t>一、项目基本情况</w:t>
      </w:r>
    </w:p>
    <w:p w14:paraId="1945D44A">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JYZFCG-2025-CS008</w:t>
      </w:r>
    </w:p>
    <w:p w14:paraId="24C35AC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u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none"/>
          <w:lang w:eastAsia="zh-CN"/>
        </w:rPr>
        <w:t xml:space="preserve">常山县紫港街道外港零担菜市场临时疏导点运营管理项目 </w:t>
      </w:r>
    </w:p>
    <w:p w14:paraId="5A188FC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采购方式：竞争性磋商</w:t>
      </w:r>
    </w:p>
    <w:p w14:paraId="5C4BB0D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522000</w:t>
      </w:r>
    </w:p>
    <w:p w14:paraId="4247AC58">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522000</w:t>
      </w:r>
    </w:p>
    <w:p w14:paraId="6D820BB5">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rPr>
        <w:t>采购需求：</w:t>
      </w:r>
      <w:r>
        <w:rPr>
          <w:rFonts w:hint="eastAsia" w:ascii="宋体" w:hAnsi="宋体" w:cs="宋体"/>
          <w:color w:val="auto"/>
          <w:szCs w:val="21"/>
          <w:highlight w:val="none"/>
          <w:lang w:val="en-US" w:eastAsia="zh-CN"/>
        </w:rPr>
        <w:t xml:space="preserve">常山县紫港街道外港零担菜市场临时疏导点运营管理项目 </w:t>
      </w:r>
    </w:p>
    <w:p w14:paraId="6EB192C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 xml:space="preserve">数量：1 </w:t>
      </w:r>
    </w:p>
    <w:p w14:paraId="1F46320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52000</w:t>
      </w:r>
    </w:p>
    <w:p w14:paraId="7F3A051F">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单位：项</w:t>
      </w:r>
    </w:p>
    <w:p w14:paraId="26601364">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简要规格描述：详见</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文件第三章</w:t>
      </w:r>
    </w:p>
    <w:p w14:paraId="23A7F3F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备注：</w:t>
      </w:r>
    </w:p>
    <w:p w14:paraId="21D9CAE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合同履约期限：详见</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文件第三章。</w:t>
      </w:r>
    </w:p>
    <w:p w14:paraId="5D456C8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）接受联合体。</w:t>
      </w:r>
    </w:p>
    <w:p w14:paraId="06DFFEF2">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二、申请人的资格要求：</w:t>
      </w:r>
      <w:bookmarkEnd w:id="3"/>
      <w:bookmarkEnd w:id="4"/>
      <w:bookmarkEnd w:id="5"/>
      <w:bookmarkEnd w:id="6"/>
      <w:bookmarkStart w:id="7" w:name="_Toc35393800"/>
      <w:bookmarkStart w:id="8" w:name="_Toc28359091"/>
      <w:bookmarkStart w:id="9" w:name="_Toc35393631"/>
      <w:bookmarkStart w:id="10" w:name="_Toc28359014"/>
    </w:p>
    <w:p w14:paraId="28EF1F38">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73E83C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b/>
          <w:bCs/>
          <w:color w:val="000000" w:themeColor="text1"/>
          <w:sz w:val="20"/>
          <w:szCs w:val="21"/>
          <w:highlight w:val="none"/>
          <w:lang w:val="en-US" w:eastAsia="zh-CN"/>
          <w14:textFill>
            <w14:solidFill>
              <w14:schemeClr w14:val="tx1"/>
            </w14:solidFill>
          </w14:textFill>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.落实政府采购政策需满足的资格要求</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u w:val="single"/>
          <w14:textFill>
            <w14:solidFill>
              <w14:schemeClr w14:val="tx1"/>
            </w14:solidFill>
          </w14:textFill>
        </w:rPr>
        <w:t>本项目资金为中小企业预留，供应商为中小企业（符合中小企业划分标准的个体工商户视同中小企业，监狱企业、残疾人福利单位视同小型、微型企业）</w:t>
      </w:r>
      <w:r>
        <w:rPr>
          <w:rFonts w:hint="eastAsia" w:ascii="宋体" w:hAnsi="宋体" w:cs="宋体"/>
          <w:b/>
          <w:bCs/>
          <w:color w:val="000000" w:themeColor="text1"/>
          <w:szCs w:val="21"/>
          <w:highlight w:val="none"/>
          <w:u w:val="single"/>
          <w:lang w:val="en-US" w:eastAsia="zh-CN"/>
          <w14:textFill>
            <w14:solidFill>
              <w14:schemeClr w14:val="tx1"/>
            </w14:solidFill>
          </w14:textFill>
        </w:rPr>
        <w:t>。</w:t>
      </w:r>
    </w:p>
    <w:p w14:paraId="3ABC2EA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b w:val="0"/>
          <w:bCs/>
          <w:color w:val="000000" w:themeColor="text1"/>
          <w:szCs w:val="21"/>
          <w:highlight w:val="none"/>
          <w:u w:val="single"/>
          <w:lang w:val="en-US" w:eastAsia="zh-CN"/>
          <w14:textFill>
            <w14:solidFill>
              <w14:schemeClr w14:val="tx1"/>
            </w14:solidFill>
          </w14:textFill>
        </w:rPr>
      </w:pPr>
      <w:r>
        <w:rPr>
          <w:rFonts w:hint="eastAsia" w:ascii="宋体" w:hAnsi="宋体" w:cs="宋体"/>
          <w:b w:val="0"/>
          <w:bCs w:val="0"/>
          <w:color w:val="000000" w:themeColor="text1"/>
          <w:szCs w:val="21"/>
          <w:highlight w:val="none"/>
          <w:lang w:val="en-US" w:eastAsia="zh-CN"/>
          <w14:textFill>
            <w14:solidFill>
              <w14:schemeClr w14:val="tx1"/>
            </w14:solidFill>
          </w14:textFill>
        </w:rPr>
        <w:t>3</w:t>
      </w:r>
      <w:r>
        <w:rPr>
          <w:rFonts w:hint="eastAsia" w:ascii="宋体" w:hAnsi="宋体" w:cs="宋体"/>
          <w:b w:val="0"/>
          <w:bCs w:val="0"/>
          <w:color w:val="000000" w:themeColor="text1"/>
          <w:szCs w:val="21"/>
          <w:highlight w:val="none"/>
          <w14:textFill>
            <w14:solidFill>
              <w14:schemeClr w14:val="tx1"/>
            </w14:solidFill>
          </w14:textFill>
        </w:rPr>
        <w:t>.本项目的特定资格要求：</w:t>
      </w:r>
      <w:r>
        <w:rPr>
          <w:rFonts w:hint="eastAsia" w:ascii="宋体" w:hAnsi="宋体" w:cs="宋体"/>
          <w:b w:val="0"/>
          <w:bCs w:val="0"/>
          <w:color w:val="000000" w:themeColor="text1"/>
          <w:szCs w:val="21"/>
          <w:highlight w:val="none"/>
          <w:lang w:val="en-US" w:eastAsia="zh-CN"/>
          <w14:textFill>
            <w14:solidFill>
              <w14:schemeClr w14:val="tx1"/>
            </w14:solidFill>
          </w14:textFill>
        </w:rPr>
        <w:t>无。</w:t>
      </w:r>
    </w:p>
    <w:p w14:paraId="7E51F77C">
      <w:pPr>
        <w:pStyle w:val="21"/>
        <w:ind w:firstLine="422" w:firstLineChars="200"/>
        <w:rPr>
          <w:rFonts w:ascii="宋体" w:hAnsi="宋体" w:cs="宋体"/>
          <w:b/>
          <w:bCs/>
          <w:color w:val="auto"/>
          <w:sz w:val="20"/>
          <w:szCs w:val="21"/>
          <w:highlight w:val="none"/>
        </w:rPr>
      </w:pPr>
      <w:r>
        <w:rPr>
          <w:rFonts w:hint="eastAsia" w:ascii="宋体" w:hAnsi="宋体" w:eastAsia="宋体" w:cs="宋体"/>
          <w:b/>
          <w:bCs/>
          <w:highlight w:val="none"/>
          <w:lang w:val="en-US" w:eastAsia="zh-CN"/>
        </w:rPr>
        <w:t xml:space="preserve">  </w:t>
      </w:r>
      <w:r>
        <w:rPr>
          <w:rFonts w:hint="eastAsia" w:ascii="宋体" w:hAnsi="宋体" w:cs="宋体"/>
          <w:b/>
          <w:bCs/>
          <w:color w:val="auto"/>
          <w:szCs w:val="21"/>
          <w:highlight w:val="none"/>
        </w:rPr>
        <w:t>三、获取采购文件</w:t>
      </w:r>
      <w:bookmarkEnd w:id="7"/>
      <w:bookmarkEnd w:id="8"/>
      <w:bookmarkEnd w:id="9"/>
      <w:bookmarkEnd w:id="10"/>
      <w:bookmarkStart w:id="11" w:name="_Toc35393801"/>
      <w:bookmarkStart w:id="12" w:name="_Toc28359092"/>
      <w:bookmarkStart w:id="13" w:name="_Toc28359015"/>
      <w:bookmarkStart w:id="14" w:name="_Toc35393632"/>
    </w:p>
    <w:p w14:paraId="3C64D022">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Cs w:val="21"/>
          <w:highlight w:val="none"/>
        </w:rPr>
        <w:t>时间：公告发布之日起至</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递交截止时间前</w:t>
      </w:r>
      <w:r>
        <w:rPr>
          <w:rFonts w:hint="eastAsia" w:ascii="宋体" w:hAnsi="宋体" w:cs="宋体"/>
          <w:color w:val="auto"/>
          <w:szCs w:val="21"/>
          <w:highlight w:val="none"/>
          <w:lang w:eastAsia="zh-CN"/>
        </w:rPr>
        <w:t>线上获取法定节假日均可，线下获取文件法定节假日除外；</w:t>
      </w:r>
    </w:p>
    <w:p w14:paraId="1961C65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u w:val="single"/>
          <w:lang w:eastAsia="zh-CN"/>
        </w:rPr>
      </w:pPr>
      <w:r>
        <w:rPr>
          <w:rFonts w:hint="eastAsia" w:ascii="宋体" w:hAnsi="宋体" w:cs="宋体"/>
          <w:color w:val="auto"/>
          <w:szCs w:val="21"/>
          <w:highlight w:val="none"/>
        </w:rPr>
        <w:t>地点（网址）：政府采购云平台（www.zcygov.cn）</w:t>
      </w:r>
      <w:r>
        <w:rPr>
          <w:rFonts w:hint="eastAsia" w:ascii="宋体" w:hAnsi="宋体" w:cs="宋体"/>
          <w:color w:val="auto"/>
          <w:szCs w:val="21"/>
          <w:highlight w:val="none"/>
          <w:lang w:eastAsia="zh-CN"/>
        </w:rPr>
        <w:t>；</w:t>
      </w:r>
    </w:p>
    <w:p w14:paraId="7CF0AF7A">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u w:val="single"/>
        </w:rPr>
      </w:pPr>
      <w:r>
        <w:rPr>
          <w:rFonts w:hint="eastAsia" w:ascii="宋体" w:hAnsi="宋体" w:cs="宋体"/>
          <w:color w:val="auto"/>
          <w:szCs w:val="21"/>
          <w:highlight w:val="none"/>
        </w:rPr>
        <w:t>方式：网上下载。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14:paraId="4352E48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售价（元）：0</w:t>
      </w:r>
    </w:p>
    <w:p w14:paraId="2AE5A26B">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hint="eastAsia" w:ascii="宋体" w:hAnsi="宋体" w:eastAsia="宋体" w:cs="宋体"/>
          <w:b/>
          <w:bCs/>
          <w:color w:val="auto"/>
          <w:sz w:val="20"/>
          <w:szCs w:val="21"/>
          <w:highlight w:val="none"/>
          <w:lang w:eastAsia="zh-CN"/>
        </w:rPr>
      </w:pPr>
      <w:r>
        <w:rPr>
          <w:rFonts w:hint="eastAsia" w:ascii="宋体" w:hAnsi="宋体" w:cs="宋体"/>
          <w:b/>
          <w:bCs/>
          <w:color w:val="auto"/>
          <w:szCs w:val="21"/>
          <w:highlight w:val="none"/>
        </w:rPr>
        <w:t>四、响应文件提交</w:t>
      </w:r>
      <w:bookmarkEnd w:id="11"/>
      <w:bookmarkEnd w:id="12"/>
      <w:bookmarkEnd w:id="13"/>
      <w:bookmarkEnd w:id="14"/>
      <w:r>
        <w:rPr>
          <w:rFonts w:hint="eastAsia" w:ascii="宋体" w:hAnsi="宋体" w:cs="宋体"/>
          <w:b/>
          <w:bCs/>
          <w:color w:val="auto"/>
          <w:szCs w:val="21"/>
          <w:highlight w:val="none"/>
          <w:lang w:eastAsia="zh-CN"/>
        </w:rPr>
        <w:t>（上传）</w:t>
      </w:r>
    </w:p>
    <w:p w14:paraId="58A7FA3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b/>
          <w:bCs/>
          <w:color w:val="auto"/>
          <w:sz w:val="20"/>
          <w:szCs w:val="21"/>
          <w:highlight w:val="none"/>
        </w:rPr>
      </w:pPr>
      <w:r>
        <w:rPr>
          <w:rFonts w:hint="eastAsia" w:ascii="宋体" w:hAnsi="宋体" w:cs="宋体"/>
          <w:color w:val="auto"/>
          <w:szCs w:val="21"/>
          <w:highlight w:val="none"/>
        </w:rPr>
        <w:t>投标截止时间：</w:t>
      </w:r>
      <w:r>
        <w:rPr>
          <w:rFonts w:hint="eastAsia" w:ascii="宋体" w:hAnsi="宋体" w:cs="宋体"/>
          <w:b/>
          <w:bCs/>
          <w:color w:val="auto"/>
          <w:szCs w:val="21"/>
          <w:highlight w:val="none"/>
          <w:lang w:eastAsia="zh-CN"/>
        </w:rPr>
        <w:t>2025年07月09日14时30分</w:t>
      </w:r>
      <w:r>
        <w:rPr>
          <w:rFonts w:hint="eastAsia" w:ascii="宋体" w:hAnsi="宋体" w:cs="宋体"/>
          <w:b/>
          <w:bCs/>
          <w:color w:val="auto"/>
          <w:szCs w:val="21"/>
          <w:highlight w:val="none"/>
        </w:rPr>
        <w:t>（北京时间）</w:t>
      </w:r>
    </w:p>
    <w:p w14:paraId="7E1690A4">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投标地点：“政府采购云平台（www.zcygov.cn）”在线提交（上传）。</w:t>
      </w:r>
    </w:p>
    <w:p w14:paraId="5BA00D73">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bookmarkStart w:id="15" w:name="_Toc35393802"/>
      <w:bookmarkStart w:id="16" w:name="_Toc28359016"/>
      <w:bookmarkStart w:id="17" w:name="_Toc28359093"/>
      <w:bookmarkStart w:id="18" w:name="_Toc35393633"/>
      <w:r>
        <w:rPr>
          <w:rFonts w:hint="eastAsia" w:ascii="宋体" w:hAnsi="宋体" w:cs="宋体"/>
          <w:b/>
          <w:bCs/>
          <w:color w:val="auto"/>
          <w:szCs w:val="21"/>
          <w:highlight w:val="none"/>
        </w:rPr>
        <w:t>五、</w:t>
      </w:r>
      <w:bookmarkEnd w:id="15"/>
      <w:bookmarkEnd w:id="16"/>
      <w:bookmarkEnd w:id="17"/>
      <w:bookmarkEnd w:id="18"/>
      <w:r>
        <w:rPr>
          <w:rFonts w:hint="eastAsia" w:ascii="宋体" w:hAnsi="宋体" w:cs="宋体"/>
          <w:b/>
          <w:bCs/>
          <w:color w:val="auto"/>
          <w:szCs w:val="21"/>
          <w:highlight w:val="none"/>
        </w:rPr>
        <w:t>响应文件开启</w:t>
      </w:r>
    </w:p>
    <w:p w14:paraId="13C1BF0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时间：</w:t>
      </w:r>
      <w:r>
        <w:rPr>
          <w:rFonts w:hint="eastAsia" w:ascii="宋体" w:hAnsi="宋体" w:cs="宋体"/>
          <w:b/>
          <w:bCs/>
          <w:color w:val="auto"/>
          <w:szCs w:val="21"/>
          <w:highlight w:val="none"/>
          <w:lang w:eastAsia="zh-CN"/>
        </w:rPr>
        <w:t>2025年07月09日14时30分</w:t>
      </w:r>
      <w:r>
        <w:rPr>
          <w:rFonts w:hint="eastAsia" w:ascii="宋体" w:hAnsi="宋体" w:cs="宋体"/>
          <w:b/>
          <w:bCs/>
          <w:color w:val="auto"/>
          <w:szCs w:val="21"/>
          <w:highlight w:val="none"/>
        </w:rPr>
        <w:t>（北京时间）</w:t>
      </w:r>
    </w:p>
    <w:p w14:paraId="70C06ADA">
      <w:pPr>
        <w:keepNext w:val="0"/>
        <w:keepLines w:val="0"/>
        <w:pageBreakBefore w:val="0"/>
        <w:kinsoku/>
        <w:overflowPunct/>
        <w:topLinePunct w:val="0"/>
        <w:autoSpaceDE/>
        <w:autoSpaceDN/>
        <w:bidi w:val="0"/>
        <w:adjustRightInd/>
        <w:snapToGrid/>
        <w:spacing w:line="440" w:lineRule="exact"/>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地点：</w:t>
      </w:r>
      <w:bookmarkStart w:id="19" w:name="_Toc35393634"/>
      <w:bookmarkStart w:id="20" w:name="_Toc28359094"/>
      <w:bookmarkStart w:id="21" w:name="_Toc35393803"/>
      <w:bookmarkStart w:id="22" w:name="_Toc28359017"/>
      <w:r>
        <w:rPr>
          <w:rFonts w:hint="eastAsia" w:ascii="宋体" w:hAnsi="宋体" w:cs="宋体"/>
          <w:color w:val="auto"/>
          <w:szCs w:val="21"/>
          <w:highlight w:val="none"/>
        </w:rPr>
        <w:t>衢州市公共资源交易常山分中心【常山县紫港路2号常山县行政服务中心东边附属楼2楼】 。同步在“政采云远程开标大厅”在线开标。</w:t>
      </w:r>
    </w:p>
    <w:p w14:paraId="42A77863">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六、公告期限</w:t>
      </w:r>
      <w:bookmarkEnd w:id="19"/>
      <w:bookmarkEnd w:id="20"/>
      <w:bookmarkEnd w:id="21"/>
      <w:bookmarkEnd w:id="22"/>
    </w:p>
    <w:p w14:paraId="5149CD2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自本公告发布之日起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个工作日。</w:t>
      </w:r>
    </w:p>
    <w:p w14:paraId="0B40C082">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bookmarkStart w:id="23" w:name="_Toc35393795"/>
      <w:bookmarkStart w:id="24" w:name="_Toc35393626"/>
      <w:bookmarkStart w:id="25" w:name="_Toc28359018"/>
      <w:bookmarkStart w:id="26" w:name="_Toc35393636"/>
      <w:bookmarkStart w:id="27" w:name="_Toc35393805"/>
      <w:bookmarkStart w:id="28" w:name="_Toc28359095"/>
      <w:r>
        <w:rPr>
          <w:rFonts w:hint="eastAsia" w:ascii="宋体" w:hAnsi="宋体" w:cs="宋体"/>
          <w:b/>
          <w:bCs/>
          <w:color w:val="auto"/>
          <w:szCs w:val="21"/>
          <w:highlight w:val="none"/>
        </w:rPr>
        <w:t>七、其他补充事宜</w:t>
      </w:r>
      <w:bookmarkEnd w:id="23"/>
      <w:bookmarkEnd w:id="24"/>
    </w:p>
    <w:p w14:paraId="78850689">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1.《浙江省财政厅关于进一步发挥政府采购政策功能全力推动经济稳进提质的通知》 （浙财采监</w:t>
      </w:r>
      <w:r>
        <w:rPr>
          <w:rFonts w:hint="eastAsia" w:ascii="宋体" w:hAnsi="宋体" w:cs="宋体"/>
          <w:color w:val="auto"/>
          <w:sz w:val="21"/>
          <w:szCs w:val="21"/>
          <w:highlight w:val="none"/>
          <w:lang w:eastAsia="zh-CN"/>
        </w:rPr>
        <w:t>〔2022〕3号</w:t>
      </w:r>
      <w:r>
        <w:rPr>
          <w:rFonts w:hint="eastAsia" w:ascii="宋体" w:hAnsi="宋体" w:cs="宋体"/>
          <w:color w:val="auto"/>
          <w:sz w:val="21"/>
          <w:szCs w:val="21"/>
          <w:highlight w:val="none"/>
        </w:rPr>
        <w:t>）、《浙江省财政厅关于进一步促进政府采购公平竞争打造最优营商环境的通知》（浙财采监</w:t>
      </w:r>
      <w:r>
        <w:rPr>
          <w:rFonts w:hint="eastAsia" w:ascii="宋体" w:hAnsi="宋体" w:cs="宋体"/>
          <w:color w:val="auto"/>
          <w:sz w:val="21"/>
          <w:szCs w:val="21"/>
          <w:highlight w:val="none"/>
          <w:lang w:eastAsia="zh-CN"/>
        </w:rPr>
        <w:t>〔2021〕22号</w:t>
      </w:r>
      <w:r>
        <w:rPr>
          <w:rFonts w:hint="eastAsia" w:ascii="宋体" w:hAnsi="宋体" w:cs="宋体"/>
          <w:color w:val="auto"/>
          <w:sz w:val="21"/>
          <w:szCs w:val="21"/>
          <w:highlight w:val="none"/>
        </w:rPr>
        <w:t>）已分别于2022年1月29日和2022年2月1日开始实施，此前有关规定与上述文件内容不一致的，按上述文件要求执行。</w:t>
      </w:r>
    </w:p>
    <w:p w14:paraId="68E5906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2.根据《浙江省财政厅关于进一步促进政府采购公平竞争打造最优营商环境的通知》（浙财采监</w:t>
      </w:r>
      <w:r>
        <w:rPr>
          <w:rFonts w:hint="eastAsia" w:ascii="宋体" w:hAnsi="宋体" w:cs="宋体"/>
          <w:color w:val="auto"/>
          <w:sz w:val="21"/>
          <w:szCs w:val="21"/>
          <w:highlight w:val="none"/>
          <w:lang w:eastAsia="zh-CN"/>
        </w:rPr>
        <w:t>〔2021〕22号</w:t>
      </w:r>
      <w:r>
        <w:rPr>
          <w:rFonts w:hint="eastAsia" w:ascii="宋体" w:hAnsi="宋体" w:cs="宋体"/>
          <w:color w:val="auto"/>
          <w:sz w:val="21"/>
          <w:szCs w:val="21"/>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1"/>
          <w:szCs w:val="21"/>
          <w:highlight w:val="none"/>
          <w:lang w:eastAsia="zh-CN"/>
        </w:rPr>
        <w:t>政务</w:t>
      </w:r>
      <w:r>
        <w:rPr>
          <w:rFonts w:hint="eastAsia" w:ascii="宋体" w:hAnsi="宋体" w:cs="宋体"/>
          <w:color w:val="auto"/>
          <w:sz w:val="21"/>
          <w:szCs w:val="21"/>
          <w:highlight w:val="none"/>
        </w:rPr>
        <w:t>服务网-政府采购投诉处理-在线办理</w:t>
      </w:r>
      <w:r>
        <w:rPr>
          <w:rFonts w:hint="eastAsia" w:ascii="宋体" w:hAnsi="宋体" w:cs="宋体"/>
          <w:color w:val="auto"/>
          <w:sz w:val="21"/>
          <w:szCs w:val="21"/>
          <w:highlight w:val="none"/>
          <w:lang w:eastAsia="zh-CN"/>
        </w:rPr>
        <w:t>。</w:t>
      </w:r>
    </w:p>
    <w:p w14:paraId="4D276EF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48299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4.其他事项：</w:t>
      </w:r>
    </w:p>
    <w:p w14:paraId="76C6EB3E">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4.1</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应在投标前完成CA数字证书办理。（办理流程详见http://zfcg.czt.zj.gov.cn/bidClientTemplate/2019-05-27/12945.html，或登录“浙江政府采购网-下载专区-电子投标客户端-CA驱动和申领流程”）。完成CA数字证书办理预计一周左右，建议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抓紧时间办理。</w:t>
      </w:r>
    </w:p>
    <w:p w14:paraId="0D21E893">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4.2</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通过“政采云电子交易客户端”制作响应文件。（“政采云电子交易客户端”下载详见http://zfcg.czt.zj.gov.cn/bidClientTemplate/2019-09-24/12975.html或登录“ 浙江政府采购网-下载专区- 电子投标客户端- 政采云电子交易客户端”）。</w:t>
      </w:r>
    </w:p>
    <w:p w14:paraId="49FA3C25">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4.3电子投标制作具体流程详见政府采购项目电子交易管理操作指南：【请投标供应商点击链接</w:t>
      </w:r>
    </w:p>
    <w:p w14:paraId="383A96C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https://service.zcygov.cn/#/knowledges/CW1EtGwBFdiHxlNd6I3m/6IMVAG0BFdiHxlNdQ8Na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95763。</w:t>
      </w:r>
    </w:p>
    <w:p w14:paraId="015F3DCA">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4.4本项目</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的解密、报价文件确认等所使用的CA必须和制作电子加密</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时使用的CA为同一个。为确保网上操作合法、有效和安全，投标供应商应当在投标截止时间前完成在“政府采购云平台”的身份认证，确保在电子投标过程中能够对相关数据电文进行加密和使用电子签章。</w:t>
      </w:r>
    </w:p>
    <w:p w14:paraId="66DC1E6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4.5本项目采用电子投标，供应商代表无需出席开标现场会议。开标时间前供应商登录“政府采购云平台”进入开标大厅等候开标。</w:t>
      </w:r>
    </w:p>
    <w:p w14:paraId="0B9EE1D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 w:val="21"/>
          <w:szCs w:val="21"/>
          <w:highlight w:val="none"/>
        </w:rPr>
        <w:t>5.政采贷：本采购项目，中标人与采购单位签订的政府采购合同适用于衢州市常山县政府采购贷款政策，简称“政采贷”，具体内容可参阅《常山县“政采贷”办理指引》</w:t>
      </w:r>
      <w:r>
        <w:rPr>
          <w:rFonts w:hint="eastAsia" w:ascii="宋体" w:hAnsi="宋体" w:cs="宋体"/>
          <w:color w:val="auto"/>
          <w:sz w:val="21"/>
          <w:szCs w:val="21"/>
          <w:highlight w:val="none"/>
          <w:lang w:eastAsia="zh-CN"/>
        </w:rPr>
        <w:t>，</w:t>
      </w:r>
      <w:r>
        <w:rPr>
          <w:rFonts w:hint="eastAsia" w:ascii="仿宋" w:hAnsi="仿宋" w:eastAsia="仿宋" w:cs="仿宋"/>
          <w:sz w:val="21"/>
          <w:szCs w:val="21"/>
          <w:highlight w:val="none"/>
        </w:rPr>
        <w:t>http://www.zjcs.gov.cn/art/2022/1/10/art_1229091236_4857590.html</w:t>
      </w:r>
      <w:r>
        <w:rPr>
          <w:rFonts w:hint="eastAsia" w:ascii="宋体" w:hAnsi="宋体" w:cs="宋体"/>
          <w:color w:val="auto"/>
          <w:sz w:val="21"/>
          <w:szCs w:val="21"/>
          <w:highlight w:val="none"/>
          <w:lang w:eastAsia="zh-CN"/>
        </w:rPr>
        <w:t>。</w:t>
      </w:r>
    </w:p>
    <w:p w14:paraId="7DC70334">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lang w:eastAsia="zh-CN"/>
        </w:rPr>
        <w:t>八</w:t>
      </w:r>
      <w:r>
        <w:rPr>
          <w:rFonts w:hint="eastAsia" w:ascii="宋体" w:hAnsi="宋体" w:cs="宋体"/>
          <w:b/>
          <w:bCs/>
          <w:color w:val="auto"/>
          <w:szCs w:val="21"/>
          <w:highlight w:val="none"/>
        </w:rPr>
        <w:t>、凡对本次招标提出询问、质疑、投诉，请按以下方式联系。</w:t>
      </w:r>
      <w:bookmarkEnd w:id="25"/>
      <w:bookmarkEnd w:id="26"/>
      <w:bookmarkEnd w:id="27"/>
      <w:bookmarkEnd w:id="28"/>
    </w:p>
    <w:p w14:paraId="08C49F3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1.采购人信息</w:t>
      </w:r>
    </w:p>
    <w:p w14:paraId="19FBF92C">
      <w:pPr>
        <w:keepNext w:val="0"/>
        <w:keepLines w:val="0"/>
        <w:pageBreakBefore w:val="0"/>
        <w:widowControl w:val="0"/>
        <w:kinsoku/>
        <w:overflowPunct/>
        <w:topLinePunct w:val="0"/>
        <w:autoSpaceDE/>
        <w:autoSpaceDN/>
        <w:bidi w:val="0"/>
        <w:adjustRightInd/>
        <w:snapToGrid/>
        <w:spacing w:line="440" w:lineRule="exact"/>
        <w:ind w:firstLine="420" w:firstLineChars="200"/>
        <w:jc w:val="both"/>
        <w:textAlignment w:val="baseline"/>
        <w:rPr>
          <w:rFonts w:ascii="宋体" w:hAnsi="宋体" w:cs="宋体"/>
          <w:color w:val="auto"/>
          <w:szCs w:val="21"/>
          <w:highlight w:val="none"/>
        </w:rPr>
      </w:pPr>
      <w:r>
        <w:rPr>
          <w:rFonts w:hint="eastAsia" w:ascii="宋体" w:hAnsi="宋体" w:cs="宋体"/>
          <w:color w:val="auto"/>
          <w:szCs w:val="21"/>
          <w:highlight w:val="none"/>
        </w:rPr>
        <w:t xml:space="preserve">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称：</w:t>
      </w:r>
      <w:r>
        <w:rPr>
          <w:rFonts w:hint="eastAsia" w:ascii="宋体" w:hAnsi="宋体" w:cs="宋体"/>
          <w:color w:val="auto"/>
          <w:szCs w:val="21"/>
          <w:highlight w:val="none"/>
          <w:lang w:eastAsia="zh-CN"/>
        </w:rPr>
        <w:t>常山县紫港街道办事处</w:t>
      </w:r>
      <w:r>
        <w:rPr>
          <w:rFonts w:hint="eastAsia" w:ascii="宋体" w:hAnsi="宋体" w:cs="宋体"/>
          <w:color w:val="auto"/>
          <w:szCs w:val="21"/>
          <w:highlight w:val="none"/>
        </w:rPr>
        <w:t xml:space="preserve">          </w:t>
      </w:r>
    </w:p>
    <w:p w14:paraId="794C18C4">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地  址：常山县紫港街道文教东路158号</w:t>
      </w:r>
    </w:p>
    <w:p w14:paraId="3FF0C2E9">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项目联系人：吴金元      </w:t>
      </w:r>
    </w:p>
    <w:p w14:paraId="1F7066EC">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项目联系方式：13587116886</w:t>
      </w:r>
    </w:p>
    <w:p w14:paraId="3D8AC924">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质疑联系人：吴金元   </w:t>
      </w:r>
    </w:p>
    <w:p w14:paraId="72EBC5AD">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质疑联系方式：13587116886</w:t>
      </w:r>
    </w:p>
    <w:p w14:paraId="1344615F">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ascii="宋体" w:hAnsi="宋体" w:cs="宋体"/>
          <w:color w:val="auto"/>
          <w:sz w:val="20"/>
          <w:szCs w:val="21"/>
          <w:highlight w:val="none"/>
        </w:rPr>
      </w:pPr>
      <w:r>
        <w:rPr>
          <w:rFonts w:hint="eastAsia" w:ascii="宋体" w:hAnsi="宋体" w:cs="宋体"/>
          <w:color w:val="auto"/>
          <w:szCs w:val="21"/>
          <w:highlight w:val="none"/>
        </w:rPr>
        <w:t>2.采购代理机构信息</w:t>
      </w:r>
    </w:p>
    <w:p w14:paraId="1CC28E4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浙江九越建设管理有限公司</w:t>
      </w:r>
      <w:r>
        <w:rPr>
          <w:rFonts w:hint="eastAsia" w:ascii="宋体" w:hAnsi="宋体" w:cs="宋体"/>
          <w:color w:val="auto"/>
          <w:szCs w:val="21"/>
          <w:highlight w:val="none"/>
        </w:rPr>
        <w:t>　　　　　　　　</w:t>
      </w:r>
    </w:p>
    <w:p w14:paraId="6C26920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常山县紫港街道富足山农村电子商务示范区二楼（迅鸿国际旁）</w:t>
      </w:r>
    </w:p>
    <w:p w14:paraId="6BE3D55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 xml:space="preserve">陈娇娇      </w:t>
      </w:r>
    </w:p>
    <w:p w14:paraId="6E61CE1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lang w:eastAsia="zh-CN"/>
        </w:rPr>
        <w:t>电话：</w:t>
      </w:r>
      <w:r>
        <w:rPr>
          <w:rFonts w:hint="eastAsia" w:ascii="宋体" w:hAnsi="宋体" w:cs="宋体"/>
          <w:color w:val="auto"/>
          <w:szCs w:val="21"/>
          <w:highlight w:val="none"/>
          <w:lang w:val="en-US" w:eastAsia="zh-CN"/>
        </w:rPr>
        <w:t>15257055966</w:t>
      </w:r>
      <w:r>
        <w:rPr>
          <w:rFonts w:hint="eastAsia" w:ascii="宋体" w:hAnsi="宋体" w:cs="宋体"/>
          <w:color w:val="auto"/>
          <w:szCs w:val="21"/>
          <w:highlight w:val="none"/>
        </w:rPr>
        <w:t> </w:t>
      </w:r>
    </w:p>
    <w:p w14:paraId="7B0A0E7F">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质疑人：</w:t>
      </w:r>
      <w:r>
        <w:rPr>
          <w:rFonts w:hint="eastAsia" w:ascii="宋体" w:hAnsi="宋体" w:cs="宋体"/>
          <w:color w:val="auto"/>
          <w:szCs w:val="21"/>
          <w:highlight w:val="none"/>
          <w:lang w:val="en-US" w:eastAsia="zh-CN"/>
        </w:rPr>
        <w:t xml:space="preserve">盛赟        </w:t>
      </w:r>
    </w:p>
    <w:p w14:paraId="56FEB7D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lang w:eastAsia="zh-CN"/>
        </w:rPr>
        <w:t>电话：</w:t>
      </w:r>
      <w:r>
        <w:rPr>
          <w:rFonts w:hint="eastAsia" w:ascii="宋体" w:hAnsi="宋体" w:cs="宋体"/>
          <w:color w:val="auto"/>
          <w:szCs w:val="21"/>
          <w:highlight w:val="none"/>
          <w:lang w:val="en-US" w:eastAsia="zh-CN"/>
        </w:rPr>
        <w:t>0570-5662932</w:t>
      </w:r>
      <w:r>
        <w:rPr>
          <w:rFonts w:hint="eastAsia" w:ascii="宋体" w:hAnsi="宋体" w:cs="宋体"/>
          <w:color w:val="auto"/>
          <w:szCs w:val="21"/>
          <w:highlight w:val="none"/>
        </w:rPr>
        <w:t xml:space="preserve"> 　　　　　　　　　　　</w:t>
      </w:r>
    </w:p>
    <w:p w14:paraId="7E221EB6">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3.同级政府采购监管部门</w:t>
      </w:r>
    </w:p>
    <w:p w14:paraId="72D1A4B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名称：常山县财政局政府采购监管科</w:t>
      </w:r>
    </w:p>
    <w:p w14:paraId="6C984335">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地址：常山县天马街道定阳北路415号</w:t>
      </w:r>
    </w:p>
    <w:p w14:paraId="62E2CE89">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联系人：李</w:t>
      </w:r>
      <w:r>
        <w:rPr>
          <w:rFonts w:hint="eastAsia" w:ascii="宋体" w:hAnsi="宋体" w:cs="宋体"/>
          <w:color w:val="auto"/>
          <w:szCs w:val="21"/>
          <w:highlight w:val="none"/>
          <w:lang w:val="en-US" w:eastAsia="zh-CN"/>
        </w:rPr>
        <w:t xml:space="preserve">科长   </w:t>
      </w:r>
    </w:p>
    <w:p w14:paraId="3DA3E1C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监督投诉电话：0570-5015373</w:t>
      </w:r>
      <w:bookmarkStart w:id="29" w:name="_Toc8258"/>
      <w:bookmarkStart w:id="30" w:name="_Toc421834140"/>
    </w:p>
    <w:p w14:paraId="4A337564">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2134CE9E">
      <w:pPr>
        <w:spacing w:after="156" w:line="360" w:lineRule="auto"/>
        <w:ind w:firstLine="602" w:firstLineChars="200"/>
        <w:jc w:val="center"/>
        <w:textAlignment w:val="baseline"/>
        <w:outlineLvl w:val="0"/>
        <w:rPr>
          <w:rFonts w:ascii="宋体" w:hAnsi="宋体" w:cs="宋体"/>
          <w:b/>
          <w:bCs/>
          <w:color w:val="auto"/>
          <w:sz w:val="30"/>
          <w:szCs w:val="30"/>
          <w:highlight w:val="none"/>
        </w:rPr>
      </w:pPr>
      <w:bookmarkStart w:id="31" w:name="_Toc16791"/>
      <w:r>
        <w:rPr>
          <w:rFonts w:hint="eastAsia" w:ascii="宋体" w:hAnsi="宋体" w:cs="宋体"/>
          <w:b/>
          <w:bCs/>
          <w:color w:val="auto"/>
          <w:sz w:val="30"/>
          <w:szCs w:val="30"/>
          <w:highlight w:val="none"/>
        </w:rPr>
        <w:t>第二章  磋商供应商须知</w:t>
      </w:r>
      <w:bookmarkEnd w:id="29"/>
      <w:bookmarkEnd w:id="30"/>
      <w:bookmarkEnd w:id="31"/>
    </w:p>
    <w:p w14:paraId="10DEF3E3">
      <w:pPr>
        <w:spacing w:before="156" w:after="312" w:afterAutospacing="1" w:line="360" w:lineRule="auto"/>
        <w:ind w:firstLine="480" w:firstLineChars="200"/>
        <w:jc w:val="center"/>
        <w:textAlignment w:val="baseline"/>
        <w:rPr>
          <w:rFonts w:ascii="宋体" w:hAnsi="宋体" w:cs="宋体"/>
          <w:color w:val="auto"/>
          <w:sz w:val="24"/>
          <w:szCs w:val="24"/>
          <w:highlight w:val="none"/>
        </w:rPr>
      </w:pPr>
      <w:bookmarkStart w:id="32" w:name="_Toc469273548"/>
      <w:bookmarkStart w:id="33" w:name="_Toc8417"/>
      <w:bookmarkStart w:id="34" w:name="_Toc469694892"/>
      <w:bookmarkStart w:id="35" w:name="_Toc421834141"/>
      <w:r>
        <w:rPr>
          <w:rFonts w:hint="eastAsia" w:ascii="宋体" w:hAnsi="宋体" w:cs="宋体"/>
          <w:color w:val="auto"/>
          <w:sz w:val="24"/>
          <w:szCs w:val="24"/>
          <w:highlight w:val="none"/>
        </w:rPr>
        <w:t>磋商供应商须知前附表</w:t>
      </w:r>
      <w:bookmarkEnd w:id="32"/>
      <w:bookmarkEnd w:id="33"/>
      <w:bookmarkEnd w:id="34"/>
      <w:bookmarkEnd w:id="35"/>
    </w:p>
    <w:tbl>
      <w:tblPr>
        <w:tblStyle w:val="32"/>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08"/>
        <w:gridCol w:w="6553"/>
      </w:tblGrid>
      <w:tr w14:paraId="72E0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99" w:type="dxa"/>
            <w:vAlign w:val="center"/>
          </w:tcPr>
          <w:p w14:paraId="6B018680">
            <w:pPr>
              <w:pStyle w:val="49"/>
              <w:bidi w:val="0"/>
            </w:pPr>
            <w:r>
              <w:rPr>
                <w:rFonts w:hint="eastAsia"/>
              </w:rPr>
              <w:t>序号</w:t>
            </w:r>
          </w:p>
        </w:tc>
        <w:tc>
          <w:tcPr>
            <w:tcW w:w="2708" w:type="dxa"/>
            <w:vAlign w:val="center"/>
          </w:tcPr>
          <w:p w14:paraId="32C8696B">
            <w:pPr>
              <w:pStyle w:val="49"/>
              <w:bidi w:val="0"/>
            </w:pPr>
            <w:r>
              <w:rPr>
                <w:rFonts w:hint="eastAsia"/>
              </w:rPr>
              <w:t>条款名称</w:t>
            </w:r>
          </w:p>
        </w:tc>
        <w:tc>
          <w:tcPr>
            <w:tcW w:w="6553" w:type="dxa"/>
            <w:vAlign w:val="center"/>
          </w:tcPr>
          <w:p w14:paraId="4D0B445F">
            <w:pPr>
              <w:pStyle w:val="49"/>
              <w:bidi w:val="0"/>
            </w:pPr>
            <w:r>
              <w:rPr>
                <w:rFonts w:hint="eastAsia"/>
              </w:rPr>
              <w:t>编列内容</w:t>
            </w:r>
          </w:p>
        </w:tc>
      </w:tr>
      <w:tr w14:paraId="1F27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10FA596A">
            <w:pPr>
              <w:pStyle w:val="49"/>
              <w:numPr>
                <w:ilvl w:val="0"/>
                <w:numId w:val="6"/>
              </w:numPr>
              <w:bidi w:val="0"/>
              <w:ind w:left="425" w:leftChars="0" w:hanging="425" w:firstLineChars="0"/>
              <w:jc w:val="center"/>
            </w:pPr>
          </w:p>
        </w:tc>
        <w:tc>
          <w:tcPr>
            <w:tcW w:w="2708" w:type="dxa"/>
            <w:vAlign w:val="center"/>
          </w:tcPr>
          <w:p w14:paraId="5E1F9E33">
            <w:pPr>
              <w:pStyle w:val="49"/>
              <w:bidi w:val="0"/>
            </w:pPr>
            <w:r>
              <w:rPr>
                <w:rFonts w:hint="eastAsia"/>
              </w:rPr>
              <w:t>采购人</w:t>
            </w:r>
          </w:p>
        </w:tc>
        <w:tc>
          <w:tcPr>
            <w:tcW w:w="6553" w:type="dxa"/>
            <w:vAlign w:val="center"/>
          </w:tcPr>
          <w:p w14:paraId="5ECCD72F">
            <w:pPr>
              <w:pStyle w:val="49"/>
              <w:bidi w:val="0"/>
            </w:pPr>
            <w:r>
              <w:rPr>
                <w:rFonts w:hint="eastAsia"/>
                <w:lang w:eastAsia="zh-CN"/>
              </w:rPr>
              <w:t>常山县紫港街道办事处</w:t>
            </w:r>
            <w:r>
              <w:rPr>
                <w:rFonts w:hint="eastAsia"/>
              </w:rPr>
              <w:t>　　</w:t>
            </w:r>
          </w:p>
        </w:tc>
      </w:tr>
      <w:tr w14:paraId="4032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094F1833">
            <w:pPr>
              <w:pStyle w:val="49"/>
              <w:numPr>
                <w:ilvl w:val="0"/>
                <w:numId w:val="6"/>
              </w:numPr>
              <w:bidi w:val="0"/>
              <w:ind w:left="425" w:leftChars="0" w:hanging="425" w:firstLineChars="0"/>
              <w:jc w:val="center"/>
            </w:pPr>
          </w:p>
        </w:tc>
        <w:tc>
          <w:tcPr>
            <w:tcW w:w="2708" w:type="dxa"/>
            <w:vAlign w:val="center"/>
          </w:tcPr>
          <w:p w14:paraId="0BB22E97">
            <w:pPr>
              <w:pStyle w:val="49"/>
              <w:bidi w:val="0"/>
            </w:pPr>
            <w:r>
              <w:rPr>
                <w:rFonts w:hint="eastAsia"/>
              </w:rPr>
              <w:t>项目名称</w:t>
            </w:r>
          </w:p>
        </w:tc>
        <w:tc>
          <w:tcPr>
            <w:tcW w:w="6553" w:type="dxa"/>
            <w:vAlign w:val="center"/>
          </w:tcPr>
          <w:p w14:paraId="12EF8562">
            <w:pPr>
              <w:pStyle w:val="49"/>
              <w:bidi w:val="0"/>
              <w:rPr>
                <w:rFonts w:hint="eastAsia"/>
                <w:lang w:eastAsia="zh-CN"/>
              </w:rPr>
            </w:pPr>
            <w:r>
              <w:rPr>
                <w:rFonts w:hint="eastAsia"/>
                <w:lang w:eastAsia="zh-CN"/>
              </w:rPr>
              <w:t xml:space="preserve">常山县紫港街道外港零担菜市场临时疏导点运营管理项目 </w:t>
            </w:r>
          </w:p>
        </w:tc>
      </w:tr>
      <w:tr w14:paraId="5532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5B4A886B">
            <w:pPr>
              <w:pStyle w:val="49"/>
              <w:numPr>
                <w:ilvl w:val="0"/>
                <w:numId w:val="6"/>
              </w:numPr>
              <w:bidi w:val="0"/>
              <w:ind w:left="425" w:leftChars="0" w:hanging="425" w:firstLineChars="0"/>
              <w:jc w:val="center"/>
            </w:pPr>
          </w:p>
        </w:tc>
        <w:tc>
          <w:tcPr>
            <w:tcW w:w="2708" w:type="dxa"/>
            <w:vAlign w:val="center"/>
          </w:tcPr>
          <w:p w14:paraId="748ECD1D">
            <w:pPr>
              <w:pStyle w:val="49"/>
              <w:bidi w:val="0"/>
              <w:rPr>
                <w:rFonts w:hint="default" w:eastAsia="宋体"/>
                <w:lang w:val="en-US" w:eastAsia="zh-CN"/>
              </w:rPr>
            </w:pPr>
            <w:r>
              <w:rPr>
                <w:rFonts w:hint="eastAsia"/>
                <w:lang w:val="en-US" w:eastAsia="zh-CN"/>
              </w:rPr>
              <w:t>采购预算及最高限价</w:t>
            </w:r>
          </w:p>
        </w:tc>
        <w:tc>
          <w:tcPr>
            <w:tcW w:w="6553" w:type="dxa"/>
            <w:vAlign w:val="center"/>
          </w:tcPr>
          <w:p w14:paraId="22FC7683">
            <w:pPr>
              <w:pStyle w:val="49"/>
              <w:bidi w:val="0"/>
              <w:rPr>
                <w:rFonts w:hint="eastAsia" w:eastAsia="宋体"/>
                <w:lang w:val="en-US" w:eastAsia="zh-CN"/>
              </w:rPr>
            </w:pPr>
            <w:r>
              <w:rPr>
                <w:rFonts w:hint="default"/>
                <w:lang w:val="en-US" w:eastAsia="zh-CN"/>
              </w:rPr>
              <w:t>本次采购预算及最高限价：</w:t>
            </w:r>
            <w:r>
              <w:rPr>
                <w:rFonts w:hint="eastAsia"/>
                <w:lang w:val="en-US" w:eastAsia="zh-CN"/>
              </w:rPr>
              <w:t>522000元</w:t>
            </w:r>
          </w:p>
        </w:tc>
      </w:tr>
      <w:tr w14:paraId="0824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5CA0F5FB">
            <w:pPr>
              <w:pStyle w:val="49"/>
              <w:numPr>
                <w:ilvl w:val="0"/>
                <w:numId w:val="6"/>
              </w:numPr>
              <w:bidi w:val="0"/>
              <w:ind w:left="425" w:leftChars="0" w:hanging="425" w:firstLineChars="0"/>
              <w:jc w:val="center"/>
            </w:pPr>
          </w:p>
        </w:tc>
        <w:tc>
          <w:tcPr>
            <w:tcW w:w="2708" w:type="dxa"/>
            <w:vAlign w:val="center"/>
          </w:tcPr>
          <w:p w14:paraId="0D05FB07">
            <w:pPr>
              <w:pStyle w:val="49"/>
              <w:bidi w:val="0"/>
            </w:pPr>
            <w:r>
              <w:rPr>
                <w:rFonts w:hint="eastAsia"/>
              </w:rPr>
              <w:t>投标有效期</w:t>
            </w:r>
          </w:p>
        </w:tc>
        <w:tc>
          <w:tcPr>
            <w:tcW w:w="6553" w:type="dxa"/>
            <w:vAlign w:val="center"/>
          </w:tcPr>
          <w:p w14:paraId="0C40ACC2">
            <w:pPr>
              <w:pStyle w:val="49"/>
              <w:bidi w:val="0"/>
            </w:pPr>
            <w:r>
              <w:rPr>
                <w:rFonts w:hint="eastAsia"/>
              </w:rPr>
              <w:t>90日历天（从投标截止之日起算）</w:t>
            </w:r>
          </w:p>
        </w:tc>
      </w:tr>
      <w:tr w14:paraId="5ED9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522E6C14">
            <w:pPr>
              <w:pStyle w:val="49"/>
              <w:numPr>
                <w:ilvl w:val="0"/>
                <w:numId w:val="6"/>
              </w:numPr>
              <w:bidi w:val="0"/>
              <w:ind w:left="425" w:leftChars="0" w:hanging="425" w:firstLineChars="0"/>
              <w:jc w:val="center"/>
            </w:pPr>
          </w:p>
        </w:tc>
        <w:tc>
          <w:tcPr>
            <w:tcW w:w="2708" w:type="dxa"/>
            <w:vAlign w:val="center"/>
          </w:tcPr>
          <w:p w14:paraId="163D48A3">
            <w:pPr>
              <w:pStyle w:val="49"/>
              <w:bidi w:val="0"/>
            </w:pPr>
            <w:r>
              <w:rPr>
                <w:rFonts w:hint="eastAsia"/>
              </w:rPr>
              <w:t>供应商要求澄清磋商文件的截止时间及方式</w:t>
            </w:r>
          </w:p>
        </w:tc>
        <w:tc>
          <w:tcPr>
            <w:tcW w:w="6553" w:type="dxa"/>
            <w:vAlign w:val="center"/>
          </w:tcPr>
          <w:p w14:paraId="5D0CD8CF">
            <w:pPr>
              <w:pStyle w:val="49"/>
              <w:bidi w:val="0"/>
            </w:pPr>
            <w:r>
              <w:rPr>
                <w:rFonts w:hint="eastAsia"/>
              </w:rPr>
              <w:t>在提交首次响应文件截止时间五日前，供应商将要求澄清的问题以书面形式加盖公章后，信函、传真或者直接送达方式至代理机构，其他形式无效。</w:t>
            </w:r>
          </w:p>
        </w:tc>
      </w:tr>
      <w:tr w14:paraId="0C3C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21858E26">
            <w:pPr>
              <w:pStyle w:val="49"/>
              <w:numPr>
                <w:ilvl w:val="0"/>
                <w:numId w:val="6"/>
              </w:numPr>
              <w:bidi w:val="0"/>
              <w:ind w:left="425" w:leftChars="0" w:hanging="425" w:firstLineChars="0"/>
              <w:jc w:val="center"/>
            </w:pPr>
          </w:p>
        </w:tc>
        <w:tc>
          <w:tcPr>
            <w:tcW w:w="2708" w:type="dxa"/>
            <w:vAlign w:val="center"/>
          </w:tcPr>
          <w:p w14:paraId="0B5AF2FF">
            <w:pPr>
              <w:pStyle w:val="49"/>
              <w:bidi w:val="0"/>
            </w:pPr>
            <w:r>
              <w:rPr>
                <w:rFonts w:hint="eastAsia"/>
              </w:rPr>
              <w:t>采购人书面澄清、修改的时间</w:t>
            </w:r>
          </w:p>
        </w:tc>
        <w:tc>
          <w:tcPr>
            <w:tcW w:w="6553" w:type="dxa"/>
            <w:vAlign w:val="center"/>
          </w:tcPr>
          <w:p w14:paraId="3F37AC8B">
            <w:pPr>
              <w:pStyle w:val="49"/>
              <w:bidi w:val="0"/>
            </w:pPr>
            <w:r>
              <w:rPr>
                <w:rFonts w:hint="eastAsia"/>
              </w:rPr>
              <w:t>提交首次响应文件截止时间5日前。</w:t>
            </w:r>
          </w:p>
        </w:tc>
      </w:tr>
      <w:tr w14:paraId="148B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34065E6E">
            <w:pPr>
              <w:pStyle w:val="49"/>
              <w:numPr>
                <w:ilvl w:val="0"/>
                <w:numId w:val="6"/>
              </w:numPr>
              <w:bidi w:val="0"/>
              <w:ind w:left="425" w:leftChars="0" w:hanging="425" w:firstLineChars="0"/>
              <w:jc w:val="center"/>
            </w:pPr>
          </w:p>
        </w:tc>
        <w:tc>
          <w:tcPr>
            <w:tcW w:w="2708" w:type="dxa"/>
            <w:vAlign w:val="center"/>
          </w:tcPr>
          <w:p w14:paraId="0500C6D0">
            <w:pPr>
              <w:pStyle w:val="49"/>
              <w:bidi w:val="0"/>
            </w:pPr>
            <w:r>
              <w:rPr>
                <w:rFonts w:hint="eastAsia"/>
              </w:rPr>
              <w:t>供应商确认收到磋商文件澄清、补充、修改的时间</w:t>
            </w:r>
          </w:p>
        </w:tc>
        <w:tc>
          <w:tcPr>
            <w:tcW w:w="6553" w:type="dxa"/>
            <w:vAlign w:val="center"/>
          </w:tcPr>
          <w:p w14:paraId="07319CAB">
            <w:pPr>
              <w:pStyle w:val="49"/>
              <w:bidi w:val="0"/>
            </w:pPr>
            <w:r>
              <w:rPr>
                <w:rFonts w:hint="eastAsia"/>
              </w:rPr>
              <w:t>发出澄清、修改、补充公告后  24  小时内。</w:t>
            </w:r>
          </w:p>
        </w:tc>
      </w:tr>
      <w:tr w14:paraId="402D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44694518">
            <w:pPr>
              <w:pStyle w:val="49"/>
              <w:numPr>
                <w:ilvl w:val="0"/>
                <w:numId w:val="6"/>
              </w:numPr>
              <w:bidi w:val="0"/>
              <w:ind w:left="425" w:leftChars="0" w:hanging="425" w:firstLineChars="0"/>
              <w:jc w:val="center"/>
            </w:pPr>
          </w:p>
        </w:tc>
        <w:tc>
          <w:tcPr>
            <w:tcW w:w="2708" w:type="dxa"/>
            <w:vAlign w:val="center"/>
          </w:tcPr>
          <w:p w14:paraId="25A1C9ED">
            <w:pPr>
              <w:pStyle w:val="49"/>
              <w:bidi w:val="0"/>
            </w:pPr>
            <w:r>
              <w:rPr>
                <w:rFonts w:hint="eastAsia"/>
              </w:rPr>
              <w:t>提交首次响应文件截止时间</w:t>
            </w:r>
          </w:p>
        </w:tc>
        <w:tc>
          <w:tcPr>
            <w:tcW w:w="6553" w:type="dxa"/>
            <w:vAlign w:val="center"/>
          </w:tcPr>
          <w:p w14:paraId="40B2C734">
            <w:pPr>
              <w:pStyle w:val="49"/>
              <w:bidi w:val="0"/>
              <w:rPr>
                <w:rFonts w:hint="eastAsia"/>
                <w:lang w:eastAsia="zh-CN"/>
              </w:rPr>
            </w:pPr>
            <w:r>
              <w:rPr>
                <w:rFonts w:hint="eastAsia"/>
                <w:lang w:eastAsia="zh-CN"/>
              </w:rPr>
              <w:t>详见磋商公告</w:t>
            </w:r>
          </w:p>
        </w:tc>
      </w:tr>
      <w:tr w14:paraId="7BA7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99" w:type="dxa"/>
            <w:vAlign w:val="center"/>
          </w:tcPr>
          <w:p w14:paraId="48504EBA">
            <w:pPr>
              <w:pStyle w:val="49"/>
              <w:numPr>
                <w:ilvl w:val="0"/>
                <w:numId w:val="6"/>
              </w:numPr>
              <w:bidi w:val="0"/>
              <w:ind w:left="425" w:leftChars="0" w:hanging="425" w:firstLineChars="0"/>
              <w:jc w:val="center"/>
            </w:pPr>
          </w:p>
        </w:tc>
        <w:tc>
          <w:tcPr>
            <w:tcW w:w="2708" w:type="dxa"/>
            <w:vAlign w:val="center"/>
          </w:tcPr>
          <w:p w14:paraId="6222D43B">
            <w:pPr>
              <w:pStyle w:val="49"/>
              <w:bidi w:val="0"/>
            </w:pPr>
            <w:r>
              <w:rPr>
                <w:rFonts w:hint="eastAsia"/>
              </w:rPr>
              <w:t>报价的次数</w:t>
            </w:r>
          </w:p>
        </w:tc>
        <w:tc>
          <w:tcPr>
            <w:tcW w:w="6553" w:type="dxa"/>
            <w:vAlign w:val="center"/>
          </w:tcPr>
          <w:p w14:paraId="1BF7EF44">
            <w:pPr>
              <w:pStyle w:val="49"/>
              <w:bidi w:val="0"/>
            </w:pPr>
            <w:r>
              <w:rPr>
                <w:rFonts w:hint="eastAsia"/>
              </w:rPr>
              <w:t>2 次。</w:t>
            </w:r>
          </w:p>
        </w:tc>
      </w:tr>
      <w:tr w14:paraId="1716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336C8572">
            <w:pPr>
              <w:pStyle w:val="49"/>
              <w:numPr>
                <w:ilvl w:val="0"/>
                <w:numId w:val="6"/>
              </w:numPr>
              <w:bidi w:val="0"/>
              <w:ind w:left="425" w:leftChars="0" w:hanging="425" w:firstLineChars="0"/>
              <w:jc w:val="center"/>
            </w:pPr>
          </w:p>
        </w:tc>
        <w:tc>
          <w:tcPr>
            <w:tcW w:w="2708" w:type="dxa"/>
            <w:vAlign w:val="center"/>
          </w:tcPr>
          <w:p w14:paraId="6A6315BB">
            <w:pPr>
              <w:pStyle w:val="49"/>
              <w:bidi w:val="0"/>
            </w:pPr>
            <w:r>
              <w:rPr>
                <w:rFonts w:hint="eastAsia"/>
              </w:rPr>
              <w:t>磋商保证金</w:t>
            </w:r>
          </w:p>
        </w:tc>
        <w:tc>
          <w:tcPr>
            <w:tcW w:w="6553" w:type="dxa"/>
            <w:vAlign w:val="center"/>
          </w:tcPr>
          <w:p w14:paraId="12FB0FB9">
            <w:pPr>
              <w:pStyle w:val="49"/>
              <w:bidi w:val="0"/>
              <w:rPr>
                <w:lang w:val="zh-CN"/>
              </w:rPr>
            </w:pPr>
            <w:r>
              <w:rPr>
                <w:rFonts w:hint="eastAsia"/>
                <w:lang w:val="zh-CN"/>
              </w:rPr>
              <w:t>详见磋商公告。</w:t>
            </w:r>
          </w:p>
        </w:tc>
      </w:tr>
      <w:tr w14:paraId="12CC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58F60C81">
            <w:pPr>
              <w:pStyle w:val="49"/>
              <w:numPr>
                <w:ilvl w:val="0"/>
                <w:numId w:val="6"/>
              </w:numPr>
              <w:bidi w:val="0"/>
              <w:ind w:left="425" w:leftChars="0" w:hanging="425" w:firstLineChars="0"/>
              <w:jc w:val="center"/>
            </w:pPr>
          </w:p>
        </w:tc>
        <w:tc>
          <w:tcPr>
            <w:tcW w:w="2708" w:type="dxa"/>
            <w:vAlign w:val="center"/>
          </w:tcPr>
          <w:p w14:paraId="627A5C88">
            <w:pPr>
              <w:pStyle w:val="49"/>
              <w:bidi w:val="0"/>
            </w:pPr>
            <w:r>
              <w:rPr>
                <w:rFonts w:hint="eastAsia"/>
              </w:rPr>
              <w:t>是否允许提交备选响应方案</w:t>
            </w:r>
          </w:p>
        </w:tc>
        <w:tc>
          <w:tcPr>
            <w:tcW w:w="6553" w:type="dxa"/>
            <w:vAlign w:val="center"/>
          </w:tcPr>
          <w:p w14:paraId="16A95413">
            <w:pPr>
              <w:pStyle w:val="49"/>
              <w:bidi w:val="0"/>
            </w:pPr>
            <w:r>
              <w:rPr>
                <w:rFonts w:hint="eastAsia"/>
              </w:rPr>
              <w:t>不允许。</w:t>
            </w:r>
          </w:p>
        </w:tc>
      </w:tr>
      <w:tr w14:paraId="715B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99" w:type="dxa"/>
            <w:vAlign w:val="center"/>
          </w:tcPr>
          <w:p w14:paraId="6B58AB4B">
            <w:pPr>
              <w:pStyle w:val="49"/>
              <w:numPr>
                <w:ilvl w:val="0"/>
                <w:numId w:val="6"/>
              </w:numPr>
              <w:bidi w:val="0"/>
              <w:ind w:left="425" w:leftChars="0" w:hanging="425" w:firstLineChars="0"/>
              <w:jc w:val="center"/>
            </w:pPr>
          </w:p>
        </w:tc>
        <w:tc>
          <w:tcPr>
            <w:tcW w:w="2708" w:type="dxa"/>
            <w:vAlign w:val="center"/>
          </w:tcPr>
          <w:p w14:paraId="15787A98">
            <w:pPr>
              <w:pStyle w:val="49"/>
              <w:bidi w:val="0"/>
            </w:pPr>
            <w:r>
              <w:rPr>
                <w:rFonts w:hint="eastAsia"/>
                <w:lang w:val="zh-CN"/>
              </w:rPr>
              <w:t>磋商小组的组建</w:t>
            </w:r>
          </w:p>
        </w:tc>
        <w:tc>
          <w:tcPr>
            <w:tcW w:w="6553" w:type="dxa"/>
            <w:vAlign w:val="center"/>
          </w:tcPr>
          <w:p w14:paraId="38090942">
            <w:pPr>
              <w:pStyle w:val="49"/>
              <w:bidi w:val="0"/>
              <w:ind w:firstLine="420" w:firstLineChars="200"/>
            </w:pPr>
            <w:r>
              <w:rPr>
                <w:rFonts w:hint="eastAsia"/>
              </w:rPr>
              <w:t>按规定组建磋商小组。</w:t>
            </w:r>
          </w:p>
          <w:p w14:paraId="354FC98F">
            <w:pPr>
              <w:pStyle w:val="49"/>
              <w:bidi w:val="0"/>
              <w:ind w:firstLine="420" w:firstLineChars="200"/>
            </w:pPr>
            <w:r>
              <w:rPr>
                <w:rFonts w:hint="eastAsia"/>
              </w:rPr>
              <w:t>评标专家确定方式：共3人</w:t>
            </w:r>
            <w:r>
              <w:rPr>
                <w:rFonts w:hint="eastAsia"/>
                <w:lang w:eastAsia="zh-CN"/>
              </w:rPr>
              <w:t>，</w:t>
            </w:r>
            <w:r>
              <w:rPr>
                <w:rFonts w:hint="eastAsia"/>
              </w:rPr>
              <w:t>由</w:t>
            </w:r>
            <w:r>
              <w:rPr>
                <w:rFonts w:hint="eastAsia"/>
                <w:lang w:val="en-US" w:eastAsia="zh-CN"/>
              </w:rPr>
              <w:t>2</w:t>
            </w:r>
            <w:r>
              <w:rPr>
                <w:rFonts w:hint="eastAsia"/>
              </w:rPr>
              <w:t>名有关经济、技术专家</w:t>
            </w:r>
            <w:r>
              <w:rPr>
                <w:rFonts w:hint="eastAsia"/>
                <w:lang w:val="en-US" w:eastAsia="zh-CN"/>
              </w:rPr>
              <w:t>和采购人代表1人</w:t>
            </w:r>
            <w:r>
              <w:rPr>
                <w:rFonts w:hint="eastAsia"/>
              </w:rPr>
              <w:t>组成。</w:t>
            </w:r>
          </w:p>
        </w:tc>
      </w:tr>
      <w:tr w14:paraId="1D81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3" w:hRule="atLeast"/>
          <w:jc w:val="center"/>
        </w:trPr>
        <w:tc>
          <w:tcPr>
            <w:tcW w:w="699" w:type="dxa"/>
            <w:vAlign w:val="center"/>
          </w:tcPr>
          <w:p w14:paraId="658038D9">
            <w:pPr>
              <w:pStyle w:val="49"/>
              <w:numPr>
                <w:ilvl w:val="0"/>
                <w:numId w:val="6"/>
              </w:numPr>
              <w:bidi w:val="0"/>
              <w:ind w:left="425" w:leftChars="0" w:hanging="425" w:firstLineChars="0"/>
              <w:jc w:val="center"/>
            </w:pPr>
          </w:p>
        </w:tc>
        <w:tc>
          <w:tcPr>
            <w:tcW w:w="2708" w:type="dxa"/>
            <w:vAlign w:val="center"/>
          </w:tcPr>
          <w:p w14:paraId="34152B7B">
            <w:pPr>
              <w:pStyle w:val="49"/>
              <w:bidi w:val="0"/>
              <w:rPr>
                <w:rFonts w:hint="eastAsia"/>
                <w:lang w:eastAsia="zh-CN"/>
              </w:rPr>
            </w:pPr>
            <w:r>
              <w:rPr>
                <w:rFonts w:hint="eastAsia"/>
              </w:rPr>
              <w:t>响应文件的组成、编制及在线投标响应（电子投标）说明</w:t>
            </w:r>
          </w:p>
        </w:tc>
        <w:tc>
          <w:tcPr>
            <w:tcW w:w="6553" w:type="dxa"/>
            <w:vAlign w:val="center"/>
          </w:tcPr>
          <w:p w14:paraId="7A7E01BF">
            <w:pPr>
              <w:pStyle w:val="49"/>
              <w:bidi w:val="0"/>
              <w:ind w:firstLine="420" w:firstLineChars="200"/>
            </w:pPr>
            <w:r>
              <w:rPr>
                <w:rFonts w:hint="eastAsia"/>
              </w:rPr>
              <w:t>1.响应文件由</w:t>
            </w:r>
            <w:r>
              <w:rPr>
                <w:rFonts w:hint="eastAsia"/>
                <w:lang w:eastAsia="zh-CN"/>
              </w:rPr>
              <w:t>资格审查文件</w:t>
            </w:r>
            <w:r>
              <w:rPr>
                <w:rFonts w:hint="eastAsia"/>
              </w:rPr>
              <w:t>、商务技术文件、报价文件组成。</w:t>
            </w:r>
          </w:p>
          <w:p w14:paraId="69A2E58D">
            <w:pPr>
              <w:pStyle w:val="49"/>
              <w:bidi w:val="0"/>
              <w:ind w:firstLine="420" w:firstLineChars="200"/>
              <w:rPr>
                <w:lang w:val="zh-CN"/>
              </w:rPr>
            </w:pPr>
            <w:r>
              <w:rPr>
                <w:rFonts w:hint="eastAsia"/>
                <w:lang w:val="zh-CN"/>
              </w:rPr>
              <w:t>2</w:t>
            </w:r>
            <w:r>
              <w:rPr>
                <w:rFonts w:hint="eastAsia"/>
              </w:rPr>
              <w:t>.</w:t>
            </w:r>
            <w:r>
              <w:rPr>
                <w:rFonts w:hint="eastAsia"/>
                <w:lang w:val="zh-CN"/>
              </w:rPr>
              <w:t>响应文件编制：供应商应先安装“政采云电子交易客户端”，并按照本采购文件和“政府采购云平台”的要求，通过“政采云电子交易客户端”编制并加密响应文件。</w:t>
            </w:r>
          </w:p>
          <w:p w14:paraId="7233623A">
            <w:pPr>
              <w:pStyle w:val="49"/>
              <w:bidi w:val="0"/>
              <w:ind w:firstLine="420" w:firstLineChars="200"/>
              <w:rPr>
                <w:lang w:val="zh-CN"/>
              </w:rPr>
            </w:pPr>
            <w:r>
              <w:rPr>
                <w:rFonts w:hint="eastAsia"/>
                <w:lang w:val="zh-CN"/>
              </w:rPr>
              <w:t>3</w:t>
            </w:r>
            <w:r>
              <w:rPr>
                <w:rFonts w:hint="eastAsia"/>
              </w:rPr>
              <w:t>.</w:t>
            </w:r>
            <w:r>
              <w:rPr>
                <w:rFonts w:hint="eastAsia"/>
                <w:lang w:val="zh-CN"/>
              </w:rPr>
              <w:t>响应文件的形式：☑电子响应文件（包括“电子加密响应文件”和“备份响应文件”，在响应文件编制完成后同时生成）；</w:t>
            </w:r>
          </w:p>
          <w:p w14:paraId="79682D75">
            <w:pPr>
              <w:pStyle w:val="49"/>
              <w:bidi w:val="0"/>
              <w:ind w:firstLine="420" w:firstLineChars="200"/>
              <w:rPr>
                <w:lang w:val="zh-CN"/>
              </w:rPr>
            </w:pPr>
            <w:r>
              <w:rPr>
                <w:rFonts w:hint="eastAsia"/>
                <w:lang w:val="zh-CN"/>
              </w:rPr>
              <w:t>（1）“电子加密响应文件”是指通过“政采云电子交易客户端”完成响应文件编制后生成并加密的数据电文形式的响应文件。</w:t>
            </w:r>
          </w:p>
          <w:p w14:paraId="3A7F911D">
            <w:pPr>
              <w:pStyle w:val="49"/>
              <w:bidi w:val="0"/>
              <w:ind w:firstLine="420" w:firstLineChars="200"/>
              <w:rPr>
                <w:lang w:val="zh-CN"/>
              </w:rPr>
            </w:pPr>
            <w:r>
              <w:rPr>
                <w:rFonts w:hint="eastAsia"/>
                <w:lang w:val="zh-CN"/>
              </w:rPr>
              <w:t>（2）“备份响应文件”是指与“电子加密响应文件”同时生成的数据电文形式的电子文件（备份标书），其他方式编制的备份响应文件视为无效备份响应文件。</w:t>
            </w:r>
          </w:p>
          <w:p w14:paraId="0FDCFC52">
            <w:pPr>
              <w:pStyle w:val="49"/>
              <w:bidi w:val="0"/>
              <w:ind w:firstLine="420" w:firstLineChars="200"/>
              <w:rPr>
                <w:lang w:val="zh-CN"/>
              </w:rPr>
            </w:pPr>
            <w:r>
              <w:rPr>
                <w:rFonts w:hint="eastAsia"/>
                <w:lang w:val="zh-CN"/>
              </w:rPr>
              <w:t>4</w:t>
            </w:r>
            <w:r>
              <w:rPr>
                <w:rFonts w:hint="eastAsia"/>
              </w:rPr>
              <w:t>.</w:t>
            </w:r>
            <w:r>
              <w:rPr>
                <w:rFonts w:hint="eastAsia"/>
                <w:lang w:val="zh-CN"/>
              </w:rPr>
              <w:t>响应文件份数：（1）“电子加密响应文件”：在线上传递交、一份。（2）“备份响应文件”：发送至邮箱：</w:t>
            </w:r>
            <w:r>
              <w:rPr>
                <w:rFonts w:hint="eastAsia"/>
                <w:lang w:eastAsia="zh-CN"/>
              </w:rPr>
              <w:t>1627136484@qq.com</w:t>
            </w:r>
            <w:r>
              <w:rPr>
                <w:rFonts w:hint="eastAsia"/>
              </w:rPr>
              <w:t>，按接收方邮箱收件箱所显示时间为准</w:t>
            </w:r>
            <w:r>
              <w:rPr>
                <w:rFonts w:hint="eastAsia"/>
                <w:lang w:val="zh-CN"/>
              </w:rPr>
              <w:t>。</w:t>
            </w:r>
          </w:p>
          <w:p w14:paraId="3247DAEC">
            <w:pPr>
              <w:pStyle w:val="49"/>
              <w:bidi w:val="0"/>
              <w:ind w:firstLine="420" w:firstLineChars="200"/>
              <w:rPr>
                <w:lang w:val="zh-CN"/>
              </w:rPr>
            </w:pPr>
            <w:r>
              <w:rPr>
                <w:rFonts w:hint="eastAsia"/>
                <w:lang w:val="zh-CN"/>
              </w:rPr>
              <w:t>5</w:t>
            </w:r>
            <w:r>
              <w:rPr>
                <w:rFonts w:hint="eastAsia"/>
              </w:rPr>
              <w:t>.</w:t>
            </w:r>
            <w:r>
              <w:rPr>
                <w:rFonts w:hint="eastAsia"/>
                <w:lang w:val="zh-CN"/>
              </w:rPr>
              <w:t>响应文件的上传和递交：</w:t>
            </w:r>
          </w:p>
          <w:p w14:paraId="7151B589">
            <w:pPr>
              <w:pStyle w:val="49"/>
              <w:bidi w:val="0"/>
              <w:ind w:firstLine="420" w:firstLineChars="200"/>
              <w:rPr>
                <w:lang w:val="zh-CN"/>
              </w:rPr>
            </w:pPr>
            <w:r>
              <w:rPr>
                <w:rFonts w:hint="eastAsia"/>
                <w:lang w:val="zh-CN"/>
              </w:rPr>
              <w:t>（1）“电子加密响应文件”的上传、递交：</w:t>
            </w:r>
          </w:p>
          <w:p w14:paraId="012C5FF2">
            <w:pPr>
              <w:pStyle w:val="49"/>
              <w:bidi w:val="0"/>
              <w:ind w:firstLine="420" w:firstLineChars="200"/>
              <w:rPr>
                <w:lang w:val="zh-CN"/>
              </w:rPr>
            </w:pPr>
            <w:r>
              <w:rPr>
                <w:rFonts w:hint="eastAsia"/>
                <w:lang w:val="zh-CN"/>
              </w:rPr>
              <w:t>供应商应在投标截止时间前将“电子加密响应文件”成功上传递交至“政府采购云平台”，否则投标无效。</w:t>
            </w:r>
          </w:p>
          <w:p w14:paraId="04FB5DC1">
            <w:pPr>
              <w:pStyle w:val="49"/>
              <w:bidi w:val="0"/>
              <w:ind w:firstLine="420" w:firstLineChars="200"/>
              <w:rPr>
                <w:lang w:val="zh-CN"/>
              </w:rPr>
            </w:pPr>
            <w:r>
              <w:rPr>
                <w:rFonts w:hint="eastAsia"/>
                <w:lang w:val="zh-CN"/>
              </w:rPr>
              <w:t>（2）“备份响应文件”的递交：</w:t>
            </w:r>
          </w:p>
          <w:p w14:paraId="6A1F1567">
            <w:pPr>
              <w:pStyle w:val="49"/>
              <w:bidi w:val="0"/>
              <w:ind w:firstLine="420" w:firstLineChars="200"/>
              <w:rPr>
                <w:lang w:val="zh-CN"/>
              </w:rPr>
            </w:pPr>
            <w:r>
              <w:rPr>
                <w:rFonts w:hint="eastAsia"/>
                <w:lang w:val="zh-CN"/>
              </w:rPr>
              <w:t>a.供应商在“政府采购云平台”完成“电子加密响应文件”的上传递交后，还可以（以</w:t>
            </w:r>
            <w:r>
              <w:rPr>
                <w:rFonts w:hint="eastAsia"/>
              </w:rPr>
              <w:t>电子邮件的</w:t>
            </w:r>
            <w:r>
              <w:rPr>
                <w:rFonts w:hint="eastAsia"/>
                <w:lang w:val="zh-CN"/>
              </w:rPr>
              <w:t>形式）在投标截止时间前发送一份加密压缩文件的“备份响应文件”（一份）；</w:t>
            </w:r>
          </w:p>
          <w:p w14:paraId="7639A299">
            <w:pPr>
              <w:pStyle w:val="49"/>
              <w:bidi w:val="0"/>
              <w:ind w:firstLine="420" w:firstLineChars="200"/>
              <w:rPr>
                <w:lang w:val="zh-CN"/>
              </w:rPr>
            </w:pPr>
            <w:r>
              <w:rPr>
                <w:rFonts w:hint="eastAsia"/>
                <w:lang w:val="zh-CN"/>
              </w:rPr>
              <w:t>b.“备份响应文件”以压缩文件形式加密发送至邮箱：</w:t>
            </w:r>
            <w:r>
              <w:rPr>
                <w:rFonts w:hint="eastAsia"/>
                <w:lang w:eastAsia="zh-CN"/>
              </w:rPr>
              <w:t>1627136484@qq.com</w:t>
            </w:r>
            <w:r>
              <w:rPr>
                <w:rFonts w:hint="eastAsia"/>
              </w:rPr>
              <w:t>，压缩文件命名为</w:t>
            </w:r>
            <w:r>
              <w:rPr>
                <w:rFonts w:hint="eastAsia"/>
                <w:lang w:val="zh-CN"/>
              </w:rPr>
              <w:t>投标项目编号和投标单位简称。开标时间起半小时内发送压缩文件密码至邮箱：</w:t>
            </w:r>
            <w:r>
              <w:rPr>
                <w:rFonts w:hint="eastAsia"/>
                <w:lang w:eastAsia="zh-CN"/>
              </w:rPr>
              <w:t>1627136484@qq.com</w:t>
            </w:r>
            <w:r>
              <w:rPr>
                <w:rFonts w:hint="eastAsia"/>
                <w:lang w:val="zh-CN"/>
              </w:rPr>
              <w:t>。</w:t>
            </w:r>
          </w:p>
          <w:p w14:paraId="3FE7070E">
            <w:pPr>
              <w:pStyle w:val="49"/>
              <w:bidi w:val="0"/>
              <w:ind w:firstLine="420" w:firstLineChars="200"/>
              <w:rPr>
                <w:lang w:val="zh-CN"/>
              </w:rPr>
            </w:pPr>
            <w:r>
              <w:rPr>
                <w:rFonts w:hint="eastAsia"/>
                <w:lang w:val="zh-CN"/>
              </w:rPr>
              <w:t>c.通过“政府采购云平台”成功上传递交的“电子加密响应文件”已按时解密的，“备份响应文件”自动失效。投标截止时间前，供应商仅递交了“备份响应文件”而未将“电子加密响应文件”成功上传至“政府采购云平台”的，投标无效。</w:t>
            </w:r>
          </w:p>
          <w:p w14:paraId="3EB40491">
            <w:pPr>
              <w:pStyle w:val="49"/>
              <w:bidi w:val="0"/>
              <w:ind w:firstLine="420" w:firstLineChars="200"/>
              <w:rPr>
                <w:lang w:val="zh-CN"/>
              </w:rPr>
            </w:pPr>
            <w:r>
              <w:rPr>
                <w:rFonts w:hint="eastAsia"/>
                <w:lang w:val="zh-CN"/>
              </w:rPr>
              <w:t>6</w:t>
            </w:r>
            <w:r>
              <w:rPr>
                <w:rFonts w:hint="eastAsia"/>
              </w:rPr>
              <w:t>.</w:t>
            </w:r>
            <w:r>
              <w:rPr>
                <w:rFonts w:hint="eastAsia"/>
                <w:lang w:val="zh-CN"/>
              </w:rPr>
              <w:t>电子加密响应文件的解密和异常情况处理：</w:t>
            </w:r>
          </w:p>
          <w:p w14:paraId="55616C86">
            <w:pPr>
              <w:pStyle w:val="49"/>
              <w:bidi w:val="0"/>
              <w:ind w:firstLine="420" w:firstLineChars="200"/>
              <w:rPr>
                <w:lang w:val="zh-CN"/>
              </w:rPr>
            </w:pPr>
            <w:r>
              <w:rPr>
                <w:rFonts w:hint="eastAsia"/>
                <w:lang w:val="zh-CN"/>
              </w:rPr>
              <w:t>（1）开标后，采购组织机构将向各供应商发出“电子加密响应文件”的解密通知，各供应商代表应当在接到解密通知后</w:t>
            </w:r>
            <w:r>
              <w:rPr>
                <w:rFonts w:hint="eastAsia"/>
              </w:rPr>
              <w:t>30</w:t>
            </w:r>
            <w:r>
              <w:rPr>
                <w:rFonts w:hint="eastAsia"/>
                <w:lang w:val="zh-CN"/>
              </w:rPr>
              <w:t>分钟内自行完成“电子加密响应文件”的在线解密，超过解密时限，默认供应商自动放弃。</w:t>
            </w:r>
          </w:p>
          <w:p w14:paraId="0C690250">
            <w:pPr>
              <w:pStyle w:val="49"/>
              <w:bidi w:val="0"/>
              <w:ind w:firstLine="420" w:firstLineChars="200"/>
              <w:rPr>
                <w:lang w:val="zh-CN"/>
              </w:rPr>
            </w:pPr>
            <w:r>
              <w:rPr>
                <w:rFonts w:hint="eastAsia"/>
                <w:lang w:val="zh-CN"/>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43A44658">
            <w:pPr>
              <w:pStyle w:val="49"/>
              <w:bidi w:val="0"/>
              <w:ind w:firstLine="420" w:firstLineChars="200"/>
              <w:rPr>
                <w:lang w:val="zh-CN"/>
              </w:rPr>
            </w:pPr>
            <w:r>
              <w:rPr>
                <w:rFonts w:hint="eastAsia"/>
                <w:lang w:val="zh-CN"/>
              </w:rPr>
              <w:t>（3）投标截止时间前，供应商仅递交了“备份响应文件”而未将电子加密响应文件上传至“政府采购云平台”的，投标无效。</w:t>
            </w:r>
          </w:p>
          <w:p w14:paraId="1B96CDD6">
            <w:pPr>
              <w:pStyle w:val="49"/>
              <w:bidi w:val="0"/>
              <w:ind w:firstLine="420" w:firstLineChars="200"/>
            </w:pPr>
            <w:r>
              <w:rPr>
                <w:rFonts w:hint="eastAsia"/>
                <w:lang w:val="zh-CN"/>
              </w:rPr>
              <w:t>7</w:t>
            </w:r>
            <w:r>
              <w:rPr>
                <w:rFonts w:hint="eastAsia"/>
              </w:rPr>
              <w:t>.</w:t>
            </w:r>
            <w:r>
              <w:rPr>
                <w:rFonts w:hint="eastAsia"/>
                <w:lang w:val="zh-CN"/>
              </w:rPr>
              <w:t>投标截止后，在投标有效期内，供应商不能撤销响应文件。供应商强行撤销响应文件的，应按预算金额的2%赔偿对招标代理机构造成的损失。</w:t>
            </w:r>
          </w:p>
        </w:tc>
      </w:tr>
      <w:tr w14:paraId="55AD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76A3F799">
            <w:pPr>
              <w:pStyle w:val="49"/>
              <w:numPr>
                <w:ilvl w:val="0"/>
                <w:numId w:val="6"/>
              </w:numPr>
              <w:bidi w:val="0"/>
              <w:ind w:left="425" w:leftChars="0" w:hanging="425" w:firstLineChars="0"/>
              <w:jc w:val="center"/>
            </w:pPr>
          </w:p>
        </w:tc>
        <w:tc>
          <w:tcPr>
            <w:tcW w:w="2708" w:type="dxa"/>
            <w:vAlign w:val="center"/>
          </w:tcPr>
          <w:p w14:paraId="2704FEB6">
            <w:pPr>
              <w:pStyle w:val="49"/>
              <w:bidi w:val="0"/>
            </w:pPr>
            <w:r>
              <w:rPr>
                <w:rFonts w:hint="eastAsia"/>
              </w:rPr>
              <w:t>中标结果公告期限</w:t>
            </w:r>
          </w:p>
        </w:tc>
        <w:tc>
          <w:tcPr>
            <w:tcW w:w="6553" w:type="dxa"/>
            <w:vAlign w:val="center"/>
          </w:tcPr>
          <w:p w14:paraId="030700ED">
            <w:pPr>
              <w:pStyle w:val="49"/>
              <w:bidi w:val="0"/>
            </w:pPr>
            <w:r>
              <w:rPr>
                <w:rFonts w:hint="eastAsia"/>
              </w:rPr>
              <w:t>1个工作日（中标结果公告发布之日起至第2个工作日止）。</w:t>
            </w:r>
          </w:p>
        </w:tc>
      </w:tr>
      <w:tr w14:paraId="77AD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7B6ED88D">
            <w:pPr>
              <w:pStyle w:val="49"/>
              <w:numPr>
                <w:ilvl w:val="0"/>
                <w:numId w:val="6"/>
              </w:numPr>
              <w:bidi w:val="0"/>
              <w:ind w:left="425" w:leftChars="0" w:hanging="425" w:firstLineChars="0"/>
              <w:jc w:val="center"/>
            </w:pPr>
          </w:p>
        </w:tc>
        <w:tc>
          <w:tcPr>
            <w:tcW w:w="2708" w:type="dxa"/>
            <w:vAlign w:val="center"/>
          </w:tcPr>
          <w:p w14:paraId="07E4C7C9">
            <w:pPr>
              <w:pStyle w:val="49"/>
              <w:bidi w:val="0"/>
            </w:pPr>
            <w:r>
              <w:rPr>
                <w:rFonts w:hint="eastAsia"/>
              </w:rPr>
              <w:t>签订合同</w:t>
            </w:r>
          </w:p>
        </w:tc>
        <w:tc>
          <w:tcPr>
            <w:tcW w:w="6553" w:type="dxa"/>
            <w:vAlign w:val="center"/>
          </w:tcPr>
          <w:p w14:paraId="10A39263">
            <w:pPr>
              <w:pStyle w:val="49"/>
              <w:bidi w:val="0"/>
            </w:pPr>
            <w:r>
              <w:rPr>
                <w:rFonts w:hint="eastAsia"/>
              </w:rPr>
              <w:t>公示期结束无异议后发出中标通知书30天内。</w:t>
            </w:r>
          </w:p>
        </w:tc>
      </w:tr>
      <w:tr w14:paraId="10D0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99" w:type="dxa"/>
            <w:vAlign w:val="center"/>
          </w:tcPr>
          <w:p w14:paraId="53FB5B79">
            <w:pPr>
              <w:pStyle w:val="49"/>
              <w:numPr>
                <w:ilvl w:val="0"/>
                <w:numId w:val="6"/>
              </w:numPr>
              <w:bidi w:val="0"/>
              <w:ind w:left="425" w:leftChars="0" w:hanging="425" w:firstLineChars="0"/>
              <w:jc w:val="center"/>
            </w:pPr>
          </w:p>
        </w:tc>
        <w:tc>
          <w:tcPr>
            <w:tcW w:w="2708" w:type="dxa"/>
            <w:vAlign w:val="center"/>
          </w:tcPr>
          <w:p w14:paraId="50F76A04">
            <w:pPr>
              <w:pStyle w:val="49"/>
              <w:bidi w:val="0"/>
            </w:pPr>
            <w:r>
              <w:rPr>
                <w:rFonts w:hint="eastAsia"/>
              </w:rPr>
              <w:t>合同备案</w:t>
            </w:r>
          </w:p>
        </w:tc>
        <w:tc>
          <w:tcPr>
            <w:tcW w:w="6553" w:type="dxa"/>
            <w:vAlign w:val="center"/>
          </w:tcPr>
          <w:p w14:paraId="15B4341B">
            <w:pPr>
              <w:pStyle w:val="49"/>
              <w:bidi w:val="0"/>
            </w:pPr>
            <w:r>
              <w:rPr>
                <w:rFonts w:hint="eastAsia"/>
              </w:rPr>
              <w:t>中标人与采购人签订合同后，2日历天内将合同扫描件电子版发送至邮箱：</w:t>
            </w:r>
            <w:r>
              <w:rPr>
                <w:rFonts w:hint="eastAsia"/>
                <w:lang w:eastAsia="zh-CN"/>
              </w:rPr>
              <w:t>1627136484@qq.com</w:t>
            </w:r>
            <w:r>
              <w:rPr>
                <w:rFonts w:hint="eastAsia"/>
              </w:rPr>
              <w:t>；本项目政府采购合同按规定在浙江政府采购网（http://www.zjzfcg.gov.cn）予以公告。</w:t>
            </w:r>
          </w:p>
        </w:tc>
      </w:tr>
      <w:tr w14:paraId="197D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324EAF86">
            <w:pPr>
              <w:pStyle w:val="49"/>
              <w:numPr>
                <w:ilvl w:val="0"/>
                <w:numId w:val="6"/>
              </w:numPr>
              <w:bidi w:val="0"/>
              <w:ind w:left="425" w:leftChars="0" w:hanging="425" w:firstLineChars="0"/>
              <w:jc w:val="center"/>
            </w:pPr>
          </w:p>
        </w:tc>
        <w:tc>
          <w:tcPr>
            <w:tcW w:w="2708" w:type="dxa"/>
            <w:vAlign w:val="center"/>
          </w:tcPr>
          <w:p w14:paraId="3F1478C4">
            <w:pPr>
              <w:pStyle w:val="49"/>
              <w:bidi w:val="0"/>
              <w:rPr>
                <w:rFonts w:hint="eastAsia"/>
              </w:rPr>
            </w:pPr>
            <w:r>
              <w:rPr>
                <w:rFonts w:hint="eastAsia"/>
              </w:rPr>
              <w:t>履约保证金</w:t>
            </w:r>
          </w:p>
        </w:tc>
        <w:tc>
          <w:tcPr>
            <w:tcW w:w="6553" w:type="dxa"/>
            <w:vAlign w:val="center"/>
          </w:tcPr>
          <w:p w14:paraId="19D03DBA">
            <w:pPr>
              <w:pStyle w:val="49"/>
              <w:bidi w:val="0"/>
              <w:rPr>
                <w:rFonts w:hint="default"/>
                <w:lang w:val="en-US" w:eastAsia="zh-CN"/>
              </w:rPr>
            </w:pPr>
            <w:r>
              <w:rPr>
                <w:rFonts w:hint="default"/>
                <w:lang w:val="en-US" w:eastAsia="zh-CN"/>
              </w:rPr>
              <w:t>中标人在合同签订</w:t>
            </w:r>
            <w:r>
              <w:rPr>
                <w:rFonts w:hint="eastAsia"/>
                <w:lang w:val="en-US" w:eastAsia="zh-CN"/>
              </w:rPr>
              <w:t>后5日内</w:t>
            </w:r>
            <w:r>
              <w:rPr>
                <w:rFonts w:hint="default"/>
                <w:lang w:val="en-US" w:eastAsia="zh-CN"/>
              </w:rPr>
              <w:t>向采购单位</w:t>
            </w:r>
            <w:r>
              <w:rPr>
                <w:rFonts w:hint="eastAsia"/>
                <w:lang w:val="en-US" w:eastAsia="zh-CN"/>
              </w:rPr>
              <w:t>缴纳</w:t>
            </w:r>
            <w:r>
              <w:rPr>
                <w:rFonts w:hint="default"/>
                <w:lang w:val="en-US" w:eastAsia="zh-CN"/>
              </w:rPr>
              <w:t>中标金额1%的履约保证金。供应商可以银行、保险公司出具的保函形式提交。在项目验收结束后退还履约保证金（不计息）。</w:t>
            </w:r>
          </w:p>
        </w:tc>
      </w:tr>
      <w:tr w14:paraId="03F5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0B4EDABB">
            <w:pPr>
              <w:pStyle w:val="49"/>
              <w:numPr>
                <w:ilvl w:val="0"/>
                <w:numId w:val="6"/>
              </w:numPr>
              <w:bidi w:val="0"/>
              <w:ind w:left="425" w:leftChars="0" w:hanging="425" w:firstLineChars="0"/>
              <w:jc w:val="center"/>
            </w:pPr>
          </w:p>
        </w:tc>
        <w:tc>
          <w:tcPr>
            <w:tcW w:w="2708" w:type="dxa"/>
            <w:vAlign w:val="center"/>
          </w:tcPr>
          <w:p w14:paraId="2E0ABC8A">
            <w:pPr>
              <w:pStyle w:val="49"/>
              <w:bidi w:val="0"/>
              <w:rPr>
                <w:rFonts w:hint="eastAsia"/>
                <w:lang w:eastAsia="zh-CN"/>
              </w:rPr>
            </w:pPr>
            <w:r>
              <w:rPr>
                <w:rFonts w:hint="eastAsia"/>
              </w:rPr>
              <w:t>成交候选供应商</w:t>
            </w:r>
          </w:p>
        </w:tc>
        <w:tc>
          <w:tcPr>
            <w:tcW w:w="6553" w:type="dxa"/>
            <w:vAlign w:val="center"/>
          </w:tcPr>
          <w:p w14:paraId="5D1297CE">
            <w:pPr>
              <w:pStyle w:val="49"/>
              <w:bidi w:val="0"/>
              <w:rPr>
                <w:rFonts w:hint="eastAsia"/>
              </w:rPr>
            </w:pPr>
            <w:r>
              <w:rPr>
                <w:rFonts w:hint="eastAsia"/>
              </w:rPr>
              <w:t>本项目推荐3名成交候选供应商，最终确定1名成交供应商。</w:t>
            </w:r>
          </w:p>
        </w:tc>
      </w:tr>
      <w:tr w14:paraId="11EE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jc w:val="center"/>
        </w:trPr>
        <w:tc>
          <w:tcPr>
            <w:tcW w:w="699" w:type="dxa"/>
            <w:vAlign w:val="center"/>
          </w:tcPr>
          <w:p w14:paraId="03552C9D">
            <w:pPr>
              <w:pStyle w:val="49"/>
              <w:numPr>
                <w:ilvl w:val="0"/>
                <w:numId w:val="6"/>
              </w:numPr>
              <w:bidi w:val="0"/>
              <w:ind w:left="425" w:leftChars="0" w:hanging="425" w:firstLineChars="0"/>
              <w:jc w:val="center"/>
              <w:rPr>
                <w:rFonts w:hint="default"/>
                <w:lang w:val="en-US" w:eastAsia="zh-CN"/>
              </w:rPr>
            </w:pPr>
          </w:p>
        </w:tc>
        <w:tc>
          <w:tcPr>
            <w:tcW w:w="2708" w:type="dxa"/>
            <w:vAlign w:val="center"/>
          </w:tcPr>
          <w:p w14:paraId="28A46A4E">
            <w:pPr>
              <w:pStyle w:val="49"/>
              <w:bidi w:val="0"/>
            </w:pPr>
            <w:r>
              <w:rPr>
                <w:rFonts w:hint="eastAsia"/>
              </w:rPr>
              <w:t>招标代理费</w:t>
            </w:r>
          </w:p>
        </w:tc>
        <w:tc>
          <w:tcPr>
            <w:tcW w:w="6553" w:type="dxa"/>
            <w:vAlign w:val="center"/>
          </w:tcPr>
          <w:p w14:paraId="1D919A14">
            <w:pPr>
              <w:pStyle w:val="49"/>
              <w:bidi w:val="0"/>
              <w:ind w:firstLine="420" w:firstLineChars="200"/>
            </w:pPr>
            <w:r>
              <w:rPr>
                <w:rFonts w:hint="eastAsia"/>
              </w:rPr>
              <w:t>本项目招标代理费(招标代理费收费标准按照国家计委关于印发《招标代理服务费管理暂行办法》的通知（计价格</w:t>
            </w:r>
            <w:r>
              <w:rPr>
                <w:rFonts w:hint="eastAsia"/>
                <w:lang w:eastAsia="zh-CN"/>
              </w:rPr>
              <w:t>〔2002〕1980号</w:t>
            </w:r>
            <w:r>
              <w:rPr>
                <w:rFonts w:hint="eastAsia"/>
              </w:rPr>
              <w:t>）规定的收费标准执行，按服务招标计算），由中标人支付给代理机构。各</w:t>
            </w:r>
            <w:r>
              <w:rPr>
                <w:rFonts w:hint="eastAsia"/>
                <w:lang w:eastAsia="zh-CN"/>
              </w:rPr>
              <w:t>供应商</w:t>
            </w:r>
            <w:r>
              <w:rPr>
                <w:rFonts w:hint="eastAsia"/>
              </w:rPr>
              <w:t>在投标报价时自行考虑在投标报价中，由中标人在领取中标通知书前一次性支付给代理机构。</w:t>
            </w:r>
          </w:p>
          <w:p w14:paraId="710A680F">
            <w:pPr>
              <w:pStyle w:val="49"/>
              <w:bidi w:val="0"/>
              <w:ind w:firstLine="420" w:firstLineChars="200"/>
              <w:rPr>
                <w:rFonts w:hint="eastAsia"/>
                <w:lang w:eastAsia="zh-CN"/>
              </w:rPr>
            </w:pPr>
            <w:r>
              <w:rPr>
                <w:rFonts w:hint="eastAsia"/>
              </w:rPr>
              <w:t>《招标代理服务费管理暂行办法》的通知规定的收费标准</w:t>
            </w:r>
          </w:p>
          <w:tbl>
            <w:tblPr>
              <w:tblStyle w:val="32"/>
              <w:tblW w:w="6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4B4EC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3D97A12A">
                  <w:pPr>
                    <w:pStyle w:val="49"/>
                    <w:bidi w:val="0"/>
                  </w:pPr>
                  <w:r>
                    <w:rPr>
                      <w:rFonts w:hint="eastAsia"/>
                    </w:rPr>
                    <w:t>中标金额（万元）</w:t>
                  </w:r>
                </w:p>
              </w:tc>
              <w:tc>
                <w:tcPr>
                  <w:tcW w:w="2293" w:type="dxa"/>
                  <w:tcBorders>
                    <w:top w:val="single" w:color="000000" w:sz="4" w:space="0"/>
                    <w:left w:val="single" w:color="000000" w:sz="4" w:space="0"/>
                    <w:bottom w:val="single" w:color="000000" w:sz="4" w:space="0"/>
                    <w:right w:val="single" w:color="000000" w:sz="4" w:space="0"/>
                  </w:tcBorders>
                </w:tcPr>
                <w:p w14:paraId="2CCDC5A3">
                  <w:pPr>
                    <w:pStyle w:val="49"/>
                    <w:bidi w:val="0"/>
                  </w:pPr>
                  <w:r>
                    <w:rPr>
                      <w:rFonts w:hint="eastAsia"/>
                    </w:rPr>
                    <w:t>货物费率</w:t>
                  </w:r>
                </w:p>
              </w:tc>
              <w:tc>
                <w:tcPr>
                  <w:tcW w:w="2280" w:type="dxa"/>
                  <w:tcBorders>
                    <w:top w:val="single" w:color="000000" w:sz="4" w:space="0"/>
                    <w:left w:val="single" w:color="000000" w:sz="4" w:space="0"/>
                    <w:bottom w:val="single" w:color="000000" w:sz="4" w:space="0"/>
                    <w:right w:val="single" w:color="000000" w:sz="4" w:space="0"/>
                  </w:tcBorders>
                </w:tcPr>
                <w:p w14:paraId="30ABD3B0">
                  <w:pPr>
                    <w:pStyle w:val="49"/>
                    <w:bidi w:val="0"/>
                  </w:pPr>
                  <w:r>
                    <w:rPr>
                      <w:rFonts w:hint="eastAsia"/>
                    </w:rPr>
                    <w:t>服务费率</w:t>
                  </w:r>
                </w:p>
              </w:tc>
            </w:tr>
            <w:tr w14:paraId="74303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7D929529">
                  <w:pPr>
                    <w:pStyle w:val="49"/>
                    <w:bidi w:val="0"/>
                  </w:pPr>
                  <w:r>
                    <w:rPr>
                      <w:rFonts w:hint="eastAsia"/>
                    </w:rPr>
                    <w:t>100以下</w:t>
                  </w:r>
                </w:p>
              </w:tc>
              <w:tc>
                <w:tcPr>
                  <w:tcW w:w="2293" w:type="dxa"/>
                  <w:tcBorders>
                    <w:top w:val="single" w:color="000000" w:sz="4" w:space="0"/>
                    <w:left w:val="single" w:color="000000" w:sz="4" w:space="0"/>
                    <w:bottom w:val="single" w:color="000000" w:sz="4" w:space="0"/>
                    <w:right w:val="single" w:color="000000" w:sz="4" w:space="0"/>
                  </w:tcBorders>
                </w:tcPr>
                <w:p w14:paraId="3025A684">
                  <w:pPr>
                    <w:pStyle w:val="49"/>
                    <w:bidi w:val="0"/>
                  </w:pPr>
                  <w:r>
                    <w:rPr>
                      <w:rFonts w:hint="eastAsia"/>
                    </w:rPr>
                    <w:t>1.5%</w:t>
                  </w:r>
                </w:p>
              </w:tc>
              <w:tc>
                <w:tcPr>
                  <w:tcW w:w="2280" w:type="dxa"/>
                  <w:tcBorders>
                    <w:top w:val="single" w:color="000000" w:sz="4" w:space="0"/>
                    <w:left w:val="single" w:color="000000" w:sz="4" w:space="0"/>
                    <w:bottom w:val="single" w:color="000000" w:sz="4" w:space="0"/>
                    <w:right w:val="single" w:color="000000" w:sz="4" w:space="0"/>
                  </w:tcBorders>
                </w:tcPr>
                <w:p w14:paraId="26A05A3B">
                  <w:pPr>
                    <w:pStyle w:val="49"/>
                    <w:bidi w:val="0"/>
                  </w:pPr>
                  <w:r>
                    <w:rPr>
                      <w:rFonts w:hint="eastAsia"/>
                    </w:rPr>
                    <w:t>1.5%</w:t>
                  </w:r>
                </w:p>
              </w:tc>
            </w:tr>
            <w:tr w14:paraId="52B38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61765056">
                  <w:pPr>
                    <w:pStyle w:val="49"/>
                    <w:bidi w:val="0"/>
                  </w:pPr>
                  <w:r>
                    <w:rPr>
                      <w:rFonts w:hint="eastAsia"/>
                    </w:rPr>
                    <w:t>100-500</w:t>
                  </w:r>
                </w:p>
              </w:tc>
              <w:tc>
                <w:tcPr>
                  <w:tcW w:w="2293" w:type="dxa"/>
                  <w:tcBorders>
                    <w:top w:val="single" w:color="000000" w:sz="4" w:space="0"/>
                    <w:left w:val="single" w:color="000000" w:sz="4" w:space="0"/>
                    <w:bottom w:val="single" w:color="000000" w:sz="4" w:space="0"/>
                    <w:right w:val="single" w:color="000000" w:sz="4" w:space="0"/>
                  </w:tcBorders>
                </w:tcPr>
                <w:p w14:paraId="791D3561">
                  <w:pPr>
                    <w:pStyle w:val="49"/>
                    <w:bidi w:val="0"/>
                  </w:pPr>
                  <w:r>
                    <w:rPr>
                      <w:rFonts w:hint="eastAsia"/>
                    </w:rPr>
                    <w:t>1.1%</w:t>
                  </w:r>
                </w:p>
              </w:tc>
              <w:tc>
                <w:tcPr>
                  <w:tcW w:w="2280" w:type="dxa"/>
                  <w:tcBorders>
                    <w:top w:val="single" w:color="000000" w:sz="4" w:space="0"/>
                    <w:left w:val="single" w:color="000000" w:sz="4" w:space="0"/>
                    <w:bottom w:val="single" w:color="000000" w:sz="4" w:space="0"/>
                    <w:right w:val="single" w:color="000000" w:sz="4" w:space="0"/>
                  </w:tcBorders>
                </w:tcPr>
                <w:p w14:paraId="6CB12A84">
                  <w:pPr>
                    <w:pStyle w:val="49"/>
                    <w:bidi w:val="0"/>
                  </w:pPr>
                  <w:r>
                    <w:rPr>
                      <w:rFonts w:hint="eastAsia"/>
                    </w:rPr>
                    <w:t>0.8%</w:t>
                  </w:r>
                </w:p>
              </w:tc>
            </w:tr>
            <w:tr w14:paraId="571BC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66604835">
                  <w:pPr>
                    <w:pStyle w:val="49"/>
                    <w:bidi w:val="0"/>
                  </w:pPr>
                  <w:r>
                    <w:rPr>
                      <w:rFonts w:hint="eastAsia"/>
                    </w:rPr>
                    <w:t>500-1000</w:t>
                  </w:r>
                </w:p>
              </w:tc>
              <w:tc>
                <w:tcPr>
                  <w:tcW w:w="2293" w:type="dxa"/>
                  <w:tcBorders>
                    <w:top w:val="single" w:color="000000" w:sz="4" w:space="0"/>
                    <w:left w:val="single" w:color="000000" w:sz="4" w:space="0"/>
                    <w:bottom w:val="single" w:color="000000" w:sz="4" w:space="0"/>
                    <w:right w:val="single" w:color="000000" w:sz="4" w:space="0"/>
                  </w:tcBorders>
                </w:tcPr>
                <w:p w14:paraId="62229F51">
                  <w:pPr>
                    <w:pStyle w:val="49"/>
                    <w:bidi w:val="0"/>
                  </w:pPr>
                  <w:r>
                    <w:rPr>
                      <w:rFonts w:hint="eastAsia"/>
                    </w:rPr>
                    <w:t>0.8%</w:t>
                  </w:r>
                </w:p>
              </w:tc>
              <w:tc>
                <w:tcPr>
                  <w:tcW w:w="2280" w:type="dxa"/>
                  <w:tcBorders>
                    <w:top w:val="single" w:color="000000" w:sz="4" w:space="0"/>
                    <w:left w:val="single" w:color="000000" w:sz="4" w:space="0"/>
                    <w:bottom w:val="single" w:color="000000" w:sz="4" w:space="0"/>
                    <w:right w:val="single" w:color="000000" w:sz="4" w:space="0"/>
                  </w:tcBorders>
                </w:tcPr>
                <w:p w14:paraId="3AE93664">
                  <w:pPr>
                    <w:pStyle w:val="49"/>
                    <w:bidi w:val="0"/>
                  </w:pPr>
                  <w:r>
                    <w:rPr>
                      <w:rFonts w:hint="eastAsia"/>
                    </w:rPr>
                    <w:t>0.45%</w:t>
                  </w:r>
                </w:p>
              </w:tc>
            </w:tr>
          </w:tbl>
          <w:p w14:paraId="45D49215">
            <w:pPr>
              <w:pStyle w:val="49"/>
              <w:bidi w:val="0"/>
            </w:pPr>
          </w:p>
        </w:tc>
      </w:tr>
      <w:tr w14:paraId="0588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99" w:type="dxa"/>
            <w:vAlign w:val="center"/>
          </w:tcPr>
          <w:p w14:paraId="5AC35861">
            <w:pPr>
              <w:pStyle w:val="49"/>
              <w:numPr>
                <w:ilvl w:val="0"/>
                <w:numId w:val="6"/>
              </w:numPr>
              <w:bidi w:val="0"/>
              <w:ind w:left="425" w:leftChars="0" w:hanging="425" w:firstLineChars="0"/>
              <w:jc w:val="center"/>
              <w:rPr>
                <w:rFonts w:hint="default"/>
                <w:lang w:val="en-US" w:eastAsia="zh-CN"/>
              </w:rPr>
            </w:pPr>
          </w:p>
        </w:tc>
        <w:tc>
          <w:tcPr>
            <w:tcW w:w="2708" w:type="dxa"/>
            <w:vAlign w:val="center"/>
          </w:tcPr>
          <w:p w14:paraId="7586A71B">
            <w:pPr>
              <w:pStyle w:val="49"/>
              <w:bidi w:val="0"/>
            </w:pPr>
            <w:r>
              <w:rPr>
                <w:rFonts w:hint="eastAsia"/>
              </w:rPr>
              <w:t>特别说明</w:t>
            </w:r>
          </w:p>
        </w:tc>
        <w:tc>
          <w:tcPr>
            <w:tcW w:w="6553" w:type="dxa"/>
            <w:vAlign w:val="center"/>
          </w:tcPr>
          <w:p w14:paraId="7196449C">
            <w:pPr>
              <w:pStyle w:val="49"/>
              <w:bidi w:val="0"/>
            </w:pPr>
            <w:r>
              <w:rPr>
                <w:rFonts w:hint="eastAsia"/>
              </w:rPr>
              <w:t>未注册加入浙江省政府采购</w:t>
            </w:r>
            <w:r>
              <w:rPr>
                <w:rFonts w:hint="eastAsia"/>
                <w:lang w:eastAsia="zh-CN"/>
              </w:rPr>
              <w:t>供应商</w:t>
            </w:r>
            <w:r>
              <w:rPr>
                <w:rFonts w:hint="eastAsia"/>
              </w:rPr>
              <w:t>库的</w:t>
            </w:r>
            <w:r>
              <w:rPr>
                <w:rFonts w:hint="eastAsia"/>
                <w:lang w:eastAsia="zh-CN"/>
              </w:rPr>
              <w:t>供应商</w:t>
            </w:r>
            <w:r>
              <w:rPr>
                <w:rFonts w:hint="eastAsia"/>
              </w:rPr>
              <w:t>一旦被确定为中标人的，应当在《中标通知书》发出前的三个工作日内按《关于印发浙江省政府</w:t>
            </w:r>
            <w:r>
              <w:rPr>
                <w:rFonts w:hint="eastAsia"/>
                <w:lang w:eastAsia="zh-CN"/>
              </w:rPr>
              <w:t>供应商</w:t>
            </w:r>
            <w:r>
              <w:rPr>
                <w:rFonts w:hint="eastAsia"/>
              </w:rPr>
              <w:t>注册及诚信管理暂行办</w:t>
            </w:r>
            <w:r>
              <w:rPr>
                <w:rFonts w:hint="eastAsia"/>
                <w:lang w:eastAsia="zh-CN"/>
              </w:rPr>
              <w:t>法的</w:t>
            </w:r>
            <w:r>
              <w:rPr>
                <w:rFonts w:hint="eastAsia"/>
              </w:rPr>
              <w:t>通知》[浙财采监字〔2009〕28号]文件的规定进行注册申请，否则，采购单位将拒绝向其发出《中标通知书》，视为未中标。</w:t>
            </w:r>
          </w:p>
        </w:tc>
      </w:tr>
      <w:tr w14:paraId="2197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9" w:type="dxa"/>
            <w:vAlign w:val="center"/>
          </w:tcPr>
          <w:p w14:paraId="4435A919">
            <w:pPr>
              <w:pStyle w:val="49"/>
              <w:numPr>
                <w:ilvl w:val="0"/>
                <w:numId w:val="6"/>
              </w:numPr>
              <w:bidi w:val="0"/>
              <w:ind w:left="425" w:leftChars="0" w:hanging="425" w:firstLineChars="0"/>
              <w:jc w:val="center"/>
              <w:rPr>
                <w:rFonts w:hint="eastAsia"/>
                <w:lang w:eastAsia="zh-CN"/>
              </w:rPr>
            </w:pPr>
          </w:p>
        </w:tc>
        <w:tc>
          <w:tcPr>
            <w:tcW w:w="2708" w:type="dxa"/>
            <w:vAlign w:val="center"/>
          </w:tcPr>
          <w:p w14:paraId="14C8E01F">
            <w:pPr>
              <w:pStyle w:val="49"/>
              <w:bidi w:val="0"/>
            </w:pPr>
            <w:r>
              <w:rPr>
                <w:rFonts w:hint="eastAsia"/>
              </w:rPr>
              <w:t>磋商供应商信用查询</w:t>
            </w:r>
          </w:p>
        </w:tc>
        <w:tc>
          <w:tcPr>
            <w:tcW w:w="6553" w:type="dxa"/>
            <w:vAlign w:val="center"/>
          </w:tcPr>
          <w:p w14:paraId="5F12645A">
            <w:pPr>
              <w:pStyle w:val="49"/>
              <w:bidi w:val="0"/>
              <w:ind w:firstLine="420" w:firstLineChars="200"/>
            </w:pPr>
            <w:r>
              <w:rPr>
                <w:rFonts w:hint="eastAsia"/>
              </w:rPr>
              <w:t>根据《关于在政府采购活动中查询及使用信用记录有关问题的通知》财库</w:t>
            </w:r>
            <w:r>
              <w:rPr>
                <w:rFonts w:hint="eastAsia"/>
                <w:lang w:eastAsia="zh-CN"/>
              </w:rPr>
              <w:t>〔2016〕125号</w:t>
            </w:r>
            <w:r>
              <w:rPr>
                <w:rFonts w:hint="eastAsia"/>
              </w:rPr>
              <w:t>的规定：</w:t>
            </w:r>
          </w:p>
          <w:p w14:paraId="64912D76">
            <w:pPr>
              <w:pStyle w:val="49"/>
              <w:bidi w:val="0"/>
              <w:ind w:firstLine="420" w:firstLineChars="200"/>
            </w:pPr>
            <w:r>
              <w:rPr>
                <w:rFonts w:hint="eastAsia"/>
              </w:rPr>
              <w:t>1）采购代理机构将对本项目投标供应商的信用信息进行查询和甄别，查询渠道为信用中国网站（www.creditchina.gov.cn）、中国政府采购网（www.ccgp.gov.cn）。</w:t>
            </w:r>
          </w:p>
          <w:p w14:paraId="25C8E55D">
            <w:pPr>
              <w:pStyle w:val="49"/>
              <w:bidi w:val="0"/>
              <w:ind w:firstLine="420" w:firstLineChars="200"/>
            </w:pPr>
            <w:r>
              <w:rPr>
                <w:rFonts w:hint="eastAsia"/>
              </w:rPr>
              <w:t>2）截止时点：提交</w:t>
            </w:r>
            <w:r>
              <w:rPr>
                <w:rFonts w:hint="eastAsia"/>
                <w:lang w:eastAsia="zh-CN"/>
              </w:rPr>
              <w:t>响应文件</w:t>
            </w:r>
            <w:r>
              <w:rPr>
                <w:rFonts w:hint="eastAsia"/>
              </w:rPr>
              <w:t>（响应文件）截止时间前3年内。</w:t>
            </w:r>
          </w:p>
          <w:p w14:paraId="742FFAEA">
            <w:pPr>
              <w:pStyle w:val="49"/>
              <w:bidi w:val="0"/>
              <w:ind w:firstLine="420" w:firstLineChars="200"/>
            </w:pPr>
            <w:r>
              <w:rPr>
                <w:rFonts w:hint="eastAsia"/>
              </w:rPr>
              <w:t>3）信用信息查询记录和证据以网页截图方式留存。</w:t>
            </w:r>
          </w:p>
          <w:p w14:paraId="04A2435B">
            <w:pPr>
              <w:pStyle w:val="49"/>
              <w:bidi w:val="0"/>
              <w:ind w:firstLine="420" w:firstLineChars="200"/>
            </w:pPr>
            <w:r>
              <w:rPr>
                <w:rFonts w:hint="eastAsia"/>
              </w:rPr>
              <w:t>4）不良信用记录指：1.被列入信用中国网站“失信被执行人”“重大税收违法案件当事人”名单； 2.被列入中国政府采购网政府采购严重违法失信行为记录名单；</w:t>
            </w:r>
          </w:p>
          <w:p w14:paraId="4FFED7C2">
            <w:pPr>
              <w:pStyle w:val="49"/>
              <w:bidi w:val="0"/>
              <w:ind w:firstLine="420" w:firstLineChars="200"/>
            </w:pPr>
            <w:r>
              <w:rPr>
                <w:rFonts w:hint="eastAsia"/>
              </w:rPr>
              <w:t>5）信用信息的使用规则：供应商存在不良信用记录的，其</w:t>
            </w:r>
            <w:r>
              <w:rPr>
                <w:rFonts w:hint="eastAsia"/>
                <w:lang w:eastAsia="zh-CN"/>
              </w:rPr>
              <w:t>响应文件</w:t>
            </w:r>
            <w:r>
              <w:rPr>
                <w:rFonts w:hint="eastAsia"/>
              </w:rPr>
              <w:t>将被拒绝。</w:t>
            </w:r>
          </w:p>
          <w:p w14:paraId="79F5F71E">
            <w:pPr>
              <w:pStyle w:val="49"/>
              <w:bidi w:val="0"/>
              <w:ind w:firstLine="420" w:firstLineChars="200"/>
            </w:pPr>
            <w:r>
              <w:rPr>
                <w:rFonts w:hint="eastAsia"/>
              </w:rPr>
              <w:t>6）如允许联合体投标的，联合体成员存在不良信用记录视同联合体存在不良信用记录。</w:t>
            </w:r>
          </w:p>
        </w:tc>
      </w:tr>
      <w:tr w14:paraId="1CE7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99" w:type="dxa"/>
            <w:vAlign w:val="center"/>
          </w:tcPr>
          <w:p w14:paraId="1758812F">
            <w:pPr>
              <w:pStyle w:val="49"/>
              <w:numPr>
                <w:ilvl w:val="0"/>
                <w:numId w:val="6"/>
              </w:numPr>
              <w:bidi w:val="0"/>
              <w:ind w:left="425" w:leftChars="0" w:hanging="425" w:firstLineChars="0"/>
              <w:jc w:val="center"/>
              <w:rPr>
                <w:rFonts w:hint="default"/>
                <w:lang w:val="en-US" w:eastAsia="zh-CN"/>
              </w:rPr>
            </w:pPr>
          </w:p>
        </w:tc>
        <w:tc>
          <w:tcPr>
            <w:tcW w:w="2708" w:type="dxa"/>
            <w:vAlign w:val="center"/>
          </w:tcPr>
          <w:p w14:paraId="6AF4C6F7">
            <w:pPr>
              <w:pStyle w:val="49"/>
              <w:bidi w:val="0"/>
              <w:ind w:firstLine="420" w:firstLineChars="200"/>
            </w:pPr>
            <w:r>
              <w:rPr>
                <w:rFonts w:hint="eastAsia"/>
              </w:rPr>
              <w:t>本项目落实的政府</w:t>
            </w:r>
          </w:p>
          <w:p w14:paraId="39490D73">
            <w:pPr>
              <w:pStyle w:val="49"/>
              <w:bidi w:val="0"/>
              <w:ind w:firstLine="420" w:firstLineChars="200"/>
            </w:pPr>
            <w:r>
              <w:rPr>
                <w:rFonts w:hint="eastAsia"/>
              </w:rPr>
              <w:t>采购政策</w:t>
            </w:r>
          </w:p>
        </w:tc>
        <w:tc>
          <w:tcPr>
            <w:tcW w:w="6553" w:type="dxa"/>
            <w:vAlign w:val="center"/>
          </w:tcPr>
          <w:p w14:paraId="3B402960">
            <w:pPr>
              <w:pStyle w:val="49"/>
              <w:bidi w:val="0"/>
              <w:ind w:firstLine="420" w:firstLineChars="200"/>
            </w:pPr>
            <w:r>
              <w:rPr>
                <w:rFonts w:hint="eastAsia"/>
              </w:rPr>
              <w:t>政府采购促进中小企业发展扶持政策</w:t>
            </w:r>
          </w:p>
          <w:p w14:paraId="5D704AF3">
            <w:pPr>
              <w:pStyle w:val="49"/>
              <w:bidi w:val="0"/>
              <w:ind w:firstLine="420" w:firstLineChars="200"/>
            </w:pPr>
            <w:r>
              <w:rPr>
                <w:rFonts w:hint="eastAsia"/>
              </w:rPr>
              <w:t>1.根据《政府采购促进中小企业发展管理办法》（财库</w:t>
            </w:r>
            <w:r>
              <w:rPr>
                <w:rFonts w:hint="eastAsia"/>
                <w:lang w:eastAsia="zh-CN"/>
              </w:rPr>
              <w:t>〔2020〕</w:t>
            </w:r>
            <w:r>
              <w:rPr>
                <w:rFonts w:hint="eastAsia"/>
              </w:rPr>
              <w:t>46 号）、《财政部、司法部关于政府采购支持监狱企业发展有关问题的通知》（财库〔2014〕68号）、《关于促进残疾人就业政府采购政策的通知》（财库〔2017〕141号）、《关于进一步发挥政府采购政策功能全力推动经济稳进提质的通知》（浙财采监〔2022〕3号）规定及《浙江省财政厅关于进一步加大政府采购支持中小企业力度 助力扎实稳住经济的通知》（浙财采监〔2022〕8号），本项目对小型或微型企业执行价格扣除优惠政策（符合规定条件的监狱企业或残疾人福利性单位视同小微企业），具体措施为：对小型和微型企业（监狱企业、残疾人福利性单位）制造的货物或承接的服务报价给予</w:t>
            </w:r>
            <w:r>
              <w:rPr>
                <w:rFonts w:hint="eastAsia"/>
                <w:lang w:val="en-US" w:eastAsia="zh-CN"/>
              </w:rPr>
              <w:t>1</w:t>
            </w:r>
            <w:r>
              <w:rPr>
                <w:rFonts w:hint="eastAsia"/>
              </w:rPr>
              <w:t>0%的扣除、承建的工程项目报价给予5%的扣除；对于联合体协议或者分包意向协议约定小微企业的合同份额占到合同总金额30%以上的，对于联合体或者大中型企业制造的货物或承接的服务报价给予6%的扣除、承建的工程项目报价给予2%的扣除。用扣除后的价格参加报价分评审，欢迎符合规定的供应商参与本项目采购活动。专门面向中小企业采购的项目或者采购包，不再执行价格评审优惠的扶持政策。</w:t>
            </w:r>
          </w:p>
          <w:p w14:paraId="64C4A595">
            <w:pPr>
              <w:pStyle w:val="49"/>
              <w:bidi w:val="0"/>
              <w:ind w:firstLine="420" w:firstLineChars="200"/>
            </w:pPr>
            <w:r>
              <w:rPr>
                <w:rFonts w:hint="eastAsia"/>
              </w:rPr>
              <w:t>2.满足相关规定且有意享受价格扣除优惠政策的供应商，应当根据自身企业类型或所投产品制造商企业类型不同，按采购文件要求分别如实填写并提供证明材料供评审小组核实、认定，经评审小组认定填写内容错误或未提供所需证明材料的，不给予评标价格扣除。</w:t>
            </w:r>
          </w:p>
          <w:p w14:paraId="358B6D14">
            <w:pPr>
              <w:pStyle w:val="49"/>
              <w:bidi w:val="0"/>
              <w:ind w:firstLine="420" w:firstLineChars="200"/>
            </w:pPr>
            <w:r>
              <w:rPr>
                <w:rFonts w:hint="eastAsia"/>
              </w:rPr>
              <w:t>3.依据《政府采购促进中小企业发展管理办法》（财库〔2020〕46号）规定享受价格扣除优惠政策而中标（成交）获得政府采购合同的小微企业，不得将合同分包给大中型企业。否则按提供虚假材料谋取中标（成交）处理。</w:t>
            </w:r>
          </w:p>
          <w:p w14:paraId="2239098C">
            <w:pPr>
              <w:pStyle w:val="49"/>
              <w:bidi w:val="0"/>
              <w:ind w:firstLine="420" w:firstLineChars="200"/>
            </w:pPr>
            <w:r>
              <w:rPr>
                <w:rFonts w:hint="eastAsia"/>
              </w:rPr>
              <w:t>4.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5C93763C">
            <w:pPr>
              <w:pStyle w:val="49"/>
              <w:bidi w:val="0"/>
              <w:ind w:firstLine="420" w:firstLineChars="200"/>
            </w:pPr>
            <w:r>
              <w:rPr>
                <w:rFonts w:hint="eastAsia"/>
              </w:rPr>
              <w:t>二、政府采购节能环保政策（适用于货物采购项目）</w:t>
            </w:r>
          </w:p>
          <w:p w14:paraId="52443856">
            <w:pPr>
              <w:pStyle w:val="49"/>
              <w:bidi w:val="0"/>
              <w:ind w:firstLine="420" w:firstLineChars="200"/>
            </w:pPr>
            <w:r>
              <w:rPr>
                <w:rFonts w:hint="eastAsia"/>
              </w:rPr>
              <w:t>1.根据《关于调整优化节能产品、环境标志产品政府采购执行机制的通知》（财库〔 2019 〕9号）规定，采购需求产品在《环境标志产品政府采购品目清单》范围内或在《节能产品政府采购品目清单》中属于未标注“★”的一般节能产品的，实施优先采购。供应商提供的产品属于节能、环保产品且按照采购文件要求提供国家确定的认证机构出具的、处于有效期之内的《环境标志产品认证证书》或《节能产品认证证书》的，将依据评审标准给予其相应得分。认证机构范围以《市场监管总局关于发布参与实施政府采购节能产品、环境标志产品认证机构名录的公告》中公布的认证机构名录为准。</w:t>
            </w:r>
          </w:p>
          <w:p w14:paraId="2416035C">
            <w:pPr>
              <w:pStyle w:val="49"/>
              <w:bidi w:val="0"/>
              <w:ind w:firstLine="420" w:firstLineChars="200"/>
            </w:pPr>
            <w:r>
              <w:rPr>
                <w:rFonts w:hint="eastAsia"/>
              </w:rPr>
              <w:t>2.采购需求产品属于《节能产品政府采购品目清单》中标注“ ★ ”的节能产品的，实施强制采购。供应商应当根据采购文件要求提供国家确定的认证机构（范围同上一条）出具的、处于有效期之内的《节能产品认证证书》，否则按无效响应处理。</w:t>
            </w:r>
          </w:p>
        </w:tc>
      </w:tr>
      <w:tr w14:paraId="31FD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9" w:type="dxa"/>
            <w:vAlign w:val="center"/>
          </w:tcPr>
          <w:p w14:paraId="0B8CE3B8">
            <w:pPr>
              <w:pStyle w:val="49"/>
              <w:numPr>
                <w:ilvl w:val="0"/>
                <w:numId w:val="6"/>
              </w:numPr>
              <w:bidi w:val="0"/>
              <w:ind w:left="425" w:leftChars="0" w:hanging="425" w:firstLineChars="0"/>
              <w:jc w:val="center"/>
              <w:rPr>
                <w:rFonts w:hint="default"/>
                <w:lang w:val="en-US" w:eastAsia="zh-CN"/>
              </w:rPr>
            </w:pPr>
          </w:p>
        </w:tc>
        <w:tc>
          <w:tcPr>
            <w:tcW w:w="2708" w:type="dxa"/>
            <w:vAlign w:val="center"/>
          </w:tcPr>
          <w:p w14:paraId="1DE1FD4C">
            <w:pPr>
              <w:pStyle w:val="49"/>
              <w:bidi w:val="0"/>
              <w:rPr>
                <w:rFonts w:hint="eastAsia"/>
              </w:rPr>
            </w:pPr>
            <w:r>
              <w:rPr>
                <w:rFonts w:hint="eastAsia"/>
              </w:rPr>
              <w:t>专门面向中小企业预留采购份额情况</w:t>
            </w:r>
          </w:p>
        </w:tc>
        <w:tc>
          <w:tcPr>
            <w:tcW w:w="6553" w:type="dxa"/>
            <w:vAlign w:val="center"/>
          </w:tcPr>
          <w:p w14:paraId="422D22DA">
            <w:pPr>
              <w:pStyle w:val="49"/>
              <w:bidi w:val="0"/>
              <w:rPr>
                <w:rFonts w:hint="eastAsia"/>
                <w:lang w:val="en-US" w:eastAsia="zh-CN"/>
              </w:rPr>
            </w:pPr>
            <w:r>
              <w:rPr>
                <w:rFonts w:hint="eastAsia"/>
              </w:rPr>
              <w:t>本项目</w:t>
            </w:r>
            <w:r>
              <w:rPr>
                <w:rFonts w:hint="eastAsia"/>
                <w:b/>
                <w:bCs/>
                <w:lang w:eastAsia="zh-CN"/>
              </w:rPr>
              <w:t>【（</w:t>
            </w:r>
            <w:r>
              <w:rPr>
                <w:rFonts w:hint="eastAsia"/>
                <w:b/>
                <w:bCs/>
                <w:lang w:val="en-US" w:eastAsia="zh-CN"/>
              </w:rPr>
              <w:t xml:space="preserve"> </w:t>
            </w:r>
            <w:r>
              <w:rPr>
                <w:rFonts w:hint="default"/>
                <w:b/>
                <w:bCs/>
                <w:lang w:eastAsia="zh-CN"/>
              </w:rPr>
              <w:t>√</w:t>
            </w:r>
            <w:r>
              <w:rPr>
                <w:rFonts w:hint="eastAsia"/>
                <w:b/>
                <w:bCs/>
                <w:lang w:eastAsia="zh-CN"/>
              </w:rPr>
              <w:t>）是</w:t>
            </w:r>
            <w:r>
              <w:rPr>
                <w:rFonts w:hint="eastAsia"/>
                <w:lang w:eastAsia="zh-CN"/>
              </w:rPr>
              <w:t>（）非】</w:t>
            </w:r>
            <w:r>
              <w:rPr>
                <w:rFonts w:hint="eastAsia"/>
              </w:rPr>
              <w:t>预留（或部分预留）份额专门面向中小企业采购的采购项目。</w:t>
            </w:r>
          </w:p>
        </w:tc>
      </w:tr>
      <w:tr w14:paraId="0CB9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99" w:type="dxa"/>
            <w:vAlign w:val="center"/>
          </w:tcPr>
          <w:p w14:paraId="23903881">
            <w:pPr>
              <w:pStyle w:val="49"/>
              <w:numPr>
                <w:ilvl w:val="0"/>
                <w:numId w:val="6"/>
              </w:numPr>
              <w:bidi w:val="0"/>
              <w:ind w:left="425" w:leftChars="0" w:hanging="425" w:firstLineChars="0"/>
              <w:jc w:val="center"/>
              <w:rPr>
                <w:rFonts w:hint="default"/>
                <w:lang w:val="en-US" w:eastAsia="zh-CN"/>
              </w:rPr>
            </w:pPr>
          </w:p>
        </w:tc>
        <w:tc>
          <w:tcPr>
            <w:tcW w:w="2708" w:type="dxa"/>
            <w:vAlign w:val="center"/>
          </w:tcPr>
          <w:p w14:paraId="43B5233D">
            <w:pPr>
              <w:pStyle w:val="49"/>
              <w:bidi w:val="0"/>
              <w:rPr>
                <w:rFonts w:hint="eastAsia"/>
              </w:rPr>
            </w:pPr>
            <w:r>
              <w:rPr>
                <w:rFonts w:hint="eastAsia"/>
              </w:rPr>
              <w:t>采购标的及对应的中小企业划型标准所属行业</w:t>
            </w:r>
          </w:p>
        </w:tc>
        <w:tc>
          <w:tcPr>
            <w:tcW w:w="6553" w:type="dxa"/>
            <w:vAlign w:val="center"/>
          </w:tcPr>
          <w:p w14:paraId="72E933FC">
            <w:pPr>
              <w:pStyle w:val="49"/>
              <w:bidi w:val="0"/>
              <w:ind w:firstLine="420" w:firstLineChars="200"/>
              <w:rPr>
                <w:rFonts w:hint="eastAsia"/>
              </w:rPr>
            </w:pPr>
            <w:r>
              <w:rPr>
                <w:rFonts w:hint="eastAsia"/>
              </w:rPr>
              <w:t>本项目采购标的</w:t>
            </w:r>
            <w:r>
              <w:rPr>
                <w:rFonts w:hint="eastAsia"/>
                <w:lang w:val="en-US" w:eastAsia="zh-CN"/>
              </w:rPr>
              <w:t>内容</w:t>
            </w:r>
            <w:r>
              <w:rPr>
                <w:rFonts w:hint="eastAsia"/>
              </w:rPr>
              <w:t>为</w:t>
            </w:r>
            <w:r>
              <w:rPr>
                <w:rFonts w:hint="eastAsia"/>
                <w:b/>
                <w:bCs/>
                <w:u w:val="none"/>
                <w:lang w:eastAsia="zh-CN"/>
              </w:rPr>
              <w:t>常山县紫港街道外港零担菜市场临时疏导点运营管理项目。</w:t>
            </w:r>
            <w:r>
              <w:rPr>
                <w:rFonts w:hint="eastAsia"/>
              </w:rPr>
              <w:t>根据《关于印发中小企业划型标准规定的通知》（工信部联企业〔2011〕300号），对应的中小企业划型标准所属行业</w:t>
            </w:r>
            <w:r>
              <w:rPr>
                <w:rFonts w:hint="eastAsia"/>
                <w:lang w:eastAsia="zh-CN"/>
              </w:rPr>
              <w:t>均</w:t>
            </w:r>
            <w:r>
              <w:rPr>
                <w:rFonts w:hint="eastAsia"/>
              </w:rPr>
              <w:t>为</w:t>
            </w:r>
            <w:r>
              <w:rPr>
                <w:rFonts w:hint="eastAsia"/>
                <w:b/>
                <w:bCs/>
                <w:u w:val="single"/>
                <w:lang w:val="en-US" w:eastAsia="zh-CN"/>
              </w:rPr>
              <w:t>其他未列明行业</w:t>
            </w:r>
            <w:r>
              <w:rPr>
                <w:rFonts w:hint="eastAsia"/>
              </w:rPr>
              <w:t>。</w:t>
            </w:r>
          </w:p>
          <w:p w14:paraId="3BE2929B">
            <w:pPr>
              <w:pStyle w:val="49"/>
              <w:bidi w:val="0"/>
              <w:ind w:firstLine="420" w:firstLineChars="200"/>
              <w:rPr>
                <w:rFonts w:hint="eastAsia"/>
                <w:lang w:val="en-US" w:eastAsia="zh-CN"/>
              </w:rPr>
            </w:pPr>
            <w:r>
              <w:rPr>
                <w:rFonts w:hint="eastAsia"/>
              </w:rPr>
              <w:t>供应商可根据工业和信息化部中小企业局中小企业规模类型自测小程序《中小企业规模类型自测小程序》（</w:t>
            </w:r>
            <w:r>
              <w:rPr>
                <w:rFonts w:hint="eastAsia"/>
              </w:rPr>
              <w:fldChar w:fldCharType="begin"/>
            </w:r>
            <w:r>
              <w:rPr>
                <w:rFonts w:hint="eastAsia"/>
              </w:rPr>
              <w:instrText xml:space="preserve"> HYPERLINK "http://sme.miit.gov.cn/baosong/appweb/orgScale.html" </w:instrText>
            </w:r>
            <w:r>
              <w:rPr>
                <w:rFonts w:hint="eastAsia"/>
              </w:rPr>
              <w:fldChar w:fldCharType="separate"/>
            </w:r>
            <w:r>
              <w:rPr>
                <w:rFonts w:hint="eastAsia"/>
              </w:rPr>
              <w:t>http://sme.miit.gov.cn/baosong/appweb/orgScale.html</w:t>
            </w:r>
            <w:r>
              <w:rPr>
                <w:rFonts w:hint="eastAsia"/>
              </w:rPr>
              <w:fldChar w:fldCharType="end"/>
            </w:r>
            <w:r>
              <w:rPr>
                <w:rFonts w:hint="eastAsia"/>
              </w:rPr>
              <w:t>）结合本项目采购标的对应的中小企业划型标准所属行业和自身（或所投产品制造商）各项指标自测相关企业规模类型。</w:t>
            </w:r>
          </w:p>
        </w:tc>
      </w:tr>
      <w:tr w14:paraId="0D9B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99" w:type="dxa"/>
            <w:vAlign w:val="center"/>
          </w:tcPr>
          <w:p w14:paraId="4E8C068B">
            <w:pPr>
              <w:pStyle w:val="49"/>
              <w:numPr>
                <w:ilvl w:val="0"/>
                <w:numId w:val="6"/>
              </w:numPr>
              <w:bidi w:val="0"/>
              <w:ind w:left="425" w:leftChars="0" w:hanging="425" w:firstLineChars="0"/>
              <w:jc w:val="center"/>
              <w:rPr>
                <w:rFonts w:hint="default"/>
                <w:lang w:val="en-US" w:eastAsia="zh-CN"/>
              </w:rPr>
            </w:pPr>
          </w:p>
        </w:tc>
        <w:tc>
          <w:tcPr>
            <w:tcW w:w="2708" w:type="dxa"/>
            <w:vAlign w:val="center"/>
          </w:tcPr>
          <w:p w14:paraId="05E51CDA">
            <w:pPr>
              <w:pStyle w:val="49"/>
              <w:bidi w:val="0"/>
            </w:pPr>
            <w:r>
              <w:rPr>
                <w:rFonts w:hint="eastAsia"/>
              </w:rPr>
              <w:t>特别说明</w:t>
            </w:r>
          </w:p>
        </w:tc>
        <w:tc>
          <w:tcPr>
            <w:tcW w:w="6553" w:type="dxa"/>
            <w:vAlign w:val="center"/>
          </w:tcPr>
          <w:p w14:paraId="53819B2D">
            <w:pPr>
              <w:pStyle w:val="49"/>
              <w:bidi w:val="0"/>
            </w:pPr>
            <w:r>
              <w:rPr>
                <w:rFonts w:hint="eastAsia"/>
              </w:rPr>
              <w:t>中标人应提供与电子</w:t>
            </w:r>
            <w:r>
              <w:rPr>
                <w:rFonts w:hint="eastAsia"/>
                <w:lang w:eastAsia="zh-CN"/>
              </w:rPr>
              <w:t>响应文件</w:t>
            </w:r>
            <w:r>
              <w:rPr>
                <w:rFonts w:hint="eastAsia"/>
              </w:rPr>
              <w:t>内容一致的纸质</w:t>
            </w:r>
            <w:r>
              <w:rPr>
                <w:rFonts w:hint="eastAsia"/>
                <w:lang w:eastAsia="zh-CN"/>
              </w:rPr>
              <w:t>响应文件</w:t>
            </w:r>
            <w:r>
              <w:rPr>
                <w:rFonts w:hint="eastAsia"/>
              </w:rPr>
              <w:t>（</w:t>
            </w:r>
            <w:r>
              <w:rPr>
                <w:rFonts w:hint="eastAsia"/>
                <w:lang w:eastAsia="zh-CN"/>
              </w:rPr>
              <w:t>资格审查文件</w:t>
            </w:r>
            <w:r>
              <w:rPr>
                <w:rFonts w:hint="eastAsia"/>
              </w:rPr>
              <w:t>、商务技术文件、报价文件）一正三副。中标人在领取中标通知书时提供纸质</w:t>
            </w:r>
            <w:r>
              <w:rPr>
                <w:rFonts w:hint="eastAsia"/>
                <w:lang w:eastAsia="zh-CN"/>
              </w:rPr>
              <w:t>响应文件</w:t>
            </w:r>
            <w:r>
              <w:rPr>
                <w:rFonts w:hint="eastAsia"/>
              </w:rPr>
              <w:t>。</w:t>
            </w:r>
          </w:p>
        </w:tc>
      </w:tr>
    </w:tbl>
    <w:p w14:paraId="32FB2BFF">
      <w:pPr>
        <w:ind w:firstLine="422" w:firstLineChars="200"/>
        <w:rPr>
          <w:rFonts w:hint="eastAsia" w:ascii="宋体" w:hAnsi="宋体" w:eastAsia="宋体" w:cs="宋体"/>
          <w:b/>
          <w:bCs/>
          <w:color w:val="auto"/>
          <w:kern w:val="2"/>
          <w:szCs w:val="32"/>
          <w:highlight w:val="none"/>
        </w:rPr>
      </w:pPr>
      <w:r>
        <w:rPr>
          <w:rFonts w:hint="eastAsia" w:ascii="宋体" w:hAnsi="宋体" w:eastAsia="宋体" w:cs="宋体"/>
          <w:b/>
          <w:bCs/>
          <w:color w:val="auto"/>
          <w:kern w:val="2"/>
          <w:szCs w:val="32"/>
          <w:highlight w:val="none"/>
        </w:rPr>
        <w:br w:type="page"/>
      </w:r>
    </w:p>
    <w:p w14:paraId="6CDE25D8">
      <w:pPr>
        <w:pStyle w:val="6"/>
        <w:keepLines/>
        <w:widowControl w:val="0"/>
        <w:numPr>
          <w:ilvl w:val="2"/>
          <w:numId w:val="0"/>
        </w:numPr>
        <w:spacing w:before="156" w:after="156"/>
        <w:ind w:firstLine="643" w:firstLineChars="200"/>
        <w:jc w:val="center"/>
        <w:textAlignment w:val="baseline"/>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rPr>
        <w:t>一、总则</w:t>
      </w:r>
    </w:p>
    <w:p w14:paraId="65DF667B">
      <w:pPr>
        <w:bidi w:val="0"/>
        <w:ind w:firstLine="422" w:firstLineChars="200"/>
        <w:rPr>
          <w:b/>
          <w:bCs/>
        </w:rPr>
      </w:pPr>
      <w:r>
        <w:rPr>
          <w:rFonts w:hint="eastAsia"/>
          <w:b/>
          <w:bCs/>
        </w:rPr>
        <w:t>1</w:t>
      </w:r>
      <w:r>
        <w:rPr>
          <w:rFonts w:hint="eastAsia"/>
          <w:b/>
          <w:bCs/>
          <w:lang w:val="en-US" w:eastAsia="zh-CN"/>
        </w:rPr>
        <w:t>.</w:t>
      </w:r>
      <w:r>
        <w:rPr>
          <w:rFonts w:hint="eastAsia"/>
          <w:b/>
          <w:bCs/>
        </w:rPr>
        <w:t>适用范围</w:t>
      </w:r>
    </w:p>
    <w:p w14:paraId="0528F62C">
      <w:pPr>
        <w:bidi w:val="0"/>
        <w:ind w:firstLine="420" w:firstLineChars="200"/>
      </w:pPr>
      <w:r>
        <w:rPr>
          <w:rFonts w:hint="eastAsia"/>
        </w:rPr>
        <w:t>1.1本磋商文件适用于本次采购活动中所叙述的</w:t>
      </w:r>
      <w:r>
        <w:rPr>
          <w:rFonts w:hint="eastAsia"/>
          <w:lang w:eastAsia="zh-CN"/>
        </w:rPr>
        <w:t xml:space="preserve">常山县紫港街道外港零担菜市场临时疏导点运营管理项目 </w:t>
      </w:r>
      <w:r>
        <w:rPr>
          <w:rFonts w:hint="eastAsia"/>
        </w:rPr>
        <w:t>。</w:t>
      </w:r>
    </w:p>
    <w:p w14:paraId="367A7E96">
      <w:pPr>
        <w:bidi w:val="0"/>
        <w:ind w:firstLine="422" w:firstLineChars="200"/>
        <w:rPr>
          <w:b/>
          <w:bCs/>
        </w:rPr>
      </w:pPr>
      <w:r>
        <w:rPr>
          <w:rFonts w:hint="eastAsia"/>
          <w:b/>
          <w:bCs/>
        </w:rPr>
        <w:t>2</w:t>
      </w:r>
      <w:r>
        <w:rPr>
          <w:rFonts w:hint="eastAsia"/>
          <w:b/>
          <w:bCs/>
          <w:lang w:val="en-US" w:eastAsia="zh-CN"/>
        </w:rPr>
        <w:t>.</w:t>
      </w:r>
      <w:r>
        <w:rPr>
          <w:rFonts w:hint="eastAsia"/>
          <w:b/>
          <w:bCs/>
        </w:rPr>
        <w:t>定义解释</w:t>
      </w:r>
    </w:p>
    <w:p w14:paraId="63E524FB">
      <w:pPr>
        <w:bidi w:val="0"/>
        <w:ind w:firstLine="420" w:firstLineChars="200"/>
      </w:pPr>
      <w:r>
        <w:rPr>
          <w:rFonts w:hint="eastAsia"/>
        </w:rPr>
        <w:t>2.1“采购代理机构”是指</w:t>
      </w:r>
      <w:r>
        <w:rPr>
          <w:rFonts w:hint="eastAsia"/>
          <w:lang w:eastAsia="zh-CN"/>
        </w:rPr>
        <w:t>浙江九越建设管理有限公司</w:t>
      </w:r>
      <w:r>
        <w:rPr>
          <w:rFonts w:hint="eastAsia"/>
        </w:rPr>
        <w:t>。</w:t>
      </w:r>
    </w:p>
    <w:p w14:paraId="7E999C69">
      <w:pPr>
        <w:bidi w:val="0"/>
        <w:ind w:firstLine="420" w:firstLineChars="200"/>
      </w:pPr>
      <w:r>
        <w:rPr>
          <w:rFonts w:hint="eastAsia"/>
        </w:rPr>
        <w:t>2.2“采购人”是指</w:t>
      </w:r>
      <w:r>
        <w:rPr>
          <w:rFonts w:hint="eastAsia"/>
          <w:lang w:eastAsia="zh-CN"/>
        </w:rPr>
        <w:t>常山县紫港街道办事处</w:t>
      </w:r>
      <w:r>
        <w:rPr>
          <w:rFonts w:hint="eastAsia"/>
        </w:rPr>
        <w:t>。</w:t>
      </w:r>
    </w:p>
    <w:p w14:paraId="2C0C6062">
      <w:pPr>
        <w:bidi w:val="0"/>
        <w:ind w:firstLine="420" w:firstLineChars="200"/>
      </w:pPr>
      <w:r>
        <w:rPr>
          <w:rFonts w:hint="eastAsia"/>
        </w:rPr>
        <w:t>2.3“采购项目”是指本磋商文件所要求的</w:t>
      </w:r>
      <w:r>
        <w:rPr>
          <w:rFonts w:hint="eastAsia"/>
          <w:lang w:eastAsia="zh-CN"/>
        </w:rPr>
        <w:t xml:space="preserve">常山县紫港街道外港零担菜市场临时疏导点运营管理项目 </w:t>
      </w:r>
      <w:r>
        <w:rPr>
          <w:rFonts w:hint="eastAsia"/>
        </w:rPr>
        <w:t>。</w:t>
      </w:r>
    </w:p>
    <w:p w14:paraId="694284F5">
      <w:pPr>
        <w:bidi w:val="0"/>
        <w:ind w:firstLine="420" w:firstLineChars="200"/>
      </w:pPr>
      <w:r>
        <w:rPr>
          <w:rFonts w:hint="eastAsia"/>
        </w:rPr>
        <w:t>2.4“磋商供应商”是指获得磋商文件并向采购代理机构提交响应文件的磋商供应商。</w:t>
      </w:r>
    </w:p>
    <w:p w14:paraId="74D784B4">
      <w:pPr>
        <w:bidi w:val="0"/>
        <w:ind w:firstLine="420" w:firstLineChars="200"/>
      </w:pPr>
      <w:r>
        <w:rPr>
          <w:rFonts w:hint="eastAsia"/>
        </w:rPr>
        <w:t>2.5“潜在磋商供应商”是指符合磋商文件规定的磋商供应商。</w:t>
      </w:r>
    </w:p>
    <w:p w14:paraId="7F1C658A">
      <w:pPr>
        <w:bidi w:val="0"/>
        <w:ind w:firstLine="420" w:firstLineChars="200"/>
      </w:pPr>
      <w:r>
        <w:rPr>
          <w:rFonts w:hint="eastAsia"/>
        </w:rPr>
        <w:t>2.6 “中标人”是指经磋商小组审查通过，并经公示无异议的磋商供应商。</w:t>
      </w:r>
    </w:p>
    <w:p w14:paraId="6EAD9FE3">
      <w:pPr>
        <w:bidi w:val="0"/>
        <w:ind w:firstLine="420" w:firstLineChars="200"/>
      </w:pPr>
      <w:r>
        <w:rPr>
          <w:rFonts w:hint="eastAsia"/>
        </w:rPr>
        <w:t>2.7“磋商供应商代表”是指磋商供应商法定代表人或磋商供应商法定代表人授权委托的人。</w:t>
      </w:r>
    </w:p>
    <w:p w14:paraId="043BFEE0">
      <w:pPr>
        <w:bidi w:val="0"/>
        <w:ind w:firstLine="420" w:firstLineChars="200"/>
      </w:pPr>
      <w:r>
        <w:rPr>
          <w:rFonts w:hint="eastAsia"/>
        </w:rPr>
        <w:t>2.8“产品（货物）”是指按采购文件要求配置的一切设备、机械、仪器仪表、备品备件、工具、手册</w:t>
      </w:r>
      <w:r>
        <w:rPr>
          <w:rFonts w:hint="eastAsia"/>
          <w:lang w:eastAsia="zh-CN"/>
        </w:rPr>
        <w:t>及其他有关</w:t>
      </w:r>
      <w:r>
        <w:rPr>
          <w:rFonts w:hint="eastAsia"/>
        </w:rPr>
        <w:t>技术资料和文字材料；</w:t>
      </w:r>
    </w:p>
    <w:p w14:paraId="776B1C00">
      <w:pPr>
        <w:bidi w:val="0"/>
        <w:ind w:firstLine="420" w:firstLineChars="200"/>
      </w:pPr>
      <w:r>
        <w:rPr>
          <w:rFonts w:hint="eastAsia"/>
        </w:rPr>
        <w:t>2.9“服务”在货物类采购项目中是指采购文件规定供方须承担的货物运输、操作使用、技术支持、培训、维修保养服务；在服务类采购项目是指</w:t>
      </w:r>
      <w:r>
        <w:rPr>
          <w:rFonts w:hint="eastAsia"/>
          <w:lang w:eastAsia="zh-CN"/>
        </w:rPr>
        <w:t>采购</w:t>
      </w:r>
      <w:r>
        <w:rPr>
          <w:rFonts w:hint="eastAsia"/>
        </w:rPr>
        <w:t>内容本身及相关的售后技术支持、培训服务；</w:t>
      </w:r>
    </w:p>
    <w:p w14:paraId="7271BD82">
      <w:pPr>
        <w:bidi w:val="0"/>
        <w:ind w:firstLine="420" w:firstLineChars="200"/>
      </w:pPr>
      <w:r>
        <w:rPr>
          <w:rFonts w:hint="eastAsia"/>
        </w:rPr>
        <w:t>2.10“书面形式”包括纸质文件、电子邮件、信函、传真等。</w:t>
      </w:r>
    </w:p>
    <w:p w14:paraId="50495B5C">
      <w:pPr>
        <w:bidi w:val="0"/>
        <w:ind w:firstLine="420" w:firstLineChars="200"/>
      </w:pPr>
      <w:r>
        <w:rPr>
          <w:rFonts w:hint="eastAsia"/>
        </w:rPr>
        <w:t>2.11实质性响应：是指</w:t>
      </w:r>
      <w:r>
        <w:rPr>
          <w:rFonts w:hint="eastAsia"/>
          <w:lang w:eastAsia="zh-CN"/>
        </w:rPr>
        <w:t>响应文件</w:t>
      </w:r>
      <w:r>
        <w:rPr>
          <w:rFonts w:hint="eastAsia"/>
        </w:rPr>
        <w:t>相关内容符合招标（采购）文件规定的实质性内容、条款和规定。</w:t>
      </w:r>
    </w:p>
    <w:p w14:paraId="182723FF">
      <w:pPr>
        <w:bidi w:val="0"/>
        <w:ind w:firstLine="422" w:firstLineChars="200"/>
        <w:rPr>
          <w:b/>
          <w:bCs/>
        </w:rPr>
      </w:pPr>
      <w:r>
        <w:rPr>
          <w:rFonts w:hint="eastAsia"/>
          <w:b/>
          <w:bCs/>
        </w:rPr>
        <w:t>2.12采购文件中所有标示“▲”的均为采购人提出的实质性条款，如未实质性响应的，将按无效投标处理。标有“★”符号为重要指标。</w:t>
      </w:r>
    </w:p>
    <w:p w14:paraId="5B231934">
      <w:pPr>
        <w:bidi w:val="0"/>
        <w:ind w:firstLine="420" w:firstLineChars="200"/>
      </w:pPr>
      <w:r>
        <w:rPr>
          <w:rFonts w:hint="eastAsia"/>
        </w:rPr>
        <w:t>2.13 “电子</w:t>
      </w:r>
      <w:r>
        <w:rPr>
          <w:rFonts w:hint="eastAsia"/>
          <w:lang w:eastAsia="zh-CN"/>
        </w:rPr>
        <w:t>响应文件</w:t>
      </w:r>
      <w:r>
        <w:rPr>
          <w:rFonts w:hint="eastAsia"/>
        </w:rPr>
        <w:t>”系指</w:t>
      </w:r>
      <w:r>
        <w:rPr>
          <w:rFonts w:hint="eastAsia"/>
          <w:lang w:eastAsia="zh-CN"/>
        </w:rPr>
        <w:t>供应商</w:t>
      </w:r>
      <w:r>
        <w:rPr>
          <w:rFonts w:hint="eastAsia"/>
        </w:rPr>
        <w:t>通过政采云电子投标工具编制的数据电文形式的加密标书。</w:t>
      </w:r>
    </w:p>
    <w:p w14:paraId="10A3939D">
      <w:pPr>
        <w:bidi w:val="0"/>
        <w:ind w:firstLine="422" w:firstLineChars="200"/>
        <w:rPr>
          <w:rFonts w:hint="eastAsia"/>
          <w:b/>
          <w:bCs/>
        </w:rPr>
      </w:pPr>
      <w:r>
        <w:rPr>
          <w:rFonts w:hint="eastAsia"/>
          <w:b/>
          <w:bCs/>
        </w:rPr>
        <w:t>3</w:t>
      </w:r>
      <w:r>
        <w:rPr>
          <w:rFonts w:hint="eastAsia"/>
          <w:b/>
          <w:bCs/>
          <w:lang w:val="en-US" w:eastAsia="zh-CN"/>
        </w:rPr>
        <w:t>.</w:t>
      </w:r>
      <w:r>
        <w:rPr>
          <w:rFonts w:hint="eastAsia"/>
          <w:b/>
          <w:bCs/>
        </w:rPr>
        <w:t>项目说明</w:t>
      </w:r>
    </w:p>
    <w:p w14:paraId="5703493E">
      <w:pPr>
        <w:bidi w:val="0"/>
        <w:ind w:firstLine="420" w:firstLineChars="200"/>
        <w:rPr>
          <w:rFonts w:hint="eastAsia"/>
        </w:rPr>
      </w:pPr>
      <w:r>
        <w:rPr>
          <w:rFonts w:hint="eastAsia"/>
        </w:rPr>
        <w:t>3.1《中华人民共和国政府采购法》、《中华人民共和国政府采购法实施条例》、《政府采购竞争性磋商采购方式管理暂行办法》、《财政部关于政府采购竞争性磋商采购方式管理暂行办法有关问题的补充通知》和其他有关法律、行政法规以及省市规范性文件规定。</w:t>
      </w:r>
    </w:p>
    <w:p w14:paraId="65DC5CFF">
      <w:pPr>
        <w:bidi w:val="0"/>
        <w:ind w:firstLine="422" w:firstLineChars="200"/>
        <w:rPr>
          <w:b/>
          <w:bCs/>
        </w:rPr>
      </w:pPr>
      <w:r>
        <w:rPr>
          <w:rFonts w:hint="eastAsia"/>
          <w:b/>
          <w:bCs/>
        </w:rPr>
        <w:t>4</w:t>
      </w:r>
      <w:r>
        <w:rPr>
          <w:rFonts w:hint="eastAsia"/>
          <w:b/>
          <w:bCs/>
          <w:lang w:val="en-US" w:eastAsia="zh-CN"/>
        </w:rPr>
        <w:t>.</w:t>
      </w:r>
      <w:r>
        <w:rPr>
          <w:rFonts w:hint="eastAsia"/>
          <w:b/>
          <w:bCs/>
        </w:rPr>
        <w:t>合格磋商供应商的条件</w:t>
      </w:r>
    </w:p>
    <w:p w14:paraId="0B0BB4E8">
      <w:pPr>
        <w:bidi w:val="0"/>
        <w:ind w:firstLine="420" w:firstLineChars="200"/>
      </w:pPr>
      <w:r>
        <w:rPr>
          <w:rFonts w:hint="eastAsia"/>
        </w:rPr>
        <w:t>4.1凡符合本磋商文件第一章竞争性磋商公告</w:t>
      </w:r>
      <w:r>
        <w:rPr>
          <w:rFonts w:hint="eastAsia"/>
          <w:lang w:val="en-US" w:eastAsia="zh-CN"/>
        </w:rPr>
        <w:t xml:space="preserve"> </w:t>
      </w:r>
      <w:r>
        <w:rPr>
          <w:rFonts w:hint="eastAsia"/>
        </w:rPr>
        <w:t>供应商资格要求的均为合格的磋商供应商。</w:t>
      </w:r>
    </w:p>
    <w:p w14:paraId="7F3478A1">
      <w:pPr>
        <w:bidi w:val="0"/>
        <w:ind w:firstLine="422" w:firstLineChars="200"/>
        <w:rPr>
          <w:b/>
          <w:bCs/>
        </w:rPr>
      </w:pPr>
      <w:r>
        <w:rPr>
          <w:rFonts w:hint="eastAsia"/>
          <w:b/>
          <w:bCs/>
        </w:rPr>
        <w:t>5</w:t>
      </w:r>
      <w:r>
        <w:rPr>
          <w:rFonts w:hint="eastAsia"/>
          <w:b/>
          <w:bCs/>
          <w:lang w:val="en-US" w:eastAsia="zh-CN"/>
        </w:rPr>
        <w:t>.</w:t>
      </w:r>
      <w:r>
        <w:rPr>
          <w:rFonts w:hint="eastAsia"/>
          <w:b/>
          <w:bCs/>
        </w:rPr>
        <w:t>投标费用</w:t>
      </w:r>
    </w:p>
    <w:p w14:paraId="220AF7CF">
      <w:pPr>
        <w:bidi w:val="0"/>
        <w:ind w:firstLine="420" w:firstLineChars="200"/>
      </w:pPr>
      <w:r>
        <w:rPr>
          <w:rFonts w:hint="eastAsia"/>
        </w:rPr>
        <w:t>5.1磋商供应商应承担参加本次投标有关的全部费用，无论结果如何，采购人和采购代理机构在任何情况下均无义务和责任承担这些费用。</w:t>
      </w:r>
    </w:p>
    <w:p w14:paraId="309BE7FE">
      <w:pPr>
        <w:bidi w:val="0"/>
        <w:ind w:firstLine="422" w:firstLineChars="200"/>
        <w:rPr>
          <w:b/>
          <w:bCs/>
        </w:rPr>
      </w:pPr>
      <w:r>
        <w:rPr>
          <w:rFonts w:hint="eastAsia"/>
          <w:b/>
          <w:bCs/>
        </w:rPr>
        <w:t>6</w:t>
      </w:r>
      <w:r>
        <w:rPr>
          <w:rFonts w:hint="eastAsia"/>
          <w:b/>
          <w:bCs/>
          <w:lang w:val="en-US" w:eastAsia="zh-CN"/>
        </w:rPr>
        <w:t>.</w:t>
      </w:r>
      <w:r>
        <w:rPr>
          <w:rFonts w:hint="eastAsia"/>
          <w:b/>
          <w:bCs/>
        </w:rPr>
        <w:t>特别说明</w:t>
      </w:r>
    </w:p>
    <w:p w14:paraId="4EE0A391">
      <w:pPr>
        <w:bidi w:val="0"/>
        <w:ind w:firstLine="420" w:firstLineChars="200"/>
      </w:pPr>
      <w:r>
        <w:rPr>
          <w:rFonts w:hint="eastAsia"/>
        </w:rPr>
        <w:t>6.1</w:t>
      </w:r>
      <w:r>
        <w:rPr>
          <w:rFonts w:hint="eastAsia"/>
          <w:lang w:eastAsia="zh-CN"/>
        </w:rPr>
        <w:t>供应商</w:t>
      </w:r>
      <w:r>
        <w:rPr>
          <w:rFonts w:hint="eastAsia"/>
        </w:rPr>
        <w:t>投标所使用的资格、信誉、荣誉、业绩与企业认证必须为本企业所拥有。</w:t>
      </w:r>
      <w:r>
        <w:rPr>
          <w:rFonts w:hint="eastAsia"/>
          <w:lang w:eastAsia="zh-CN"/>
        </w:rPr>
        <w:t>供应商</w:t>
      </w:r>
      <w:r>
        <w:rPr>
          <w:rFonts w:hint="eastAsia"/>
        </w:rPr>
        <w:t>投标所使用的采购项目实施人员可以为其控股公司的工作人员。</w:t>
      </w:r>
    </w:p>
    <w:p w14:paraId="2E475000">
      <w:pPr>
        <w:bidi w:val="0"/>
        <w:ind w:firstLine="420" w:firstLineChars="200"/>
      </w:pPr>
      <w:r>
        <w:rPr>
          <w:rFonts w:hint="eastAsia"/>
        </w:rPr>
        <w:t>6.2</w:t>
      </w:r>
      <w:r>
        <w:rPr>
          <w:rFonts w:hint="eastAsia"/>
          <w:lang w:eastAsia="zh-CN"/>
        </w:rPr>
        <w:t>供应商</w:t>
      </w:r>
      <w:r>
        <w:rPr>
          <w:rFonts w:hint="eastAsia"/>
        </w:rPr>
        <w:t>在投标活动中提供任何虚假材料或从事其他违法活动的,其投标无效，并报监管部门查处；成交后发现的,中标人须依照《中华人民共和国消费者权益保护法》之规定赔偿采购单位。且民事赔偿并不免除违法</w:t>
      </w:r>
      <w:r>
        <w:rPr>
          <w:rFonts w:hint="eastAsia"/>
          <w:lang w:eastAsia="zh-CN"/>
        </w:rPr>
        <w:t>供应商</w:t>
      </w:r>
      <w:r>
        <w:rPr>
          <w:rFonts w:hint="eastAsia"/>
        </w:rPr>
        <w:t>的行政与刑事责任。</w:t>
      </w:r>
    </w:p>
    <w:p w14:paraId="6C85645C">
      <w:pPr>
        <w:bidi w:val="0"/>
        <w:ind w:firstLine="420" w:firstLineChars="200"/>
      </w:pPr>
      <w:r>
        <w:rPr>
          <w:rFonts w:hint="eastAsia"/>
        </w:rPr>
        <w:t>6.3</w:t>
      </w:r>
      <w:r>
        <w:rPr>
          <w:rFonts w:hint="eastAsia"/>
          <w:lang w:eastAsia="zh-CN"/>
        </w:rPr>
        <w:t>供应商</w:t>
      </w:r>
      <w:r>
        <w:rPr>
          <w:rFonts w:hint="eastAsia"/>
        </w:rPr>
        <w:t>应仔细阅读招标文件的所有内容，按照招标文件的要求提交</w:t>
      </w:r>
      <w:r>
        <w:rPr>
          <w:rFonts w:hint="eastAsia"/>
          <w:lang w:eastAsia="zh-CN"/>
        </w:rPr>
        <w:t>响应文件</w:t>
      </w:r>
      <w:r>
        <w:rPr>
          <w:rFonts w:hint="eastAsia"/>
        </w:rPr>
        <w:t>。</w:t>
      </w:r>
      <w:r>
        <w:rPr>
          <w:rFonts w:hint="eastAsia"/>
          <w:lang w:eastAsia="zh-CN"/>
        </w:rPr>
        <w:t>响应文件</w:t>
      </w:r>
      <w:r>
        <w:rPr>
          <w:rFonts w:hint="eastAsia"/>
        </w:rPr>
        <w:t>应对招标文件的要求作出实质性响应，并对所提供的全部资料的真实性承担法律责任。</w:t>
      </w:r>
    </w:p>
    <w:p w14:paraId="26445B24">
      <w:pPr>
        <w:bidi w:val="0"/>
        <w:ind w:firstLine="420" w:firstLineChars="200"/>
      </w:pPr>
      <w:r>
        <w:rPr>
          <w:rFonts w:hint="eastAsia"/>
        </w:rPr>
        <w:t>6.4本项目提供相同品牌产品且通过资格审查、符合性审查的不同</w:t>
      </w:r>
      <w:r>
        <w:rPr>
          <w:rFonts w:hint="eastAsia"/>
          <w:lang w:eastAsia="zh-CN"/>
        </w:rPr>
        <w:t>供应商</w:t>
      </w:r>
      <w:r>
        <w:rPr>
          <w:rFonts w:hint="eastAsia"/>
        </w:rPr>
        <w:t>参加同一合同项下投标的，按一家</w:t>
      </w:r>
      <w:r>
        <w:rPr>
          <w:rFonts w:hint="eastAsia"/>
          <w:lang w:eastAsia="zh-CN"/>
        </w:rPr>
        <w:t>供应商</w:t>
      </w:r>
      <w:r>
        <w:rPr>
          <w:rFonts w:hint="eastAsia"/>
        </w:rPr>
        <w:t>计算，评审后得分最高的同品牌</w:t>
      </w:r>
      <w:r>
        <w:rPr>
          <w:rFonts w:hint="eastAsia"/>
          <w:lang w:eastAsia="zh-CN"/>
        </w:rPr>
        <w:t>供应商</w:t>
      </w:r>
      <w:r>
        <w:rPr>
          <w:rFonts w:hint="eastAsia"/>
        </w:rPr>
        <w:t>获得中标人推荐资格；评审得分相同的，由采购单位现场抽签确定中标人推荐资格，其他同品牌</w:t>
      </w:r>
      <w:r>
        <w:rPr>
          <w:rFonts w:hint="eastAsia"/>
          <w:lang w:eastAsia="zh-CN"/>
        </w:rPr>
        <w:t>供应商</w:t>
      </w:r>
      <w:r>
        <w:rPr>
          <w:rFonts w:hint="eastAsia"/>
        </w:rPr>
        <w:t>不作为成交候选人。</w:t>
      </w:r>
    </w:p>
    <w:p w14:paraId="5125D54F">
      <w:pPr>
        <w:bidi w:val="0"/>
        <w:ind w:firstLine="420" w:firstLineChars="200"/>
        <w:rPr>
          <w:rFonts w:hint="eastAsia"/>
          <w:lang w:eastAsia="zh-CN"/>
        </w:rPr>
      </w:pPr>
      <w:r>
        <w:rPr>
          <w:rFonts w:hint="eastAsia"/>
        </w:rPr>
        <w:t>6.5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lang w:eastAsia="zh-CN"/>
        </w:rPr>
        <w:t>。</w:t>
      </w:r>
    </w:p>
    <w:p w14:paraId="2B433726">
      <w:pPr>
        <w:pStyle w:val="29"/>
        <w:spacing w:after="0" w:line="440" w:lineRule="exact"/>
        <w:ind w:firstLineChars="200"/>
        <w:rPr>
          <w:rFonts w:ascii="宋体" w:hAnsi="宋体" w:cs="宋体"/>
          <w:color w:val="auto"/>
          <w:highlight w:val="none"/>
        </w:rPr>
      </w:pPr>
    </w:p>
    <w:p w14:paraId="2B5986E1">
      <w:pPr>
        <w:pStyle w:val="6"/>
        <w:keepLines/>
        <w:widowControl w:val="0"/>
        <w:numPr>
          <w:ilvl w:val="2"/>
          <w:numId w:val="0"/>
        </w:numPr>
        <w:spacing w:before="156" w:after="156"/>
        <w:ind w:firstLine="643" w:firstLineChars="200"/>
        <w:jc w:val="center"/>
        <w:textAlignment w:val="baseline"/>
        <w:rPr>
          <w:rFonts w:ascii="宋体" w:hAnsi="宋体" w:cs="宋体"/>
          <w:b/>
          <w:bCs/>
          <w:color w:val="auto"/>
          <w:kern w:val="2"/>
          <w:sz w:val="32"/>
          <w:szCs w:val="32"/>
          <w:highlight w:val="none"/>
        </w:rPr>
      </w:pPr>
      <w:bookmarkStart w:id="36" w:name="_Toc20292"/>
      <w:r>
        <w:rPr>
          <w:rFonts w:hint="eastAsia" w:ascii="宋体" w:hAnsi="宋体" w:cs="宋体"/>
          <w:b/>
          <w:bCs/>
          <w:color w:val="auto"/>
          <w:kern w:val="2"/>
          <w:sz w:val="32"/>
          <w:szCs w:val="32"/>
          <w:highlight w:val="none"/>
        </w:rPr>
        <w:t>二、磋商文件</w:t>
      </w:r>
      <w:bookmarkEnd w:id="36"/>
    </w:p>
    <w:p w14:paraId="7566E003">
      <w:pPr>
        <w:bidi w:val="0"/>
        <w:ind w:firstLine="422" w:firstLineChars="200"/>
        <w:rPr>
          <w:b/>
          <w:bCs/>
        </w:rPr>
      </w:pPr>
      <w:bookmarkStart w:id="37" w:name="_Toc15455"/>
      <w:r>
        <w:rPr>
          <w:rFonts w:hint="eastAsia"/>
          <w:b/>
          <w:bCs/>
        </w:rPr>
        <w:t>1</w:t>
      </w:r>
      <w:r>
        <w:rPr>
          <w:rFonts w:hint="eastAsia"/>
          <w:b/>
          <w:bCs/>
          <w:lang w:val="en-US" w:eastAsia="zh-CN"/>
        </w:rPr>
        <w:t>.</w:t>
      </w:r>
      <w:r>
        <w:rPr>
          <w:rFonts w:hint="eastAsia"/>
          <w:b/>
          <w:bCs/>
        </w:rPr>
        <w:t>磋商文件的组成</w:t>
      </w:r>
      <w:bookmarkEnd w:id="37"/>
    </w:p>
    <w:p w14:paraId="43A28030">
      <w:pPr>
        <w:bidi w:val="0"/>
        <w:ind w:firstLine="420" w:firstLineChars="200"/>
      </w:pPr>
      <w:r>
        <w:rPr>
          <w:rFonts w:hint="eastAsia"/>
        </w:rPr>
        <w:t>1.1磋商文件共分为6部分，其内容如下：</w:t>
      </w:r>
    </w:p>
    <w:p w14:paraId="0FDC3838">
      <w:pPr>
        <w:bidi w:val="0"/>
        <w:ind w:firstLine="420" w:firstLineChars="200"/>
      </w:pPr>
      <w:r>
        <w:rPr>
          <w:rFonts w:hint="eastAsia"/>
        </w:rPr>
        <w:t>第一章 竞争性磋商公告</w:t>
      </w:r>
    </w:p>
    <w:p w14:paraId="0C081649">
      <w:pPr>
        <w:bidi w:val="0"/>
        <w:ind w:firstLine="420" w:firstLineChars="200"/>
      </w:pPr>
      <w:r>
        <w:rPr>
          <w:rFonts w:hint="eastAsia"/>
        </w:rPr>
        <w:t>第二章 磋商供应商须知</w:t>
      </w:r>
    </w:p>
    <w:p w14:paraId="3C33FEF4">
      <w:pPr>
        <w:bidi w:val="0"/>
        <w:ind w:firstLine="420" w:firstLineChars="200"/>
      </w:pPr>
      <w:r>
        <w:rPr>
          <w:rFonts w:hint="eastAsia"/>
        </w:rPr>
        <w:t>第三章 采购内容及要求</w:t>
      </w:r>
    </w:p>
    <w:p w14:paraId="60AB01FC">
      <w:pPr>
        <w:bidi w:val="0"/>
        <w:ind w:firstLine="420" w:firstLineChars="200"/>
      </w:pPr>
      <w:r>
        <w:rPr>
          <w:rFonts w:hint="eastAsia"/>
        </w:rPr>
        <w:t>第四章 合同条款</w:t>
      </w:r>
    </w:p>
    <w:p w14:paraId="30CCBD9A">
      <w:pPr>
        <w:bidi w:val="0"/>
        <w:ind w:firstLine="420" w:firstLineChars="200"/>
      </w:pPr>
      <w:r>
        <w:rPr>
          <w:rFonts w:hint="eastAsia"/>
        </w:rPr>
        <w:t>第五章 评标原则及办法</w:t>
      </w:r>
    </w:p>
    <w:p w14:paraId="5C98A7D2">
      <w:pPr>
        <w:bidi w:val="0"/>
        <w:ind w:firstLine="420" w:firstLineChars="200"/>
      </w:pPr>
      <w:r>
        <w:rPr>
          <w:rFonts w:hint="eastAsia"/>
        </w:rPr>
        <w:t>第六章  响应文件格式</w:t>
      </w:r>
    </w:p>
    <w:p w14:paraId="4C0ECA34">
      <w:pPr>
        <w:bidi w:val="0"/>
        <w:ind w:firstLine="420" w:firstLineChars="200"/>
      </w:pPr>
      <w:r>
        <w:rPr>
          <w:rFonts w:hint="eastAsia"/>
        </w:rPr>
        <w:t>1.2除上条1.1内容外，采购人、采购代理机构在规定时间前，以书面形式发出的对磋商文件的澄清或修改内容，均为磋商文件的组成部分。</w:t>
      </w:r>
    </w:p>
    <w:p w14:paraId="4A7366DA">
      <w:pPr>
        <w:bidi w:val="0"/>
        <w:ind w:firstLine="420" w:firstLineChars="200"/>
      </w:pPr>
      <w:r>
        <w:rPr>
          <w:rFonts w:hint="eastAsia"/>
        </w:rPr>
        <w:t>1.3磋商供应商获取磋商文件后，应仔细检查磋商文件的所有内容，如有残缺等问题，应在获得磋商文件3日内向采购人提出，否则，由此引起的损失由磋商供应商自己承担。磋商供应商同时应认真审阅磋商文件中所有的事项、格式、条款和规范要求等，若磋商供应商的响应文件没有按磋商文件要求提交全部资料，或响应文件没有对磋商文件做出实质性响应，并根据有关条款规定，其风险由磋商供应商自行承担。</w:t>
      </w:r>
    </w:p>
    <w:p w14:paraId="09E3B363">
      <w:pPr>
        <w:bidi w:val="0"/>
        <w:ind w:firstLine="420" w:firstLineChars="200"/>
      </w:pPr>
      <w:r>
        <w:rPr>
          <w:rFonts w:hint="eastAsia"/>
        </w:rPr>
        <w:t>1.4招标采购人允许潜在磋商供应商在磋商文件发售截止时间后至投标截止时间前允许潜在磋商供应商前来认购磋商文件，但该磋商供应商如在法律、法规规定的时间内逾期对磋商文件提出异议的，招标采购人可不予受理、答复。</w:t>
      </w:r>
    </w:p>
    <w:p w14:paraId="31F77414">
      <w:pPr>
        <w:bidi w:val="0"/>
        <w:ind w:firstLine="422" w:firstLineChars="200"/>
        <w:rPr>
          <w:b/>
          <w:bCs/>
        </w:rPr>
      </w:pPr>
      <w:r>
        <w:rPr>
          <w:rFonts w:hint="eastAsia"/>
          <w:b/>
          <w:bCs/>
        </w:rPr>
        <w:t>2</w:t>
      </w:r>
      <w:r>
        <w:rPr>
          <w:rFonts w:hint="eastAsia"/>
          <w:b/>
          <w:bCs/>
          <w:lang w:val="en-US" w:eastAsia="zh-CN"/>
        </w:rPr>
        <w:t>.</w:t>
      </w:r>
      <w:r>
        <w:rPr>
          <w:rFonts w:hint="eastAsia"/>
          <w:b/>
          <w:bCs/>
        </w:rPr>
        <w:t>磋商文件的澄清与修改</w:t>
      </w:r>
    </w:p>
    <w:p w14:paraId="36CA7EF1">
      <w:pPr>
        <w:bidi w:val="0"/>
        <w:ind w:firstLine="420" w:firstLineChars="200"/>
      </w:pPr>
      <w:r>
        <w:rPr>
          <w:rFonts w:hint="eastAsia"/>
        </w:rPr>
        <w:t>2.1磋商供应商应认真阅读本磋商文件，发现其中有误或有不合理要求的，磋商供应商必须在前附表规定的时间内以书面形式要求招标采购人澄清。采购代理机构对已发出的磋商文件进行必要澄清、答复、修改或补充的，应当在提交首次响应文件截止时间至少5日前，在财政部门指定的政府采购信息发布媒体上发布更正公告，并以书面形式通知所有获取磋商文件的供应商。</w:t>
      </w:r>
    </w:p>
    <w:p w14:paraId="121138E3">
      <w:pPr>
        <w:bidi w:val="0"/>
        <w:ind w:firstLine="420" w:firstLineChars="200"/>
      </w:pPr>
      <w:r>
        <w:rPr>
          <w:rFonts w:hint="eastAsia"/>
        </w:rPr>
        <w:t>2.2采购代理机构必须以书面形式答复磋商供应商要求澄清的问题，并将不包含问题来源的答复书面通知所有购买磋商文件的磋商供应商；除书面答复以外的其他澄清方式及澄清内容均无效。</w:t>
      </w:r>
    </w:p>
    <w:p w14:paraId="46A04585">
      <w:pPr>
        <w:bidi w:val="0"/>
        <w:ind w:firstLine="420" w:firstLineChars="200"/>
      </w:pPr>
      <w:r>
        <w:rPr>
          <w:rFonts w:hint="eastAsia"/>
        </w:rPr>
        <w:t>2.3磋商文件澄清、答复、修改、补充的内容为磋商文件的组成部分。当磋商文件与磋商文件的答复、澄清、修改、补充通知就同一内容的表述不一致时，以最后发出的书面文件为准。</w:t>
      </w:r>
    </w:p>
    <w:p w14:paraId="1C94A30C">
      <w:pPr>
        <w:bidi w:val="0"/>
        <w:ind w:firstLine="420" w:firstLineChars="200"/>
        <w:rPr>
          <w:rFonts w:hAnsi="宋体" w:cs="宋体"/>
          <w:color w:val="auto"/>
          <w:highlight w:val="none"/>
        </w:rPr>
      </w:pPr>
      <w:r>
        <w:rPr>
          <w:rFonts w:hint="eastAsia"/>
        </w:rPr>
        <w:t>2.4磋商文件的澄清、答复、修改或补充都应该通过本代理机构以法定形式发布，采购人非通过本机构，不得擅自澄清、答复、修改或补充磋商文件。</w:t>
      </w:r>
    </w:p>
    <w:p w14:paraId="5F474C7C">
      <w:pPr>
        <w:pStyle w:val="6"/>
        <w:keepLines/>
        <w:widowControl w:val="0"/>
        <w:numPr>
          <w:ilvl w:val="2"/>
          <w:numId w:val="0"/>
        </w:numPr>
        <w:spacing w:before="156" w:after="156" w:line="440" w:lineRule="exact"/>
        <w:ind w:firstLine="643" w:firstLineChars="200"/>
        <w:jc w:val="center"/>
        <w:textAlignment w:val="baseline"/>
        <w:rPr>
          <w:rFonts w:ascii="宋体" w:hAnsi="宋体" w:cs="宋体"/>
          <w:b/>
          <w:bCs/>
          <w:color w:val="auto"/>
          <w:kern w:val="2"/>
          <w:sz w:val="32"/>
          <w:szCs w:val="32"/>
          <w:highlight w:val="none"/>
        </w:rPr>
      </w:pPr>
      <w:bookmarkStart w:id="38" w:name="_Toc16910"/>
      <w:r>
        <w:rPr>
          <w:rFonts w:hint="eastAsia" w:ascii="宋体" w:hAnsi="宋体" w:cs="宋体"/>
          <w:b/>
          <w:bCs/>
          <w:color w:val="auto"/>
          <w:kern w:val="2"/>
          <w:sz w:val="32"/>
          <w:szCs w:val="32"/>
          <w:highlight w:val="none"/>
        </w:rPr>
        <w:t>三、响应文件</w:t>
      </w:r>
      <w:bookmarkEnd w:id="38"/>
    </w:p>
    <w:p w14:paraId="1EF465C2">
      <w:pPr>
        <w:bidi w:val="0"/>
        <w:ind w:firstLine="422" w:firstLineChars="200"/>
        <w:rPr>
          <w:b/>
          <w:bCs/>
        </w:rPr>
      </w:pPr>
      <w:r>
        <w:rPr>
          <w:rFonts w:hint="eastAsia"/>
          <w:b/>
          <w:bCs/>
        </w:rPr>
        <w:t>1</w:t>
      </w:r>
      <w:r>
        <w:rPr>
          <w:rFonts w:hint="eastAsia"/>
          <w:b/>
          <w:bCs/>
          <w:lang w:val="en-US" w:eastAsia="zh-CN"/>
        </w:rPr>
        <w:t>.</w:t>
      </w:r>
      <w:r>
        <w:rPr>
          <w:rFonts w:hint="eastAsia"/>
          <w:b/>
          <w:bCs/>
        </w:rPr>
        <w:t>响应文件的语言及度量衡单位</w:t>
      </w:r>
    </w:p>
    <w:p w14:paraId="1E513A7A">
      <w:pPr>
        <w:bidi w:val="0"/>
        <w:ind w:firstLine="420" w:firstLineChars="200"/>
      </w:pPr>
      <w:r>
        <w:rPr>
          <w:rFonts w:hint="eastAsia"/>
        </w:rPr>
        <w:t>1.1除采购货物有关专用名称外，响应文件和与投标有关的所有文件说明均应使用中文。</w:t>
      </w:r>
    </w:p>
    <w:p w14:paraId="7E252DE9">
      <w:pPr>
        <w:bidi w:val="0"/>
        <w:ind w:firstLine="420" w:firstLineChars="200"/>
      </w:pPr>
      <w:r>
        <w:rPr>
          <w:rFonts w:hint="eastAsia"/>
        </w:rPr>
        <w:t>1.2除采购项目规范另有规定外，响应文件使用的度量衡单位，均采用中华人民共和国法定计量单位。</w:t>
      </w:r>
    </w:p>
    <w:p w14:paraId="4DD2FDB9">
      <w:pPr>
        <w:bidi w:val="0"/>
        <w:ind w:firstLine="422" w:firstLineChars="200"/>
        <w:rPr>
          <w:b/>
          <w:bCs/>
        </w:rPr>
      </w:pPr>
      <w:r>
        <w:rPr>
          <w:rFonts w:hint="eastAsia"/>
          <w:b/>
          <w:bCs/>
        </w:rPr>
        <w:t>2</w:t>
      </w:r>
      <w:r>
        <w:rPr>
          <w:rFonts w:hint="eastAsia"/>
          <w:b/>
          <w:bCs/>
          <w:lang w:val="en-US" w:eastAsia="zh-CN"/>
        </w:rPr>
        <w:t>.</w:t>
      </w:r>
      <w:r>
        <w:rPr>
          <w:rFonts w:hint="eastAsia"/>
          <w:b/>
          <w:bCs/>
        </w:rPr>
        <w:t>响应文件的形式和效力</w:t>
      </w:r>
    </w:p>
    <w:p w14:paraId="55C7B7A0">
      <w:pPr>
        <w:bidi w:val="0"/>
        <w:ind w:firstLine="420" w:firstLineChars="200"/>
      </w:pPr>
      <w:r>
        <w:rPr>
          <w:rFonts w:hint="eastAsia"/>
        </w:rPr>
        <w:t>2.1响应文件为电子响应文件。电子响应文件按政采云平台“供应商-政府采购项目电子交易操作指南”及本招标文件要求制作、加密并递交。</w:t>
      </w:r>
    </w:p>
    <w:p w14:paraId="06C638C2">
      <w:pPr>
        <w:bidi w:val="0"/>
        <w:ind w:firstLine="422" w:firstLineChars="200"/>
        <w:rPr>
          <w:rFonts w:hint="eastAsia"/>
          <w:b/>
          <w:bCs/>
          <w:lang w:eastAsia="zh-CN"/>
        </w:rPr>
      </w:pPr>
      <w:r>
        <w:rPr>
          <w:rFonts w:hint="eastAsia"/>
          <w:b/>
          <w:bCs/>
        </w:rPr>
        <w:t>3</w:t>
      </w:r>
      <w:r>
        <w:rPr>
          <w:rFonts w:hint="eastAsia"/>
          <w:b/>
          <w:bCs/>
          <w:lang w:val="en-US" w:eastAsia="zh-CN"/>
        </w:rPr>
        <w:t>.</w:t>
      </w:r>
      <w:r>
        <w:rPr>
          <w:rFonts w:hint="eastAsia"/>
          <w:b/>
          <w:bCs/>
        </w:rPr>
        <w:t>响应文件的组成</w:t>
      </w:r>
    </w:p>
    <w:p w14:paraId="0573D78D">
      <w:pPr>
        <w:bidi w:val="0"/>
        <w:ind w:firstLine="420" w:firstLineChars="200"/>
      </w:pPr>
      <w:r>
        <w:rPr>
          <w:rFonts w:hint="eastAsia"/>
        </w:rPr>
        <w:t>2.1响应文件由</w:t>
      </w:r>
      <w:r>
        <w:rPr>
          <w:rFonts w:hint="eastAsia"/>
          <w:lang w:eastAsia="zh-CN"/>
        </w:rPr>
        <w:t>资格审查文件</w:t>
      </w:r>
      <w:r>
        <w:rPr>
          <w:rFonts w:hint="eastAsia"/>
        </w:rPr>
        <w:t>、商务技术文件、报价文件三部分组成。电子响应文件中所</w:t>
      </w:r>
      <w:r>
        <w:rPr>
          <w:rFonts w:hint="eastAsia"/>
          <w:lang w:eastAsia="zh-CN"/>
        </w:rPr>
        <w:t>需</w:t>
      </w:r>
      <w:r>
        <w:rPr>
          <w:rFonts w:hint="eastAsia"/>
        </w:rPr>
        <w:t>加盖公章部分均采用CA签章。</w:t>
      </w:r>
    </w:p>
    <w:p w14:paraId="157B8C2D">
      <w:pPr>
        <w:bidi w:val="0"/>
        <w:ind w:firstLine="422" w:firstLineChars="200"/>
        <w:rPr>
          <w:rFonts w:hint="eastAsia"/>
          <w:b/>
          <w:bCs/>
          <w:lang w:eastAsia="zh-CN"/>
        </w:rPr>
      </w:pPr>
      <w:r>
        <w:rPr>
          <w:rFonts w:hint="eastAsia"/>
          <w:b/>
          <w:bCs/>
        </w:rPr>
        <w:t>▲</w:t>
      </w:r>
      <w:r>
        <w:rPr>
          <w:rFonts w:hint="eastAsia"/>
          <w:b/>
          <w:bCs/>
          <w:lang w:eastAsia="zh-CN"/>
        </w:rPr>
        <w:t>资格审查文件</w:t>
      </w:r>
    </w:p>
    <w:p w14:paraId="43C24347">
      <w:pPr>
        <w:bidi w:val="0"/>
        <w:ind w:firstLine="420" w:firstLineChars="200"/>
        <w:rPr>
          <w:rFonts w:hint="eastAsia"/>
          <w:lang w:val="zh-CN"/>
        </w:rPr>
      </w:pPr>
      <w:r>
        <w:rPr>
          <w:rFonts w:hint="eastAsia"/>
          <w:lang w:val="zh-CN"/>
        </w:rPr>
        <w:t>1）有效期内营业执照原件扫描件；</w:t>
      </w:r>
    </w:p>
    <w:p w14:paraId="3167809D">
      <w:pPr>
        <w:bidi w:val="0"/>
        <w:ind w:firstLine="420" w:firstLineChars="200"/>
        <w:rPr>
          <w:rFonts w:hint="eastAsia"/>
          <w:lang w:val="zh-CN"/>
        </w:rPr>
      </w:pPr>
      <w:r>
        <w:rPr>
          <w:rFonts w:hint="eastAsia"/>
          <w:lang w:val="zh-CN"/>
        </w:rPr>
        <w:t>2）法定代表人身份证明和本人身份证扫描件（法定代表人参与投标的提供）或法定代表人授权委托书和委托代理人身份证扫描件授权委托人参与投标的提供）（格式详见附件，电子标书内法定代表人授权委托书需签字的可线下签字后再将其放入线上投标文件内）；</w:t>
      </w:r>
    </w:p>
    <w:p w14:paraId="1051AA70">
      <w:pPr>
        <w:bidi w:val="0"/>
        <w:ind w:firstLine="420" w:firstLineChars="200"/>
        <w:rPr>
          <w:rFonts w:hint="eastAsia"/>
          <w:lang w:val="zh-CN"/>
        </w:rPr>
      </w:pPr>
      <w:r>
        <w:rPr>
          <w:rFonts w:hint="eastAsia"/>
          <w:lang w:val="zh-CN"/>
        </w:rPr>
        <w:t>3）符合参加政府采购活动应当具备的资格条件的承诺函【格式详见附件】；</w:t>
      </w:r>
    </w:p>
    <w:p w14:paraId="1700FA50">
      <w:pPr>
        <w:bidi w:val="0"/>
        <w:ind w:firstLine="420" w:firstLineChars="200"/>
        <w:rPr>
          <w:rFonts w:hint="eastAsia"/>
          <w:lang w:val="zh-CN"/>
        </w:rPr>
      </w:pPr>
      <w:r>
        <w:rPr>
          <w:rFonts w:hint="eastAsia"/>
          <w:lang w:val="zh-CN"/>
        </w:rPr>
        <w:t>4）本项目是专门面向中小企业采购的项目，供应商须在资格证明文件中提供《中小企业声明函》或《残疾人福利性单位声明函》或省级以上监狱管理局、戒毒管理局（含新疆生产建设兵团）出具的属于监狱企业的证明文件；</w:t>
      </w:r>
    </w:p>
    <w:p w14:paraId="6A04E323">
      <w:pPr>
        <w:bidi w:val="0"/>
        <w:ind w:firstLine="420" w:firstLineChars="200"/>
        <w:rPr>
          <w:rFonts w:hint="eastAsia"/>
          <w:lang w:val="zh-CN"/>
        </w:rPr>
      </w:pPr>
      <w:r>
        <w:rPr>
          <w:rFonts w:hint="eastAsia"/>
          <w:lang w:val="en-US" w:eastAsia="zh-CN"/>
        </w:rPr>
        <w:t>5</w:t>
      </w:r>
      <w:r>
        <w:rPr>
          <w:rFonts w:hint="eastAsia"/>
          <w:lang w:val="zh-CN"/>
        </w:rPr>
        <w:t>）供应商认为有必要提供的其他文件和说明；</w:t>
      </w:r>
    </w:p>
    <w:p w14:paraId="48C2B6F1">
      <w:pPr>
        <w:bidi w:val="0"/>
        <w:ind w:firstLine="420" w:firstLineChars="200"/>
      </w:pPr>
      <w:r>
        <w:rPr>
          <w:rFonts w:hint="eastAsia"/>
        </w:rPr>
        <w:t>商务技术文件（请附“供应商自评表”【格式见附件】，以便评审）：</w:t>
      </w:r>
    </w:p>
    <w:p w14:paraId="729F37F5">
      <w:pPr>
        <w:bidi w:val="0"/>
        <w:ind w:firstLine="422" w:firstLineChars="200"/>
        <w:rPr>
          <w:rFonts w:hint="eastAsia" w:eastAsia="宋体"/>
          <w:b/>
          <w:bCs/>
        </w:rPr>
      </w:pPr>
      <w:r>
        <w:rPr>
          <w:rFonts w:hint="eastAsia" w:eastAsia="宋体"/>
          <w:b/>
          <w:bCs/>
        </w:rPr>
        <w:t>商务技术文件</w:t>
      </w:r>
    </w:p>
    <w:p w14:paraId="660FCF97">
      <w:pPr>
        <w:tabs>
          <w:tab w:val="left" w:pos="720"/>
          <w:tab w:val="left" w:pos="5355"/>
        </w:tabs>
        <w:spacing w:line="360" w:lineRule="auto"/>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1）投标声明书【格式见附件】；</w:t>
      </w:r>
    </w:p>
    <w:p w14:paraId="72743880">
      <w:pPr>
        <w:tabs>
          <w:tab w:val="left" w:pos="720"/>
          <w:tab w:val="left" w:pos="5355"/>
        </w:tabs>
        <w:spacing w:line="360" w:lineRule="auto"/>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基本情况表【格式见附件】；</w:t>
      </w:r>
    </w:p>
    <w:p w14:paraId="66CE6B1A">
      <w:pPr>
        <w:tabs>
          <w:tab w:val="left" w:pos="720"/>
          <w:tab w:val="left" w:pos="5355"/>
        </w:tabs>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）偏离表【格式见附件】</w:t>
      </w:r>
      <w:r>
        <w:rPr>
          <w:rFonts w:hint="eastAsia" w:ascii="宋体" w:hAnsi="宋体" w:eastAsia="宋体" w:cs="宋体"/>
          <w:color w:val="auto"/>
          <w:sz w:val="21"/>
          <w:szCs w:val="21"/>
          <w:highlight w:val="none"/>
        </w:rPr>
        <w:t>；</w:t>
      </w:r>
      <w:r>
        <w:rPr>
          <w:rFonts w:hint="eastAsia" w:ascii="宋体" w:hAnsi="宋体" w:eastAsia="宋体" w:cs="宋体"/>
          <w:b/>
          <w:color w:val="000000"/>
          <w:kern w:val="2"/>
          <w:sz w:val="21"/>
          <w:szCs w:val="21"/>
          <w:u w:val="none"/>
          <w:shd w:val="clear" w:color="auto" w:fill="92CDDC"/>
          <w:lang w:val="en-US" w:eastAsia="zh-CN" w:bidi="ar-SA"/>
        </w:rPr>
        <w:t>偏离表【格式见附件】；（偏离表必须编制在投标文件内，如未提交此表按无效标处理）</w:t>
      </w:r>
    </w:p>
    <w:p w14:paraId="3E07F8B9">
      <w:pPr>
        <w:tabs>
          <w:tab w:val="left" w:pos="720"/>
          <w:tab w:val="left" w:pos="5355"/>
        </w:tabs>
        <w:spacing w:line="360" w:lineRule="auto"/>
        <w:ind w:firstLine="420" w:firstLineChars="200"/>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eastAsia="zh-CN"/>
        </w:rPr>
        <w:t>根据商务技术评审内容进行编制；</w:t>
      </w:r>
    </w:p>
    <w:p w14:paraId="6ABF0E2E">
      <w:pPr>
        <w:tabs>
          <w:tab w:val="left" w:pos="720"/>
          <w:tab w:val="left" w:pos="5355"/>
        </w:tabs>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认为有必要提供的其他文件和说明（格式自拟）。</w:t>
      </w:r>
    </w:p>
    <w:p w14:paraId="50D05141">
      <w:pPr>
        <w:tabs>
          <w:tab w:val="left" w:pos="720"/>
          <w:tab w:val="left" w:pos="5355"/>
        </w:tabs>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报价文件</w:t>
      </w:r>
    </w:p>
    <w:p w14:paraId="4C3B8570">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1）磋商报价一览表（首次报价）</w:t>
      </w:r>
    </w:p>
    <w:p w14:paraId="1105DE3B">
      <w:pPr>
        <w:tabs>
          <w:tab w:val="left" w:pos="720"/>
          <w:tab w:val="left" w:pos="5355"/>
        </w:tabs>
        <w:spacing w:line="440" w:lineRule="exact"/>
        <w:ind w:firstLine="420" w:firstLineChars="200"/>
        <w:textAlignment w:val="baseline"/>
        <w:rPr>
          <w:rFonts w:hint="eastAsia" w:ascii="宋体" w:hAnsi="宋体" w:cs="宋体"/>
          <w:b/>
          <w:bCs/>
          <w:color w:val="auto"/>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）最终报价表；</w:t>
      </w:r>
      <w:r>
        <w:rPr>
          <w:rFonts w:hint="eastAsia" w:ascii="宋体" w:hAnsi="宋体" w:cs="宋体"/>
          <w:b/>
          <w:bCs/>
          <w:color w:val="auto"/>
          <w:highlight w:val="none"/>
        </w:rPr>
        <w:t>（根据系统要求在线填写。）</w:t>
      </w:r>
    </w:p>
    <w:p w14:paraId="37FBC5CE">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）磋商供应商针对报价需要说明的其他文件和资料（格式自拟）。</w:t>
      </w:r>
    </w:p>
    <w:p w14:paraId="3D1B4C54">
      <w:pPr>
        <w:pStyle w:val="2"/>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响应文件的编制格式及说明</w:t>
      </w:r>
    </w:p>
    <w:p w14:paraId="216D5FE0">
      <w:pPr>
        <w:pStyle w:val="2"/>
        <w:spacing w:line="440" w:lineRule="exact"/>
        <w:ind w:left="0" w:firstLine="420" w:firstLineChars="200"/>
        <w:textAlignment w:val="baseline"/>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4.1响应文件应包括规定的内容，磋商供应商提交的响应文件应当使用磋商文件所提供的响应文件全部格式（格式可以按同样格式扩展）；未提供响应文件标准格式的，由磋商供应商自行编写：</w:t>
      </w:r>
      <w:r>
        <w:rPr>
          <w:rFonts w:hint="eastAsia" w:ascii="宋体" w:hAnsi="宋体" w:eastAsia="宋体" w:cs="宋体"/>
          <w:b/>
          <w:bCs/>
          <w:color w:val="auto"/>
          <w:sz w:val="21"/>
          <w:szCs w:val="21"/>
          <w:highlight w:val="none"/>
        </w:rPr>
        <w:t>电子响应文件按政采云平台“供应商-政府采购项目电子交易操作指南”及本竞争性磋商要求制作、加密。</w:t>
      </w:r>
    </w:p>
    <w:p w14:paraId="0795E836">
      <w:pPr>
        <w:pStyle w:val="2"/>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磋商供应商必须保证响应文件所提供的全部资料真实可靠，并接受对其中任何资料进一步审查的要求。</w:t>
      </w:r>
    </w:p>
    <w:p w14:paraId="45F9D186">
      <w:pPr>
        <w:pStyle w:val="2"/>
        <w:spacing w:line="440" w:lineRule="exact"/>
        <w:ind w:left="42" w:leftChars="20" w:firstLine="422" w:firstLineChars="200"/>
        <w:textAlignment w:val="baseline"/>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投标报价</w:t>
      </w:r>
    </w:p>
    <w:p w14:paraId="42DC68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300" w:lineRule="auto"/>
        <w:ind w:firstLine="420" w:firstLineChars="200"/>
        <w:jc w:val="left"/>
        <w:textAlignment w:val="baseline"/>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5.1</w:t>
      </w:r>
      <w:r>
        <w:rPr>
          <w:rFonts w:hint="eastAsia" w:ascii="宋体" w:hAnsi="宋体" w:eastAsia="宋体" w:cs="宋体"/>
          <w:b/>
          <w:bCs/>
          <w:color w:val="000000"/>
          <w:sz w:val="21"/>
          <w:szCs w:val="21"/>
          <w:highlight w:val="none"/>
        </w:rPr>
        <w:t>本次报价非一次性报价，在磋商后根据磋商情况（包括细化采购方案和要求，增补部分采购内容等），供应商须进行最终报价</w:t>
      </w:r>
      <w:r>
        <w:rPr>
          <w:rFonts w:hint="eastAsia" w:ascii="宋体" w:hAnsi="宋体" w:eastAsia="宋体" w:cs="宋体"/>
          <w:b/>
          <w:bCs/>
          <w:color w:val="auto"/>
          <w:szCs w:val="21"/>
          <w:highlight w:val="none"/>
        </w:rPr>
        <w:t>。</w:t>
      </w:r>
      <w:r>
        <w:rPr>
          <w:rFonts w:hint="eastAsia" w:ascii="宋体" w:hAnsi="宋体" w:eastAsia="宋体" w:cs="宋体"/>
          <w:b/>
          <w:bCs/>
          <w:color w:val="000000"/>
          <w:sz w:val="21"/>
          <w:szCs w:val="21"/>
          <w:highlight w:val="none"/>
        </w:rPr>
        <w:t>除响应文件中要求提供的初次报价外，磋商环节结束后，评审小组将根据磋商结果要求供应商在政采云系统上进行最后报价（或二次报价）。</w:t>
      </w:r>
    </w:p>
    <w:p w14:paraId="3C3B07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300" w:lineRule="auto"/>
        <w:ind w:firstLine="420" w:firstLineChars="200"/>
        <w:jc w:val="left"/>
        <w:textAlignment w:val="baseline"/>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投标报价以人民币为结算货币。</w:t>
      </w:r>
      <w:r>
        <w:rPr>
          <w:rFonts w:hint="eastAsia" w:ascii="宋体" w:hAnsi="宋体" w:eastAsia="宋体" w:cs="宋体"/>
          <w:color w:val="000000"/>
          <w:sz w:val="21"/>
          <w:szCs w:val="21"/>
          <w:highlight w:val="none"/>
          <w:lang w:val="en-US"/>
        </w:rPr>
        <w:t>投标报价应是本采购文件确定的采购需求范围内全部工作内容的价格表现。完成本项目采购需求范围内全部工作内容所需支付的一切成本费用、企业应缴纳的税费及</w:t>
      </w:r>
      <w:r>
        <w:rPr>
          <w:rStyle w:val="56"/>
          <w:rFonts w:hint="eastAsia" w:ascii="宋体" w:hAnsi="宋体" w:cs="宋体"/>
          <w:szCs w:val="21"/>
          <w:highlight w:val="none"/>
          <w:lang w:val="en-US"/>
        </w:rPr>
        <w:t>合理</w:t>
      </w:r>
      <w:r>
        <w:rPr>
          <w:rFonts w:hint="eastAsia" w:ascii="宋体" w:hAnsi="宋体" w:eastAsia="宋体" w:cs="宋体"/>
          <w:color w:val="000000"/>
          <w:sz w:val="21"/>
          <w:szCs w:val="21"/>
          <w:highlight w:val="none"/>
          <w:lang w:val="en-US"/>
        </w:rPr>
        <w:t>利润等所有采购文件提及的费用，以及诸如项目实施过程中合理存在的风险等采购文件未列明但可能产生额外成本的因素，</w:t>
      </w:r>
      <w:r>
        <w:rPr>
          <w:rFonts w:hint="eastAsia" w:ascii="宋体" w:hAnsi="宋体" w:eastAsia="宋体" w:cs="宋体"/>
          <w:color w:val="000000"/>
          <w:sz w:val="21"/>
          <w:szCs w:val="21"/>
          <w:highlight w:val="none"/>
        </w:rPr>
        <w:t>均应计入投标报价。报价精确至人民币“元”。</w:t>
      </w:r>
    </w:p>
    <w:p w14:paraId="45F803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300" w:lineRule="auto"/>
        <w:ind w:firstLine="420" w:firstLineChars="200"/>
        <w:jc w:val="left"/>
        <w:textAlignment w:val="baseline"/>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采购人不接受任何选择报价，对每一种货物或服务只接受一个报价。</w:t>
      </w:r>
    </w:p>
    <w:p w14:paraId="47889EDB">
      <w:pPr>
        <w:pStyle w:val="2"/>
        <w:spacing w:line="440" w:lineRule="exact"/>
        <w:ind w:left="0" w:firstLine="422" w:firstLineChars="200"/>
        <w:textAlignment w:val="baseline"/>
        <w:rPr>
          <w:rFonts w:ascii="宋体" w:hAnsi="宋体" w:eastAsia="宋体" w:cs="宋体"/>
          <w:b/>
          <w:color w:val="auto"/>
          <w:sz w:val="21"/>
          <w:szCs w:val="21"/>
          <w:highlight w:val="none"/>
        </w:rPr>
      </w:pPr>
      <w:bookmarkStart w:id="39" w:name="_Toc245191314"/>
      <w:bookmarkStart w:id="40" w:name="_Toc221374626"/>
      <w:bookmarkStart w:id="41" w:name="_Toc410031816"/>
      <w:bookmarkStart w:id="42" w:name="_Toc222114879"/>
      <w:bookmarkStart w:id="43" w:name="_Toc246261265"/>
      <w:bookmarkStart w:id="44" w:name="_Toc262049418"/>
      <w:bookmarkStart w:id="45" w:name="_Toc221423619"/>
      <w:bookmarkStart w:id="46" w:name="_Toc221356887"/>
      <w:bookmarkStart w:id="47" w:name="_Toc262105503"/>
      <w:bookmarkStart w:id="48" w:name="_Toc239145354"/>
      <w:bookmarkStart w:id="49" w:name="_Toc249758864"/>
      <w:bookmarkStart w:id="50" w:name="_Toc245722281"/>
      <w:bookmarkStart w:id="51" w:name="_Toc223715998"/>
      <w:bookmarkStart w:id="52" w:name="_Toc221356951"/>
      <w:bookmarkStart w:id="53" w:name="_Toc241404202"/>
      <w:bookmarkStart w:id="54" w:name="_Toc249758712"/>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响应文件的格式和顺序</w:t>
      </w:r>
    </w:p>
    <w:p w14:paraId="6A5D9BE3">
      <w:pPr>
        <w:snapToGrid w:val="0"/>
        <w:spacing w:line="440" w:lineRule="exact"/>
        <w:ind w:firstLine="422" w:firstLineChars="200"/>
        <w:textAlignment w:val="baseline"/>
        <w:rPr>
          <w:rFonts w:ascii="宋体" w:hAnsi="宋体" w:cs="宋体"/>
          <w:color w:val="auto"/>
          <w:sz w:val="20"/>
          <w:highlight w:val="none"/>
        </w:rPr>
      </w:pPr>
      <w:bookmarkStart w:id="55" w:name="_Toc22960"/>
      <w:r>
        <w:rPr>
          <w:rFonts w:hint="eastAsia" w:ascii="宋体" w:hAnsi="宋体" w:cs="宋体"/>
          <w:b/>
          <w:color w:val="auto"/>
          <w:szCs w:val="21"/>
          <w:highlight w:val="none"/>
        </w:rPr>
        <w:t>电子响应文件</w:t>
      </w:r>
      <w:r>
        <w:rPr>
          <w:rFonts w:hint="eastAsia" w:ascii="宋体" w:hAnsi="宋体" w:cs="宋体"/>
          <w:b/>
          <w:bCs/>
          <w:color w:val="auto"/>
          <w:szCs w:val="21"/>
          <w:highlight w:val="none"/>
        </w:rPr>
        <w:t>按政采云平台“供应商-政府采购项目电子交易操作指南”</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Style w:val="42"/>
          <w:rFonts w:hint="eastAsia" w:ascii="宋体" w:hAnsi="宋体" w:cs="宋体"/>
          <w:b/>
          <w:bCs/>
          <w:color w:val="auto"/>
          <w:szCs w:val="21"/>
          <w:highlight w:val="none"/>
        </w:rPr>
        <w:t>及本竞争性磋商文件规定的格式和顺序编制电子响应文件并进行关联定位。</w:t>
      </w:r>
      <w:r>
        <w:rPr>
          <w:rStyle w:val="42"/>
          <w:rFonts w:hint="eastAsia" w:ascii="宋体" w:hAnsi="宋体" w:cs="宋体"/>
          <w:b/>
          <w:bCs/>
          <w:color w:val="auto"/>
          <w:szCs w:val="21"/>
          <w:highlight w:val="none"/>
        </w:rPr>
        <w:fldChar w:fldCharType="end"/>
      </w:r>
      <w:bookmarkEnd w:id="55"/>
    </w:p>
    <w:p w14:paraId="3D34BA5D">
      <w:pPr>
        <w:pStyle w:val="2"/>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投标有效期</w:t>
      </w:r>
    </w:p>
    <w:p w14:paraId="7073DB17">
      <w:pPr>
        <w:pStyle w:val="2"/>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7.1投标有效期见本磋商文件中前附表所规定的期限，在此期限内，凡符合磋商文件要求的响应文件均保持有效。</w:t>
      </w:r>
    </w:p>
    <w:p w14:paraId="34D0B7DC">
      <w:pPr>
        <w:pStyle w:val="2"/>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在特殊情况下，招标采购人在原定投标有效期内，可以根据需要以书面形式向磋商供应商提出延长投标有效期的要求，对此要求磋商供应商须以书面形式予以答复。磋商供应商可以拒绝招标采购人这种要求。同意延长投标有效期的磋商供应商既不能要求也不允许修改其响应文件。</w:t>
      </w:r>
    </w:p>
    <w:p w14:paraId="45FAB77A">
      <w:pPr>
        <w:ind w:firstLine="643" w:firstLineChars="200"/>
        <w:rPr>
          <w:rFonts w:hint="eastAsia" w:ascii="宋体" w:hAnsi="宋体" w:cs="宋体"/>
          <w:b/>
          <w:bCs/>
          <w:color w:val="auto"/>
          <w:kern w:val="2"/>
          <w:sz w:val="32"/>
          <w:szCs w:val="32"/>
          <w:highlight w:val="none"/>
        </w:rPr>
      </w:pPr>
      <w:bookmarkStart w:id="56" w:name="_Toc10667"/>
      <w:r>
        <w:rPr>
          <w:rFonts w:hint="eastAsia" w:ascii="宋体" w:hAnsi="宋体" w:cs="宋体"/>
          <w:b/>
          <w:bCs/>
          <w:color w:val="auto"/>
          <w:kern w:val="2"/>
          <w:sz w:val="32"/>
          <w:szCs w:val="32"/>
          <w:highlight w:val="none"/>
        </w:rPr>
        <w:br w:type="page"/>
      </w:r>
    </w:p>
    <w:p w14:paraId="77F90F1F">
      <w:pPr>
        <w:pStyle w:val="6"/>
        <w:keepLines/>
        <w:widowControl w:val="0"/>
        <w:numPr>
          <w:ilvl w:val="2"/>
          <w:numId w:val="0"/>
        </w:numPr>
        <w:spacing w:before="156" w:after="156"/>
        <w:ind w:firstLine="643" w:firstLineChars="200"/>
        <w:jc w:val="center"/>
        <w:textAlignment w:val="baseline"/>
        <w:rPr>
          <w:rFonts w:ascii="宋体" w:hAnsi="宋体" w:cs="宋体"/>
          <w:b/>
          <w:bCs/>
          <w:color w:val="auto"/>
          <w:kern w:val="2"/>
          <w:sz w:val="32"/>
          <w:szCs w:val="32"/>
          <w:highlight w:val="none"/>
        </w:rPr>
      </w:pPr>
      <w:r>
        <w:rPr>
          <w:rFonts w:hint="eastAsia" w:ascii="宋体" w:hAnsi="宋体" w:cs="宋体"/>
          <w:b/>
          <w:bCs/>
          <w:color w:val="auto"/>
          <w:kern w:val="2"/>
          <w:sz w:val="32"/>
          <w:szCs w:val="32"/>
          <w:highlight w:val="none"/>
        </w:rPr>
        <w:t>四、投标</w:t>
      </w:r>
      <w:bookmarkEnd w:id="56"/>
    </w:p>
    <w:p w14:paraId="540CD303">
      <w:pPr>
        <w:pStyle w:val="2"/>
        <w:spacing w:line="440" w:lineRule="exact"/>
        <w:ind w:left="0" w:firstLine="422" w:firstLineChars="200"/>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响应文件的提交</w:t>
      </w:r>
    </w:p>
    <w:p w14:paraId="5294E688">
      <w:pPr>
        <w:widowControl/>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1.1</w:t>
      </w:r>
      <w:r>
        <w:rPr>
          <w:rFonts w:hint="eastAsia" w:ascii="宋体" w:hAnsi="宋体" w:cs="宋体"/>
          <w:b/>
          <w:bCs/>
          <w:color w:val="auto"/>
          <w:kern w:val="0"/>
          <w:szCs w:val="21"/>
          <w:highlight w:val="none"/>
        </w:rPr>
        <w:t>电子加密</w:t>
      </w:r>
      <w:r>
        <w:rPr>
          <w:rFonts w:hint="eastAsia" w:ascii="宋体" w:hAnsi="宋体" w:cs="宋体"/>
          <w:b/>
          <w:bCs/>
          <w:color w:val="auto"/>
          <w:kern w:val="0"/>
          <w:szCs w:val="21"/>
          <w:highlight w:val="none"/>
          <w:lang w:eastAsia="zh-CN"/>
        </w:rPr>
        <w:t>响应文件</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应当于</w:t>
      </w:r>
      <w:r>
        <w:rPr>
          <w:rFonts w:hint="eastAsia" w:ascii="宋体" w:hAnsi="宋体" w:cs="宋体"/>
          <w:color w:val="auto"/>
          <w:kern w:val="0"/>
          <w:szCs w:val="21"/>
          <w:highlight w:val="none"/>
          <w:lang w:eastAsia="zh-CN"/>
        </w:rPr>
        <w:t>响应文件</w:t>
      </w:r>
      <w:r>
        <w:rPr>
          <w:rFonts w:hint="eastAsia" w:ascii="宋体" w:hAnsi="宋体" w:cs="宋体"/>
          <w:color w:val="auto"/>
          <w:kern w:val="0"/>
          <w:szCs w:val="21"/>
          <w:highlight w:val="none"/>
        </w:rPr>
        <w:t>提交截止时间前</w:t>
      </w:r>
      <w:r>
        <w:rPr>
          <w:rFonts w:hint="eastAsia" w:ascii="宋体" w:hAnsi="宋体" w:cs="宋体"/>
          <w:color w:val="auto"/>
          <w:szCs w:val="21"/>
          <w:highlight w:val="none"/>
        </w:rPr>
        <w:t>通过“政采云电子投标客户端”上传至政采云平台</w:t>
      </w:r>
      <w:r>
        <w:rPr>
          <w:rFonts w:hint="eastAsia" w:ascii="宋体" w:hAnsi="宋体" w:cs="宋体"/>
          <w:color w:val="auto"/>
          <w:kern w:val="0"/>
          <w:szCs w:val="21"/>
          <w:highlight w:val="none"/>
        </w:rPr>
        <w:t>上</w:t>
      </w:r>
      <w:r>
        <w:rPr>
          <w:rFonts w:hint="eastAsia" w:ascii="宋体" w:hAnsi="宋体" w:cs="宋体"/>
          <w:b/>
          <w:bCs/>
          <w:color w:val="auto"/>
          <w:kern w:val="0"/>
          <w:szCs w:val="21"/>
          <w:highlight w:val="none"/>
        </w:rPr>
        <w:t>。（逾期上传的</w:t>
      </w:r>
      <w:r>
        <w:rPr>
          <w:rFonts w:hint="eastAsia" w:ascii="宋体" w:hAnsi="宋体" w:cs="宋体"/>
          <w:b/>
          <w:bCs/>
          <w:color w:val="auto"/>
          <w:kern w:val="0"/>
          <w:szCs w:val="21"/>
          <w:highlight w:val="none"/>
          <w:lang w:eastAsia="zh-CN"/>
        </w:rPr>
        <w:t>响应文件</w:t>
      </w:r>
      <w:r>
        <w:rPr>
          <w:rFonts w:hint="eastAsia" w:ascii="宋体" w:hAnsi="宋体" w:cs="宋体"/>
          <w:b/>
          <w:bCs/>
          <w:color w:val="auto"/>
          <w:kern w:val="0"/>
          <w:szCs w:val="21"/>
          <w:highlight w:val="none"/>
        </w:rPr>
        <w:t>将被拒收）</w:t>
      </w:r>
    </w:p>
    <w:p w14:paraId="216977ED">
      <w:pPr>
        <w:widowControl/>
        <w:wordWrap w:val="0"/>
        <w:spacing w:line="360" w:lineRule="auto"/>
        <w:ind w:firstLine="420" w:firstLineChars="200"/>
        <w:rPr>
          <w:rFonts w:ascii="宋体" w:cs="宋体"/>
          <w:b/>
          <w:bCs/>
          <w:color w:val="auto"/>
          <w:highlight w:val="none"/>
          <w:lang w:val="zh-CN"/>
        </w:rPr>
      </w:pPr>
      <w:r>
        <w:rPr>
          <w:rFonts w:ascii="宋体" w:hAnsi="宋体" w:cs="宋体"/>
          <w:color w:val="auto"/>
          <w:kern w:val="0"/>
          <w:szCs w:val="21"/>
          <w:highlight w:val="none"/>
        </w:rPr>
        <w:t>1.2</w:t>
      </w:r>
      <w:r>
        <w:rPr>
          <w:rFonts w:hint="eastAsia" w:ascii="宋体" w:hAnsi="宋体" w:cs="宋体"/>
          <w:b/>
          <w:bCs/>
          <w:color w:val="auto"/>
          <w:kern w:val="0"/>
          <w:szCs w:val="21"/>
          <w:highlight w:val="none"/>
        </w:rPr>
        <w:t>备份</w:t>
      </w:r>
      <w:r>
        <w:rPr>
          <w:rFonts w:hint="eastAsia" w:ascii="宋体" w:hAnsi="宋体" w:cs="宋体"/>
          <w:b/>
          <w:bCs/>
          <w:color w:val="auto"/>
          <w:kern w:val="0"/>
          <w:szCs w:val="21"/>
          <w:highlight w:val="none"/>
          <w:lang w:eastAsia="zh-CN"/>
        </w:rPr>
        <w:t>响应文件</w:t>
      </w:r>
      <w:r>
        <w:rPr>
          <w:rFonts w:hint="eastAsia" w:ascii="宋体" w:hAnsi="宋体" w:cs="宋体"/>
          <w:b/>
          <w:bCs/>
          <w:color w:val="auto"/>
          <w:kern w:val="0"/>
          <w:szCs w:val="21"/>
          <w:highlight w:val="none"/>
        </w:rPr>
        <w:t>（非强制要求提供）</w:t>
      </w:r>
      <w:r>
        <w:rPr>
          <w:rFonts w:hint="eastAsia" w:ascii="宋体" w:hAnsi="宋体" w:cs="宋体"/>
          <w:color w:val="auto"/>
          <w:kern w:val="0"/>
          <w:szCs w:val="21"/>
          <w:highlight w:val="none"/>
        </w:rPr>
        <w:t>：可在</w:t>
      </w:r>
      <w:r>
        <w:rPr>
          <w:color w:val="auto"/>
          <w:highlight w:val="none"/>
        </w:rPr>
        <w:fldChar w:fldCharType="begin"/>
      </w:r>
      <w:r>
        <w:rPr>
          <w:color w:val="auto"/>
          <w:highlight w:val="none"/>
        </w:rPr>
        <w:instrText xml:space="preserve"> HYPERLINK "mailto:按政采云平台项目采购-电子招投标操作指南制作备份投标文件（后缀名为.bfbs），在开标时间后15分钟内以电子邮件形式递交至采购代理机构邮箱（103874679@qq.com）。" </w:instrText>
      </w:r>
      <w:r>
        <w:rPr>
          <w:color w:val="auto"/>
          <w:highlight w:val="none"/>
        </w:rPr>
        <w:fldChar w:fldCharType="separate"/>
      </w:r>
      <w:r>
        <w:rPr>
          <w:rStyle w:val="42"/>
          <w:rFonts w:hint="eastAsia" w:ascii="宋体" w:hAnsi="宋体" w:cs="宋体"/>
          <w:color w:val="auto"/>
          <w:kern w:val="0"/>
          <w:szCs w:val="21"/>
          <w:highlight w:val="none"/>
          <w:u w:val="none"/>
          <w:lang w:eastAsia="zh-CN"/>
        </w:rPr>
        <w:t>响应文件</w:t>
      </w:r>
      <w:r>
        <w:rPr>
          <w:rStyle w:val="42"/>
          <w:rFonts w:hint="eastAsia" w:ascii="宋体" w:hAnsi="宋体" w:cs="宋体"/>
          <w:color w:val="auto"/>
          <w:kern w:val="0"/>
          <w:szCs w:val="21"/>
          <w:highlight w:val="none"/>
          <w:u w:val="none"/>
        </w:rPr>
        <w:t>提交截止时间前以加密的压缩文件形式（即将压缩文件设置为需要密码才能打开）发送至采购代理机构邮箱</w:t>
      </w:r>
      <w:r>
        <w:rPr>
          <w:rStyle w:val="42"/>
          <w:rFonts w:hint="eastAsia" w:ascii="宋体" w:hAnsi="宋体" w:cs="宋体"/>
          <w:color w:val="auto"/>
          <w:kern w:val="0"/>
          <w:szCs w:val="21"/>
          <w:highlight w:val="none"/>
          <w:u w:val="none"/>
        </w:rPr>
        <w:fldChar w:fldCharType="end"/>
      </w:r>
      <w:r>
        <w:rPr>
          <w:rFonts w:hint="eastAsia" w:ascii="宋体" w:hAnsi="宋体" w:cs="宋体"/>
          <w:color w:val="auto"/>
          <w:kern w:val="0"/>
          <w:szCs w:val="21"/>
          <w:highlight w:val="none"/>
        </w:rPr>
        <w:t>，并在</w:t>
      </w:r>
      <w:r>
        <w:rPr>
          <w:rFonts w:hint="eastAsia" w:ascii="宋体" w:hAnsi="宋体" w:cs="宋体"/>
          <w:color w:val="auto"/>
          <w:highlight w:val="none"/>
          <w:lang w:val="zh-CN"/>
        </w:rPr>
        <w:t>接到在线解密通</w:t>
      </w:r>
      <w:r>
        <w:rPr>
          <w:rFonts w:hint="eastAsia" w:ascii="宋体" w:hAnsi="宋体" w:cs="宋体"/>
          <w:color w:val="auto"/>
          <w:szCs w:val="21"/>
          <w:highlight w:val="none"/>
          <w:lang w:val="zh-CN"/>
        </w:rPr>
        <w:t>知</w:t>
      </w:r>
      <w:r>
        <w:rPr>
          <w:rFonts w:hint="eastAsia" w:ascii="宋体" w:hAnsi="宋体" w:cs="宋体"/>
          <w:color w:val="auto"/>
          <w:highlight w:val="none"/>
          <w:lang w:val="zh-CN"/>
        </w:rPr>
        <w:t>后</w:t>
      </w:r>
      <w:r>
        <w:rPr>
          <w:rFonts w:ascii="宋体" w:hAnsi="宋体" w:cs="宋体"/>
          <w:color w:val="auto"/>
          <w:szCs w:val="21"/>
          <w:highlight w:val="none"/>
        </w:rPr>
        <w:t>30</w:t>
      </w:r>
      <w:r>
        <w:rPr>
          <w:rFonts w:hint="eastAsia" w:ascii="宋体" w:hAnsi="宋体" w:cs="宋体"/>
          <w:color w:val="auto"/>
          <w:highlight w:val="none"/>
        </w:rPr>
        <w:t>分钟</w:t>
      </w:r>
      <w:r>
        <w:rPr>
          <w:rFonts w:hint="eastAsia" w:ascii="宋体" w:hAnsi="宋体" w:cs="宋体"/>
          <w:color w:val="auto"/>
          <w:highlight w:val="none"/>
          <w:lang w:val="zh-CN"/>
        </w:rPr>
        <w:t>内发送压缩文件密码至</w:t>
      </w:r>
      <w:r>
        <w:rPr>
          <w:rStyle w:val="42"/>
          <w:rFonts w:hint="eastAsia" w:ascii="宋体" w:hAnsi="宋体" w:cs="宋体"/>
          <w:color w:val="auto"/>
          <w:kern w:val="0"/>
          <w:szCs w:val="21"/>
          <w:highlight w:val="none"/>
          <w:u w:val="none"/>
        </w:rPr>
        <w:t>采购代理机构邮箱（邮箱号码：</w:t>
      </w:r>
      <w:r>
        <w:rPr>
          <w:color w:val="auto"/>
          <w:highlight w:val="none"/>
        </w:rPr>
        <w:fldChar w:fldCharType="begin"/>
      </w:r>
      <w:r>
        <w:rPr>
          <w:color w:val="auto"/>
          <w:highlight w:val="none"/>
        </w:rPr>
        <w:instrText xml:space="preserve"> HYPERLINK "mailto:103874679@qq.com）。" </w:instrText>
      </w:r>
      <w:r>
        <w:rPr>
          <w:color w:val="auto"/>
          <w:highlight w:val="none"/>
        </w:rPr>
        <w:fldChar w:fldCharType="separate"/>
      </w:r>
      <w:r>
        <w:rPr>
          <w:rStyle w:val="42"/>
          <w:rFonts w:hint="eastAsia" w:ascii="宋体" w:hAnsi="宋体" w:cs="宋体"/>
          <w:color w:val="auto"/>
          <w:highlight w:val="none"/>
          <w:u w:val="none"/>
          <w:lang w:val="en-US" w:eastAsia="zh-CN"/>
        </w:rPr>
        <w:t>1627136484@qq.com</w:t>
      </w:r>
      <w:r>
        <w:rPr>
          <w:rStyle w:val="42"/>
          <w:rFonts w:hint="eastAsia" w:ascii="宋体" w:hAnsi="宋体" w:cs="宋体"/>
          <w:color w:val="auto"/>
          <w:highlight w:val="none"/>
          <w:u w:val="none"/>
        </w:rPr>
        <w:t>）</w:t>
      </w:r>
      <w:r>
        <w:rPr>
          <w:rStyle w:val="42"/>
          <w:rFonts w:hint="eastAsia" w:ascii="宋体" w:hAnsi="宋体" w:cs="宋体"/>
          <w:color w:val="auto"/>
          <w:highlight w:val="none"/>
          <w:u w:val="none"/>
        </w:rPr>
        <w:fldChar w:fldCharType="end"/>
      </w:r>
      <w:r>
        <w:rPr>
          <w:rStyle w:val="42"/>
          <w:rFonts w:hint="eastAsia" w:ascii="宋体" w:hAnsi="宋体" w:cs="宋体"/>
          <w:color w:val="auto"/>
          <w:highlight w:val="none"/>
          <w:u w:val="none"/>
          <w:lang w:val="zh-CN"/>
        </w:rPr>
        <w:t>。</w:t>
      </w:r>
      <w:r>
        <w:rPr>
          <w:rFonts w:hint="eastAsia" w:ascii="宋体" w:hAnsi="宋体" w:cs="宋体"/>
          <w:b/>
          <w:bCs/>
          <w:color w:val="auto"/>
          <w:kern w:val="0"/>
          <w:szCs w:val="21"/>
          <w:highlight w:val="none"/>
        </w:rPr>
        <w:t>（逾期提交的备份</w:t>
      </w:r>
      <w:r>
        <w:rPr>
          <w:rFonts w:hint="eastAsia" w:ascii="宋体" w:hAnsi="宋体" w:cs="宋体"/>
          <w:b/>
          <w:bCs/>
          <w:color w:val="auto"/>
          <w:kern w:val="0"/>
          <w:szCs w:val="21"/>
          <w:highlight w:val="none"/>
          <w:lang w:eastAsia="zh-CN"/>
        </w:rPr>
        <w:t>响应文件</w:t>
      </w:r>
      <w:r>
        <w:rPr>
          <w:rFonts w:hint="eastAsia" w:ascii="宋体" w:hAnsi="宋体" w:cs="宋体"/>
          <w:b/>
          <w:bCs/>
          <w:color w:val="auto"/>
          <w:kern w:val="0"/>
          <w:szCs w:val="21"/>
          <w:highlight w:val="none"/>
        </w:rPr>
        <w:t>将被拒收）</w:t>
      </w:r>
    </w:p>
    <w:p w14:paraId="3FD4FB38">
      <w:pPr>
        <w:widowControl/>
        <w:spacing w:line="360" w:lineRule="auto"/>
        <w:ind w:firstLine="422" w:firstLineChars="200"/>
        <w:rPr>
          <w:rFonts w:ascii="宋体" w:cs="宋体"/>
          <w:b/>
          <w:bCs/>
          <w:color w:val="auto"/>
          <w:highlight w:val="none"/>
          <w:lang w:val="zh-CN"/>
        </w:rPr>
      </w:pPr>
      <w:r>
        <w:rPr>
          <w:rFonts w:hint="eastAsia" w:ascii="宋体" w:hAnsi="宋体" w:cs="宋体"/>
          <w:b/>
          <w:bCs/>
          <w:color w:val="auto"/>
          <w:szCs w:val="21"/>
          <w:highlight w:val="none"/>
          <w:lang w:val="zh-CN"/>
        </w:rPr>
        <w:t>提示：①为确保采购项目顺利实施，供应商可以按照采购文件要求在响应文件提交截止时间前向采购代理机构</w:t>
      </w:r>
      <w:r>
        <w:rPr>
          <w:rFonts w:hint="eastAsia" w:ascii="宋体" w:hAnsi="宋体" w:cs="宋体"/>
          <w:b/>
          <w:bCs/>
          <w:color w:val="auto"/>
          <w:szCs w:val="21"/>
          <w:highlight w:val="none"/>
        </w:rPr>
        <w:t>提交</w:t>
      </w:r>
      <w:r>
        <w:rPr>
          <w:rFonts w:hint="eastAsia" w:ascii="宋体" w:hAnsi="宋体" w:cs="宋体"/>
          <w:b/>
          <w:bCs/>
          <w:color w:val="auto"/>
          <w:szCs w:val="21"/>
          <w:highlight w:val="none"/>
          <w:lang w:val="zh-CN"/>
        </w:rPr>
        <w:t>备份响应文件，但非强制性要求。如</w:t>
      </w:r>
      <w:r>
        <w:rPr>
          <w:rFonts w:hint="eastAsia" w:ascii="宋体" w:hAnsi="宋体" w:cs="宋体"/>
          <w:b/>
          <w:bCs/>
          <w:color w:val="auto"/>
          <w:szCs w:val="21"/>
          <w:highlight w:val="none"/>
        </w:rPr>
        <w:t>在</w:t>
      </w:r>
      <w:r>
        <w:rPr>
          <w:rFonts w:hint="eastAsia" w:ascii="宋体" w:hAnsi="宋体" w:cs="宋体"/>
          <w:b/>
          <w:bCs/>
          <w:color w:val="auto"/>
          <w:szCs w:val="21"/>
          <w:highlight w:val="none"/>
          <w:lang w:val="zh-CN"/>
        </w:rPr>
        <w:t>响应文件提交截止时间前</w:t>
      </w:r>
      <w:r>
        <w:rPr>
          <w:rFonts w:hint="eastAsia" w:ascii="宋体" w:hAnsi="宋体" w:cs="宋体"/>
          <w:b/>
          <w:bCs/>
          <w:color w:val="auto"/>
          <w:szCs w:val="21"/>
          <w:highlight w:val="none"/>
        </w:rPr>
        <w:t>未提交</w:t>
      </w:r>
      <w:r>
        <w:rPr>
          <w:rFonts w:hint="eastAsia" w:ascii="宋体" w:hAnsi="宋体" w:cs="宋体"/>
          <w:b/>
          <w:bCs/>
          <w:color w:val="auto"/>
          <w:szCs w:val="21"/>
          <w:highlight w:val="none"/>
          <w:lang w:val="zh-CN"/>
        </w:rPr>
        <w:t>备份响应文件，因遇电子加密响应文件解密失败等情况造成投标撤回或无效的，其后果由供应商自行承担。</w:t>
      </w:r>
    </w:p>
    <w:p w14:paraId="448B89E5">
      <w:pPr>
        <w:spacing w:line="360" w:lineRule="auto"/>
        <w:ind w:firstLine="422" w:firstLineChars="200"/>
        <w:rPr>
          <w:rFonts w:ascii="宋体" w:cs="宋体"/>
          <w:b/>
          <w:bCs/>
          <w:color w:val="auto"/>
          <w:szCs w:val="21"/>
          <w:highlight w:val="none"/>
          <w:lang w:val="zh-CN"/>
        </w:rPr>
      </w:pPr>
      <w:r>
        <w:rPr>
          <w:rFonts w:hint="eastAsia" w:ascii="宋体" w:hAnsi="宋体" w:cs="宋体"/>
          <w:b/>
          <w:bCs/>
          <w:color w:val="auto"/>
          <w:szCs w:val="21"/>
          <w:highlight w:val="none"/>
        </w:rPr>
        <w:t>②</w:t>
      </w:r>
      <w:r>
        <w:rPr>
          <w:rFonts w:hint="eastAsia" w:ascii="宋体" w:hAnsi="宋体" w:cs="宋体"/>
          <w:b/>
          <w:bCs/>
          <w:color w:val="auto"/>
          <w:szCs w:val="21"/>
          <w:highlight w:val="none"/>
          <w:lang w:val="zh-CN"/>
        </w:rPr>
        <w:t>本次采购活动采用电子交易，实行网上交易（非现场方式实施）。供应商代表无需到达现场，但应当准时在线参加开标，直至评审结束，并保证开标、评审过程中采购代理机构能够随时与其代表人取得联系。</w:t>
      </w:r>
    </w:p>
    <w:p w14:paraId="7F3BC963">
      <w:pPr>
        <w:pStyle w:val="2"/>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响应文件提交的截止时间</w:t>
      </w:r>
    </w:p>
    <w:p w14:paraId="6DA9AD67">
      <w:pPr>
        <w:pStyle w:val="2"/>
        <w:spacing w:line="440" w:lineRule="exact"/>
        <w:ind w:left="0" w:leftChars="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2.1响应文件提交的截止时间见磋商文件投标须知前附表规定。</w:t>
      </w:r>
    </w:p>
    <w:p w14:paraId="7D2D96BB">
      <w:pPr>
        <w:pStyle w:val="2"/>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2.2招标采购人可按本磋商文件规定以修改补充通知的方式，酌情延长提交响应文件的截止时间。在此情况下，磋商供应商的所有权利和义务以及磋商供应商受制约的截止时间，均以延长后新的投标截止时间为准。</w:t>
      </w:r>
    </w:p>
    <w:p w14:paraId="6F88CE7D">
      <w:pPr>
        <w:pStyle w:val="2"/>
        <w:spacing w:line="440" w:lineRule="exact"/>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2.3磋商供应商在投标截止时间以后送达的响应文件将被拒绝接受。</w:t>
      </w:r>
    </w:p>
    <w:p w14:paraId="3EC1605B">
      <w:pPr>
        <w:pStyle w:val="2"/>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响应文件的补充、修改与撤回</w:t>
      </w:r>
    </w:p>
    <w:p w14:paraId="6B393776">
      <w:pPr>
        <w:pStyle w:val="2"/>
        <w:spacing w:line="440" w:lineRule="exact"/>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3.1磋商供应商在提交响应文件以后，在规定的投标截止时间之前，可以补充修改或撤回已提交的响应文件：</w:t>
      </w:r>
    </w:p>
    <w:p w14:paraId="058F807E">
      <w:pPr>
        <w:pStyle w:val="2"/>
        <w:spacing w:line="440" w:lineRule="exact"/>
        <w:ind w:left="0"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递交响应文件截止时间之前补充或者修改电子响应文件的，应当先行撤回原文件，补充、修改后重新传输递交。</w:t>
      </w:r>
    </w:p>
    <w:p w14:paraId="0561A2C6">
      <w:pPr>
        <w:pStyle w:val="2"/>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3.2在投标截止时间之后，磋商供应商不得补充、修改响应文件。</w:t>
      </w:r>
    </w:p>
    <w:p w14:paraId="75E9CFA1">
      <w:pPr>
        <w:pStyle w:val="2"/>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根据磋商文件规定，在投标截止时间之后至磋商供应商在投标声明书中规定的投标有效期满之前的这段时间内，磋商供应商不得撤回其响应文件，否则应当按照本项目采购预算价2%的标准承担因此给采购单位造成的损失的赔偿责任及相应的法律责任。</w:t>
      </w:r>
    </w:p>
    <w:p w14:paraId="75C3454A">
      <w:pPr>
        <w:pStyle w:val="6"/>
        <w:keepLines/>
        <w:widowControl w:val="0"/>
        <w:numPr>
          <w:ilvl w:val="2"/>
          <w:numId w:val="0"/>
        </w:numPr>
        <w:spacing w:before="156" w:after="156"/>
        <w:ind w:firstLine="643" w:firstLineChars="200"/>
        <w:jc w:val="center"/>
        <w:textAlignment w:val="baseline"/>
        <w:rPr>
          <w:rFonts w:hint="eastAsia" w:ascii="宋体" w:hAnsi="宋体" w:eastAsia="宋体" w:cs="宋体"/>
          <w:b/>
          <w:bCs/>
          <w:color w:val="auto"/>
          <w:kern w:val="2"/>
          <w:sz w:val="32"/>
          <w:szCs w:val="32"/>
          <w:highlight w:val="none"/>
        </w:rPr>
      </w:pPr>
      <w:bookmarkStart w:id="57" w:name="_Toc582"/>
      <w:r>
        <w:rPr>
          <w:rFonts w:hint="eastAsia" w:ascii="宋体" w:hAnsi="宋体" w:eastAsia="宋体" w:cs="宋体"/>
          <w:b/>
          <w:bCs/>
          <w:color w:val="auto"/>
          <w:kern w:val="2"/>
          <w:sz w:val="32"/>
          <w:szCs w:val="32"/>
          <w:highlight w:val="none"/>
        </w:rPr>
        <w:t>五、开标</w:t>
      </w:r>
      <w:bookmarkEnd w:id="57"/>
    </w:p>
    <w:p w14:paraId="3876337D">
      <w:pPr>
        <w:pStyle w:val="2"/>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开标</w:t>
      </w:r>
    </w:p>
    <w:p w14:paraId="050763E1">
      <w:pPr>
        <w:pStyle w:val="2"/>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1.1招标采购人按本磋商文件磋商供应商须知前附表规定的时间和地点公开开标。</w:t>
      </w:r>
    </w:p>
    <w:p w14:paraId="28060D98">
      <w:pPr>
        <w:pStyle w:val="2"/>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1.2采购代理机构核验出席开标活动现场的相关单位人员身份，并组织其分别登记、签到，无关人员不得进入现场。</w:t>
      </w:r>
    </w:p>
    <w:p w14:paraId="62DF3DB4">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1.3采购组织机构将按照磋商文件规定的时间通过“政府采购云平台”组织开标、开启</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，所有供应商均应当准时在线参加。供应商如不参加开标大会的，视同认可开标结果，事后不得对采购相关人员、开标过程和开标结果提出异议，同时供应商因未在线参加开标而导致</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无法按时解密等一切后果由供应商自己承担。</w:t>
      </w:r>
    </w:p>
    <w:p w14:paraId="15938BA1">
      <w:pPr>
        <w:pStyle w:val="2"/>
        <w:spacing w:line="440" w:lineRule="exact"/>
        <w:ind w:left="0" w:firstLine="422" w:firstLineChars="200"/>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开标程序</w:t>
      </w:r>
    </w:p>
    <w:p w14:paraId="4D67F57B">
      <w:pPr>
        <w:pStyle w:val="2"/>
        <w:spacing w:line="440" w:lineRule="exact"/>
        <w:ind w:left="42" w:leftChars="2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2.1主持人宣布投标截止时间，投标截止时间以北京时间为准。</w:t>
      </w:r>
    </w:p>
    <w:p w14:paraId="1CD86A4B">
      <w:pPr>
        <w:pStyle w:val="16"/>
        <w:snapToGrid w:val="0"/>
        <w:spacing w:line="440" w:lineRule="exact"/>
        <w:ind w:firstLine="422" w:firstLineChars="200"/>
        <w:textAlignment w:val="baseline"/>
        <w:rPr>
          <w:rFonts w:hAnsi="宋体" w:cs="宋体"/>
          <w:b/>
          <w:bCs/>
          <w:color w:val="auto"/>
          <w:highlight w:val="none"/>
        </w:rPr>
      </w:pPr>
      <w:r>
        <w:rPr>
          <w:rFonts w:hint="eastAsia" w:hAnsi="宋体" w:cs="宋体"/>
          <w:b/>
          <w:bCs/>
          <w:color w:val="auto"/>
          <w:highlight w:val="none"/>
        </w:rPr>
        <w:t>2.2 电子投标开标及评审程序</w:t>
      </w:r>
    </w:p>
    <w:p w14:paraId="0CD18916">
      <w:pPr>
        <w:snapToGrid w:val="0"/>
        <w:spacing w:line="440" w:lineRule="exact"/>
        <w:ind w:firstLine="420" w:firstLineChars="200"/>
        <w:textAlignment w:val="baseline"/>
        <w:rPr>
          <w:rFonts w:hint="eastAsia" w:ascii="宋体" w:hAnsi="宋体" w:eastAsia="宋体" w:cs="宋体"/>
          <w:color w:val="auto"/>
          <w:szCs w:val="21"/>
          <w:highlight w:val="none"/>
        </w:rPr>
      </w:pPr>
      <w:bookmarkStart w:id="58" w:name="_Toc14145"/>
      <w:r>
        <w:rPr>
          <w:rFonts w:hint="eastAsia" w:ascii="宋体" w:hAnsi="宋体" w:eastAsia="宋体" w:cs="宋体"/>
          <w:color w:val="auto"/>
          <w:szCs w:val="21"/>
          <w:highlight w:val="none"/>
        </w:rPr>
        <w:t>1.采购代理机构通过政采云平台向各供应商发出电子加密响应文件【开始解密】通知，由供应商在30分钟内完成响应文件解密。在规定的时间内无法完成“电子加密响应文件”解密的，如已按规定递交了备份响应文件的，将由采购组织机构按“政府采购云平台”操作规范将备份响应文件上传至“政府采购云平台”，上传成功后，“电子加密响应文件”自动失效。</w:t>
      </w:r>
    </w:p>
    <w:p w14:paraId="513B6C70">
      <w:pPr>
        <w:snapToGrid w:val="0"/>
        <w:spacing w:line="440" w:lineRule="exact"/>
        <w:ind w:firstLine="420" w:firstLineChars="200"/>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2.响应文件解密结束，组织供应商签署《政府采购活动现场确认声明书》（格式见第六章附件），声明书扫描件以邮件的形式发送至代理邮箱</w:t>
      </w:r>
      <w:r>
        <w:rPr>
          <w:rFonts w:hint="eastAsia" w:ascii="宋体" w:hAnsi="宋体" w:eastAsia="宋体" w:cs="宋体"/>
          <w:color w:val="auto"/>
          <w:szCs w:val="21"/>
          <w:highlight w:val="none"/>
          <w:lang w:eastAsia="zh-CN"/>
        </w:rPr>
        <w:t>。</w:t>
      </w:r>
    </w:p>
    <w:p w14:paraId="5BD5B3D9">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3.评审小组对各供应商的</w:t>
      </w:r>
      <w:r>
        <w:rPr>
          <w:rFonts w:hint="eastAsia" w:ascii="宋体" w:hAnsi="宋体" w:cs="宋体"/>
          <w:color w:val="auto"/>
          <w:szCs w:val="21"/>
          <w:highlight w:val="none"/>
          <w:lang w:eastAsia="zh-CN"/>
        </w:rPr>
        <w:t>资格审查文件</w:t>
      </w:r>
      <w:r>
        <w:rPr>
          <w:rFonts w:hint="eastAsia" w:ascii="宋体" w:hAnsi="宋体" w:eastAsia="宋体" w:cs="宋体"/>
          <w:color w:val="auto"/>
          <w:szCs w:val="21"/>
          <w:highlight w:val="none"/>
        </w:rPr>
        <w:t>进行评审，资格审查结果在政采云系统上公布。若资格审查不合格的，将告知原因并由供应商通过政采云系统签章确认。资格审查不合格的供应商，其商务技术文件及报价文件不进入评审阶段。</w:t>
      </w:r>
    </w:p>
    <w:p w14:paraId="3D75B495">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小组对各供应商的商务技术文件、报价文件进行评审，评审内容包括符合性审查，技术、商务评估及比较等。商务技术文件或报价文件符合性审查不通过的，将告知原因并由供应商通过政采云系统签章确认。</w:t>
      </w:r>
    </w:p>
    <w:p w14:paraId="3D378B41">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审小组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7D6AC185">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磋商文件作出的实质性变动（如有）是磋商文件的有效组成部分，评审小组将以书面形式同时通知所有参加磋商的供应商。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14:paraId="11072C5C">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7.磋商结束后，评审小组对各供应商资信及商务、技术情况进行评分</w:t>
      </w:r>
      <w:r>
        <w:rPr>
          <w:rFonts w:hint="eastAsia" w:ascii="宋体" w:hAnsi="宋体" w:eastAsia="宋体" w:cs="宋体"/>
          <w:color w:val="auto"/>
          <w:szCs w:val="21"/>
          <w:highlight w:val="none"/>
          <w:lang w:eastAsia="zh-CN"/>
        </w:rPr>
        <w:t>。同时</w:t>
      </w:r>
      <w:r>
        <w:rPr>
          <w:rFonts w:hint="eastAsia" w:ascii="宋体" w:hAnsi="宋体" w:eastAsia="宋体" w:cs="宋体"/>
          <w:color w:val="auto"/>
          <w:szCs w:val="21"/>
          <w:highlight w:val="none"/>
        </w:rPr>
        <w:t>系统开启最后报价</w:t>
      </w:r>
      <w:r>
        <w:rPr>
          <w:rFonts w:hint="eastAsia" w:ascii="宋体" w:hAnsi="宋体" w:eastAsia="宋体" w:cs="宋体"/>
          <w:color w:val="auto"/>
          <w:szCs w:val="21"/>
          <w:highlight w:val="none"/>
          <w:lang w:eastAsia="zh-CN"/>
        </w:rPr>
        <w:t>填报</w:t>
      </w:r>
      <w:r>
        <w:rPr>
          <w:rFonts w:hint="eastAsia" w:ascii="宋体" w:hAnsi="宋体" w:eastAsia="宋体" w:cs="宋体"/>
          <w:color w:val="auto"/>
          <w:szCs w:val="21"/>
          <w:highlight w:val="none"/>
        </w:rPr>
        <w:t>，各供应商在规定的时间内提交最后报价。规定时间内</w:t>
      </w:r>
      <w:r>
        <w:rPr>
          <w:rFonts w:hint="eastAsia" w:ascii="宋体" w:hAnsi="宋体" w:eastAsia="宋体" w:cs="宋体"/>
          <w:color w:val="auto"/>
          <w:szCs w:val="21"/>
          <w:highlight w:val="none"/>
          <w:lang w:eastAsia="zh-CN"/>
        </w:rPr>
        <w:t>未</w:t>
      </w:r>
      <w:r>
        <w:rPr>
          <w:rFonts w:hint="eastAsia" w:ascii="宋体" w:hAnsi="宋体" w:eastAsia="宋体" w:cs="宋体"/>
          <w:color w:val="auto"/>
          <w:szCs w:val="21"/>
          <w:highlight w:val="none"/>
        </w:rPr>
        <w:t>提交最后报价的供应商，视为自动放弃报价资格。</w:t>
      </w:r>
    </w:p>
    <w:p w14:paraId="54E38F6E">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系统</w:t>
      </w:r>
      <w:r>
        <w:rPr>
          <w:rFonts w:hint="eastAsia" w:ascii="宋体" w:hAnsi="宋体" w:eastAsia="宋体" w:cs="宋体"/>
          <w:color w:val="auto"/>
          <w:szCs w:val="21"/>
          <w:highlight w:val="none"/>
        </w:rPr>
        <w:t>公布各供应商资信及商务技术评审结果，供应商如对资信、商务、技术评分结果有异议的，应当场提出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相关异议（如有）将由评审小组作出澄清；</w:t>
      </w:r>
    </w:p>
    <w:p w14:paraId="05842B0E">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.采购组织机构协助完成</w:t>
      </w:r>
      <w:r>
        <w:rPr>
          <w:rFonts w:hint="eastAsia" w:ascii="宋体" w:hAnsi="宋体" w:eastAsia="宋体" w:cs="宋体"/>
          <w:color w:val="auto"/>
          <w:szCs w:val="21"/>
          <w:highlight w:val="none"/>
          <w:lang w:eastAsia="zh-CN"/>
        </w:rPr>
        <w:t>最后</w:t>
      </w:r>
      <w:r>
        <w:rPr>
          <w:rFonts w:hint="eastAsia" w:ascii="宋体" w:hAnsi="宋体" w:eastAsia="宋体" w:cs="宋体"/>
          <w:color w:val="auto"/>
          <w:szCs w:val="21"/>
          <w:highlight w:val="none"/>
        </w:rPr>
        <w:t>报价评分及综合得分计算（报评审小组确认），评审小组编写、签署评审报告，并按综合得分排名由高到低推荐成交候选人；</w:t>
      </w:r>
    </w:p>
    <w:p w14:paraId="677550A0">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系统</w:t>
      </w:r>
      <w:r>
        <w:rPr>
          <w:rFonts w:hint="eastAsia" w:ascii="宋体" w:hAnsi="宋体" w:eastAsia="宋体" w:cs="宋体"/>
          <w:color w:val="auto"/>
          <w:szCs w:val="21"/>
          <w:highlight w:val="none"/>
        </w:rPr>
        <w:t>公布最终评审结果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会议结束。</w:t>
      </w:r>
    </w:p>
    <w:p w14:paraId="22670278">
      <w:pPr>
        <w:pStyle w:val="2"/>
        <w:spacing w:line="500" w:lineRule="exact"/>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特别说明：如“政采云”系统对电子化开标及评审程序有调整的，按调整后的程序操作。</w:t>
      </w:r>
    </w:p>
    <w:p w14:paraId="7A78A6C8">
      <w:pPr>
        <w:pStyle w:val="2"/>
        <w:spacing w:line="500" w:lineRule="exact"/>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注：本项目采用政采云电子招投标开标及评审程序，采购过程中出现以下情形，导致电子交易平台无法正常运行，或者无法保证电子交易的公平、公正和安全时，采购代理机构可中止电子交易活动：</w:t>
      </w:r>
    </w:p>
    <w:p w14:paraId="7A9F1101">
      <w:pPr>
        <w:pStyle w:val="2"/>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（一）电子交易平台发生故障而无法登录访问的； </w:t>
      </w:r>
    </w:p>
    <w:p w14:paraId="1991D936">
      <w:pPr>
        <w:pStyle w:val="2"/>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（二）电子交易平台应用或数据库出现错误，不能进行正常操作的；</w:t>
      </w:r>
    </w:p>
    <w:p w14:paraId="5B932FEC">
      <w:pPr>
        <w:pStyle w:val="2"/>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（三）电子交易平台发现严重安全漏洞，有潜在泄密危险的；</w:t>
      </w:r>
    </w:p>
    <w:p w14:paraId="7C535E8D">
      <w:pPr>
        <w:pStyle w:val="2"/>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（四）病毒发作导致不能进行正常操作的；</w:t>
      </w:r>
    </w:p>
    <w:p w14:paraId="5B9A1A13">
      <w:pPr>
        <w:pStyle w:val="2"/>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（五）其他无法保证电子交易的公平、公正和安全的情况。</w:t>
      </w:r>
    </w:p>
    <w:p w14:paraId="1096CD3D">
      <w:pPr>
        <w:pStyle w:val="2"/>
        <w:spacing w:line="500" w:lineRule="exact"/>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出现前款规定情形，不影响采购公平、公正性的，采购代理机构可以待上述情形消除后继续组织电子交易活动。</w:t>
      </w:r>
    </w:p>
    <w:p w14:paraId="6B6A05B4">
      <w:pPr>
        <w:pStyle w:val="6"/>
        <w:keepLines/>
        <w:widowControl w:val="0"/>
        <w:numPr>
          <w:ilvl w:val="2"/>
          <w:numId w:val="0"/>
        </w:numPr>
        <w:spacing w:before="156" w:after="156"/>
        <w:ind w:firstLine="643" w:firstLineChars="200"/>
        <w:jc w:val="center"/>
        <w:textAlignment w:val="baseline"/>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rPr>
        <w:t>六、评标</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8"/>
    </w:p>
    <w:p w14:paraId="74112800">
      <w:pPr>
        <w:pStyle w:val="16"/>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1</w:t>
      </w:r>
      <w:r>
        <w:rPr>
          <w:rFonts w:hint="eastAsia" w:hAnsi="宋体" w:cs="宋体"/>
          <w:b/>
          <w:color w:val="auto"/>
          <w:highlight w:val="none"/>
          <w:lang w:val="en-US" w:eastAsia="zh-CN"/>
        </w:rPr>
        <w:t>.</w:t>
      </w:r>
      <w:r>
        <w:rPr>
          <w:rFonts w:hint="eastAsia" w:hAnsi="宋体" w:cs="宋体"/>
          <w:b/>
          <w:color w:val="auto"/>
          <w:highlight w:val="none"/>
        </w:rPr>
        <w:t>组建磋商小组</w:t>
      </w:r>
    </w:p>
    <w:p w14:paraId="5D4CB066">
      <w:pPr>
        <w:pStyle w:val="16"/>
        <w:snapToGrid w:val="0"/>
        <w:spacing w:line="440" w:lineRule="exact"/>
        <w:ind w:firstLine="420" w:firstLineChars="200"/>
        <w:textAlignment w:val="baseline"/>
        <w:rPr>
          <w:rFonts w:hint="eastAsia" w:ascii="宋体" w:hAnsi="宋体" w:cs="宋体"/>
          <w:bCs/>
          <w:color w:val="auto"/>
          <w:kern w:val="0"/>
          <w:szCs w:val="21"/>
          <w:highlight w:val="none"/>
        </w:rPr>
      </w:pPr>
      <w:r>
        <w:rPr>
          <w:rFonts w:hint="eastAsia" w:ascii="宋体" w:hAnsi="宋体" w:cs="宋体"/>
          <w:color w:val="auto"/>
          <w:highlight w:val="none"/>
        </w:rPr>
        <w:t>采购人依法组建磋商小组，共3人组成，</w:t>
      </w:r>
      <w:r>
        <w:rPr>
          <w:rFonts w:hint="eastAsia" w:ascii="宋体" w:hAnsi="宋体" w:cs="宋体"/>
          <w:bCs/>
          <w:color w:val="auto"/>
          <w:kern w:val="0"/>
          <w:szCs w:val="21"/>
          <w:highlight w:val="none"/>
        </w:rPr>
        <w:t>由</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名有关经济、技术专家</w:t>
      </w:r>
      <w:r>
        <w:rPr>
          <w:rFonts w:hint="eastAsia" w:ascii="宋体" w:hAnsi="宋体" w:cs="宋体"/>
          <w:bCs/>
          <w:color w:val="auto"/>
          <w:kern w:val="0"/>
          <w:szCs w:val="21"/>
          <w:highlight w:val="none"/>
          <w:lang w:val="en-US" w:eastAsia="zh-CN"/>
        </w:rPr>
        <w:t>和采购人代表1人</w:t>
      </w:r>
      <w:r>
        <w:rPr>
          <w:rFonts w:hint="eastAsia" w:ascii="宋体" w:hAnsi="宋体" w:cs="宋体"/>
          <w:bCs/>
          <w:color w:val="auto"/>
          <w:kern w:val="0"/>
          <w:szCs w:val="21"/>
          <w:highlight w:val="none"/>
        </w:rPr>
        <w:t>组成。</w:t>
      </w:r>
    </w:p>
    <w:p w14:paraId="7C0A10A1">
      <w:pPr>
        <w:pStyle w:val="16"/>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2</w:t>
      </w:r>
      <w:r>
        <w:rPr>
          <w:rFonts w:hint="eastAsia" w:hAnsi="宋体" w:cs="宋体"/>
          <w:b/>
          <w:color w:val="auto"/>
          <w:highlight w:val="none"/>
          <w:lang w:val="en-US" w:eastAsia="zh-CN"/>
        </w:rPr>
        <w:t>.</w:t>
      </w:r>
      <w:r>
        <w:rPr>
          <w:rFonts w:hint="eastAsia" w:hAnsi="宋体" w:cs="宋体"/>
          <w:b/>
          <w:color w:val="auto"/>
          <w:highlight w:val="none"/>
        </w:rPr>
        <w:t>评标的方式</w:t>
      </w:r>
    </w:p>
    <w:p w14:paraId="4259732E">
      <w:pPr>
        <w:pStyle w:val="16"/>
        <w:snapToGrid w:val="0"/>
        <w:spacing w:line="440" w:lineRule="exact"/>
        <w:ind w:left="479" w:leftChars="228" w:firstLine="420" w:firstLineChars="200"/>
        <w:textAlignment w:val="baseline"/>
        <w:rPr>
          <w:rFonts w:hAnsi="宋体" w:cs="宋体"/>
          <w:color w:val="auto"/>
          <w:highlight w:val="none"/>
        </w:rPr>
      </w:pPr>
      <w:r>
        <w:rPr>
          <w:rFonts w:hint="eastAsia" w:hAnsi="宋体" w:cs="宋体"/>
          <w:color w:val="auto"/>
          <w:highlight w:val="none"/>
        </w:rPr>
        <w:t>本项目采用不公开方式评标，评标的依据为磋商文件和响应文件。</w:t>
      </w:r>
    </w:p>
    <w:p w14:paraId="4444840C">
      <w:pPr>
        <w:pStyle w:val="16"/>
        <w:snapToGrid w:val="0"/>
        <w:spacing w:line="440" w:lineRule="exact"/>
        <w:ind w:firstLine="422" w:firstLineChars="200"/>
        <w:textAlignment w:val="baseline"/>
        <w:rPr>
          <w:rFonts w:hAnsi="宋体" w:cs="宋体"/>
          <w:b/>
          <w:color w:val="auto"/>
          <w:highlight w:val="none"/>
        </w:rPr>
      </w:pPr>
      <w:r>
        <w:rPr>
          <w:rFonts w:hint="eastAsia" w:hAnsi="宋体" w:cs="宋体"/>
          <w:b/>
          <w:bCs/>
          <w:color w:val="auto"/>
          <w:highlight w:val="none"/>
        </w:rPr>
        <w:t>3</w:t>
      </w:r>
      <w:r>
        <w:rPr>
          <w:rFonts w:hint="eastAsia" w:hAnsi="宋体" w:cs="宋体"/>
          <w:b/>
          <w:bCs/>
          <w:color w:val="auto"/>
          <w:highlight w:val="none"/>
          <w:lang w:val="en-US" w:eastAsia="zh-CN"/>
        </w:rPr>
        <w:t>.</w:t>
      </w:r>
      <w:r>
        <w:rPr>
          <w:rFonts w:hint="eastAsia" w:hAnsi="宋体" w:cs="宋体"/>
          <w:b/>
          <w:bCs/>
          <w:color w:val="auto"/>
          <w:highlight w:val="none"/>
        </w:rPr>
        <w:t>评标程序</w:t>
      </w:r>
    </w:p>
    <w:p w14:paraId="04C2AFCE">
      <w:pPr>
        <w:snapToGrid w:val="0"/>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3.1形式审查</w:t>
      </w:r>
    </w:p>
    <w:p w14:paraId="348E4C60">
      <w:pPr>
        <w:snapToGrid w:val="0"/>
        <w:spacing w:line="440" w:lineRule="exact"/>
        <w:ind w:firstLine="420" w:firstLineChars="200"/>
        <w:textAlignment w:val="baseline"/>
        <w:rPr>
          <w:rFonts w:ascii="宋体" w:hAnsi="宋体" w:cs="宋体"/>
          <w:b/>
          <w:color w:val="auto"/>
          <w:sz w:val="20"/>
          <w:szCs w:val="21"/>
          <w:highlight w:val="none"/>
        </w:rPr>
      </w:pPr>
      <w:r>
        <w:rPr>
          <w:rFonts w:hint="eastAsia" w:ascii="宋体" w:hAnsi="宋体" w:cs="宋体"/>
          <w:color w:val="auto"/>
          <w:szCs w:val="21"/>
          <w:highlight w:val="none"/>
        </w:rPr>
        <w:t>采购人代表和代理机构工作人员协助磋商小组对磋商供应商的响应文件的完整性、合法性等进行审查。</w:t>
      </w:r>
    </w:p>
    <w:p w14:paraId="4D69D37B">
      <w:pPr>
        <w:snapToGrid w:val="0"/>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3.2实质审查与比较</w:t>
      </w:r>
    </w:p>
    <w:p w14:paraId="422F86D0">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（1）磋商小组审查响应文件的实质性内容是否符合磋商文件的实质性要求。</w:t>
      </w:r>
    </w:p>
    <w:p w14:paraId="279F09B1">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磋商小组将根据磋商供应商的响应文件进行审查、核对,如有疑问,将对磋商供应商进行询标,磋商供应商要向磋商小组澄清有关问题,并最终以书面形式进行答复。磋商供应商代表未到场或者拒绝澄清或者澄清的内容改变了响应文件的实质性内容的，磋商小组有权对该响应文件作出不利于磋商供应商的评判。</w:t>
      </w:r>
    </w:p>
    <w:p w14:paraId="20A7CC05">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（3）各磋商供应商的技术分为所有评委的有效评分的算术平均数，资信分由评委统一打分，由代理机构工作人员进行计算复核。</w:t>
      </w:r>
    </w:p>
    <w:p w14:paraId="2812B272">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（4）代理机构工作人员协助磋商小组根据本项目的评分标准计算各磋商供应商的商务报价得分。</w:t>
      </w:r>
    </w:p>
    <w:p w14:paraId="3191F8C7">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（5）磋商小组完成评标后,评委对各部分得分汇总,计算出本项目最终得分、性价比、评标价等。磋商小组按评标原则推荐成交候选供应商同时起草评标报告。</w:t>
      </w:r>
    </w:p>
    <w:p w14:paraId="27313126">
      <w:pPr>
        <w:snapToGrid w:val="0"/>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澄清问题的形式</w:t>
      </w:r>
    </w:p>
    <w:p w14:paraId="1278CEB2">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对响应文件中含义不明确、同类问题表述不一致或者有明显文字和计算错误的内容，磋商小组可要求磋商供应商作出必要的澄清、说明或者纠正。磋商供应商的澄清、说明或者补正应当采用书面形式，由其授权代表签字或盖章确认，并不得超出响应文件的范围或者改变响应文件的实质性内容。</w:t>
      </w:r>
    </w:p>
    <w:p w14:paraId="0EB2D6C4">
      <w:pPr>
        <w:pStyle w:val="16"/>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5</w:t>
      </w:r>
      <w:r>
        <w:rPr>
          <w:rFonts w:hint="eastAsia" w:hAnsi="宋体" w:cs="宋体"/>
          <w:b/>
          <w:color w:val="auto"/>
          <w:highlight w:val="none"/>
          <w:lang w:val="en-US" w:eastAsia="zh-CN"/>
        </w:rPr>
        <w:t>.</w:t>
      </w:r>
      <w:r>
        <w:rPr>
          <w:rFonts w:hint="eastAsia" w:hAnsi="宋体" w:cs="宋体"/>
          <w:b/>
          <w:color w:val="auto"/>
          <w:highlight w:val="none"/>
        </w:rPr>
        <w:t>错误修正</w:t>
      </w:r>
    </w:p>
    <w:p w14:paraId="317F6AF0">
      <w:pPr>
        <w:pStyle w:val="16"/>
        <w:snapToGrid w:val="0"/>
        <w:spacing w:line="440" w:lineRule="exact"/>
        <w:ind w:left="479" w:leftChars="228" w:firstLine="420" w:firstLineChars="200"/>
        <w:textAlignment w:val="baseline"/>
        <w:rPr>
          <w:rFonts w:hAnsi="宋体" w:cs="宋体"/>
          <w:color w:val="auto"/>
          <w:highlight w:val="none"/>
        </w:rPr>
      </w:pPr>
      <w:r>
        <w:rPr>
          <w:rFonts w:hint="eastAsia" w:hAnsi="宋体" w:cs="宋体"/>
          <w:color w:val="auto"/>
          <w:highlight w:val="none"/>
        </w:rPr>
        <w:t>响应文件如果出现计算或表达上的错误，修正错误的原则如下：</w:t>
      </w:r>
    </w:p>
    <w:p w14:paraId="45E0AF3A">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（一）响应文件中开标一览表内容与响应文件中相应内容不一致的，以开标一览表为准；</w:t>
      </w:r>
    </w:p>
    <w:p w14:paraId="437275A5">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（二）大写金额和小写金额不一致的，以大写金额为准；</w:t>
      </w:r>
    </w:p>
    <w:p w14:paraId="7B9A62FD">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（三）单价金额小数点或者百分比有明显错位的，以开标一览表的总价为准，并修改单价；</w:t>
      </w:r>
    </w:p>
    <w:p w14:paraId="013EB96D">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（四）总价金额与按单价汇总金额不一致的，以单价金额计算结果为准。</w:t>
      </w:r>
    </w:p>
    <w:p w14:paraId="1AD5FC58">
      <w:pPr>
        <w:pStyle w:val="16"/>
        <w:snapToGrid w:val="0"/>
        <w:spacing w:line="440" w:lineRule="exact"/>
        <w:ind w:firstLine="422" w:firstLineChars="200"/>
        <w:textAlignment w:val="baseline"/>
        <w:rPr>
          <w:rFonts w:hAnsi="宋体" w:cs="宋体"/>
          <w:b/>
          <w:bCs/>
          <w:color w:val="auto"/>
          <w:highlight w:val="none"/>
        </w:rPr>
      </w:pPr>
      <w:r>
        <w:rPr>
          <w:rFonts w:hint="eastAsia" w:hAnsi="宋体" w:cs="宋体"/>
          <w:b/>
          <w:bCs/>
          <w:color w:val="auto"/>
          <w:highlight w:val="none"/>
        </w:rPr>
        <w:t>同时出现两种以上不一致的，按照前款规定的顺序修正。按上述修正错误的原则及方法调整或修正响应文件的投标报价，磋商供应商同意并签字确认后，调整后的投标报价对磋商供应商具有约束作用。如果磋商供应商不接受修正后的报价，则其投标将作为无效投标处理。</w:t>
      </w:r>
    </w:p>
    <w:p w14:paraId="302118CD">
      <w:pPr>
        <w:pStyle w:val="16"/>
        <w:tabs>
          <w:tab w:val="left" w:pos="630"/>
        </w:tabs>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6</w:t>
      </w:r>
      <w:r>
        <w:rPr>
          <w:rFonts w:hint="eastAsia" w:hAnsi="宋体" w:cs="宋体"/>
          <w:b/>
          <w:color w:val="auto"/>
          <w:highlight w:val="none"/>
          <w:lang w:val="en-US" w:eastAsia="zh-CN"/>
        </w:rPr>
        <w:t>.</w:t>
      </w:r>
      <w:r>
        <w:rPr>
          <w:rFonts w:hint="eastAsia" w:hAnsi="宋体" w:cs="宋体"/>
          <w:b/>
          <w:color w:val="auto"/>
          <w:highlight w:val="none"/>
        </w:rPr>
        <w:t>评标原则和评标办法</w:t>
      </w:r>
    </w:p>
    <w:p w14:paraId="7C2637A3">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6.1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3644F6FD">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6.2评标办法。本项目评标办法是综合评分法，具体评标内容及评分标准等详见《第五章：评标原则及方法》。</w:t>
      </w:r>
    </w:p>
    <w:p w14:paraId="6C18DC0A">
      <w:pPr>
        <w:pStyle w:val="16"/>
        <w:tabs>
          <w:tab w:val="left" w:pos="630"/>
        </w:tabs>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7</w:t>
      </w:r>
      <w:r>
        <w:rPr>
          <w:rFonts w:hint="eastAsia" w:hAnsi="宋体" w:cs="宋体"/>
          <w:b/>
          <w:color w:val="auto"/>
          <w:highlight w:val="none"/>
          <w:lang w:val="en-US" w:eastAsia="zh-CN"/>
        </w:rPr>
        <w:t>.</w:t>
      </w:r>
      <w:r>
        <w:rPr>
          <w:rFonts w:hint="eastAsia" w:hAnsi="宋体" w:cs="宋体"/>
          <w:b/>
          <w:color w:val="auto"/>
          <w:highlight w:val="none"/>
        </w:rPr>
        <w:t>无效标条款</w:t>
      </w:r>
    </w:p>
    <w:p w14:paraId="025CD5F4">
      <w:pPr>
        <w:snapToGrid w:val="0"/>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bCs/>
          <w:color w:val="000000"/>
          <w:sz w:val="21"/>
          <w:szCs w:val="21"/>
        </w:rPr>
        <w:t>7.1</w:t>
      </w:r>
      <w:r>
        <w:rPr>
          <w:rFonts w:hint="eastAsia" w:ascii="宋体" w:hAnsi="宋体" w:eastAsia="宋体" w:cs="宋体"/>
          <w:b/>
          <w:color w:val="000000"/>
          <w:sz w:val="21"/>
          <w:szCs w:val="21"/>
        </w:rPr>
        <w:t>开标时，如出现以下情况之一的，则投标文件无效：</w:t>
      </w:r>
    </w:p>
    <w:p w14:paraId="7B37757F">
      <w:pPr>
        <w:widowControl/>
        <w:overflowPunct w:val="0"/>
        <w:autoSpaceDE w:val="0"/>
        <w:autoSpaceDN w:val="0"/>
        <w:adjustRightInd w:val="0"/>
        <w:snapToGrid w:val="0"/>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（1）投标文件未按招标文件要求签署、签章的；</w:t>
      </w:r>
    </w:p>
    <w:p w14:paraId="4F49F0EA">
      <w:pPr>
        <w:widowControl/>
        <w:overflowPunct w:val="0"/>
        <w:autoSpaceDE w:val="0"/>
        <w:autoSpaceDN w:val="0"/>
        <w:adjustRightInd w:val="0"/>
        <w:snapToGrid w:val="0"/>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（2）不具备招标文件中规定的资格要求的；</w:t>
      </w:r>
    </w:p>
    <w:p w14:paraId="6CF00DF4">
      <w:pPr>
        <w:widowControl/>
        <w:overflowPunct w:val="0"/>
        <w:autoSpaceDE w:val="0"/>
        <w:autoSpaceDN w:val="0"/>
        <w:adjustRightInd w:val="0"/>
        <w:snapToGrid w:val="0"/>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（3）报价超过招标文件中规定的预算金额或者最高限价的；</w:t>
      </w:r>
    </w:p>
    <w:p w14:paraId="2C59473C">
      <w:pPr>
        <w:widowControl/>
        <w:overflowPunct w:val="0"/>
        <w:autoSpaceDE w:val="0"/>
        <w:autoSpaceDN w:val="0"/>
        <w:adjustRightInd w:val="0"/>
        <w:snapToGrid w:val="0"/>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（4）投标文件含有采购单位不能接受的附加条件的；</w:t>
      </w:r>
    </w:p>
    <w:p w14:paraId="53C5119C">
      <w:pPr>
        <w:widowControl/>
        <w:overflowPunct w:val="0"/>
        <w:autoSpaceDE w:val="0"/>
        <w:autoSpaceDN w:val="0"/>
        <w:adjustRightInd w:val="0"/>
        <w:snapToGrid w:val="0"/>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5</w:t>
      </w:r>
      <w:r>
        <w:rPr>
          <w:rFonts w:hint="eastAsia" w:ascii="宋体" w:hAnsi="宋体" w:eastAsia="宋体" w:cs="宋体"/>
          <w:b/>
          <w:bCs/>
          <w:color w:val="000000"/>
          <w:sz w:val="21"/>
          <w:szCs w:val="21"/>
        </w:rPr>
        <w:t>）投标文件明显不符合采购文件要求的或者与采购文件标注“▲”的条款发生实质性负偏离的；</w:t>
      </w:r>
    </w:p>
    <w:p w14:paraId="51C57721">
      <w:pPr>
        <w:widowControl/>
        <w:overflowPunct w:val="0"/>
        <w:autoSpaceDE w:val="0"/>
        <w:autoSpaceDN w:val="0"/>
        <w:adjustRightInd w:val="0"/>
        <w:snapToGrid w:val="0"/>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6</w:t>
      </w:r>
      <w:r>
        <w:rPr>
          <w:rFonts w:hint="eastAsia" w:ascii="宋体" w:hAnsi="宋体" w:eastAsia="宋体" w:cs="宋体"/>
          <w:b/>
          <w:bCs/>
          <w:color w:val="000000"/>
          <w:sz w:val="21"/>
          <w:szCs w:val="21"/>
        </w:rPr>
        <w:t>）响应文件解密失败的。</w:t>
      </w:r>
    </w:p>
    <w:p w14:paraId="0A15E881">
      <w:pPr>
        <w:widowControl/>
        <w:overflowPunct w:val="0"/>
        <w:snapToGrid w:val="0"/>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7</w:t>
      </w:r>
      <w:r>
        <w:rPr>
          <w:rFonts w:hint="eastAsia" w:ascii="宋体" w:hAnsi="宋体" w:eastAsia="宋体" w:cs="宋体"/>
          <w:b/>
          <w:bCs/>
          <w:color w:val="000000"/>
          <w:sz w:val="21"/>
          <w:szCs w:val="21"/>
        </w:rPr>
        <w:t>）供应商存在下列情形之一旦无法合理解释的，其投标(响应)文件无效:</w:t>
      </w:r>
    </w:p>
    <w:p w14:paraId="3C1F0CBA">
      <w:pPr>
        <w:widowControl/>
        <w:numPr>
          <w:ilvl w:val="0"/>
          <w:numId w:val="7"/>
        </w:numPr>
        <w:overflowPunct w:val="0"/>
        <w:snapToGrid w:val="0"/>
        <w:spacing w:line="360" w:lineRule="auto"/>
        <w:ind w:left="358" w:leftChars="0"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不同供应商的电子投标(响应)文件上传计算机的网卡MAC地址或硬盘序列号等硬件</w:t>
      </w:r>
    </w:p>
    <w:p w14:paraId="100C2F97">
      <w:pPr>
        <w:widowControl/>
        <w:numPr>
          <w:ilvl w:val="0"/>
          <w:numId w:val="0"/>
        </w:numPr>
        <w:overflowPunct w:val="0"/>
        <w:snapToGrid w:val="0"/>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信息相同的</w:t>
      </w:r>
      <w:r>
        <w:rPr>
          <w:rFonts w:hint="eastAsia" w:ascii="宋体" w:hAnsi="宋体" w:eastAsia="宋体" w:cs="宋体"/>
          <w:b/>
          <w:bCs/>
          <w:color w:val="000000"/>
          <w:sz w:val="21"/>
          <w:szCs w:val="21"/>
          <w:lang w:eastAsia="zh-CN"/>
        </w:rPr>
        <w:t>；</w:t>
      </w:r>
    </w:p>
    <w:p w14:paraId="3F77A08A">
      <w:pPr>
        <w:widowControl/>
        <w:numPr>
          <w:ilvl w:val="0"/>
          <w:numId w:val="7"/>
        </w:numPr>
        <w:overflowPunct w:val="0"/>
        <w:snapToGrid w:val="0"/>
        <w:spacing w:line="360" w:lineRule="auto"/>
        <w:ind w:left="358" w:leftChars="0"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上传的电子投标(响应)文件若出现使用本项目其他投标(响应)供应商的数字证书加密的，或者加盖本项目其他投标(响应)供应商的电子印章的:</w:t>
      </w:r>
    </w:p>
    <w:p w14:paraId="1BEF6532">
      <w:pPr>
        <w:widowControl/>
        <w:numPr>
          <w:ilvl w:val="0"/>
          <w:numId w:val="7"/>
        </w:numPr>
        <w:overflowPunct w:val="0"/>
        <w:snapToGrid w:val="0"/>
        <w:spacing w:line="360" w:lineRule="auto"/>
        <w:ind w:left="358" w:leftChars="0"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不同供应商的投标(响应)文件的内容存在3处(含)以上错误一致的</w:t>
      </w:r>
      <w:r>
        <w:rPr>
          <w:rFonts w:hint="eastAsia" w:ascii="宋体" w:hAnsi="宋体" w:eastAsia="宋体" w:cs="宋体"/>
          <w:b/>
          <w:bCs/>
          <w:color w:val="000000"/>
          <w:sz w:val="21"/>
          <w:szCs w:val="21"/>
          <w:lang w:eastAsia="zh-CN"/>
        </w:rPr>
        <w:t>；</w:t>
      </w:r>
    </w:p>
    <w:p w14:paraId="3EA9A413">
      <w:pPr>
        <w:widowControl/>
        <w:numPr>
          <w:ilvl w:val="0"/>
          <w:numId w:val="7"/>
        </w:numPr>
        <w:overflowPunct w:val="0"/>
        <w:snapToGrid w:val="0"/>
        <w:spacing w:line="360" w:lineRule="auto"/>
        <w:ind w:left="358" w:leftChars="0"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不同供应商联系人为同一人或不同联系人的联系电话一致的。</w:t>
      </w:r>
    </w:p>
    <w:p w14:paraId="61B1E416">
      <w:pPr>
        <w:widowControl/>
        <w:overflowPunct w:val="0"/>
        <w:autoSpaceDE w:val="0"/>
        <w:autoSpaceDN w:val="0"/>
        <w:adjustRightInd w:val="0"/>
        <w:snapToGrid w:val="0"/>
        <w:spacing w:line="360" w:lineRule="auto"/>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8</w:t>
      </w:r>
      <w:r>
        <w:rPr>
          <w:rFonts w:hint="eastAsia" w:ascii="宋体" w:hAnsi="宋体" w:eastAsia="宋体" w:cs="宋体"/>
          <w:b/>
          <w:bCs/>
          <w:color w:val="000000"/>
          <w:sz w:val="21"/>
          <w:szCs w:val="21"/>
        </w:rPr>
        <w:t>）法律、法规和招标文件规定的其他无效情形</w:t>
      </w:r>
      <w:r>
        <w:rPr>
          <w:rFonts w:hint="eastAsia" w:ascii="宋体" w:hAnsi="宋体" w:eastAsia="宋体" w:cs="宋体"/>
          <w:b/>
          <w:bCs/>
          <w:color w:val="000000"/>
          <w:sz w:val="24"/>
        </w:rPr>
        <w:t>；</w:t>
      </w:r>
    </w:p>
    <w:p w14:paraId="66B83368">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7.2有下列情形之一的，视为磋商供应商串通投标，其投标无效：</w:t>
      </w:r>
    </w:p>
    <w:p w14:paraId="42D1BE36">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（一）不同磋商供应商的响应文件由同一单位或者个人编制；</w:t>
      </w:r>
    </w:p>
    <w:p w14:paraId="3B330346">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（二）不同磋商供应商委托同一单位或者个人办理投标事宜；</w:t>
      </w:r>
    </w:p>
    <w:p w14:paraId="6DFD5C3D">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（三）不同磋商供应商的响应文件载明的项目管理成员或者联系人员为同一人；</w:t>
      </w:r>
    </w:p>
    <w:p w14:paraId="61D1E291">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（四）不同磋商供应商的响应文件异常一致或者投标报价呈规律性差异；</w:t>
      </w:r>
    </w:p>
    <w:p w14:paraId="6CBEC0E3">
      <w:pPr>
        <w:snapToGrid w:val="0"/>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7.3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投标处理。</w:t>
      </w:r>
    </w:p>
    <w:p w14:paraId="7CF15B87">
      <w:pPr>
        <w:pStyle w:val="16"/>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8</w:t>
      </w:r>
      <w:r>
        <w:rPr>
          <w:rFonts w:hint="eastAsia" w:hAnsi="宋体" w:cs="宋体"/>
          <w:b/>
          <w:color w:val="auto"/>
          <w:highlight w:val="none"/>
          <w:lang w:val="en-US" w:eastAsia="zh-CN"/>
        </w:rPr>
        <w:t>.</w:t>
      </w:r>
      <w:r>
        <w:rPr>
          <w:rFonts w:hint="eastAsia" w:hAnsi="宋体" w:cs="宋体"/>
          <w:b/>
          <w:color w:val="auto"/>
          <w:highlight w:val="none"/>
        </w:rPr>
        <w:t>终止竞争性磋商采购活动的情形</w:t>
      </w:r>
    </w:p>
    <w:p w14:paraId="586C43A7">
      <w:pPr>
        <w:pStyle w:val="16"/>
        <w:snapToGrid w:val="0"/>
        <w:spacing w:line="440" w:lineRule="exact"/>
        <w:ind w:firstLine="420" w:firstLineChars="200"/>
        <w:textAlignment w:val="baseline"/>
        <w:rPr>
          <w:rFonts w:hAnsi="宋体" w:cs="宋体"/>
          <w:bCs/>
          <w:color w:val="auto"/>
          <w:highlight w:val="none"/>
        </w:rPr>
      </w:pPr>
      <w:r>
        <w:rPr>
          <w:rFonts w:hint="eastAsia" w:hAnsi="宋体" w:cs="宋体"/>
          <w:bCs/>
          <w:color w:val="auto"/>
          <w:highlight w:val="none"/>
        </w:rPr>
        <w:t>8.1出现下列情形之一的，采购人或采购代理机构应当终止竞争性磋商采购活动，发布项目终止公告并说明原因，重新开展采购活动：</w:t>
      </w:r>
    </w:p>
    <w:p w14:paraId="56EB766A">
      <w:pPr>
        <w:pStyle w:val="16"/>
        <w:numPr>
          <w:ilvl w:val="0"/>
          <w:numId w:val="0"/>
        </w:numPr>
        <w:snapToGrid w:val="0"/>
        <w:spacing w:line="440" w:lineRule="exact"/>
        <w:ind w:firstLine="420" w:firstLineChars="200"/>
        <w:textAlignment w:val="baseline"/>
        <w:rPr>
          <w:rFonts w:hAnsi="宋体" w:cs="宋体"/>
          <w:bCs/>
          <w:color w:val="auto"/>
          <w:highlight w:val="none"/>
        </w:rPr>
      </w:pPr>
      <w:r>
        <w:rPr>
          <w:rFonts w:hint="eastAsia" w:ascii="宋体" w:hAnsi="宋体" w:eastAsia="宋体" w:cs="宋体"/>
          <w:bCs/>
          <w:color w:val="auto"/>
          <w:kern w:val="2"/>
          <w:sz w:val="21"/>
          <w:szCs w:val="21"/>
          <w:lang w:val="en-US" w:eastAsia="zh-CN" w:bidi="ar-SA"/>
        </w:rPr>
        <w:t>（一）</w:t>
      </w:r>
      <w:r>
        <w:rPr>
          <w:rFonts w:hint="eastAsia" w:hAnsi="宋体" w:cs="宋体"/>
          <w:bCs/>
          <w:color w:val="auto"/>
          <w:highlight w:val="none"/>
        </w:rPr>
        <w:t>因情况变化，不再符合规定的竞争性磋商采购方式适用情形的；</w:t>
      </w:r>
    </w:p>
    <w:p w14:paraId="3AD6E721">
      <w:pPr>
        <w:pStyle w:val="16"/>
        <w:numPr>
          <w:ilvl w:val="0"/>
          <w:numId w:val="0"/>
        </w:numPr>
        <w:snapToGrid w:val="0"/>
        <w:spacing w:line="440" w:lineRule="exact"/>
        <w:ind w:firstLine="420" w:firstLineChars="200"/>
        <w:textAlignment w:val="baseline"/>
        <w:rPr>
          <w:rFonts w:hAnsi="宋体" w:cs="宋体"/>
          <w:bCs/>
          <w:color w:val="auto"/>
          <w:highlight w:val="none"/>
        </w:rPr>
      </w:pPr>
      <w:r>
        <w:rPr>
          <w:rFonts w:hint="eastAsia" w:ascii="宋体" w:hAnsi="宋体" w:eastAsia="宋体" w:cs="宋体"/>
          <w:bCs/>
          <w:color w:val="auto"/>
          <w:kern w:val="2"/>
          <w:sz w:val="21"/>
          <w:szCs w:val="21"/>
          <w:lang w:val="en-US" w:eastAsia="zh-CN" w:bidi="ar-SA"/>
        </w:rPr>
        <w:t>（二）</w:t>
      </w:r>
      <w:r>
        <w:rPr>
          <w:rFonts w:hint="eastAsia" w:hAnsi="宋体" w:cs="宋体"/>
          <w:bCs/>
          <w:color w:val="auto"/>
          <w:highlight w:val="none"/>
        </w:rPr>
        <w:t>出现影响采购公正的违法、违规行为的；</w:t>
      </w:r>
    </w:p>
    <w:p w14:paraId="74AA00B3">
      <w:pPr>
        <w:pStyle w:val="16"/>
        <w:snapToGrid w:val="0"/>
        <w:spacing w:line="440" w:lineRule="exact"/>
        <w:ind w:firstLine="422" w:firstLineChars="200"/>
        <w:textAlignment w:val="baseline"/>
        <w:rPr>
          <w:rFonts w:hint="eastAsia" w:hAnsi="宋体" w:cs="宋体"/>
          <w:b/>
          <w:bCs w:val="0"/>
          <w:color w:val="auto"/>
          <w:highlight w:val="none"/>
        </w:rPr>
      </w:pPr>
      <w:r>
        <w:rPr>
          <w:rFonts w:hint="eastAsia" w:hAnsi="宋体" w:cs="宋体"/>
          <w:b/>
          <w:bCs w:val="0"/>
          <w:color w:val="auto"/>
          <w:highlight w:val="none"/>
          <w:lang w:val="en-US" w:eastAsia="zh-CN"/>
        </w:rPr>
        <w:t>9.</w:t>
      </w:r>
      <w:r>
        <w:rPr>
          <w:rFonts w:hint="eastAsia" w:hAnsi="宋体" w:cs="宋体"/>
          <w:b/>
          <w:bCs w:val="0"/>
          <w:color w:val="auto"/>
          <w:highlight w:val="none"/>
        </w:rPr>
        <w:t>根据《财政部关于政府采购竞争性磋商采购方式管理暂行办法有关问题的补充通知》（财库</w:t>
      </w:r>
      <w:r>
        <w:rPr>
          <w:rFonts w:hint="eastAsia" w:hAnsi="宋体" w:cs="宋体"/>
          <w:b/>
          <w:bCs w:val="0"/>
          <w:color w:val="auto"/>
          <w:highlight w:val="none"/>
          <w:lang w:eastAsia="zh-CN"/>
        </w:rPr>
        <w:t>〔2015〕124号</w:t>
      </w:r>
      <w:r>
        <w:rPr>
          <w:rFonts w:hint="eastAsia" w:hAnsi="宋体" w:cs="宋体"/>
          <w:b/>
          <w:bCs w:val="0"/>
          <w:color w:val="auto"/>
          <w:highlight w:val="none"/>
        </w:rPr>
        <w:t>）采用竞争性磋商采购方式的政府购买服务项目在采购过程中符合要求的供应商只有2家的，竞争性磋商采购活动可以继续进行。采购过程中符合要求的供应商只有1家的，采购人终止竞争性磋商采购活动。</w:t>
      </w:r>
    </w:p>
    <w:p w14:paraId="1E1E741F">
      <w:pPr>
        <w:pStyle w:val="16"/>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lang w:val="en-US" w:eastAsia="zh-CN"/>
        </w:rPr>
        <w:t>10.</w:t>
      </w:r>
      <w:r>
        <w:rPr>
          <w:rFonts w:hint="eastAsia" w:hAnsi="宋体" w:cs="宋体"/>
          <w:b/>
          <w:color w:val="auto"/>
          <w:highlight w:val="none"/>
        </w:rPr>
        <w:t>评标过程的监控</w:t>
      </w:r>
    </w:p>
    <w:p w14:paraId="7DAD51AE">
      <w:pPr>
        <w:pStyle w:val="16"/>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本项目评标过程实行全程录音、录像监控，磋商供应商在评标过程中所进行的试图影响评标结果的不公正活动，可能导致其投标被拒绝。</w:t>
      </w:r>
    </w:p>
    <w:p w14:paraId="147AA694">
      <w:pPr>
        <w:ind w:firstLine="643" w:firstLineChars="200"/>
        <w:rPr>
          <w:rFonts w:hint="eastAsia" w:ascii="宋体" w:hAnsi="宋体" w:eastAsia="宋体" w:cs="宋体"/>
          <w:b/>
          <w:bCs/>
          <w:color w:val="auto"/>
          <w:kern w:val="2"/>
          <w:sz w:val="32"/>
          <w:szCs w:val="32"/>
          <w:highlight w:val="none"/>
        </w:rPr>
      </w:pPr>
      <w:bookmarkStart w:id="59" w:name="_Toc21143"/>
      <w:r>
        <w:rPr>
          <w:rFonts w:hint="eastAsia" w:ascii="宋体" w:hAnsi="宋体" w:eastAsia="宋体" w:cs="宋体"/>
          <w:b/>
          <w:bCs/>
          <w:color w:val="auto"/>
          <w:kern w:val="2"/>
          <w:sz w:val="32"/>
          <w:szCs w:val="32"/>
          <w:highlight w:val="none"/>
        </w:rPr>
        <w:br w:type="page"/>
      </w:r>
    </w:p>
    <w:p w14:paraId="42160387">
      <w:pPr>
        <w:pStyle w:val="6"/>
        <w:keepLines/>
        <w:widowControl w:val="0"/>
        <w:numPr>
          <w:ilvl w:val="2"/>
          <w:numId w:val="0"/>
        </w:numPr>
        <w:spacing w:before="156" w:after="156"/>
        <w:ind w:firstLine="643" w:firstLineChars="200"/>
        <w:jc w:val="center"/>
        <w:textAlignment w:val="baseline"/>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rPr>
        <w:t>七、定标</w:t>
      </w:r>
      <w:bookmarkEnd w:id="59"/>
    </w:p>
    <w:p w14:paraId="690034C9">
      <w:pPr>
        <w:pStyle w:val="16"/>
        <w:snapToGrid w:val="0"/>
        <w:spacing w:line="440" w:lineRule="exact"/>
        <w:ind w:firstLine="422" w:firstLineChars="200"/>
        <w:textAlignment w:val="baseline"/>
        <w:rPr>
          <w:rFonts w:hint="eastAsia" w:hAnsi="宋体" w:eastAsia="宋体" w:cs="宋体"/>
          <w:b/>
          <w:bCs/>
          <w:color w:val="auto"/>
          <w:highlight w:val="none"/>
          <w:lang w:eastAsia="zh-CN"/>
        </w:rPr>
      </w:pPr>
      <w:r>
        <w:rPr>
          <w:rFonts w:hint="eastAsia" w:hAnsi="宋体" w:cs="宋体"/>
          <w:b/>
          <w:bCs/>
          <w:color w:val="auto"/>
          <w:highlight w:val="none"/>
        </w:rPr>
        <w:t>1</w:t>
      </w:r>
      <w:r>
        <w:rPr>
          <w:rFonts w:hint="eastAsia" w:hAnsi="宋体" w:cs="宋体"/>
          <w:b/>
          <w:bCs/>
          <w:color w:val="auto"/>
          <w:highlight w:val="none"/>
          <w:lang w:val="en-US" w:eastAsia="zh-CN"/>
        </w:rPr>
        <w:t>.</w:t>
      </w:r>
      <w:r>
        <w:rPr>
          <w:rFonts w:hint="eastAsia" w:hAnsi="宋体" w:cs="宋体"/>
          <w:b/>
          <w:bCs/>
          <w:color w:val="auto"/>
          <w:highlight w:val="none"/>
        </w:rPr>
        <w:t>确定中标单位</w:t>
      </w:r>
    </w:p>
    <w:p w14:paraId="591BE18A">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1.1采购代理机构在评标结束后2个工作日内将评标报告交采购人确认。</w:t>
      </w:r>
    </w:p>
    <w:p w14:paraId="2F0B22B8">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1.2磋商供应商对评标结果无异议的，采购人应在收到评标报告后5个工作日内对评标结果进行确认。如有磋商供应商对评标结果提出质疑的，采购人可在质疑处理完毕后确定中标单位。</w:t>
      </w:r>
    </w:p>
    <w:p w14:paraId="3DA6ECD4">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1.3采购人依法确定中标单位后2个工作日内，在</w:t>
      </w:r>
      <w:r>
        <w:rPr>
          <w:rFonts w:hint="eastAsia" w:ascii="宋体" w:hAnsi="宋体" w:cs="宋体"/>
          <w:color w:val="auto"/>
          <w:spacing w:val="-4"/>
          <w:highlight w:val="none"/>
          <w:lang w:eastAsia="zh-CN"/>
        </w:rPr>
        <w:t>常山县人民政府网</w:t>
      </w:r>
      <w:r>
        <w:rPr>
          <w:rFonts w:hint="eastAsia" w:ascii="宋体" w:hAnsi="宋体" w:cs="宋体"/>
          <w:color w:val="auto"/>
          <w:spacing w:val="-4"/>
          <w:highlight w:val="none"/>
        </w:rPr>
        <w:t>、浙江政府采购网上</w:t>
      </w:r>
      <w:r>
        <w:rPr>
          <w:rFonts w:hint="eastAsia" w:ascii="宋体" w:hAnsi="宋体" w:cs="宋体"/>
          <w:color w:val="auto"/>
          <w:szCs w:val="21"/>
          <w:highlight w:val="none"/>
        </w:rPr>
        <w:t>公告中标结果，同时采购人或采购代理机构应当向中标人以书面形式发出《中标通知书》。</w:t>
      </w:r>
    </w:p>
    <w:p w14:paraId="74FD86C1">
      <w:pPr>
        <w:pStyle w:val="6"/>
        <w:keepLines/>
        <w:widowControl w:val="0"/>
        <w:numPr>
          <w:ilvl w:val="2"/>
          <w:numId w:val="0"/>
        </w:numPr>
        <w:spacing w:before="156" w:after="156"/>
        <w:ind w:firstLine="643" w:firstLineChars="200"/>
        <w:jc w:val="center"/>
        <w:textAlignment w:val="baseline"/>
        <w:rPr>
          <w:rFonts w:hint="eastAsia" w:ascii="宋体" w:hAnsi="宋体" w:eastAsia="宋体" w:cs="宋体"/>
          <w:b/>
          <w:bCs/>
          <w:color w:val="auto"/>
          <w:kern w:val="2"/>
          <w:sz w:val="32"/>
          <w:szCs w:val="32"/>
          <w:highlight w:val="none"/>
        </w:rPr>
      </w:pPr>
      <w:bookmarkStart w:id="60" w:name="_Toc11700"/>
      <w:bookmarkStart w:id="61" w:name="_Toc18706"/>
      <w:r>
        <w:rPr>
          <w:rFonts w:hint="eastAsia" w:ascii="宋体" w:hAnsi="宋体" w:eastAsia="宋体" w:cs="宋体"/>
          <w:b/>
          <w:bCs/>
          <w:color w:val="auto"/>
          <w:kern w:val="2"/>
          <w:sz w:val="32"/>
          <w:szCs w:val="32"/>
          <w:highlight w:val="none"/>
        </w:rPr>
        <w:t>八、合同授予</w:t>
      </w:r>
      <w:bookmarkEnd w:id="60"/>
      <w:bookmarkEnd w:id="61"/>
    </w:p>
    <w:p w14:paraId="6C62E705">
      <w:pPr>
        <w:snapToGrid w:val="0"/>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签订合同</w:t>
      </w:r>
    </w:p>
    <w:p w14:paraId="42350715">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1.1中标通知书于中标公告发布之日签发，中标人应于中标结果公告发布之日起两个工作日内，凭法定代表人（负责人）授权委托书及被授权人身份证原件至</w:t>
      </w:r>
      <w:r>
        <w:rPr>
          <w:rFonts w:hint="eastAsia" w:ascii="宋体" w:hAnsi="宋体" w:cs="宋体"/>
          <w:color w:val="auto"/>
          <w:szCs w:val="21"/>
          <w:highlight w:val="none"/>
          <w:lang w:eastAsia="zh-CN"/>
        </w:rPr>
        <w:t>浙江九越建设管理有限公司</w:t>
      </w:r>
      <w:r>
        <w:rPr>
          <w:rFonts w:hint="eastAsia" w:ascii="宋体" w:hAnsi="宋体" w:cs="宋体"/>
          <w:color w:val="auto"/>
          <w:szCs w:val="21"/>
          <w:highlight w:val="none"/>
        </w:rPr>
        <w:t>领取中标通知书，逾期领取的后果自负。中标人与采购单位须在中标结果公告发出两个工作日后的三十天内签订合同。《中标通知书》一经发出即发生法律效力。采购单位无义务向未中标人解释落选原因，不退回</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。《中标通知书》作为签订合同的重要依据，对采购单位和中标人具有法律效力。采购单位改变中标结果或者中标人放弃中标项目的都应承担法律责任。</w:t>
      </w:r>
    </w:p>
    <w:p w14:paraId="0A685054">
      <w:pPr>
        <w:snapToGrid w:val="0"/>
        <w:spacing w:line="440" w:lineRule="exact"/>
        <w:ind w:firstLine="420" w:firstLineChars="200"/>
        <w:textAlignment w:val="baseline"/>
        <w:rPr>
          <w:rFonts w:ascii="宋体" w:hAnsi="宋体" w:cs="宋体"/>
          <w:b/>
          <w:bCs/>
          <w:color w:val="auto"/>
          <w:sz w:val="32"/>
          <w:szCs w:val="32"/>
          <w:highlight w:val="none"/>
        </w:rPr>
      </w:pPr>
      <w:r>
        <w:rPr>
          <w:rFonts w:hint="eastAsia" w:ascii="宋体" w:hAnsi="宋体" w:cs="宋体"/>
          <w:color w:val="auto"/>
          <w:szCs w:val="21"/>
          <w:highlight w:val="none"/>
        </w:rPr>
        <w:t>1.2中标人拖延、拒签合同的,应当按照本项目采购预算价2%的标准承担因此给采购单位造成的损失的赔偿责任及相应的法律责任。</w:t>
      </w:r>
      <w:bookmarkStart w:id="62" w:name="_Toc16204"/>
      <w:bookmarkEnd w:id="62"/>
      <w:bookmarkStart w:id="63" w:name="_Toc16691"/>
      <w:bookmarkEnd w:id="63"/>
    </w:p>
    <w:p w14:paraId="1997C6E6">
      <w:pPr>
        <w:pStyle w:val="28"/>
        <w:spacing w:line="360" w:lineRule="auto"/>
        <w:ind w:firstLine="643" w:firstLineChars="200"/>
        <w:textAlignment w:val="baseline"/>
        <w:outlineLvl w:val="0"/>
        <w:rPr>
          <w:rFonts w:ascii="宋体" w:hAnsi="宋体" w:cs="宋体"/>
          <w:bCs/>
          <w:color w:val="auto"/>
          <w:kern w:val="2"/>
          <w:sz w:val="32"/>
          <w:szCs w:val="32"/>
          <w:highlight w:val="none"/>
          <w:lang w:val="zh-CN" w:eastAsia="zh-CN"/>
        </w:rPr>
      </w:pPr>
      <w:bookmarkStart w:id="64" w:name="_Toc5684"/>
      <w:bookmarkStart w:id="65" w:name="_Toc26093"/>
      <w:bookmarkStart w:id="66" w:name="_Toc487209066"/>
      <w:bookmarkStart w:id="67" w:name="_Toc18498_WPSOffice_Level1"/>
      <w:r>
        <w:rPr>
          <w:rFonts w:hint="eastAsia" w:ascii="宋体" w:hAnsi="宋体" w:cs="宋体"/>
          <w:bCs/>
          <w:color w:val="auto"/>
          <w:kern w:val="2"/>
          <w:sz w:val="32"/>
          <w:szCs w:val="32"/>
          <w:highlight w:val="none"/>
          <w:lang w:eastAsia="zh-CN"/>
        </w:rPr>
        <w:br w:type="column"/>
      </w:r>
      <w:r>
        <w:rPr>
          <w:rFonts w:hint="eastAsia" w:ascii="宋体" w:hAnsi="宋体" w:cs="宋体"/>
          <w:bCs/>
          <w:color w:val="auto"/>
          <w:kern w:val="2"/>
          <w:sz w:val="32"/>
          <w:szCs w:val="32"/>
          <w:highlight w:val="none"/>
          <w:lang w:eastAsia="zh-CN"/>
        </w:rPr>
        <w:t xml:space="preserve">第三章  </w:t>
      </w:r>
      <w:r>
        <w:rPr>
          <w:rFonts w:hint="eastAsia" w:ascii="宋体" w:hAnsi="宋体" w:cs="宋体"/>
          <w:bCs/>
          <w:color w:val="auto"/>
          <w:kern w:val="2"/>
          <w:sz w:val="32"/>
          <w:szCs w:val="32"/>
          <w:highlight w:val="none"/>
          <w:lang w:val="zh-CN" w:eastAsia="zh-CN"/>
        </w:rPr>
        <w:t>采购内容及要求</w:t>
      </w:r>
      <w:bookmarkEnd w:id="64"/>
      <w:bookmarkEnd w:id="65"/>
      <w:bookmarkEnd w:id="66"/>
      <w:bookmarkEnd w:id="67"/>
    </w:p>
    <w:p w14:paraId="776F0261">
      <w:pPr>
        <w:bidi w:val="0"/>
        <w:ind w:firstLine="422" w:firstLineChars="200"/>
        <w:outlineLvl w:val="2"/>
        <w:rPr>
          <w:b/>
          <w:bCs/>
        </w:rPr>
      </w:pPr>
      <w:bookmarkStart w:id="68" w:name="_Toc21547"/>
      <w:r>
        <w:rPr>
          <w:b/>
          <w:bCs/>
        </w:rPr>
        <w:t>一、项目说明</w:t>
      </w:r>
    </w:p>
    <w:p w14:paraId="66651ECD">
      <w:pPr>
        <w:bidi w:val="0"/>
        <w:ind w:firstLine="420" w:firstLineChars="200"/>
      </w:pPr>
      <w:r>
        <w:t>1</w:t>
      </w:r>
      <w:r>
        <w:rPr>
          <w:rFonts w:hint="eastAsia"/>
        </w:rPr>
        <w:t>.</w:t>
      </w:r>
      <w:r>
        <w:t>项目名称：</w:t>
      </w:r>
      <w:r>
        <w:rPr>
          <w:rFonts w:hint="eastAsia"/>
          <w:lang w:eastAsia="zh-CN"/>
        </w:rPr>
        <w:t>常山县紫港街道外港零担菜市场临时疏导点运营管理项目</w:t>
      </w:r>
      <w:r>
        <w:t>。</w:t>
      </w:r>
    </w:p>
    <w:p w14:paraId="3E4CF7C9">
      <w:pPr>
        <w:bidi w:val="0"/>
        <w:ind w:firstLine="420" w:firstLineChars="200"/>
        <w:rPr>
          <w:rFonts w:hint="eastAsia"/>
        </w:rPr>
      </w:pPr>
      <w:r>
        <w:t>2</w:t>
      </w:r>
      <w:r>
        <w:rPr>
          <w:rFonts w:hint="eastAsia"/>
        </w:rPr>
        <w:t>.</w:t>
      </w:r>
      <w:r>
        <w:t>服务期：</w:t>
      </w:r>
      <w:r>
        <w:rPr>
          <w:rFonts w:hint="eastAsia"/>
        </w:rPr>
        <w:t>本项目服务期限一年，以合同签订之日起算。</w:t>
      </w:r>
    </w:p>
    <w:p w14:paraId="2ADD6850">
      <w:pPr>
        <w:bidi w:val="0"/>
        <w:ind w:firstLine="420" w:firstLineChars="200"/>
      </w:pPr>
      <w:r>
        <w:rPr>
          <w:rFonts w:hint="eastAsia"/>
        </w:rPr>
        <w:t>3.采购最高限价:</w:t>
      </w:r>
      <w:r>
        <w:rPr>
          <w:rFonts w:hint="eastAsia"/>
          <w:lang w:val="en-US" w:eastAsia="zh-CN"/>
        </w:rPr>
        <w:t>53</w:t>
      </w:r>
      <w:r>
        <w:rPr>
          <w:rFonts w:hint="eastAsia"/>
          <w:lang w:eastAsia="zh-CN"/>
        </w:rPr>
        <w:t>万元</w:t>
      </w:r>
      <w:r>
        <w:rPr>
          <w:rFonts w:hint="eastAsia"/>
        </w:rPr>
        <w:t>。</w:t>
      </w:r>
    </w:p>
    <w:p w14:paraId="2A31D591">
      <w:pPr>
        <w:bidi w:val="0"/>
        <w:ind w:firstLine="422" w:firstLineChars="200"/>
        <w:outlineLvl w:val="2"/>
        <w:rPr>
          <w:rFonts w:hint="eastAsia" w:eastAsia="宋体" w:cs="Times New Roman"/>
          <w:b/>
          <w:bCs/>
        </w:rPr>
      </w:pPr>
      <w:r>
        <w:rPr>
          <w:rFonts w:hint="eastAsia" w:eastAsia="宋体" w:cs="Times New Roman"/>
          <w:b/>
          <w:bCs/>
        </w:rPr>
        <w:t>二、服务范围</w:t>
      </w:r>
    </w:p>
    <w:p w14:paraId="459EF3DE">
      <w:pPr>
        <w:bidi w:val="0"/>
        <w:ind w:firstLine="420" w:firstLineChars="200"/>
        <w:rPr>
          <w:rFonts w:hint="eastAsia"/>
        </w:rPr>
      </w:pPr>
      <w:r>
        <w:rPr>
          <w:rFonts w:hint="eastAsia" w:ascii="宋体" w:hAnsi="宋体" w:cs="宋体"/>
          <w:color w:val="auto"/>
          <w:szCs w:val="21"/>
          <w:highlight w:val="none"/>
          <w:u w:val="none"/>
          <w:lang w:eastAsia="zh-CN"/>
        </w:rPr>
        <w:t>紫港街道外港零担菜市场</w:t>
      </w:r>
      <w:r>
        <w:rPr>
          <w:rFonts w:hint="eastAsia"/>
        </w:rPr>
        <w:t>临时疏导点的卫生保洁及垃圾清运（含市场周边）、秩序维护（含市场周边交通秩序及停车管理）、社会治安、安全生产、 摊位</w:t>
      </w:r>
      <w:r>
        <w:rPr>
          <w:rFonts w:hint="eastAsia"/>
          <w:lang w:val="en-US" w:eastAsia="zh-CN"/>
        </w:rPr>
        <w:t>管理</w:t>
      </w:r>
      <w:r>
        <w:rPr>
          <w:rFonts w:hint="eastAsia"/>
        </w:rPr>
        <w:t>、水电费等，以及采购单位临时交办的相关工作。</w:t>
      </w:r>
    </w:p>
    <w:p w14:paraId="16834156">
      <w:pPr>
        <w:bidi w:val="0"/>
        <w:ind w:firstLine="422" w:firstLineChars="200"/>
        <w:outlineLvl w:val="2"/>
        <w:rPr>
          <w:rFonts w:hint="eastAsia" w:eastAsia="宋体" w:cs="Times New Roman"/>
          <w:b/>
          <w:bCs/>
        </w:rPr>
      </w:pPr>
      <w:r>
        <w:rPr>
          <w:rFonts w:hint="eastAsia" w:eastAsia="宋体" w:cs="Times New Roman"/>
          <w:b/>
          <w:bCs/>
        </w:rPr>
        <w:t>▲三、人员配备及基本要求</w:t>
      </w:r>
    </w:p>
    <w:p w14:paraId="7294655B">
      <w:pPr>
        <w:bidi w:val="0"/>
        <w:ind w:firstLine="420" w:firstLineChars="200"/>
        <w:rPr>
          <w:rFonts w:hint="eastAsia"/>
        </w:rPr>
      </w:pPr>
      <w:r>
        <w:rPr>
          <w:rFonts w:hint="eastAsia"/>
        </w:rPr>
        <w:t>1.项目服务人员10人：其中项目经理1名，市场管理人员9名。</w:t>
      </w:r>
    </w:p>
    <w:p w14:paraId="52DFE683">
      <w:pPr>
        <w:bidi w:val="0"/>
        <w:ind w:firstLine="420" w:firstLineChars="200"/>
        <w:rPr>
          <w:rFonts w:hint="eastAsia"/>
        </w:rPr>
      </w:pPr>
      <w:r>
        <w:rPr>
          <w:rFonts w:hint="eastAsia"/>
        </w:rPr>
        <w:t>2.项目人员配备要求：</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140"/>
        <w:gridCol w:w="859"/>
        <w:gridCol w:w="4080"/>
        <w:gridCol w:w="3613"/>
      </w:tblGrid>
      <w:tr w14:paraId="5A19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9" w:type="pct"/>
            <w:tcBorders>
              <w:top w:val="single" w:color="auto" w:sz="4" w:space="0"/>
              <w:left w:val="single" w:color="auto" w:sz="4" w:space="0"/>
              <w:bottom w:val="single" w:color="auto" w:sz="4" w:space="0"/>
              <w:right w:val="single" w:color="auto" w:sz="4" w:space="0"/>
            </w:tcBorders>
            <w:shd w:val="clear" w:color="auto" w:fill="D7D7D7"/>
            <w:noWrap w:val="0"/>
            <w:vAlign w:val="center"/>
          </w:tcPr>
          <w:p w14:paraId="2A5BA3E9">
            <w:pPr>
              <w:pStyle w:val="49"/>
              <w:bidi w:val="0"/>
            </w:pPr>
            <w:r>
              <w:rPr>
                <w:rFonts w:hint="eastAsia"/>
              </w:rPr>
              <w:t>序号</w:t>
            </w:r>
          </w:p>
        </w:tc>
        <w:tc>
          <w:tcPr>
            <w:tcW w:w="547" w:type="pct"/>
            <w:tcBorders>
              <w:top w:val="single" w:color="auto" w:sz="4" w:space="0"/>
              <w:left w:val="single" w:color="auto" w:sz="4" w:space="0"/>
              <w:bottom w:val="single" w:color="auto" w:sz="4" w:space="0"/>
              <w:right w:val="single" w:color="auto" w:sz="4" w:space="0"/>
            </w:tcBorders>
            <w:shd w:val="clear" w:color="auto" w:fill="D7D7D7"/>
            <w:noWrap w:val="0"/>
            <w:vAlign w:val="center"/>
          </w:tcPr>
          <w:p w14:paraId="4BEAF5D9">
            <w:pPr>
              <w:pStyle w:val="49"/>
              <w:bidi w:val="0"/>
            </w:pPr>
            <w:r>
              <w:rPr>
                <w:rFonts w:hint="eastAsia"/>
              </w:rPr>
              <w:t>岗位</w:t>
            </w:r>
          </w:p>
        </w:tc>
        <w:tc>
          <w:tcPr>
            <w:tcW w:w="412" w:type="pct"/>
            <w:tcBorders>
              <w:top w:val="single" w:color="auto" w:sz="4" w:space="0"/>
              <w:left w:val="single" w:color="auto" w:sz="4" w:space="0"/>
              <w:bottom w:val="single" w:color="auto" w:sz="4" w:space="0"/>
              <w:right w:val="single" w:color="auto" w:sz="4" w:space="0"/>
            </w:tcBorders>
            <w:shd w:val="clear" w:color="auto" w:fill="D7D7D7"/>
            <w:noWrap w:val="0"/>
            <w:vAlign w:val="center"/>
          </w:tcPr>
          <w:p w14:paraId="0EAB3DF7">
            <w:pPr>
              <w:pStyle w:val="49"/>
              <w:bidi w:val="0"/>
            </w:pPr>
            <w:r>
              <w:rPr>
                <w:rFonts w:hint="eastAsia"/>
              </w:rPr>
              <w:t>人数</w:t>
            </w:r>
          </w:p>
        </w:tc>
        <w:tc>
          <w:tcPr>
            <w:tcW w:w="1957" w:type="pct"/>
            <w:tcBorders>
              <w:top w:val="single" w:color="auto" w:sz="4" w:space="0"/>
              <w:left w:val="single" w:color="auto" w:sz="4" w:space="0"/>
              <w:bottom w:val="single" w:color="auto" w:sz="4" w:space="0"/>
              <w:right w:val="single" w:color="auto" w:sz="4" w:space="0"/>
            </w:tcBorders>
            <w:shd w:val="clear" w:color="auto" w:fill="D7D7D7"/>
            <w:noWrap w:val="0"/>
            <w:vAlign w:val="center"/>
          </w:tcPr>
          <w:p w14:paraId="313709CC">
            <w:pPr>
              <w:pStyle w:val="49"/>
              <w:bidi w:val="0"/>
            </w:pPr>
            <w:r>
              <w:rPr>
                <w:rFonts w:hint="eastAsia"/>
              </w:rPr>
              <w:t>任职要求</w:t>
            </w:r>
          </w:p>
        </w:tc>
        <w:tc>
          <w:tcPr>
            <w:tcW w:w="1733" w:type="pct"/>
            <w:tcBorders>
              <w:top w:val="single" w:color="auto" w:sz="4" w:space="0"/>
              <w:left w:val="single" w:color="auto" w:sz="4" w:space="0"/>
              <w:bottom w:val="single" w:color="auto" w:sz="4" w:space="0"/>
              <w:right w:val="single" w:color="auto" w:sz="4" w:space="0"/>
            </w:tcBorders>
            <w:shd w:val="clear" w:color="auto" w:fill="D7D7D7"/>
            <w:noWrap w:val="0"/>
            <w:vAlign w:val="center"/>
          </w:tcPr>
          <w:p w14:paraId="5105B3CB">
            <w:pPr>
              <w:pStyle w:val="49"/>
              <w:bidi w:val="0"/>
            </w:pPr>
            <w:r>
              <w:rPr>
                <w:rFonts w:hint="eastAsia"/>
              </w:rPr>
              <w:t>工作内容</w:t>
            </w:r>
          </w:p>
        </w:tc>
      </w:tr>
      <w:tr w14:paraId="2EBF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34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F9777A">
            <w:pPr>
              <w:pStyle w:val="49"/>
              <w:bidi w:val="0"/>
            </w:pPr>
            <w:r>
              <w:rPr>
                <w:rFonts w:hint="eastAsia"/>
              </w:rPr>
              <w:t>1</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D09468">
            <w:pPr>
              <w:pStyle w:val="49"/>
              <w:bidi w:val="0"/>
              <w:ind w:firstLine="420" w:firstLineChars="200"/>
            </w:pPr>
            <w:r>
              <w:rPr>
                <w:rFonts w:hint="eastAsia"/>
              </w:rPr>
              <w:t>项目</w:t>
            </w:r>
          </w:p>
          <w:p w14:paraId="07BCEFE5">
            <w:pPr>
              <w:pStyle w:val="49"/>
              <w:bidi w:val="0"/>
              <w:ind w:firstLine="420" w:firstLineChars="200"/>
            </w:pPr>
            <w:r>
              <w:rPr>
                <w:rFonts w:hint="eastAsia"/>
              </w:rPr>
              <w:t>经理</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8E8024">
            <w:pPr>
              <w:pStyle w:val="49"/>
              <w:bidi w:val="0"/>
            </w:pPr>
            <w:r>
              <w:rPr>
                <w:rFonts w:hint="eastAsia"/>
              </w:rPr>
              <w:t>1</w:t>
            </w:r>
          </w:p>
        </w:tc>
        <w:tc>
          <w:tcPr>
            <w:tcW w:w="1957" w:type="pct"/>
            <w:tcBorders>
              <w:top w:val="single" w:color="auto" w:sz="4" w:space="0"/>
              <w:left w:val="single" w:color="auto" w:sz="4" w:space="0"/>
              <w:bottom w:val="single" w:color="auto" w:sz="4" w:space="0"/>
              <w:right w:val="single" w:color="auto" w:sz="4" w:space="0"/>
            </w:tcBorders>
            <w:noWrap w:val="0"/>
            <w:vAlign w:val="center"/>
          </w:tcPr>
          <w:p w14:paraId="20FF998E">
            <w:pPr>
              <w:pStyle w:val="49"/>
              <w:bidi w:val="0"/>
            </w:pPr>
            <w:r>
              <w:rPr>
                <w:rFonts w:hint="eastAsia"/>
              </w:rPr>
              <w:t>有物业服务从业经历；优先50周岁以下，具有相关岗位资格证书；有丰富的市场物业管理经验，身体健康，责任心强，有组织、协调和决策能力；具备团结协作精神。</w:t>
            </w:r>
          </w:p>
        </w:tc>
        <w:tc>
          <w:tcPr>
            <w:tcW w:w="1733" w:type="pct"/>
            <w:tcBorders>
              <w:top w:val="single" w:color="auto" w:sz="4" w:space="0"/>
              <w:left w:val="single" w:color="auto" w:sz="4" w:space="0"/>
              <w:bottom w:val="single" w:color="auto" w:sz="4" w:space="0"/>
              <w:right w:val="single" w:color="auto" w:sz="4" w:space="0"/>
            </w:tcBorders>
            <w:noWrap w:val="0"/>
            <w:vAlign w:val="center"/>
          </w:tcPr>
          <w:p w14:paraId="078FE201">
            <w:pPr>
              <w:pStyle w:val="49"/>
              <w:bidi w:val="0"/>
              <w:rPr>
                <w:rFonts w:hint="eastAsia"/>
              </w:rPr>
            </w:pPr>
            <w:r>
              <w:rPr>
                <w:rFonts w:hint="eastAsia"/>
              </w:rPr>
              <w:t>负责市场管理全面工作，做好现场管理、监督、检查以及协调，突发性事件处置。</w:t>
            </w:r>
          </w:p>
        </w:tc>
      </w:tr>
      <w:tr w14:paraId="64A1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4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761354">
            <w:pPr>
              <w:pStyle w:val="49"/>
              <w:bidi w:val="0"/>
            </w:pPr>
            <w:r>
              <w:rPr>
                <w:rFonts w:hint="eastAsia"/>
              </w:rPr>
              <w:t>3</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D6E8DF">
            <w:pPr>
              <w:pStyle w:val="49"/>
              <w:bidi w:val="0"/>
            </w:pPr>
            <w:r>
              <w:rPr>
                <w:rFonts w:hint="eastAsia"/>
              </w:rPr>
              <w:t>市场管理人员</w:t>
            </w:r>
          </w:p>
        </w:tc>
        <w:tc>
          <w:tcPr>
            <w:tcW w:w="41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AFE5F9">
            <w:pPr>
              <w:pStyle w:val="49"/>
              <w:bidi w:val="0"/>
              <w:rPr>
                <w:rFonts w:hint="eastAsia"/>
              </w:rPr>
            </w:pPr>
            <w:r>
              <w:rPr>
                <w:rFonts w:hint="eastAsia"/>
              </w:rPr>
              <w:t>9</w:t>
            </w:r>
          </w:p>
        </w:tc>
        <w:tc>
          <w:tcPr>
            <w:tcW w:w="1957" w:type="pct"/>
            <w:tcBorders>
              <w:top w:val="single" w:color="auto" w:sz="4" w:space="0"/>
              <w:left w:val="single" w:color="auto" w:sz="4" w:space="0"/>
              <w:bottom w:val="single" w:color="auto" w:sz="4" w:space="0"/>
              <w:right w:val="single" w:color="auto" w:sz="4" w:space="0"/>
            </w:tcBorders>
            <w:noWrap w:val="0"/>
            <w:vAlign w:val="center"/>
          </w:tcPr>
          <w:p w14:paraId="2A91C17B">
            <w:pPr>
              <w:pStyle w:val="49"/>
              <w:bidi w:val="0"/>
            </w:pPr>
            <w:r>
              <w:rPr>
                <w:rFonts w:hint="eastAsia"/>
              </w:rPr>
              <w:t>优先60周岁以下，身高1.60米以上，有相关工作上岗证或经相关部门培训合格，身体健康，形象良好，退伍士兵优先，服从管理，爱岗敬业，有吃苦耐劳精神，责任心强。</w:t>
            </w:r>
          </w:p>
        </w:tc>
        <w:tc>
          <w:tcPr>
            <w:tcW w:w="1733" w:type="pct"/>
            <w:tcBorders>
              <w:top w:val="single" w:color="auto" w:sz="4" w:space="0"/>
              <w:left w:val="single" w:color="auto" w:sz="4" w:space="0"/>
              <w:bottom w:val="single" w:color="auto" w:sz="4" w:space="0"/>
              <w:right w:val="single" w:color="auto" w:sz="4" w:space="0"/>
            </w:tcBorders>
            <w:noWrap w:val="0"/>
            <w:vAlign w:val="center"/>
          </w:tcPr>
          <w:p w14:paraId="1BE1D847">
            <w:pPr>
              <w:pStyle w:val="49"/>
              <w:bidi w:val="0"/>
              <w:rPr>
                <w:rFonts w:hint="eastAsia" w:eastAsia="宋体"/>
                <w:lang w:val="en-US" w:eastAsia="zh-CN"/>
              </w:rPr>
            </w:pPr>
            <w:r>
              <w:rPr>
                <w:rFonts w:hint="eastAsia"/>
              </w:rPr>
              <w:t>负责内勤、食品安全检测、消防安全、水电维修、收缴各类租费（水电费、早市收费、市场内占道经营、乱搭乱建、乱堆乱放等、早市摊位秩序维护、市场车辆停放管理等。</w:t>
            </w:r>
            <w:r>
              <w:rPr>
                <w:rFonts w:hint="eastAsia"/>
                <w:lang w:val="en-US" w:eastAsia="zh-CN"/>
              </w:rPr>
              <w:t>)</w:t>
            </w:r>
          </w:p>
        </w:tc>
      </w:tr>
    </w:tbl>
    <w:p w14:paraId="0CDE5441">
      <w:pPr>
        <w:bidi w:val="0"/>
        <w:ind w:firstLine="420" w:firstLineChars="200"/>
        <w:rPr>
          <w:rFonts w:hint="eastAsia"/>
        </w:rPr>
      </w:pPr>
      <w:r>
        <w:rPr>
          <w:rFonts w:hint="eastAsia"/>
        </w:rPr>
        <w:t>注：本项目服务所需的工具、设备等均由中标单位自理。</w:t>
      </w:r>
    </w:p>
    <w:p w14:paraId="2E964634">
      <w:pPr>
        <w:bidi w:val="0"/>
        <w:ind w:firstLine="422" w:firstLineChars="200"/>
        <w:outlineLvl w:val="2"/>
        <w:rPr>
          <w:rFonts w:hint="eastAsia" w:eastAsia="宋体" w:cs="Times New Roman"/>
          <w:b/>
          <w:bCs/>
        </w:rPr>
      </w:pPr>
      <w:r>
        <w:rPr>
          <w:rFonts w:hint="eastAsia" w:eastAsia="宋体" w:cs="Times New Roman"/>
          <w:b/>
          <w:bCs/>
        </w:rPr>
        <w:t>四、服务内容及要求</w:t>
      </w:r>
    </w:p>
    <w:p w14:paraId="2DCD35C0">
      <w:pPr>
        <w:bidi w:val="0"/>
        <w:ind w:firstLine="420" w:firstLineChars="200"/>
        <w:rPr>
          <w:rFonts w:hint="eastAsia"/>
        </w:rPr>
      </w:pPr>
      <w:r>
        <w:rPr>
          <w:rFonts w:hint="eastAsia"/>
        </w:rPr>
        <w:t>按照县政府2016年《关于进一步建立健全全城区洁化、绿化、序化和城市治乱工作长效机制的意见》及2018年《常山县省级文明城市复评迎检工作实施方案》相关文件精神及数字城管考核要求制定服务标准。承包费用包括在服务区域内提供洁化、序化和治乱所需的人工费（包括保洁工人工资、奖金、劳保福利（社保费用除外）、培训费、意外伤害险及处理一切伤亡事故等费用）、</w:t>
      </w:r>
      <w:r>
        <w:rPr>
          <w:rFonts w:hint="eastAsia"/>
          <w:lang w:val="en-US" w:eastAsia="zh-CN"/>
        </w:rPr>
        <w:t>税金、</w:t>
      </w:r>
      <w:r>
        <w:rPr>
          <w:rFonts w:hint="eastAsia"/>
        </w:rPr>
        <w:t>机械台班费、水电费、工具材料费、垃圾清运费、安全文明生产装备费（包括环卫工人冬夏装工作服、反光衣等）、企业应得利润、应急、物价因素等完成合同所需的一切本身和不可或缺的所有工作开支、政策性文件规定</w:t>
      </w:r>
      <w:r>
        <w:rPr>
          <w:rFonts w:hint="eastAsia"/>
          <w:lang w:eastAsia="zh-CN"/>
        </w:rPr>
        <w:t>及</w:t>
      </w:r>
      <w:r>
        <w:rPr>
          <w:rFonts w:hint="eastAsia"/>
        </w:rPr>
        <w:t>合同包含的所有风险、责任等各项全部费用。</w:t>
      </w:r>
    </w:p>
    <w:tbl>
      <w:tblPr>
        <w:tblStyle w:val="32"/>
        <w:tblW w:w="5000" w:type="pct"/>
        <w:tblInd w:w="0" w:type="dxa"/>
        <w:tblLayout w:type="autofit"/>
        <w:tblCellMar>
          <w:top w:w="0" w:type="dxa"/>
          <w:left w:w="0" w:type="dxa"/>
          <w:bottom w:w="0" w:type="dxa"/>
          <w:right w:w="0" w:type="dxa"/>
        </w:tblCellMar>
      </w:tblPr>
      <w:tblGrid>
        <w:gridCol w:w="571"/>
        <w:gridCol w:w="1417"/>
        <w:gridCol w:w="8248"/>
      </w:tblGrid>
      <w:tr w14:paraId="51EC9127">
        <w:tblPrEx>
          <w:tblCellMar>
            <w:top w:w="0" w:type="dxa"/>
            <w:left w:w="0" w:type="dxa"/>
            <w:bottom w:w="0" w:type="dxa"/>
            <w:right w:w="0" w:type="dxa"/>
          </w:tblCellMar>
        </w:tblPrEx>
        <w:trPr>
          <w:trHeight w:val="400" w:hRule="atLeast"/>
        </w:trPr>
        <w:tc>
          <w:tcPr>
            <w:tcW w:w="5000" w:type="pct"/>
            <w:gridSpan w:val="3"/>
            <w:tcBorders>
              <w:top w:val="nil"/>
              <w:left w:val="nil"/>
              <w:bottom w:val="nil"/>
              <w:right w:val="nil"/>
            </w:tcBorders>
            <w:noWrap w:val="0"/>
            <w:tcMar>
              <w:top w:w="15" w:type="dxa"/>
              <w:left w:w="15" w:type="dxa"/>
              <w:right w:w="15" w:type="dxa"/>
            </w:tcMar>
            <w:vAlign w:val="center"/>
          </w:tcPr>
          <w:p w14:paraId="02909287">
            <w:pPr>
              <w:pStyle w:val="49"/>
              <w:bidi w:val="0"/>
              <w:rPr>
                <w:rFonts w:hint="eastAsia"/>
              </w:rPr>
            </w:pPr>
            <w:r>
              <w:rPr>
                <w:rFonts w:hint="eastAsia"/>
              </w:rPr>
              <w:t>综合管理服务标准</w:t>
            </w:r>
          </w:p>
        </w:tc>
      </w:tr>
      <w:tr w14:paraId="5E1C144E">
        <w:tblPrEx>
          <w:tblCellMar>
            <w:top w:w="0" w:type="dxa"/>
            <w:left w:w="0" w:type="dxa"/>
            <w:bottom w:w="0" w:type="dxa"/>
            <w:right w:w="0" w:type="dxa"/>
          </w:tblCellMar>
        </w:tblPrEx>
        <w:trPr>
          <w:trHeight w:val="560" w:hRule="atLeast"/>
        </w:trPr>
        <w:tc>
          <w:tcPr>
            <w:tcW w:w="2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DA6D0">
            <w:pPr>
              <w:pStyle w:val="49"/>
              <w:bidi w:val="0"/>
              <w:rPr>
                <w:rFonts w:hint="eastAsia"/>
              </w:rPr>
            </w:pPr>
            <w:r>
              <w:rPr>
                <w:rFonts w:hint="eastAsia"/>
              </w:rPr>
              <w:t>序号</w:t>
            </w:r>
          </w:p>
        </w:tc>
        <w:tc>
          <w:tcPr>
            <w:tcW w:w="6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20EA4">
            <w:pPr>
              <w:pStyle w:val="49"/>
              <w:bidi w:val="0"/>
              <w:rPr>
                <w:rFonts w:hint="eastAsia"/>
              </w:rPr>
            </w:pPr>
            <w:r>
              <w:rPr>
                <w:rFonts w:hint="eastAsia"/>
              </w:rPr>
              <w:t>内容</w:t>
            </w:r>
          </w:p>
        </w:tc>
        <w:tc>
          <w:tcPr>
            <w:tcW w:w="4027"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1EBC38F">
            <w:pPr>
              <w:pStyle w:val="49"/>
              <w:bidi w:val="0"/>
              <w:rPr>
                <w:rFonts w:hint="eastAsia"/>
              </w:rPr>
            </w:pPr>
            <w:r>
              <w:rPr>
                <w:rFonts w:hint="eastAsia"/>
              </w:rPr>
              <w:t>服务要求</w:t>
            </w:r>
          </w:p>
        </w:tc>
      </w:tr>
      <w:tr w14:paraId="5CF46999">
        <w:tblPrEx>
          <w:tblCellMar>
            <w:top w:w="0" w:type="dxa"/>
            <w:left w:w="0" w:type="dxa"/>
            <w:bottom w:w="0" w:type="dxa"/>
            <w:right w:w="0"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8A7D2">
            <w:pPr>
              <w:pStyle w:val="49"/>
              <w:bidi w:val="0"/>
              <w:rPr>
                <w:rFonts w:hint="eastAsia"/>
              </w:rPr>
            </w:pPr>
            <w:r>
              <w:rPr>
                <w:rFonts w:hint="eastAsia"/>
              </w:rPr>
              <w:t>1</w:t>
            </w:r>
          </w:p>
        </w:tc>
        <w:tc>
          <w:tcPr>
            <w:tcW w:w="6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CB713">
            <w:pPr>
              <w:pStyle w:val="49"/>
              <w:bidi w:val="0"/>
              <w:rPr>
                <w:rFonts w:hint="eastAsia"/>
              </w:rPr>
            </w:pPr>
            <w:r>
              <w:rPr>
                <w:rFonts w:hint="eastAsia"/>
              </w:rPr>
              <w:t>服务机构设置</w:t>
            </w:r>
          </w:p>
        </w:tc>
        <w:tc>
          <w:tcPr>
            <w:tcW w:w="40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10987B">
            <w:pPr>
              <w:pStyle w:val="49"/>
              <w:bidi w:val="0"/>
              <w:rPr>
                <w:rFonts w:hint="eastAsia"/>
              </w:rPr>
            </w:pPr>
            <w:r>
              <w:rPr>
                <w:rFonts w:hint="eastAsia"/>
              </w:rPr>
              <w:t>设置临时疏导点管理房，办公设施设备较完备。按要求做好相关制度、服务标准及企业信息上墙公示等。</w:t>
            </w:r>
          </w:p>
        </w:tc>
      </w:tr>
      <w:tr w14:paraId="7930B8F7">
        <w:tblPrEx>
          <w:tblCellMar>
            <w:top w:w="0" w:type="dxa"/>
            <w:left w:w="0" w:type="dxa"/>
            <w:bottom w:w="0" w:type="dxa"/>
            <w:right w:w="0" w:type="dxa"/>
          </w:tblCellMar>
        </w:tblPrEx>
        <w:trPr>
          <w:trHeight w:val="488" w:hRule="atLeast"/>
        </w:trPr>
        <w:tc>
          <w:tcPr>
            <w:tcW w:w="27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1CA00">
            <w:pPr>
              <w:pStyle w:val="49"/>
              <w:bidi w:val="0"/>
              <w:rPr>
                <w:rFonts w:hint="eastAsia"/>
              </w:rPr>
            </w:pPr>
            <w:r>
              <w:rPr>
                <w:rFonts w:hint="eastAsia"/>
              </w:rPr>
              <w:t>2</w:t>
            </w:r>
          </w:p>
        </w:tc>
        <w:tc>
          <w:tcPr>
            <w:tcW w:w="69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0C339">
            <w:pPr>
              <w:pStyle w:val="49"/>
              <w:bidi w:val="0"/>
              <w:rPr>
                <w:rFonts w:hint="eastAsia"/>
              </w:rPr>
            </w:pPr>
            <w:r>
              <w:rPr>
                <w:rFonts w:hint="eastAsia"/>
              </w:rPr>
              <w:t>管理人员要求</w:t>
            </w:r>
          </w:p>
        </w:tc>
        <w:tc>
          <w:tcPr>
            <w:tcW w:w="4027" w:type="pct"/>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14:paraId="7B59DA8F">
            <w:pPr>
              <w:pStyle w:val="49"/>
              <w:bidi w:val="0"/>
              <w:rPr>
                <w:rFonts w:hint="eastAsia"/>
              </w:rPr>
            </w:pPr>
            <w:r>
              <w:rPr>
                <w:rFonts w:hint="eastAsia"/>
              </w:rPr>
              <w:t>（1）管理人员以及服务人员持证上岗，身体健康，工作认真负责并定期接受培训。</w:t>
            </w:r>
            <w:r>
              <w:rPr>
                <w:rFonts w:hint="eastAsia"/>
              </w:rPr>
              <w:br w:type="textWrapping"/>
            </w:r>
            <w:r>
              <w:rPr>
                <w:rFonts w:hint="eastAsia"/>
              </w:rPr>
              <w:t>（2）能处理和应对疏导点公共秩序维护工作，能正确使用各类消防、物防、技防器械和设备，能够熟悉、掌握各类刑事、治安案件和各类灾害事故的应急预案。</w:t>
            </w:r>
            <w:r>
              <w:rPr>
                <w:rFonts w:hint="eastAsia"/>
              </w:rPr>
              <w:br w:type="textWrapping"/>
            </w:r>
            <w:r>
              <w:rPr>
                <w:rFonts w:hint="eastAsia"/>
              </w:rPr>
              <w:t>（3）上岗时</w:t>
            </w:r>
            <w:r>
              <w:rPr>
                <w:rFonts w:hint="eastAsia"/>
                <w:lang w:eastAsia="zh-CN"/>
              </w:rPr>
              <w:t>佩戴统一标志</w:t>
            </w:r>
            <w:r>
              <w:rPr>
                <w:rFonts w:hint="eastAsia"/>
              </w:rPr>
              <w:t>，按需求穿戴统一制服，装备佩戴规范，仪容仪表规范整齐，服务主动热情。</w:t>
            </w:r>
            <w:r>
              <w:rPr>
                <w:rFonts w:hint="eastAsia"/>
              </w:rPr>
              <w:br w:type="textWrapping"/>
            </w:r>
            <w:r>
              <w:rPr>
                <w:rFonts w:hint="eastAsia"/>
              </w:rPr>
              <w:t>（4）配备相关必备的安全护卫器械。</w:t>
            </w:r>
          </w:p>
        </w:tc>
      </w:tr>
      <w:tr w14:paraId="1A0ABEE8">
        <w:tblPrEx>
          <w:tblCellMar>
            <w:top w:w="0" w:type="dxa"/>
            <w:left w:w="0" w:type="dxa"/>
            <w:bottom w:w="0" w:type="dxa"/>
            <w:right w:w="0" w:type="dxa"/>
          </w:tblCellMar>
        </w:tblPrEx>
        <w:trPr>
          <w:trHeight w:val="488" w:hRule="atLeast"/>
        </w:trPr>
        <w:tc>
          <w:tcPr>
            <w:tcW w:w="27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5B2C5">
            <w:pPr>
              <w:pStyle w:val="49"/>
              <w:bidi w:val="0"/>
              <w:rPr>
                <w:rFonts w:hint="eastAsia"/>
              </w:rPr>
            </w:pPr>
          </w:p>
        </w:tc>
        <w:tc>
          <w:tcPr>
            <w:tcW w:w="69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483F8">
            <w:pPr>
              <w:pStyle w:val="49"/>
              <w:bidi w:val="0"/>
              <w:rPr>
                <w:rFonts w:hint="eastAsia"/>
              </w:rPr>
            </w:pPr>
          </w:p>
        </w:tc>
        <w:tc>
          <w:tcPr>
            <w:tcW w:w="4027"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14:paraId="6EED0628">
            <w:pPr>
              <w:pStyle w:val="49"/>
              <w:bidi w:val="0"/>
              <w:rPr>
                <w:rFonts w:hint="eastAsia"/>
              </w:rPr>
            </w:pPr>
          </w:p>
        </w:tc>
      </w:tr>
      <w:tr w14:paraId="0CA74F63">
        <w:tblPrEx>
          <w:tblCellMar>
            <w:top w:w="0" w:type="dxa"/>
            <w:left w:w="0" w:type="dxa"/>
            <w:bottom w:w="0" w:type="dxa"/>
            <w:right w:w="0" w:type="dxa"/>
          </w:tblCellMar>
        </w:tblPrEx>
        <w:trPr>
          <w:trHeight w:val="316" w:hRule="atLeast"/>
        </w:trPr>
        <w:tc>
          <w:tcPr>
            <w:tcW w:w="2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95A03">
            <w:pPr>
              <w:pStyle w:val="49"/>
              <w:bidi w:val="0"/>
              <w:rPr>
                <w:rFonts w:hint="eastAsia"/>
              </w:rPr>
            </w:pPr>
            <w:r>
              <w:rPr>
                <w:rFonts w:hint="eastAsia"/>
              </w:rPr>
              <w:t>3</w:t>
            </w:r>
          </w:p>
        </w:tc>
        <w:tc>
          <w:tcPr>
            <w:tcW w:w="6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49818">
            <w:pPr>
              <w:pStyle w:val="49"/>
              <w:bidi w:val="0"/>
              <w:rPr>
                <w:rFonts w:hint="eastAsia"/>
              </w:rPr>
            </w:pPr>
            <w:r>
              <w:rPr>
                <w:rFonts w:hint="eastAsia"/>
              </w:rPr>
              <w:t>服务时间</w:t>
            </w:r>
          </w:p>
        </w:tc>
        <w:tc>
          <w:tcPr>
            <w:tcW w:w="40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A29860">
            <w:pPr>
              <w:pStyle w:val="49"/>
              <w:bidi w:val="0"/>
              <w:rPr>
                <w:rFonts w:hint="eastAsia"/>
              </w:rPr>
            </w:pPr>
            <w:r>
              <w:rPr>
                <w:rFonts w:hint="eastAsia"/>
              </w:rPr>
              <w:t>周一至周日开市期间在管理房进行业务接待，并提供服务。</w:t>
            </w:r>
          </w:p>
        </w:tc>
      </w:tr>
      <w:tr w14:paraId="2681844B">
        <w:tblPrEx>
          <w:tblCellMar>
            <w:top w:w="0" w:type="dxa"/>
            <w:left w:w="0" w:type="dxa"/>
            <w:bottom w:w="0" w:type="dxa"/>
            <w:right w:w="0" w:type="dxa"/>
          </w:tblCellMar>
        </w:tblPrEx>
        <w:trPr>
          <w:trHeight w:val="312" w:hRule="atLeast"/>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8D2DE">
            <w:pPr>
              <w:pStyle w:val="49"/>
              <w:bidi w:val="0"/>
              <w:rPr>
                <w:rFonts w:hint="eastAsia"/>
              </w:rPr>
            </w:pPr>
            <w:r>
              <w:rPr>
                <w:rFonts w:hint="eastAsia"/>
              </w:rPr>
              <w:t>4</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DC541">
            <w:pPr>
              <w:pStyle w:val="49"/>
              <w:bidi w:val="0"/>
              <w:rPr>
                <w:rFonts w:hint="eastAsia"/>
              </w:rPr>
            </w:pPr>
            <w:r>
              <w:rPr>
                <w:rFonts w:hint="eastAsia"/>
              </w:rPr>
              <w:t>日常管理</w:t>
            </w:r>
            <w:r>
              <w:rPr>
                <w:rFonts w:hint="eastAsia"/>
              </w:rPr>
              <w:br w:type="textWrapping"/>
            </w:r>
            <w:r>
              <w:rPr>
                <w:rFonts w:hint="eastAsia"/>
              </w:rPr>
              <w:t>与服务</w:t>
            </w:r>
          </w:p>
        </w:tc>
        <w:tc>
          <w:tcPr>
            <w:tcW w:w="82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8C68C">
            <w:pPr>
              <w:pStyle w:val="49"/>
              <w:bidi w:val="0"/>
              <w:ind w:firstLine="420" w:firstLineChars="200"/>
              <w:rPr>
                <w:rFonts w:hint="eastAsia"/>
              </w:rPr>
            </w:pPr>
            <w:r>
              <w:rPr>
                <w:rFonts w:hint="eastAsia"/>
              </w:rPr>
              <w:t>（1）公开管理人员电话，及时受理经营户合理诉求并予解决。</w:t>
            </w:r>
          </w:p>
          <w:p w14:paraId="295BFC13">
            <w:pPr>
              <w:pStyle w:val="49"/>
              <w:bidi w:val="0"/>
              <w:ind w:firstLine="420" w:firstLineChars="200"/>
              <w:rPr>
                <w:rFonts w:hint="eastAsia"/>
              </w:rPr>
            </w:pPr>
            <w:r>
              <w:rPr>
                <w:rFonts w:hint="eastAsia"/>
              </w:rPr>
              <w:t>（2）对</w:t>
            </w:r>
            <w:r>
              <w:rPr>
                <w:rFonts w:hint="eastAsia"/>
                <w:lang w:val="en-US" w:eastAsia="zh-CN"/>
              </w:rPr>
              <w:t>周边</w:t>
            </w:r>
            <w:r>
              <w:rPr>
                <w:rFonts w:hint="eastAsia"/>
              </w:rPr>
              <w:t>住户或经营户的投诉在48小时内答复处理。</w:t>
            </w:r>
          </w:p>
          <w:p w14:paraId="7CEB1E61">
            <w:pPr>
              <w:pStyle w:val="49"/>
              <w:bidi w:val="0"/>
              <w:ind w:firstLine="420" w:firstLineChars="200"/>
              <w:rPr>
                <w:rFonts w:hint="eastAsia"/>
              </w:rPr>
            </w:pPr>
            <w:r>
              <w:rPr>
                <w:rFonts w:hint="eastAsia"/>
              </w:rPr>
              <w:t>（3）建立财务制度，对摊位租金、水电费和共用部位、共用设施设备维护的收支进行财务管理，做到运作规范、账目清晰。财务收支明细表要求至少每半年公示一次。</w:t>
            </w:r>
            <w:r>
              <w:rPr>
                <w:rFonts w:hint="eastAsia"/>
              </w:rPr>
              <w:br w:type="textWrapping"/>
            </w:r>
            <w:r>
              <w:rPr>
                <w:rFonts w:hint="eastAsia"/>
              </w:rPr>
              <w:t>（4）建立管理处内部管理制度和考核制度。</w:t>
            </w:r>
            <w:r>
              <w:rPr>
                <w:rFonts w:hint="eastAsia"/>
              </w:rPr>
              <w:br w:type="textWrapping"/>
            </w:r>
            <w:r>
              <w:rPr>
                <w:rFonts w:hint="eastAsia"/>
              </w:rPr>
              <w:t>（5）建立日常管理服务台账，配合采购单位及社区做好上级检查。</w:t>
            </w:r>
          </w:p>
        </w:tc>
      </w:tr>
      <w:tr w14:paraId="32BBA99C">
        <w:tblPrEx>
          <w:tblCellMar>
            <w:top w:w="0" w:type="dxa"/>
            <w:left w:w="0" w:type="dxa"/>
            <w:bottom w:w="0" w:type="dxa"/>
            <w:right w:w="0" w:type="dxa"/>
          </w:tblCellMar>
        </w:tblPrEx>
        <w:trPr>
          <w:trHeight w:val="480" w:hRule="atLeast"/>
        </w:trPr>
        <w:tc>
          <w:tcPr>
            <w:tcW w:w="2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2D655">
            <w:pPr>
              <w:pStyle w:val="49"/>
              <w:bidi w:val="0"/>
            </w:pPr>
            <w:r>
              <w:rPr>
                <w:rFonts w:hint="eastAsia"/>
              </w:rPr>
              <w:t>5</w:t>
            </w:r>
          </w:p>
        </w:tc>
        <w:tc>
          <w:tcPr>
            <w:tcW w:w="6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55508">
            <w:pPr>
              <w:pStyle w:val="49"/>
              <w:bidi w:val="0"/>
              <w:rPr>
                <w:rFonts w:hint="eastAsia"/>
              </w:rPr>
            </w:pPr>
            <w:r>
              <w:rPr>
                <w:rFonts w:hint="eastAsia"/>
                <w:lang w:eastAsia="zh-CN"/>
              </w:rPr>
              <w:t>共用设施</w:t>
            </w:r>
            <w:r>
              <w:rPr>
                <w:rFonts w:hint="eastAsia"/>
              </w:rPr>
              <w:t>设备维修养护</w:t>
            </w:r>
          </w:p>
        </w:tc>
        <w:tc>
          <w:tcPr>
            <w:tcW w:w="40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9F40B">
            <w:pPr>
              <w:pStyle w:val="49"/>
              <w:bidi w:val="0"/>
              <w:ind w:firstLine="420" w:firstLineChars="200"/>
              <w:rPr>
                <w:rFonts w:hint="eastAsia"/>
              </w:rPr>
            </w:pPr>
            <w:r>
              <w:rPr>
                <w:rFonts w:hint="eastAsia"/>
              </w:rPr>
              <w:t>（1）对共用设施设备定期组织巡查，做好巡查记录，需要维修，属于小修范围的，及时组织修复；属于大、中修范围或者需要更新改造的，及时编制维修、更新改造计划，向招标人提出报告与建议，根据招标人的决定，组织维修或者更新改造。</w:t>
            </w:r>
          </w:p>
          <w:p w14:paraId="062A37D2">
            <w:pPr>
              <w:pStyle w:val="49"/>
              <w:bidi w:val="0"/>
              <w:ind w:firstLine="420" w:firstLineChars="200"/>
              <w:rPr>
                <w:rFonts w:hint="eastAsia"/>
              </w:rPr>
            </w:pPr>
            <w:r>
              <w:rPr>
                <w:rFonts w:hint="eastAsia"/>
              </w:rPr>
              <w:t>（2）保持道路平整，主要出入口道路及停车场交通标志齐全、规范。</w:t>
            </w:r>
          </w:p>
          <w:p w14:paraId="299F2BF1">
            <w:pPr>
              <w:pStyle w:val="49"/>
              <w:bidi w:val="0"/>
              <w:ind w:firstLine="420" w:firstLineChars="200"/>
              <w:rPr>
                <w:rFonts w:hint="eastAsia"/>
              </w:rPr>
            </w:pPr>
            <w:r>
              <w:rPr>
                <w:rFonts w:hint="eastAsia"/>
              </w:rPr>
              <w:t>（3）路灯完好率不低于90%。</w:t>
            </w:r>
          </w:p>
        </w:tc>
      </w:tr>
      <w:tr w14:paraId="6CF2B0BC">
        <w:tblPrEx>
          <w:tblCellMar>
            <w:top w:w="0" w:type="dxa"/>
            <w:left w:w="0" w:type="dxa"/>
            <w:bottom w:w="0" w:type="dxa"/>
            <w:right w:w="0" w:type="dxa"/>
          </w:tblCellMar>
        </w:tblPrEx>
        <w:trPr>
          <w:trHeight w:val="480" w:hRule="atLeast"/>
        </w:trPr>
        <w:tc>
          <w:tcPr>
            <w:tcW w:w="2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45768">
            <w:pPr>
              <w:pStyle w:val="49"/>
              <w:bidi w:val="0"/>
            </w:pPr>
            <w:r>
              <w:rPr>
                <w:rFonts w:hint="eastAsia"/>
              </w:rPr>
              <w:t>6</w:t>
            </w:r>
          </w:p>
        </w:tc>
        <w:tc>
          <w:tcPr>
            <w:tcW w:w="6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9FAFA">
            <w:pPr>
              <w:pStyle w:val="49"/>
              <w:bidi w:val="0"/>
              <w:rPr>
                <w:rFonts w:hint="eastAsia"/>
              </w:rPr>
            </w:pPr>
            <w:r>
              <w:rPr>
                <w:rFonts w:hint="eastAsia"/>
              </w:rPr>
              <w:t>协助维护公共秩序</w:t>
            </w:r>
          </w:p>
        </w:tc>
        <w:tc>
          <w:tcPr>
            <w:tcW w:w="40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12071">
            <w:pPr>
              <w:pStyle w:val="49"/>
              <w:bidi w:val="0"/>
              <w:rPr>
                <w:rFonts w:hint="eastAsia"/>
              </w:rPr>
            </w:pPr>
            <w:r>
              <w:rPr>
                <w:rFonts w:hint="eastAsia"/>
              </w:rPr>
              <w:t>对火灾、治安、消防、公共卫生等突发事件有应急预案，事发时及时报告招标人和有关部门，并协助采取相应措施。</w:t>
            </w:r>
          </w:p>
        </w:tc>
      </w:tr>
      <w:tr w14:paraId="1CF6872A">
        <w:tblPrEx>
          <w:tblCellMar>
            <w:top w:w="0" w:type="dxa"/>
            <w:left w:w="0" w:type="dxa"/>
            <w:bottom w:w="0" w:type="dxa"/>
            <w:right w:w="0" w:type="dxa"/>
          </w:tblCellMar>
        </w:tblPrEx>
        <w:trPr>
          <w:trHeight w:val="480" w:hRule="atLeast"/>
        </w:trPr>
        <w:tc>
          <w:tcPr>
            <w:tcW w:w="2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02D3F">
            <w:pPr>
              <w:pStyle w:val="49"/>
              <w:bidi w:val="0"/>
            </w:pPr>
            <w:r>
              <w:rPr>
                <w:rFonts w:hint="eastAsia"/>
              </w:rPr>
              <w:t>7</w:t>
            </w:r>
          </w:p>
        </w:tc>
        <w:tc>
          <w:tcPr>
            <w:tcW w:w="6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3C02B">
            <w:pPr>
              <w:pStyle w:val="49"/>
              <w:bidi w:val="0"/>
              <w:rPr>
                <w:rFonts w:hint="eastAsia"/>
              </w:rPr>
            </w:pPr>
            <w:r>
              <w:rPr>
                <w:rFonts w:hint="eastAsia"/>
              </w:rPr>
              <w:t>保洁服务</w:t>
            </w:r>
          </w:p>
        </w:tc>
        <w:tc>
          <w:tcPr>
            <w:tcW w:w="40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3D16C">
            <w:pPr>
              <w:pStyle w:val="49"/>
              <w:bidi w:val="0"/>
              <w:ind w:firstLine="420" w:firstLineChars="200"/>
              <w:rPr>
                <w:rFonts w:hint="eastAsia"/>
              </w:rPr>
            </w:pPr>
            <w:r>
              <w:rPr>
                <w:rFonts w:hint="eastAsia"/>
              </w:rPr>
              <w:t>（1）合理设置垃圾桶，每日清运至少1次，垃圾日产日清，垃圾桶每天冲洗，保持垃圾桶清洁、无异味。</w:t>
            </w:r>
          </w:p>
          <w:p w14:paraId="7F055A1F">
            <w:pPr>
              <w:pStyle w:val="49"/>
              <w:bidi w:val="0"/>
              <w:ind w:firstLine="420" w:firstLineChars="200"/>
              <w:rPr>
                <w:rFonts w:hint="eastAsia"/>
              </w:rPr>
            </w:pPr>
            <w:r>
              <w:rPr>
                <w:rFonts w:hint="eastAsia"/>
              </w:rPr>
              <w:t>（2）疏导点经营范围及停车场、公厕等每日清扫2次</w:t>
            </w:r>
            <w:r>
              <w:rPr>
                <w:rFonts w:hint="eastAsia"/>
                <w:lang w:eastAsia="zh-CN"/>
              </w:rPr>
              <w:t>，</w:t>
            </w:r>
            <w:r>
              <w:rPr>
                <w:rFonts w:hint="eastAsia"/>
              </w:rPr>
              <w:t>及时清除地面及道路积水、积雪等；做到无明显暴露垃圾、无乱堆乱放、无卫生死角；明沟（含露天水沟、沟渠）每天清扫一次。</w:t>
            </w:r>
          </w:p>
          <w:p w14:paraId="00F2450F">
            <w:pPr>
              <w:pStyle w:val="49"/>
              <w:bidi w:val="0"/>
              <w:ind w:firstLine="420" w:firstLineChars="200"/>
              <w:rPr>
                <w:rFonts w:hint="eastAsia"/>
              </w:rPr>
            </w:pPr>
            <w:r>
              <w:rPr>
                <w:rFonts w:hint="eastAsia"/>
              </w:rPr>
              <w:t>（3）根据实际情况定期进行消毒和灭虫除害。</w:t>
            </w:r>
          </w:p>
          <w:p w14:paraId="408D8A7B">
            <w:pPr>
              <w:pStyle w:val="49"/>
              <w:bidi w:val="0"/>
              <w:ind w:firstLine="420" w:firstLineChars="200"/>
              <w:rPr>
                <w:rFonts w:hint="eastAsia"/>
              </w:rPr>
            </w:pPr>
            <w:r>
              <w:rPr>
                <w:rFonts w:hint="eastAsia"/>
              </w:rPr>
              <w:t>（4）按垃圾分类办的垃圾分类要求做好相关工作。</w:t>
            </w:r>
          </w:p>
        </w:tc>
      </w:tr>
      <w:tr w14:paraId="0BFB232A">
        <w:tblPrEx>
          <w:tblCellMar>
            <w:top w:w="0" w:type="dxa"/>
            <w:left w:w="0" w:type="dxa"/>
            <w:bottom w:w="0" w:type="dxa"/>
            <w:right w:w="0" w:type="dxa"/>
          </w:tblCellMar>
        </w:tblPrEx>
        <w:trPr>
          <w:trHeight w:val="480" w:hRule="atLeast"/>
        </w:trPr>
        <w:tc>
          <w:tcPr>
            <w:tcW w:w="2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0583A">
            <w:pPr>
              <w:pStyle w:val="49"/>
              <w:bidi w:val="0"/>
            </w:pPr>
            <w:r>
              <w:rPr>
                <w:rFonts w:hint="eastAsia"/>
              </w:rPr>
              <w:t>8</w:t>
            </w:r>
          </w:p>
        </w:tc>
        <w:tc>
          <w:tcPr>
            <w:tcW w:w="6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128E5">
            <w:pPr>
              <w:pStyle w:val="49"/>
              <w:bidi w:val="0"/>
              <w:rPr>
                <w:rFonts w:hint="eastAsia"/>
              </w:rPr>
            </w:pPr>
            <w:r>
              <w:rPr>
                <w:rFonts w:hint="eastAsia"/>
              </w:rPr>
              <w:t>经营秩序</w:t>
            </w:r>
          </w:p>
        </w:tc>
        <w:tc>
          <w:tcPr>
            <w:tcW w:w="40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F044B">
            <w:pPr>
              <w:pStyle w:val="49"/>
              <w:bidi w:val="0"/>
              <w:ind w:firstLine="420" w:firstLineChars="200"/>
              <w:rPr>
                <w:rFonts w:hint="eastAsia"/>
              </w:rPr>
            </w:pPr>
            <w:r>
              <w:rPr>
                <w:rFonts w:hint="eastAsia"/>
              </w:rPr>
              <w:t>督促经营范围内固定摊位按照“门前五包责任状”要求，做好门（摊）前五包、门（摊）内达标</w:t>
            </w:r>
            <w:r>
              <w:rPr>
                <w:rFonts w:hint="eastAsia"/>
                <w:lang w:eastAsia="zh-CN"/>
              </w:rPr>
              <w:t>。</w:t>
            </w:r>
          </w:p>
          <w:p w14:paraId="5A043A10">
            <w:pPr>
              <w:pStyle w:val="49"/>
              <w:bidi w:val="0"/>
              <w:ind w:firstLine="420" w:firstLineChars="200"/>
              <w:rPr>
                <w:rFonts w:hint="eastAsia"/>
              </w:rPr>
            </w:pPr>
            <w:r>
              <w:rPr>
                <w:rFonts w:hint="eastAsia"/>
              </w:rPr>
              <w:t>督促零担菜区域经营户做到每日清场，不得以任何方式占用摊位</w:t>
            </w:r>
            <w:r>
              <w:rPr>
                <w:rFonts w:hint="eastAsia"/>
                <w:lang w:eastAsia="zh-CN"/>
              </w:rPr>
              <w:t>。</w:t>
            </w:r>
          </w:p>
          <w:p w14:paraId="116090D6">
            <w:pPr>
              <w:pStyle w:val="49"/>
              <w:bidi w:val="0"/>
              <w:ind w:firstLine="420" w:firstLineChars="200"/>
              <w:rPr>
                <w:rFonts w:hint="eastAsia"/>
                <w:lang w:eastAsia="zh-CN"/>
              </w:rPr>
            </w:pPr>
            <w:r>
              <w:rPr>
                <w:rFonts w:hint="eastAsia"/>
                <w:lang w:eastAsia="zh-CN"/>
              </w:rPr>
              <w:t>进出区域各种车辆管理有序，无堵塞交通现象，不影响行人通行。</w:t>
            </w:r>
          </w:p>
          <w:p w14:paraId="296D7CC6">
            <w:pPr>
              <w:pStyle w:val="49"/>
              <w:bidi w:val="0"/>
              <w:ind w:firstLine="420" w:firstLineChars="200"/>
              <w:rPr>
                <w:rFonts w:hint="eastAsia"/>
                <w:lang w:eastAsia="zh-CN"/>
              </w:rPr>
            </w:pPr>
            <w:r>
              <w:rPr>
                <w:rFonts w:hint="eastAsia"/>
                <w:lang w:eastAsia="zh-CN"/>
              </w:rPr>
              <w:t>非机动车辆有集中停放场地，管理制度落实，管理有序，停放整齐，场地整洁。</w:t>
            </w:r>
          </w:p>
        </w:tc>
      </w:tr>
      <w:tr w14:paraId="1E3DAF26">
        <w:tblPrEx>
          <w:tblCellMar>
            <w:top w:w="0" w:type="dxa"/>
            <w:left w:w="0" w:type="dxa"/>
            <w:bottom w:w="0" w:type="dxa"/>
            <w:right w:w="0" w:type="dxa"/>
          </w:tblCellMar>
        </w:tblPrEx>
        <w:trPr>
          <w:trHeight w:val="480" w:hRule="atLeast"/>
        </w:trPr>
        <w:tc>
          <w:tcPr>
            <w:tcW w:w="2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ED5BF">
            <w:pPr>
              <w:pStyle w:val="49"/>
              <w:bidi w:val="0"/>
            </w:pPr>
            <w:r>
              <w:rPr>
                <w:rFonts w:hint="eastAsia"/>
              </w:rPr>
              <w:t>9</w:t>
            </w:r>
          </w:p>
        </w:tc>
        <w:tc>
          <w:tcPr>
            <w:tcW w:w="6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1CB5D">
            <w:pPr>
              <w:pStyle w:val="49"/>
              <w:bidi w:val="0"/>
              <w:rPr>
                <w:rFonts w:hint="eastAsia"/>
              </w:rPr>
            </w:pPr>
            <w:r>
              <w:rPr>
                <w:rFonts w:hint="eastAsia"/>
              </w:rPr>
              <w:t>安全标志等</w:t>
            </w:r>
          </w:p>
        </w:tc>
        <w:tc>
          <w:tcPr>
            <w:tcW w:w="40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70B9F">
            <w:pPr>
              <w:pStyle w:val="49"/>
              <w:bidi w:val="0"/>
              <w:rPr>
                <w:rFonts w:hint="eastAsia"/>
              </w:rPr>
            </w:pPr>
            <w:r>
              <w:rPr>
                <w:rFonts w:hint="eastAsia"/>
              </w:rPr>
              <w:t>对安全隐患部位设置安全防范警示标志，并在主要通道设置安全疏散指示和事故照明设施。每月检查一次，保证标志清晰完整，设施运行正常。</w:t>
            </w:r>
          </w:p>
        </w:tc>
      </w:tr>
    </w:tbl>
    <w:p w14:paraId="7274C58E">
      <w:pPr>
        <w:bidi w:val="0"/>
        <w:ind w:firstLine="422" w:firstLineChars="200"/>
        <w:outlineLvl w:val="2"/>
        <w:rPr>
          <w:rFonts w:eastAsia="宋体" w:cs="Times New Roman"/>
          <w:b/>
          <w:bCs/>
        </w:rPr>
      </w:pPr>
      <w:r>
        <w:rPr>
          <w:rFonts w:hint="eastAsia" w:eastAsia="宋体" w:cs="Times New Roman"/>
          <w:b/>
          <w:bCs/>
        </w:rPr>
        <w:t>五、服务说明和标准</w:t>
      </w:r>
    </w:p>
    <w:p w14:paraId="1B9ED9CB">
      <w:pPr>
        <w:bidi w:val="0"/>
        <w:ind w:firstLine="420" w:firstLineChars="200"/>
      </w:pPr>
      <w:r>
        <w:rPr>
          <w:rFonts w:hint="eastAsia"/>
        </w:rPr>
        <w:t>1、中标单位按照采购文件及相关法规、管理条例与技术标准、行业规范标准要求进行菜市场疏导点管理服务。通过严密的安全保卫管理、细致的环境卫生管理和专业的设施设备维修保养管理，营造安全、舒适、人性化的经营环境。</w:t>
      </w:r>
    </w:p>
    <w:p w14:paraId="0559B4E7">
      <w:pPr>
        <w:bidi w:val="0"/>
        <w:ind w:firstLine="420" w:firstLineChars="200"/>
      </w:pPr>
      <w:r>
        <w:rPr>
          <w:rFonts w:hint="eastAsia"/>
        </w:rPr>
        <w:t>2、基本服务要求</w:t>
      </w:r>
    </w:p>
    <w:p w14:paraId="61CEB66B">
      <w:pPr>
        <w:bidi w:val="0"/>
        <w:ind w:firstLine="420" w:firstLineChars="200"/>
        <w:rPr>
          <w:rFonts w:hint="eastAsia"/>
        </w:rPr>
      </w:pPr>
      <w:r>
        <w:rPr>
          <w:rFonts w:hint="eastAsia"/>
        </w:rPr>
        <w:t>采购文件服务标准为采购人提出的最低服务要求，投标人应在满足最低要求的基础上，提出更优服务内容。</w:t>
      </w:r>
    </w:p>
    <w:p w14:paraId="3A116123">
      <w:pPr>
        <w:bidi w:val="0"/>
        <w:ind w:firstLine="420" w:firstLineChars="200"/>
        <w:rPr>
          <w:rFonts w:hint="eastAsia"/>
        </w:rPr>
      </w:pPr>
      <w:r>
        <w:rPr>
          <w:rFonts w:hint="eastAsia"/>
        </w:rPr>
        <w:t>3、中标单位须根据我县年度工作安排，配合招标单位做好社会治理、各类创建等相关工作。</w:t>
      </w:r>
    </w:p>
    <w:p w14:paraId="78AFD488">
      <w:pPr>
        <w:bidi w:val="0"/>
        <w:ind w:firstLine="420" w:firstLineChars="200"/>
        <w:rPr>
          <w:rFonts w:hint="eastAsia"/>
          <w:lang w:val="en-US" w:eastAsia="zh-CN"/>
        </w:rPr>
      </w:pPr>
      <w:r>
        <w:rPr>
          <w:rFonts w:hint="eastAsia"/>
        </w:rPr>
        <w:t>4、中标单位必须积极配合街道及社区的临时性检查、应急检查、建立应急机制，积极配合街道及社区各项工作安排</w:t>
      </w:r>
      <w:r>
        <w:rPr>
          <w:rFonts w:hint="eastAsia"/>
          <w:lang w:eastAsia="zh-CN"/>
        </w:rPr>
        <w:t>。</w:t>
      </w:r>
      <w:r>
        <w:rPr>
          <w:rFonts w:hint="eastAsia"/>
          <w:lang w:val="en-US" w:eastAsia="zh-CN"/>
        </w:rPr>
        <w:t xml:space="preserve"> </w:t>
      </w:r>
    </w:p>
    <w:p w14:paraId="598E4CE9">
      <w:pPr>
        <w:bidi w:val="0"/>
        <w:ind w:firstLine="422" w:firstLineChars="200"/>
        <w:outlineLvl w:val="2"/>
        <w:rPr>
          <w:rFonts w:hint="eastAsia" w:eastAsia="宋体" w:cs="Times New Roman"/>
          <w:b/>
          <w:bCs/>
        </w:rPr>
      </w:pPr>
      <w:r>
        <w:rPr>
          <w:rFonts w:hint="eastAsia" w:eastAsia="宋体" w:cs="Times New Roman"/>
          <w:b/>
          <w:bCs/>
          <w:lang w:val="en-US" w:eastAsia="zh-CN"/>
        </w:rPr>
        <w:t>六、</w:t>
      </w:r>
      <w:r>
        <w:rPr>
          <w:rFonts w:hint="eastAsia" w:eastAsia="宋体" w:cs="Times New Roman"/>
          <w:b/>
          <w:bCs/>
        </w:rPr>
        <w:t>考核管理</w:t>
      </w:r>
    </w:p>
    <w:p w14:paraId="3FE41F1E">
      <w:pPr>
        <w:bidi w:val="0"/>
        <w:ind w:firstLine="420" w:firstLineChars="200"/>
        <w:rPr>
          <w:rFonts w:hint="eastAsia"/>
        </w:rPr>
      </w:pPr>
      <w:r>
        <w:rPr>
          <w:rFonts w:hint="eastAsia"/>
        </w:rPr>
        <w:t>街道执法队及相关人员会根据《</w:t>
      </w:r>
      <w:r>
        <w:rPr>
          <w:rFonts w:hint="eastAsia" w:ascii="宋体" w:hAnsi="宋体" w:cs="宋体"/>
          <w:color w:val="auto"/>
          <w:szCs w:val="21"/>
          <w:highlight w:val="none"/>
          <w:u w:val="none"/>
          <w:lang w:eastAsia="zh-CN"/>
        </w:rPr>
        <w:t>常山县紫港街道外港零担菜市场临时疏导点</w:t>
      </w:r>
      <w:r>
        <w:rPr>
          <w:rFonts w:hint="eastAsia"/>
        </w:rPr>
        <w:t>经营管理考核评分表》，对经营范围及周边卫生保洁、设施维护、经营秩序等进行明查、暗访，发现问题及时汇总反馈，限期整改，并对问题整改情况及时回头看。同时，督查结果将作为</w:t>
      </w:r>
      <w:r>
        <w:rPr>
          <w:rFonts w:hint="eastAsia"/>
          <w:lang w:eastAsia="zh-CN"/>
        </w:rPr>
        <w:t>采购人</w:t>
      </w:r>
      <w:r>
        <w:rPr>
          <w:rFonts w:hint="eastAsia"/>
        </w:rPr>
        <w:t>对中标单位管理资金拨付和考核的重要依据。</w:t>
      </w:r>
    </w:p>
    <w:p w14:paraId="351675E1">
      <w:pPr>
        <w:bidi w:val="0"/>
        <w:ind w:firstLine="420" w:firstLineChars="200"/>
        <w:rPr>
          <w:rFonts w:hint="eastAsia"/>
        </w:rPr>
      </w:pPr>
      <w:r>
        <w:rPr>
          <w:rFonts w:hint="eastAsia"/>
        </w:rPr>
        <w:t>1、</w:t>
      </w:r>
      <w:r>
        <w:rPr>
          <w:rFonts w:hint="eastAsia"/>
          <w:lang w:eastAsia="zh-CN"/>
        </w:rPr>
        <w:t>采购人</w:t>
      </w:r>
      <w:r>
        <w:rPr>
          <w:rFonts w:hint="eastAsia"/>
        </w:rPr>
        <w:t>成立</w:t>
      </w:r>
      <w:r>
        <w:rPr>
          <w:rFonts w:hint="eastAsia" w:ascii="宋体" w:hAnsi="宋体" w:cs="宋体"/>
          <w:color w:val="auto"/>
          <w:szCs w:val="21"/>
          <w:highlight w:val="none"/>
          <w:u w:val="none"/>
          <w:lang w:eastAsia="zh-CN"/>
        </w:rPr>
        <w:t>常山县紫港街道外港零担菜市场临时疏导点管</w:t>
      </w:r>
      <w:r>
        <w:rPr>
          <w:rFonts w:hint="eastAsia"/>
        </w:rPr>
        <w:t>理领导小组，落实专门管理人员，制定秩序管护、清扫保洁、垃圾清运、卫生检查评比等各项管理制度。</w:t>
      </w:r>
    </w:p>
    <w:p w14:paraId="0118EE94">
      <w:pPr>
        <w:bidi w:val="0"/>
        <w:ind w:firstLine="420" w:firstLineChars="200"/>
        <w:rPr>
          <w:rFonts w:hint="eastAsia"/>
        </w:rPr>
      </w:pPr>
      <w:r>
        <w:rPr>
          <w:rFonts w:hint="eastAsia"/>
        </w:rPr>
        <w:t>2、对中标单位季度考核累计二次以上60分以下，</w:t>
      </w:r>
      <w:r>
        <w:rPr>
          <w:rFonts w:hint="eastAsia"/>
          <w:lang w:eastAsia="zh-CN"/>
        </w:rPr>
        <w:t>采购人</w:t>
      </w:r>
      <w:r>
        <w:rPr>
          <w:rFonts w:hint="eastAsia"/>
        </w:rPr>
        <w:t>有权随时解除中标合同。</w:t>
      </w:r>
    </w:p>
    <w:p w14:paraId="7675B693">
      <w:pPr>
        <w:bidi w:val="0"/>
        <w:ind w:firstLine="420" w:firstLineChars="200"/>
        <w:rPr>
          <w:rFonts w:hint="eastAsia"/>
        </w:rPr>
      </w:pPr>
      <w:r>
        <w:rPr>
          <w:rFonts w:hint="eastAsia"/>
        </w:rPr>
        <w:t>3、中标单位下属所有保洁工作人员，不与街道发生关系，如遇责任纠纷、安全事故由中标单位自行负责。</w:t>
      </w:r>
    </w:p>
    <w:p w14:paraId="200B3B0C">
      <w:pPr>
        <w:bidi w:val="0"/>
        <w:ind w:firstLine="420" w:firstLineChars="200"/>
        <w:rPr>
          <w:rFonts w:hint="eastAsia"/>
          <w:lang w:val="en-US" w:eastAsia="zh-CN"/>
        </w:rPr>
        <w:sectPr>
          <w:headerReference r:id="rId6" w:type="default"/>
          <w:footerReference r:id="rId7" w:type="default"/>
          <w:pgSz w:w="11906" w:h="16838"/>
          <w:pgMar w:top="1440" w:right="850" w:bottom="1440" w:left="850" w:header="851" w:footer="992" w:gutter="0"/>
          <w:cols w:space="720" w:num="1"/>
          <w:docGrid w:type="lines" w:linePitch="325" w:charSpace="0"/>
        </w:sectPr>
      </w:pPr>
      <w:r>
        <w:rPr>
          <w:rFonts w:hint="eastAsia"/>
          <w:lang w:val="en-US" w:eastAsia="zh-CN"/>
        </w:rPr>
        <w:t xml:space="preserve"> </w:t>
      </w:r>
    </w:p>
    <w:p w14:paraId="493CB8A9">
      <w:pPr>
        <w:bidi w:val="0"/>
        <w:ind w:firstLine="602" w:firstLineChars="200"/>
        <w:jc w:val="center"/>
        <w:rPr>
          <w:rFonts w:hint="eastAsia"/>
          <w:b/>
          <w:bCs/>
          <w:sz w:val="30"/>
          <w:szCs w:val="30"/>
        </w:rPr>
      </w:pPr>
      <w:r>
        <w:rPr>
          <w:rFonts w:hint="eastAsia" w:ascii="宋体" w:hAnsi="宋体" w:cs="宋体"/>
          <w:b/>
          <w:bCs/>
          <w:color w:val="auto"/>
          <w:sz w:val="30"/>
          <w:szCs w:val="30"/>
          <w:highlight w:val="none"/>
          <w:u w:val="none"/>
          <w:lang w:eastAsia="zh-CN"/>
        </w:rPr>
        <w:t>常山县紫港街道外港零担菜市场临时疏导点</w:t>
      </w:r>
      <w:r>
        <w:rPr>
          <w:rFonts w:hint="eastAsia"/>
          <w:b/>
          <w:bCs/>
          <w:sz w:val="30"/>
          <w:szCs w:val="30"/>
        </w:rPr>
        <w:t>经营管理考核评分表</w:t>
      </w:r>
    </w:p>
    <w:p w14:paraId="1CAB5E7A">
      <w:pPr>
        <w:bidi w:val="0"/>
        <w:ind w:firstLine="420" w:firstLineChars="200"/>
        <w:rPr>
          <w:rFonts w:hint="eastAsia"/>
        </w:rPr>
      </w:pPr>
      <w:r>
        <w:rPr>
          <w:rFonts w:hint="eastAsia"/>
        </w:rPr>
        <w:t xml:space="preserve">                                                  </w:t>
      </w:r>
    </w:p>
    <w:p w14:paraId="52D53D79">
      <w:pPr>
        <w:bidi w:val="0"/>
        <w:ind w:firstLine="420" w:firstLineChars="200"/>
        <w:rPr>
          <w:rFonts w:hint="eastAsia"/>
        </w:rPr>
      </w:pPr>
      <w:r>
        <w:rPr>
          <w:rFonts w:hint="eastAsia"/>
        </w:rPr>
        <w:t xml:space="preserve">考核人员：                                                            年    月     日 </w:t>
      </w:r>
    </w:p>
    <w:tbl>
      <w:tblPr>
        <w:tblStyle w:val="3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4306"/>
        <w:gridCol w:w="669"/>
        <w:gridCol w:w="4157"/>
      </w:tblGrid>
      <w:tr w14:paraId="5D18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noWrap w:val="0"/>
            <w:vAlign w:val="center"/>
          </w:tcPr>
          <w:p w14:paraId="00C3D61C">
            <w:pPr>
              <w:pStyle w:val="49"/>
              <w:bidi w:val="0"/>
              <w:rPr>
                <w:rFonts w:hint="eastAsia"/>
              </w:rPr>
            </w:pPr>
            <w:r>
              <w:rPr>
                <w:rFonts w:hint="eastAsia"/>
              </w:rPr>
              <w:t>序号</w:t>
            </w:r>
          </w:p>
        </w:tc>
        <w:tc>
          <w:tcPr>
            <w:tcW w:w="2181" w:type="pct"/>
            <w:noWrap w:val="0"/>
            <w:vAlign w:val="center"/>
          </w:tcPr>
          <w:p w14:paraId="31D988CA">
            <w:pPr>
              <w:pStyle w:val="49"/>
              <w:bidi w:val="0"/>
              <w:rPr>
                <w:rFonts w:hint="eastAsia"/>
              </w:rPr>
            </w:pPr>
            <w:r>
              <w:rPr>
                <w:rFonts w:hint="eastAsia"/>
              </w:rPr>
              <w:t>标准内容</w:t>
            </w:r>
          </w:p>
        </w:tc>
        <w:tc>
          <w:tcPr>
            <w:tcW w:w="339" w:type="pct"/>
            <w:noWrap w:val="0"/>
            <w:vAlign w:val="center"/>
          </w:tcPr>
          <w:p w14:paraId="7A58B925">
            <w:pPr>
              <w:pStyle w:val="49"/>
              <w:bidi w:val="0"/>
              <w:rPr>
                <w:rFonts w:hint="eastAsia"/>
              </w:rPr>
            </w:pPr>
            <w:r>
              <w:rPr>
                <w:rFonts w:hint="eastAsia"/>
              </w:rPr>
              <w:t>分值</w:t>
            </w:r>
          </w:p>
        </w:tc>
        <w:tc>
          <w:tcPr>
            <w:tcW w:w="2105" w:type="pct"/>
            <w:noWrap w:val="0"/>
            <w:vAlign w:val="center"/>
          </w:tcPr>
          <w:p w14:paraId="6B7583DA">
            <w:pPr>
              <w:pStyle w:val="49"/>
              <w:bidi w:val="0"/>
              <w:rPr>
                <w:rFonts w:hint="eastAsia"/>
              </w:rPr>
            </w:pPr>
            <w:r>
              <w:rPr>
                <w:rFonts w:hint="eastAsia"/>
              </w:rPr>
              <w:t>评分细则</w:t>
            </w:r>
          </w:p>
        </w:tc>
      </w:tr>
      <w:tr w14:paraId="1A30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72" w:type="pct"/>
            <w:vMerge w:val="restart"/>
            <w:shd w:val="clear" w:color="auto" w:fill="auto"/>
            <w:noWrap w:val="0"/>
            <w:vAlign w:val="center"/>
          </w:tcPr>
          <w:p w14:paraId="4CFD4328">
            <w:pPr>
              <w:pStyle w:val="49"/>
              <w:bidi w:val="0"/>
              <w:rPr>
                <w:rFonts w:hint="eastAsia"/>
              </w:rPr>
            </w:pPr>
            <w:r>
              <w:rPr>
                <w:rFonts w:hint="eastAsia"/>
              </w:rPr>
              <w:t>一</w:t>
            </w:r>
          </w:p>
        </w:tc>
        <w:tc>
          <w:tcPr>
            <w:tcW w:w="2181" w:type="pct"/>
            <w:shd w:val="clear" w:color="auto" w:fill="D9D9D9"/>
            <w:noWrap w:val="0"/>
            <w:vAlign w:val="center"/>
          </w:tcPr>
          <w:p w14:paraId="702DBDAA">
            <w:pPr>
              <w:pStyle w:val="49"/>
              <w:bidi w:val="0"/>
              <w:rPr>
                <w:rFonts w:hint="eastAsia"/>
              </w:rPr>
            </w:pPr>
            <w:r>
              <w:rPr>
                <w:rFonts w:hint="eastAsia"/>
              </w:rPr>
              <w:t>基础管理</w:t>
            </w:r>
          </w:p>
        </w:tc>
        <w:tc>
          <w:tcPr>
            <w:tcW w:w="339" w:type="pct"/>
            <w:shd w:val="clear" w:color="auto" w:fill="D9D9D9"/>
            <w:noWrap w:val="0"/>
            <w:vAlign w:val="center"/>
          </w:tcPr>
          <w:p w14:paraId="349AC7E3">
            <w:pPr>
              <w:pStyle w:val="49"/>
              <w:bidi w:val="0"/>
            </w:pPr>
            <w:r>
              <w:rPr>
                <w:rFonts w:hint="eastAsia"/>
              </w:rPr>
              <w:t>15</w:t>
            </w:r>
          </w:p>
        </w:tc>
        <w:tc>
          <w:tcPr>
            <w:tcW w:w="2105" w:type="pct"/>
            <w:shd w:val="clear" w:color="auto" w:fill="D9D9D9"/>
            <w:noWrap w:val="0"/>
            <w:vAlign w:val="center"/>
          </w:tcPr>
          <w:p w14:paraId="236B9113">
            <w:pPr>
              <w:pStyle w:val="49"/>
              <w:bidi w:val="0"/>
              <w:rPr>
                <w:rFonts w:hint="eastAsia"/>
              </w:rPr>
            </w:pPr>
            <w:r>
              <w:rPr>
                <w:rFonts w:hint="eastAsia"/>
              </w:rPr>
              <w:t>　</w:t>
            </w:r>
          </w:p>
        </w:tc>
      </w:tr>
      <w:tr w14:paraId="342D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72" w:type="pct"/>
            <w:vMerge w:val="continue"/>
            <w:noWrap w:val="0"/>
            <w:vAlign w:val="center"/>
          </w:tcPr>
          <w:p w14:paraId="3DEB080F">
            <w:pPr>
              <w:pStyle w:val="49"/>
              <w:bidi w:val="0"/>
              <w:rPr>
                <w:rFonts w:hint="eastAsia"/>
              </w:rPr>
            </w:pPr>
          </w:p>
        </w:tc>
        <w:tc>
          <w:tcPr>
            <w:tcW w:w="2181" w:type="pct"/>
            <w:noWrap w:val="0"/>
            <w:vAlign w:val="center"/>
          </w:tcPr>
          <w:p w14:paraId="67D158A2">
            <w:pPr>
              <w:pStyle w:val="49"/>
              <w:bidi w:val="0"/>
              <w:rPr>
                <w:rFonts w:hint="eastAsia"/>
              </w:rPr>
            </w:pPr>
            <w:r>
              <w:rPr>
                <w:rFonts w:hint="eastAsia"/>
                <w:lang w:val="en-US" w:eastAsia="zh-CN"/>
              </w:rPr>
              <w:t>1.市场</w:t>
            </w:r>
            <w:r>
              <w:rPr>
                <w:rFonts w:hint="eastAsia"/>
              </w:rPr>
              <w:t>管理人员和专业技术人员持证上岗</w:t>
            </w:r>
            <w:r>
              <w:rPr>
                <w:rFonts w:hint="eastAsia"/>
                <w:lang w:eastAsia="zh-CN"/>
              </w:rPr>
              <w:t>，</w:t>
            </w:r>
            <w:r>
              <w:rPr>
                <w:rFonts w:hint="eastAsia"/>
              </w:rPr>
              <w:t>员工着装规范，佩戴明显标志，工作规范、作风严谨</w:t>
            </w:r>
          </w:p>
        </w:tc>
        <w:tc>
          <w:tcPr>
            <w:tcW w:w="339" w:type="pct"/>
            <w:noWrap w:val="0"/>
            <w:vAlign w:val="center"/>
          </w:tcPr>
          <w:p w14:paraId="11ECD2F9">
            <w:pPr>
              <w:pStyle w:val="49"/>
              <w:bidi w:val="0"/>
              <w:rPr>
                <w:rFonts w:hint="eastAsia"/>
              </w:rPr>
            </w:pPr>
            <w:r>
              <w:rPr>
                <w:rFonts w:hint="eastAsia"/>
              </w:rPr>
              <w:t>5</w:t>
            </w:r>
          </w:p>
        </w:tc>
        <w:tc>
          <w:tcPr>
            <w:tcW w:w="2105" w:type="pct"/>
            <w:noWrap w:val="0"/>
            <w:vAlign w:val="center"/>
          </w:tcPr>
          <w:p w14:paraId="552212A4">
            <w:pPr>
              <w:pStyle w:val="49"/>
              <w:bidi w:val="0"/>
              <w:rPr>
                <w:rFonts w:hint="eastAsia"/>
              </w:rPr>
            </w:pPr>
            <w:r>
              <w:rPr>
                <w:rFonts w:hint="eastAsia"/>
              </w:rPr>
              <w:t>管理人员、专业技术人员每发现1人无上岗证书扣1分；人数不符每少一人扣1分；着装及标志不符合扣0.5分</w:t>
            </w:r>
          </w:p>
        </w:tc>
      </w:tr>
      <w:tr w14:paraId="6348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372" w:type="pct"/>
            <w:vMerge w:val="continue"/>
            <w:noWrap w:val="0"/>
            <w:vAlign w:val="center"/>
          </w:tcPr>
          <w:p w14:paraId="12B3DA91">
            <w:pPr>
              <w:pStyle w:val="49"/>
              <w:bidi w:val="0"/>
              <w:rPr>
                <w:rFonts w:hint="eastAsia"/>
              </w:rPr>
            </w:pPr>
          </w:p>
        </w:tc>
        <w:tc>
          <w:tcPr>
            <w:tcW w:w="2181" w:type="pct"/>
            <w:noWrap w:val="0"/>
            <w:vAlign w:val="center"/>
          </w:tcPr>
          <w:p w14:paraId="3AE122E3">
            <w:pPr>
              <w:pStyle w:val="49"/>
              <w:bidi w:val="0"/>
              <w:rPr>
                <w:rFonts w:hint="eastAsia"/>
              </w:rPr>
            </w:pPr>
            <w:r>
              <w:rPr>
                <w:rFonts w:hint="eastAsia"/>
                <w:lang w:val="en-US" w:eastAsia="zh-CN"/>
              </w:rPr>
              <w:t>2.</w:t>
            </w:r>
            <w:r>
              <w:rPr>
                <w:rFonts w:hint="eastAsia"/>
              </w:rPr>
              <w:t>建立值班制度，设立服务电话、接受住户和经营户报修、求助、建议、问询、质疑、投诉等，各类信息的收集（受理）和反馈（回访）台账资料记录完整，及时处理</w:t>
            </w:r>
          </w:p>
        </w:tc>
        <w:tc>
          <w:tcPr>
            <w:tcW w:w="339" w:type="pct"/>
            <w:noWrap w:val="0"/>
            <w:vAlign w:val="center"/>
          </w:tcPr>
          <w:p w14:paraId="46CAE085">
            <w:pPr>
              <w:pStyle w:val="49"/>
              <w:bidi w:val="0"/>
              <w:rPr>
                <w:rFonts w:hint="eastAsia"/>
              </w:rPr>
            </w:pPr>
            <w:r>
              <w:rPr>
                <w:rFonts w:hint="eastAsia"/>
              </w:rPr>
              <w:t>2</w:t>
            </w:r>
          </w:p>
        </w:tc>
        <w:tc>
          <w:tcPr>
            <w:tcW w:w="2105" w:type="pct"/>
            <w:noWrap w:val="0"/>
            <w:vAlign w:val="center"/>
          </w:tcPr>
          <w:p w14:paraId="682E6999">
            <w:pPr>
              <w:pStyle w:val="49"/>
              <w:bidi w:val="0"/>
              <w:rPr>
                <w:rFonts w:hint="eastAsia"/>
              </w:rPr>
            </w:pPr>
            <w:r>
              <w:rPr>
                <w:rFonts w:hint="eastAsia"/>
              </w:rPr>
              <w:t>没有值班制度扣1分，未设服务电话扣1分，发现一处处理不及时扣1分，台账资料记录不完整每次扣1分</w:t>
            </w:r>
          </w:p>
        </w:tc>
      </w:tr>
      <w:tr w14:paraId="2A8B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72" w:type="pct"/>
            <w:vMerge w:val="continue"/>
            <w:noWrap w:val="0"/>
            <w:vAlign w:val="center"/>
          </w:tcPr>
          <w:p w14:paraId="197B4C39">
            <w:pPr>
              <w:pStyle w:val="49"/>
              <w:bidi w:val="0"/>
              <w:rPr>
                <w:rFonts w:hint="eastAsia"/>
              </w:rPr>
            </w:pPr>
          </w:p>
        </w:tc>
        <w:tc>
          <w:tcPr>
            <w:tcW w:w="2181" w:type="pct"/>
            <w:noWrap w:val="0"/>
            <w:vAlign w:val="center"/>
          </w:tcPr>
          <w:p w14:paraId="15B324EC">
            <w:pPr>
              <w:pStyle w:val="49"/>
              <w:bidi w:val="0"/>
              <w:rPr>
                <w:rFonts w:hint="eastAsia"/>
              </w:rPr>
            </w:pPr>
            <w:r>
              <w:rPr>
                <w:rFonts w:hint="eastAsia"/>
                <w:lang w:val="en-US" w:eastAsia="zh-CN"/>
              </w:rPr>
              <w:t>3.</w:t>
            </w:r>
            <w:r>
              <w:rPr>
                <w:rFonts w:hint="eastAsia"/>
              </w:rPr>
              <w:t>对定期检查和日常考核中发现的问题，在限期内整改满意率</w:t>
            </w:r>
          </w:p>
        </w:tc>
        <w:tc>
          <w:tcPr>
            <w:tcW w:w="339" w:type="pct"/>
            <w:noWrap w:val="0"/>
            <w:vAlign w:val="center"/>
          </w:tcPr>
          <w:p w14:paraId="2200924F">
            <w:pPr>
              <w:pStyle w:val="49"/>
              <w:bidi w:val="0"/>
              <w:rPr>
                <w:rFonts w:hint="eastAsia"/>
              </w:rPr>
            </w:pPr>
            <w:r>
              <w:rPr>
                <w:rFonts w:hint="eastAsia"/>
              </w:rPr>
              <w:t>3</w:t>
            </w:r>
          </w:p>
        </w:tc>
        <w:tc>
          <w:tcPr>
            <w:tcW w:w="2105" w:type="pct"/>
            <w:noWrap w:val="0"/>
            <w:vAlign w:val="center"/>
          </w:tcPr>
          <w:p w14:paraId="093455D6">
            <w:pPr>
              <w:pStyle w:val="49"/>
              <w:bidi w:val="0"/>
              <w:rPr>
                <w:rFonts w:hint="eastAsia"/>
              </w:rPr>
            </w:pPr>
            <w:r>
              <w:rPr>
                <w:rFonts w:hint="eastAsia"/>
              </w:rPr>
              <w:t>满意3分，基本满意2分，不满意0分</w:t>
            </w:r>
          </w:p>
        </w:tc>
      </w:tr>
      <w:tr w14:paraId="7E08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72" w:type="pct"/>
            <w:vMerge w:val="continue"/>
            <w:noWrap w:val="0"/>
            <w:vAlign w:val="center"/>
          </w:tcPr>
          <w:p w14:paraId="791FBD9D">
            <w:pPr>
              <w:pStyle w:val="49"/>
              <w:bidi w:val="0"/>
              <w:rPr>
                <w:rFonts w:hint="eastAsia"/>
              </w:rPr>
            </w:pPr>
          </w:p>
        </w:tc>
        <w:tc>
          <w:tcPr>
            <w:tcW w:w="2181" w:type="pct"/>
            <w:noWrap w:val="0"/>
            <w:vAlign w:val="center"/>
          </w:tcPr>
          <w:p w14:paraId="6C638A53">
            <w:pPr>
              <w:pStyle w:val="49"/>
              <w:bidi w:val="0"/>
              <w:rPr>
                <w:rFonts w:hint="eastAsia"/>
              </w:rPr>
            </w:pPr>
            <w:r>
              <w:rPr>
                <w:rFonts w:hint="eastAsia"/>
                <w:lang w:val="en-US" w:eastAsia="zh-CN"/>
              </w:rPr>
              <w:t>4.</w:t>
            </w:r>
            <w:r>
              <w:rPr>
                <w:rFonts w:hint="eastAsia"/>
              </w:rPr>
              <w:t>建立并落实便民维修服务承诺制、零修急修及时率 100％，返修率不高于1％，并有回访记录</w:t>
            </w:r>
          </w:p>
        </w:tc>
        <w:tc>
          <w:tcPr>
            <w:tcW w:w="339" w:type="pct"/>
            <w:noWrap w:val="0"/>
            <w:vAlign w:val="center"/>
          </w:tcPr>
          <w:p w14:paraId="7FA66D76">
            <w:pPr>
              <w:pStyle w:val="49"/>
              <w:bidi w:val="0"/>
              <w:rPr>
                <w:rFonts w:hint="eastAsia"/>
              </w:rPr>
            </w:pPr>
            <w:r>
              <w:rPr>
                <w:rFonts w:hint="eastAsia"/>
              </w:rPr>
              <w:t>5</w:t>
            </w:r>
          </w:p>
        </w:tc>
        <w:tc>
          <w:tcPr>
            <w:tcW w:w="2105" w:type="pct"/>
            <w:noWrap w:val="0"/>
            <w:vAlign w:val="center"/>
          </w:tcPr>
          <w:p w14:paraId="6413D004">
            <w:pPr>
              <w:pStyle w:val="49"/>
              <w:bidi w:val="0"/>
              <w:rPr>
                <w:rFonts w:hint="eastAsia"/>
              </w:rPr>
            </w:pPr>
            <w:r>
              <w:rPr>
                <w:rFonts w:hint="eastAsia"/>
              </w:rPr>
              <w:t>没有建立或没有落实扣5分；及时率每降低1个百分点扣1分；返修率符合每增加1个百分点扣0.5分：回访记录不完整或无回访记录扣2分</w:t>
            </w:r>
          </w:p>
        </w:tc>
      </w:tr>
      <w:tr w14:paraId="4A51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2" w:type="pct"/>
            <w:vMerge w:val="restart"/>
            <w:shd w:val="clear" w:color="auto" w:fill="auto"/>
            <w:noWrap w:val="0"/>
            <w:vAlign w:val="center"/>
          </w:tcPr>
          <w:p w14:paraId="611393E5">
            <w:pPr>
              <w:pStyle w:val="49"/>
              <w:bidi w:val="0"/>
              <w:rPr>
                <w:rFonts w:hint="eastAsia"/>
              </w:rPr>
            </w:pPr>
            <w:r>
              <w:rPr>
                <w:rFonts w:hint="eastAsia"/>
              </w:rPr>
              <w:t>二</w:t>
            </w:r>
          </w:p>
        </w:tc>
        <w:tc>
          <w:tcPr>
            <w:tcW w:w="2181" w:type="pct"/>
            <w:shd w:val="clear" w:color="auto" w:fill="D9D9D9"/>
            <w:noWrap w:val="0"/>
            <w:vAlign w:val="center"/>
          </w:tcPr>
          <w:p w14:paraId="29425502">
            <w:pPr>
              <w:pStyle w:val="49"/>
              <w:bidi w:val="0"/>
              <w:rPr>
                <w:rFonts w:hint="eastAsia"/>
              </w:rPr>
            </w:pPr>
            <w:r>
              <w:rPr>
                <w:rFonts w:hint="eastAsia"/>
                <w:lang w:eastAsia="zh-CN"/>
              </w:rPr>
              <w:t>共用设施</w:t>
            </w:r>
            <w:r>
              <w:rPr>
                <w:rFonts w:hint="eastAsia"/>
              </w:rPr>
              <w:t>设备管理</w:t>
            </w:r>
          </w:p>
        </w:tc>
        <w:tc>
          <w:tcPr>
            <w:tcW w:w="339" w:type="pct"/>
            <w:shd w:val="clear" w:color="auto" w:fill="D9D9D9"/>
            <w:noWrap w:val="0"/>
            <w:vAlign w:val="center"/>
          </w:tcPr>
          <w:p w14:paraId="49AF5BB9">
            <w:pPr>
              <w:pStyle w:val="49"/>
              <w:bidi w:val="0"/>
            </w:pPr>
            <w:r>
              <w:rPr>
                <w:rFonts w:hint="eastAsia"/>
              </w:rPr>
              <w:t>5</w:t>
            </w:r>
          </w:p>
        </w:tc>
        <w:tc>
          <w:tcPr>
            <w:tcW w:w="2105" w:type="pct"/>
            <w:shd w:val="clear" w:color="auto" w:fill="D9D9D9"/>
            <w:noWrap w:val="0"/>
            <w:vAlign w:val="center"/>
          </w:tcPr>
          <w:p w14:paraId="21345C99">
            <w:pPr>
              <w:pStyle w:val="49"/>
              <w:bidi w:val="0"/>
              <w:rPr>
                <w:rFonts w:hint="eastAsia"/>
              </w:rPr>
            </w:pPr>
            <w:r>
              <w:rPr>
                <w:rFonts w:hint="eastAsia"/>
              </w:rPr>
              <w:t>　</w:t>
            </w:r>
          </w:p>
        </w:tc>
      </w:tr>
      <w:tr w14:paraId="68FC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 w:type="pct"/>
            <w:vMerge w:val="continue"/>
            <w:noWrap w:val="0"/>
            <w:vAlign w:val="center"/>
          </w:tcPr>
          <w:p w14:paraId="02DF766F">
            <w:pPr>
              <w:pStyle w:val="49"/>
              <w:bidi w:val="0"/>
              <w:rPr>
                <w:rFonts w:hint="eastAsia"/>
              </w:rPr>
            </w:pPr>
          </w:p>
        </w:tc>
        <w:tc>
          <w:tcPr>
            <w:tcW w:w="2181" w:type="pct"/>
            <w:noWrap w:val="0"/>
            <w:vAlign w:val="center"/>
          </w:tcPr>
          <w:p w14:paraId="6DA0415A">
            <w:pPr>
              <w:pStyle w:val="49"/>
              <w:bidi w:val="0"/>
              <w:rPr>
                <w:rFonts w:hint="eastAsia"/>
              </w:rPr>
            </w:pPr>
            <w:r>
              <w:rPr>
                <w:rFonts w:hint="eastAsia"/>
              </w:rPr>
              <w:t>1</w:t>
            </w:r>
            <w:r>
              <w:rPr>
                <w:rFonts w:hint="eastAsia"/>
                <w:lang w:val="en-US" w:eastAsia="zh-CN"/>
              </w:rPr>
              <w:t>.</w:t>
            </w:r>
            <w:r>
              <w:rPr>
                <w:rFonts w:hint="eastAsia"/>
              </w:rPr>
              <w:t>共用配套设施完好，无随意改变用途</w:t>
            </w:r>
          </w:p>
        </w:tc>
        <w:tc>
          <w:tcPr>
            <w:tcW w:w="339" w:type="pct"/>
            <w:noWrap w:val="0"/>
            <w:vAlign w:val="center"/>
          </w:tcPr>
          <w:p w14:paraId="52EBFEE0">
            <w:pPr>
              <w:pStyle w:val="49"/>
              <w:bidi w:val="0"/>
              <w:rPr>
                <w:rFonts w:hint="eastAsia"/>
              </w:rPr>
            </w:pPr>
            <w:r>
              <w:rPr>
                <w:rFonts w:hint="eastAsia"/>
              </w:rPr>
              <w:t>2</w:t>
            </w:r>
          </w:p>
        </w:tc>
        <w:tc>
          <w:tcPr>
            <w:tcW w:w="2105" w:type="pct"/>
            <w:noWrap w:val="0"/>
            <w:vAlign w:val="center"/>
          </w:tcPr>
          <w:p w14:paraId="5CD9D2BC">
            <w:pPr>
              <w:pStyle w:val="49"/>
              <w:bidi w:val="0"/>
              <w:rPr>
                <w:rFonts w:hint="eastAsia"/>
              </w:rPr>
            </w:pPr>
            <w:r>
              <w:rPr>
                <w:rFonts w:hint="eastAsia"/>
              </w:rPr>
              <w:t>符合2.0分，每发现一处不符合扣0.2分</w:t>
            </w:r>
          </w:p>
        </w:tc>
      </w:tr>
      <w:tr w14:paraId="161A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 w:type="pct"/>
            <w:vMerge w:val="continue"/>
            <w:noWrap w:val="0"/>
            <w:vAlign w:val="center"/>
          </w:tcPr>
          <w:p w14:paraId="23F170DE">
            <w:pPr>
              <w:pStyle w:val="49"/>
              <w:bidi w:val="0"/>
              <w:rPr>
                <w:rFonts w:hint="eastAsia"/>
              </w:rPr>
            </w:pPr>
          </w:p>
        </w:tc>
        <w:tc>
          <w:tcPr>
            <w:tcW w:w="2181" w:type="pct"/>
            <w:noWrap w:val="0"/>
            <w:vAlign w:val="center"/>
          </w:tcPr>
          <w:p w14:paraId="440C9D5A">
            <w:pPr>
              <w:pStyle w:val="49"/>
              <w:bidi w:val="0"/>
              <w:rPr>
                <w:rFonts w:hint="eastAsia"/>
              </w:rPr>
            </w:pPr>
            <w:r>
              <w:rPr>
                <w:rFonts w:hint="eastAsia"/>
              </w:rPr>
              <w:t>2</w:t>
            </w:r>
            <w:r>
              <w:rPr>
                <w:rFonts w:hint="eastAsia"/>
                <w:lang w:val="en-US" w:eastAsia="zh-CN"/>
              </w:rPr>
              <w:t>.</w:t>
            </w:r>
            <w:r>
              <w:rPr>
                <w:rFonts w:hint="eastAsia"/>
              </w:rPr>
              <w:t>经营范围公共照明完好</w:t>
            </w:r>
          </w:p>
        </w:tc>
        <w:tc>
          <w:tcPr>
            <w:tcW w:w="339" w:type="pct"/>
            <w:noWrap w:val="0"/>
            <w:vAlign w:val="center"/>
          </w:tcPr>
          <w:p w14:paraId="4FD6BE6E">
            <w:pPr>
              <w:pStyle w:val="49"/>
              <w:bidi w:val="0"/>
              <w:rPr>
                <w:rFonts w:hint="eastAsia"/>
              </w:rPr>
            </w:pPr>
            <w:r>
              <w:rPr>
                <w:rFonts w:hint="eastAsia"/>
              </w:rPr>
              <w:t>2</w:t>
            </w:r>
          </w:p>
        </w:tc>
        <w:tc>
          <w:tcPr>
            <w:tcW w:w="2105" w:type="pct"/>
            <w:noWrap w:val="0"/>
            <w:vAlign w:val="center"/>
          </w:tcPr>
          <w:p w14:paraId="73701BC2">
            <w:pPr>
              <w:pStyle w:val="49"/>
              <w:bidi w:val="0"/>
              <w:rPr>
                <w:rFonts w:hint="eastAsia"/>
              </w:rPr>
            </w:pPr>
            <w:r>
              <w:rPr>
                <w:rFonts w:hint="eastAsia"/>
              </w:rPr>
              <w:t>符合1.0分，每发现一处不亮扣0.2分</w:t>
            </w:r>
          </w:p>
        </w:tc>
      </w:tr>
      <w:tr w14:paraId="7E46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 w:type="pct"/>
            <w:vMerge w:val="continue"/>
            <w:noWrap w:val="0"/>
            <w:vAlign w:val="center"/>
          </w:tcPr>
          <w:p w14:paraId="4BDF1917">
            <w:pPr>
              <w:pStyle w:val="49"/>
              <w:bidi w:val="0"/>
              <w:rPr>
                <w:rFonts w:hint="eastAsia"/>
              </w:rPr>
            </w:pPr>
          </w:p>
        </w:tc>
        <w:tc>
          <w:tcPr>
            <w:tcW w:w="2181" w:type="pct"/>
            <w:noWrap w:val="0"/>
            <w:vAlign w:val="center"/>
          </w:tcPr>
          <w:p w14:paraId="228FA26F">
            <w:pPr>
              <w:pStyle w:val="49"/>
              <w:bidi w:val="0"/>
              <w:rPr>
                <w:rFonts w:hint="eastAsia"/>
              </w:rPr>
            </w:pPr>
            <w:r>
              <w:rPr>
                <w:rFonts w:hint="eastAsia"/>
              </w:rPr>
              <w:t>3</w:t>
            </w:r>
            <w:r>
              <w:rPr>
                <w:rFonts w:hint="eastAsia"/>
                <w:lang w:val="en-US" w:eastAsia="zh-CN"/>
              </w:rPr>
              <w:t>.</w:t>
            </w:r>
            <w:r>
              <w:rPr>
                <w:rFonts w:hint="eastAsia"/>
              </w:rPr>
              <w:t>区域范围内的道路通畅，地面平坦</w:t>
            </w:r>
          </w:p>
        </w:tc>
        <w:tc>
          <w:tcPr>
            <w:tcW w:w="339" w:type="pct"/>
            <w:noWrap w:val="0"/>
            <w:vAlign w:val="center"/>
          </w:tcPr>
          <w:p w14:paraId="1F860706">
            <w:pPr>
              <w:pStyle w:val="49"/>
              <w:bidi w:val="0"/>
              <w:rPr>
                <w:rFonts w:hint="eastAsia"/>
              </w:rPr>
            </w:pPr>
            <w:r>
              <w:rPr>
                <w:rFonts w:hint="eastAsia"/>
              </w:rPr>
              <w:t>1</w:t>
            </w:r>
          </w:p>
        </w:tc>
        <w:tc>
          <w:tcPr>
            <w:tcW w:w="2105" w:type="pct"/>
            <w:noWrap w:val="0"/>
            <w:vAlign w:val="center"/>
          </w:tcPr>
          <w:p w14:paraId="21066AFA">
            <w:pPr>
              <w:pStyle w:val="49"/>
              <w:bidi w:val="0"/>
              <w:rPr>
                <w:rFonts w:hint="eastAsia"/>
              </w:rPr>
            </w:pPr>
            <w:r>
              <w:rPr>
                <w:rFonts w:hint="eastAsia"/>
              </w:rPr>
              <w:t>符合2.0分，每发现一处不符合扣0.2分</w:t>
            </w:r>
          </w:p>
        </w:tc>
      </w:tr>
      <w:tr w14:paraId="63EA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72" w:type="pct"/>
            <w:vMerge w:val="restart"/>
            <w:shd w:val="clear" w:color="auto" w:fill="auto"/>
            <w:noWrap w:val="0"/>
            <w:vAlign w:val="center"/>
          </w:tcPr>
          <w:p w14:paraId="1ADCDEC1">
            <w:pPr>
              <w:pStyle w:val="49"/>
              <w:bidi w:val="0"/>
              <w:rPr>
                <w:rFonts w:hint="eastAsia"/>
              </w:rPr>
            </w:pPr>
            <w:r>
              <w:rPr>
                <w:rFonts w:hint="eastAsia"/>
              </w:rPr>
              <w:t>三</w:t>
            </w:r>
          </w:p>
        </w:tc>
        <w:tc>
          <w:tcPr>
            <w:tcW w:w="2181" w:type="pct"/>
            <w:shd w:val="clear" w:color="auto" w:fill="D9D9D9"/>
            <w:noWrap w:val="0"/>
            <w:vAlign w:val="center"/>
          </w:tcPr>
          <w:p w14:paraId="24FA2111">
            <w:pPr>
              <w:pStyle w:val="49"/>
              <w:bidi w:val="0"/>
              <w:rPr>
                <w:rFonts w:hint="eastAsia"/>
              </w:rPr>
            </w:pPr>
            <w:r>
              <w:rPr>
                <w:rFonts w:hint="eastAsia"/>
              </w:rPr>
              <w:t>秩序维护管理</w:t>
            </w:r>
          </w:p>
        </w:tc>
        <w:tc>
          <w:tcPr>
            <w:tcW w:w="339" w:type="pct"/>
            <w:shd w:val="clear" w:color="auto" w:fill="D9D9D9"/>
            <w:noWrap w:val="0"/>
            <w:vAlign w:val="center"/>
          </w:tcPr>
          <w:p w14:paraId="02F53646">
            <w:pPr>
              <w:pStyle w:val="49"/>
              <w:bidi w:val="0"/>
            </w:pPr>
            <w:r>
              <w:rPr>
                <w:rFonts w:hint="eastAsia"/>
              </w:rPr>
              <w:t>35</w:t>
            </w:r>
          </w:p>
        </w:tc>
        <w:tc>
          <w:tcPr>
            <w:tcW w:w="2105" w:type="pct"/>
            <w:shd w:val="clear" w:color="auto" w:fill="D9D9D9"/>
            <w:noWrap w:val="0"/>
            <w:vAlign w:val="center"/>
          </w:tcPr>
          <w:p w14:paraId="4B00E18F">
            <w:pPr>
              <w:pStyle w:val="49"/>
              <w:bidi w:val="0"/>
              <w:rPr>
                <w:rFonts w:hint="eastAsia"/>
              </w:rPr>
            </w:pPr>
            <w:r>
              <w:rPr>
                <w:rFonts w:hint="eastAsia"/>
              </w:rPr>
              <w:t>　</w:t>
            </w:r>
          </w:p>
        </w:tc>
      </w:tr>
      <w:tr w14:paraId="34F1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Merge w:val="continue"/>
            <w:noWrap w:val="0"/>
            <w:vAlign w:val="center"/>
          </w:tcPr>
          <w:p w14:paraId="3F3BFAFB">
            <w:pPr>
              <w:pStyle w:val="49"/>
              <w:bidi w:val="0"/>
              <w:rPr>
                <w:rFonts w:hint="eastAsia"/>
              </w:rPr>
            </w:pPr>
          </w:p>
        </w:tc>
        <w:tc>
          <w:tcPr>
            <w:tcW w:w="2181" w:type="pct"/>
            <w:noWrap w:val="0"/>
            <w:vAlign w:val="center"/>
          </w:tcPr>
          <w:p w14:paraId="0EDEA7EA">
            <w:pPr>
              <w:pStyle w:val="49"/>
              <w:bidi w:val="0"/>
              <w:rPr>
                <w:rFonts w:hint="eastAsia"/>
              </w:rPr>
            </w:pPr>
            <w:r>
              <w:rPr>
                <w:rFonts w:hint="eastAsia"/>
              </w:rPr>
              <w:t>1</w:t>
            </w:r>
            <w:r>
              <w:rPr>
                <w:rFonts w:hint="eastAsia"/>
                <w:lang w:val="en-US" w:eastAsia="zh-CN"/>
              </w:rPr>
              <w:t>.</w:t>
            </w:r>
            <w:r>
              <w:rPr>
                <w:rFonts w:hint="eastAsia"/>
              </w:rPr>
              <w:t>人员熟悉工作区的环境，文明值勤，训练有素，言语规范，认真负责</w:t>
            </w:r>
          </w:p>
        </w:tc>
        <w:tc>
          <w:tcPr>
            <w:tcW w:w="339" w:type="pct"/>
            <w:noWrap w:val="0"/>
            <w:vAlign w:val="center"/>
          </w:tcPr>
          <w:p w14:paraId="6614C0AD">
            <w:pPr>
              <w:pStyle w:val="49"/>
              <w:bidi w:val="0"/>
              <w:rPr>
                <w:rFonts w:hint="eastAsia"/>
              </w:rPr>
            </w:pPr>
            <w:r>
              <w:rPr>
                <w:rFonts w:hint="eastAsia"/>
              </w:rPr>
              <w:t>3</w:t>
            </w:r>
          </w:p>
        </w:tc>
        <w:tc>
          <w:tcPr>
            <w:tcW w:w="2105" w:type="pct"/>
            <w:noWrap w:val="0"/>
            <w:vAlign w:val="center"/>
          </w:tcPr>
          <w:p w14:paraId="494D01C1">
            <w:pPr>
              <w:pStyle w:val="49"/>
              <w:bidi w:val="0"/>
              <w:rPr>
                <w:rFonts w:hint="eastAsia"/>
              </w:rPr>
            </w:pPr>
            <w:r>
              <w:rPr>
                <w:rFonts w:hint="eastAsia"/>
              </w:rPr>
              <w:t>符合3.0分，值班及巡逻记录等不规范每处扣0.5分</w:t>
            </w:r>
          </w:p>
        </w:tc>
      </w:tr>
      <w:tr w14:paraId="4512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Merge w:val="continue"/>
            <w:noWrap w:val="0"/>
            <w:vAlign w:val="center"/>
          </w:tcPr>
          <w:p w14:paraId="66540498">
            <w:pPr>
              <w:pStyle w:val="49"/>
              <w:bidi w:val="0"/>
              <w:rPr>
                <w:rFonts w:hint="eastAsia"/>
              </w:rPr>
            </w:pPr>
          </w:p>
        </w:tc>
        <w:tc>
          <w:tcPr>
            <w:tcW w:w="2181" w:type="pct"/>
            <w:noWrap w:val="0"/>
            <w:vAlign w:val="center"/>
          </w:tcPr>
          <w:p w14:paraId="4A98D7D1">
            <w:pPr>
              <w:pStyle w:val="49"/>
              <w:bidi w:val="0"/>
              <w:rPr>
                <w:rFonts w:hint="eastAsia"/>
              </w:rPr>
            </w:pPr>
            <w:r>
              <w:rPr>
                <w:rFonts w:hint="eastAsia"/>
              </w:rPr>
              <w:t>2</w:t>
            </w:r>
            <w:r>
              <w:rPr>
                <w:rFonts w:hint="eastAsia"/>
                <w:lang w:val="en-US" w:eastAsia="zh-CN"/>
              </w:rPr>
              <w:t>.</w:t>
            </w:r>
            <w:r>
              <w:rPr>
                <w:rFonts w:hint="eastAsia"/>
              </w:rPr>
              <w:t>进出区域各种车辆管理有序，无堵塞交通现象，不影响行人通行</w:t>
            </w:r>
          </w:p>
        </w:tc>
        <w:tc>
          <w:tcPr>
            <w:tcW w:w="339" w:type="pct"/>
            <w:noWrap w:val="0"/>
            <w:vAlign w:val="center"/>
          </w:tcPr>
          <w:p w14:paraId="52469440">
            <w:pPr>
              <w:pStyle w:val="49"/>
              <w:bidi w:val="0"/>
              <w:rPr>
                <w:rFonts w:hint="eastAsia"/>
              </w:rPr>
            </w:pPr>
            <w:r>
              <w:rPr>
                <w:rFonts w:hint="eastAsia"/>
              </w:rPr>
              <w:t>5</w:t>
            </w:r>
          </w:p>
        </w:tc>
        <w:tc>
          <w:tcPr>
            <w:tcW w:w="2105" w:type="pct"/>
            <w:noWrap w:val="0"/>
            <w:vAlign w:val="center"/>
          </w:tcPr>
          <w:p w14:paraId="5D0BA75D">
            <w:pPr>
              <w:pStyle w:val="49"/>
              <w:bidi w:val="0"/>
              <w:rPr>
                <w:rFonts w:hint="eastAsia"/>
              </w:rPr>
            </w:pPr>
            <w:r>
              <w:rPr>
                <w:rFonts w:hint="eastAsia"/>
              </w:rPr>
              <w:t>符合5分，基本符合2.5分，不符合0分</w:t>
            </w:r>
          </w:p>
        </w:tc>
      </w:tr>
      <w:tr w14:paraId="0F98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Merge w:val="continue"/>
            <w:noWrap w:val="0"/>
            <w:vAlign w:val="center"/>
          </w:tcPr>
          <w:p w14:paraId="300C4F6C">
            <w:pPr>
              <w:pStyle w:val="49"/>
              <w:bidi w:val="0"/>
              <w:rPr>
                <w:rFonts w:hint="eastAsia"/>
              </w:rPr>
            </w:pPr>
          </w:p>
        </w:tc>
        <w:tc>
          <w:tcPr>
            <w:tcW w:w="2181" w:type="pct"/>
            <w:noWrap w:val="0"/>
            <w:vAlign w:val="center"/>
          </w:tcPr>
          <w:p w14:paraId="1EB02323">
            <w:pPr>
              <w:pStyle w:val="49"/>
              <w:bidi w:val="0"/>
              <w:rPr>
                <w:rFonts w:hint="eastAsia"/>
              </w:rPr>
            </w:pPr>
            <w:r>
              <w:rPr>
                <w:rFonts w:hint="eastAsia"/>
              </w:rPr>
              <w:t>3</w:t>
            </w:r>
            <w:r>
              <w:rPr>
                <w:rFonts w:hint="eastAsia"/>
                <w:lang w:val="en-US" w:eastAsia="zh-CN"/>
              </w:rPr>
              <w:t>.</w:t>
            </w:r>
            <w:r>
              <w:rPr>
                <w:rFonts w:hint="eastAsia"/>
              </w:rPr>
              <w:t>非机动车辆有集中停放场地，管理制度落实，管理有序，停放整齐，场地整洁</w:t>
            </w:r>
          </w:p>
        </w:tc>
        <w:tc>
          <w:tcPr>
            <w:tcW w:w="339" w:type="pct"/>
            <w:noWrap w:val="0"/>
            <w:vAlign w:val="center"/>
          </w:tcPr>
          <w:p w14:paraId="0A71659E">
            <w:pPr>
              <w:pStyle w:val="49"/>
              <w:bidi w:val="0"/>
              <w:rPr>
                <w:rFonts w:hint="eastAsia"/>
              </w:rPr>
            </w:pPr>
            <w:r>
              <w:rPr>
                <w:rFonts w:hint="eastAsia"/>
              </w:rPr>
              <w:t>5</w:t>
            </w:r>
          </w:p>
        </w:tc>
        <w:tc>
          <w:tcPr>
            <w:tcW w:w="2105" w:type="pct"/>
            <w:noWrap w:val="0"/>
            <w:vAlign w:val="center"/>
          </w:tcPr>
          <w:p w14:paraId="6174EC29">
            <w:pPr>
              <w:pStyle w:val="49"/>
              <w:bidi w:val="0"/>
              <w:rPr>
                <w:rFonts w:hint="eastAsia"/>
              </w:rPr>
            </w:pPr>
            <w:r>
              <w:rPr>
                <w:rFonts w:hint="eastAsia"/>
              </w:rPr>
              <w:t>符合5分，基本符合2.5分，不符合0分</w:t>
            </w:r>
          </w:p>
        </w:tc>
      </w:tr>
      <w:tr w14:paraId="0DC7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Merge w:val="continue"/>
            <w:noWrap w:val="0"/>
            <w:vAlign w:val="center"/>
          </w:tcPr>
          <w:p w14:paraId="730F2328">
            <w:pPr>
              <w:pStyle w:val="49"/>
              <w:bidi w:val="0"/>
              <w:rPr>
                <w:rFonts w:hint="eastAsia"/>
              </w:rPr>
            </w:pPr>
          </w:p>
        </w:tc>
        <w:tc>
          <w:tcPr>
            <w:tcW w:w="2181" w:type="pct"/>
            <w:noWrap w:val="0"/>
            <w:vAlign w:val="center"/>
          </w:tcPr>
          <w:p w14:paraId="5B9D27E2">
            <w:pPr>
              <w:pStyle w:val="49"/>
              <w:bidi w:val="0"/>
              <w:rPr>
                <w:rFonts w:hint="eastAsia"/>
              </w:rPr>
            </w:pPr>
            <w:r>
              <w:rPr>
                <w:rFonts w:hint="eastAsia"/>
              </w:rPr>
              <w:t>4</w:t>
            </w:r>
            <w:r>
              <w:rPr>
                <w:rFonts w:hint="eastAsia"/>
                <w:lang w:val="en-US" w:eastAsia="zh-CN"/>
              </w:rPr>
              <w:t>.</w:t>
            </w:r>
            <w:r>
              <w:rPr>
                <w:rFonts w:hint="eastAsia"/>
              </w:rPr>
              <w:t>督促固定摊贩按照“门前五包责任状”要求，做好门（摊）前五包、门（摊）内达标。</w:t>
            </w:r>
          </w:p>
        </w:tc>
        <w:tc>
          <w:tcPr>
            <w:tcW w:w="339" w:type="pct"/>
            <w:noWrap w:val="0"/>
            <w:vAlign w:val="center"/>
          </w:tcPr>
          <w:p w14:paraId="4BCCF3FE">
            <w:pPr>
              <w:pStyle w:val="49"/>
              <w:bidi w:val="0"/>
              <w:rPr>
                <w:rFonts w:hint="eastAsia"/>
              </w:rPr>
            </w:pPr>
            <w:r>
              <w:rPr>
                <w:rFonts w:hint="eastAsia"/>
              </w:rPr>
              <w:t>10</w:t>
            </w:r>
          </w:p>
        </w:tc>
        <w:tc>
          <w:tcPr>
            <w:tcW w:w="2105" w:type="pct"/>
            <w:noWrap w:val="0"/>
            <w:vAlign w:val="center"/>
          </w:tcPr>
          <w:p w14:paraId="50635BE1">
            <w:pPr>
              <w:pStyle w:val="49"/>
              <w:bidi w:val="0"/>
              <w:rPr>
                <w:rFonts w:hint="eastAsia"/>
              </w:rPr>
            </w:pPr>
            <w:r>
              <w:rPr>
                <w:rFonts w:hint="eastAsia"/>
              </w:rPr>
              <w:t>符合5.0，每发现一处扣1</w:t>
            </w:r>
          </w:p>
        </w:tc>
      </w:tr>
      <w:tr w14:paraId="25CE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72" w:type="pct"/>
            <w:vMerge w:val="continue"/>
            <w:noWrap w:val="0"/>
            <w:vAlign w:val="center"/>
          </w:tcPr>
          <w:p w14:paraId="449C7F90">
            <w:pPr>
              <w:pStyle w:val="49"/>
              <w:bidi w:val="0"/>
              <w:rPr>
                <w:rFonts w:hint="eastAsia"/>
              </w:rPr>
            </w:pPr>
          </w:p>
        </w:tc>
        <w:tc>
          <w:tcPr>
            <w:tcW w:w="2181" w:type="pct"/>
            <w:noWrap w:val="0"/>
            <w:vAlign w:val="center"/>
          </w:tcPr>
          <w:p w14:paraId="1F6606EB">
            <w:pPr>
              <w:pStyle w:val="49"/>
              <w:bidi w:val="0"/>
              <w:rPr>
                <w:rFonts w:hint="eastAsia"/>
              </w:rPr>
            </w:pPr>
            <w:r>
              <w:rPr>
                <w:rFonts w:hint="eastAsia"/>
              </w:rPr>
              <w:t>5</w:t>
            </w:r>
            <w:r>
              <w:rPr>
                <w:rFonts w:hint="eastAsia"/>
                <w:lang w:val="en-US" w:eastAsia="zh-CN"/>
              </w:rPr>
              <w:t>.</w:t>
            </w:r>
            <w:r>
              <w:rPr>
                <w:rFonts w:hint="eastAsia"/>
              </w:rPr>
              <w:t>督促零担菜区域经营户做到每日清场，不得以任何方式占用摊位</w:t>
            </w:r>
          </w:p>
        </w:tc>
        <w:tc>
          <w:tcPr>
            <w:tcW w:w="339" w:type="pct"/>
            <w:noWrap w:val="0"/>
            <w:vAlign w:val="center"/>
          </w:tcPr>
          <w:p w14:paraId="1D5B9F7B">
            <w:pPr>
              <w:pStyle w:val="49"/>
              <w:bidi w:val="0"/>
              <w:rPr>
                <w:rFonts w:hint="eastAsia"/>
              </w:rPr>
            </w:pPr>
            <w:r>
              <w:rPr>
                <w:rFonts w:hint="eastAsia"/>
              </w:rPr>
              <w:t>10</w:t>
            </w:r>
          </w:p>
        </w:tc>
        <w:tc>
          <w:tcPr>
            <w:tcW w:w="2105" w:type="pct"/>
            <w:noWrap w:val="0"/>
            <w:vAlign w:val="center"/>
          </w:tcPr>
          <w:p w14:paraId="309F7C33">
            <w:pPr>
              <w:pStyle w:val="49"/>
              <w:bidi w:val="0"/>
              <w:rPr>
                <w:rFonts w:hint="eastAsia"/>
              </w:rPr>
            </w:pPr>
            <w:r>
              <w:rPr>
                <w:rFonts w:hint="eastAsia"/>
              </w:rPr>
              <w:t>符合5.0，发现一次环保部门下放整改通知扣1，</w:t>
            </w:r>
            <w:r>
              <w:rPr>
                <w:rFonts w:hint="eastAsia"/>
                <w:lang w:eastAsia="zh-CN"/>
              </w:rPr>
              <w:t>其他</w:t>
            </w:r>
            <w:r>
              <w:rPr>
                <w:rFonts w:hint="eastAsia"/>
              </w:rPr>
              <w:t>每发现一处不符合扣0.5</w:t>
            </w:r>
          </w:p>
        </w:tc>
      </w:tr>
      <w:tr w14:paraId="4204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72" w:type="pct"/>
            <w:noWrap w:val="0"/>
            <w:vAlign w:val="center"/>
          </w:tcPr>
          <w:p w14:paraId="01B3ED1D">
            <w:pPr>
              <w:pStyle w:val="49"/>
              <w:bidi w:val="0"/>
              <w:rPr>
                <w:rFonts w:hint="eastAsia"/>
              </w:rPr>
            </w:pPr>
          </w:p>
        </w:tc>
        <w:tc>
          <w:tcPr>
            <w:tcW w:w="2181" w:type="pct"/>
            <w:noWrap w:val="0"/>
            <w:vAlign w:val="center"/>
          </w:tcPr>
          <w:p w14:paraId="19E9B187">
            <w:pPr>
              <w:pStyle w:val="49"/>
              <w:bidi w:val="0"/>
              <w:rPr>
                <w:rFonts w:hint="eastAsia"/>
              </w:rPr>
            </w:pPr>
            <w:r>
              <w:rPr>
                <w:rFonts w:hint="eastAsia"/>
              </w:rPr>
              <w:t>6</w:t>
            </w:r>
            <w:r>
              <w:rPr>
                <w:rFonts w:hint="eastAsia"/>
                <w:lang w:val="en-US" w:eastAsia="zh-CN"/>
              </w:rPr>
              <w:t>.</w:t>
            </w:r>
            <w:r>
              <w:rPr>
                <w:rFonts w:hint="eastAsia"/>
              </w:rPr>
              <w:t>危及人身安全处设有明显标志和防范措施</w:t>
            </w:r>
          </w:p>
        </w:tc>
        <w:tc>
          <w:tcPr>
            <w:tcW w:w="339" w:type="pct"/>
            <w:noWrap w:val="0"/>
            <w:vAlign w:val="center"/>
          </w:tcPr>
          <w:p w14:paraId="4ADDA355">
            <w:pPr>
              <w:pStyle w:val="49"/>
              <w:bidi w:val="0"/>
              <w:rPr>
                <w:rFonts w:hint="eastAsia"/>
              </w:rPr>
            </w:pPr>
            <w:r>
              <w:rPr>
                <w:rFonts w:hint="eastAsia"/>
              </w:rPr>
              <w:t>2</w:t>
            </w:r>
          </w:p>
        </w:tc>
        <w:tc>
          <w:tcPr>
            <w:tcW w:w="2105" w:type="pct"/>
            <w:noWrap w:val="0"/>
            <w:vAlign w:val="center"/>
          </w:tcPr>
          <w:p w14:paraId="1794FC88">
            <w:pPr>
              <w:pStyle w:val="49"/>
              <w:bidi w:val="0"/>
              <w:rPr>
                <w:rFonts w:hint="eastAsia"/>
              </w:rPr>
            </w:pPr>
            <w:r>
              <w:rPr>
                <w:rFonts w:hint="eastAsia"/>
              </w:rPr>
              <w:t>符合2.0分，不符合0分</w:t>
            </w:r>
          </w:p>
        </w:tc>
      </w:tr>
      <w:tr w14:paraId="2289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72" w:type="pct"/>
            <w:vMerge w:val="restart"/>
            <w:shd w:val="clear" w:color="auto" w:fill="auto"/>
            <w:noWrap w:val="0"/>
            <w:vAlign w:val="center"/>
          </w:tcPr>
          <w:p w14:paraId="412D17D9">
            <w:pPr>
              <w:pStyle w:val="49"/>
              <w:bidi w:val="0"/>
              <w:rPr>
                <w:rFonts w:hint="eastAsia"/>
              </w:rPr>
            </w:pPr>
            <w:r>
              <w:rPr>
                <w:rFonts w:hint="eastAsia"/>
              </w:rPr>
              <w:t>四</w:t>
            </w:r>
          </w:p>
        </w:tc>
        <w:tc>
          <w:tcPr>
            <w:tcW w:w="2181" w:type="pct"/>
            <w:shd w:val="clear" w:color="auto" w:fill="D9D9D9"/>
            <w:noWrap w:val="0"/>
            <w:vAlign w:val="center"/>
          </w:tcPr>
          <w:p w14:paraId="5154124C">
            <w:pPr>
              <w:pStyle w:val="49"/>
              <w:bidi w:val="0"/>
              <w:rPr>
                <w:rFonts w:hint="eastAsia"/>
              </w:rPr>
            </w:pPr>
            <w:r>
              <w:rPr>
                <w:rFonts w:hint="eastAsia"/>
              </w:rPr>
              <w:t>环境卫生管理</w:t>
            </w:r>
          </w:p>
        </w:tc>
        <w:tc>
          <w:tcPr>
            <w:tcW w:w="339" w:type="pct"/>
            <w:shd w:val="clear" w:color="auto" w:fill="D9D9D9"/>
            <w:noWrap w:val="0"/>
            <w:vAlign w:val="center"/>
          </w:tcPr>
          <w:p w14:paraId="7BEED1F1">
            <w:pPr>
              <w:pStyle w:val="49"/>
              <w:bidi w:val="0"/>
            </w:pPr>
            <w:r>
              <w:rPr>
                <w:rFonts w:hint="eastAsia"/>
              </w:rPr>
              <w:t>25</w:t>
            </w:r>
          </w:p>
        </w:tc>
        <w:tc>
          <w:tcPr>
            <w:tcW w:w="2105" w:type="pct"/>
            <w:shd w:val="clear" w:color="auto" w:fill="D9D9D9"/>
            <w:noWrap w:val="0"/>
            <w:vAlign w:val="center"/>
          </w:tcPr>
          <w:p w14:paraId="5B22C537">
            <w:pPr>
              <w:pStyle w:val="49"/>
              <w:bidi w:val="0"/>
              <w:rPr>
                <w:rFonts w:hint="eastAsia"/>
              </w:rPr>
            </w:pPr>
            <w:r>
              <w:rPr>
                <w:rFonts w:hint="eastAsia"/>
              </w:rPr>
              <w:t>　</w:t>
            </w:r>
          </w:p>
        </w:tc>
      </w:tr>
      <w:tr w14:paraId="1B2F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72" w:type="pct"/>
            <w:vMerge w:val="continue"/>
            <w:noWrap w:val="0"/>
            <w:vAlign w:val="center"/>
          </w:tcPr>
          <w:p w14:paraId="530E020F">
            <w:pPr>
              <w:pStyle w:val="49"/>
              <w:bidi w:val="0"/>
              <w:rPr>
                <w:rFonts w:hint="eastAsia"/>
              </w:rPr>
            </w:pPr>
          </w:p>
        </w:tc>
        <w:tc>
          <w:tcPr>
            <w:tcW w:w="2181" w:type="pct"/>
            <w:noWrap w:val="0"/>
            <w:vAlign w:val="center"/>
          </w:tcPr>
          <w:p w14:paraId="2781442C">
            <w:pPr>
              <w:pStyle w:val="49"/>
              <w:bidi w:val="0"/>
              <w:rPr>
                <w:rFonts w:hint="eastAsia"/>
              </w:rPr>
            </w:pPr>
            <w:r>
              <w:rPr>
                <w:rFonts w:hint="eastAsia"/>
              </w:rPr>
              <w:t>1</w:t>
            </w:r>
            <w:r>
              <w:rPr>
                <w:rFonts w:hint="eastAsia"/>
                <w:lang w:val="en-US" w:eastAsia="zh-CN"/>
              </w:rPr>
              <w:t>.</w:t>
            </w:r>
            <w:r>
              <w:rPr>
                <w:rFonts w:hint="eastAsia"/>
              </w:rPr>
              <w:t>环卫设施完备，设有垃圾箱或果皮箱，按照垃圾分类要求做好相关工作</w:t>
            </w:r>
          </w:p>
        </w:tc>
        <w:tc>
          <w:tcPr>
            <w:tcW w:w="339" w:type="pct"/>
            <w:noWrap w:val="0"/>
            <w:vAlign w:val="center"/>
          </w:tcPr>
          <w:p w14:paraId="441E60B8">
            <w:pPr>
              <w:pStyle w:val="49"/>
              <w:bidi w:val="0"/>
              <w:rPr>
                <w:rFonts w:hint="eastAsia"/>
              </w:rPr>
            </w:pPr>
            <w:r>
              <w:rPr>
                <w:rFonts w:hint="eastAsia"/>
              </w:rPr>
              <w:t>5</w:t>
            </w:r>
          </w:p>
        </w:tc>
        <w:tc>
          <w:tcPr>
            <w:tcW w:w="2105" w:type="pct"/>
            <w:noWrap w:val="0"/>
            <w:vAlign w:val="center"/>
          </w:tcPr>
          <w:p w14:paraId="2A1B8A34">
            <w:pPr>
              <w:pStyle w:val="49"/>
              <w:bidi w:val="0"/>
              <w:rPr>
                <w:rFonts w:hint="eastAsia"/>
              </w:rPr>
            </w:pPr>
            <w:r>
              <w:rPr>
                <w:rFonts w:hint="eastAsia"/>
              </w:rPr>
              <w:t>符合3.0分，每发现一处不符合扣0.2分</w:t>
            </w:r>
          </w:p>
        </w:tc>
      </w:tr>
      <w:tr w14:paraId="25F4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Merge w:val="continue"/>
            <w:noWrap w:val="0"/>
            <w:vAlign w:val="center"/>
          </w:tcPr>
          <w:p w14:paraId="4DC26628">
            <w:pPr>
              <w:pStyle w:val="49"/>
              <w:bidi w:val="0"/>
              <w:rPr>
                <w:rFonts w:hint="eastAsia"/>
              </w:rPr>
            </w:pPr>
          </w:p>
        </w:tc>
        <w:tc>
          <w:tcPr>
            <w:tcW w:w="2181" w:type="pct"/>
            <w:noWrap w:val="0"/>
            <w:vAlign w:val="center"/>
          </w:tcPr>
          <w:p w14:paraId="497CF5AA">
            <w:pPr>
              <w:pStyle w:val="49"/>
              <w:bidi w:val="0"/>
              <w:rPr>
                <w:rFonts w:hint="eastAsia"/>
              </w:rPr>
            </w:pPr>
            <w:r>
              <w:rPr>
                <w:rFonts w:hint="eastAsia"/>
              </w:rPr>
              <w:t>2</w:t>
            </w:r>
            <w:r>
              <w:rPr>
                <w:rFonts w:hint="eastAsia"/>
                <w:lang w:val="en-US" w:eastAsia="zh-CN"/>
              </w:rPr>
              <w:t>.</w:t>
            </w:r>
            <w:r>
              <w:rPr>
                <w:rFonts w:hint="eastAsia"/>
              </w:rPr>
              <w:t>清洁卫生实行责任制，有专职的清洁人员和明确的责任范围，实行标准化清洁保洁</w:t>
            </w:r>
          </w:p>
        </w:tc>
        <w:tc>
          <w:tcPr>
            <w:tcW w:w="339" w:type="pct"/>
            <w:noWrap w:val="0"/>
            <w:vAlign w:val="center"/>
          </w:tcPr>
          <w:p w14:paraId="153D7FEF">
            <w:pPr>
              <w:pStyle w:val="49"/>
              <w:bidi w:val="0"/>
            </w:pPr>
            <w:r>
              <w:rPr>
                <w:rFonts w:hint="eastAsia"/>
              </w:rPr>
              <w:t>5</w:t>
            </w:r>
          </w:p>
        </w:tc>
        <w:tc>
          <w:tcPr>
            <w:tcW w:w="2105" w:type="pct"/>
            <w:noWrap w:val="0"/>
            <w:vAlign w:val="center"/>
          </w:tcPr>
          <w:p w14:paraId="11CF4EF0">
            <w:pPr>
              <w:pStyle w:val="49"/>
              <w:bidi w:val="0"/>
              <w:rPr>
                <w:rFonts w:hint="eastAsia"/>
              </w:rPr>
            </w:pPr>
            <w:r>
              <w:rPr>
                <w:rFonts w:hint="eastAsia"/>
              </w:rPr>
              <w:t>未实行责任制的扣2，无专职清洁人员和责任范围的扣2，未实行标准化保洁的扣1</w:t>
            </w:r>
          </w:p>
        </w:tc>
      </w:tr>
      <w:tr w14:paraId="223E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Merge w:val="continue"/>
            <w:noWrap w:val="0"/>
            <w:vAlign w:val="center"/>
          </w:tcPr>
          <w:p w14:paraId="0F2825B0">
            <w:pPr>
              <w:pStyle w:val="49"/>
              <w:bidi w:val="0"/>
              <w:rPr>
                <w:rFonts w:hint="eastAsia"/>
              </w:rPr>
            </w:pPr>
          </w:p>
        </w:tc>
        <w:tc>
          <w:tcPr>
            <w:tcW w:w="2181" w:type="pct"/>
            <w:noWrap w:val="0"/>
            <w:vAlign w:val="center"/>
          </w:tcPr>
          <w:p w14:paraId="51D85269">
            <w:pPr>
              <w:pStyle w:val="49"/>
              <w:bidi w:val="0"/>
              <w:rPr>
                <w:rFonts w:hint="eastAsia"/>
              </w:rPr>
            </w:pPr>
            <w:r>
              <w:rPr>
                <w:rFonts w:hint="eastAsia"/>
              </w:rPr>
              <w:t>3</w:t>
            </w:r>
            <w:r>
              <w:rPr>
                <w:rFonts w:hint="eastAsia"/>
                <w:lang w:val="en-US" w:eastAsia="zh-CN"/>
              </w:rPr>
              <w:t>.</w:t>
            </w:r>
            <w:r>
              <w:rPr>
                <w:rFonts w:hint="eastAsia"/>
              </w:rPr>
              <w:t>垃圾日产日清，定期进行卫生灭杀</w:t>
            </w:r>
          </w:p>
        </w:tc>
        <w:tc>
          <w:tcPr>
            <w:tcW w:w="339" w:type="pct"/>
            <w:noWrap w:val="0"/>
            <w:vAlign w:val="center"/>
          </w:tcPr>
          <w:p w14:paraId="64EE3C97">
            <w:pPr>
              <w:pStyle w:val="49"/>
              <w:bidi w:val="0"/>
            </w:pPr>
            <w:r>
              <w:rPr>
                <w:rFonts w:hint="eastAsia"/>
              </w:rPr>
              <w:t>5</w:t>
            </w:r>
          </w:p>
        </w:tc>
        <w:tc>
          <w:tcPr>
            <w:tcW w:w="2105" w:type="pct"/>
            <w:noWrap w:val="0"/>
            <w:vAlign w:val="center"/>
          </w:tcPr>
          <w:p w14:paraId="3159AA00">
            <w:pPr>
              <w:pStyle w:val="49"/>
              <w:bidi w:val="0"/>
              <w:rPr>
                <w:rFonts w:hint="eastAsia"/>
              </w:rPr>
            </w:pPr>
            <w:r>
              <w:rPr>
                <w:rFonts w:hint="eastAsia"/>
              </w:rPr>
              <w:t>每发现一处垃圾扣0.5，未达到垃圾日产日清 的扣2.5，未定期进行卫生消毒灭杀扣1</w:t>
            </w:r>
          </w:p>
        </w:tc>
      </w:tr>
      <w:tr w14:paraId="523E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Merge w:val="continue"/>
            <w:noWrap w:val="0"/>
            <w:vAlign w:val="center"/>
          </w:tcPr>
          <w:p w14:paraId="7545FFEF">
            <w:pPr>
              <w:pStyle w:val="49"/>
              <w:bidi w:val="0"/>
              <w:rPr>
                <w:rFonts w:hint="eastAsia"/>
              </w:rPr>
            </w:pPr>
          </w:p>
        </w:tc>
        <w:tc>
          <w:tcPr>
            <w:tcW w:w="2181" w:type="pct"/>
            <w:noWrap w:val="0"/>
            <w:vAlign w:val="center"/>
          </w:tcPr>
          <w:p w14:paraId="7F73F35C">
            <w:pPr>
              <w:pStyle w:val="49"/>
              <w:bidi w:val="0"/>
              <w:rPr>
                <w:rFonts w:hint="eastAsia"/>
              </w:rPr>
            </w:pPr>
            <w:r>
              <w:rPr>
                <w:rFonts w:hint="eastAsia"/>
              </w:rPr>
              <w:t>4</w:t>
            </w:r>
            <w:r>
              <w:rPr>
                <w:rFonts w:hint="eastAsia"/>
                <w:lang w:val="en-US" w:eastAsia="zh-CN"/>
              </w:rPr>
              <w:t>.</w:t>
            </w:r>
            <w:r>
              <w:rPr>
                <w:rFonts w:hint="eastAsia"/>
              </w:rPr>
              <w:t>共用部位保持清洁，无乱贴、乱画等牛皮癣，无擅自占用和堆放杂物现象；硬化场地休市期间无菜屑、烟头、垃圾、积水等废弃物。</w:t>
            </w:r>
          </w:p>
        </w:tc>
        <w:tc>
          <w:tcPr>
            <w:tcW w:w="339" w:type="pct"/>
            <w:noWrap w:val="0"/>
            <w:vAlign w:val="center"/>
          </w:tcPr>
          <w:p w14:paraId="3B612528">
            <w:pPr>
              <w:pStyle w:val="49"/>
              <w:bidi w:val="0"/>
            </w:pPr>
            <w:r>
              <w:rPr>
                <w:rFonts w:hint="eastAsia"/>
              </w:rPr>
              <w:t>10</w:t>
            </w:r>
          </w:p>
        </w:tc>
        <w:tc>
          <w:tcPr>
            <w:tcW w:w="2105" w:type="pct"/>
            <w:noWrap w:val="0"/>
            <w:vAlign w:val="center"/>
          </w:tcPr>
          <w:p w14:paraId="1BE00A8D">
            <w:pPr>
              <w:pStyle w:val="49"/>
              <w:bidi w:val="0"/>
              <w:rPr>
                <w:rFonts w:hint="eastAsia"/>
              </w:rPr>
            </w:pPr>
            <w:r>
              <w:rPr>
                <w:rFonts w:hint="eastAsia"/>
              </w:rPr>
              <w:t>符合5.0，每发现一处不符合扣0.5</w:t>
            </w:r>
          </w:p>
        </w:tc>
      </w:tr>
      <w:tr w14:paraId="2926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72" w:type="pct"/>
            <w:vMerge w:val="restart"/>
            <w:shd w:val="clear" w:color="auto" w:fill="auto"/>
            <w:noWrap w:val="0"/>
            <w:vAlign w:val="center"/>
          </w:tcPr>
          <w:p w14:paraId="143C2956">
            <w:pPr>
              <w:pStyle w:val="49"/>
              <w:bidi w:val="0"/>
            </w:pPr>
            <w:r>
              <w:rPr>
                <w:rFonts w:hint="eastAsia"/>
              </w:rPr>
              <w:t>五</w:t>
            </w:r>
          </w:p>
        </w:tc>
        <w:tc>
          <w:tcPr>
            <w:tcW w:w="2181" w:type="pct"/>
            <w:shd w:val="clear" w:color="auto" w:fill="D7D7D7"/>
            <w:noWrap w:val="0"/>
            <w:vAlign w:val="center"/>
          </w:tcPr>
          <w:p w14:paraId="2A141C6A">
            <w:pPr>
              <w:pStyle w:val="49"/>
              <w:bidi w:val="0"/>
            </w:pPr>
            <w:r>
              <w:rPr>
                <w:rFonts w:hint="eastAsia"/>
              </w:rPr>
              <w:t>通报批评</w:t>
            </w:r>
          </w:p>
        </w:tc>
        <w:tc>
          <w:tcPr>
            <w:tcW w:w="339" w:type="pct"/>
            <w:shd w:val="clear" w:color="auto" w:fill="D7D7D7"/>
            <w:noWrap w:val="0"/>
            <w:vAlign w:val="center"/>
          </w:tcPr>
          <w:p w14:paraId="63A6A7AB">
            <w:pPr>
              <w:pStyle w:val="49"/>
              <w:bidi w:val="0"/>
            </w:pPr>
            <w:r>
              <w:rPr>
                <w:rFonts w:hint="eastAsia"/>
              </w:rPr>
              <w:t>10</w:t>
            </w:r>
          </w:p>
        </w:tc>
        <w:tc>
          <w:tcPr>
            <w:tcW w:w="2105" w:type="pct"/>
            <w:shd w:val="clear" w:color="auto" w:fill="D7D7D7"/>
            <w:noWrap w:val="0"/>
            <w:vAlign w:val="center"/>
          </w:tcPr>
          <w:p w14:paraId="59C453C6">
            <w:pPr>
              <w:pStyle w:val="49"/>
              <w:bidi w:val="0"/>
              <w:rPr>
                <w:rFonts w:hint="eastAsia"/>
              </w:rPr>
            </w:pPr>
          </w:p>
        </w:tc>
      </w:tr>
      <w:tr w14:paraId="5F96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72" w:type="pct"/>
            <w:vMerge w:val="continue"/>
            <w:noWrap w:val="0"/>
            <w:vAlign w:val="center"/>
          </w:tcPr>
          <w:p w14:paraId="53F92CF5">
            <w:pPr>
              <w:pStyle w:val="49"/>
              <w:bidi w:val="0"/>
              <w:rPr>
                <w:rFonts w:hint="eastAsia"/>
              </w:rPr>
            </w:pPr>
          </w:p>
        </w:tc>
        <w:tc>
          <w:tcPr>
            <w:tcW w:w="2181" w:type="pct"/>
            <w:noWrap w:val="0"/>
            <w:vAlign w:val="center"/>
          </w:tcPr>
          <w:p w14:paraId="0D6C770B">
            <w:pPr>
              <w:pStyle w:val="49"/>
              <w:bidi w:val="0"/>
            </w:pPr>
            <w:r>
              <w:rPr>
                <w:rFonts w:hint="eastAsia"/>
              </w:rPr>
              <w:t>合同期内是否存在管理被通报批评</w:t>
            </w:r>
          </w:p>
        </w:tc>
        <w:tc>
          <w:tcPr>
            <w:tcW w:w="339" w:type="pct"/>
            <w:noWrap w:val="0"/>
            <w:vAlign w:val="center"/>
          </w:tcPr>
          <w:p w14:paraId="494411E8">
            <w:pPr>
              <w:pStyle w:val="49"/>
              <w:bidi w:val="0"/>
            </w:pPr>
            <w:r>
              <w:rPr>
                <w:rFonts w:hint="eastAsia"/>
              </w:rPr>
              <w:t>10</w:t>
            </w:r>
          </w:p>
        </w:tc>
        <w:tc>
          <w:tcPr>
            <w:tcW w:w="2105" w:type="pct"/>
            <w:noWrap w:val="0"/>
            <w:vAlign w:val="center"/>
          </w:tcPr>
          <w:p w14:paraId="652A1D26">
            <w:pPr>
              <w:pStyle w:val="49"/>
              <w:bidi w:val="0"/>
            </w:pPr>
            <w:r>
              <w:rPr>
                <w:rFonts w:hint="eastAsia"/>
              </w:rPr>
              <w:t>被县级通报批评一次扣2.0，被市级通报批评一次扣3.0，被省级及以上通报批评一次扣5.0</w:t>
            </w:r>
          </w:p>
        </w:tc>
      </w:tr>
      <w:tr w14:paraId="2F32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72" w:type="pct"/>
            <w:vMerge w:val="restart"/>
            <w:noWrap w:val="0"/>
            <w:vAlign w:val="center"/>
          </w:tcPr>
          <w:p w14:paraId="40B201FB">
            <w:pPr>
              <w:pStyle w:val="49"/>
              <w:bidi w:val="0"/>
            </w:pPr>
            <w:r>
              <w:rPr>
                <w:rFonts w:hint="eastAsia"/>
              </w:rPr>
              <w:t>六</w:t>
            </w:r>
          </w:p>
        </w:tc>
        <w:tc>
          <w:tcPr>
            <w:tcW w:w="2181" w:type="pct"/>
            <w:noWrap w:val="0"/>
            <w:vAlign w:val="center"/>
          </w:tcPr>
          <w:p w14:paraId="6F8A1944">
            <w:pPr>
              <w:pStyle w:val="49"/>
              <w:bidi w:val="0"/>
            </w:pPr>
            <w:r>
              <w:rPr>
                <w:rFonts w:hint="eastAsia"/>
              </w:rPr>
              <w:t>配合度</w:t>
            </w:r>
          </w:p>
        </w:tc>
        <w:tc>
          <w:tcPr>
            <w:tcW w:w="339" w:type="pct"/>
            <w:noWrap w:val="0"/>
            <w:vAlign w:val="center"/>
          </w:tcPr>
          <w:p w14:paraId="62A255CA">
            <w:pPr>
              <w:pStyle w:val="49"/>
              <w:bidi w:val="0"/>
            </w:pPr>
            <w:r>
              <w:rPr>
                <w:rFonts w:hint="eastAsia"/>
              </w:rPr>
              <w:t>10</w:t>
            </w:r>
          </w:p>
        </w:tc>
        <w:tc>
          <w:tcPr>
            <w:tcW w:w="2105" w:type="pct"/>
            <w:noWrap w:val="0"/>
            <w:vAlign w:val="center"/>
          </w:tcPr>
          <w:p w14:paraId="6E2BDBAA">
            <w:pPr>
              <w:pStyle w:val="49"/>
              <w:bidi w:val="0"/>
              <w:rPr>
                <w:rFonts w:hint="eastAsia"/>
              </w:rPr>
            </w:pPr>
          </w:p>
        </w:tc>
      </w:tr>
      <w:tr w14:paraId="5DD8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72" w:type="pct"/>
            <w:vMerge w:val="continue"/>
            <w:noWrap w:val="0"/>
            <w:vAlign w:val="center"/>
          </w:tcPr>
          <w:p w14:paraId="41989158">
            <w:pPr>
              <w:pStyle w:val="49"/>
              <w:bidi w:val="0"/>
              <w:rPr>
                <w:rFonts w:hint="eastAsia"/>
              </w:rPr>
            </w:pPr>
          </w:p>
        </w:tc>
        <w:tc>
          <w:tcPr>
            <w:tcW w:w="2181" w:type="pct"/>
            <w:noWrap w:val="0"/>
            <w:vAlign w:val="center"/>
          </w:tcPr>
          <w:p w14:paraId="6AAAE69C">
            <w:pPr>
              <w:pStyle w:val="49"/>
              <w:bidi w:val="0"/>
              <w:rPr>
                <w:rFonts w:hint="eastAsia"/>
              </w:rPr>
            </w:pPr>
            <w:r>
              <w:rPr>
                <w:rFonts w:hint="eastAsia"/>
              </w:rPr>
              <w:t>配合街道及社区的临时性检查、应急检查、建立应急机制，积极配合街道及社区各项工作安排。</w:t>
            </w:r>
          </w:p>
        </w:tc>
        <w:tc>
          <w:tcPr>
            <w:tcW w:w="339" w:type="pct"/>
            <w:noWrap w:val="0"/>
            <w:vAlign w:val="center"/>
          </w:tcPr>
          <w:p w14:paraId="6F73D436">
            <w:pPr>
              <w:pStyle w:val="49"/>
              <w:bidi w:val="0"/>
              <w:rPr>
                <w:rFonts w:hint="default"/>
                <w:lang w:val="en-US" w:eastAsia="zh-CN"/>
              </w:rPr>
            </w:pPr>
            <w:r>
              <w:rPr>
                <w:rFonts w:hint="eastAsia"/>
                <w:lang w:val="en-US" w:eastAsia="zh-CN"/>
              </w:rPr>
              <w:t>10</w:t>
            </w:r>
          </w:p>
        </w:tc>
        <w:tc>
          <w:tcPr>
            <w:tcW w:w="2105" w:type="pct"/>
            <w:noWrap w:val="0"/>
            <w:vAlign w:val="center"/>
          </w:tcPr>
          <w:p w14:paraId="2B8549E3">
            <w:pPr>
              <w:pStyle w:val="49"/>
              <w:bidi w:val="0"/>
              <w:rPr>
                <w:rFonts w:hint="eastAsia"/>
              </w:rPr>
            </w:pPr>
            <w:r>
              <w:rPr>
                <w:rFonts w:hint="eastAsia"/>
              </w:rPr>
              <w:t>视配合情况酌情加扣分。</w:t>
            </w:r>
          </w:p>
        </w:tc>
      </w:tr>
    </w:tbl>
    <w:p w14:paraId="5134BF21">
      <w:pPr>
        <w:bidi w:val="0"/>
        <w:ind w:firstLine="420" w:firstLineChars="200"/>
        <w:rPr>
          <w:rFonts w:hint="eastAsia"/>
        </w:rPr>
      </w:pPr>
      <w:r>
        <w:rPr>
          <w:rFonts w:hint="eastAsia"/>
        </w:rPr>
        <w:t>说明：得分8</w:t>
      </w:r>
      <w:r>
        <w:t>5</w:t>
      </w:r>
      <w:r>
        <w:rPr>
          <w:rFonts w:hint="eastAsia"/>
        </w:rPr>
        <w:t>（含）分以上全额拨付当季度服务费，</w:t>
      </w:r>
      <w:r>
        <w:t>60</w:t>
      </w:r>
      <w:r>
        <w:rPr>
          <w:rFonts w:hint="eastAsia"/>
        </w:rPr>
        <w:t>（含）至8</w:t>
      </w:r>
      <w:r>
        <w:t>5</w:t>
      </w:r>
      <w:r>
        <w:rPr>
          <w:rFonts w:hint="eastAsia"/>
        </w:rPr>
        <w:t>分的，按74</w:t>
      </w:r>
      <w:r>
        <w:t>%</w:t>
      </w:r>
      <w:r>
        <w:rPr>
          <w:rFonts w:hint="eastAsia"/>
        </w:rPr>
        <w:t>至</w:t>
      </w:r>
      <w:r>
        <w:t>99%</w:t>
      </w:r>
      <w:r>
        <w:rPr>
          <w:rFonts w:hint="eastAsia"/>
        </w:rPr>
        <w:t>拨付，</w:t>
      </w:r>
      <w:r>
        <w:t>60</w:t>
      </w:r>
      <w:r>
        <w:rPr>
          <w:rFonts w:hint="eastAsia"/>
        </w:rPr>
        <w:t>分以下不得拨付当季度服务费。</w:t>
      </w:r>
    </w:p>
    <w:p w14:paraId="3009B233">
      <w:pPr>
        <w:bidi w:val="0"/>
        <w:ind w:firstLine="420" w:firstLineChars="200"/>
        <w:rPr>
          <w:rFonts w:hint="eastAsia"/>
          <w:lang w:eastAsia="zh-CN"/>
        </w:rPr>
      </w:pPr>
      <w:r>
        <w:rPr>
          <w:rFonts w:hint="eastAsia"/>
          <w:lang w:eastAsia="zh-CN"/>
        </w:rPr>
        <w:br w:type="page"/>
      </w:r>
    </w:p>
    <w:p w14:paraId="68684618">
      <w:pPr>
        <w:pStyle w:val="28"/>
        <w:spacing w:line="360" w:lineRule="auto"/>
        <w:ind w:firstLine="643" w:firstLineChars="200"/>
        <w:textAlignment w:val="baseline"/>
        <w:outlineLvl w:val="0"/>
        <w:rPr>
          <w:rFonts w:hint="eastAsia" w:ascii="宋体" w:hAnsi="宋体" w:eastAsia="宋体" w:cs="宋体"/>
          <w:bCs/>
          <w:color w:val="auto"/>
          <w:kern w:val="2"/>
          <w:sz w:val="32"/>
          <w:szCs w:val="32"/>
          <w:highlight w:val="none"/>
          <w:lang w:eastAsia="zh-CN"/>
        </w:rPr>
      </w:pPr>
      <w:r>
        <w:rPr>
          <w:rFonts w:hint="eastAsia" w:ascii="宋体" w:hAnsi="宋体" w:eastAsia="宋体" w:cs="宋体"/>
          <w:bCs/>
          <w:color w:val="auto"/>
          <w:kern w:val="2"/>
          <w:sz w:val="32"/>
          <w:szCs w:val="32"/>
          <w:highlight w:val="none"/>
          <w:lang w:eastAsia="zh-CN"/>
        </w:rPr>
        <w:t>第四章</w:t>
      </w:r>
      <w:r>
        <w:rPr>
          <w:rFonts w:hint="eastAsia" w:ascii="宋体" w:hAnsi="宋体" w:eastAsia="宋体" w:cs="宋体"/>
          <w:bCs/>
          <w:color w:val="auto"/>
          <w:kern w:val="2"/>
          <w:sz w:val="32"/>
          <w:szCs w:val="32"/>
          <w:highlight w:val="none"/>
          <w:lang w:val="en-US" w:eastAsia="zh-CN"/>
        </w:rPr>
        <w:t xml:space="preserve">  </w:t>
      </w:r>
      <w:r>
        <w:rPr>
          <w:rFonts w:hint="eastAsia" w:ascii="宋体" w:hAnsi="宋体" w:eastAsia="宋体" w:cs="宋体"/>
          <w:bCs/>
          <w:color w:val="auto"/>
          <w:kern w:val="2"/>
          <w:sz w:val="32"/>
          <w:szCs w:val="32"/>
          <w:highlight w:val="none"/>
          <w:lang w:eastAsia="zh-CN"/>
        </w:rPr>
        <w:t>合同格式样本</w:t>
      </w:r>
      <w:bookmarkEnd w:id="68"/>
    </w:p>
    <w:p w14:paraId="65A86415">
      <w:pPr>
        <w:autoSpaceDE w:val="0"/>
        <w:autoSpaceDN w:val="0"/>
        <w:adjustRightInd w:val="0"/>
        <w:spacing w:line="360" w:lineRule="auto"/>
        <w:ind w:firstLine="480" w:firstLineChars="200"/>
        <w:jc w:val="center"/>
        <w:rPr>
          <w:rFonts w:hint="eastAsia" w:ascii="宋体" w:hAnsi="宋体" w:eastAsia="宋体" w:cs="宋体"/>
          <w:sz w:val="21"/>
          <w:szCs w:val="21"/>
          <w:highlight w:val="none"/>
        </w:rPr>
      </w:pPr>
      <w:bookmarkStart w:id="69" w:name="_Toc17895"/>
      <w:bookmarkStart w:id="70" w:name="_Toc6691"/>
      <w:r>
        <w:rPr>
          <w:rStyle w:val="56"/>
          <w:rFonts w:ascii="宋体" w:hAnsi="宋体"/>
          <w:b w:val="0"/>
          <w:i w:val="0"/>
          <w:caps w:val="0"/>
          <w:color w:val="000000"/>
          <w:spacing w:val="0"/>
          <w:w w:val="100"/>
          <w:kern w:val="2"/>
          <w:sz w:val="24"/>
          <w:szCs w:val="22"/>
          <w:highlight w:val="none"/>
          <w:lang w:val="en-US" w:eastAsia="zh-CN" w:bidi="ar-SA"/>
        </w:rPr>
        <w:t xml:space="preserve">   </w:t>
      </w:r>
      <w:r>
        <w:rPr>
          <w:rFonts w:hint="eastAsia" w:ascii="宋体" w:hAnsi="宋体" w:eastAsia="宋体" w:cs="宋体"/>
          <w:sz w:val="21"/>
          <w:szCs w:val="21"/>
          <w:highlight w:val="none"/>
        </w:rPr>
        <w:t>（以最终合同为准）</w:t>
      </w:r>
    </w:p>
    <w:p w14:paraId="05BDA6B0">
      <w:pPr>
        <w:bidi w:val="0"/>
        <w:ind w:firstLine="420" w:firstLineChars="200"/>
        <w:rPr>
          <w:rFonts w:hint="eastAsia"/>
        </w:rPr>
      </w:pPr>
      <w:r>
        <w:rPr>
          <w:rFonts w:hint="eastAsia"/>
        </w:rPr>
        <w:t>甲方：</w:t>
      </w:r>
      <w:r>
        <w:rPr>
          <w:rFonts w:hint="eastAsia"/>
          <w:u w:val="single"/>
        </w:rPr>
        <w:t xml:space="preserve">                            </w:t>
      </w:r>
      <w:r>
        <w:rPr>
          <w:rFonts w:hint="eastAsia"/>
        </w:rPr>
        <w:t>（采购单位）</w:t>
      </w:r>
    </w:p>
    <w:p w14:paraId="192CE228">
      <w:pPr>
        <w:bidi w:val="0"/>
        <w:ind w:firstLine="420" w:firstLineChars="200"/>
        <w:rPr>
          <w:rFonts w:hint="eastAsia"/>
        </w:rPr>
      </w:pPr>
      <w:r>
        <w:rPr>
          <w:rFonts w:hint="eastAsia"/>
        </w:rPr>
        <w:t>乙方</w:t>
      </w:r>
      <w:r>
        <w:rPr>
          <w:rFonts w:hint="eastAsia"/>
          <w:u w:val="none"/>
        </w:rPr>
        <w:t>：</w:t>
      </w:r>
      <w:r>
        <w:rPr>
          <w:rFonts w:hint="eastAsia"/>
          <w:u w:val="single"/>
        </w:rPr>
        <w:t xml:space="preserve">                         </w:t>
      </w:r>
      <w:r>
        <w:rPr>
          <w:rFonts w:hint="eastAsia"/>
        </w:rPr>
        <w:t>（中标供应商）</w:t>
      </w:r>
    </w:p>
    <w:p w14:paraId="69EB6A33">
      <w:pPr>
        <w:bidi w:val="0"/>
        <w:ind w:firstLine="420" w:firstLineChars="200"/>
        <w:rPr>
          <w:rFonts w:hint="eastAsia"/>
        </w:rPr>
      </w:pPr>
      <w:r>
        <w:rPr>
          <w:rFonts w:hint="eastAsia"/>
        </w:rPr>
        <w:t xml:space="preserve">根据 </w:t>
      </w:r>
      <w:r>
        <w:rPr>
          <w:rFonts w:hint="eastAsia"/>
          <w:u w:val="single"/>
        </w:rPr>
        <w:t xml:space="preserve">   </w:t>
      </w:r>
      <w:r>
        <w:rPr>
          <w:rFonts w:hint="eastAsia"/>
        </w:rPr>
        <w:t>年</w:t>
      </w:r>
      <w:r>
        <w:rPr>
          <w:rFonts w:hint="eastAsia" w:eastAsia="宋体" w:cs="Times New Roman"/>
          <w:u w:val="single"/>
        </w:rPr>
        <w:t xml:space="preserve">  </w:t>
      </w:r>
      <w:r>
        <w:rPr>
          <w:rFonts w:hint="eastAsia"/>
        </w:rPr>
        <w:t>月</w:t>
      </w:r>
      <w:r>
        <w:rPr>
          <w:rFonts w:hint="eastAsia" w:eastAsia="宋体" w:cs="Times New Roman"/>
          <w:u w:val="single"/>
        </w:rPr>
        <w:t xml:space="preserve">   </w:t>
      </w:r>
      <w:r>
        <w:rPr>
          <w:rFonts w:hint="eastAsia"/>
        </w:rPr>
        <w:t>日</w:t>
      </w:r>
      <w:r>
        <w:rPr>
          <w:rFonts w:hint="eastAsia" w:eastAsia="宋体" w:cs="Times New Roman"/>
          <w:u w:val="single"/>
          <w:lang w:eastAsia="zh-CN"/>
        </w:rPr>
        <w:t>常山县紫港街道外港零担菜市场临时疏导点运营管理项目</w:t>
      </w:r>
      <w:r>
        <w:rPr>
          <w:rFonts w:hint="eastAsia"/>
        </w:rPr>
        <w:t xml:space="preserve">（项目编号： </w:t>
      </w:r>
      <w:r>
        <w:rPr>
          <w:rFonts w:hint="eastAsia" w:eastAsia="宋体" w:cs="Times New Roman"/>
          <w:u w:val="single"/>
        </w:rPr>
        <w:t xml:space="preserve">            ）</w:t>
      </w:r>
      <w:r>
        <w:rPr>
          <w:rFonts w:hint="eastAsia"/>
        </w:rPr>
        <w:t>的采购结果，结合《中华人民共和国民法典》、《中华人民共和国政府采购法》</w:t>
      </w:r>
      <w:r>
        <w:rPr>
          <w:rFonts w:hint="eastAsia"/>
          <w:lang w:eastAsia="zh-CN"/>
        </w:rPr>
        <w:t>及其他有关</w:t>
      </w:r>
      <w:r>
        <w:rPr>
          <w:rFonts w:hint="eastAsia"/>
        </w:rPr>
        <w:t xml:space="preserve">法律、法规，遵循公平、公正和诚信的原则，甲、乙双方同意按照以下条款和条件，订立本合同。 </w:t>
      </w:r>
    </w:p>
    <w:p w14:paraId="287EBE16">
      <w:pPr>
        <w:bidi w:val="0"/>
        <w:ind w:firstLine="420" w:firstLineChars="200"/>
        <w:rPr>
          <w:rFonts w:hint="eastAsia"/>
        </w:rPr>
      </w:pPr>
      <w:r>
        <w:rPr>
          <w:rFonts w:hint="eastAsia"/>
        </w:rPr>
        <w:t>下列文件构成本合同的组成部分，应该认为是一个整体，彼此相互解释，相互补充。组成合同的多个文件的优先支配地位的次序如下：</w:t>
      </w:r>
    </w:p>
    <w:p w14:paraId="2E70D5F0">
      <w:pPr>
        <w:bidi w:val="0"/>
        <w:ind w:firstLine="420" w:firstLineChars="200"/>
        <w:rPr>
          <w:rFonts w:hint="eastAsia"/>
        </w:rPr>
      </w:pPr>
      <w:r>
        <w:rPr>
          <w:rFonts w:hint="eastAsia"/>
        </w:rPr>
        <w:t>a.</w:t>
      </w:r>
      <w:r>
        <w:rPr>
          <w:rFonts w:hint="eastAsia"/>
        </w:rPr>
        <w:tab/>
      </w:r>
      <w:r>
        <w:rPr>
          <w:rFonts w:hint="eastAsia"/>
        </w:rPr>
        <w:t xml:space="preserve"> 本合同书　</w:t>
      </w:r>
    </w:p>
    <w:p w14:paraId="70CE9F73">
      <w:pPr>
        <w:bidi w:val="0"/>
        <w:ind w:firstLine="420" w:firstLineChars="200"/>
        <w:rPr>
          <w:rFonts w:hint="eastAsia"/>
        </w:rPr>
      </w:pPr>
      <w:r>
        <w:rPr>
          <w:rFonts w:hint="eastAsia"/>
        </w:rPr>
        <w:t>b.</w:t>
      </w:r>
      <w:r>
        <w:rPr>
          <w:rFonts w:hint="eastAsia"/>
        </w:rPr>
        <w:tab/>
      </w:r>
      <w:r>
        <w:rPr>
          <w:rFonts w:hint="eastAsia"/>
        </w:rPr>
        <w:t xml:space="preserve"> 中标通知书</w:t>
      </w:r>
      <w:r>
        <w:rPr>
          <w:rFonts w:hint="eastAsia"/>
        </w:rPr>
        <w:tab/>
      </w:r>
    </w:p>
    <w:p w14:paraId="053B96E4">
      <w:pPr>
        <w:bidi w:val="0"/>
        <w:ind w:firstLine="420" w:firstLineChars="200"/>
        <w:rPr>
          <w:rFonts w:hint="eastAsia"/>
        </w:rPr>
      </w:pPr>
      <w:r>
        <w:rPr>
          <w:rFonts w:hint="eastAsia"/>
        </w:rPr>
        <w:t>c.</w:t>
      </w:r>
      <w:r>
        <w:rPr>
          <w:rFonts w:hint="eastAsia"/>
        </w:rPr>
        <w:tab/>
      </w:r>
      <w:r>
        <w:rPr>
          <w:rFonts w:hint="eastAsia"/>
        </w:rPr>
        <w:t xml:space="preserve"> 投标文件(含询标澄清文件)</w:t>
      </w:r>
    </w:p>
    <w:p w14:paraId="7A5ABF5F">
      <w:pPr>
        <w:bidi w:val="0"/>
        <w:ind w:firstLine="420" w:firstLineChars="200"/>
        <w:rPr>
          <w:rFonts w:hint="eastAsia"/>
        </w:rPr>
      </w:pPr>
      <w:r>
        <w:rPr>
          <w:rFonts w:hint="eastAsia"/>
        </w:rPr>
        <w:t>d.</w:t>
      </w:r>
      <w:r>
        <w:rPr>
          <w:rFonts w:hint="eastAsia"/>
        </w:rPr>
        <w:tab/>
      </w:r>
      <w:r>
        <w:rPr>
          <w:rFonts w:hint="eastAsia"/>
        </w:rPr>
        <w:t xml:space="preserve"> 采购文件(含采购文件补充)</w:t>
      </w:r>
    </w:p>
    <w:p w14:paraId="786F00B4">
      <w:pPr>
        <w:bidi w:val="0"/>
        <w:ind w:firstLine="420" w:firstLineChars="200"/>
        <w:rPr>
          <w:rFonts w:hint="eastAsia"/>
        </w:rPr>
      </w:pPr>
      <w:r>
        <w:rPr>
          <w:rFonts w:hint="eastAsia"/>
        </w:rPr>
        <w:t>第1条   项目概况</w:t>
      </w:r>
    </w:p>
    <w:p w14:paraId="40EC1F89">
      <w:pPr>
        <w:bidi w:val="0"/>
        <w:ind w:firstLine="420" w:firstLineChars="200"/>
        <w:rPr>
          <w:rFonts w:hint="eastAsia"/>
        </w:rPr>
      </w:pPr>
      <w:r>
        <w:rPr>
          <w:rFonts w:hint="eastAsia"/>
        </w:rPr>
        <w:t>1.1项目名称：</w:t>
      </w:r>
      <w:r>
        <w:rPr>
          <w:rFonts w:hint="eastAsia"/>
          <w:lang w:eastAsia="zh-CN"/>
        </w:rPr>
        <w:t>常山县紫港街道外港零担菜市场临时疏导点运营管理项目</w:t>
      </w:r>
      <w:r>
        <w:rPr>
          <w:rFonts w:hint="eastAsia"/>
        </w:rPr>
        <w:t xml:space="preserve"> </w:t>
      </w:r>
    </w:p>
    <w:p w14:paraId="62F2A1E0">
      <w:pPr>
        <w:bidi w:val="0"/>
        <w:ind w:firstLine="420" w:firstLineChars="200"/>
        <w:rPr>
          <w:rFonts w:hint="eastAsia"/>
        </w:rPr>
      </w:pPr>
      <w:r>
        <w:rPr>
          <w:rFonts w:hint="eastAsia"/>
        </w:rPr>
        <w:t>1.2服务内容及要求：详见采购文件第三章</w:t>
      </w:r>
    </w:p>
    <w:p w14:paraId="06AF5628">
      <w:pPr>
        <w:bidi w:val="0"/>
        <w:ind w:firstLine="420" w:firstLineChars="200"/>
        <w:rPr>
          <w:rFonts w:hint="eastAsia"/>
        </w:rPr>
      </w:pPr>
      <w:r>
        <w:rPr>
          <w:rFonts w:hint="eastAsia"/>
        </w:rPr>
        <w:t>1.3服务区域：</w:t>
      </w:r>
    </w:p>
    <w:p w14:paraId="55EC0E8A">
      <w:pPr>
        <w:bidi w:val="0"/>
        <w:ind w:firstLine="420" w:firstLineChars="200"/>
        <w:rPr>
          <w:rFonts w:hint="eastAsia"/>
          <w:lang w:eastAsia="zh-CN"/>
        </w:rPr>
      </w:pPr>
      <w:r>
        <w:rPr>
          <w:rFonts w:hint="eastAsia" w:ascii="宋体" w:hAnsi="宋体" w:cs="宋体"/>
          <w:color w:val="auto"/>
          <w:szCs w:val="21"/>
          <w:highlight w:val="none"/>
          <w:u w:val="none"/>
          <w:lang w:eastAsia="zh-CN"/>
        </w:rPr>
        <w:t>常山县紫港街道外港零担菜市场临时疏导点</w:t>
      </w:r>
      <w:r>
        <w:rPr>
          <w:rFonts w:hint="eastAsia"/>
          <w:lang w:eastAsia="zh-CN"/>
        </w:rPr>
        <w:t>。</w:t>
      </w:r>
    </w:p>
    <w:p w14:paraId="35F998D7">
      <w:pPr>
        <w:bidi w:val="0"/>
        <w:ind w:firstLine="420" w:firstLineChars="200"/>
        <w:rPr>
          <w:rFonts w:hint="eastAsia"/>
        </w:rPr>
      </w:pPr>
      <w:r>
        <w:rPr>
          <w:rFonts w:hint="eastAsia"/>
        </w:rPr>
        <w:t>1.4合同类型：总价承包合同。</w:t>
      </w:r>
    </w:p>
    <w:p w14:paraId="703CFF05">
      <w:pPr>
        <w:bidi w:val="0"/>
        <w:ind w:firstLine="420" w:firstLineChars="200"/>
        <w:rPr>
          <w:rFonts w:hint="eastAsia"/>
        </w:rPr>
      </w:pPr>
      <w:r>
        <w:rPr>
          <w:rFonts w:hint="eastAsia"/>
        </w:rPr>
        <w:t>第2条   合同期限</w:t>
      </w:r>
    </w:p>
    <w:p w14:paraId="601B9B87">
      <w:pPr>
        <w:bidi w:val="0"/>
        <w:ind w:firstLine="420" w:firstLineChars="200"/>
        <w:rPr>
          <w:rFonts w:hint="eastAsia"/>
        </w:rPr>
      </w:pPr>
      <w:r>
        <w:rPr>
          <w:rFonts w:hint="eastAsia"/>
        </w:rPr>
        <w:t>2.1本合同服务期限为</w:t>
      </w:r>
      <w:r>
        <w:rPr>
          <w:rFonts w:hint="eastAsia" w:eastAsia="宋体" w:cs="Times New Roman"/>
          <w:u w:val="single"/>
        </w:rPr>
        <w:t xml:space="preserve">     </w:t>
      </w:r>
      <w:r>
        <w:rPr>
          <w:rFonts w:hint="eastAsia"/>
        </w:rPr>
        <w:t>年，即</w:t>
      </w:r>
      <w:r>
        <w:rPr>
          <w:rFonts w:hint="eastAsia" w:eastAsia="宋体" w:cs="Times New Roman"/>
          <w:u w:val="single"/>
        </w:rPr>
        <w:t xml:space="preserve">     </w:t>
      </w:r>
      <w:r>
        <w:rPr>
          <w:rFonts w:hint="eastAsia"/>
        </w:rPr>
        <w:t>年</w:t>
      </w:r>
      <w:r>
        <w:rPr>
          <w:rFonts w:hint="eastAsia" w:eastAsia="宋体" w:cs="Times New Roman"/>
          <w:u w:val="single"/>
        </w:rPr>
        <w:t xml:space="preserve">      </w:t>
      </w:r>
      <w:r>
        <w:rPr>
          <w:rFonts w:hint="eastAsia"/>
        </w:rPr>
        <w:t>月</w:t>
      </w:r>
      <w:r>
        <w:rPr>
          <w:rFonts w:hint="eastAsia" w:eastAsia="宋体" w:cs="Times New Roman"/>
          <w:u w:val="single"/>
        </w:rPr>
        <w:t xml:space="preserve">     </w:t>
      </w:r>
      <w:r>
        <w:rPr>
          <w:rFonts w:hint="eastAsia"/>
        </w:rPr>
        <w:t>日至</w:t>
      </w:r>
      <w:r>
        <w:rPr>
          <w:rFonts w:hint="eastAsia" w:eastAsia="宋体" w:cs="Times New Roman"/>
          <w:u w:val="single"/>
        </w:rPr>
        <w:t xml:space="preserve">     </w:t>
      </w:r>
      <w:r>
        <w:rPr>
          <w:rFonts w:hint="eastAsia"/>
        </w:rPr>
        <w:t>年</w:t>
      </w:r>
      <w:r>
        <w:rPr>
          <w:rFonts w:hint="eastAsia" w:eastAsia="宋体" w:cs="Times New Roman"/>
          <w:u w:val="single"/>
        </w:rPr>
        <w:t xml:space="preserve">      </w:t>
      </w:r>
      <w:r>
        <w:rPr>
          <w:rFonts w:hint="eastAsia"/>
        </w:rPr>
        <w:t>月</w:t>
      </w:r>
      <w:r>
        <w:rPr>
          <w:rFonts w:hint="eastAsia" w:eastAsia="宋体" w:cs="Times New Roman"/>
          <w:u w:val="single"/>
        </w:rPr>
        <w:t xml:space="preserve">     </w:t>
      </w:r>
      <w:r>
        <w:rPr>
          <w:rFonts w:hint="eastAsia"/>
        </w:rPr>
        <w:t>日。</w:t>
      </w:r>
    </w:p>
    <w:p w14:paraId="147F6962">
      <w:pPr>
        <w:bidi w:val="0"/>
        <w:ind w:firstLine="420" w:firstLineChars="200"/>
        <w:rPr>
          <w:rFonts w:hint="eastAsia"/>
        </w:rPr>
      </w:pPr>
      <w:r>
        <w:rPr>
          <w:rFonts w:hint="eastAsia"/>
        </w:rPr>
        <w:t>第3条  合同价款及支付</w:t>
      </w:r>
    </w:p>
    <w:p w14:paraId="71A7EAA0">
      <w:pPr>
        <w:bidi w:val="0"/>
        <w:ind w:firstLine="420" w:firstLineChars="200"/>
      </w:pPr>
      <w:r>
        <w:rPr>
          <w:rFonts w:hint="eastAsia"/>
        </w:rPr>
        <w:t>3.1 合同总价款为人民币（大写）</w:t>
      </w:r>
      <w:r>
        <w:rPr>
          <w:rFonts w:hint="eastAsia" w:eastAsia="宋体" w:cs="Times New Roman"/>
          <w:u w:val="single"/>
        </w:rPr>
        <w:t xml:space="preserve">            元整</w:t>
      </w:r>
      <w:r>
        <w:rPr>
          <w:rFonts w:hint="eastAsia"/>
        </w:rPr>
        <w:t>，是招标文件所确定的招标范围内全部工作内容的价格表现，报价应包括在服务区域内提供洁化、序化和治乱所需的人工费（包括环卫工人工资、奖金、劳保福利（社保费用除外）、培训费、意外伤害险及处理一切伤亡事故等费用）、税金、机械台班费、水电费、工具材料费、垃圾清运费、安全文明生产装备费（包括环卫工人冬夏装工作服、反光衣等）、企业应得利润、应急、物价因素等完成合同所需的一切本身和不可或缺的所有工作开支、政策性文件规定计合同包含的所有风险、责任等各项全部费用。</w:t>
      </w:r>
    </w:p>
    <w:p w14:paraId="70C81453">
      <w:pPr>
        <w:bidi w:val="0"/>
        <w:ind w:firstLine="420" w:firstLineChars="200"/>
      </w:pPr>
      <w:r>
        <w:rPr>
          <w:rFonts w:hint="eastAsia"/>
        </w:rPr>
        <w:t>3.2 合同价款按季度支付，采购人依据《</w:t>
      </w:r>
      <w:r>
        <w:rPr>
          <w:rFonts w:hint="eastAsia" w:ascii="宋体" w:hAnsi="宋体" w:cs="宋体"/>
          <w:color w:val="auto"/>
          <w:szCs w:val="21"/>
          <w:highlight w:val="none"/>
          <w:u w:val="none"/>
          <w:lang w:eastAsia="zh-CN"/>
        </w:rPr>
        <w:t>常山县紫港街道外港零担菜市场临时疏导点</w:t>
      </w:r>
      <w:r>
        <w:rPr>
          <w:rFonts w:hint="eastAsia"/>
        </w:rPr>
        <w:t>经营管理考核评分表》对中标人服务质量进行考核，扣除处罚汇总金额后，在次季度开始15日前支付上季度应付服务费用。支付前，乙方应提前向甲方提供对应金额的正式发票，否则甲方有权拒绝支付。</w:t>
      </w:r>
    </w:p>
    <w:p w14:paraId="07B71390">
      <w:pPr>
        <w:bidi w:val="0"/>
        <w:ind w:firstLine="420" w:firstLineChars="200"/>
        <w:rPr>
          <w:rFonts w:hint="eastAsia"/>
        </w:rPr>
      </w:pPr>
      <w:r>
        <w:rPr>
          <w:rFonts w:hint="eastAsia"/>
        </w:rPr>
        <w:t>第4条   履约保证金</w:t>
      </w:r>
    </w:p>
    <w:p w14:paraId="61107B8D">
      <w:pPr>
        <w:bidi w:val="0"/>
        <w:ind w:firstLine="420" w:firstLineChars="200"/>
        <w:rPr>
          <w:rFonts w:hint="eastAsia"/>
        </w:rPr>
      </w:pPr>
      <w:r>
        <w:rPr>
          <w:rFonts w:hint="eastAsia"/>
          <w:lang w:val="zh-CN"/>
        </w:rPr>
        <w:t>合同签订前向甲方交纳中标金额</w:t>
      </w:r>
      <w:r>
        <w:rPr>
          <w:rFonts w:hint="eastAsia"/>
        </w:rPr>
        <w:t>1</w:t>
      </w:r>
      <w:r>
        <w:rPr>
          <w:rFonts w:hint="eastAsia"/>
          <w:lang w:val="zh-CN"/>
        </w:rPr>
        <w:t>%的履约保证金</w:t>
      </w:r>
      <w:r>
        <w:rPr>
          <w:rFonts w:hint="eastAsia"/>
        </w:rPr>
        <w:t>。供应商可以银行、保险公司出具的保函形式提交，提交保函的有效期应不少于整个合同履行期限。</w:t>
      </w:r>
    </w:p>
    <w:p w14:paraId="076EB532">
      <w:pPr>
        <w:bidi w:val="0"/>
        <w:ind w:firstLine="420" w:firstLineChars="200"/>
        <w:rPr>
          <w:rFonts w:hint="eastAsia"/>
        </w:rPr>
      </w:pPr>
      <w:r>
        <w:rPr>
          <w:rFonts w:hint="eastAsia"/>
        </w:rPr>
        <w:t>第5条   双方权利义务</w:t>
      </w:r>
    </w:p>
    <w:p w14:paraId="1F35820B">
      <w:pPr>
        <w:bidi w:val="0"/>
        <w:ind w:firstLine="420" w:firstLineChars="200"/>
        <w:rPr>
          <w:rFonts w:hint="eastAsia"/>
        </w:rPr>
      </w:pPr>
      <w:r>
        <w:rPr>
          <w:rFonts w:hint="eastAsia"/>
          <w:lang w:val="en-US" w:eastAsia="zh-CN"/>
        </w:rPr>
        <w:t>5</w:t>
      </w:r>
      <w:r>
        <w:rPr>
          <w:rFonts w:hint="eastAsia"/>
        </w:rPr>
        <w:t>.1乙方须在合同签订后当天完成与甲方业务衔接并立即开展有关工作。否则，甲方有权单方解除本合同。</w:t>
      </w:r>
    </w:p>
    <w:p w14:paraId="379FD072">
      <w:pPr>
        <w:bidi w:val="0"/>
        <w:ind w:firstLine="420" w:firstLineChars="200"/>
        <w:rPr>
          <w:rFonts w:hint="eastAsia"/>
        </w:rPr>
      </w:pPr>
      <w:r>
        <w:rPr>
          <w:rFonts w:hint="eastAsia"/>
          <w:lang w:val="en-US" w:eastAsia="zh-CN"/>
        </w:rPr>
        <w:t>5</w:t>
      </w:r>
      <w:r>
        <w:rPr>
          <w:rFonts w:hint="eastAsia"/>
        </w:rPr>
        <w:t>.2乙方使用的各种专用工具属乙方资产，但甲方有权对乙方使用的车辆、垃圾桶的设置进行监督考核。</w:t>
      </w:r>
    </w:p>
    <w:p w14:paraId="3F6FE868">
      <w:pPr>
        <w:bidi w:val="0"/>
        <w:ind w:firstLine="420" w:firstLineChars="200"/>
        <w:rPr>
          <w:rFonts w:hint="eastAsia"/>
        </w:rPr>
      </w:pPr>
      <w:r>
        <w:rPr>
          <w:rFonts w:hint="eastAsia"/>
          <w:lang w:val="en-US" w:eastAsia="zh-CN"/>
        </w:rPr>
        <w:t>5</w:t>
      </w:r>
      <w:r>
        <w:rPr>
          <w:rFonts w:hint="eastAsia"/>
        </w:rPr>
        <w:t>.3乙方必须保持相关设备及其他水、电等设施的正常运行，所产生的维护、消耗等由乙方负责。若因乙方对外不支付相关水电费、服务人员工资等费用被以投诉等形式反映到甲方，甲方有权直接从服务费中扣留对应金额进行代付。</w:t>
      </w:r>
    </w:p>
    <w:p w14:paraId="059CC0A4">
      <w:pPr>
        <w:bidi w:val="0"/>
        <w:ind w:firstLine="420" w:firstLineChars="200"/>
        <w:rPr>
          <w:rFonts w:hint="eastAsia"/>
        </w:rPr>
      </w:pPr>
      <w:r>
        <w:rPr>
          <w:rFonts w:hint="eastAsia"/>
          <w:lang w:val="en-US" w:eastAsia="zh-CN"/>
        </w:rPr>
        <w:t>5</w:t>
      </w:r>
      <w:r>
        <w:rPr>
          <w:rFonts w:hint="eastAsia"/>
        </w:rPr>
        <w:t>.4乙方必须定期做好员工安全生产轮训及新员工上岗培训，认真按照安全生产规范进行作业。加强其聘用人员劳动安全教育，保证其人身、财产安全，作业时必须穿戴统一</w:t>
      </w:r>
      <w:r>
        <w:rPr>
          <w:rFonts w:hint="eastAsia"/>
          <w:lang w:eastAsia="zh-CN"/>
        </w:rPr>
        <w:t>制服</w:t>
      </w:r>
      <w:r>
        <w:rPr>
          <w:rFonts w:hint="eastAsia"/>
        </w:rPr>
        <w:t>、工作帽、戴手套、口罩。确保安全生产，如发生乙方自身人员或者第三方安全事故的，责任由乙方自负。乙方应为相关服务人员投保必要的意外险。</w:t>
      </w:r>
    </w:p>
    <w:p w14:paraId="47DC551D">
      <w:pPr>
        <w:bidi w:val="0"/>
        <w:ind w:firstLine="420" w:firstLineChars="200"/>
        <w:rPr>
          <w:rFonts w:hint="eastAsia"/>
        </w:rPr>
      </w:pPr>
      <w:r>
        <w:rPr>
          <w:rFonts w:hint="eastAsia"/>
        </w:rPr>
        <w:t>6.5管理服务人员的社保或意外伤害险由乙方</w:t>
      </w:r>
      <w:r>
        <w:rPr>
          <w:rFonts w:hint="eastAsia"/>
          <w:lang w:eastAsia="zh-CN"/>
        </w:rPr>
        <w:t>缴纳</w:t>
      </w:r>
      <w:r>
        <w:rPr>
          <w:rFonts w:hint="eastAsia"/>
        </w:rPr>
        <w:t>，发生意外伤害与甲方无关。若因此甲方遭到第三人索赔造成损失的，则甲方有权向乙方追偿。</w:t>
      </w:r>
    </w:p>
    <w:p w14:paraId="04178C00">
      <w:pPr>
        <w:bidi w:val="0"/>
        <w:ind w:firstLine="420" w:firstLineChars="200"/>
        <w:rPr>
          <w:rFonts w:hint="eastAsia"/>
        </w:rPr>
      </w:pPr>
      <w:r>
        <w:rPr>
          <w:rFonts w:hint="eastAsia"/>
        </w:rPr>
        <w:t>6.6乙方必须为本项目配备工作经验丰富具有较强管理能力的管理人员，每天对作业情况进行管理，服从甲方业务人员指导，参加甲方召开的工作会议。对服务区域内举办的各种活动、上级检查考核及突发性公共卫生事件等，乙方必须服从甲方工作调动安排。</w:t>
      </w:r>
    </w:p>
    <w:p w14:paraId="4C43185A">
      <w:pPr>
        <w:bidi w:val="0"/>
        <w:ind w:firstLine="420" w:firstLineChars="200"/>
        <w:rPr>
          <w:rFonts w:hint="eastAsia"/>
        </w:rPr>
      </w:pPr>
      <w:r>
        <w:rPr>
          <w:rFonts w:hint="eastAsia"/>
          <w:lang w:val="en-US" w:eastAsia="zh-CN"/>
        </w:rPr>
        <w:t>5</w:t>
      </w:r>
      <w:r>
        <w:rPr>
          <w:rFonts w:hint="eastAsia"/>
        </w:rPr>
        <w:t>.7乙方必须加强工作人员环卫行业职业道德、人身安全教育，做到文明作业，文明服务，不与群众争吵，不让污水、污泥弄脏他人衣物、不能随便乱倒垃圾。若因乙方原因导致被第三人有效投诉累计达两次的，甲方有权解除本合同并不予支付当季服务费用。</w:t>
      </w:r>
    </w:p>
    <w:p w14:paraId="213BA512">
      <w:pPr>
        <w:bidi w:val="0"/>
        <w:ind w:firstLine="420" w:firstLineChars="200"/>
        <w:rPr>
          <w:rFonts w:hint="eastAsia"/>
        </w:rPr>
      </w:pPr>
      <w:r>
        <w:rPr>
          <w:rFonts w:hint="eastAsia"/>
          <w:lang w:val="en-US" w:eastAsia="zh-CN"/>
        </w:rPr>
        <w:t>5</w:t>
      </w:r>
      <w:r>
        <w:rPr>
          <w:rFonts w:hint="eastAsia"/>
        </w:rPr>
        <w:t>.8乙方必须遵纪守法，并对聘用人员加强法律法规教育，如因参与赌博、打架、斗殴或其他违法犯罪的，被公安机关查获的，必须按有关规定处理，情节严重的，乙方必须承担责任并解除保洁员合同，给予辞退。</w:t>
      </w:r>
    </w:p>
    <w:p w14:paraId="3CB77017">
      <w:pPr>
        <w:bidi w:val="0"/>
        <w:ind w:firstLine="420" w:firstLineChars="200"/>
        <w:rPr>
          <w:rFonts w:hint="eastAsia"/>
        </w:rPr>
      </w:pPr>
      <w:r>
        <w:rPr>
          <w:rFonts w:hint="eastAsia"/>
          <w:lang w:val="en-US" w:eastAsia="zh-CN"/>
        </w:rPr>
        <w:t>5</w:t>
      </w:r>
      <w:r>
        <w:rPr>
          <w:rFonts w:hint="eastAsia"/>
        </w:rPr>
        <w:t>.9甲方有权依据合同附件中的考核标准对乙方的各项作业情况进行考核，并对乙方所属作业人员的基本工资、岗位津贴、福利待遇、安全培训等落实情况进行检查和监督。如乙方达不到甲方所订的管理考核标准，甲方有权依据考核标准以及考核结果运用的规定对合同价款进行扣减。乙方承诺同意甲方有权依据合同附件中的考核标准来对自身进行考核并核算合同价款，乙方对此无异议。</w:t>
      </w:r>
    </w:p>
    <w:p w14:paraId="332FB0BA">
      <w:pPr>
        <w:bidi w:val="0"/>
        <w:ind w:firstLine="420" w:firstLineChars="200"/>
        <w:rPr>
          <w:rFonts w:hint="eastAsia"/>
        </w:rPr>
      </w:pPr>
      <w:r>
        <w:rPr>
          <w:rFonts w:hint="eastAsia"/>
          <w:lang w:val="en-US" w:eastAsia="zh-CN"/>
        </w:rPr>
        <w:t>5</w:t>
      </w:r>
      <w:r>
        <w:rPr>
          <w:rFonts w:hint="eastAsia"/>
        </w:rPr>
        <w:t>.10乙方必须与本项目作业人员签订书面劳动合同。</w:t>
      </w:r>
    </w:p>
    <w:p w14:paraId="3BF7393D">
      <w:pPr>
        <w:bidi w:val="0"/>
        <w:ind w:firstLine="420" w:firstLineChars="200"/>
        <w:rPr>
          <w:rFonts w:hint="eastAsia"/>
        </w:rPr>
      </w:pPr>
      <w:r>
        <w:rPr>
          <w:rFonts w:hint="eastAsia"/>
          <w:lang w:val="en-US" w:eastAsia="zh-CN"/>
        </w:rPr>
        <w:t>5</w:t>
      </w:r>
      <w:r>
        <w:rPr>
          <w:rFonts w:hint="eastAsia"/>
        </w:rPr>
        <w:t>.11乙方必须为本项目作业人员缴纳国家规定的社会保险。</w:t>
      </w:r>
    </w:p>
    <w:p w14:paraId="5FF7078D">
      <w:pPr>
        <w:bidi w:val="0"/>
        <w:ind w:firstLine="420" w:firstLineChars="200"/>
        <w:rPr>
          <w:rFonts w:hint="eastAsia"/>
        </w:rPr>
      </w:pPr>
      <w:r>
        <w:rPr>
          <w:rFonts w:hint="eastAsia"/>
          <w:lang w:val="en-US" w:eastAsia="zh-CN"/>
        </w:rPr>
        <w:t>5</w:t>
      </w:r>
      <w:r>
        <w:rPr>
          <w:rFonts w:hint="eastAsia"/>
        </w:rPr>
        <w:t>.12乙方支付给作业人员的基本工资不得低于现行常山县最低工资标准。如因劳资纠纷造成不良影响的，其责任由乙方自行承担。</w:t>
      </w:r>
    </w:p>
    <w:p w14:paraId="1B132B43">
      <w:pPr>
        <w:bidi w:val="0"/>
        <w:ind w:firstLine="420" w:firstLineChars="200"/>
        <w:rPr>
          <w:rFonts w:hint="eastAsia"/>
        </w:rPr>
      </w:pPr>
      <w:r>
        <w:rPr>
          <w:rFonts w:hint="eastAsia"/>
          <w:lang w:val="en-US" w:eastAsia="zh-CN"/>
        </w:rPr>
        <w:t>5</w:t>
      </w:r>
      <w:r>
        <w:rPr>
          <w:rFonts w:hint="eastAsia"/>
        </w:rPr>
        <w:t>.13执行《</w:t>
      </w:r>
      <w:r>
        <w:rPr>
          <w:rFonts w:hint="eastAsia"/>
          <w:lang w:eastAsia="zh-CN"/>
        </w:rPr>
        <w:t>中华人民共和国劳动法</w:t>
      </w:r>
      <w:r>
        <w:rPr>
          <w:rFonts w:hint="eastAsia"/>
        </w:rPr>
        <w:t>》、《</w:t>
      </w:r>
      <w:r>
        <w:rPr>
          <w:rFonts w:hint="eastAsia"/>
          <w:lang w:eastAsia="zh-CN"/>
        </w:rPr>
        <w:t>中华人民共和国劳动合同法</w:t>
      </w:r>
      <w:r>
        <w:rPr>
          <w:rFonts w:hint="eastAsia"/>
        </w:rPr>
        <w:t>》有关员工保障的其他规定。</w:t>
      </w:r>
    </w:p>
    <w:p w14:paraId="5132B9A8">
      <w:pPr>
        <w:bidi w:val="0"/>
        <w:ind w:firstLine="420" w:firstLineChars="200"/>
        <w:rPr>
          <w:rFonts w:hint="eastAsia"/>
        </w:rPr>
      </w:pPr>
      <w:r>
        <w:rPr>
          <w:rFonts w:hint="eastAsia"/>
          <w:lang w:val="en-US" w:eastAsia="zh-CN"/>
        </w:rPr>
        <w:t>5</w:t>
      </w:r>
      <w:r>
        <w:rPr>
          <w:rFonts w:hint="eastAsia"/>
        </w:rPr>
        <w:t>.14乙方在合同履行期间内因管理不善等因素导致不能履行合同相关事项，需要终止合同的，应提前十五天采用书面形式告知甲方，取得甲方书面同意后方可终止，并办理终止合同的相关手续。</w:t>
      </w:r>
    </w:p>
    <w:p w14:paraId="7DDFBAFD">
      <w:pPr>
        <w:bidi w:val="0"/>
        <w:ind w:firstLine="420" w:firstLineChars="200"/>
        <w:rPr>
          <w:rFonts w:hint="eastAsia"/>
        </w:rPr>
      </w:pPr>
      <w:r>
        <w:rPr>
          <w:rFonts w:hint="eastAsia"/>
          <w:lang w:val="en-US" w:eastAsia="zh-CN"/>
        </w:rPr>
        <w:t>5</w:t>
      </w:r>
      <w:r>
        <w:rPr>
          <w:rFonts w:hint="eastAsia"/>
        </w:rPr>
        <w:t>.15因国家、省、市、县政策调整等非可逆性因素致使双方不能履行合同的，双方无条件解除合同，互不赔偿违约金。乙方需在下发通知后一个月内完成撤场和工作交接。</w:t>
      </w:r>
    </w:p>
    <w:p w14:paraId="27DA55C2">
      <w:pPr>
        <w:bidi w:val="0"/>
        <w:ind w:firstLine="420" w:firstLineChars="200"/>
        <w:rPr>
          <w:rFonts w:hint="eastAsia"/>
        </w:rPr>
      </w:pPr>
      <w:r>
        <w:rPr>
          <w:rFonts w:hint="eastAsia"/>
          <w:lang w:val="en-US" w:eastAsia="zh-CN"/>
        </w:rPr>
        <w:t>5</w:t>
      </w:r>
      <w:r>
        <w:rPr>
          <w:rFonts w:hint="eastAsia"/>
        </w:rPr>
        <w:t>.16合同履行期间，乙方应持合法有效的营业执照开展经营活动，如因无照经营造成的有关责任，由乙方自负。</w:t>
      </w:r>
    </w:p>
    <w:p w14:paraId="4DDE42D8">
      <w:pPr>
        <w:bidi w:val="0"/>
        <w:ind w:firstLine="420" w:firstLineChars="200"/>
        <w:rPr>
          <w:rFonts w:hint="eastAsia"/>
        </w:rPr>
      </w:pPr>
      <w:r>
        <w:rPr>
          <w:rFonts w:hint="eastAsia"/>
          <w:lang w:val="en-US" w:eastAsia="zh-CN"/>
        </w:rPr>
        <w:t>5</w:t>
      </w:r>
      <w:r>
        <w:rPr>
          <w:rFonts w:hint="eastAsia"/>
        </w:rPr>
        <w:t>.17合同签订后，甲、乙双方均应严格履行，如有一方无故变更或解除本合同，违约方需向另一方支付违约金。</w:t>
      </w:r>
    </w:p>
    <w:p w14:paraId="67434B7B">
      <w:pPr>
        <w:bidi w:val="0"/>
        <w:ind w:firstLine="420" w:firstLineChars="200"/>
        <w:rPr>
          <w:rFonts w:hint="eastAsia"/>
        </w:rPr>
      </w:pPr>
      <w:r>
        <w:rPr>
          <w:rFonts w:hint="eastAsia"/>
          <w:lang w:val="en-US" w:eastAsia="zh-CN"/>
        </w:rPr>
        <w:t>5</w:t>
      </w:r>
      <w:r>
        <w:rPr>
          <w:rFonts w:hint="eastAsia"/>
        </w:rPr>
        <w:t>.18合同履行期间，甲方应按时按规定发放服务费，如有逾期，每逾期一天，应按欠付额0.5‰支付滞纳金。若乙方对甲方核算的金额存在异议，双方复核期间甲方的支付期间相应顺延。</w:t>
      </w:r>
    </w:p>
    <w:p w14:paraId="731D6300">
      <w:pPr>
        <w:bidi w:val="0"/>
        <w:ind w:firstLine="420" w:firstLineChars="200"/>
        <w:rPr>
          <w:rFonts w:hint="eastAsia"/>
          <w:lang w:val="en-US" w:eastAsia="zh-CN"/>
        </w:rPr>
      </w:pPr>
      <w:r>
        <w:rPr>
          <w:rFonts w:hint="eastAsia"/>
          <w:lang w:val="en-US" w:eastAsia="zh-CN"/>
        </w:rPr>
        <w:t xml:space="preserve"> 奖励机制</w:t>
      </w:r>
    </w:p>
    <w:p w14:paraId="1E8CFB66">
      <w:pPr>
        <w:bidi w:val="0"/>
        <w:ind w:firstLine="420" w:firstLineChars="200"/>
        <w:rPr>
          <w:rFonts w:hint="default"/>
          <w:lang w:val="en-US" w:eastAsia="zh-CN"/>
        </w:rPr>
      </w:pPr>
      <w:r>
        <w:rPr>
          <w:rFonts w:hint="eastAsia"/>
          <w:lang w:val="en-US" w:eastAsia="zh-CN"/>
        </w:rPr>
        <w:t xml:space="preserve"> 由承包方根据市场管理实际主动向采购方提出可行性建议，经采购方批准实施，因此产生的额外收益，承包方可从参与分成：</w:t>
      </w:r>
    </w:p>
    <w:p w14:paraId="0B0C88C7">
      <w:pPr>
        <w:bidi w:val="0"/>
        <w:ind w:firstLine="420" w:firstLineChars="200"/>
        <w:rPr>
          <w:rFonts w:hint="eastAsia"/>
        </w:rPr>
      </w:pPr>
      <w:r>
        <w:rPr>
          <w:rFonts w:hint="eastAsia"/>
        </w:rPr>
        <w:t>第7条   退出机制</w:t>
      </w:r>
    </w:p>
    <w:p w14:paraId="6752E325">
      <w:pPr>
        <w:bidi w:val="0"/>
        <w:ind w:firstLine="420" w:firstLineChars="200"/>
        <w:rPr>
          <w:rFonts w:hint="eastAsia"/>
        </w:rPr>
      </w:pPr>
      <w:r>
        <w:rPr>
          <w:rFonts w:hint="eastAsia"/>
        </w:rPr>
        <w:t>合同履行过程中，有以下情形之一的，甲方有权提前解除本合同并扣除当季度服务费：</w:t>
      </w:r>
    </w:p>
    <w:p w14:paraId="0F71AA76">
      <w:pPr>
        <w:bidi w:val="0"/>
        <w:ind w:firstLine="420" w:firstLineChars="200"/>
        <w:rPr>
          <w:rFonts w:hint="eastAsia"/>
        </w:rPr>
      </w:pPr>
      <w:r>
        <w:rPr>
          <w:rFonts w:hint="eastAsia"/>
        </w:rPr>
        <w:t>(1) 乙方在创文等重大创建活动迎检过程中，因保障不力、责任失分，造成检查未通过的。</w:t>
      </w:r>
    </w:p>
    <w:p w14:paraId="31460617">
      <w:pPr>
        <w:bidi w:val="0"/>
        <w:ind w:firstLine="420" w:firstLineChars="200"/>
        <w:rPr>
          <w:rFonts w:hint="eastAsia"/>
        </w:rPr>
      </w:pPr>
      <w:r>
        <w:rPr>
          <w:rFonts w:hint="eastAsia"/>
        </w:rPr>
        <w:t>(2) 乙方安全生产管理不到位，发生重大安全责任事故，造成恶劣影响的。</w:t>
      </w:r>
    </w:p>
    <w:p w14:paraId="10F501C7">
      <w:pPr>
        <w:bidi w:val="0"/>
        <w:ind w:firstLine="420" w:firstLineChars="200"/>
        <w:rPr>
          <w:rFonts w:hint="eastAsia"/>
        </w:rPr>
      </w:pPr>
      <w:r>
        <w:rPr>
          <w:rFonts w:hint="eastAsia"/>
        </w:rPr>
        <w:t>(3) 乙方未与作业员工签订劳动合同的或员工工资低于本县最低保障工资标准的，经管理部门督查，未在限期内改正的。</w:t>
      </w:r>
    </w:p>
    <w:p w14:paraId="54CC5B5D">
      <w:pPr>
        <w:bidi w:val="0"/>
        <w:ind w:firstLine="420" w:firstLineChars="200"/>
        <w:rPr>
          <w:rFonts w:hint="eastAsia"/>
        </w:rPr>
      </w:pPr>
      <w:r>
        <w:rPr>
          <w:rFonts w:hint="eastAsia"/>
        </w:rPr>
        <w:t>(4) 乙方未取得甲方同意，擅自将合同转包或部分分包给第三方的。</w:t>
      </w:r>
    </w:p>
    <w:p w14:paraId="0E50DF75">
      <w:pPr>
        <w:bidi w:val="0"/>
        <w:ind w:firstLine="420" w:firstLineChars="200"/>
        <w:rPr>
          <w:rFonts w:hint="eastAsia"/>
        </w:rPr>
      </w:pPr>
      <w:r>
        <w:rPr>
          <w:rFonts w:hint="eastAsia"/>
        </w:rPr>
        <w:t>(5) 乙方因管理不善、违反《</w:t>
      </w:r>
      <w:r>
        <w:rPr>
          <w:rFonts w:hint="eastAsia"/>
          <w:lang w:eastAsia="zh-CN"/>
        </w:rPr>
        <w:t>中华人民共和国劳动法</w:t>
      </w:r>
      <w:r>
        <w:rPr>
          <w:rFonts w:hint="eastAsia"/>
        </w:rPr>
        <w:t>》等法规，发生群体性事件，造成恶劣影响的。</w:t>
      </w:r>
    </w:p>
    <w:p w14:paraId="14F12DF8">
      <w:pPr>
        <w:bidi w:val="0"/>
        <w:ind w:firstLine="420" w:firstLineChars="200"/>
      </w:pPr>
      <w:r>
        <w:rPr>
          <w:rFonts w:hint="eastAsia"/>
        </w:rPr>
        <w:t>(6) 乙方一年内累计被书面警告（情形包括季度考核分在60分以下，发生重大管理被通报批评的）三次及以上的。</w:t>
      </w:r>
    </w:p>
    <w:p w14:paraId="21BF4699">
      <w:pPr>
        <w:bidi w:val="0"/>
        <w:ind w:firstLine="420" w:firstLineChars="200"/>
        <w:rPr>
          <w:rFonts w:hint="eastAsia"/>
        </w:rPr>
      </w:pPr>
      <w:r>
        <w:rPr>
          <w:rFonts w:hint="eastAsia"/>
        </w:rPr>
        <w:t>(7)对乙方季度考核累计二次以上60分以下。</w:t>
      </w:r>
    </w:p>
    <w:p w14:paraId="3A77FF84">
      <w:pPr>
        <w:bidi w:val="0"/>
        <w:ind w:firstLine="420" w:firstLineChars="200"/>
        <w:rPr>
          <w:rFonts w:hint="eastAsia"/>
        </w:rPr>
      </w:pPr>
      <w:r>
        <w:rPr>
          <w:rFonts w:hint="eastAsia"/>
        </w:rPr>
        <w:t>(</w:t>
      </w:r>
      <w:r>
        <w:t>8</w:t>
      </w:r>
      <w:r>
        <w:rPr>
          <w:rFonts w:hint="eastAsia"/>
        </w:rPr>
        <w:t>) 出现考核办法中有关终止合同的其他情形。</w:t>
      </w:r>
    </w:p>
    <w:p w14:paraId="3DCCF86C">
      <w:pPr>
        <w:bidi w:val="0"/>
        <w:ind w:firstLine="420" w:firstLineChars="200"/>
        <w:rPr>
          <w:rFonts w:hint="eastAsia" w:eastAsia="宋体" w:cs="Times New Roman"/>
        </w:rPr>
      </w:pPr>
      <w:r>
        <w:rPr>
          <w:rFonts w:hint="eastAsia" w:eastAsia="宋体" w:cs="Times New Roman"/>
        </w:rPr>
        <w:t>第8条  本合同一式五份，甲、乙双方各执二份，代理机构一份，自甲、乙双方签字盖章后即生效。</w:t>
      </w:r>
    </w:p>
    <w:p w14:paraId="4BFC764A">
      <w:pPr>
        <w:bidi w:val="0"/>
        <w:ind w:firstLine="420" w:firstLineChars="200"/>
        <w:rPr>
          <w:rFonts w:hint="eastAsia" w:eastAsia="宋体" w:cs="Times New Roman"/>
        </w:rPr>
      </w:pPr>
      <w:r>
        <w:rPr>
          <w:rFonts w:hint="eastAsia" w:eastAsia="宋体" w:cs="Times New Roman"/>
        </w:rPr>
        <w:t>第9条   争议解决</w:t>
      </w:r>
    </w:p>
    <w:p w14:paraId="397E046C">
      <w:pPr>
        <w:bidi w:val="0"/>
        <w:ind w:firstLine="420" w:firstLineChars="200"/>
        <w:rPr>
          <w:rFonts w:hint="eastAsia"/>
        </w:rPr>
      </w:pPr>
      <w:r>
        <w:rPr>
          <w:rFonts w:hint="eastAsia"/>
        </w:rPr>
        <w:t>合同在履行过程中发生争议时，两方应本着公平、合理的原则，及时协商处理，协商不成的，可以向甲方所在地人民法院提起诉讼。</w:t>
      </w:r>
    </w:p>
    <w:p w14:paraId="6A24211B">
      <w:pPr>
        <w:bidi w:val="0"/>
        <w:ind w:firstLine="420" w:firstLineChars="200"/>
        <w:rPr>
          <w:rFonts w:hint="eastAsia"/>
        </w:rPr>
      </w:pPr>
      <w:r>
        <w:rPr>
          <w:rFonts w:hint="eastAsia"/>
        </w:rPr>
        <w:t>第10条  合同期限：</w:t>
      </w:r>
    </w:p>
    <w:p w14:paraId="46C99679">
      <w:pPr>
        <w:bidi w:val="0"/>
        <w:ind w:firstLine="420" w:firstLineChars="200"/>
        <w:rPr>
          <w:rFonts w:hint="eastAsia"/>
        </w:rPr>
      </w:pPr>
      <w:r>
        <w:rPr>
          <w:rFonts w:hint="eastAsia"/>
        </w:rPr>
        <w:t>第11条  合同生效与终止</w:t>
      </w:r>
    </w:p>
    <w:p w14:paraId="492A18BE">
      <w:pPr>
        <w:bidi w:val="0"/>
        <w:ind w:firstLine="420" w:firstLineChars="200"/>
        <w:rPr>
          <w:rFonts w:hint="eastAsia"/>
        </w:rPr>
      </w:pPr>
      <w:r>
        <w:rPr>
          <w:rFonts w:hint="eastAsia"/>
        </w:rPr>
        <w:t>本合同甲、乙双方签章完毕之日起生效。合同期限届满且价款结清后即告终止。</w:t>
      </w:r>
    </w:p>
    <w:p w14:paraId="138FE6A8">
      <w:pPr>
        <w:bidi w:val="0"/>
        <w:ind w:firstLine="420" w:firstLineChars="200"/>
        <w:rPr>
          <w:rFonts w:hint="eastAsia"/>
        </w:rPr>
      </w:pPr>
      <w:r>
        <w:rPr>
          <w:rFonts w:hint="eastAsia"/>
        </w:rPr>
        <w:t>第12条   补充协议</w:t>
      </w:r>
    </w:p>
    <w:p w14:paraId="0DB98DA1">
      <w:pPr>
        <w:bidi w:val="0"/>
        <w:ind w:firstLine="420" w:firstLineChars="200"/>
        <w:rPr>
          <w:rFonts w:hint="eastAsia"/>
        </w:rPr>
      </w:pPr>
      <w:r>
        <w:rPr>
          <w:rFonts w:hint="eastAsia"/>
        </w:rPr>
        <w:t>本合同未尽事宜，双方可以签订补充协议，补充协议与本合同具有同等的法律效力。</w:t>
      </w:r>
    </w:p>
    <w:p w14:paraId="4650996E">
      <w:pPr>
        <w:pStyle w:val="30"/>
        <w:spacing w:line="360" w:lineRule="auto"/>
        <w:ind w:left="840" w:hanging="420"/>
        <w:rPr>
          <w:rFonts w:hint="eastAsia" w:ascii="宋体" w:hAnsi="宋体"/>
          <w:color w:val="auto"/>
          <w:highlight w:val="none"/>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45B1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noWrap w:val="0"/>
            <w:vAlign w:val="top"/>
          </w:tcPr>
          <w:p w14:paraId="7EC6FA42">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甲方(盖章)：                            </w:t>
            </w:r>
          </w:p>
          <w:p w14:paraId="4E6FD355">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单位负责人或其授权代理人(签字)：</w:t>
            </w:r>
          </w:p>
          <w:p w14:paraId="590EE2A8">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电话：</w:t>
            </w:r>
          </w:p>
          <w:p w14:paraId="20DB49F2">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传真：</w:t>
            </w:r>
          </w:p>
          <w:p w14:paraId="11511B84">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开户银行：</w:t>
            </w:r>
          </w:p>
          <w:p w14:paraId="1C3A8E39">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账号</w:t>
            </w:r>
            <w:r>
              <w:rPr>
                <w:rFonts w:hint="eastAsia" w:ascii="宋体" w:hAnsi="宋体" w:cs="宋体"/>
                <w:color w:val="auto"/>
                <w:szCs w:val="21"/>
                <w:highlight w:val="none"/>
              </w:rPr>
              <w:t>：</w:t>
            </w:r>
          </w:p>
          <w:p w14:paraId="381C7766">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4054C67F">
            <w:pPr>
              <w:spacing w:line="312" w:lineRule="auto"/>
              <w:jc w:val="left"/>
              <w:rPr>
                <w:rFonts w:hint="eastAsia" w:ascii="宋体" w:hAnsi="宋体" w:cs="宋体"/>
                <w:color w:val="auto"/>
                <w:szCs w:val="21"/>
                <w:highlight w:val="none"/>
              </w:rPr>
            </w:pPr>
          </w:p>
        </w:tc>
        <w:tc>
          <w:tcPr>
            <w:tcW w:w="4701" w:type="dxa"/>
            <w:noWrap w:val="0"/>
            <w:vAlign w:val="top"/>
          </w:tcPr>
          <w:p w14:paraId="483FABB3">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乙方(盖章)：                            </w:t>
            </w:r>
          </w:p>
          <w:p w14:paraId="6D701414">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单位负责人或其授权代理人(签字)：</w:t>
            </w:r>
          </w:p>
          <w:p w14:paraId="39176C98">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电话：</w:t>
            </w:r>
          </w:p>
          <w:p w14:paraId="0DA6632B">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传真：</w:t>
            </w:r>
          </w:p>
          <w:p w14:paraId="1DDB38BB">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开户银行：</w:t>
            </w:r>
          </w:p>
          <w:p w14:paraId="739CE3E1">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账号</w:t>
            </w:r>
            <w:r>
              <w:rPr>
                <w:rFonts w:hint="eastAsia" w:ascii="宋体" w:hAnsi="宋体" w:cs="宋体"/>
                <w:color w:val="auto"/>
                <w:szCs w:val="21"/>
                <w:highlight w:val="none"/>
              </w:rPr>
              <w:t>：</w:t>
            </w:r>
          </w:p>
          <w:p w14:paraId="78AEFCDC">
            <w:pPr>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640102C9">
            <w:pPr>
              <w:spacing w:line="312" w:lineRule="auto"/>
              <w:jc w:val="left"/>
              <w:rPr>
                <w:rFonts w:hint="eastAsia" w:ascii="宋体" w:hAnsi="宋体" w:cs="宋体"/>
                <w:color w:val="auto"/>
                <w:szCs w:val="21"/>
                <w:highlight w:val="none"/>
              </w:rPr>
            </w:pPr>
          </w:p>
        </w:tc>
      </w:tr>
    </w:tbl>
    <w:p w14:paraId="68B28402">
      <w:pPr>
        <w:rPr>
          <w:rFonts w:hint="eastAsia" w:ascii="宋体" w:hAnsi="宋体" w:eastAsia="宋体" w:cs="宋体"/>
          <w:sz w:val="21"/>
          <w:szCs w:val="21"/>
          <w:highlight w:val="none"/>
          <w:lang w:val="zh-CN"/>
        </w:rPr>
      </w:pPr>
    </w:p>
    <w:p w14:paraId="68795E09">
      <w:pPr>
        <w:ind w:firstLine="640" w:firstLineChars="200"/>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br w:type="page"/>
      </w:r>
    </w:p>
    <w:p w14:paraId="15C02EB5">
      <w:pPr>
        <w:pStyle w:val="28"/>
        <w:spacing w:line="360" w:lineRule="auto"/>
        <w:ind w:firstLine="643" w:firstLineChars="200"/>
        <w:textAlignment w:val="baseline"/>
        <w:outlineLvl w:val="0"/>
        <w:rPr>
          <w:rFonts w:ascii="宋体" w:hAnsi="宋体" w:cs="宋体"/>
          <w:color w:val="auto"/>
          <w:sz w:val="30"/>
          <w:szCs w:val="32"/>
          <w:highlight w:val="none"/>
          <w:lang w:val="zh-CN" w:eastAsia="zh-CN"/>
        </w:rPr>
      </w:pPr>
      <w:r>
        <w:rPr>
          <w:rFonts w:hint="eastAsia" w:ascii="宋体" w:hAnsi="宋体" w:cs="宋体"/>
          <w:color w:val="auto"/>
          <w:sz w:val="32"/>
          <w:szCs w:val="32"/>
          <w:highlight w:val="none"/>
          <w:lang w:eastAsia="zh-CN"/>
        </w:rPr>
        <w:t xml:space="preserve">第五章  </w:t>
      </w:r>
      <w:r>
        <w:rPr>
          <w:rFonts w:hint="eastAsia" w:ascii="宋体" w:hAnsi="宋体" w:cs="宋体"/>
          <w:color w:val="auto"/>
          <w:sz w:val="30"/>
          <w:szCs w:val="32"/>
          <w:highlight w:val="none"/>
          <w:lang w:val="zh-CN" w:eastAsia="zh-CN"/>
        </w:rPr>
        <w:t>评标办法</w:t>
      </w:r>
      <w:bookmarkEnd w:id="69"/>
      <w:bookmarkEnd w:id="70"/>
    </w:p>
    <w:p w14:paraId="5215B69F">
      <w:pPr>
        <w:spacing w:line="360" w:lineRule="auto"/>
        <w:textAlignment w:val="baseline"/>
        <w:rPr>
          <w:rFonts w:ascii="宋体" w:hAnsi="宋体" w:cs="宋体"/>
          <w:color w:val="auto"/>
          <w:sz w:val="20"/>
          <w:highlight w:val="none"/>
        </w:rPr>
      </w:pPr>
      <w:r>
        <w:rPr>
          <w:rFonts w:hint="eastAsia" w:ascii="宋体" w:hAnsi="宋体" w:cs="宋体"/>
          <w:b/>
          <w:color w:val="auto"/>
          <w:szCs w:val="21"/>
          <w:highlight w:val="none"/>
        </w:rPr>
        <w:t>据《中华人民共和国政府采购法》等相关法规特制定以下评标办法。</w:t>
      </w:r>
    </w:p>
    <w:p w14:paraId="5349C4BF">
      <w:pPr>
        <w:spacing w:line="360" w:lineRule="auto"/>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一、评标组织</w:t>
      </w:r>
    </w:p>
    <w:p w14:paraId="3A0783A7">
      <w:pPr>
        <w:snapToGrid w:val="0"/>
        <w:spacing w:line="54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1.采购人依法组建磋商小组，共3人组成，</w:t>
      </w:r>
      <w:r>
        <w:rPr>
          <w:rFonts w:hint="eastAsia" w:ascii="宋体" w:hAnsi="宋体" w:cs="宋体"/>
          <w:bCs/>
          <w:color w:val="auto"/>
          <w:kern w:val="0"/>
          <w:szCs w:val="21"/>
          <w:highlight w:val="none"/>
        </w:rPr>
        <w:t>由</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名有关经济、技术专家</w:t>
      </w:r>
      <w:r>
        <w:rPr>
          <w:rFonts w:hint="eastAsia" w:ascii="宋体" w:hAnsi="宋体" w:cs="宋体"/>
          <w:bCs/>
          <w:color w:val="auto"/>
          <w:kern w:val="0"/>
          <w:szCs w:val="21"/>
          <w:highlight w:val="none"/>
          <w:lang w:val="en-US" w:eastAsia="zh-CN"/>
        </w:rPr>
        <w:t>和采购人代表1人</w:t>
      </w:r>
      <w:r>
        <w:rPr>
          <w:rFonts w:hint="eastAsia" w:ascii="宋体" w:hAnsi="宋体" w:cs="宋体"/>
          <w:bCs/>
          <w:color w:val="auto"/>
          <w:kern w:val="0"/>
          <w:szCs w:val="21"/>
          <w:highlight w:val="none"/>
        </w:rPr>
        <w:t>组成。</w:t>
      </w:r>
    </w:p>
    <w:p w14:paraId="3753161B">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2.询标（如有）期间，磋商供应商法定代表人或法人委托人必须在场，负责解答有关事宜。如不在场，则事后不得对采购过程及结果提出异议。</w:t>
      </w:r>
    </w:p>
    <w:p w14:paraId="3E0A93BE">
      <w:pPr>
        <w:spacing w:line="360" w:lineRule="auto"/>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二、评标原则</w:t>
      </w:r>
    </w:p>
    <w:p w14:paraId="6976DC15">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评标工作遵循公平、公正、科学、择优原则和诚实、信誉、效率的服务原则。本着科学、严谨的态度，认真进行评标。择优选用，推进技术进步，确保</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质量、交货按期，节约投资，最大限度</w:t>
      </w:r>
      <w:r>
        <w:rPr>
          <w:rFonts w:hint="eastAsia" w:ascii="宋体" w:hAnsi="宋体" w:cs="宋体"/>
          <w:color w:val="auto"/>
          <w:szCs w:val="21"/>
          <w:highlight w:val="none"/>
          <w:lang w:eastAsia="zh-CN"/>
        </w:rPr>
        <w:t>地</w:t>
      </w:r>
      <w:r>
        <w:rPr>
          <w:rFonts w:hint="eastAsia" w:ascii="宋体" w:hAnsi="宋体" w:cs="宋体"/>
          <w:color w:val="auto"/>
          <w:szCs w:val="21"/>
          <w:highlight w:val="none"/>
        </w:rPr>
        <w:t>保护当事人权益。严格按照竞争性磋商文件的商务、技术要求，对响应文件进行综合评定，提出优选方案，编写评标报告。对落标单位，磋商小组</w:t>
      </w:r>
      <w:r>
        <w:rPr>
          <w:rFonts w:hint="eastAsia" w:ascii="宋体" w:hAnsi="宋体" w:cs="宋体"/>
          <w:color w:val="auto"/>
          <w:szCs w:val="21"/>
          <w:highlight w:val="none"/>
          <w:lang w:eastAsia="zh-CN"/>
        </w:rPr>
        <w:t>不作</w:t>
      </w:r>
      <w:r>
        <w:rPr>
          <w:rFonts w:hint="eastAsia" w:ascii="宋体" w:hAnsi="宋体" w:cs="宋体"/>
          <w:color w:val="auto"/>
          <w:szCs w:val="21"/>
          <w:highlight w:val="none"/>
        </w:rPr>
        <w:t>任何落标解释。磋商供应商不得以任何方式干扰招投标工作的进行，一经发现其响应文件将被拒绝。</w:t>
      </w:r>
    </w:p>
    <w:p w14:paraId="32EC00EB">
      <w:pPr>
        <w:spacing w:line="360" w:lineRule="auto"/>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三、评标办法</w:t>
      </w:r>
    </w:p>
    <w:p w14:paraId="1B5EE9E9">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1.投标报价是指报价合计。</w:t>
      </w:r>
    </w:p>
    <w:p w14:paraId="55B836D1">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2.本项目采用综合评分法，即以</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完全响应招标文件设定的全部责任条款为前提。由磋商小组按招标文件中规定的各项因素进行综合评审，确定综合得分最高的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为中标人。如最高综合得分相同，投标报价低者为中标人；如综合得分和投标报价均相同，则采购单位现场抽签确定中标人。计算结果按四舍五入取小数点后一位。</w:t>
      </w:r>
    </w:p>
    <w:p w14:paraId="022B67D3">
      <w:pPr>
        <w:spacing w:line="360" w:lineRule="auto"/>
        <w:ind w:firstLine="422" w:firstLineChars="200"/>
        <w:textAlignment w:val="baseline"/>
        <w:rPr>
          <w:rFonts w:hint="eastAsia" w:ascii="宋体" w:hAnsi="宋体" w:eastAsia="宋体" w:cs="宋体"/>
          <w:b/>
          <w:bCs/>
          <w:color w:val="auto"/>
          <w:sz w:val="20"/>
          <w:highlight w:val="none"/>
          <w:lang w:eastAsia="zh-CN"/>
        </w:rPr>
      </w:pPr>
      <w:r>
        <w:rPr>
          <w:rFonts w:hint="eastAsia" w:ascii="宋体" w:hAnsi="宋体" w:cs="宋体"/>
          <w:b/>
          <w:bCs/>
          <w:color w:val="auto"/>
          <w:highlight w:val="none"/>
        </w:rPr>
        <w:t>3.评标标准</w:t>
      </w:r>
    </w:p>
    <w:p w14:paraId="59239FAA">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各</w:t>
      </w:r>
      <w:r>
        <w:rPr>
          <w:rFonts w:hint="eastAsia" w:ascii="宋体" w:hAnsi="宋体" w:cs="宋体"/>
          <w:color w:val="auto"/>
          <w:highlight w:val="none"/>
          <w:lang w:eastAsia="zh-CN"/>
        </w:rPr>
        <w:t>供应商</w:t>
      </w:r>
      <w:r>
        <w:rPr>
          <w:rFonts w:hint="eastAsia" w:ascii="宋体" w:hAnsi="宋体" w:cs="宋体"/>
          <w:color w:val="auto"/>
          <w:highlight w:val="none"/>
        </w:rPr>
        <w:t>的综合得分为报价得分和技术资信得分之和，总分为100分，其中：报价分</w:t>
      </w:r>
      <w:r>
        <w:rPr>
          <w:rFonts w:hint="eastAsia" w:ascii="宋体" w:hAnsi="宋体" w:cs="宋体"/>
          <w:color w:val="auto"/>
          <w:highlight w:val="none"/>
          <w:lang w:val="en-US" w:eastAsia="zh-CN"/>
        </w:rPr>
        <w:t>20</w:t>
      </w:r>
      <w:r>
        <w:rPr>
          <w:rFonts w:hint="eastAsia" w:ascii="宋体" w:hAnsi="宋体" w:cs="宋体"/>
          <w:color w:val="auto"/>
          <w:highlight w:val="none"/>
        </w:rPr>
        <w:t>分，技术资信分</w:t>
      </w:r>
      <w:r>
        <w:rPr>
          <w:rFonts w:hint="eastAsia" w:ascii="宋体" w:hAnsi="宋体" w:cs="宋体"/>
          <w:color w:val="auto"/>
          <w:highlight w:val="none"/>
          <w:lang w:val="en-US" w:eastAsia="zh-CN"/>
        </w:rPr>
        <w:t>80</w:t>
      </w:r>
      <w:r>
        <w:rPr>
          <w:rFonts w:hint="eastAsia" w:ascii="宋体" w:hAnsi="宋体" w:cs="宋体"/>
          <w:color w:val="auto"/>
          <w:highlight w:val="none"/>
        </w:rPr>
        <w:t>分。各</w:t>
      </w:r>
      <w:r>
        <w:rPr>
          <w:rFonts w:hint="eastAsia" w:ascii="宋体" w:hAnsi="宋体" w:cs="宋体"/>
          <w:color w:val="auto"/>
          <w:highlight w:val="none"/>
          <w:lang w:eastAsia="zh-CN"/>
        </w:rPr>
        <w:t>供应商</w:t>
      </w:r>
      <w:r>
        <w:rPr>
          <w:rFonts w:hint="eastAsia" w:ascii="宋体" w:hAnsi="宋体" w:cs="宋体"/>
          <w:color w:val="auto"/>
          <w:highlight w:val="none"/>
        </w:rPr>
        <w:t>的资信评分由磋商小组统一打分，技术评分按照磋商小组成员的独立评分结果汇总后的算术平均分计算；各</w:t>
      </w:r>
      <w:r>
        <w:rPr>
          <w:rFonts w:hint="eastAsia" w:ascii="宋体" w:hAnsi="宋体" w:cs="宋体"/>
          <w:color w:val="auto"/>
          <w:highlight w:val="none"/>
          <w:lang w:eastAsia="zh-CN"/>
        </w:rPr>
        <w:t>供应商</w:t>
      </w:r>
      <w:r>
        <w:rPr>
          <w:rFonts w:hint="eastAsia" w:ascii="宋体" w:hAnsi="宋体" w:cs="宋体"/>
          <w:color w:val="auto"/>
          <w:highlight w:val="none"/>
        </w:rPr>
        <w:t>的报价分得分按低价优先法计算。</w:t>
      </w:r>
    </w:p>
    <w:p w14:paraId="301D50C0">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3.1报价分（</w:t>
      </w:r>
      <w:r>
        <w:rPr>
          <w:rFonts w:hint="eastAsia" w:ascii="宋体" w:hAnsi="宋体" w:cs="宋体"/>
          <w:color w:val="auto"/>
          <w:highlight w:val="none"/>
          <w:lang w:val="en-US" w:eastAsia="zh-CN"/>
        </w:rPr>
        <w:t>20</w:t>
      </w:r>
      <w:r>
        <w:rPr>
          <w:rFonts w:hint="eastAsia" w:ascii="宋体" w:hAnsi="宋体" w:cs="宋体"/>
          <w:color w:val="auto"/>
          <w:highlight w:val="none"/>
        </w:rPr>
        <w:t>分）：</w:t>
      </w:r>
    </w:p>
    <w:p w14:paraId="03FB811E">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3.1.1报价分采用低价优先法计算，即满足磋商文件要求且最后报价最低的供应商的价格为磋商基准价。</w:t>
      </w:r>
    </w:p>
    <w:p w14:paraId="6F85E7B1">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3.1.2其他供应商的报价分按照下列公式计算：</w:t>
      </w:r>
    </w:p>
    <w:p w14:paraId="059578E0">
      <w:pPr>
        <w:spacing w:line="500" w:lineRule="exact"/>
        <w:ind w:firstLine="420" w:firstLineChars="200"/>
        <w:textAlignment w:val="baseline"/>
        <w:rPr>
          <w:rFonts w:ascii="宋体" w:hAnsi="宋体" w:cs="宋体"/>
          <w:color w:val="auto"/>
          <w:sz w:val="20"/>
          <w:highlight w:val="none"/>
          <w:lang w:val="zh-CN"/>
        </w:rPr>
      </w:pPr>
      <w:r>
        <w:rPr>
          <w:rFonts w:hint="eastAsia" w:ascii="宋体" w:hAnsi="宋体" w:cs="宋体"/>
          <w:color w:val="auto"/>
          <w:highlight w:val="none"/>
        </w:rPr>
        <w:t>磋商报价得分=(磋商基准价／最后磋商报价)×</w:t>
      </w:r>
      <w:r>
        <w:rPr>
          <w:rFonts w:hint="eastAsia" w:ascii="宋体" w:hAnsi="宋体" w:cs="宋体"/>
          <w:color w:val="auto"/>
          <w:highlight w:val="none"/>
          <w:lang w:val="en-US" w:eastAsia="zh-CN"/>
        </w:rPr>
        <w:t>20</w:t>
      </w:r>
      <w:r>
        <w:rPr>
          <w:rFonts w:hint="eastAsia" w:ascii="宋体" w:hAnsi="宋体" w:cs="宋体"/>
          <w:color w:val="auto"/>
          <w:highlight w:val="none"/>
        </w:rPr>
        <w:t>%×100，结果四舍五入后保留两位小数</w:t>
      </w:r>
      <w:r>
        <w:rPr>
          <w:rFonts w:hint="eastAsia" w:ascii="宋体" w:hAnsi="宋体" w:cs="宋体"/>
          <w:color w:val="auto"/>
          <w:highlight w:val="none"/>
          <w:lang w:val="zh-CN"/>
        </w:rPr>
        <w:t>。</w:t>
      </w:r>
    </w:p>
    <w:p w14:paraId="354184ED">
      <w:pPr>
        <w:spacing w:line="420" w:lineRule="exact"/>
        <w:ind w:firstLine="422" w:firstLineChars="200"/>
        <w:jc w:val="left"/>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3.2商务资信技术分(</w:t>
      </w:r>
      <w:r>
        <w:rPr>
          <w:rFonts w:hint="eastAsia" w:ascii="宋体" w:hAnsi="宋体" w:cs="宋体"/>
          <w:b/>
          <w:bCs/>
          <w:color w:val="auto"/>
          <w:szCs w:val="21"/>
          <w:highlight w:val="none"/>
          <w:lang w:val="en-US" w:eastAsia="zh-CN"/>
        </w:rPr>
        <w:t>80</w:t>
      </w:r>
      <w:r>
        <w:rPr>
          <w:rFonts w:hint="eastAsia" w:ascii="宋体" w:hAnsi="宋体" w:cs="宋体"/>
          <w:b/>
          <w:bCs/>
          <w:color w:val="auto"/>
          <w:szCs w:val="21"/>
          <w:highlight w:val="none"/>
        </w:rPr>
        <w:t>分）</w:t>
      </w:r>
    </w:p>
    <w:tbl>
      <w:tblPr>
        <w:tblStyle w:val="32"/>
        <w:tblW w:w="10389" w:type="dxa"/>
        <w:tblInd w:w="-93" w:type="dxa"/>
        <w:tblLayout w:type="fixed"/>
        <w:tblCellMar>
          <w:top w:w="15" w:type="dxa"/>
          <w:left w:w="15" w:type="dxa"/>
          <w:bottom w:w="15" w:type="dxa"/>
          <w:right w:w="15" w:type="dxa"/>
        </w:tblCellMar>
      </w:tblPr>
      <w:tblGrid>
        <w:gridCol w:w="505"/>
        <w:gridCol w:w="1238"/>
        <w:gridCol w:w="7686"/>
        <w:gridCol w:w="960"/>
      </w:tblGrid>
      <w:tr w14:paraId="3363B4E1">
        <w:tblPrEx>
          <w:tblCellMar>
            <w:top w:w="15" w:type="dxa"/>
            <w:left w:w="15" w:type="dxa"/>
            <w:bottom w:w="15" w:type="dxa"/>
            <w:right w:w="15" w:type="dxa"/>
          </w:tblCellMar>
        </w:tblPrEx>
        <w:trPr>
          <w:trHeight w:val="440" w:hRule="atLeast"/>
        </w:trPr>
        <w:tc>
          <w:tcPr>
            <w:tcW w:w="505" w:type="dxa"/>
            <w:tcBorders>
              <w:top w:val="single" w:color="auto" w:sz="4" w:space="0"/>
              <w:left w:val="single" w:color="auto" w:sz="4" w:space="0"/>
              <w:bottom w:val="single" w:color="auto" w:sz="4" w:space="0"/>
              <w:right w:val="single" w:color="auto" w:sz="4" w:space="0"/>
            </w:tcBorders>
            <w:noWrap w:val="0"/>
            <w:vAlign w:val="center"/>
          </w:tcPr>
          <w:p w14:paraId="45C0D695">
            <w:pPr>
              <w:pStyle w:val="49"/>
              <w:bidi w:val="0"/>
              <w:jc w:val="center"/>
              <w:rPr>
                <w:rFonts w:hint="eastAsia"/>
              </w:rPr>
            </w:pPr>
            <w:r>
              <w:rPr>
                <w:rFonts w:hint="eastAsia"/>
              </w:rPr>
              <w:t>序号</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829E6B3">
            <w:pPr>
              <w:pStyle w:val="49"/>
              <w:bidi w:val="0"/>
              <w:jc w:val="center"/>
              <w:rPr>
                <w:rFonts w:hint="eastAsia"/>
              </w:rPr>
            </w:pPr>
            <w:r>
              <w:rPr>
                <w:rFonts w:hint="eastAsia"/>
              </w:rPr>
              <w:t>评审项目</w:t>
            </w:r>
          </w:p>
        </w:tc>
        <w:tc>
          <w:tcPr>
            <w:tcW w:w="7686" w:type="dxa"/>
            <w:tcBorders>
              <w:top w:val="single" w:color="auto" w:sz="4" w:space="0"/>
              <w:left w:val="single" w:color="auto" w:sz="4" w:space="0"/>
              <w:bottom w:val="single" w:color="auto" w:sz="4" w:space="0"/>
              <w:right w:val="single" w:color="auto" w:sz="4" w:space="0"/>
            </w:tcBorders>
            <w:noWrap w:val="0"/>
            <w:vAlign w:val="center"/>
          </w:tcPr>
          <w:p w14:paraId="4E2CFADA">
            <w:pPr>
              <w:pStyle w:val="49"/>
              <w:bidi w:val="0"/>
              <w:rPr>
                <w:rFonts w:hint="eastAsia"/>
              </w:rPr>
            </w:pPr>
            <w:r>
              <w:rPr>
                <w:rFonts w:hint="eastAsia"/>
              </w:rPr>
              <w:t>评分标准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B56E73B">
            <w:pPr>
              <w:pStyle w:val="49"/>
              <w:bidi w:val="0"/>
              <w:jc w:val="center"/>
              <w:rPr>
                <w:rFonts w:hint="eastAsia"/>
              </w:rPr>
            </w:pPr>
            <w:r>
              <w:rPr>
                <w:rFonts w:hint="eastAsia"/>
              </w:rPr>
              <w:t>分值</w:t>
            </w:r>
          </w:p>
        </w:tc>
      </w:tr>
      <w:tr w14:paraId="7FC36532">
        <w:tblPrEx>
          <w:tblCellMar>
            <w:top w:w="15" w:type="dxa"/>
            <w:left w:w="15" w:type="dxa"/>
            <w:bottom w:w="15" w:type="dxa"/>
            <w:right w:w="15" w:type="dxa"/>
          </w:tblCellMar>
        </w:tblPrEx>
        <w:trPr>
          <w:trHeight w:val="940" w:hRule="atLeast"/>
        </w:trPr>
        <w:tc>
          <w:tcPr>
            <w:tcW w:w="505" w:type="dxa"/>
            <w:tcBorders>
              <w:left w:val="single" w:color="auto" w:sz="4" w:space="0"/>
              <w:bottom w:val="single" w:color="auto" w:sz="4" w:space="0"/>
              <w:right w:val="single" w:color="auto" w:sz="4" w:space="0"/>
            </w:tcBorders>
            <w:noWrap w:val="0"/>
            <w:vAlign w:val="center"/>
          </w:tcPr>
          <w:p w14:paraId="56346B04">
            <w:pPr>
              <w:pStyle w:val="49"/>
              <w:bidi w:val="0"/>
              <w:jc w:val="center"/>
              <w:rPr>
                <w:rFonts w:hint="eastAsia"/>
              </w:rPr>
            </w:pPr>
            <w:bookmarkStart w:id="71" w:name="OLE_LINK2" w:colFirst="3" w:colLast="3"/>
            <w:r>
              <w:rPr>
                <w:rFonts w:hint="eastAsia"/>
              </w:rPr>
              <w:t>1</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7B836070">
            <w:pPr>
              <w:pStyle w:val="49"/>
              <w:bidi w:val="0"/>
              <w:jc w:val="center"/>
              <w:rPr>
                <w:rFonts w:hint="eastAsia"/>
              </w:rPr>
            </w:pPr>
            <w:r>
              <w:rPr>
                <w:rFonts w:hint="eastAsia"/>
              </w:rPr>
              <w:t>业绩</w:t>
            </w:r>
          </w:p>
        </w:tc>
        <w:tc>
          <w:tcPr>
            <w:tcW w:w="7686" w:type="dxa"/>
            <w:tcBorders>
              <w:top w:val="single" w:color="auto" w:sz="4" w:space="0"/>
              <w:left w:val="single" w:color="auto" w:sz="4" w:space="0"/>
              <w:bottom w:val="single" w:color="auto" w:sz="4" w:space="0"/>
              <w:right w:val="single" w:color="auto" w:sz="4" w:space="0"/>
            </w:tcBorders>
            <w:noWrap w:val="0"/>
            <w:vAlign w:val="center"/>
          </w:tcPr>
          <w:p w14:paraId="1C3555B7">
            <w:pPr>
              <w:pStyle w:val="49"/>
              <w:bidi w:val="0"/>
              <w:rPr>
                <w:rFonts w:hint="eastAsia"/>
              </w:rPr>
            </w:pPr>
            <w:r>
              <w:rPr>
                <w:rFonts w:hint="eastAsia"/>
                <w:lang w:eastAsia="zh-CN"/>
              </w:rPr>
              <w:t>投标人提供自</w:t>
            </w:r>
            <w:r>
              <w:rPr>
                <w:rFonts w:hint="eastAsia"/>
                <w:lang w:val="en-US" w:eastAsia="zh-CN"/>
              </w:rPr>
              <w:t>2022年1月1日以来有菜市场或农贸市场运营管理业绩的每个得1分，最高得2分,以合同签订时间为准。(提供合</w:t>
            </w:r>
            <w:r>
              <w:rPr>
                <w:rFonts w:hint="eastAsia"/>
                <w:lang w:eastAsia="zh-CN"/>
              </w:rPr>
              <w:t>同扫描件，否则不得分)。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2589968">
            <w:pPr>
              <w:pStyle w:val="49"/>
              <w:bidi w:val="0"/>
              <w:jc w:val="center"/>
              <w:rPr>
                <w:rFonts w:hint="eastAsia"/>
              </w:rPr>
            </w:pPr>
            <w:r>
              <w:rPr>
                <w:rFonts w:hint="eastAsia"/>
                <w:lang w:val="en-US" w:eastAsia="zh-CN"/>
              </w:rPr>
              <w:t>2</w:t>
            </w:r>
          </w:p>
        </w:tc>
      </w:tr>
      <w:tr w14:paraId="6986DB54">
        <w:tblPrEx>
          <w:tblCellMar>
            <w:top w:w="15" w:type="dxa"/>
            <w:left w:w="15" w:type="dxa"/>
            <w:bottom w:w="15" w:type="dxa"/>
            <w:right w:w="15" w:type="dxa"/>
          </w:tblCellMar>
        </w:tblPrEx>
        <w:trPr>
          <w:trHeight w:val="805" w:hRule="atLeast"/>
        </w:trPr>
        <w:tc>
          <w:tcPr>
            <w:tcW w:w="505" w:type="dxa"/>
            <w:tcBorders>
              <w:top w:val="single" w:color="auto" w:sz="4" w:space="0"/>
              <w:left w:val="single" w:color="auto" w:sz="4" w:space="0"/>
              <w:bottom w:val="single" w:color="auto" w:sz="4" w:space="0"/>
              <w:right w:val="single" w:color="auto" w:sz="4" w:space="0"/>
            </w:tcBorders>
            <w:noWrap w:val="0"/>
            <w:vAlign w:val="center"/>
          </w:tcPr>
          <w:p w14:paraId="5C7672EB">
            <w:pPr>
              <w:pStyle w:val="49"/>
              <w:bidi w:val="0"/>
              <w:jc w:val="center"/>
              <w:rPr>
                <w:rFonts w:hint="eastAsia" w:eastAsia="宋体"/>
                <w:lang w:val="en-US" w:eastAsia="zh-CN"/>
              </w:rPr>
            </w:pPr>
            <w:r>
              <w:rPr>
                <w:rFonts w:hint="eastAsia"/>
                <w:lang w:val="en-US" w:eastAsia="zh-CN"/>
              </w:rPr>
              <w:t>2</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3B953F3D">
            <w:pPr>
              <w:pStyle w:val="49"/>
              <w:bidi w:val="0"/>
              <w:jc w:val="center"/>
              <w:rPr>
                <w:rFonts w:hint="eastAsia"/>
              </w:rPr>
            </w:pPr>
            <w:r>
              <w:rPr>
                <w:rFonts w:hint="eastAsia"/>
              </w:rPr>
              <w:t>人员配置</w:t>
            </w:r>
          </w:p>
        </w:tc>
        <w:tc>
          <w:tcPr>
            <w:tcW w:w="7686" w:type="dxa"/>
            <w:tcBorders>
              <w:top w:val="single" w:color="auto" w:sz="4" w:space="0"/>
              <w:left w:val="single" w:color="auto" w:sz="4" w:space="0"/>
              <w:bottom w:val="single" w:color="auto" w:sz="4" w:space="0"/>
              <w:right w:val="single" w:color="auto" w:sz="4" w:space="0"/>
            </w:tcBorders>
            <w:noWrap w:val="0"/>
            <w:vAlign w:val="center"/>
          </w:tcPr>
          <w:p w14:paraId="739C61FC">
            <w:pPr>
              <w:pStyle w:val="49"/>
              <w:bidi w:val="0"/>
            </w:pPr>
            <w:r>
              <w:rPr>
                <w:rFonts w:hint="eastAsia"/>
                <w:lang w:val="en-US" w:eastAsia="zh-CN"/>
              </w:rPr>
              <w:t>各岗位配置和劳动力投入是否优化，充分满足各岗位和工作量的需要，根据其专业素质、资质等级、技术能力、获得证书、同类工作经验等情况进行打分。（0-3分）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A982782">
            <w:pPr>
              <w:pStyle w:val="49"/>
              <w:bidi w:val="0"/>
              <w:jc w:val="center"/>
              <w:rPr>
                <w:rFonts w:hint="eastAsia" w:eastAsia="宋体"/>
                <w:lang w:eastAsia="zh-CN"/>
              </w:rPr>
            </w:pPr>
            <w:r>
              <w:rPr>
                <w:rFonts w:hint="eastAsia"/>
                <w:lang w:val="en-US" w:eastAsia="zh-CN"/>
              </w:rPr>
              <w:t>3</w:t>
            </w:r>
          </w:p>
        </w:tc>
      </w:tr>
      <w:tr w14:paraId="292A6850">
        <w:tblPrEx>
          <w:tblCellMar>
            <w:top w:w="15" w:type="dxa"/>
            <w:left w:w="15" w:type="dxa"/>
            <w:bottom w:w="15" w:type="dxa"/>
            <w:right w:w="15" w:type="dxa"/>
          </w:tblCellMar>
        </w:tblPrEx>
        <w:trPr>
          <w:trHeight w:val="1157" w:hRule="atLeast"/>
        </w:trPr>
        <w:tc>
          <w:tcPr>
            <w:tcW w:w="505" w:type="dxa"/>
            <w:tcBorders>
              <w:top w:val="single" w:color="auto" w:sz="4" w:space="0"/>
              <w:left w:val="single" w:color="auto" w:sz="4" w:space="0"/>
              <w:bottom w:val="single" w:color="auto" w:sz="4" w:space="0"/>
              <w:right w:val="single" w:color="auto" w:sz="4" w:space="0"/>
            </w:tcBorders>
            <w:noWrap w:val="0"/>
            <w:vAlign w:val="center"/>
          </w:tcPr>
          <w:p w14:paraId="0E5D9A2A">
            <w:pPr>
              <w:pStyle w:val="49"/>
              <w:bidi w:val="0"/>
              <w:jc w:val="center"/>
              <w:rPr>
                <w:rFonts w:hint="eastAsia" w:eastAsia="宋体"/>
                <w:lang w:val="en-US" w:eastAsia="zh-CN"/>
              </w:rPr>
            </w:pPr>
            <w:r>
              <w:rPr>
                <w:rFonts w:hint="eastAsia"/>
                <w:lang w:val="en-US" w:eastAsia="zh-CN"/>
              </w:rPr>
              <w:t>3</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85E727E">
            <w:pPr>
              <w:pStyle w:val="49"/>
              <w:bidi w:val="0"/>
              <w:jc w:val="center"/>
              <w:rPr>
                <w:rFonts w:hint="eastAsia"/>
              </w:rPr>
            </w:pPr>
            <w:r>
              <w:rPr>
                <w:rFonts w:hint="eastAsia"/>
              </w:rPr>
              <w:t>组织架构及日常管理</w:t>
            </w:r>
          </w:p>
        </w:tc>
        <w:tc>
          <w:tcPr>
            <w:tcW w:w="7686" w:type="dxa"/>
            <w:tcBorders>
              <w:top w:val="single" w:color="auto" w:sz="4" w:space="0"/>
              <w:left w:val="single" w:color="auto" w:sz="4" w:space="0"/>
              <w:bottom w:val="single" w:color="auto" w:sz="4" w:space="0"/>
              <w:right w:val="single" w:color="auto" w:sz="4" w:space="0"/>
            </w:tcBorders>
            <w:noWrap w:val="0"/>
            <w:vAlign w:val="center"/>
          </w:tcPr>
          <w:p w14:paraId="461C7CF1">
            <w:pPr>
              <w:pStyle w:val="49"/>
              <w:bidi w:val="0"/>
              <w:rPr>
                <w:rFonts w:hint="eastAsia"/>
                <w:lang w:val="en-US" w:eastAsia="zh-CN"/>
              </w:rPr>
            </w:pPr>
            <w:r>
              <w:rPr>
                <w:rFonts w:hint="eastAsia" w:ascii="Times New Roman" w:hAnsi="Times New Roman" w:eastAsia="宋体" w:cs="Times New Roman"/>
                <w:lang w:val="en-US" w:eastAsia="zh-CN"/>
              </w:rPr>
              <w:t>根据投标人提供的组织架构及日常管理方案</w:t>
            </w:r>
            <w:r>
              <w:rPr>
                <w:rFonts w:hint="eastAsia"/>
                <w:lang w:val="en-US" w:eastAsia="zh-CN"/>
              </w:rPr>
              <w:t>进行综合打分：有比较完善的组织架构，清晰简练地列出主要管理流程，包括对运作流程图（0-1分）、激励机制（0-1分）、监督机制（0-1分）、自我约束机制（0-1分）、信息反馈渠道及处理机制（0-1分）。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8590DB4">
            <w:pPr>
              <w:pStyle w:val="49"/>
              <w:bidi w:val="0"/>
              <w:jc w:val="center"/>
              <w:rPr>
                <w:rFonts w:hint="eastAsia" w:eastAsia="宋体"/>
                <w:lang w:eastAsia="zh-CN"/>
              </w:rPr>
            </w:pPr>
            <w:r>
              <w:rPr>
                <w:rFonts w:hint="eastAsia"/>
                <w:lang w:val="en-US" w:eastAsia="zh-CN"/>
              </w:rPr>
              <w:t>5</w:t>
            </w:r>
          </w:p>
        </w:tc>
      </w:tr>
      <w:tr w14:paraId="7C880424">
        <w:tblPrEx>
          <w:tblCellMar>
            <w:top w:w="15" w:type="dxa"/>
            <w:left w:w="15" w:type="dxa"/>
            <w:bottom w:w="15" w:type="dxa"/>
            <w:right w:w="15" w:type="dxa"/>
          </w:tblCellMar>
        </w:tblPrEx>
        <w:trPr>
          <w:trHeight w:val="566" w:hRule="atLeast"/>
        </w:trPr>
        <w:tc>
          <w:tcPr>
            <w:tcW w:w="505" w:type="dxa"/>
            <w:vMerge w:val="restart"/>
            <w:tcBorders>
              <w:top w:val="single" w:color="auto" w:sz="4" w:space="0"/>
              <w:left w:val="single" w:color="auto" w:sz="4" w:space="0"/>
              <w:right w:val="single" w:color="auto" w:sz="4" w:space="0"/>
            </w:tcBorders>
            <w:noWrap w:val="0"/>
            <w:vAlign w:val="center"/>
          </w:tcPr>
          <w:p w14:paraId="0F6F9A23">
            <w:pPr>
              <w:pStyle w:val="49"/>
              <w:bidi w:val="0"/>
              <w:jc w:val="center"/>
              <w:rPr>
                <w:rFonts w:hint="eastAsia" w:eastAsia="宋体"/>
                <w:lang w:val="en-US" w:eastAsia="zh-CN"/>
              </w:rPr>
            </w:pPr>
            <w:r>
              <w:rPr>
                <w:rFonts w:hint="eastAsia"/>
                <w:lang w:val="en-US" w:eastAsia="zh-CN"/>
              </w:rPr>
              <w:t>4</w:t>
            </w:r>
          </w:p>
        </w:tc>
        <w:tc>
          <w:tcPr>
            <w:tcW w:w="1238" w:type="dxa"/>
            <w:vMerge w:val="restart"/>
            <w:tcBorders>
              <w:top w:val="single" w:color="auto" w:sz="4" w:space="0"/>
              <w:left w:val="single" w:color="auto" w:sz="4" w:space="0"/>
              <w:right w:val="single" w:color="auto" w:sz="4" w:space="0"/>
            </w:tcBorders>
            <w:noWrap w:val="0"/>
            <w:vAlign w:val="center"/>
          </w:tcPr>
          <w:p w14:paraId="3DCC1E70">
            <w:pPr>
              <w:pStyle w:val="49"/>
              <w:bidi w:val="0"/>
              <w:jc w:val="center"/>
              <w:rPr>
                <w:rFonts w:hint="eastAsia"/>
              </w:rPr>
            </w:pPr>
            <w:r>
              <w:rPr>
                <w:rFonts w:hint="eastAsia"/>
              </w:rPr>
              <w:t>市场管理服务的应急措施</w:t>
            </w:r>
          </w:p>
        </w:tc>
        <w:tc>
          <w:tcPr>
            <w:tcW w:w="7686" w:type="dxa"/>
            <w:tcBorders>
              <w:top w:val="single" w:color="auto" w:sz="4" w:space="0"/>
              <w:left w:val="single" w:color="auto" w:sz="4" w:space="0"/>
              <w:bottom w:val="single" w:color="auto" w:sz="4" w:space="0"/>
              <w:right w:val="single" w:color="auto" w:sz="4" w:space="0"/>
            </w:tcBorders>
            <w:noWrap w:val="0"/>
            <w:vAlign w:val="center"/>
          </w:tcPr>
          <w:p w14:paraId="1DD527E2">
            <w:pPr>
              <w:pStyle w:val="49"/>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根据投标人提供的突发事件（包括发生台风、暴雨、地震等灾害性天气及其他突发事件）时的应急预案及相应的措施：</w:t>
            </w:r>
          </w:p>
          <w:p w14:paraId="622E8AD1">
            <w:pPr>
              <w:pStyle w:val="49"/>
              <w:bidi w:val="0"/>
              <w:rPr>
                <w:rFonts w:hint="eastAsia"/>
                <w:lang w:val="en-US" w:eastAsia="zh-CN"/>
              </w:rPr>
            </w:pPr>
            <w:r>
              <w:rPr>
                <w:rFonts w:hint="eastAsia" w:ascii="Times New Roman" w:hAnsi="Times New Roman" w:eastAsia="宋体" w:cs="Times New Roman"/>
                <w:lang w:val="en-US" w:eastAsia="zh-CN"/>
              </w:rPr>
              <w:t>措施详尽、准确、针对性强且合理可行的，得4-5分；基本合理可行的，得2-4分；尚有不足的，得0-2分。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31CCEBF">
            <w:pPr>
              <w:pStyle w:val="49"/>
              <w:bidi w:val="0"/>
              <w:jc w:val="center"/>
              <w:rPr>
                <w:rFonts w:hint="eastAsia" w:eastAsia="宋体"/>
                <w:lang w:eastAsia="zh-CN"/>
              </w:rPr>
            </w:pPr>
            <w:r>
              <w:rPr>
                <w:rFonts w:hint="eastAsia"/>
                <w:lang w:val="en-US" w:eastAsia="zh-CN"/>
              </w:rPr>
              <w:t>5</w:t>
            </w:r>
          </w:p>
        </w:tc>
      </w:tr>
      <w:tr w14:paraId="242DD4E3">
        <w:tblPrEx>
          <w:tblCellMar>
            <w:top w:w="15" w:type="dxa"/>
            <w:left w:w="15" w:type="dxa"/>
            <w:bottom w:w="15" w:type="dxa"/>
            <w:right w:w="15" w:type="dxa"/>
          </w:tblCellMar>
        </w:tblPrEx>
        <w:trPr>
          <w:trHeight w:val="442" w:hRule="atLeast"/>
        </w:trPr>
        <w:tc>
          <w:tcPr>
            <w:tcW w:w="505" w:type="dxa"/>
            <w:vMerge w:val="continue"/>
            <w:tcBorders>
              <w:left w:val="single" w:color="auto" w:sz="4" w:space="0"/>
              <w:right w:val="single" w:color="auto" w:sz="4" w:space="0"/>
            </w:tcBorders>
            <w:noWrap w:val="0"/>
            <w:vAlign w:val="center"/>
          </w:tcPr>
          <w:p w14:paraId="490B6679">
            <w:pPr>
              <w:pStyle w:val="49"/>
              <w:bidi w:val="0"/>
              <w:jc w:val="center"/>
            </w:pPr>
          </w:p>
        </w:tc>
        <w:tc>
          <w:tcPr>
            <w:tcW w:w="1238" w:type="dxa"/>
            <w:vMerge w:val="continue"/>
            <w:tcBorders>
              <w:left w:val="single" w:color="auto" w:sz="4" w:space="0"/>
              <w:right w:val="single" w:color="auto" w:sz="4" w:space="0"/>
            </w:tcBorders>
            <w:noWrap w:val="0"/>
            <w:vAlign w:val="center"/>
          </w:tcPr>
          <w:p w14:paraId="3F98AC32">
            <w:pPr>
              <w:pStyle w:val="49"/>
              <w:bidi w:val="0"/>
              <w:jc w:val="center"/>
            </w:pPr>
          </w:p>
        </w:tc>
        <w:tc>
          <w:tcPr>
            <w:tcW w:w="7686" w:type="dxa"/>
            <w:tcBorders>
              <w:top w:val="single" w:color="auto" w:sz="4" w:space="0"/>
              <w:left w:val="single" w:color="auto" w:sz="4" w:space="0"/>
              <w:bottom w:val="single" w:color="auto" w:sz="4" w:space="0"/>
              <w:right w:val="single" w:color="auto" w:sz="4" w:space="0"/>
            </w:tcBorders>
            <w:noWrap w:val="0"/>
            <w:vAlign w:val="center"/>
          </w:tcPr>
          <w:p w14:paraId="571E9DAF">
            <w:pPr>
              <w:pStyle w:val="49"/>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根据投标人提供的安全防范措施、防盗、防火消防等紧急预案：</w:t>
            </w:r>
          </w:p>
          <w:p w14:paraId="7D8C5B28">
            <w:pPr>
              <w:pStyle w:val="49"/>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方案详尽、准确、针对性强且合理可行的，得4-5分；基本合理可行的，得2-4分；尚有不足的，得0-2分。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CF22D92">
            <w:pPr>
              <w:pStyle w:val="49"/>
              <w:bidi w:val="0"/>
              <w:jc w:val="center"/>
              <w:rPr>
                <w:rFonts w:hint="eastAsia" w:eastAsia="宋体"/>
                <w:lang w:val="en-US" w:eastAsia="zh-CN"/>
              </w:rPr>
            </w:pPr>
            <w:r>
              <w:rPr>
                <w:rFonts w:hint="eastAsia"/>
                <w:lang w:val="en-US" w:eastAsia="zh-CN"/>
              </w:rPr>
              <w:t>5</w:t>
            </w:r>
          </w:p>
        </w:tc>
      </w:tr>
      <w:tr w14:paraId="065DF0EE">
        <w:tblPrEx>
          <w:tblCellMar>
            <w:top w:w="15" w:type="dxa"/>
            <w:left w:w="15" w:type="dxa"/>
            <w:bottom w:w="15" w:type="dxa"/>
            <w:right w:w="15" w:type="dxa"/>
          </w:tblCellMar>
        </w:tblPrEx>
        <w:trPr>
          <w:trHeight w:val="566" w:hRule="atLeast"/>
        </w:trPr>
        <w:tc>
          <w:tcPr>
            <w:tcW w:w="505" w:type="dxa"/>
            <w:vMerge w:val="continue"/>
            <w:tcBorders>
              <w:left w:val="single" w:color="auto" w:sz="4" w:space="0"/>
              <w:bottom w:val="single" w:color="auto" w:sz="4" w:space="0"/>
              <w:right w:val="single" w:color="auto" w:sz="4" w:space="0"/>
            </w:tcBorders>
            <w:noWrap w:val="0"/>
            <w:vAlign w:val="center"/>
          </w:tcPr>
          <w:p w14:paraId="26AB2BF5">
            <w:pPr>
              <w:pStyle w:val="49"/>
              <w:bidi w:val="0"/>
              <w:jc w:val="center"/>
              <w:rPr>
                <w:rFonts w:hint="eastAsia"/>
                <w:lang w:val="en-US" w:eastAsia="zh-CN"/>
              </w:rPr>
            </w:pPr>
          </w:p>
        </w:tc>
        <w:tc>
          <w:tcPr>
            <w:tcW w:w="1238" w:type="dxa"/>
            <w:vMerge w:val="continue"/>
            <w:tcBorders>
              <w:left w:val="single" w:color="auto" w:sz="4" w:space="0"/>
              <w:bottom w:val="single" w:color="auto" w:sz="4" w:space="0"/>
              <w:right w:val="single" w:color="auto" w:sz="4" w:space="0"/>
            </w:tcBorders>
            <w:noWrap w:val="0"/>
            <w:vAlign w:val="center"/>
          </w:tcPr>
          <w:p w14:paraId="529A2880">
            <w:pPr>
              <w:pStyle w:val="49"/>
              <w:bidi w:val="0"/>
              <w:jc w:val="center"/>
              <w:rPr>
                <w:rFonts w:hint="eastAsia"/>
                <w:lang w:val="en-US" w:eastAsia="zh-CN"/>
              </w:rPr>
            </w:pPr>
          </w:p>
        </w:tc>
        <w:tc>
          <w:tcPr>
            <w:tcW w:w="7686" w:type="dxa"/>
            <w:tcBorders>
              <w:top w:val="single" w:color="auto" w:sz="4" w:space="0"/>
              <w:left w:val="single" w:color="auto" w:sz="4" w:space="0"/>
              <w:bottom w:val="single" w:color="auto" w:sz="4" w:space="0"/>
              <w:right w:val="single" w:color="auto" w:sz="4" w:space="0"/>
            </w:tcBorders>
            <w:noWrap w:val="0"/>
            <w:vAlign w:val="center"/>
          </w:tcPr>
          <w:p w14:paraId="6AF7B673">
            <w:pPr>
              <w:pStyle w:val="49"/>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根据投标人提供的应急供电系统、给排水设备、电气照明装置等设备应急检修措施等：</w:t>
            </w:r>
          </w:p>
          <w:p w14:paraId="59453DF2">
            <w:pPr>
              <w:pStyle w:val="49"/>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措施详尽、准确、针对性强且合理可行的，得4-5分；基本合理可行的，得2-4分；尚有不足的，得0-2分。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A762D2C">
            <w:pPr>
              <w:pStyle w:val="49"/>
              <w:bidi w:val="0"/>
              <w:jc w:val="center"/>
              <w:rPr>
                <w:rFonts w:hint="eastAsia" w:eastAsia="宋体"/>
                <w:lang w:val="en-US" w:eastAsia="zh-CN"/>
              </w:rPr>
            </w:pPr>
            <w:r>
              <w:rPr>
                <w:rFonts w:hint="eastAsia"/>
                <w:lang w:val="en-US" w:eastAsia="zh-CN"/>
              </w:rPr>
              <w:t>5</w:t>
            </w:r>
          </w:p>
        </w:tc>
      </w:tr>
      <w:tr w14:paraId="6C7EA7BD">
        <w:tblPrEx>
          <w:tblCellMar>
            <w:top w:w="15" w:type="dxa"/>
            <w:left w:w="15" w:type="dxa"/>
            <w:bottom w:w="15" w:type="dxa"/>
            <w:right w:w="15" w:type="dxa"/>
          </w:tblCellMar>
        </w:tblPrEx>
        <w:trPr>
          <w:trHeight w:val="566" w:hRule="atLeast"/>
        </w:trPr>
        <w:tc>
          <w:tcPr>
            <w:tcW w:w="505" w:type="dxa"/>
            <w:vMerge w:val="restart"/>
            <w:tcBorders>
              <w:top w:val="single" w:color="auto" w:sz="4" w:space="0"/>
              <w:left w:val="single" w:color="auto" w:sz="4" w:space="0"/>
              <w:right w:val="single" w:color="auto" w:sz="4" w:space="0"/>
            </w:tcBorders>
            <w:noWrap w:val="0"/>
            <w:vAlign w:val="center"/>
          </w:tcPr>
          <w:p w14:paraId="5526BBE3">
            <w:pPr>
              <w:pStyle w:val="49"/>
              <w:bidi w:val="0"/>
              <w:jc w:val="center"/>
              <w:rPr>
                <w:rFonts w:hint="eastAsia" w:eastAsia="宋体"/>
                <w:lang w:val="en-US" w:eastAsia="zh-CN"/>
              </w:rPr>
            </w:pPr>
            <w:r>
              <w:rPr>
                <w:rFonts w:hint="eastAsia"/>
                <w:lang w:val="en-US" w:eastAsia="zh-CN"/>
              </w:rPr>
              <w:t>5</w:t>
            </w:r>
          </w:p>
        </w:tc>
        <w:tc>
          <w:tcPr>
            <w:tcW w:w="1238" w:type="dxa"/>
            <w:vMerge w:val="restart"/>
            <w:tcBorders>
              <w:top w:val="single" w:color="auto" w:sz="4" w:space="0"/>
              <w:left w:val="single" w:color="auto" w:sz="4" w:space="0"/>
              <w:right w:val="single" w:color="auto" w:sz="4" w:space="0"/>
            </w:tcBorders>
            <w:noWrap w:val="0"/>
            <w:vAlign w:val="center"/>
          </w:tcPr>
          <w:p w14:paraId="270301AF">
            <w:pPr>
              <w:pStyle w:val="49"/>
              <w:bidi w:val="0"/>
              <w:jc w:val="center"/>
              <w:rPr>
                <w:rFonts w:hint="eastAsia"/>
              </w:rPr>
            </w:pPr>
            <w:r>
              <w:rPr>
                <w:rFonts w:hint="eastAsia"/>
              </w:rPr>
              <w:t>公共卫生及传染病疫情防控工作</w:t>
            </w:r>
          </w:p>
        </w:tc>
        <w:tc>
          <w:tcPr>
            <w:tcW w:w="7686" w:type="dxa"/>
            <w:tcBorders>
              <w:top w:val="single" w:color="auto" w:sz="4" w:space="0"/>
              <w:left w:val="single" w:color="auto" w:sz="4" w:space="0"/>
              <w:bottom w:val="single" w:color="auto" w:sz="4" w:space="0"/>
              <w:right w:val="single" w:color="auto" w:sz="4" w:space="0"/>
            </w:tcBorders>
            <w:noWrap w:val="0"/>
            <w:vAlign w:val="center"/>
          </w:tcPr>
          <w:p w14:paraId="6A3BB86E">
            <w:pPr>
              <w:pStyle w:val="49"/>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根据投标人提供的落实创国文、创卫、平安建设工作方案进行综合打分：</w:t>
            </w:r>
          </w:p>
          <w:p w14:paraId="39471B7C">
            <w:pPr>
              <w:pStyle w:val="49"/>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方案详尽、准确、针对性强且合理可行的，得4-5分；基本合理可行的，得2-4分；尚有不足的，得0-2分。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24EEF8F">
            <w:pPr>
              <w:pStyle w:val="49"/>
              <w:bidi w:val="0"/>
              <w:jc w:val="center"/>
              <w:rPr>
                <w:rFonts w:hint="eastAsia" w:eastAsia="宋体"/>
                <w:lang w:eastAsia="zh-CN"/>
              </w:rPr>
            </w:pPr>
            <w:r>
              <w:rPr>
                <w:rFonts w:hint="eastAsia"/>
                <w:lang w:val="en-US" w:eastAsia="zh-CN"/>
              </w:rPr>
              <w:t>5</w:t>
            </w:r>
          </w:p>
        </w:tc>
      </w:tr>
      <w:tr w14:paraId="598294F9">
        <w:tblPrEx>
          <w:tblCellMar>
            <w:top w:w="15" w:type="dxa"/>
            <w:left w:w="15" w:type="dxa"/>
            <w:bottom w:w="15" w:type="dxa"/>
            <w:right w:w="15" w:type="dxa"/>
          </w:tblCellMar>
        </w:tblPrEx>
        <w:trPr>
          <w:trHeight w:val="566" w:hRule="atLeast"/>
        </w:trPr>
        <w:tc>
          <w:tcPr>
            <w:tcW w:w="505" w:type="dxa"/>
            <w:vMerge w:val="continue"/>
            <w:tcBorders>
              <w:left w:val="single" w:color="auto" w:sz="4" w:space="0"/>
              <w:bottom w:val="single" w:color="auto" w:sz="4" w:space="0"/>
              <w:right w:val="single" w:color="auto" w:sz="4" w:space="0"/>
            </w:tcBorders>
            <w:noWrap w:val="0"/>
            <w:vAlign w:val="center"/>
          </w:tcPr>
          <w:p w14:paraId="55680F60">
            <w:pPr>
              <w:pStyle w:val="49"/>
              <w:bidi w:val="0"/>
              <w:jc w:val="center"/>
              <w:rPr>
                <w:rFonts w:hint="eastAsia"/>
              </w:rPr>
            </w:pPr>
          </w:p>
        </w:tc>
        <w:tc>
          <w:tcPr>
            <w:tcW w:w="1238" w:type="dxa"/>
            <w:vMerge w:val="continue"/>
            <w:tcBorders>
              <w:left w:val="single" w:color="auto" w:sz="4" w:space="0"/>
              <w:bottom w:val="single" w:color="auto" w:sz="4" w:space="0"/>
              <w:right w:val="single" w:color="auto" w:sz="4" w:space="0"/>
            </w:tcBorders>
            <w:noWrap w:val="0"/>
            <w:vAlign w:val="center"/>
          </w:tcPr>
          <w:p w14:paraId="2504C311">
            <w:pPr>
              <w:pStyle w:val="49"/>
              <w:bidi w:val="0"/>
              <w:jc w:val="center"/>
              <w:rPr>
                <w:rFonts w:hint="eastAsia"/>
              </w:rPr>
            </w:pPr>
          </w:p>
        </w:tc>
        <w:tc>
          <w:tcPr>
            <w:tcW w:w="7686" w:type="dxa"/>
            <w:tcBorders>
              <w:top w:val="single" w:color="auto" w:sz="4" w:space="0"/>
              <w:left w:val="single" w:color="auto" w:sz="4" w:space="0"/>
              <w:bottom w:val="single" w:color="auto" w:sz="4" w:space="0"/>
              <w:right w:val="single" w:color="auto" w:sz="4" w:space="0"/>
            </w:tcBorders>
            <w:noWrap w:val="0"/>
            <w:vAlign w:val="center"/>
          </w:tcPr>
          <w:p w14:paraId="32724355">
            <w:pPr>
              <w:pStyle w:val="49"/>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根据投标人提供的</w:t>
            </w:r>
            <w:r>
              <w:rPr>
                <w:rFonts w:hint="eastAsia"/>
              </w:rPr>
              <w:t>如何做好冷链物防工作</w:t>
            </w:r>
            <w:r>
              <w:rPr>
                <w:rFonts w:hint="eastAsia" w:ascii="Times New Roman" w:hAnsi="Times New Roman" w:eastAsia="宋体" w:cs="Times New Roman"/>
                <w:lang w:val="en-US" w:eastAsia="zh-CN"/>
              </w:rPr>
              <w:t>方案进行综合打分：</w:t>
            </w:r>
          </w:p>
          <w:p w14:paraId="1F1448CE">
            <w:pPr>
              <w:pStyle w:val="49"/>
              <w:bidi w:val="0"/>
              <w:rPr>
                <w:rFonts w:hint="eastAsia"/>
              </w:rPr>
            </w:pPr>
            <w:r>
              <w:rPr>
                <w:rFonts w:hint="eastAsia" w:ascii="Times New Roman" w:hAnsi="Times New Roman" w:eastAsia="宋体" w:cs="Times New Roman"/>
                <w:lang w:val="en-US" w:eastAsia="zh-CN"/>
              </w:rPr>
              <w:t>方案详尽、准确、针对性强且合理可行的，得4-5分；基本合理可行的，得2-4分；尚有不足的，得0-2分。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B031AA7">
            <w:pPr>
              <w:pStyle w:val="49"/>
              <w:bidi w:val="0"/>
              <w:jc w:val="center"/>
              <w:rPr>
                <w:rFonts w:hint="eastAsia" w:eastAsia="宋体"/>
                <w:lang w:eastAsia="zh-CN"/>
              </w:rPr>
            </w:pPr>
            <w:r>
              <w:rPr>
                <w:rFonts w:hint="eastAsia"/>
                <w:lang w:val="en-US" w:eastAsia="zh-CN"/>
              </w:rPr>
              <w:t>5</w:t>
            </w:r>
          </w:p>
        </w:tc>
      </w:tr>
      <w:tr w14:paraId="2A136BF4">
        <w:tblPrEx>
          <w:tblCellMar>
            <w:top w:w="15" w:type="dxa"/>
            <w:left w:w="15" w:type="dxa"/>
            <w:bottom w:w="15" w:type="dxa"/>
            <w:right w:w="15" w:type="dxa"/>
          </w:tblCellMar>
        </w:tblPrEx>
        <w:trPr>
          <w:trHeight w:val="1315" w:hRule="atLeast"/>
        </w:trPr>
        <w:tc>
          <w:tcPr>
            <w:tcW w:w="505" w:type="dxa"/>
            <w:vMerge w:val="restart"/>
            <w:tcBorders>
              <w:top w:val="single" w:color="auto" w:sz="4" w:space="0"/>
              <w:left w:val="single" w:color="auto" w:sz="4" w:space="0"/>
              <w:right w:val="single" w:color="auto" w:sz="4" w:space="0"/>
            </w:tcBorders>
            <w:noWrap w:val="0"/>
            <w:vAlign w:val="center"/>
          </w:tcPr>
          <w:p w14:paraId="7F5A5B8C">
            <w:pPr>
              <w:pStyle w:val="49"/>
              <w:bidi w:val="0"/>
              <w:jc w:val="center"/>
              <w:rPr>
                <w:rFonts w:hint="eastAsia" w:eastAsia="宋体"/>
                <w:lang w:val="en-US" w:eastAsia="zh-CN"/>
              </w:rPr>
            </w:pPr>
            <w:r>
              <w:rPr>
                <w:rFonts w:hint="eastAsia"/>
                <w:lang w:val="en-US" w:eastAsia="zh-CN"/>
              </w:rPr>
              <w:t>6</w:t>
            </w:r>
          </w:p>
        </w:tc>
        <w:tc>
          <w:tcPr>
            <w:tcW w:w="1238" w:type="dxa"/>
            <w:vMerge w:val="restart"/>
            <w:tcBorders>
              <w:top w:val="single" w:color="auto" w:sz="4" w:space="0"/>
              <w:left w:val="single" w:color="auto" w:sz="4" w:space="0"/>
              <w:right w:val="single" w:color="auto" w:sz="4" w:space="0"/>
            </w:tcBorders>
            <w:noWrap w:val="0"/>
            <w:vAlign w:val="center"/>
          </w:tcPr>
          <w:p w14:paraId="16687CB2">
            <w:pPr>
              <w:pStyle w:val="49"/>
              <w:bidi w:val="0"/>
              <w:jc w:val="center"/>
              <w:rPr>
                <w:rFonts w:hint="eastAsia"/>
              </w:rPr>
            </w:pPr>
            <w:r>
              <w:rPr>
                <w:rFonts w:hint="eastAsia"/>
              </w:rPr>
              <w:t>针对本项目运营管理中各项措施、相关管理制度的健全性及管理制度的制定情况</w:t>
            </w:r>
          </w:p>
        </w:tc>
        <w:tc>
          <w:tcPr>
            <w:tcW w:w="7686" w:type="dxa"/>
            <w:tcBorders>
              <w:top w:val="single" w:color="auto" w:sz="4" w:space="0"/>
              <w:left w:val="single" w:color="auto" w:sz="4" w:space="0"/>
              <w:bottom w:val="single" w:color="auto" w:sz="4" w:space="0"/>
              <w:right w:val="single" w:color="auto" w:sz="4" w:space="0"/>
            </w:tcBorders>
            <w:noWrap w:val="0"/>
            <w:vAlign w:val="center"/>
          </w:tcPr>
          <w:p w14:paraId="2C49FB2A">
            <w:pPr>
              <w:pStyle w:val="49"/>
              <w:bidi w:val="0"/>
              <w:rPr>
                <w:rFonts w:hint="eastAsia" w:ascii="Times New Roman" w:hAnsi="Times New Roman" w:eastAsia="宋体" w:cs="Times New Roman"/>
                <w:lang w:eastAsia="zh-CN"/>
              </w:rPr>
            </w:pPr>
            <w:r>
              <w:rPr>
                <w:rFonts w:hint="eastAsia" w:ascii="Times New Roman" w:hAnsi="Times New Roman" w:eastAsia="宋体" w:cs="Times New Roman"/>
                <w:lang w:eastAsia="zh-CN"/>
              </w:rPr>
              <w:t>根据投标人提供的</w:t>
            </w:r>
            <w:r>
              <w:rPr>
                <w:rFonts w:hint="eastAsia" w:ascii="Times New Roman" w:hAnsi="Times New Roman" w:eastAsia="宋体" w:cs="Times New Roman"/>
              </w:rPr>
              <w:t>秩序维护方案</w:t>
            </w:r>
            <w:r>
              <w:rPr>
                <w:rFonts w:hint="eastAsia" w:ascii="Times New Roman" w:hAnsi="Times New Roman" w:eastAsia="宋体" w:cs="Times New Roman"/>
                <w:lang w:eastAsia="zh-CN"/>
              </w:rPr>
              <w:t>进行打分：</w:t>
            </w:r>
          </w:p>
          <w:p w14:paraId="57A0D097">
            <w:pPr>
              <w:pStyle w:val="49"/>
              <w:bidi w:val="0"/>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方案详尽、准确、针对性强且合理可行的，得2-4分；基本合理可行的，得1-2分；尚有不足的，得0-1分。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2838174">
            <w:pPr>
              <w:pStyle w:val="49"/>
              <w:bidi w:val="0"/>
              <w:jc w:val="center"/>
              <w:rPr>
                <w:rFonts w:hint="eastAsia" w:eastAsia="宋体"/>
                <w:lang w:eastAsia="zh-CN"/>
              </w:rPr>
            </w:pPr>
            <w:r>
              <w:rPr>
                <w:rFonts w:hint="eastAsia"/>
                <w:lang w:val="en-US" w:eastAsia="zh-CN"/>
              </w:rPr>
              <w:t>4</w:t>
            </w:r>
          </w:p>
        </w:tc>
      </w:tr>
      <w:tr w14:paraId="001CDFF9">
        <w:tblPrEx>
          <w:tblCellMar>
            <w:top w:w="15" w:type="dxa"/>
            <w:left w:w="15" w:type="dxa"/>
            <w:bottom w:w="15" w:type="dxa"/>
            <w:right w:w="15" w:type="dxa"/>
          </w:tblCellMar>
        </w:tblPrEx>
        <w:trPr>
          <w:trHeight w:val="542" w:hRule="atLeast"/>
        </w:trPr>
        <w:tc>
          <w:tcPr>
            <w:tcW w:w="505" w:type="dxa"/>
            <w:vMerge w:val="continue"/>
            <w:tcBorders>
              <w:left w:val="single" w:color="auto" w:sz="4" w:space="0"/>
              <w:right w:val="single" w:color="auto" w:sz="4" w:space="0"/>
            </w:tcBorders>
            <w:noWrap w:val="0"/>
            <w:vAlign w:val="center"/>
          </w:tcPr>
          <w:p w14:paraId="69374D94">
            <w:pPr>
              <w:pStyle w:val="49"/>
              <w:bidi w:val="0"/>
              <w:jc w:val="center"/>
            </w:pPr>
          </w:p>
        </w:tc>
        <w:tc>
          <w:tcPr>
            <w:tcW w:w="1238" w:type="dxa"/>
            <w:vMerge w:val="continue"/>
            <w:tcBorders>
              <w:left w:val="single" w:color="auto" w:sz="4" w:space="0"/>
              <w:right w:val="single" w:color="auto" w:sz="4" w:space="0"/>
            </w:tcBorders>
            <w:noWrap w:val="0"/>
            <w:vAlign w:val="center"/>
          </w:tcPr>
          <w:p w14:paraId="67A1E783">
            <w:pPr>
              <w:pStyle w:val="49"/>
              <w:bidi w:val="0"/>
              <w:jc w:val="center"/>
            </w:pPr>
          </w:p>
        </w:tc>
        <w:tc>
          <w:tcPr>
            <w:tcW w:w="7686" w:type="dxa"/>
            <w:tcBorders>
              <w:top w:val="single" w:color="auto" w:sz="4" w:space="0"/>
              <w:left w:val="single" w:color="auto" w:sz="4" w:space="0"/>
              <w:bottom w:val="single" w:color="auto" w:sz="4" w:space="0"/>
              <w:right w:val="single" w:color="auto" w:sz="4" w:space="0"/>
            </w:tcBorders>
            <w:noWrap w:val="0"/>
            <w:vAlign w:val="center"/>
          </w:tcPr>
          <w:p w14:paraId="656328AF">
            <w:pPr>
              <w:pStyle w:val="49"/>
              <w:bidi w:val="0"/>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根据投标人提供的保洁方案进行打分</w:t>
            </w:r>
            <w:r>
              <w:rPr>
                <w:rFonts w:hint="eastAsia" w:ascii="Times New Roman" w:hAnsi="Times New Roman" w:eastAsia="宋体" w:cs="Times New Roman"/>
                <w:lang w:eastAsia="zh-CN"/>
              </w:rPr>
              <w:t>：</w:t>
            </w:r>
          </w:p>
          <w:p w14:paraId="344FCAC0">
            <w:pPr>
              <w:pStyle w:val="49"/>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方案详尽、准确、针对性强且合理可行的，得2-4分；基本合理可行的，得1-2分；尚有不足的，得0-1分。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3EA8E05">
            <w:pPr>
              <w:pStyle w:val="49"/>
              <w:bidi w:val="0"/>
              <w:jc w:val="center"/>
              <w:rPr>
                <w:rFonts w:hint="default"/>
                <w:lang w:val="en-US" w:eastAsia="zh-CN"/>
              </w:rPr>
            </w:pPr>
            <w:r>
              <w:rPr>
                <w:rFonts w:hint="eastAsia"/>
                <w:lang w:val="en-US" w:eastAsia="zh-CN"/>
              </w:rPr>
              <w:t>4</w:t>
            </w:r>
          </w:p>
        </w:tc>
      </w:tr>
      <w:tr w14:paraId="0343B5BA">
        <w:tblPrEx>
          <w:tblCellMar>
            <w:top w:w="15" w:type="dxa"/>
            <w:left w:w="15" w:type="dxa"/>
            <w:bottom w:w="15" w:type="dxa"/>
            <w:right w:w="15" w:type="dxa"/>
          </w:tblCellMar>
        </w:tblPrEx>
        <w:trPr>
          <w:trHeight w:val="542" w:hRule="atLeast"/>
        </w:trPr>
        <w:tc>
          <w:tcPr>
            <w:tcW w:w="505" w:type="dxa"/>
            <w:vMerge w:val="continue"/>
            <w:tcBorders>
              <w:left w:val="single" w:color="auto" w:sz="4" w:space="0"/>
              <w:right w:val="single" w:color="auto" w:sz="4" w:space="0"/>
            </w:tcBorders>
            <w:noWrap w:val="0"/>
            <w:vAlign w:val="center"/>
          </w:tcPr>
          <w:p w14:paraId="1777CBA2">
            <w:pPr>
              <w:pStyle w:val="49"/>
              <w:bidi w:val="0"/>
              <w:jc w:val="center"/>
              <w:rPr>
                <w:rFonts w:hint="eastAsia"/>
                <w:lang w:val="en-US" w:eastAsia="zh-CN"/>
              </w:rPr>
            </w:pPr>
          </w:p>
        </w:tc>
        <w:tc>
          <w:tcPr>
            <w:tcW w:w="1238" w:type="dxa"/>
            <w:vMerge w:val="continue"/>
            <w:tcBorders>
              <w:left w:val="single" w:color="auto" w:sz="4" w:space="0"/>
              <w:right w:val="single" w:color="auto" w:sz="4" w:space="0"/>
            </w:tcBorders>
            <w:noWrap w:val="0"/>
            <w:vAlign w:val="center"/>
          </w:tcPr>
          <w:p w14:paraId="4A194E5A">
            <w:pPr>
              <w:pStyle w:val="49"/>
              <w:bidi w:val="0"/>
              <w:jc w:val="center"/>
              <w:rPr>
                <w:rFonts w:hint="eastAsia"/>
                <w:lang w:val="en-US" w:eastAsia="zh-CN"/>
              </w:rPr>
            </w:pPr>
          </w:p>
        </w:tc>
        <w:tc>
          <w:tcPr>
            <w:tcW w:w="7686" w:type="dxa"/>
            <w:tcBorders>
              <w:top w:val="single" w:color="auto" w:sz="4" w:space="0"/>
              <w:left w:val="single" w:color="auto" w:sz="4" w:space="0"/>
              <w:bottom w:val="single" w:color="auto" w:sz="4" w:space="0"/>
              <w:right w:val="single" w:color="auto" w:sz="4" w:space="0"/>
            </w:tcBorders>
            <w:noWrap w:val="0"/>
            <w:vAlign w:val="center"/>
          </w:tcPr>
          <w:p w14:paraId="6CF04A21">
            <w:pPr>
              <w:pStyle w:val="49"/>
              <w:bidi w:val="0"/>
              <w:rPr>
                <w:rFonts w:hint="eastAsia" w:ascii="Times New Roman" w:hAnsi="Times New Roman" w:eastAsia="宋体" w:cs="Times New Roman"/>
                <w:lang w:eastAsia="zh-CN"/>
              </w:rPr>
            </w:pPr>
            <w:r>
              <w:rPr>
                <w:rFonts w:hint="eastAsia" w:ascii="Times New Roman" w:hAnsi="Times New Roman" w:eastAsia="宋体" w:cs="Times New Roman"/>
                <w:lang w:eastAsia="zh-CN"/>
              </w:rPr>
              <w:t>根据投标人提供的</w:t>
            </w:r>
            <w:r>
              <w:rPr>
                <w:rFonts w:hint="eastAsia" w:ascii="Times New Roman" w:hAnsi="Times New Roman" w:eastAsia="宋体" w:cs="Times New Roman"/>
              </w:rPr>
              <w:t>农残检测及食品安全监管方案</w:t>
            </w:r>
            <w:r>
              <w:rPr>
                <w:rFonts w:hint="eastAsia" w:ascii="Times New Roman" w:hAnsi="Times New Roman" w:eastAsia="宋体" w:cs="Times New Roman"/>
                <w:lang w:eastAsia="zh-CN"/>
              </w:rPr>
              <w:t>进行打分：</w:t>
            </w:r>
          </w:p>
          <w:p w14:paraId="1382A190">
            <w:pPr>
              <w:pStyle w:val="49"/>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方案详尽、准确、针对性强且合理可行的，得2-4分；基本合理可行的，得1-2分；尚有不足的，得0-1分。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F8CA555">
            <w:pPr>
              <w:pStyle w:val="49"/>
              <w:bidi w:val="0"/>
              <w:jc w:val="center"/>
              <w:rPr>
                <w:rFonts w:hint="default"/>
                <w:lang w:val="en-US" w:eastAsia="zh-CN"/>
              </w:rPr>
            </w:pPr>
            <w:r>
              <w:rPr>
                <w:rFonts w:hint="eastAsia"/>
                <w:lang w:val="en-US" w:eastAsia="zh-CN"/>
              </w:rPr>
              <w:t>4</w:t>
            </w:r>
          </w:p>
        </w:tc>
      </w:tr>
      <w:tr w14:paraId="62A47F14">
        <w:tblPrEx>
          <w:tblCellMar>
            <w:top w:w="15" w:type="dxa"/>
            <w:left w:w="15" w:type="dxa"/>
            <w:bottom w:w="15" w:type="dxa"/>
            <w:right w:w="15" w:type="dxa"/>
          </w:tblCellMar>
        </w:tblPrEx>
        <w:trPr>
          <w:trHeight w:val="542" w:hRule="atLeast"/>
        </w:trPr>
        <w:tc>
          <w:tcPr>
            <w:tcW w:w="505" w:type="dxa"/>
            <w:vMerge w:val="continue"/>
            <w:tcBorders>
              <w:left w:val="single" w:color="auto" w:sz="4" w:space="0"/>
              <w:right w:val="single" w:color="auto" w:sz="4" w:space="0"/>
            </w:tcBorders>
            <w:noWrap w:val="0"/>
            <w:vAlign w:val="center"/>
          </w:tcPr>
          <w:p w14:paraId="52B8B6AD">
            <w:pPr>
              <w:pStyle w:val="49"/>
              <w:bidi w:val="0"/>
              <w:jc w:val="center"/>
              <w:rPr>
                <w:rFonts w:hint="eastAsia"/>
                <w:lang w:val="en-US" w:eastAsia="zh-CN"/>
              </w:rPr>
            </w:pPr>
          </w:p>
        </w:tc>
        <w:tc>
          <w:tcPr>
            <w:tcW w:w="1238" w:type="dxa"/>
            <w:vMerge w:val="continue"/>
            <w:tcBorders>
              <w:left w:val="single" w:color="auto" w:sz="4" w:space="0"/>
              <w:right w:val="single" w:color="auto" w:sz="4" w:space="0"/>
            </w:tcBorders>
            <w:noWrap w:val="0"/>
            <w:vAlign w:val="center"/>
          </w:tcPr>
          <w:p w14:paraId="6ABBB348">
            <w:pPr>
              <w:pStyle w:val="49"/>
              <w:bidi w:val="0"/>
              <w:jc w:val="center"/>
              <w:rPr>
                <w:rFonts w:hint="eastAsia"/>
                <w:lang w:val="en-US" w:eastAsia="zh-CN"/>
              </w:rPr>
            </w:pPr>
          </w:p>
        </w:tc>
        <w:tc>
          <w:tcPr>
            <w:tcW w:w="7686" w:type="dxa"/>
            <w:tcBorders>
              <w:top w:val="single" w:color="auto" w:sz="4" w:space="0"/>
              <w:left w:val="single" w:color="auto" w:sz="4" w:space="0"/>
              <w:bottom w:val="single" w:color="auto" w:sz="4" w:space="0"/>
              <w:right w:val="single" w:color="auto" w:sz="4" w:space="0"/>
            </w:tcBorders>
            <w:noWrap w:val="0"/>
            <w:vAlign w:val="center"/>
          </w:tcPr>
          <w:p w14:paraId="5F0EBDE2">
            <w:pPr>
              <w:pStyle w:val="49"/>
              <w:bidi w:val="0"/>
              <w:rPr>
                <w:rFonts w:hint="eastAsia" w:ascii="Times New Roman" w:hAnsi="Times New Roman" w:eastAsia="宋体" w:cs="Times New Roman"/>
                <w:lang w:eastAsia="zh-CN"/>
              </w:rPr>
            </w:pPr>
            <w:r>
              <w:rPr>
                <w:rFonts w:hint="eastAsia" w:ascii="Times New Roman" w:hAnsi="Times New Roman" w:eastAsia="宋体" w:cs="Times New Roman"/>
                <w:lang w:eastAsia="zh-CN"/>
              </w:rPr>
              <w:t>根据投标人提供的</w:t>
            </w:r>
            <w:r>
              <w:rPr>
                <w:rFonts w:hint="eastAsia" w:ascii="Times New Roman" w:hAnsi="Times New Roman" w:eastAsia="宋体" w:cs="Times New Roman"/>
              </w:rPr>
              <w:t>垃圾分类处理、污水排放方案</w:t>
            </w:r>
            <w:r>
              <w:rPr>
                <w:rFonts w:hint="eastAsia" w:ascii="Times New Roman" w:hAnsi="Times New Roman" w:eastAsia="宋体" w:cs="Times New Roman"/>
                <w:lang w:eastAsia="zh-CN"/>
              </w:rPr>
              <w:t>进行打分：</w:t>
            </w:r>
          </w:p>
          <w:p w14:paraId="1B79217F">
            <w:pPr>
              <w:pStyle w:val="49"/>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方案详尽、准确、针对性强且合理可行的，得2-4分；基本合理可行的，得1-2分；尚有不足的，得0-1分。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448F83E">
            <w:pPr>
              <w:pStyle w:val="49"/>
              <w:bidi w:val="0"/>
              <w:jc w:val="center"/>
              <w:rPr>
                <w:rFonts w:hint="default"/>
                <w:lang w:val="en-US" w:eastAsia="zh-CN"/>
              </w:rPr>
            </w:pPr>
            <w:r>
              <w:rPr>
                <w:rFonts w:hint="eastAsia"/>
                <w:lang w:val="en-US" w:eastAsia="zh-CN"/>
              </w:rPr>
              <w:t>4</w:t>
            </w:r>
          </w:p>
        </w:tc>
      </w:tr>
      <w:tr w14:paraId="68565C70">
        <w:tblPrEx>
          <w:tblCellMar>
            <w:top w:w="15" w:type="dxa"/>
            <w:left w:w="15" w:type="dxa"/>
            <w:bottom w:w="15" w:type="dxa"/>
            <w:right w:w="15" w:type="dxa"/>
          </w:tblCellMar>
        </w:tblPrEx>
        <w:trPr>
          <w:trHeight w:val="542" w:hRule="atLeast"/>
        </w:trPr>
        <w:tc>
          <w:tcPr>
            <w:tcW w:w="505" w:type="dxa"/>
            <w:vMerge w:val="continue"/>
            <w:tcBorders>
              <w:left w:val="single" w:color="auto" w:sz="4" w:space="0"/>
              <w:right w:val="single" w:color="auto" w:sz="4" w:space="0"/>
            </w:tcBorders>
            <w:noWrap w:val="0"/>
            <w:vAlign w:val="center"/>
          </w:tcPr>
          <w:p w14:paraId="69088B2D">
            <w:pPr>
              <w:pStyle w:val="49"/>
              <w:bidi w:val="0"/>
              <w:jc w:val="center"/>
              <w:rPr>
                <w:rFonts w:hint="eastAsia"/>
                <w:lang w:val="en-US" w:eastAsia="zh-CN"/>
              </w:rPr>
            </w:pPr>
          </w:p>
        </w:tc>
        <w:tc>
          <w:tcPr>
            <w:tcW w:w="1238" w:type="dxa"/>
            <w:vMerge w:val="continue"/>
            <w:tcBorders>
              <w:left w:val="single" w:color="auto" w:sz="4" w:space="0"/>
              <w:right w:val="single" w:color="auto" w:sz="4" w:space="0"/>
            </w:tcBorders>
            <w:noWrap w:val="0"/>
            <w:vAlign w:val="center"/>
          </w:tcPr>
          <w:p w14:paraId="26247825">
            <w:pPr>
              <w:pStyle w:val="49"/>
              <w:bidi w:val="0"/>
              <w:jc w:val="center"/>
              <w:rPr>
                <w:rFonts w:hint="eastAsia"/>
                <w:lang w:val="en-US" w:eastAsia="zh-CN"/>
              </w:rPr>
            </w:pPr>
          </w:p>
        </w:tc>
        <w:tc>
          <w:tcPr>
            <w:tcW w:w="7686" w:type="dxa"/>
            <w:tcBorders>
              <w:top w:val="single" w:color="auto" w:sz="4" w:space="0"/>
              <w:left w:val="single" w:color="auto" w:sz="4" w:space="0"/>
              <w:bottom w:val="single" w:color="auto" w:sz="4" w:space="0"/>
              <w:right w:val="single" w:color="auto" w:sz="4" w:space="0"/>
            </w:tcBorders>
            <w:noWrap w:val="0"/>
            <w:vAlign w:val="center"/>
          </w:tcPr>
          <w:p w14:paraId="7E4ECFF2">
            <w:pPr>
              <w:pStyle w:val="49"/>
              <w:bidi w:val="0"/>
              <w:rPr>
                <w:rFonts w:hint="eastAsia" w:ascii="Times New Roman" w:hAnsi="Times New Roman" w:eastAsia="宋体" w:cs="Times New Roman"/>
                <w:lang w:eastAsia="zh-CN"/>
              </w:rPr>
            </w:pPr>
            <w:r>
              <w:rPr>
                <w:rFonts w:hint="eastAsia" w:ascii="Times New Roman" w:hAnsi="Times New Roman" w:eastAsia="宋体" w:cs="Times New Roman"/>
                <w:lang w:eastAsia="zh-CN"/>
              </w:rPr>
              <w:t>根据投标人提供的</w:t>
            </w:r>
            <w:r>
              <w:rPr>
                <w:rFonts w:hint="eastAsia" w:ascii="Times New Roman" w:hAnsi="Times New Roman" w:eastAsia="宋体" w:cs="Times New Roman"/>
              </w:rPr>
              <w:t>消防安全管理方案</w:t>
            </w:r>
            <w:r>
              <w:rPr>
                <w:rFonts w:hint="eastAsia" w:ascii="Times New Roman" w:hAnsi="Times New Roman" w:eastAsia="宋体" w:cs="Times New Roman"/>
                <w:lang w:eastAsia="zh-CN"/>
              </w:rPr>
              <w:t>进行打分：</w:t>
            </w:r>
          </w:p>
          <w:p w14:paraId="141D5B9F">
            <w:pPr>
              <w:pStyle w:val="49"/>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方案详尽、准确、针对性强且合理可行的，得</w:t>
            </w:r>
            <w:r>
              <w:rPr>
                <w:rFonts w:hint="eastAsia" w:cs="Times New Roman"/>
                <w:lang w:val="en-US" w:eastAsia="zh-CN"/>
              </w:rPr>
              <w:t>2</w:t>
            </w:r>
            <w:r>
              <w:rPr>
                <w:rFonts w:hint="eastAsia" w:ascii="Times New Roman" w:hAnsi="Times New Roman" w:eastAsia="宋体" w:cs="Times New Roman"/>
                <w:lang w:val="en-US" w:eastAsia="zh-CN"/>
              </w:rPr>
              <w:t>-4分；基本合理可行的，得1-2分；尚有不足的，得0-1分。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50A7E6D">
            <w:pPr>
              <w:pStyle w:val="49"/>
              <w:bidi w:val="0"/>
              <w:jc w:val="center"/>
              <w:rPr>
                <w:rFonts w:hint="default"/>
                <w:lang w:val="en-US" w:eastAsia="zh-CN"/>
              </w:rPr>
            </w:pPr>
            <w:r>
              <w:rPr>
                <w:rFonts w:hint="eastAsia"/>
                <w:lang w:val="en-US" w:eastAsia="zh-CN"/>
              </w:rPr>
              <w:t>4</w:t>
            </w:r>
          </w:p>
        </w:tc>
      </w:tr>
      <w:tr w14:paraId="4C3E5A0C">
        <w:tblPrEx>
          <w:tblCellMar>
            <w:top w:w="15" w:type="dxa"/>
            <w:left w:w="15" w:type="dxa"/>
            <w:bottom w:w="15" w:type="dxa"/>
            <w:right w:w="15" w:type="dxa"/>
          </w:tblCellMar>
        </w:tblPrEx>
        <w:trPr>
          <w:trHeight w:val="925" w:hRule="atLeast"/>
        </w:trPr>
        <w:tc>
          <w:tcPr>
            <w:tcW w:w="505" w:type="dxa"/>
            <w:vMerge w:val="continue"/>
            <w:tcBorders>
              <w:left w:val="single" w:color="auto" w:sz="4" w:space="0"/>
              <w:right w:val="single" w:color="auto" w:sz="4" w:space="0"/>
            </w:tcBorders>
            <w:noWrap w:val="0"/>
            <w:vAlign w:val="center"/>
          </w:tcPr>
          <w:p w14:paraId="2E80AE7B">
            <w:pPr>
              <w:pStyle w:val="49"/>
              <w:bidi w:val="0"/>
              <w:jc w:val="center"/>
              <w:rPr>
                <w:rFonts w:hint="eastAsia"/>
                <w:lang w:val="en-US" w:eastAsia="zh-CN"/>
              </w:rPr>
            </w:pPr>
          </w:p>
        </w:tc>
        <w:tc>
          <w:tcPr>
            <w:tcW w:w="1238" w:type="dxa"/>
            <w:vMerge w:val="continue"/>
            <w:tcBorders>
              <w:left w:val="single" w:color="auto" w:sz="4" w:space="0"/>
              <w:right w:val="single" w:color="auto" w:sz="4" w:space="0"/>
            </w:tcBorders>
            <w:noWrap w:val="0"/>
            <w:vAlign w:val="center"/>
          </w:tcPr>
          <w:p w14:paraId="04DD3276">
            <w:pPr>
              <w:pStyle w:val="49"/>
              <w:bidi w:val="0"/>
              <w:jc w:val="center"/>
              <w:rPr>
                <w:rFonts w:hint="eastAsia"/>
                <w:lang w:val="en-US" w:eastAsia="zh-CN"/>
              </w:rPr>
            </w:pPr>
          </w:p>
        </w:tc>
        <w:tc>
          <w:tcPr>
            <w:tcW w:w="7686" w:type="dxa"/>
            <w:tcBorders>
              <w:top w:val="single" w:color="auto" w:sz="4" w:space="0"/>
              <w:left w:val="single" w:color="auto" w:sz="4" w:space="0"/>
              <w:bottom w:val="single" w:color="auto" w:sz="4" w:space="0"/>
              <w:right w:val="single" w:color="auto" w:sz="4" w:space="0"/>
            </w:tcBorders>
            <w:noWrap w:val="0"/>
            <w:vAlign w:val="center"/>
          </w:tcPr>
          <w:p w14:paraId="408E1AB1">
            <w:pPr>
              <w:pStyle w:val="49"/>
              <w:bidi w:val="0"/>
              <w:rPr>
                <w:rFonts w:hint="eastAsia" w:ascii="Times New Roman" w:hAnsi="Times New Roman" w:eastAsia="宋体" w:cs="Times New Roman"/>
                <w:lang w:val="en-US" w:eastAsia="zh-CN"/>
              </w:rPr>
            </w:pPr>
            <w:r>
              <w:rPr>
                <w:rFonts w:hint="eastAsia" w:ascii="Times New Roman" w:hAnsi="Times New Roman" w:eastAsia="宋体" w:cs="Times New Roman"/>
              </w:rPr>
              <w:t>明确经营户规范管理</w:t>
            </w:r>
            <w:r>
              <w:rPr>
                <w:rFonts w:hint="eastAsia" w:ascii="Times New Roman" w:hAnsi="Times New Roman" w:eastAsia="宋体" w:cs="Times New Roman"/>
                <w:lang w:val="en-US" w:eastAsia="zh-CN"/>
              </w:rPr>
              <w:t>包括但不限于</w:t>
            </w:r>
            <w:r>
              <w:rPr>
                <w:rFonts w:hint="eastAsia" w:ascii="Times New Roman" w:hAnsi="Times New Roman" w:eastAsia="宋体" w:cs="Times New Roman"/>
              </w:rPr>
              <w:t>：经营户评比制度</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0-1分</w:t>
            </w:r>
            <w:r>
              <w:rPr>
                <w:rFonts w:hint="eastAsia" w:ascii="Times New Roman" w:hAnsi="Times New Roman" w:eastAsia="宋体" w:cs="Times New Roman"/>
                <w:lang w:eastAsia="zh-CN"/>
              </w:rPr>
              <w:t>）</w:t>
            </w:r>
            <w:r>
              <w:rPr>
                <w:rFonts w:hint="eastAsia" w:ascii="Times New Roman" w:hAnsi="Times New Roman" w:eastAsia="宋体" w:cs="Times New Roman"/>
              </w:rPr>
              <w:t>、</w:t>
            </w:r>
            <w:r>
              <w:rPr>
                <w:rFonts w:hint="eastAsia" w:ascii="Times New Roman" w:hAnsi="Times New Roman" w:eastAsia="宋体" w:cs="Times New Roman"/>
                <w:lang w:eastAsia="zh-CN"/>
              </w:rPr>
              <w:t>考核机制（</w:t>
            </w:r>
            <w:r>
              <w:rPr>
                <w:rFonts w:hint="eastAsia" w:ascii="Times New Roman" w:hAnsi="Times New Roman" w:eastAsia="宋体" w:cs="Times New Roman"/>
                <w:lang w:val="en-US" w:eastAsia="zh-CN"/>
              </w:rPr>
              <w:t>0-1分</w:t>
            </w:r>
            <w:r>
              <w:rPr>
                <w:rFonts w:hint="eastAsia" w:ascii="Times New Roman" w:hAnsi="Times New Roman" w:eastAsia="宋体" w:cs="Times New Roman"/>
                <w:lang w:eastAsia="zh-CN"/>
              </w:rPr>
              <w:t>）、</w:t>
            </w:r>
            <w:r>
              <w:rPr>
                <w:rFonts w:hint="eastAsia" w:ascii="Times New Roman" w:hAnsi="Times New Roman" w:eastAsia="宋体" w:cs="Times New Roman"/>
              </w:rPr>
              <w:t>场内禁烟</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0-1分</w:t>
            </w:r>
            <w:r>
              <w:rPr>
                <w:rFonts w:hint="eastAsia" w:ascii="Times New Roman" w:hAnsi="Times New Roman" w:eastAsia="宋体" w:cs="Times New Roman"/>
                <w:lang w:eastAsia="zh-CN"/>
              </w:rPr>
              <w:t>）</w:t>
            </w:r>
            <w:r>
              <w:rPr>
                <w:rFonts w:hint="eastAsia" w:ascii="Times New Roman" w:hAnsi="Times New Roman" w:eastAsia="宋体" w:cs="Times New Roman"/>
              </w:rPr>
              <w:t>，扣分收违约金制</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0-1分</w:t>
            </w:r>
            <w:r>
              <w:rPr>
                <w:rFonts w:hint="eastAsia" w:ascii="Times New Roman" w:hAnsi="Times New Roman" w:eastAsia="宋体" w:cs="Times New Roman"/>
                <w:lang w:eastAsia="zh-CN"/>
              </w:rPr>
              <w:t>）</w:t>
            </w:r>
            <w:r>
              <w:rPr>
                <w:rFonts w:hint="eastAsia" w:ascii="Times New Roman" w:hAnsi="Times New Roman" w:eastAsia="宋体" w:cs="Times New Roman"/>
              </w:rPr>
              <w:t>，退市制等</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0-1分</w:t>
            </w:r>
            <w:r>
              <w:rPr>
                <w:rFonts w:hint="eastAsia" w:ascii="Times New Roman" w:hAnsi="Times New Roman" w:eastAsia="宋体" w:cs="Times New Roman"/>
                <w:lang w:eastAsia="zh-CN"/>
              </w:rPr>
              <w:t>）</w:t>
            </w:r>
            <w:r>
              <w:rPr>
                <w:rFonts w:hint="eastAsia" w:ascii="Times New Roman" w:hAnsi="Times New Roman" w:eastAsia="宋体" w:cs="Times New Roman"/>
              </w:rPr>
              <w:t>，索证索票（食品安全）等</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0-1分</w:t>
            </w:r>
            <w:r>
              <w:rPr>
                <w:rFonts w:hint="eastAsia" w:ascii="Times New Roman" w:hAnsi="Times New Roman" w:eastAsia="宋体" w:cs="Times New Roman"/>
                <w:lang w:eastAsia="zh-CN"/>
              </w:rPr>
              <w:t>）</w:t>
            </w:r>
            <w:r>
              <w:rPr>
                <w:rFonts w:hint="eastAsia" w:ascii="Times New Roman" w:hAnsi="Times New Roman" w:eastAsia="宋体" w:cs="Times New Roman"/>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EE9B468">
            <w:pPr>
              <w:pStyle w:val="49"/>
              <w:bidi w:val="0"/>
              <w:jc w:val="center"/>
              <w:rPr>
                <w:rFonts w:hint="default"/>
                <w:lang w:val="en-US" w:eastAsia="zh-CN"/>
              </w:rPr>
            </w:pPr>
            <w:r>
              <w:rPr>
                <w:rFonts w:hint="eastAsia"/>
                <w:lang w:val="en-US" w:eastAsia="zh-CN"/>
              </w:rPr>
              <w:t>6</w:t>
            </w:r>
          </w:p>
        </w:tc>
      </w:tr>
      <w:tr w14:paraId="75EF0E47">
        <w:tblPrEx>
          <w:tblCellMar>
            <w:top w:w="15" w:type="dxa"/>
            <w:left w:w="15" w:type="dxa"/>
            <w:bottom w:w="15" w:type="dxa"/>
            <w:right w:w="15" w:type="dxa"/>
          </w:tblCellMar>
        </w:tblPrEx>
        <w:trPr>
          <w:trHeight w:val="542" w:hRule="atLeast"/>
        </w:trPr>
        <w:tc>
          <w:tcPr>
            <w:tcW w:w="505" w:type="dxa"/>
            <w:vMerge w:val="continue"/>
            <w:tcBorders>
              <w:left w:val="single" w:color="auto" w:sz="4" w:space="0"/>
              <w:bottom w:val="single" w:color="auto" w:sz="4" w:space="0"/>
              <w:right w:val="single" w:color="auto" w:sz="4" w:space="0"/>
            </w:tcBorders>
            <w:noWrap w:val="0"/>
            <w:vAlign w:val="center"/>
          </w:tcPr>
          <w:p w14:paraId="015611EB">
            <w:pPr>
              <w:pStyle w:val="49"/>
              <w:bidi w:val="0"/>
              <w:jc w:val="center"/>
              <w:rPr>
                <w:rFonts w:hint="eastAsia"/>
                <w:lang w:val="en-US" w:eastAsia="zh-CN"/>
              </w:rPr>
            </w:pPr>
          </w:p>
        </w:tc>
        <w:tc>
          <w:tcPr>
            <w:tcW w:w="1238" w:type="dxa"/>
            <w:vMerge w:val="continue"/>
            <w:tcBorders>
              <w:left w:val="single" w:color="auto" w:sz="4" w:space="0"/>
              <w:bottom w:val="single" w:color="auto" w:sz="4" w:space="0"/>
              <w:right w:val="single" w:color="auto" w:sz="4" w:space="0"/>
            </w:tcBorders>
            <w:noWrap w:val="0"/>
            <w:vAlign w:val="center"/>
          </w:tcPr>
          <w:p w14:paraId="059586E9">
            <w:pPr>
              <w:pStyle w:val="49"/>
              <w:bidi w:val="0"/>
              <w:jc w:val="center"/>
              <w:rPr>
                <w:rFonts w:hint="eastAsia"/>
                <w:lang w:val="en-US" w:eastAsia="zh-CN"/>
              </w:rPr>
            </w:pPr>
          </w:p>
        </w:tc>
        <w:tc>
          <w:tcPr>
            <w:tcW w:w="7686" w:type="dxa"/>
            <w:tcBorders>
              <w:top w:val="single" w:color="auto" w:sz="4" w:space="0"/>
              <w:left w:val="single" w:color="auto" w:sz="4" w:space="0"/>
              <w:bottom w:val="single" w:color="auto" w:sz="4" w:space="0"/>
              <w:right w:val="single" w:color="auto" w:sz="4" w:space="0"/>
            </w:tcBorders>
            <w:noWrap w:val="0"/>
            <w:vAlign w:val="center"/>
          </w:tcPr>
          <w:p w14:paraId="23446B65">
            <w:pPr>
              <w:pStyle w:val="49"/>
              <w:bidi w:val="0"/>
              <w:rPr>
                <w:rFonts w:hint="eastAsia"/>
                <w:lang w:val="en-US" w:eastAsia="zh-CN"/>
              </w:rPr>
            </w:pPr>
            <w:r>
              <w:rPr>
                <w:rFonts w:hint="eastAsia"/>
              </w:rPr>
              <w:t>根据投标人对服务工作人员的培训方式、培训内容和培训考核标准等具体措施进行打分。</w:t>
            </w:r>
            <w:r>
              <w:rPr>
                <w:rFonts w:hint="eastAsia"/>
                <w:lang w:val="en-US" w:eastAsia="zh-CN"/>
              </w:rPr>
              <w:t>（0-3分）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034F67D">
            <w:pPr>
              <w:pStyle w:val="49"/>
              <w:bidi w:val="0"/>
              <w:jc w:val="center"/>
              <w:rPr>
                <w:rFonts w:hint="default"/>
                <w:lang w:val="en-US" w:eastAsia="zh-CN"/>
              </w:rPr>
            </w:pPr>
            <w:r>
              <w:rPr>
                <w:rFonts w:hint="eastAsia"/>
                <w:lang w:val="en-US" w:eastAsia="zh-CN"/>
              </w:rPr>
              <w:t>3</w:t>
            </w:r>
          </w:p>
        </w:tc>
      </w:tr>
      <w:tr w14:paraId="47C84C89">
        <w:tblPrEx>
          <w:tblCellMar>
            <w:top w:w="15" w:type="dxa"/>
            <w:left w:w="15" w:type="dxa"/>
            <w:bottom w:w="15" w:type="dxa"/>
            <w:right w:w="15" w:type="dxa"/>
          </w:tblCellMar>
        </w:tblPrEx>
        <w:trPr>
          <w:trHeight w:val="670" w:hRule="atLeast"/>
        </w:trPr>
        <w:tc>
          <w:tcPr>
            <w:tcW w:w="505" w:type="dxa"/>
            <w:tcBorders>
              <w:top w:val="single" w:color="auto" w:sz="4" w:space="0"/>
              <w:left w:val="single" w:color="auto" w:sz="4" w:space="0"/>
              <w:bottom w:val="single" w:color="auto" w:sz="4" w:space="0"/>
              <w:right w:val="single" w:color="auto" w:sz="4" w:space="0"/>
            </w:tcBorders>
            <w:noWrap w:val="0"/>
            <w:vAlign w:val="center"/>
          </w:tcPr>
          <w:p w14:paraId="6F686592">
            <w:pPr>
              <w:pStyle w:val="49"/>
              <w:bidi w:val="0"/>
              <w:jc w:val="center"/>
              <w:rPr>
                <w:rFonts w:hint="eastAsia" w:eastAsia="宋体"/>
                <w:lang w:val="en-US" w:eastAsia="zh-CN"/>
              </w:rPr>
            </w:pPr>
            <w:r>
              <w:rPr>
                <w:rFonts w:hint="eastAsia"/>
                <w:lang w:val="en-US" w:eastAsia="zh-CN"/>
              </w:rPr>
              <w:t>7</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54551B73">
            <w:pPr>
              <w:pStyle w:val="49"/>
              <w:bidi w:val="0"/>
              <w:jc w:val="center"/>
              <w:rPr>
                <w:rFonts w:hint="eastAsia"/>
              </w:rPr>
            </w:pPr>
            <w:r>
              <w:rPr>
                <w:rFonts w:hint="eastAsia"/>
              </w:rPr>
              <w:t>合理化建议</w:t>
            </w:r>
          </w:p>
        </w:tc>
        <w:tc>
          <w:tcPr>
            <w:tcW w:w="7686" w:type="dxa"/>
            <w:tcBorders>
              <w:top w:val="single" w:color="auto" w:sz="4" w:space="0"/>
              <w:left w:val="single" w:color="auto" w:sz="4" w:space="0"/>
              <w:bottom w:val="single" w:color="auto" w:sz="4" w:space="0"/>
              <w:right w:val="single" w:color="auto" w:sz="4" w:space="0"/>
            </w:tcBorders>
            <w:noWrap w:val="0"/>
            <w:vAlign w:val="center"/>
          </w:tcPr>
          <w:p w14:paraId="799A502E">
            <w:pPr>
              <w:pStyle w:val="49"/>
              <w:bidi w:val="0"/>
            </w:pPr>
            <w:r>
              <w:rPr>
                <w:rFonts w:hint="eastAsia"/>
              </w:rPr>
              <w:t>根据项目实际情况，对项目实施过程的重点、难点、具体建议并提出改进措施的。</w:t>
            </w:r>
            <w:r>
              <w:rPr>
                <w:rFonts w:hint="eastAsia" w:ascii="Times New Roman" w:hAnsi="Times New Roman" w:eastAsia="宋体" w:cs="Times New Roman"/>
                <w:lang w:val="en-US" w:eastAsia="zh-CN"/>
              </w:rPr>
              <w:t>方案详尽、准确、针对性强且合理可行的，得2-4分；基本合理可行的，得1-2分；尚有不足的，得0-1分。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42DA896">
            <w:pPr>
              <w:pStyle w:val="49"/>
              <w:bidi w:val="0"/>
              <w:jc w:val="center"/>
              <w:rPr>
                <w:rFonts w:hint="eastAsia" w:eastAsia="宋体"/>
                <w:lang w:eastAsia="zh-CN"/>
              </w:rPr>
            </w:pPr>
            <w:r>
              <w:rPr>
                <w:rFonts w:hint="eastAsia"/>
                <w:lang w:val="en-US" w:eastAsia="zh-CN"/>
              </w:rPr>
              <w:t>4</w:t>
            </w:r>
          </w:p>
        </w:tc>
      </w:tr>
      <w:tr w14:paraId="60149635">
        <w:tblPrEx>
          <w:tblCellMar>
            <w:top w:w="15" w:type="dxa"/>
            <w:left w:w="15" w:type="dxa"/>
            <w:bottom w:w="15" w:type="dxa"/>
            <w:right w:w="15" w:type="dxa"/>
          </w:tblCellMar>
        </w:tblPrEx>
        <w:trPr>
          <w:trHeight w:val="430" w:hRule="atLeast"/>
        </w:trPr>
        <w:tc>
          <w:tcPr>
            <w:tcW w:w="505" w:type="dxa"/>
            <w:vMerge w:val="restart"/>
            <w:tcBorders>
              <w:top w:val="single" w:color="auto" w:sz="4" w:space="0"/>
              <w:left w:val="single" w:color="auto" w:sz="4" w:space="0"/>
              <w:right w:val="single" w:color="auto" w:sz="4" w:space="0"/>
            </w:tcBorders>
            <w:noWrap w:val="0"/>
            <w:vAlign w:val="center"/>
          </w:tcPr>
          <w:p w14:paraId="5B830EEA">
            <w:pPr>
              <w:pStyle w:val="49"/>
              <w:bidi w:val="0"/>
              <w:jc w:val="center"/>
              <w:rPr>
                <w:rFonts w:hint="eastAsia" w:eastAsia="宋体"/>
                <w:lang w:val="en-US" w:eastAsia="zh-CN"/>
              </w:rPr>
            </w:pPr>
            <w:r>
              <w:rPr>
                <w:rFonts w:hint="eastAsia"/>
                <w:lang w:val="en-US" w:eastAsia="zh-CN"/>
              </w:rPr>
              <w:t>8</w:t>
            </w:r>
          </w:p>
        </w:tc>
        <w:tc>
          <w:tcPr>
            <w:tcW w:w="1238" w:type="dxa"/>
            <w:vMerge w:val="restart"/>
            <w:tcBorders>
              <w:top w:val="single" w:color="auto" w:sz="4" w:space="0"/>
              <w:left w:val="single" w:color="auto" w:sz="4" w:space="0"/>
              <w:right w:val="single" w:color="auto" w:sz="4" w:space="0"/>
            </w:tcBorders>
            <w:noWrap w:val="0"/>
            <w:vAlign w:val="center"/>
          </w:tcPr>
          <w:p w14:paraId="7CC71899">
            <w:pPr>
              <w:pStyle w:val="49"/>
              <w:bidi w:val="0"/>
              <w:jc w:val="center"/>
              <w:rPr>
                <w:rFonts w:hint="eastAsia"/>
              </w:rPr>
            </w:pPr>
            <w:r>
              <w:rPr>
                <w:rFonts w:hint="eastAsia"/>
              </w:rPr>
              <w:t>后续运营方案</w:t>
            </w:r>
          </w:p>
        </w:tc>
        <w:tc>
          <w:tcPr>
            <w:tcW w:w="7686" w:type="dxa"/>
            <w:tcBorders>
              <w:top w:val="single" w:color="auto" w:sz="4" w:space="0"/>
              <w:left w:val="single" w:color="auto" w:sz="4" w:space="0"/>
              <w:bottom w:val="single" w:color="auto" w:sz="4" w:space="0"/>
              <w:right w:val="single" w:color="auto" w:sz="4" w:space="0"/>
            </w:tcBorders>
            <w:noWrap w:val="0"/>
            <w:vAlign w:val="center"/>
          </w:tcPr>
          <w:p w14:paraId="57501616">
            <w:pPr>
              <w:pStyle w:val="49"/>
              <w:bidi w:val="0"/>
              <w:rPr>
                <w:rFonts w:hint="eastAsia" w:ascii="Times New Roman" w:hAnsi="Times New Roman" w:eastAsia="宋体" w:cs="Times New Roman"/>
                <w:lang w:eastAsia="zh-CN"/>
              </w:rPr>
            </w:pPr>
            <w:r>
              <w:rPr>
                <w:rFonts w:hint="eastAsia" w:ascii="Times New Roman" w:hAnsi="Times New Roman" w:eastAsia="宋体" w:cs="Times New Roman"/>
              </w:rPr>
              <w:t>根据浙江省农贸市场“五化”提升创建标准，提出优化方案</w:t>
            </w:r>
            <w:r>
              <w:rPr>
                <w:rFonts w:hint="eastAsia" w:ascii="Times New Roman" w:hAnsi="Times New Roman" w:eastAsia="宋体" w:cs="Times New Roman"/>
                <w:lang w:eastAsia="zh-CN"/>
              </w:rPr>
              <w:t>：</w:t>
            </w:r>
          </w:p>
          <w:p w14:paraId="251575AF">
            <w:pPr>
              <w:pStyle w:val="49"/>
              <w:bidi w:val="0"/>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方案详尽、准确、针对性强且合理可行的，得2-4分；基本合理可行的，得1-2分；尚有不足的，得0-1分。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C97B67E">
            <w:pPr>
              <w:pStyle w:val="49"/>
              <w:bidi w:val="0"/>
              <w:jc w:val="center"/>
              <w:rPr>
                <w:rFonts w:hint="eastAsia" w:eastAsia="宋体"/>
                <w:lang w:eastAsia="zh-CN"/>
              </w:rPr>
            </w:pPr>
            <w:r>
              <w:rPr>
                <w:rFonts w:hint="eastAsia"/>
                <w:lang w:val="en-US" w:eastAsia="zh-CN"/>
              </w:rPr>
              <w:t>4</w:t>
            </w:r>
          </w:p>
        </w:tc>
      </w:tr>
      <w:tr w14:paraId="45D68F5C">
        <w:tblPrEx>
          <w:tblCellMar>
            <w:top w:w="15" w:type="dxa"/>
            <w:left w:w="15" w:type="dxa"/>
            <w:bottom w:w="15" w:type="dxa"/>
            <w:right w:w="15" w:type="dxa"/>
          </w:tblCellMar>
        </w:tblPrEx>
        <w:trPr>
          <w:trHeight w:val="430" w:hRule="atLeast"/>
        </w:trPr>
        <w:tc>
          <w:tcPr>
            <w:tcW w:w="505" w:type="dxa"/>
            <w:vMerge w:val="continue"/>
            <w:tcBorders>
              <w:left w:val="single" w:color="auto" w:sz="4" w:space="0"/>
              <w:right w:val="single" w:color="auto" w:sz="4" w:space="0"/>
            </w:tcBorders>
            <w:noWrap w:val="0"/>
            <w:vAlign w:val="center"/>
          </w:tcPr>
          <w:p w14:paraId="17256EDB">
            <w:pPr>
              <w:pStyle w:val="49"/>
              <w:bidi w:val="0"/>
            </w:pPr>
          </w:p>
        </w:tc>
        <w:tc>
          <w:tcPr>
            <w:tcW w:w="1238" w:type="dxa"/>
            <w:vMerge w:val="continue"/>
            <w:tcBorders>
              <w:left w:val="single" w:color="auto" w:sz="4" w:space="0"/>
              <w:right w:val="single" w:color="auto" w:sz="4" w:space="0"/>
            </w:tcBorders>
            <w:noWrap w:val="0"/>
            <w:vAlign w:val="center"/>
          </w:tcPr>
          <w:p w14:paraId="558A8048">
            <w:pPr>
              <w:pStyle w:val="49"/>
              <w:bidi w:val="0"/>
            </w:pPr>
          </w:p>
        </w:tc>
        <w:tc>
          <w:tcPr>
            <w:tcW w:w="7686" w:type="dxa"/>
            <w:tcBorders>
              <w:top w:val="single" w:color="auto" w:sz="4" w:space="0"/>
              <w:left w:val="single" w:color="auto" w:sz="4" w:space="0"/>
              <w:bottom w:val="single" w:color="auto" w:sz="4" w:space="0"/>
              <w:right w:val="single" w:color="auto" w:sz="4" w:space="0"/>
            </w:tcBorders>
            <w:noWrap w:val="0"/>
            <w:vAlign w:val="center"/>
          </w:tcPr>
          <w:p w14:paraId="114BE441">
            <w:pPr>
              <w:pStyle w:val="49"/>
              <w:bidi w:val="0"/>
              <w:rPr>
                <w:rFonts w:hint="eastAsia" w:ascii="Times New Roman" w:hAnsi="Times New Roman" w:eastAsia="宋体" w:cs="Times New Roman"/>
                <w:lang w:eastAsia="zh-CN"/>
              </w:rPr>
            </w:pPr>
            <w:r>
              <w:rPr>
                <w:rFonts w:hint="eastAsia" w:ascii="Times New Roman" w:hAnsi="Times New Roman" w:eastAsia="宋体" w:cs="Times New Roman"/>
              </w:rPr>
              <w:t>根据</w:t>
            </w:r>
            <w:r>
              <w:rPr>
                <w:rFonts w:hint="eastAsia" w:ascii="Times New Roman" w:hAnsi="Times New Roman" w:eastAsia="宋体" w:cs="Times New Roman"/>
                <w:lang w:val="en-US" w:eastAsia="zh-CN"/>
              </w:rPr>
              <w:t>供应商针对本项目提供的后期市场运营方案进行综合打分</w:t>
            </w:r>
            <w:r>
              <w:rPr>
                <w:rFonts w:hint="eastAsia" w:ascii="Times New Roman" w:hAnsi="Times New Roman" w:eastAsia="宋体" w:cs="Times New Roman"/>
                <w:lang w:eastAsia="zh-CN"/>
              </w:rPr>
              <w:t>：</w:t>
            </w:r>
          </w:p>
          <w:p w14:paraId="3886FDBF">
            <w:pPr>
              <w:pStyle w:val="49"/>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方案详尽、准确、针对性强且合理可行的，得2-4分；基本合理可行的，得1-2分；尚有不足的，得0-1分。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A5220AF">
            <w:pPr>
              <w:pStyle w:val="49"/>
              <w:bidi w:val="0"/>
              <w:jc w:val="center"/>
              <w:rPr>
                <w:rFonts w:hint="eastAsia" w:eastAsia="宋体"/>
                <w:lang w:val="en-US" w:eastAsia="zh-CN"/>
              </w:rPr>
            </w:pPr>
            <w:r>
              <w:rPr>
                <w:rFonts w:hint="eastAsia"/>
                <w:lang w:val="en-US" w:eastAsia="zh-CN"/>
              </w:rPr>
              <w:t>4</w:t>
            </w:r>
          </w:p>
        </w:tc>
      </w:tr>
      <w:tr w14:paraId="16FA0169">
        <w:tblPrEx>
          <w:tblCellMar>
            <w:top w:w="15" w:type="dxa"/>
            <w:left w:w="15" w:type="dxa"/>
            <w:bottom w:w="15" w:type="dxa"/>
            <w:right w:w="15" w:type="dxa"/>
          </w:tblCellMar>
        </w:tblPrEx>
        <w:trPr>
          <w:trHeight w:val="430" w:hRule="atLeast"/>
        </w:trPr>
        <w:tc>
          <w:tcPr>
            <w:tcW w:w="505" w:type="dxa"/>
            <w:vMerge w:val="continue"/>
            <w:tcBorders>
              <w:left w:val="single" w:color="auto" w:sz="4" w:space="0"/>
              <w:bottom w:val="single" w:color="auto" w:sz="4" w:space="0"/>
              <w:right w:val="single" w:color="auto" w:sz="4" w:space="0"/>
            </w:tcBorders>
            <w:noWrap w:val="0"/>
            <w:vAlign w:val="center"/>
          </w:tcPr>
          <w:p w14:paraId="15E49827">
            <w:pPr>
              <w:pStyle w:val="49"/>
              <w:bidi w:val="0"/>
              <w:rPr>
                <w:rFonts w:hint="eastAsia"/>
              </w:rPr>
            </w:pPr>
          </w:p>
        </w:tc>
        <w:tc>
          <w:tcPr>
            <w:tcW w:w="1238" w:type="dxa"/>
            <w:vMerge w:val="continue"/>
            <w:tcBorders>
              <w:left w:val="single" w:color="auto" w:sz="4" w:space="0"/>
              <w:bottom w:val="single" w:color="auto" w:sz="4" w:space="0"/>
              <w:right w:val="single" w:color="auto" w:sz="4" w:space="0"/>
            </w:tcBorders>
            <w:noWrap w:val="0"/>
            <w:vAlign w:val="center"/>
          </w:tcPr>
          <w:p w14:paraId="1BA6958F">
            <w:pPr>
              <w:pStyle w:val="49"/>
              <w:bidi w:val="0"/>
              <w:rPr>
                <w:rFonts w:hint="eastAsia"/>
              </w:rPr>
            </w:pPr>
          </w:p>
        </w:tc>
        <w:tc>
          <w:tcPr>
            <w:tcW w:w="7686" w:type="dxa"/>
            <w:tcBorders>
              <w:top w:val="single" w:color="auto" w:sz="4" w:space="0"/>
              <w:left w:val="single" w:color="auto" w:sz="4" w:space="0"/>
              <w:bottom w:val="single" w:color="auto" w:sz="4" w:space="0"/>
              <w:right w:val="single" w:color="auto" w:sz="4" w:space="0"/>
            </w:tcBorders>
            <w:noWrap w:val="0"/>
            <w:vAlign w:val="center"/>
          </w:tcPr>
          <w:p w14:paraId="2E273C95">
            <w:pPr>
              <w:pStyle w:val="49"/>
              <w:bidi w:val="0"/>
              <w:rPr>
                <w:rFonts w:hint="eastAsia" w:ascii="Times New Roman" w:hAnsi="Times New Roman" w:eastAsia="宋体" w:cs="Times New Roman"/>
                <w:lang w:eastAsia="zh-CN"/>
              </w:rPr>
            </w:pPr>
            <w:r>
              <w:rPr>
                <w:rFonts w:hint="eastAsia" w:ascii="Times New Roman" w:hAnsi="Times New Roman" w:eastAsia="宋体" w:cs="Times New Roman"/>
              </w:rPr>
              <w:t>根据</w:t>
            </w:r>
            <w:r>
              <w:rPr>
                <w:rFonts w:hint="eastAsia" w:ascii="Times New Roman" w:hAnsi="Times New Roman" w:eastAsia="宋体" w:cs="Times New Roman"/>
                <w:lang w:val="en-US" w:eastAsia="zh-CN"/>
              </w:rPr>
              <w:t>供应商针对本项目提供的招商</w:t>
            </w:r>
            <w:r>
              <w:rPr>
                <w:rFonts w:hint="eastAsia" w:cs="Times New Roman"/>
                <w:lang w:val="en-US" w:eastAsia="zh-CN"/>
              </w:rPr>
              <w:t>方案</w:t>
            </w:r>
            <w:r>
              <w:rPr>
                <w:rFonts w:hint="eastAsia" w:ascii="Times New Roman" w:hAnsi="Times New Roman" w:eastAsia="宋体" w:cs="Times New Roman"/>
                <w:lang w:val="en-US" w:eastAsia="zh-CN"/>
              </w:rPr>
              <w:t>进行综合打分</w:t>
            </w:r>
            <w:r>
              <w:rPr>
                <w:rFonts w:hint="eastAsia" w:ascii="Times New Roman" w:hAnsi="Times New Roman" w:eastAsia="宋体" w:cs="Times New Roman"/>
                <w:lang w:eastAsia="zh-CN"/>
              </w:rPr>
              <w:t>：</w:t>
            </w:r>
          </w:p>
          <w:p w14:paraId="39F214B7">
            <w:pPr>
              <w:pStyle w:val="49"/>
              <w:bidi w:val="0"/>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方案详尽、准确、针对性强且合理可行的，得2-4分；基本合理可行的，得1-2分；尚有不足的，得0-1分。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77A4281">
            <w:pPr>
              <w:pStyle w:val="49"/>
              <w:bidi w:val="0"/>
              <w:jc w:val="center"/>
              <w:rPr>
                <w:rFonts w:hint="eastAsia" w:eastAsia="宋体"/>
                <w:lang w:val="en-US" w:eastAsia="zh-CN"/>
              </w:rPr>
            </w:pPr>
            <w:r>
              <w:rPr>
                <w:rFonts w:hint="eastAsia"/>
                <w:lang w:val="en-US" w:eastAsia="zh-CN"/>
              </w:rPr>
              <w:t>4</w:t>
            </w:r>
          </w:p>
        </w:tc>
      </w:tr>
      <w:bookmarkEnd w:id="71"/>
    </w:tbl>
    <w:p w14:paraId="415E8125">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baseline"/>
        <w:rPr>
          <w:rFonts w:hint="eastAsia" w:ascii="宋体" w:hAnsi="宋体" w:eastAsia="宋体" w:cs="宋体"/>
          <w:b/>
          <w:color w:val="auto"/>
          <w:sz w:val="20"/>
          <w:szCs w:val="21"/>
          <w:highlight w:val="none"/>
          <w:lang w:eastAsia="zh-CN"/>
        </w:rPr>
      </w:pPr>
      <w:r>
        <w:rPr>
          <w:rFonts w:hint="eastAsia" w:ascii="宋体" w:hAnsi="宋体" w:cs="宋体"/>
          <w:b/>
          <w:bCs/>
          <w:color w:val="auto"/>
          <w:highlight w:val="none"/>
        </w:rPr>
        <w:t>四、</w:t>
      </w:r>
      <w:r>
        <w:rPr>
          <w:rFonts w:hint="eastAsia" w:ascii="宋体" w:hAnsi="宋体" w:cs="宋体"/>
          <w:b/>
          <w:color w:val="auto"/>
          <w:szCs w:val="21"/>
          <w:highlight w:val="none"/>
        </w:rPr>
        <w:t>定标办法</w:t>
      </w:r>
    </w:p>
    <w:p w14:paraId="7FB9F617">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1.本次招标由磋商小组推荐成交候选人，采购单位根据磋商小组的推荐结果进行最终确认。</w:t>
      </w:r>
    </w:p>
    <w:p w14:paraId="11B924C5">
      <w:pPr>
        <w:keepNext w:val="0"/>
        <w:keepLines w:val="0"/>
        <w:pageBreakBefore w:val="0"/>
        <w:widowControl w:val="0"/>
        <w:tabs>
          <w:tab w:val="left" w:pos="540"/>
        </w:tabs>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2.磋商小组依据法律、法规及招标文件有关规定在有效标中按</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的最终得分【即技术资信分与报价分之和】）由高到低进行排序，综合得分最高的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作为本项目的成交候选人（得分相同的，按投标报价由低到高顺序排列；得分且投标报价相同的，由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现场抽签产生成交候选人）。</w:t>
      </w:r>
    </w:p>
    <w:p w14:paraId="56C07122">
      <w:pPr>
        <w:keepNext w:val="0"/>
        <w:keepLines w:val="0"/>
        <w:pageBreakBefore w:val="0"/>
        <w:widowControl w:val="0"/>
        <w:tabs>
          <w:tab w:val="left" w:pos="540"/>
        </w:tabs>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20"/>
          <w:highlight w:val="none"/>
        </w:rPr>
      </w:pPr>
      <w:r>
        <w:rPr>
          <w:rFonts w:hint="eastAsia" w:ascii="宋体" w:hAnsi="宋体" w:cs="宋体"/>
          <w:color w:val="auto"/>
          <w:szCs w:val="21"/>
          <w:highlight w:val="none"/>
        </w:rPr>
        <w:t>3.排名第一的中标候选人因不可抗力提出不能履行合同；或者采购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也可以重新招标。</w:t>
      </w:r>
    </w:p>
    <w:p w14:paraId="5095F55B">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baseline"/>
        <w:rPr>
          <w:rFonts w:ascii="宋体" w:hAnsi="宋体" w:cs="宋体"/>
          <w:b/>
          <w:bCs/>
          <w:color w:val="auto"/>
          <w:sz w:val="20"/>
          <w:szCs w:val="21"/>
          <w:highlight w:val="none"/>
          <w:lang w:val="zh-CN"/>
        </w:rPr>
      </w:pPr>
      <w:r>
        <w:rPr>
          <w:rFonts w:hint="eastAsia" w:ascii="宋体" w:hAnsi="宋体" w:cs="宋体"/>
          <w:b/>
          <w:bCs/>
          <w:color w:val="auto"/>
          <w:szCs w:val="21"/>
          <w:highlight w:val="none"/>
        </w:rPr>
        <w:t>五</w:t>
      </w:r>
      <w:r>
        <w:rPr>
          <w:rFonts w:hint="eastAsia" w:ascii="宋体" w:hAnsi="宋体" w:cs="宋体"/>
          <w:b/>
          <w:bCs/>
          <w:color w:val="auto"/>
          <w:szCs w:val="21"/>
          <w:highlight w:val="none"/>
          <w:lang w:val="zh-CN"/>
        </w:rPr>
        <w:t>、</w:t>
      </w:r>
      <w:bookmarkStart w:id="72" w:name="注意事项"/>
      <w:r>
        <w:rPr>
          <w:rFonts w:hint="eastAsia" w:ascii="宋体" w:hAnsi="宋体" w:cs="宋体"/>
          <w:b/>
          <w:bCs/>
          <w:color w:val="auto"/>
          <w:szCs w:val="21"/>
          <w:highlight w:val="none"/>
          <w:lang w:val="zh-CN"/>
        </w:rPr>
        <w:t>注意事项</w:t>
      </w:r>
      <w:bookmarkEnd w:id="72"/>
    </w:p>
    <w:p w14:paraId="3F4BBD7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评审时磋商小组认为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的报价明显低于其他通过符合性审查</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的报价，有可能影响产品质量或者不能诚信履约的，应当要求其在评标现场合理的时间内提供书面说明，必要时提交相关证明材料；</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不能证明其报价合理性的，磋商小组应当将其作为无效投标处理。</w:t>
      </w:r>
    </w:p>
    <w:p w14:paraId="7872F618">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六、</w:t>
      </w:r>
      <w:bookmarkStart w:id="73" w:name="_Toc221356905"/>
      <w:bookmarkStart w:id="74" w:name="_Toc221356968"/>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义务</w:t>
      </w:r>
      <w:bookmarkEnd w:id="73"/>
      <w:bookmarkEnd w:id="74"/>
    </w:p>
    <w:p w14:paraId="26CBB892">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32"/>
          <w:szCs w:val="32"/>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应随时接受磋商小组的询标，解答包括有关的商务、技术问题等。评标结束，所有评标资料存</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备查。</w:t>
      </w:r>
    </w:p>
    <w:p w14:paraId="25FE12D2">
      <w:pPr>
        <w:spacing w:line="360" w:lineRule="auto"/>
        <w:ind w:firstLine="640" w:firstLineChars="200"/>
        <w:jc w:val="center"/>
        <w:textAlignment w:val="baseline"/>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71CA7A13">
      <w:pPr>
        <w:spacing w:line="360" w:lineRule="auto"/>
        <w:ind w:firstLine="643" w:firstLineChars="200"/>
        <w:jc w:val="center"/>
        <w:textAlignment w:val="baseline"/>
        <w:outlineLvl w:val="0"/>
        <w:rPr>
          <w:rFonts w:ascii="宋体" w:hAnsi="宋体" w:cs="宋体"/>
          <w:b/>
          <w:bCs/>
          <w:color w:val="auto"/>
          <w:sz w:val="36"/>
          <w:szCs w:val="36"/>
          <w:highlight w:val="none"/>
        </w:rPr>
      </w:pPr>
      <w:bookmarkStart w:id="75" w:name="_Toc4286"/>
      <w:r>
        <w:rPr>
          <w:rFonts w:hint="eastAsia" w:ascii="宋体" w:hAnsi="宋体" w:cs="宋体"/>
          <w:b/>
          <w:bCs/>
          <w:color w:val="auto"/>
          <w:sz w:val="32"/>
          <w:szCs w:val="32"/>
          <w:highlight w:val="none"/>
        </w:rPr>
        <w:t>第六章   响应文件格式</w:t>
      </w:r>
      <w:bookmarkEnd w:id="75"/>
    </w:p>
    <w:p w14:paraId="5DD9D450">
      <w:pPr>
        <w:spacing w:line="460" w:lineRule="exact"/>
        <w:ind w:firstLine="482" w:firstLineChars="200"/>
        <w:textAlignment w:val="baseline"/>
        <w:rPr>
          <w:rFonts w:ascii="宋体" w:hAnsi="宋体" w:cs="宋体"/>
          <w:b/>
          <w:color w:val="auto"/>
          <w:sz w:val="24"/>
          <w:highlight w:val="none"/>
        </w:rPr>
      </w:pPr>
      <w:bookmarkStart w:id="76" w:name="_Toc1460"/>
      <w:bookmarkStart w:id="77" w:name="_Toc17187"/>
      <w:bookmarkStart w:id="78" w:name="_Toc4973"/>
      <w:bookmarkStart w:id="79" w:name="_Toc20872"/>
      <w:r>
        <w:rPr>
          <w:rFonts w:hint="eastAsia" w:ascii="宋体" w:hAnsi="宋体" w:cs="宋体"/>
          <w:b/>
          <w:color w:val="auto"/>
          <w:sz w:val="24"/>
          <w:highlight w:val="none"/>
        </w:rPr>
        <w:t>响应文件封面格式：</w:t>
      </w:r>
      <w:bookmarkEnd w:id="76"/>
      <w:bookmarkEnd w:id="77"/>
      <w:bookmarkEnd w:id="78"/>
      <w:bookmarkEnd w:id="79"/>
      <w:r>
        <w:rPr>
          <w:rFonts w:hint="eastAsia" w:ascii="宋体" w:hAnsi="宋体" w:cs="宋体"/>
          <w:b/>
          <w:color w:val="auto"/>
          <w:sz w:val="24"/>
          <w:highlight w:val="none"/>
        </w:rPr>
        <w:t xml:space="preserve">          </w:t>
      </w:r>
    </w:p>
    <w:p w14:paraId="26ADA8CC">
      <w:pPr>
        <w:pStyle w:val="71"/>
        <w:jc w:val="right"/>
        <w:rPr>
          <w:rFonts w:ascii="宋体" w:hAnsi="宋体" w:cs="宋体"/>
          <w:color w:val="auto"/>
          <w:sz w:val="32"/>
          <w:szCs w:val="32"/>
          <w:highlight w:val="none"/>
        </w:rPr>
      </w:pPr>
    </w:p>
    <w:p w14:paraId="53F9BE09">
      <w:pPr>
        <w:spacing w:before="185"/>
        <w:ind w:right="210"/>
        <w:jc w:val="center"/>
        <w:textAlignment w:val="baseline"/>
        <w:rPr>
          <w:rFonts w:ascii="宋体" w:hAnsi="宋体" w:cs="宋体"/>
          <w:b/>
          <w:bCs/>
          <w:color w:val="auto"/>
          <w:sz w:val="22"/>
          <w:highlight w:val="none"/>
        </w:rPr>
      </w:pPr>
    </w:p>
    <w:p w14:paraId="62977EBE">
      <w:pPr>
        <w:spacing w:before="185"/>
        <w:ind w:right="210" w:firstLine="1044" w:firstLineChars="200"/>
        <w:jc w:val="center"/>
        <w:textAlignment w:val="baseline"/>
        <w:outlineLvl w:val="9"/>
        <w:rPr>
          <w:rFonts w:ascii="宋体" w:hAnsi="宋体" w:cs="宋体"/>
          <w:b/>
          <w:color w:val="auto"/>
          <w:sz w:val="52"/>
          <w:highlight w:val="none"/>
        </w:rPr>
      </w:pPr>
      <w:bookmarkStart w:id="80" w:name="_Toc4036"/>
      <w:bookmarkStart w:id="81" w:name="_Toc24957"/>
      <w:bookmarkStart w:id="82" w:name="_Toc11145"/>
      <w:r>
        <w:rPr>
          <w:rFonts w:hint="eastAsia" w:ascii="宋体" w:hAnsi="宋体" w:cs="宋体"/>
          <w:b/>
          <w:color w:val="auto"/>
          <w:sz w:val="52"/>
          <w:highlight w:val="none"/>
        </w:rPr>
        <w:t>投 标 文 件</w:t>
      </w:r>
      <w:bookmarkEnd w:id="80"/>
      <w:bookmarkEnd w:id="81"/>
      <w:bookmarkEnd w:id="82"/>
    </w:p>
    <w:p w14:paraId="2CD02AB2">
      <w:pPr>
        <w:pStyle w:val="12"/>
        <w:spacing w:before="11"/>
        <w:textAlignment w:val="baseline"/>
        <w:rPr>
          <w:rFonts w:ascii="宋体" w:hAnsi="宋体" w:cs="宋体"/>
          <w:b/>
          <w:color w:val="auto"/>
          <w:sz w:val="69"/>
          <w:highlight w:val="none"/>
        </w:rPr>
      </w:pPr>
    </w:p>
    <w:p w14:paraId="50DBCC4C">
      <w:pPr>
        <w:ind w:right="208" w:firstLine="643" w:firstLineChars="200"/>
        <w:jc w:val="center"/>
        <w:textAlignment w:val="baseline"/>
        <w:outlineLvl w:val="2"/>
        <w:rPr>
          <w:rFonts w:ascii="宋体" w:hAnsi="宋体" w:cs="宋体"/>
          <w:b/>
          <w:color w:val="auto"/>
          <w:sz w:val="32"/>
          <w:highlight w:val="none"/>
        </w:rPr>
      </w:pPr>
      <w:bookmarkStart w:id="83" w:name="_Toc29951"/>
      <w:bookmarkStart w:id="84" w:name="_Toc6466"/>
      <w:r>
        <w:rPr>
          <w:rFonts w:hint="eastAsia" w:ascii="宋体" w:hAnsi="宋体" w:cs="宋体"/>
          <w:b/>
          <w:color w:val="auto"/>
          <w:sz w:val="32"/>
          <w:highlight w:val="none"/>
          <w:lang w:eastAsia="zh-CN"/>
        </w:rPr>
        <w:t>资格审查文件</w:t>
      </w:r>
      <w:bookmarkEnd w:id="83"/>
      <w:bookmarkEnd w:id="84"/>
    </w:p>
    <w:p w14:paraId="5A216426">
      <w:pPr>
        <w:pStyle w:val="71"/>
        <w:rPr>
          <w:rFonts w:ascii="宋体" w:hAnsi="宋体" w:cs="宋体"/>
          <w:b/>
          <w:color w:val="auto"/>
          <w:sz w:val="32"/>
          <w:highlight w:val="none"/>
        </w:rPr>
      </w:pPr>
    </w:p>
    <w:p w14:paraId="47B46797">
      <w:pPr>
        <w:pStyle w:val="71"/>
        <w:rPr>
          <w:rFonts w:ascii="宋体" w:hAnsi="宋体" w:cs="宋体"/>
          <w:b/>
          <w:color w:val="auto"/>
          <w:sz w:val="32"/>
          <w:highlight w:val="none"/>
        </w:rPr>
      </w:pPr>
    </w:p>
    <w:p w14:paraId="02A6E75E">
      <w:pPr>
        <w:snapToGrid w:val="0"/>
        <w:spacing w:line="720" w:lineRule="auto"/>
        <w:ind w:firstLine="560" w:firstLineChars="2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color="000000"/>
        </w:rPr>
        <w:t xml:space="preserve">                       </w:t>
      </w:r>
    </w:p>
    <w:p w14:paraId="344864E5">
      <w:pPr>
        <w:snapToGrid w:val="0"/>
        <w:spacing w:line="720" w:lineRule="auto"/>
        <w:ind w:firstLine="560" w:firstLineChars="2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color="000000"/>
        </w:rPr>
        <w:t>                       </w:t>
      </w:r>
      <w:r>
        <w:rPr>
          <w:rFonts w:hint="eastAsia" w:ascii="宋体" w:hAnsi="宋体" w:cs="宋体"/>
          <w:color w:val="auto"/>
          <w:sz w:val="28"/>
          <w:szCs w:val="28"/>
          <w:highlight w:val="none"/>
        </w:rPr>
        <w:t xml:space="preserve"> </w:t>
      </w:r>
    </w:p>
    <w:p w14:paraId="48622117">
      <w:pPr>
        <w:snapToGrid w:val="0"/>
        <w:spacing w:line="720" w:lineRule="auto"/>
        <w:ind w:firstLine="560" w:firstLineChars="200"/>
        <w:textAlignment w:val="baseline"/>
        <w:rPr>
          <w:rFonts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（全称）：</w:t>
      </w:r>
      <w:r>
        <w:rPr>
          <w:rFonts w:hint="eastAsia" w:ascii="宋体" w:hAnsi="宋体" w:cs="宋体"/>
          <w:color w:val="auto"/>
          <w:sz w:val="28"/>
          <w:szCs w:val="28"/>
          <w:highlight w:val="none"/>
          <w:u w:val="single" w:color="000000"/>
        </w:rPr>
        <w:t>            （盖章）</w:t>
      </w:r>
    </w:p>
    <w:p w14:paraId="5D335ECB">
      <w:pPr>
        <w:snapToGrid w:val="0"/>
        <w:spacing w:line="720" w:lineRule="auto"/>
        <w:ind w:firstLine="560" w:firstLineChars="2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color="000000"/>
        </w:rPr>
        <w:t>                     </w:t>
      </w:r>
    </w:p>
    <w:p w14:paraId="50540116">
      <w:pPr>
        <w:pStyle w:val="71"/>
        <w:rPr>
          <w:rFonts w:ascii="宋体" w:hAnsi="宋体" w:cs="宋体"/>
          <w:color w:val="auto"/>
          <w:sz w:val="28"/>
          <w:szCs w:val="28"/>
          <w:highlight w:val="none"/>
          <w:u w:val="single"/>
        </w:rPr>
      </w:pPr>
    </w:p>
    <w:p w14:paraId="537CBD8D">
      <w:pPr>
        <w:pStyle w:val="30"/>
        <w:spacing w:line="360" w:lineRule="auto"/>
        <w:ind w:firstLine="442" w:firstLineChars="200"/>
        <w:textAlignment w:val="baseline"/>
        <w:rPr>
          <w:rFonts w:ascii="宋体" w:hAnsi="宋体" w:eastAsia="宋体"/>
          <w:color w:val="auto"/>
          <w:sz w:val="22"/>
          <w:szCs w:val="22"/>
          <w:highlight w:val="none"/>
          <w:u w:val="single"/>
        </w:rPr>
      </w:pPr>
      <w:r>
        <w:rPr>
          <w:rFonts w:hint="eastAsia" w:ascii="宋体" w:hAnsi="宋体" w:eastAsia="宋体"/>
          <w:b/>
          <w:bCs/>
          <w:color w:val="auto"/>
          <w:sz w:val="22"/>
          <w:szCs w:val="22"/>
          <w:highlight w:val="none"/>
        </w:rPr>
        <w:br w:type="page"/>
      </w:r>
    </w:p>
    <w:p w14:paraId="1DB93447">
      <w:pPr>
        <w:spacing w:line="460" w:lineRule="exact"/>
        <w:ind w:firstLine="442" w:firstLineChars="200"/>
        <w:textAlignment w:val="baseline"/>
        <w:outlineLvl w:val="0"/>
        <w:rPr>
          <w:rFonts w:ascii="宋体" w:hAnsi="宋体" w:cs="宋体"/>
          <w:b/>
          <w:bCs/>
          <w:color w:val="auto"/>
          <w:sz w:val="22"/>
          <w:highlight w:val="none"/>
        </w:rPr>
      </w:pPr>
      <w:bookmarkStart w:id="85" w:name="_Toc23446"/>
      <w:r>
        <w:rPr>
          <w:rFonts w:hint="eastAsia" w:ascii="宋体" w:hAnsi="宋体" w:cs="宋体"/>
          <w:b/>
          <w:bCs/>
          <w:color w:val="auto"/>
          <w:sz w:val="22"/>
          <w:highlight w:val="none"/>
        </w:rPr>
        <w:t>附件1</w:t>
      </w:r>
      <w:bookmarkEnd w:id="85"/>
    </w:p>
    <w:p w14:paraId="54DEF48A">
      <w:pPr>
        <w:spacing w:line="460" w:lineRule="exact"/>
        <w:textAlignment w:val="baseline"/>
        <w:rPr>
          <w:rFonts w:ascii="宋体" w:hAnsi="宋体" w:cs="宋体"/>
          <w:color w:val="auto"/>
          <w:sz w:val="22"/>
          <w:highlight w:val="none"/>
        </w:rPr>
      </w:pPr>
    </w:p>
    <w:p w14:paraId="68DAB444">
      <w:pPr>
        <w:snapToGrid w:val="0"/>
        <w:spacing w:before="166" w:beforeLines="50" w:after="50"/>
        <w:ind w:firstLine="602" w:firstLineChars="200"/>
        <w:jc w:val="center"/>
        <w:rPr>
          <w:rFonts w:hint="eastAsia" w:ascii="宋体" w:hAnsi="宋体" w:eastAsia="宋体" w:cs="宋体"/>
          <w:b/>
          <w:bCs/>
          <w:kern w:val="0"/>
          <w:sz w:val="30"/>
          <w:szCs w:val="30"/>
          <w:highlight w:val="none"/>
          <w:lang w:val="en-US" w:eastAsia="zh-CN" w:bidi="ar"/>
        </w:rPr>
      </w:pPr>
      <w:r>
        <w:rPr>
          <w:rFonts w:hint="eastAsia" w:ascii="宋体" w:hAnsi="宋体" w:eastAsia="宋体" w:cs="宋体"/>
          <w:b/>
          <w:bCs/>
          <w:kern w:val="0"/>
          <w:sz w:val="30"/>
          <w:szCs w:val="30"/>
          <w:highlight w:val="none"/>
          <w:lang w:val="en-US" w:eastAsia="zh-CN" w:bidi="ar"/>
        </w:rPr>
        <w:t>符合参加政府采购活动应当具备的资格条件的承诺函</w:t>
      </w:r>
    </w:p>
    <w:p w14:paraId="137D3201">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sz w:val="21"/>
          <w:szCs w:val="21"/>
          <w:highlight w:val="none"/>
        </w:rPr>
      </w:pPr>
    </w:p>
    <w:p w14:paraId="30F5D1F4">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常山县紫港街道办事处</w:t>
      </w:r>
      <w:r>
        <w:rPr>
          <w:rFonts w:hint="eastAsia" w:ascii="宋体" w:hAnsi="宋体" w:eastAsia="宋体" w:cs="宋体"/>
          <w:color w:val="auto"/>
          <w:sz w:val="21"/>
          <w:szCs w:val="21"/>
          <w:highlight w:val="none"/>
        </w:rPr>
        <w:t>：</w:t>
      </w:r>
    </w:p>
    <w:p w14:paraId="3396CD82">
      <w:pPr>
        <w:snapToGrid w:val="0"/>
        <w:spacing w:line="500" w:lineRule="exact"/>
        <w:ind w:firstLine="420" w:firstLineChars="200"/>
        <w:rPr>
          <w:rFonts w:ascii="宋体" w:hAnsi="宋体" w:cs="宋体"/>
          <w:sz w:val="21"/>
          <w:szCs w:val="21"/>
          <w:highlight w:val="none"/>
        </w:rPr>
      </w:pPr>
      <w:r>
        <w:rPr>
          <w:rFonts w:hint="eastAsia" w:ascii="宋体" w:hAnsi="宋体" w:cs="宋体"/>
          <w:sz w:val="21"/>
          <w:szCs w:val="21"/>
          <w:highlight w:val="none"/>
        </w:rPr>
        <w:t>根据贵方</w:t>
      </w:r>
      <w:r>
        <w:rPr>
          <w:rFonts w:hint="eastAsia" w:ascii="宋体" w:hAnsi="宋体" w:cs="宋体"/>
          <w:sz w:val="21"/>
          <w:szCs w:val="21"/>
          <w:highlight w:val="none"/>
          <w:u w:val="single"/>
        </w:rPr>
        <w:t>（项目名称：</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）（项目编号：</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w:t>
      </w:r>
      <w:r>
        <w:rPr>
          <w:rFonts w:hint="eastAsia" w:ascii="宋体" w:hAnsi="宋体" w:cs="宋体"/>
          <w:sz w:val="21"/>
          <w:szCs w:val="21"/>
          <w:highlight w:val="none"/>
        </w:rPr>
        <w:t>采购文件要求，我公司在完全理解采购文件技术要求、商务条款及其他内容的基础上，决定响应该项目的采购活动。并承诺，我公司符合参与政府采购活动资格条件：</w:t>
      </w:r>
    </w:p>
    <w:p w14:paraId="47F88064">
      <w:pPr>
        <w:snapToGrid w:val="0"/>
        <w:spacing w:line="500" w:lineRule="exact"/>
        <w:ind w:firstLine="420" w:firstLineChars="200"/>
        <w:rPr>
          <w:rFonts w:ascii="宋体" w:hAnsi="宋体" w:cs="宋体"/>
          <w:sz w:val="21"/>
          <w:szCs w:val="21"/>
          <w:highlight w:val="none"/>
        </w:rPr>
      </w:pPr>
      <w:r>
        <w:rPr>
          <w:rFonts w:hint="eastAsia" w:ascii="宋体" w:hAnsi="宋体" w:cs="宋体"/>
          <w:sz w:val="21"/>
          <w:szCs w:val="21"/>
          <w:highlight w:val="none"/>
        </w:rPr>
        <w:t>一、满足《中华人民共和国政府采购法》第二十二条规定</w:t>
      </w:r>
    </w:p>
    <w:p w14:paraId="671285C4">
      <w:pPr>
        <w:snapToGrid w:val="0"/>
        <w:spacing w:line="50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1、具有独立承担民事责任的能力；</w:t>
      </w:r>
    </w:p>
    <w:p w14:paraId="37E957A3">
      <w:pPr>
        <w:snapToGrid w:val="0"/>
        <w:spacing w:line="50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2、具有良好的商业信誉和健全的财务会计制度；</w:t>
      </w:r>
    </w:p>
    <w:p w14:paraId="58813561">
      <w:pPr>
        <w:snapToGrid w:val="0"/>
        <w:spacing w:line="50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3、具有履行合同所必需的设备和专业技术能力；</w:t>
      </w:r>
    </w:p>
    <w:p w14:paraId="30165884">
      <w:pPr>
        <w:snapToGrid w:val="0"/>
        <w:spacing w:line="50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4、有依法缴纳税收和社会保障资金的良好记录；</w:t>
      </w:r>
    </w:p>
    <w:p w14:paraId="6736347C">
      <w:pPr>
        <w:snapToGrid w:val="0"/>
        <w:spacing w:line="50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5、参加政府采购活动前三年内，在经营活动中没有重大违法记录；</w:t>
      </w:r>
    </w:p>
    <w:p w14:paraId="768909CF">
      <w:pPr>
        <w:snapToGrid w:val="0"/>
        <w:spacing w:line="50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二、未被“信用中国”（www.creditchina.gov.cn)、中国政府采购网（www.ccgp.gov.cn）列入失信被执行人、重大税收违法案件当事人名单、政府采购严重违法失信行为记录名单。</w:t>
      </w:r>
    </w:p>
    <w:p w14:paraId="53A06F2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kern w:val="0"/>
          <w:sz w:val="21"/>
          <w:szCs w:val="21"/>
          <w:highlight w:val="none"/>
        </w:rPr>
        <w:t>我公司对上述承诺的真实性负责，如有虚假，我公司同意按我方提供虚假材料谋取中标（成交）处理，并依法承担相应法律责任</w:t>
      </w:r>
      <w:r>
        <w:rPr>
          <w:rFonts w:hint="eastAsia" w:ascii="宋体" w:hAnsi="宋体" w:eastAsia="宋体" w:cs="宋体"/>
          <w:color w:val="auto"/>
          <w:kern w:val="0"/>
          <w:sz w:val="21"/>
          <w:szCs w:val="21"/>
          <w:highlight w:val="none"/>
          <w:lang w:val="en-US" w:eastAsia="zh-CN"/>
        </w:rPr>
        <w:t>。</w:t>
      </w:r>
    </w:p>
    <w:p w14:paraId="09FDEDA5">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lang w:val="en-US" w:eastAsia="zh-CN"/>
        </w:rPr>
      </w:pPr>
    </w:p>
    <w:p w14:paraId="61EC33C8">
      <w:pPr>
        <w:ind w:left="0" w:leftChars="0" w:firstLine="0" w:firstLineChars="0"/>
        <w:rPr>
          <w:rFonts w:hint="eastAsia" w:ascii="宋体" w:hAnsi="宋体" w:cs="宋体"/>
          <w:color w:val="auto"/>
          <w:sz w:val="21"/>
          <w:szCs w:val="21"/>
          <w:highlight w:val="none"/>
        </w:rPr>
      </w:pPr>
    </w:p>
    <w:p w14:paraId="656F5039">
      <w:pPr>
        <w:pStyle w:val="21"/>
        <w:rPr>
          <w:rFonts w:hint="eastAsia" w:ascii="宋体" w:hAnsi="宋体" w:cs="宋体"/>
          <w:color w:val="auto"/>
          <w:sz w:val="21"/>
          <w:szCs w:val="21"/>
          <w:highlight w:val="none"/>
        </w:rPr>
      </w:pPr>
    </w:p>
    <w:p w14:paraId="58E2F8C3">
      <w:pPr>
        <w:rPr>
          <w:rFonts w:hint="eastAsia"/>
          <w:highlight w:val="none"/>
        </w:rPr>
      </w:pPr>
    </w:p>
    <w:p w14:paraId="7718C69E">
      <w:pPr>
        <w:widowControl/>
        <w:ind w:firstLine="482" w:firstLineChars="200"/>
        <w:jc w:val="left"/>
        <w:rPr>
          <w:rFonts w:hint="eastAsia" w:ascii="宋体" w:hAnsi="宋体" w:cs="宋体"/>
          <w:color w:val="auto"/>
          <w:kern w:val="0"/>
          <w:sz w:val="21"/>
          <w:szCs w:val="21"/>
          <w:highlight w:val="none"/>
        </w:rPr>
      </w:pPr>
      <w:r>
        <w:rPr>
          <w:rFonts w:hint="eastAsia" w:ascii="宋体" w:hAnsi="宋体" w:cs="宋体"/>
          <w:b/>
          <w:bCs/>
          <w:color w:val="auto"/>
          <w:sz w:val="24"/>
          <w:highlight w:val="none"/>
        </w:rPr>
        <w:t>供应商名称（盖章）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年    月    日</w:t>
      </w:r>
    </w:p>
    <w:p w14:paraId="0E1E0C96">
      <w:pPr>
        <w:widowControl/>
        <w:spacing w:line="420" w:lineRule="atLeast"/>
        <w:rPr>
          <w:rFonts w:hint="eastAsia" w:ascii="宋体" w:hAnsi="宋体" w:eastAsia="宋体" w:cs="宋体"/>
          <w:b/>
          <w:bCs/>
          <w:color w:val="auto"/>
          <w:kern w:val="0"/>
          <w:sz w:val="21"/>
          <w:szCs w:val="21"/>
          <w:highlight w:val="none"/>
        </w:rPr>
      </w:pPr>
    </w:p>
    <w:p w14:paraId="291D6305">
      <w:pPr>
        <w:widowControl/>
        <w:spacing w:line="420" w:lineRule="atLeast"/>
        <w:textAlignment w:val="baseline"/>
        <w:rPr>
          <w:rFonts w:ascii="宋体" w:hAnsi="宋体" w:cs="宋体"/>
          <w:b/>
          <w:bCs/>
          <w:color w:val="auto"/>
          <w:kern w:val="0"/>
          <w:sz w:val="24"/>
          <w:highlight w:val="none"/>
        </w:rPr>
      </w:pPr>
    </w:p>
    <w:p w14:paraId="36853C74">
      <w:pPr>
        <w:widowControl/>
        <w:spacing w:line="420" w:lineRule="atLeast"/>
        <w:textAlignment w:val="baseline"/>
        <w:rPr>
          <w:rFonts w:ascii="宋体" w:hAnsi="宋体" w:cs="宋体"/>
          <w:b/>
          <w:bCs/>
          <w:color w:val="auto"/>
          <w:kern w:val="0"/>
          <w:sz w:val="24"/>
          <w:highlight w:val="none"/>
        </w:rPr>
      </w:pPr>
    </w:p>
    <w:p w14:paraId="1BAE7123">
      <w:pPr>
        <w:ind w:firstLine="442" w:firstLineChars="200"/>
        <w:rPr>
          <w:rFonts w:hint="eastAsia" w:ascii="宋体" w:hAnsi="宋体" w:cs="宋体"/>
          <w:b/>
          <w:bCs/>
          <w:color w:val="auto"/>
          <w:sz w:val="22"/>
          <w:highlight w:val="none"/>
        </w:rPr>
      </w:pPr>
      <w:bookmarkStart w:id="86" w:name="_Toc340777668"/>
      <w:bookmarkEnd w:id="86"/>
      <w:r>
        <w:rPr>
          <w:rFonts w:hint="eastAsia" w:ascii="宋体" w:hAnsi="宋体" w:cs="宋体"/>
          <w:b/>
          <w:bCs/>
          <w:color w:val="auto"/>
          <w:sz w:val="22"/>
          <w:highlight w:val="none"/>
        </w:rPr>
        <w:br w:type="page"/>
      </w:r>
    </w:p>
    <w:p w14:paraId="6CECC697">
      <w:pPr>
        <w:spacing w:line="420" w:lineRule="atLeast"/>
        <w:ind w:firstLine="442" w:firstLineChars="200"/>
        <w:jc w:val="left"/>
        <w:textAlignment w:val="baseline"/>
        <w:outlineLvl w:val="0"/>
        <w:rPr>
          <w:rFonts w:ascii="宋体" w:hAnsi="宋体" w:cs="宋体"/>
          <w:b/>
          <w:color w:val="auto"/>
          <w:sz w:val="30"/>
          <w:highlight w:val="none"/>
        </w:rPr>
      </w:pPr>
      <w:r>
        <w:rPr>
          <w:rFonts w:hint="eastAsia" w:ascii="宋体" w:hAnsi="宋体" w:cs="宋体"/>
          <w:b/>
          <w:bCs/>
          <w:color w:val="auto"/>
          <w:sz w:val="22"/>
          <w:highlight w:val="none"/>
        </w:rPr>
        <w:t>附件</w:t>
      </w:r>
      <w:r>
        <w:rPr>
          <w:rFonts w:hint="eastAsia" w:ascii="宋体" w:hAnsi="宋体" w:cs="宋体"/>
          <w:b/>
          <w:bCs/>
          <w:color w:val="auto"/>
          <w:sz w:val="22"/>
          <w:highlight w:val="none"/>
          <w:lang w:val="en-US" w:eastAsia="zh-CN"/>
        </w:rPr>
        <w:t>2</w:t>
      </w:r>
    </w:p>
    <w:p w14:paraId="335D2AE0">
      <w:pPr>
        <w:widowControl/>
        <w:spacing w:line="420" w:lineRule="atLeast"/>
        <w:jc w:val="center"/>
        <w:textAlignment w:val="baseline"/>
        <w:rPr>
          <w:rFonts w:hint="eastAsia" w:ascii="宋体" w:hAnsi="宋体" w:cs="宋体"/>
          <w:b/>
          <w:bCs/>
          <w:color w:val="auto"/>
          <w:kern w:val="0"/>
          <w:sz w:val="30"/>
          <w:szCs w:val="30"/>
          <w:highlight w:val="none"/>
        </w:rPr>
      </w:pPr>
    </w:p>
    <w:p w14:paraId="31F57223">
      <w:pPr>
        <w:widowControl/>
        <w:spacing w:line="420" w:lineRule="atLeast"/>
        <w:ind w:firstLine="602" w:firstLineChars="200"/>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 xml:space="preserve">   </w:t>
      </w:r>
      <w:bookmarkStart w:id="87" w:name="_Toc22404_WPSOffice_Level1"/>
      <w:r>
        <w:rPr>
          <w:rFonts w:hint="eastAsia" w:ascii="宋体" w:hAnsi="宋体" w:cs="宋体"/>
          <w:b/>
          <w:bCs/>
          <w:color w:val="auto"/>
          <w:kern w:val="0"/>
          <w:sz w:val="30"/>
          <w:szCs w:val="30"/>
          <w:highlight w:val="none"/>
        </w:rPr>
        <w:t>法定代表人身份证明</w:t>
      </w:r>
      <w:bookmarkEnd w:id="87"/>
    </w:p>
    <w:p w14:paraId="103A153F">
      <w:pPr>
        <w:widowControl/>
        <w:spacing w:line="420" w:lineRule="atLeast"/>
        <w:ind w:firstLine="482" w:firstLineChars="200"/>
        <w:jc w:val="center"/>
        <w:textAlignment w:val="baseline"/>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 </w:t>
      </w:r>
    </w:p>
    <w:p w14:paraId="31D2D7C3">
      <w:pPr>
        <w:widowControl/>
        <w:spacing w:line="420" w:lineRule="atLeast"/>
        <w:ind w:firstLine="480" w:firstLineChars="20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450469CF">
      <w:pPr>
        <w:widowControl/>
        <w:spacing w:line="440" w:lineRule="exact"/>
        <w:ind w:firstLine="420" w:firstLineChars="200"/>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单位名称：</w:t>
      </w:r>
      <w:r>
        <w:rPr>
          <w:rFonts w:hint="eastAsia" w:ascii="宋体" w:hAnsi="宋体" w:cs="宋体"/>
          <w:color w:val="auto"/>
          <w:kern w:val="0"/>
          <w:szCs w:val="21"/>
          <w:highlight w:val="none"/>
          <w:u w:val="single" w:color="000000"/>
        </w:rPr>
        <w:t xml:space="preserve">                                               </w:t>
      </w:r>
    </w:p>
    <w:p w14:paraId="1ECBDECD">
      <w:pPr>
        <w:widowControl/>
        <w:spacing w:line="440" w:lineRule="exact"/>
        <w:ind w:firstLine="420" w:firstLineChars="200"/>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color="000000"/>
        </w:rPr>
        <w:t xml:space="preserve">                                               </w:t>
      </w:r>
    </w:p>
    <w:p w14:paraId="6AFF7DFB">
      <w:pPr>
        <w:widowControl/>
        <w:spacing w:line="440" w:lineRule="exact"/>
        <w:ind w:firstLine="420" w:firstLineChars="200"/>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color="000000"/>
        </w:rPr>
        <w:t xml:space="preserve">                                               </w:t>
      </w:r>
    </w:p>
    <w:p w14:paraId="6DDF3821">
      <w:pPr>
        <w:widowControl/>
        <w:spacing w:line="440" w:lineRule="exact"/>
        <w:ind w:firstLine="420" w:firstLineChars="200"/>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日</w:t>
      </w:r>
    </w:p>
    <w:p w14:paraId="68685DEF">
      <w:pPr>
        <w:widowControl/>
        <w:spacing w:line="440" w:lineRule="exact"/>
        <w:ind w:firstLine="420" w:firstLineChars="200"/>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color="000000"/>
        </w:rPr>
        <w:t xml:space="preserve">                                               </w:t>
      </w:r>
    </w:p>
    <w:p w14:paraId="19C17E04">
      <w:pPr>
        <w:widowControl/>
        <w:spacing w:line="440" w:lineRule="exact"/>
        <w:ind w:firstLine="420" w:firstLineChars="200"/>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姓    名：</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性    别：</w:t>
      </w:r>
      <w:r>
        <w:rPr>
          <w:rFonts w:hint="eastAsia" w:ascii="宋体" w:hAnsi="宋体" w:cs="宋体"/>
          <w:color w:val="auto"/>
          <w:kern w:val="0"/>
          <w:szCs w:val="21"/>
          <w:highlight w:val="none"/>
          <w:u w:val="single" w:color="000000"/>
        </w:rPr>
        <w:t xml:space="preserve">            </w:t>
      </w:r>
    </w:p>
    <w:p w14:paraId="584D2C8C">
      <w:pPr>
        <w:widowControl/>
        <w:spacing w:line="440" w:lineRule="exact"/>
        <w:ind w:firstLine="420" w:firstLineChars="200"/>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年    龄：</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职    务：</w:t>
      </w:r>
      <w:r>
        <w:rPr>
          <w:rFonts w:hint="eastAsia" w:ascii="宋体" w:hAnsi="宋体" w:cs="宋体"/>
          <w:color w:val="auto"/>
          <w:kern w:val="0"/>
          <w:szCs w:val="21"/>
          <w:highlight w:val="none"/>
          <w:u w:val="single" w:color="000000"/>
        </w:rPr>
        <w:t xml:space="preserve">            </w:t>
      </w:r>
    </w:p>
    <w:p w14:paraId="0C31FD9F">
      <w:pPr>
        <w:widowControl/>
        <w:spacing w:line="440" w:lineRule="exact"/>
        <w:ind w:firstLine="420" w:firstLineChars="200"/>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名称）的法定代表人。</w:t>
      </w:r>
    </w:p>
    <w:p w14:paraId="4F3B1283">
      <w:pPr>
        <w:widowControl/>
        <w:spacing w:line="440" w:lineRule="exact"/>
        <w:ind w:firstLine="420" w:firstLineChars="200"/>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特此证明。</w:t>
      </w:r>
    </w:p>
    <w:p w14:paraId="2C6F3C96">
      <w:pPr>
        <w:widowControl/>
        <w:spacing w:line="420" w:lineRule="atLeast"/>
        <w:ind w:firstLine="420" w:firstLineChars="200"/>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 xml:space="preserve">  </w:t>
      </w:r>
    </w:p>
    <w:p w14:paraId="6D4A65F1">
      <w:pPr>
        <w:widowControl/>
        <w:spacing w:line="420" w:lineRule="atLeast"/>
        <w:ind w:right="-64" w:firstLine="422" w:firstLineChars="200"/>
        <w:textAlignment w:val="baseline"/>
        <w:rPr>
          <w:rFonts w:ascii="宋体" w:hAnsi="宋体" w:cs="宋体"/>
          <w:color w:val="auto"/>
          <w:kern w:val="0"/>
          <w:sz w:val="20"/>
          <w:szCs w:val="21"/>
          <w:highlight w:val="none"/>
        </w:rPr>
      </w:pPr>
      <w:r>
        <w:rPr>
          <w:rFonts w:hint="eastAsia" w:ascii="宋体" w:hAnsi="宋体" w:cs="宋体"/>
          <w:b/>
          <w:bCs/>
          <w:color w:val="auto"/>
          <w:szCs w:val="21"/>
          <w:highlight w:val="none"/>
        </w:rPr>
        <w:t>供应商</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（盖单位章）</w:t>
      </w:r>
    </w:p>
    <w:p w14:paraId="1A570BBB">
      <w:pPr>
        <w:widowControl/>
        <w:spacing w:line="420" w:lineRule="atLeast"/>
        <w:ind w:right="420"/>
        <w:textAlignment w:val="baseline"/>
        <w:rPr>
          <w:rFonts w:ascii="宋体" w:hAnsi="宋体" w:cs="宋体"/>
          <w:color w:val="auto"/>
          <w:kern w:val="0"/>
          <w:sz w:val="20"/>
          <w:szCs w:val="21"/>
          <w:highlight w:val="none"/>
          <w:u w:val="single"/>
        </w:rPr>
      </w:pPr>
    </w:p>
    <w:p w14:paraId="2BD73D99">
      <w:pPr>
        <w:widowControl/>
        <w:spacing w:line="420" w:lineRule="atLeast"/>
        <w:ind w:right="-64" w:firstLine="420" w:firstLineChars="200"/>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 xml:space="preserve">日 </w:t>
      </w:r>
    </w:p>
    <w:p w14:paraId="4CACEFCC">
      <w:pPr>
        <w:widowControl/>
        <w:spacing w:line="420" w:lineRule="atLeast"/>
        <w:jc w:val="center"/>
        <w:textAlignment w:val="baseline"/>
        <w:rPr>
          <w:rFonts w:ascii="宋体" w:hAnsi="宋体" w:cs="宋体"/>
          <w:color w:val="auto"/>
          <w:kern w:val="0"/>
          <w:sz w:val="20"/>
          <w:szCs w:val="21"/>
          <w:highlight w:val="none"/>
        </w:rPr>
      </w:pPr>
    </w:p>
    <w:p w14:paraId="48DC5387">
      <w:pPr>
        <w:widowControl/>
        <w:spacing w:line="420" w:lineRule="atLeast"/>
        <w:ind w:firstLine="422" w:firstLineChars="200"/>
        <w:textAlignment w:val="baseline"/>
        <w:rPr>
          <w:rFonts w:ascii="宋体" w:hAnsi="宋体" w:cs="宋体"/>
          <w:b/>
          <w:color w:val="auto"/>
          <w:kern w:val="0"/>
          <w:sz w:val="20"/>
          <w:szCs w:val="21"/>
          <w:highlight w:val="none"/>
        </w:rPr>
      </w:pPr>
      <w:r>
        <w:rPr>
          <w:rFonts w:hint="eastAsia" w:ascii="宋体" w:hAnsi="宋体" w:cs="宋体"/>
          <w:b/>
          <w:color w:val="auto"/>
          <w:kern w:val="0"/>
          <w:szCs w:val="21"/>
          <w:highlight w:val="none"/>
        </w:rPr>
        <w:t xml:space="preserve">后附法定代表人身份证复印件： </w:t>
      </w:r>
    </w:p>
    <w:p w14:paraId="4CEFB890">
      <w:pPr>
        <w:widowControl/>
        <w:spacing w:line="420" w:lineRule="atLeast"/>
        <w:textAlignment w:val="baseline"/>
        <w:rPr>
          <w:rFonts w:ascii="宋体" w:hAnsi="宋体" w:cs="宋体"/>
          <w:color w:val="auto"/>
          <w:kern w:val="0"/>
          <w:sz w:val="20"/>
          <w:szCs w:val="21"/>
          <w:highlight w:val="none"/>
        </w:rPr>
      </w:pPr>
    </w:p>
    <w:p w14:paraId="211441CD">
      <w:pPr>
        <w:widowControl/>
        <w:spacing w:line="420" w:lineRule="atLeast"/>
        <w:textAlignment w:val="baseline"/>
        <w:rPr>
          <w:rFonts w:ascii="宋体" w:hAnsi="宋体" w:cs="宋体"/>
          <w:color w:val="auto"/>
          <w:kern w:val="0"/>
          <w:sz w:val="20"/>
          <w:szCs w:val="21"/>
          <w:highlight w:val="none"/>
        </w:rPr>
      </w:pPr>
    </w:p>
    <w:p w14:paraId="313A2260">
      <w:pPr>
        <w:pStyle w:val="12"/>
        <w:ind w:left="1020"/>
        <w:textAlignment w:val="baseline"/>
        <w:rPr>
          <w:rFonts w:ascii="宋体" w:hAnsi="宋体" w:cs="宋体"/>
          <w:color w:val="auto"/>
          <w:highlight w:val="none"/>
        </w:rPr>
      </w:pPr>
    </w:p>
    <w:p w14:paraId="388DAB27">
      <w:pPr>
        <w:pStyle w:val="12"/>
        <w:textAlignment w:val="baseline"/>
        <w:rPr>
          <w:rFonts w:ascii="宋体" w:hAnsi="宋体" w:cs="宋体"/>
          <w:color w:val="auto"/>
          <w:kern w:val="0"/>
          <w:sz w:val="24"/>
          <w:highlight w:val="none"/>
        </w:rPr>
      </w:pPr>
    </w:p>
    <w:p w14:paraId="73F21157">
      <w:pPr>
        <w:widowControl/>
        <w:spacing w:line="420" w:lineRule="atLeast"/>
        <w:ind w:firstLine="602" w:firstLineChars="200"/>
        <w:jc w:val="left"/>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198C2728">
      <w:pPr>
        <w:spacing w:line="420" w:lineRule="atLeast"/>
        <w:ind w:firstLine="442" w:firstLineChars="200"/>
        <w:jc w:val="left"/>
        <w:textAlignment w:val="baseline"/>
        <w:outlineLvl w:val="0"/>
        <w:rPr>
          <w:rFonts w:hint="default" w:ascii="宋体" w:hAnsi="宋体" w:eastAsia="宋体" w:cs="宋体"/>
          <w:b/>
          <w:color w:val="auto"/>
          <w:sz w:val="30"/>
          <w:highlight w:val="none"/>
          <w:lang w:val="en-US" w:eastAsia="zh-CN"/>
        </w:rPr>
      </w:pPr>
      <w:bookmarkStart w:id="88" w:name="_Toc28011"/>
      <w:r>
        <w:rPr>
          <w:rFonts w:hint="eastAsia" w:ascii="宋体" w:hAnsi="宋体" w:cs="宋体"/>
          <w:b/>
          <w:bCs/>
          <w:color w:val="auto"/>
          <w:sz w:val="22"/>
          <w:highlight w:val="none"/>
        </w:rPr>
        <w:t>附件</w:t>
      </w:r>
      <w:bookmarkEnd w:id="88"/>
      <w:r>
        <w:rPr>
          <w:rFonts w:hint="eastAsia" w:ascii="宋体" w:hAnsi="宋体" w:cs="宋体"/>
          <w:b/>
          <w:bCs/>
          <w:color w:val="auto"/>
          <w:sz w:val="22"/>
          <w:highlight w:val="none"/>
          <w:lang w:val="en-US" w:eastAsia="zh-CN"/>
        </w:rPr>
        <w:t>2-2</w:t>
      </w:r>
    </w:p>
    <w:p w14:paraId="4BE585C8">
      <w:pPr>
        <w:widowControl/>
        <w:spacing w:line="420" w:lineRule="atLeast"/>
        <w:ind w:firstLine="602" w:firstLineChars="200"/>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法定代表人授权委托书</w:t>
      </w:r>
    </w:p>
    <w:p w14:paraId="1DC30321">
      <w:pPr>
        <w:widowControl/>
        <w:spacing w:line="420" w:lineRule="atLeast"/>
        <w:ind w:left="120"/>
        <w:jc w:val="left"/>
        <w:textAlignment w:val="baseline"/>
        <w:rPr>
          <w:rFonts w:ascii="宋体" w:hAnsi="宋体" w:cs="宋体"/>
          <w:color w:val="auto"/>
          <w:kern w:val="0"/>
          <w:sz w:val="24"/>
          <w:highlight w:val="none"/>
        </w:rPr>
      </w:pPr>
    </w:p>
    <w:p w14:paraId="52D18E2E">
      <w:pPr>
        <w:widowControl/>
        <w:spacing w:line="460" w:lineRule="exact"/>
        <w:ind w:left="120" w:firstLine="420" w:firstLineChars="200"/>
        <w:jc w:val="lef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本授权书声明：我</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（法人代表姓名、职务）是</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（单位名称）的法人代表，现代表本单位授权</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（被授权人的姓名、职务）为本单位的合法代理人，就参加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 xml:space="preserve">常山县紫港街道外港零担菜市场临时疏导点运营管理项目 </w:t>
      </w:r>
      <w:r>
        <w:rPr>
          <w:rFonts w:hint="eastAsia" w:ascii="宋体" w:hAnsi="宋体" w:cs="宋体"/>
          <w:color w:val="auto"/>
          <w:kern w:val="0"/>
          <w:szCs w:val="21"/>
          <w:highlight w:val="none"/>
          <w:u w:val="single"/>
        </w:rPr>
        <w:t>（项目编号：</w:t>
      </w:r>
      <w:r>
        <w:rPr>
          <w:rFonts w:hint="eastAsia" w:ascii="宋体" w:hAnsi="宋体" w:cs="宋体"/>
          <w:color w:val="auto"/>
          <w:kern w:val="0"/>
          <w:szCs w:val="21"/>
          <w:highlight w:val="none"/>
          <w:u w:val="single"/>
          <w:lang w:eastAsia="zh-CN"/>
        </w:rPr>
        <w:t>JYZFCG-2025-CS008</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招标的投标、签订合同以及合同的执行、完成和服务，及以本单位名义处理一切与之有关的事务。</w:t>
      </w:r>
    </w:p>
    <w:p w14:paraId="78E33471">
      <w:pPr>
        <w:widowControl/>
        <w:spacing w:line="460" w:lineRule="exact"/>
        <w:ind w:firstLine="420" w:firstLineChars="200"/>
        <w:jc w:val="lef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 xml:space="preserve"> 本授权书于</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日签字生效，特此声明。</w:t>
      </w:r>
    </w:p>
    <w:p w14:paraId="53D75FE5">
      <w:pPr>
        <w:pStyle w:val="71"/>
        <w:rPr>
          <w:rFonts w:ascii="宋体" w:hAnsi="宋体" w:cs="宋体"/>
          <w:color w:val="auto"/>
          <w:highlight w:val="none"/>
        </w:rPr>
      </w:pPr>
    </w:p>
    <w:p w14:paraId="195B7AC4">
      <w:pPr>
        <w:widowControl/>
        <w:spacing w:line="360" w:lineRule="auto"/>
        <w:ind w:firstLine="422" w:firstLineChars="2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法人代表（签字）</w:t>
      </w:r>
      <w:r>
        <w:rPr>
          <w:rFonts w:hint="eastAsia" w:ascii="宋体" w:hAnsi="宋体" w:cs="宋体"/>
          <w:b/>
          <w:bCs/>
          <w:color w:val="auto"/>
          <w:kern w:val="0"/>
          <w:szCs w:val="21"/>
          <w:highlight w:val="none"/>
          <w:u w:val="single" w:color="000000"/>
        </w:rPr>
        <w:t xml:space="preserve">                          </w:t>
      </w:r>
    </w:p>
    <w:p w14:paraId="53EBE977">
      <w:pPr>
        <w:widowControl/>
        <w:spacing w:line="360" w:lineRule="auto"/>
        <w:ind w:firstLine="422" w:firstLineChars="2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授权委托人（签字）</w:t>
      </w:r>
      <w:r>
        <w:rPr>
          <w:rFonts w:hint="eastAsia" w:ascii="宋体" w:hAnsi="宋体" w:cs="宋体"/>
          <w:b/>
          <w:bCs/>
          <w:color w:val="auto"/>
          <w:kern w:val="0"/>
          <w:szCs w:val="21"/>
          <w:highlight w:val="none"/>
          <w:u w:val="single" w:color="000000"/>
        </w:rPr>
        <w:t xml:space="preserve">                        </w:t>
      </w:r>
    </w:p>
    <w:p w14:paraId="66D88927">
      <w:pPr>
        <w:widowControl/>
        <w:spacing w:line="360" w:lineRule="auto"/>
        <w:ind w:firstLine="422" w:firstLineChars="2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单位名称（公章）</w:t>
      </w:r>
      <w:r>
        <w:rPr>
          <w:rFonts w:hint="eastAsia" w:ascii="宋体" w:hAnsi="宋体" w:cs="宋体"/>
          <w:b/>
          <w:bCs/>
          <w:color w:val="auto"/>
          <w:kern w:val="0"/>
          <w:szCs w:val="21"/>
          <w:highlight w:val="none"/>
          <w:u w:val="single" w:color="000000"/>
        </w:rPr>
        <w:t xml:space="preserve">                              </w:t>
      </w:r>
    </w:p>
    <w:p w14:paraId="6252A63D">
      <w:pPr>
        <w:widowControl/>
        <w:spacing w:line="360" w:lineRule="auto"/>
        <w:ind w:firstLine="422" w:firstLineChars="2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日    期：</w:t>
      </w:r>
      <w:r>
        <w:rPr>
          <w:rFonts w:hint="eastAsia" w:ascii="宋体" w:hAnsi="宋体" w:cs="宋体"/>
          <w:b/>
          <w:bCs/>
          <w:color w:val="auto"/>
          <w:kern w:val="0"/>
          <w:szCs w:val="21"/>
          <w:highlight w:val="none"/>
          <w:u w:val="single" w:color="000000"/>
        </w:rPr>
        <w:t xml:space="preserve">                                    </w:t>
      </w:r>
    </w:p>
    <w:p w14:paraId="6EB933DC">
      <w:pPr>
        <w:widowControl/>
        <w:spacing w:line="360" w:lineRule="auto"/>
        <w:ind w:firstLine="600"/>
        <w:jc w:val="left"/>
        <w:textAlignment w:val="baseline"/>
        <w:rPr>
          <w:rFonts w:ascii="宋体" w:hAnsi="宋体" w:cs="宋体"/>
          <w:color w:val="auto"/>
          <w:kern w:val="0"/>
          <w:sz w:val="20"/>
          <w:szCs w:val="21"/>
          <w:highlight w:val="none"/>
        </w:rPr>
      </w:pPr>
    </w:p>
    <w:p w14:paraId="6FB6E335">
      <w:pPr>
        <w:widowControl/>
        <w:spacing w:line="360" w:lineRule="auto"/>
        <w:ind w:firstLine="422" w:firstLineChars="200"/>
        <w:textAlignment w:val="baseline"/>
        <w:rPr>
          <w:rFonts w:ascii="宋体" w:hAnsi="宋体" w:cs="宋体"/>
          <w:b/>
          <w:color w:val="auto"/>
          <w:kern w:val="0"/>
          <w:sz w:val="20"/>
          <w:szCs w:val="21"/>
          <w:highlight w:val="none"/>
        </w:rPr>
      </w:pPr>
      <w:r>
        <w:rPr>
          <w:rFonts w:hint="eastAsia" w:ascii="宋体" w:hAnsi="宋体" w:cs="宋体"/>
          <w:b/>
          <w:color w:val="auto"/>
          <w:kern w:val="0"/>
          <w:szCs w:val="21"/>
          <w:highlight w:val="none"/>
        </w:rPr>
        <w:t>后附委托代理人身份证复印件：</w:t>
      </w:r>
    </w:p>
    <w:p w14:paraId="46E9F492">
      <w:pPr>
        <w:pStyle w:val="12"/>
        <w:textAlignment w:val="baseline"/>
        <w:rPr>
          <w:rFonts w:ascii="宋体" w:hAnsi="宋体" w:cs="宋体"/>
          <w:color w:val="auto"/>
          <w:kern w:val="0"/>
          <w:sz w:val="24"/>
          <w:highlight w:val="none"/>
        </w:rPr>
      </w:pPr>
    </w:p>
    <w:p w14:paraId="50E86882">
      <w:pPr>
        <w:spacing w:line="460" w:lineRule="exact"/>
        <w:jc w:val="left"/>
        <w:textAlignment w:val="baseline"/>
        <w:rPr>
          <w:rFonts w:ascii="宋体" w:hAnsi="宋体" w:cs="宋体"/>
          <w:b/>
          <w:bCs/>
          <w:color w:val="auto"/>
          <w:sz w:val="22"/>
          <w:highlight w:val="none"/>
        </w:rPr>
      </w:pPr>
    </w:p>
    <w:p w14:paraId="75D359CC">
      <w:pPr>
        <w:pStyle w:val="30"/>
        <w:spacing w:line="360" w:lineRule="auto"/>
        <w:ind w:firstLine="602" w:firstLineChars="200"/>
        <w:textAlignment w:val="baseline"/>
        <w:rPr>
          <w:rFonts w:ascii="宋体" w:hAnsi="宋体" w:eastAsia="宋体"/>
          <w:color w:val="auto"/>
          <w:sz w:val="22"/>
          <w:szCs w:val="22"/>
          <w:highlight w:val="none"/>
          <w:u w:val="single"/>
        </w:rPr>
      </w:pPr>
      <w:r>
        <w:rPr>
          <w:rFonts w:hint="eastAsia" w:ascii="宋体" w:hAnsi="宋体" w:eastAsia="宋体"/>
          <w:b/>
          <w:color w:val="auto"/>
          <w:sz w:val="30"/>
          <w:highlight w:val="none"/>
        </w:rPr>
        <w:br w:type="page"/>
      </w:r>
    </w:p>
    <w:p w14:paraId="5E2FD3A7">
      <w:pPr>
        <w:widowControl/>
        <w:spacing w:line="420" w:lineRule="atLeast"/>
        <w:ind w:firstLine="482" w:firstLineChars="200"/>
        <w:textAlignment w:val="baseline"/>
        <w:outlineLvl w:val="0"/>
        <w:rPr>
          <w:rFonts w:hint="eastAsia" w:ascii="宋体" w:hAnsi="宋体" w:eastAsia="宋体" w:cs="宋体"/>
          <w:b/>
          <w:bCs/>
          <w:color w:val="auto"/>
          <w:sz w:val="28"/>
          <w:szCs w:val="28"/>
          <w:highlight w:val="none"/>
        </w:rPr>
      </w:pPr>
      <w:bookmarkStart w:id="89" w:name="_Toc14559"/>
      <w:r>
        <w:rPr>
          <w:rFonts w:hint="eastAsia" w:ascii="宋体" w:hAnsi="宋体" w:cs="宋体"/>
          <w:b/>
          <w:bCs/>
          <w:color w:val="auto"/>
          <w:kern w:val="0"/>
          <w:sz w:val="24"/>
          <w:szCs w:val="24"/>
          <w:highlight w:val="none"/>
        </w:rPr>
        <w:t>附件</w:t>
      </w:r>
      <w:r>
        <w:rPr>
          <w:rFonts w:hint="eastAsia" w:ascii="宋体" w:hAnsi="宋体" w:cs="宋体"/>
          <w:b/>
          <w:bCs/>
          <w:color w:val="auto"/>
          <w:kern w:val="0"/>
          <w:sz w:val="24"/>
          <w:szCs w:val="24"/>
          <w:highlight w:val="none"/>
          <w:lang w:val="en-US" w:eastAsia="zh-CN"/>
        </w:rPr>
        <w:t>3</w:t>
      </w:r>
    </w:p>
    <w:p w14:paraId="3F47E277">
      <w:pPr>
        <w:ind w:firstLine="562" w:firstLineChars="20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中小企业声明函</w:t>
      </w:r>
      <w:r>
        <w:rPr>
          <w:rFonts w:hint="eastAsia" w:ascii="宋体" w:hAnsi="宋体" w:cs="宋体"/>
          <w:b/>
          <w:bCs/>
          <w:color w:val="auto"/>
          <w:sz w:val="28"/>
          <w:szCs w:val="28"/>
          <w:highlight w:val="none"/>
          <w:lang w:eastAsia="zh-CN"/>
        </w:rPr>
        <w:t>（服务）</w:t>
      </w:r>
    </w:p>
    <w:p w14:paraId="18A5AA2F">
      <w:pPr>
        <w:pStyle w:val="18"/>
        <w:spacing w:line="360" w:lineRule="auto"/>
        <w:jc w:val="center"/>
        <w:rPr>
          <w:rFonts w:hint="eastAsia" w:ascii="宋体" w:hAnsi="宋体" w:eastAsia="宋体" w:cs="宋体"/>
          <w:bCs/>
          <w:color w:val="auto"/>
          <w:sz w:val="18"/>
          <w:szCs w:val="18"/>
          <w:highlight w:val="none"/>
          <w:u w:val="single"/>
        </w:rPr>
      </w:pPr>
    </w:p>
    <w:p w14:paraId="5C4096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w:t>
      </w:r>
      <w:r>
        <w:rPr>
          <w:rFonts w:hint="eastAsia" w:ascii="宋体" w:hAnsi="宋体" w:cs="宋体"/>
          <w:color w:val="auto"/>
          <w:szCs w:val="21"/>
          <w:highlight w:val="none"/>
          <w:lang w:eastAsia="zh-CN"/>
        </w:rPr>
        <w:t>（联合体）</w:t>
      </w:r>
      <w:r>
        <w:rPr>
          <w:rFonts w:hint="eastAsia" w:ascii="宋体" w:hAnsi="宋体" w:eastAsia="宋体" w:cs="宋体"/>
          <w:color w:val="auto"/>
          <w:szCs w:val="21"/>
          <w:highlight w:val="none"/>
        </w:rPr>
        <w:t>郑重声明，根据《政府采购促进中小企业发展管理办法》（财库 ﹝2020﹞46号）的规定，本公司</w:t>
      </w:r>
      <w:r>
        <w:rPr>
          <w:rFonts w:hint="eastAsia" w:ascii="宋体" w:hAnsi="宋体" w:cs="宋体"/>
          <w:color w:val="auto"/>
          <w:szCs w:val="21"/>
          <w:highlight w:val="none"/>
          <w:lang w:eastAsia="zh-CN"/>
        </w:rPr>
        <w:t>（联合体）</w:t>
      </w:r>
      <w:r>
        <w:rPr>
          <w:rFonts w:hint="eastAsia" w:ascii="宋体" w:hAnsi="宋体" w:eastAsia="宋体" w:cs="宋体"/>
          <w:color w:val="auto"/>
          <w:szCs w:val="21"/>
          <w:highlight w:val="none"/>
        </w:rPr>
        <w:t>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color w:val="auto"/>
          <w:szCs w:val="21"/>
          <w:highlight w:val="none"/>
          <w:u w:val="single"/>
        </w:rPr>
        <w:t>（项目名称）</w:t>
      </w:r>
      <w:r>
        <w:rPr>
          <w:rFonts w:hint="eastAsia"/>
          <w:color w:val="auto"/>
          <w:szCs w:val="21"/>
          <w:highlight w:val="none"/>
          <w:u w:val="single"/>
          <w:lang w:eastAsia="zh-CN"/>
        </w:rPr>
        <w:t>（项目编号）</w:t>
      </w:r>
      <w:r>
        <w:rPr>
          <w:rFonts w:hint="eastAsia" w:ascii="宋体" w:hAnsi="宋体" w:eastAsia="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A2D5951">
      <w:pPr>
        <w:spacing w:line="300" w:lineRule="auto"/>
        <w:ind w:firstLine="420" w:firstLineChars="200"/>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single"/>
        </w:rPr>
        <w:t xml:space="preserve">（标的名称）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 xml:space="preserve">  （采购文件中明确的所属行业）  </w:t>
      </w:r>
      <w:r>
        <w:rPr>
          <w:rFonts w:hint="eastAsia" w:ascii="宋体" w:hAnsi="宋体" w:eastAsia="宋体" w:cs="宋体"/>
          <w:color w:val="auto"/>
          <w:szCs w:val="21"/>
          <w:highlight w:val="none"/>
        </w:rPr>
        <w:t>行业；制造商</w:t>
      </w:r>
      <w:r>
        <w:rPr>
          <w:rFonts w:hint="eastAsia" w:ascii="宋体" w:hAnsi="宋体" w:eastAsia="宋体" w:cs="宋体"/>
          <w:color w:val="auto"/>
          <w:szCs w:val="21"/>
          <w:highlight w:val="none"/>
          <w:lang w:val="en-US" w:eastAsia="zh-CN"/>
        </w:rPr>
        <w:t>或服务承接商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w:t>
      </w:r>
      <w:r>
        <w:rPr>
          <w:rFonts w:hint="eastAsia" w:asciiTheme="minorEastAsia" w:hAnsiTheme="minorEastAsia" w:eastAsiaTheme="minorEastAsia" w:cstheme="minorEastAsia"/>
          <w:color w:val="auto"/>
          <w:szCs w:val="21"/>
          <w:highlight w:val="none"/>
        </w:rPr>
        <w:t>属于</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none"/>
          <w:lang w:val="en-US" w:eastAsia="zh-CN"/>
        </w:rPr>
        <w:t>型企业</w:t>
      </w:r>
      <w:r>
        <w:rPr>
          <w:rFonts w:hint="eastAsia" w:asciiTheme="minorEastAsia" w:hAnsiTheme="minorEastAsia" w:eastAsiaTheme="minorEastAsia" w:cstheme="minorEastAsia"/>
          <w:color w:val="auto"/>
          <w:szCs w:val="21"/>
          <w:highlight w:val="none"/>
          <w:u w:val="none"/>
          <w:lang w:eastAsia="zh-CN"/>
        </w:rPr>
        <w:t>（选填：</w:t>
      </w:r>
      <w:r>
        <w:rPr>
          <w:rFonts w:hint="eastAsia" w:asciiTheme="minorEastAsia" w:hAnsiTheme="minorEastAsia" w:eastAsiaTheme="minorEastAsia" w:cstheme="minorEastAsia"/>
          <w:color w:val="auto"/>
          <w:szCs w:val="20"/>
          <w:highlight w:val="none"/>
          <w:u w:val="none"/>
        </w:rPr>
        <w:t>①</w:t>
      </w:r>
      <w:r>
        <w:rPr>
          <w:rFonts w:hint="eastAsia" w:asciiTheme="minorEastAsia" w:hAnsiTheme="minorEastAsia" w:eastAsiaTheme="minorEastAsia" w:cstheme="minorEastAsia"/>
          <w:color w:val="auto"/>
          <w:szCs w:val="21"/>
          <w:highlight w:val="none"/>
          <w:u w:val="none"/>
        </w:rPr>
        <w:t>中型企业、</w:t>
      </w:r>
      <w:r>
        <w:rPr>
          <w:rFonts w:hint="eastAsia" w:asciiTheme="minorEastAsia" w:hAnsiTheme="minorEastAsia" w:eastAsiaTheme="minorEastAsia" w:cstheme="minorEastAsia"/>
          <w:color w:val="auto"/>
          <w:szCs w:val="20"/>
          <w:highlight w:val="none"/>
          <w:u w:val="none"/>
        </w:rPr>
        <w:t>②</w:t>
      </w:r>
      <w:r>
        <w:rPr>
          <w:rFonts w:hint="eastAsia" w:asciiTheme="minorEastAsia" w:hAnsiTheme="minorEastAsia" w:eastAsiaTheme="minorEastAsia" w:cstheme="minorEastAsia"/>
          <w:color w:val="auto"/>
          <w:szCs w:val="21"/>
          <w:highlight w:val="none"/>
          <w:u w:val="none"/>
        </w:rPr>
        <w:t>小型企业、</w:t>
      </w:r>
      <w:r>
        <w:rPr>
          <w:rFonts w:hint="eastAsia" w:asciiTheme="minorEastAsia" w:hAnsiTheme="minorEastAsia" w:eastAsiaTheme="minorEastAsia" w:cstheme="minorEastAsia"/>
          <w:color w:val="auto"/>
          <w:szCs w:val="20"/>
          <w:highlight w:val="none"/>
          <w:u w:val="none"/>
        </w:rPr>
        <w:t>③</w:t>
      </w:r>
      <w:r>
        <w:rPr>
          <w:rFonts w:hint="eastAsia" w:asciiTheme="minorEastAsia" w:hAnsiTheme="minorEastAsia" w:eastAsiaTheme="minorEastAsia" w:cstheme="minorEastAsia"/>
          <w:color w:val="auto"/>
          <w:szCs w:val="21"/>
          <w:highlight w:val="none"/>
          <w:u w:val="none"/>
        </w:rPr>
        <w:t>微型企业）</w:t>
      </w:r>
      <w:r>
        <w:rPr>
          <w:rFonts w:hint="eastAsia" w:asciiTheme="minorEastAsia" w:hAnsiTheme="minorEastAsia" w:eastAsiaTheme="minorEastAsia" w:cstheme="minorEastAsia"/>
          <w:color w:val="auto"/>
          <w:szCs w:val="21"/>
          <w:highlight w:val="none"/>
        </w:rPr>
        <w:t>；</w:t>
      </w:r>
    </w:p>
    <w:p w14:paraId="7A027DBB">
      <w:pPr>
        <w:spacing w:line="300" w:lineRule="auto"/>
        <w:ind w:firstLine="420" w:firstLineChars="200"/>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（标的名称）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 xml:space="preserve">  （采购文件中明确的所属行业）   </w:t>
      </w:r>
      <w:r>
        <w:rPr>
          <w:rFonts w:hint="eastAsia" w:ascii="宋体" w:hAnsi="宋体" w:eastAsia="宋体" w:cs="宋体"/>
          <w:color w:val="auto"/>
          <w:szCs w:val="21"/>
          <w:highlight w:val="none"/>
        </w:rPr>
        <w:t>行业；制造商</w:t>
      </w:r>
      <w:r>
        <w:rPr>
          <w:rFonts w:hint="eastAsia" w:ascii="宋体" w:hAnsi="宋体" w:eastAsia="宋体" w:cs="宋体"/>
          <w:color w:val="auto"/>
          <w:szCs w:val="21"/>
          <w:highlight w:val="none"/>
          <w:lang w:val="en-US" w:eastAsia="zh-CN"/>
        </w:rPr>
        <w:t>或服务承接商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val="en-US" w:eastAsia="zh-CN"/>
        </w:rPr>
        <w:t>企</w:t>
      </w:r>
      <w:r>
        <w:rPr>
          <w:rFonts w:hint="eastAsia" w:ascii="宋体" w:hAnsi="宋体" w:eastAsia="宋体" w:cs="宋体"/>
          <w:color w:val="auto"/>
          <w:szCs w:val="21"/>
          <w:highlight w:val="none"/>
          <w:u w:val="single"/>
          <w:lang w:val="en-US" w:eastAsia="zh-CN"/>
        </w:rPr>
        <w:t>业名</w:t>
      </w:r>
      <w:r>
        <w:rPr>
          <w:rFonts w:hint="eastAsia" w:ascii="宋体" w:hAnsi="宋体" w:eastAsia="宋体" w:cs="宋体"/>
          <w:color w:val="auto"/>
          <w:szCs w:val="21"/>
          <w:highlight w:val="none"/>
          <w:u w:val="single"/>
        </w:rPr>
        <w:t xml:space="preserve">称） </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w:t>
      </w:r>
      <w:r>
        <w:rPr>
          <w:rStyle w:val="46"/>
          <w:rFonts w:ascii="宋体" w:hAnsi="宋体"/>
          <w:highlight w:val="none"/>
        </w:rPr>
        <w:footnoteReference w:id="0"/>
      </w:r>
      <w:r>
        <w:rPr>
          <w:rFonts w:hint="eastAsia" w:ascii="宋体" w:hAnsi="宋体" w:eastAsia="宋体" w:cs="宋体"/>
          <w:color w:val="auto"/>
          <w:szCs w:val="21"/>
          <w:highlight w:val="none"/>
        </w:rPr>
        <w:t>，</w:t>
      </w:r>
      <w:r>
        <w:rPr>
          <w:rFonts w:hint="eastAsia" w:asciiTheme="minorEastAsia" w:hAnsiTheme="minorEastAsia" w:eastAsiaTheme="minorEastAsia" w:cstheme="minorEastAsia"/>
          <w:color w:val="auto"/>
          <w:szCs w:val="21"/>
          <w:highlight w:val="none"/>
        </w:rPr>
        <w:t>属于</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none"/>
          <w:lang w:val="en-US" w:eastAsia="zh-CN"/>
        </w:rPr>
        <w:t>型企业</w:t>
      </w:r>
      <w:r>
        <w:rPr>
          <w:rFonts w:hint="eastAsia" w:asciiTheme="minorEastAsia" w:hAnsiTheme="minorEastAsia" w:eastAsiaTheme="minorEastAsia" w:cstheme="minorEastAsia"/>
          <w:color w:val="auto"/>
          <w:szCs w:val="21"/>
          <w:highlight w:val="none"/>
          <w:u w:val="none"/>
          <w:lang w:eastAsia="zh-CN"/>
        </w:rPr>
        <w:t>（选填：</w:t>
      </w:r>
      <w:r>
        <w:rPr>
          <w:rFonts w:hint="eastAsia" w:asciiTheme="minorEastAsia" w:hAnsiTheme="minorEastAsia" w:eastAsiaTheme="minorEastAsia" w:cstheme="minorEastAsia"/>
          <w:color w:val="auto"/>
          <w:szCs w:val="20"/>
          <w:highlight w:val="none"/>
          <w:u w:val="none"/>
        </w:rPr>
        <w:t>①</w:t>
      </w:r>
      <w:r>
        <w:rPr>
          <w:rFonts w:hint="eastAsia" w:asciiTheme="minorEastAsia" w:hAnsiTheme="minorEastAsia" w:eastAsiaTheme="minorEastAsia" w:cstheme="minorEastAsia"/>
          <w:color w:val="auto"/>
          <w:szCs w:val="21"/>
          <w:highlight w:val="none"/>
          <w:u w:val="none"/>
        </w:rPr>
        <w:t>中型企业、</w:t>
      </w:r>
      <w:r>
        <w:rPr>
          <w:rFonts w:hint="eastAsia" w:asciiTheme="minorEastAsia" w:hAnsiTheme="minorEastAsia" w:eastAsiaTheme="minorEastAsia" w:cstheme="minorEastAsia"/>
          <w:color w:val="auto"/>
          <w:szCs w:val="20"/>
          <w:highlight w:val="none"/>
          <w:u w:val="none"/>
        </w:rPr>
        <w:t>②</w:t>
      </w:r>
      <w:r>
        <w:rPr>
          <w:rFonts w:hint="eastAsia" w:asciiTheme="minorEastAsia" w:hAnsiTheme="minorEastAsia" w:eastAsiaTheme="minorEastAsia" w:cstheme="minorEastAsia"/>
          <w:color w:val="auto"/>
          <w:szCs w:val="21"/>
          <w:highlight w:val="none"/>
          <w:u w:val="none"/>
        </w:rPr>
        <w:t>小型企业、</w:t>
      </w:r>
      <w:r>
        <w:rPr>
          <w:rFonts w:hint="eastAsia" w:asciiTheme="minorEastAsia" w:hAnsiTheme="minorEastAsia" w:eastAsiaTheme="minorEastAsia" w:cstheme="minorEastAsia"/>
          <w:color w:val="auto"/>
          <w:szCs w:val="20"/>
          <w:highlight w:val="none"/>
          <w:u w:val="none"/>
        </w:rPr>
        <w:t>③</w:t>
      </w:r>
      <w:r>
        <w:rPr>
          <w:rFonts w:hint="eastAsia" w:asciiTheme="minorEastAsia" w:hAnsiTheme="minorEastAsia" w:eastAsiaTheme="minorEastAsia" w:cstheme="minorEastAsia"/>
          <w:color w:val="auto"/>
          <w:szCs w:val="21"/>
          <w:highlight w:val="none"/>
          <w:u w:val="none"/>
        </w:rPr>
        <w:t>微型企业）</w:t>
      </w:r>
      <w:r>
        <w:rPr>
          <w:rFonts w:hint="eastAsia" w:asciiTheme="minorEastAsia" w:hAnsiTheme="minorEastAsia" w:eastAsiaTheme="minorEastAsia" w:cstheme="minorEastAsia"/>
          <w:color w:val="auto"/>
          <w:szCs w:val="21"/>
          <w:highlight w:val="none"/>
        </w:rPr>
        <w:t>；</w:t>
      </w:r>
    </w:p>
    <w:p w14:paraId="41B29DD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3EBCC15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22EA0EB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47AAAD8A">
      <w:pPr>
        <w:rPr>
          <w:rFonts w:hint="eastAsia" w:ascii="宋体" w:hAnsi="宋体" w:eastAsia="宋体" w:cs="宋体"/>
          <w:b/>
          <w:color w:val="auto"/>
          <w:szCs w:val="21"/>
          <w:highlight w:val="none"/>
        </w:rPr>
      </w:pPr>
    </w:p>
    <w:p w14:paraId="739D4F82">
      <w:pPr>
        <w:bidi w:val="0"/>
        <w:ind w:firstLine="420" w:firstLineChars="200"/>
        <w:rPr>
          <w:rFonts w:hint="eastAsia"/>
        </w:rPr>
      </w:pPr>
      <w:r>
        <w:rPr>
          <w:rFonts w:hint="eastAsia"/>
        </w:rPr>
        <w:t xml:space="preserve">供应商名称（盖章）：                           </w:t>
      </w:r>
    </w:p>
    <w:p w14:paraId="5FF731BC">
      <w:pPr>
        <w:bidi w:val="0"/>
        <w:ind w:firstLine="420" w:firstLineChars="200"/>
        <w:rPr>
          <w:rFonts w:hint="eastAsia"/>
        </w:rPr>
      </w:pPr>
      <w:r>
        <w:rPr>
          <w:rFonts w:hint="eastAsia"/>
        </w:rPr>
        <w:t>日期：      年   月   日</w:t>
      </w:r>
    </w:p>
    <w:p w14:paraId="37BCBFDA">
      <w:pPr>
        <w:pStyle w:val="30"/>
        <w:rPr>
          <w:rFonts w:hint="eastAsia" w:ascii="宋体" w:hAnsi="宋体" w:eastAsia="宋体" w:cs="宋体"/>
          <w:color w:val="auto"/>
          <w:szCs w:val="21"/>
          <w:highlight w:val="none"/>
        </w:rPr>
      </w:pPr>
    </w:p>
    <w:p w14:paraId="5B7A3794">
      <w:pPr>
        <w:rPr>
          <w:rFonts w:hint="eastAsia"/>
          <w:highlight w:val="none"/>
        </w:rPr>
      </w:pPr>
    </w:p>
    <w:p w14:paraId="57226F53">
      <w:pPr>
        <w:rPr>
          <w:highlight w:val="none"/>
        </w:rPr>
      </w:pPr>
    </w:p>
    <w:p w14:paraId="73E9CF86">
      <w:pPr>
        <w:ind w:firstLine="420" w:firstLineChars="200"/>
        <w:rPr>
          <w:highlight w:val="none"/>
        </w:rPr>
      </w:pPr>
      <w:r>
        <w:rPr>
          <w:highlight w:val="none"/>
        </w:rPr>
        <w:br w:type="page"/>
      </w:r>
    </w:p>
    <w:p w14:paraId="5B5E26E4">
      <w:pPr>
        <w:widowControl/>
        <w:spacing w:line="420" w:lineRule="atLeast"/>
        <w:ind w:firstLine="482" w:firstLineChars="200"/>
        <w:textAlignment w:val="baseline"/>
        <w:outlineLvl w:val="0"/>
        <w:rPr>
          <w:rFonts w:hint="default" w:ascii="宋体" w:hAnsi="宋体" w:cs="宋体"/>
          <w:b/>
          <w:bCs/>
          <w:color w:val="auto"/>
          <w:kern w:val="0"/>
          <w:sz w:val="24"/>
          <w:szCs w:val="24"/>
          <w:highlight w:val="none"/>
          <w:lang w:val="en-US"/>
        </w:rPr>
      </w:pPr>
      <w:r>
        <w:rPr>
          <w:rFonts w:hint="eastAsia" w:ascii="宋体" w:hAnsi="宋体" w:cs="宋体"/>
          <w:b/>
          <w:bCs/>
          <w:color w:val="auto"/>
          <w:kern w:val="0"/>
          <w:sz w:val="24"/>
          <w:szCs w:val="24"/>
          <w:highlight w:val="none"/>
        </w:rPr>
        <w:t>附件</w:t>
      </w:r>
      <w:r>
        <w:rPr>
          <w:rFonts w:hint="eastAsia" w:ascii="宋体" w:hAnsi="宋体" w:cs="宋体"/>
          <w:b/>
          <w:bCs/>
          <w:color w:val="auto"/>
          <w:kern w:val="0"/>
          <w:sz w:val="24"/>
          <w:szCs w:val="24"/>
          <w:highlight w:val="none"/>
          <w:lang w:val="en-US" w:eastAsia="zh-CN"/>
        </w:rPr>
        <w:t>4</w:t>
      </w:r>
    </w:p>
    <w:p w14:paraId="7FA6FAAA">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0" w:firstLineChars="200"/>
        <w:jc w:val="center"/>
        <w:textAlignment w:val="auto"/>
        <w:rPr>
          <w:rFonts w:ascii="宋体" w:cs="宋体"/>
          <w:color w:val="auto"/>
          <w:szCs w:val="21"/>
          <w:highlight w:val="none"/>
        </w:rPr>
      </w:pPr>
    </w:p>
    <w:p w14:paraId="58076CE8">
      <w:pPr>
        <w:keepNext w:val="0"/>
        <w:keepLines w:val="0"/>
        <w:pageBreakBefore w:val="0"/>
        <w:widowControl/>
        <w:tabs>
          <w:tab w:val="left" w:pos="4860"/>
        </w:tabs>
        <w:kinsoku/>
        <w:wordWrap/>
        <w:overflowPunct/>
        <w:topLinePunct w:val="0"/>
        <w:autoSpaceDE/>
        <w:autoSpaceDN/>
        <w:bidi w:val="0"/>
        <w:adjustRightInd/>
        <w:snapToGrid/>
        <w:spacing w:line="288" w:lineRule="auto"/>
        <w:ind w:firstLine="562" w:firstLineChars="200"/>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残疾人福利性单位声明函</w:t>
      </w:r>
    </w:p>
    <w:p w14:paraId="31DC8468">
      <w:pPr>
        <w:pStyle w:val="18"/>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【不属于残疾人福利性单位无需提供】</w:t>
      </w:r>
    </w:p>
    <w:p w14:paraId="2697E8EF">
      <w:pPr>
        <w:widowControl/>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lang w:eastAsia="zh-CN"/>
        </w:rPr>
        <w:t>〔2017〕141号</w:t>
      </w:r>
      <w:r>
        <w:rPr>
          <w:rFonts w:hint="eastAsia" w:ascii="宋体" w:hAnsi="宋体" w:cs="宋体"/>
          <w:color w:val="auto"/>
          <w:szCs w:val="21"/>
          <w:highlight w:val="none"/>
        </w:rPr>
        <w:t>）的规定，本单位为符合条件的残疾人福利性单位，且本单位参加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采购活动提供本单位制造的货物（由本单位承担工程/提供服务），或者提供其他残疾人福利性单位制造的货物（不包括使用非残疾人福利性单位注册商标的货物）。</w:t>
      </w:r>
    </w:p>
    <w:p w14:paraId="7EB464B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12FD27DC">
      <w:pPr>
        <w:spacing w:line="360" w:lineRule="auto"/>
        <w:jc w:val="left"/>
        <w:rPr>
          <w:rFonts w:ascii="宋体" w:hAnsi="宋体" w:cs="宋体"/>
          <w:color w:val="auto"/>
          <w:szCs w:val="21"/>
          <w:highlight w:val="none"/>
        </w:rPr>
      </w:pPr>
    </w:p>
    <w:p w14:paraId="11370F50">
      <w:pPr>
        <w:spacing w:line="360" w:lineRule="auto"/>
        <w:jc w:val="left"/>
        <w:rPr>
          <w:rFonts w:ascii="宋体" w:hAnsi="宋体" w:cs="宋体"/>
          <w:color w:val="auto"/>
          <w:szCs w:val="21"/>
          <w:highlight w:val="none"/>
        </w:rPr>
      </w:pPr>
    </w:p>
    <w:p w14:paraId="499EC57D">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供应商名称（盖章）： </w:t>
      </w:r>
      <w:r>
        <w:rPr>
          <w:rFonts w:hint="eastAsia" w:ascii="宋体" w:hAnsi="宋体" w:cs="宋体"/>
          <w:color w:val="auto"/>
          <w:szCs w:val="21"/>
          <w:highlight w:val="none"/>
          <w:u w:val="single"/>
        </w:rPr>
        <w:t xml:space="preserve">                          </w:t>
      </w:r>
    </w:p>
    <w:p w14:paraId="0C4DCFE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日期：      年   月   日</w:t>
      </w:r>
    </w:p>
    <w:p w14:paraId="4DB684A9">
      <w:pPr>
        <w:rPr>
          <w:rFonts w:ascii="宋体" w:hAnsi="宋体" w:cs="宋体"/>
          <w:color w:val="auto"/>
          <w:highlight w:val="none"/>
        </w:rPr>
      </w:pPr>
    </w:p>
    <w:p w14:paraId="5F7074EA">
      <w:pPr>
        <w:tabs>
          <w:tab w:val="left" w:pos="4860"/>
        </w:tabs>
        <w:ind w:right="1560" w:firstLine="442" w:firstLineChars="200"/>
        <w:jc w:val="left"/>
        <w:rPr>
          <w:rFonts w:ascii="宋体" w:hAnsi="宋体" w:cs="宋体"/>
          <w:b/>
          <w:color w:val="auto"/>
          <w:sz w:val="22"/>
          <w:highlight w:val="none"/>
        </w:rPr>
      </w:pPr>
      <w:r>
        <w:rPr>
          <w:rFonts w:hint="eastAsia" w:ascii="宋体" w:hAnsi="宋体" w:cs="宋体"/>
          <w:b/>
          <w:color w:val="auto"/>
          <w:sz w:val="22"/>
          <w:highlight w:val="none"/>
        </w:rPr>
        <w:t>说明：</w:t>
      </w:r>
    </w:p>
    <w:p w14:paraId="3DB10A71">
      <w:pPr>
        <w:widowControl/>
        <w:tabs>
          <w:tab w:val="left" w:pos="4860"/>
        </w:tabs>
        <w:ind w:right="-21"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1.如成交，将在成交公示中将此残疾人福利性单位声明函予以公示，接受社会监督；</w:t>
      </w:r>
    </w:p>
    <w:p w14:paraId="742889CA">
      <w:pPr>
        <w:widowControl/>
        <w:tabs>
          <w:tab w:val="left" w:pos="4860"/>
        </w:tabs>
        <w:ind w:right="-21" w:firstLine="422" w:firstLineChars="200"/>
        <w:jc w:val="left"/>
        <w:rPr>
          <w:rFonts w:ascii="宋体" w:hAnsi="宋体" w:cs="宋体"/>
          <w:b/>
          <w:color w:val="auto"/>
          <w:spacing w:val="6"/>
          <w:szCs w:val="21"/>
          <w:highlight w:val="none"/>
        </w:rPr>
      </w:pPr>
      <w:r>
        <w:rPr>
          <w:rFonts w:hint="eastAsia" w:ascii="宋体" w:hAnsi="宋体" w:cs="宋体"/>
          <w:b/>
          <w:color w:val="auto"/>
          <w:szCs w:val="21"/>
          <w:highlight w:val="none"/>
        </w:rPr>
        <w:t>2.供应商提供的《残疾人福利性单位声明函》与事实不符的，依照《</w:t>
      </w:r>
      <w:r>
        <w:rPr>
          <w:rFonts w:hint="eastAsia" w:ascii="宋体" w:hAnsi="宋体" w:cs="宋体"/>
          <w:b/>
          <w:color w:val="auto"/>
          <w:szCs w:val="21"/>
          <w:highlight w:val="none"/>
          <w:lang w:eastAsia="zh-CN"/>
        </w:rPr>
        <w:t>中华人民共和国</w:t>
      </w:r>
      <w:r>
        <w:rPr>
          <w:rFonts w:hint="eastAsia" w:ascii="宋体" w:hAnsi="宋体" w:cs="宋体"/>
          <w:b/>
          <w:color w:val="auto"/>
          <w:szCs w:val="21"/>
          <w:highlight w:val="none"/>
        </w:rPr>
        <w:t>政府采购法》第七十七条第一款的规定追究法律责任。</w:t>
      </w:r>
    </w:p>
    <w:p w14:paraId="0BB45BFF">
      <w:pPr>
        <w:spacing w:line="360" w:lineRule="auto"/>
        <w:jc w:val="left"/>
        <w:textAlignment w:val="baseline"/>
        <w:outlineLvl w:val="9"/>
        <w:rPr>
          <w:rFonts w:hint="eastAsia" w:ascii="宋体" w:hAnsi="宋体" w:cs="宋体"/>
          <w:b/>
          <w:bCs/>
          <w:color w:val="auto"/>
          <w:sz w:val="24"/>
          <w:szCs w:val="24"/>
          <w:highlight w:val="none"/>
        </w:rPr>
      </w:pPr>
    </w:p>
    <w:p w14:paraId="6D014E50">
      <w:pPr>
        <w:spacing w:line="360" w:lineRule="auto"/>
        <w:jc w:val="left"/>
        <w:textAlignment w:val="baseline"/>
        <w:outlineLvl w:val="9"/>
        <w:rPr>
          <w:rFonts w:hint="eastAsia" w:ascii="宋体" w:hAnsi="宋体" w:cs="宋体"/>
          <w:b/>
          <w:bCs/>
          <w:color w:val="auto"/>
          <w:sz w:val="24"/>
          <w:szCs w:val="24"/>
          <w:highlight w:val="none"/>
        </w:rPr>
      </w:pPr>
    </w:p>
    <w:p w14:paraId="5726DD06">
      <w:pPr>
        <w:spacing w:line="360" w:lineRule="auto"/>
        <w:jc w:val="left"/>
        <w:textAlignment w:val="baseline"/>
        <w:outlineLvl w:val="9"/>
        <w:rPr>
          <w:rFonts w:hint="eastAsia" w:ascii="宋体" w:hAnsi="宋体" w:cs="宋体"/>
          <w:b/>
          <w:bCs/>
          <w:color w:val="auto"/>
          <w:sz w:val="24"/>
          <w:szCs w:val="24"/>
          <w:highlight w:val="none"/>
        </w:rPr>
      </w:pPr>
    </w:p>
    <w:p w14:paraId="7FB8409D">
      <w:pPr>
        <w:spacing w:line="360" w:lineRule="auto"/>
        <w:jc w:val="left"/>
        <w:textAlignment w:val="baseline"/>
        <w:outlineLvl w:val="9"/>
        <w:rPr>
          <w:rFonts w:hint="eastAsia" w:ascii="宋体" w:hAnsi="宋体" w:cs="宋体"/>
          <w:b/>
          <w:bCs/>
          <w:color w:val="auto"/>
          <w:sz w:val="24"/>
          <w:szCs w:val="24"/>
          <w:highlight w:val="none"/>
        </w:rPr>
      </w:pPr>
    </w:p>
    <w:p w14:paraId="37761713">
      <w:pPr>
        <w:spacing w:line="360" w:lineRule="auto"/>
        <w:jc w:val="left"/>
        <w:textAlignment w:val="baseline"/>
        <w:outlineLvl w:val="9"/>
        <w:rPr>
          <w:rFonts w:hint="eastAsia" w:ascii="宋体" w:hAnsi="宋体" w:cs="宋体"/>
          <w:b/>
          <w:bCs/>
          <w:color w:val="auto"/>
          <w:sz w:val="24"/>
          <w:szCs w:val="24"/>
          <w:highlight w:val="none"/>
        </w:rPr>
      </w:pPr>
    </w:p>
    <w:p w14:paraId="1B4E4741">
      <w:pPr>
        <w:spacing w:line="360" w:lineRule="auto"/>
        <w:jc w:val="left"/>
        <w:textAlignment w:val="baseline"/>
        <w:outlineLvl w:val="9"/>
        <w:rPr>
          <w:rFonts w:hint="eastAsia" w:ascii="宋体" w:hAnsi="宋体" w:cs="宋体"/>
          <w:b/>
          <w:bCs/>
          <w:color w:val="auto"/>
          <w:sz w:val="24"/>
          <w:szCs w:val="24"/>
          <w:highlight w:val="none"/>
        </w:rPr>
      </w:pPr>
    </w:p>
    <w:p w14:paraId="20655ADE">
      <w:pPr>
        <w:spacing w:line="360" w:lineRule="auto"/>
        <w:jc w:val="left"/>
        <w:textAlignment w:val="baseline"/>
        <w:outlineLvl w:val="9"/>
        <w:rPr>
          <w:rFonts w:hint="eastAsia" w:ascii="宋体" w:hAnsi="宋体" w:cs="宋体"/>
          <w:b/>
          <w:bCs/>
          <w:color w:val="auto"/>
          <w:sz w:val="24"/>
          <w:szCs w:val="24"/>
          <w:highlight w:val="none"/>
        </w:rPr>
      </w:pPr>
    </w:p>
    <w:p w14:paraId="5A05C6E2">
      <w:pPr>
        <w:spacing w:line="360" w:lineRule="auto"/>
        <w:jc w:val="left"/>
        <w:textAlignment w:val="baseline"/>
        <w:outlineLvl w:val="9"/>
        <w:rPr>
          <w:rFonts w:hint="eastAsia" w:ascii="宋体" w:hAnsi="宋体" w:cs="宋体"/>
          <w:b/>
          <w:bCs/>
          <w:color w:val="auto"/>
          <w:sz w:val="24"/>
          <w:szCs w:val="24"/>
          <w:highlight w:val="none"/>
        </w:rPr>
      </w:pPr>
    </w:p>
    <w:p w14:paraId="2E06BA3C">
      <w:pPr>
        <w:spacing w:line="360" w:lineRule="auto"/>
        <w:jc w:val="left"/>
        <w:textAlignment w:val="baseline"/>
        <w:outlineLvl w:val="9"/>
        <w:rPr>
          <w:rFonts w:hint="eastAsia" w:ascii="宋体" w:hAnsi="宋体" w:cs="宋体"/>
          <w:b/>
          <w:bCs/>
          <w:color w:val="auto"/>
          <w:sz w:val="24"/>
          <w:szCs w:val="24"/>
          <w:highlight w:val="none"/>
        </w:rPr>
      </w:pPr>
    </w:p>
    <w:p w14:paraId="62449E9C">
      <w:pPr>
        <w:spacing w:line="360" w:lineRule="auto"/>
        <w:ind w:left="216" w:leftChars="103" w:firstLine="0" w:firstLineChars="0"/>
        <w:outlineLvl w:val="9"/>
        <w:rPr>
          <w:rFonts w:hint="eastAsia" w:ascii="宋体" w:hAnsi="宋体" w:eastAsia="宋体" w:cs="宋体"/>
          <w:b/>
          <w:color w:val="000000"/>
          <w:sz w:val="21"/>
          <w:szCs w:val="21"/>
          <w:highlight w:val="none"/>
        </w:rPr>
      </w:pPr>
    </w:p>
    <w:p w14:paraId="0EB95ED7">
      <w:pPr>
        <w:numPr>
          <w:ilvl w:val="1"/>
          <w:numId w:val="0"/>
        </w:numPr>
        <w:ind w:leftChars="0"/>
        <w:outlineLvl w:val="9"/>
        <w:rPr>
          <w:rFonts w:hint="eastAsia" w:ascii="宋体" w:hAnsi="宋体" w:eastAsia="宋体" w:cs="宋体"/>
          <w:b w:val="0"/>
          <w:color w:val="000000"/>
          <w:szCs w:val="21"/>
          <w:highlight w:val="none"/>
        </w:rPr>
      </w:pPr>
    </w:p>
    <w:p w14:paraId="5E724E22">
      <w:pPr>
        <w:ind w:firstLine="420" w:firstLineChars="200"/>
        <w:rPr>
          <w:rFonts w:hint="eastAsia"/>
          <w:highlight w:val="none"/>
        </w:rPr>
      </w:pPr>
      <w:r>
        <w:rPr>
          <w:rFonts w:hint="eastAsia" w:ascii="仿宋" w:hAnsi="仿宋" w:eastAsia="仿宋" w:cs="仿宋"/>
          <w:highlight w:val="none"/>
        </w:rPr>
        <w:drawing>
          <wp:inline distT="0" distB="0" distL="114300" distR="114300">
            <wp:extent cx="5595620" cy="8126095"/>
            <wp:effectExtent l="0" t="0" r="508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595620" cy="8126095"/>
                    </a:xfrm>
                    <a:prstGeom prst="rect">
                      <a:avLst/>
                    </a:prstGeom>
                    <a:noFill/>
                    <a:ln>
                      <a:noFill/>
                    </a:ln>
                  </pic:spPr>
                </pic:pic>
              </a:graphicData>
            </a:graphic>
          </wp:inline>
        </w:drawing>
      </w:r>
    </w:p>
    <w:p w14:paraId="63FC5014">
      <w:pPr>
        <w:spacing w:line="440" w:lineRule="atLeast"/>
        <w:rPr>
          <w:rFonts w:hint="eastAsia" w:ascii="宋体" w:hAnsi="宋体" w:cs="宋体"/>
          <w:color w:val="000000"/>
          <w:szCs w:val="21"/>
          <w:highlight w:val="none"/>
        </w:rPr>
      </w:pPr>
    </w:p>
    <w:p w14:paraId="5C311889">
      <w:pPr>
        <w:pStyle w:val="49"/>
        <w:ind w:firstLine="420" w:firstLineChars="200"/>
        <w:rPr>
          <w:rFonts w:hint="eastAsia" w:ascii="宋体" w:hAnsi="宋体" w:cs="宋体"/>
          <w:color w:val="000000"/>
          <w:highlight w:val="none"/>
        </w:rPr>
      </w:pPr>
      <w:r>
        <w:rPr>
          <w:rFonts w:hint="eastAsia" w:ascii="仿宋" w:hAnsi="仿宋" w:eastAsia="仿宋" w:cs="仿宋"/>
          <w:highlight w:val="none"/>
        </w:rPr>
        <w:drawing>
          <wp:inline distT="0" distB="0" distL="114300" distR="114300">
            <wp:extent cx="5600700" cy="77057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5600700" cy="7705725"/>
                    </a:xfrm>
                    <a:prstGeom prst="rect">
                      <a:avLst/>
                    </a:prstGeom>
                    <a:noFill/>
                    <a:ln>
                      <a:noFill/>
                    </a:ln>
                  </pic:spPr>
                </pic:pic>
              </a:graphicData>
            </a:graphic>
          </wp:inline>
        </w:drawing>
      </w:r>
    </w:p>
    <w:p w14:paraId="50E1439E">
      <w:pPr>
        <w:pStyle w:val="12"/>
        <w:rPr>
          <w:rFonts w:hint="eastAsia" w:ascii="宋体" w:hAnsi="宋体" w:cs="宋体"/>
          <w:color w:val="000000"/>
          <w:highlight w:val="none"/>
        </w:rPr>
      </w:pPr>
    </w:p>
    <w:p w14:paraId="4FE96654">
      <w:pPr>
        <w:spacing w:line="360" w:lineRule="auto"/>
        <w:ind w:firstLine="420" w:firstLineChars="200"/>
        <w:jc w:val="left"/>
        <w:textAlignment w:val="baseline"/>
        <w:outlineLvl w:val="9"/>
        <w:rPr>
          <w:rFonts w:hint="eastAsia" w:ascii="宋体" w:hAnsi="宋体" w:cs="宋体"/>
          <w:b/>
          <w:bCs/>
          <w:color w:val="auto"/>
          <w:sz w:val="24"/>
          <w:szCs w:val="24"/>
          <w:highlight w:val="none"/>
        </w:rPr>
      </w:pPr>
      <w:r>
        <w:rPr>
          <w:rFonts w:hint="eastAsia" w:ascii="仿宋" w:hAnsi="仿宋" w:eastAsia="仿宋" w:cs="仿宋"/>
          <w:highlight w:val="none"/>
        </w:rPr>
        <w:drawing>
          <wp:inline distT="0" distB="0" distL="114300" distR="114300">
            <wp:extent cx="5597525" cy="7550785"/>
            <wp:effectExtent l="0" t="0" r="3175" b="1206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a:stretch>
                      <a:fillRect/>
                    </a:stretch>
                  </pic:blipFill>
                  <pic:spPr>
                    <a:xfrm>
                      <a:off x="0" y="0"/>
                      <a:ext cx="5597525" cy="7550785"/>
                    </a:xfrm>
                    <a:prstGeom prst="rect">
                      <a:avLst/>
                    </a:prstGeom>
                    <a:noFill/>
                    <a:ln>
                      <a:noFill/>
                    </a:ln>
                  </pic:spPr>
                </pic:pic>
              </a:graphicData>
            </a:graphic>
          </wp:inline>
        </w:drawing>
      </w:r>
      <w:r>
        <w:rPr>
          <w:rFonts w:hint="eastAsia" w:ascii="仿宋" w:hAnsi="仿宋" w:eastAsia="仿宋" w:cs="仿宋"/>
          <w:highlight w:val="none"/>
        </w:rPr>
        <w:drawing>
          <wp:inline distT="0" distB="0" distL="114300" distR="114300">
            <wp:extent cx="5748020" cy="8096250"/>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748020" cy="8096250"/>
                    </a:xfrm>
                    <a:prstGeom prst="rect">
                      <a:avLst/>
                    </a:prstGeom>
                    <a:noFill/>
                    <a:ln>
                      <a:noFill/>
                    </a:ln>
                  </pic:spPr>
                </pic:pic>
              </a:graphicData>
            </a:graphic>
          </wp:inline>
        </w:drawing>
      </w:r>
    </w:p>
    <w:p w14:paraId="1A2AE48E">
      <w:pPr>
        <w:spacing w:line="360" w:lineRule="auto"/>
        <w:jc w:val="left"/>
        <w:textAlignment w:val="baseline"/>
        <w:outlineLvl w:val="9"/>
        <w:rPr>
          <w:rFonts w:hint="eastAsia" w:ascii="宋体" w:hAnsi="宋体" w:cs="宋体"/>
          <w:b/>
          <w:bCs/>
          <w:color w:val="auto"/>
          <w:sz w:val="24"/>
          <w:szCs w:val="24"/>
          <w:highlight w:val="none"/>
        </w:rPr>
      </w:pPr>
    </w:p>
    <w:bookmarkEnd w:id="89"/>
    <w:p w14:paraId="7485153A">
      <w:pPr>
        <w:ind w:firstLine="723" w:firstLineChars="200"/>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br w:type="page"/>
      </w:r>
    </w:p>
    <w:p w14:paraId="2A043CE2">
      <w:pPr>
        <w:spacing w:line="360" w:lineRule="auto"/>
        <w:ind w:firstLine="723" w:firstLineChars="200"/>
        <w:jc w:val="center"/>
        <w:textAlignment w:val="baseline"/>
        <w:outlineLvl w:val="2"/>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商务技术文件格式</w:t>
      </w:r>
    </w:p>
    <w:p w14:paraId="01045318">
      <w:pPr>
        <w:spacing w:before="185"/>
        <w:ind w:right="210"/>
        <w:jc w:val="center"/>
        <w:textAlignment w:val="baseline"/>
        <w:outlineLvl w:val="9"/>
        <w:rPr>
          <w:rFonts w:hint="eastAsia" w:ascii="宋体" w:hAnsi="宋体" w:cs="宋体"/>
          <w:b/>
          <w:color w:val="auto"/>
          <w:sz w:val="52"/>
          <w:highlight w:val="none"/>
        </w:rPr>
      </w:pPr>
      <w:bookmarkStart w:id="90" w:name="_Toc9861"/>
    </w:p>
    <w:p w14:paraId="7BDFF103">
      <w:pPr>
        <w:spacing w:before="185"/>
        <w:ind w:right="210" w:firstLine="1044" w:firstLineChars="200"/>
        <w:jc w:val="center"/>
        <w:textAlignment w:val="baseline"/>
        <w:outlineLvl w:val="9"/>
        <w:rPr>
          <w:rFonts w:ascii="宋体" w:hAnsi="宋体" w:cs="宋体"/>
          <w:b/>
          <w:color w:val="auto"/>
          <w:sz w:val="52"/>
          <w:highlight w:val="none"/>
        </w:rPr>
      </w:pPr>
      <w:r>
        <w:rPr>
          <w:rFonts w:hint="eastAsia" w:ascii="宋体" w:hAnsi="宋体" w:cs="宋体"/>
          <w:b/>
          <w:color w:val="auto"/>
          <w:sz w:val="52"/>
          <w:highlight w:val="none"/>
        </w:rPr>
        <w:t>投 标 文 件</w:t>
      </w:r>
    </w:p>
    <w:p w14:paraId="1C02B10C">
      <w:pPr>
        <w:pStyle w:val="12"/>
        <w:spacing w:before="11"/>
        <w:textAlignment w:val="baseline"/>
        <w:rPr>
          <w:rFonts w:ascii="宋体" w:hAnsi="宋体" w:cs="宋体"/>
          <w:b/>
          <w:color w:val="auto"/>
          <w:sz w:val="69"/>
          <w:highlight w:val="none"/>
        </w:rPr>
      </w:pPr>
    </w:p>
    <w:p w14:paraId="5B7C7599">
      <w:pPr>
        <w:ind w:right="208" w:firstLine="643" w:firstLineChars="200"/>
        <w:jc w:val="center"/>
        <w:textAlignment w:val="baseline"/>
        <w:outlineLvl w:val="9"/>
        <w:rPr>
          <w:rFonts w:ascii="宋体" w:hAnsi="宋体" w:cs="宋体"/>
          <w:b/>
          <w:color w:val="auto"/>
          <w:sz w:val="32"/>
          <w:highlight w:val="none"/>
        </w:rPr>
      </w:pPr>
      <w:r>
        <w:rPr>
          <w:rFonts w:hint="eastAsia" w:ascii="宋体" w:hAnsi="宋体" w:cs="宋体"/>
          <w:b/>
          <w:color w:val="auto"/>
          <w:sz w:val="32"/>
          <w:highlight w:val="none"/>
        </w:rPr>
        <w:t>商务技术文件</w:t>
      </w:r>
    </w:p>
    <w:p w14:paraId="0B672E1C">
      <w:pPr>
        <w:pStyle w:val="71"/>
        <w:rPr>
          <w:rFonts w:ascii="宋体" w:hAnsi="宋体" w:cs="宋体"/>
          <w:b/>
          <w:color w:val="auto"/>
          <w:sz w:val="32"/>
          <w:highlight w:val="none"/>
        </w:rPr>
      </w:pPr>
    </w:p>
    <w:p w14:paraId="0C75EA44">
      <w:pPr>
        <w:pStyle w:val="71"/>
        <w:rPr>
          <w:rFonts w:ascii="宋体" w:hAnsi="宋体" w:cs="宋体"/>
          <w:b/>
          <w:color w:val="auto"/>
          <w:sz w:val="32"/>
          <w:highlight w:val="none"/>
        </w:rPr>
      </w:pPr>
    </w:p>
    <w:p w14:paraId="44A5DE37">
      <w:pPr>
        <w:snapToGrid w:val="0"/>
        <w:spacing w:line="720" w:lineRule="auto"/>
        <w:ind w:firstLine="560" w:firstLineChars="2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color="000000"/>
        </w:rPr>
        <w:t xml:space="preserve">                       </w:t>
      </w:r>
    </w:p>
    <w:p w14:paraId="302F8174">
      <w:pPr>
        <w:snapToGrid w:val="0"/>
        <w:spacing w:line="720" w:lineRule="auto"/>
        <w:ind w:firstLine="560" w:firstLineChars="2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color="000000"/>
        </w:rPr>
        <w:t>                       </w:t>
      </w:r>
      <w:r>
        <w:rPr>
          <w:rFonts w:hint="eastAsia" w:ascii="宋体" w:hAnsi="宋体" w:cs="宋体"/>
          <w:color w:val="auto"/>
          <w:sz w:val="28"/>
          <w:szCs w:val="28"/>
          <w:highlight w:val="none"/>
        </w:rPr>
        <w:t xml:space="preserve"> </w:t>
      </w:r>
    </w:p>
    <w:p w14:paraId="77671230">
      <w:pPr>
        <w:snapToGrid w:val="0"/>
        <w:spacing w:line="720" w:lineRule="auto"/>
        <w:ind w:firstLine="560" w:firstLineChars="200"/>
        <w:textAlignment w:val="baseline"/>
        <w:rPr>
          <w:rFonts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（全称）：</w:t>
      </w:r>
      <w:r>
        <w:rPr>
          <w:rFonts w:hint="eastAsia" w:ascii="宋体" w:hAnsi="宋体" w:cs="宋体"/>
          <w:color w:val="auto"/>
          <w:sz w:val="28"/>
          <w:szCs w:val="28"/>
          <w:highlight w:val="none"/>
          <w:u w:val="single" w:color="000000"/>
        </w:rPr>
        <w:t>            （盖章）</w:t>
      </w:r>
    </w:p>
    <w:p w14:paraId="0C3734D1">
      <w:pPr>
        <w:snapToGrid w:val="0"/>
        <w:spacing w:line="720" w:lineRule="auto"/>
        <w:ind w:firstLine="560" w:firstLineChars="2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color="000000"/>
        </w:rPr>
        <w:t>                     </w:t>
      </w:r>
    </w:p>
    <w:p w14:paraId="5052F42D">
      <w:pPr>
        <w:spacing w:line="360" w:lineRule="auto"/>
        <w:jc w:val="left"/>
        <w:textAlignment w:val="baseline"/>
        <w:outlineLvl w:val="9"/>
        <w:rPr>
          <w:rFonts w:hint="eastAsia" w:ascii="宋体" w:hAnsi="宋体" w:cs="宋体"/>
          <w:b/>
          <w:bCs/>
          <w:color w:val="auto"/>
          <w:sz w:val="24"/>
          <w:szCs w:val="24"/>
          <w:highlight w:val="none"/>
        </w:rPr>
      </w:pPr>
    </w:p>
    <w:p w14:paraId="214A89BB">
      <w:pPr>
        <w:pStyle w:val="21"/>
        <w:rPr>
          <w:rFonts w:hint="eastAsia" w:ascii="宋体" w:hAnsi="宋体" w:cs="宋体"/>
          <w:b/>
          <w:bCs/>
          <w:color w:val="auto"/>
          <w:sz w:val="24"/>
          <w:szCs w:val="24"/>
          <w:highlight w:val="none"/>
        </w:rPr>
      </w:pPr>
    </w:p>
    <w:p w14:paraId="403472F8">
      <w:pPr>
        <w:rPr>
          <w:rFonts w:hint="eastAsia" w:ascii="宋体" w:hAnsi="宋体" w:cs="宋体"/>
          <w:b/>
          <w:bCs/>
          <w:color w:val="auto"/>
          <w:sz w:val="24"/>
          <w:szCs w:val="24"/>
          <w:highlight w:val="none"/>
        </w:rPr>
      </w:pPr>
    </w:p>
    <w:p w14:paraId="00CB402F">
      <w:pPr>
        <w:pStyle w:val="21"/>
        <w:rPr>
          <w:rFonts w:hint="eastAsia" w:ascii="宋体" w:hAnsi="宋体" w:cs="宋体"/>
          <w:b/>
          <w:bCs/>
          <w:color w:val="auto"/>
          <w:sz w:val="24"/>
          <w:szCs w:val="24"/>
          <w:highlight w:val="none"/>
        </w:rPr>
      </w:pPr>
    </w:p>
    <w:p w14:paraId="696EB827">
      <w:pPr>
        <w:rPr>
          <w:rFonts w:hint="eastAsia" w:ascii="宋体" w:hAnsi="宋体" w:cs="宋体"/>
          <w:b/>
          <w:bCs/>
          <w:color w:val="auto"/>
          <w:sz w:val="24"/>
          <w:szCs w:val="24"/>
          <w:highlight w:val="none"/>
        </w:rPr>
      </w:pPr>
    </w:p>
    <w:p w14:paraId="7FC1475B">
      <w:pPr>
        <w:pStyle w:val="21"/>
        <w:rPr>
          <w:rFonts w:hint="eastAsia" w:ascii="宋体" w:hAnsi="宋体" w:cs="宋体"/>
          <w:b/>
          <w:bCs/>
          <w:color w:val="auto"/>
          <w:sz w:val="24"/>
          <w:szCs w:val="24"/>
          <w:highlight w:val="none"/>
        </w:rPr>
      </w:pPr>
    </w:p>
    <w:p w14:paraId="114BA214">
      <w:pPr>
        <w:rPr>
          <w:rFonts w:hint="eastAsia" w:ascii="宋体" w:hAnsi="宋体" w:cs="宋体"/>
          <w:b/>
          <w:bCs/>
          <w:color w:val="auto"/>
          <w:sz w:val="24"/>
          <w:szCs w:val="24"/>
          <w:highlight w:val="none"/>
        </w:rPr>
      </w:pPr>
    </w:p>
    <w:p w14:paraId="39F2BC95">
      <w:pPr>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24655BAD">
      <w:pPr>
        <w:spacing w:line="360" w:lineRule="auto"/>
        <w:ind w:firstLine="482" w:firstLineChars="200"/>
        <w:jc w:val="left"/>
        <w:textAlignment w:val="baseline"/>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t xml:space="preserve">                     </w:t>
      </w:r>
    </w:p>
    <w:p w14:paraId="7C50B723">
      <w:pPr>
        <w:spacing w:line="360" w:lineRule="auto"/>
        <w:ind w:firstLine="643" w:firstLineChars="200"/>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供应商自评表</w:t>
      </w:r>
    </w:p>
    <w:tbl>
      <w:tblPr>
        <w:tblStyle w:val="32"/>
        <w:tblW w:w="9806" w:type="dxa"/>
        <w:jc w:val="center"/>
        <w:tblLayout w:type="fixed"/>
        <w:tblCellMar>
          <w:top w:w="15" w:type="dxa"/>
          <w:left w:w="15" w:type="dxa"/>
          <w:bottom w:w="15" w:type="dxa"/>
          <w:right w:w="15" w:type="dxa"/>
        </w:tblCellMar>
      </w:tblPr>
      <w:tblGrid>
        <w:gridCol w:w="1276"/>
        <w:gridCol w:w="4057"/>
        <w:gridCol w:w="933"/>
        <w:gridCol w:w="1117"/>
        <w:gridCol w:w="989"/>
        <w:gridCol w:w="1434"/>
      </w:tblGrid>
      <w:tr w14:paraId="1C1BBDD4">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EF89DC5">
            <w:pPr>
              <w:pStyle w:val="49"/>
              <w:bidi w:val="0"/>
              <w:rPr>
                <w:rFonts w:hint="eastAsia" w:ascii="Times New Roman" w:hAnsi="Times New Roman" w:eastAsia="宋体" w:cs="Times New Roman"/>
              </w:rPr>
            </w:pPr>
            <w:r>
              <w:rPr>
                <w:rFonts w:hint="eastAsia" w:ascii="Times New Roman" w:hAnsi="Times New Roman" w:eastAsia="宋体" w:cs="Times New Roman"/>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14:paraId="6A8631DC">
            <w:pPr>
              <w:pStyle w:val="49"/>
              <w:bidi w:val="0"/>
              <w:rPr>
                <w:rFonts w:hint="eastAsia" w:ascii="Times New Roman" w:hAnsi="Times New Roman" w:eastAsia="宋体" w:cs="Times New Roman"/>
              </w:rPr>
            </w:pPr>
            <w:r>
              <w:rPr>
                <w:rFonts w:hint="eastAsia" w:ascii="Times New Roman" w:hAnsi="Times New Roman" w:eastAsia="宋体" w:cs="Times New Roman"/>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14:paraId="208ED2B4">
            <w:pPr>
              <w:pStyle w:val="49"/>
              <w:bidi w:val="0"/>
              <w:rPr>
                <w:rFonts w:hint="eastAsia" w:ascii="Times New Roman" w:hAnsi="Times New Roman" w:eastAsia="宋体" w:cs="Times New Roman"/>
              </w:rPr>
            </w:pPr>
            <w:r>
              <w:rPr>
                <w:rFonts w:hint="eastAsia" w:ascii="Times New Roman" w:hAnsi="Times New Roman" w:eastAsia="宋体" w:cs="Times New Roman"/>
              </w:rPr>
              <w:t>分值</w:t>
            </w:r>
          </w:p>
        </w:tc>
        <w:tc>
          <w:tcPr>
            <w:tcW w:w="1117" w:type="dxa"/>
            <w:tcBorders>
              <w:top w:val="single" w:color="auto" w:sz="4" w:space="0"/>
              <w:left w:val="single" w:color="auto" w:sz="4" w:space="0"/>
              <w:bottom w:val="single" w:color="auto" w:sz="4" w:space="0"/>
              <w:right w:val="single" w:color="auto" w:sz="4" w:space="0"/>
            </w:tcBorders>
            <w:vAlign w:val="center"/>
          </w:tcPr>
          <w:p w14:paraId="6DA8F41F">
            <w:pPr>
              <w:pStyle w:val="49"/>
              <w:bidi w:val="0"/>
              <w:ind w:firstLine="420" w:firstLineChars="200"/>
              <w:rPr>
                <w:rFonts w:hint="eastAsia" w:ascii="Times New Roman" w:hAnsi="Times New Roman" w:eastAsia="宋体" w:cs="Times New Roman"/>
              </w:rPr>
            </w:pPr>
            <w:r>
              <w:rPr>
                <w:rFonts w:hint="eastAsia" w:ascii="Times New Roman" w:hAnsi="Times New Roman" w:eastAsia="宋体" w:cs="Times New Roman"/>
              </w:rPr>
              <w:t>自评</w:t>
            </w:r>
          </w:p>
          <w:p w14:paraId="19793CD7">
            <w:pPr>
              <w:pStyle w:val="49"/>
              <w:bidi w:val="0"/>
              <w:ind w:firstLine="420" w:firstLineChars="200"/>
              <w:rPr>
                <w:rFonts w:hint="eastAsia" w:ascii="Times New Roman" w:hAnsi="Times New Roman" w:eastAsia="宋体" w:cs="Times New Roman"/>
              </w:rPr>
            </w:pPr>
            <w:r>
              <w:rPr>
                <w:rFonts w:hint="eastAsia" w:ascii="Times New Roman" w:hAnsi="Times New Roman" w:eastAsia="宋体" w:cs="Times New Roman"/>
              </w:rPr>
              <w:t>分值</w:t>
            </w:r>
          </w:p>
        </w:tc>
        <w:tc>
          <w:tcPr>
            <w:tcW w:w="989" w:type="dxa"/>
            <w:tcBorders>
              <w:top w:val="single" w:color="auto" w:sz="4" w:space="0"/>
              <w:left w:val="single" w:color="auto" w:sz="4" w:space="0"/>
              <w:bottom w:val="single" w:color="auto" w:sz="4" w:space="0"/>
              <w:right w:val="single" w:color="auto" w:sz="4" w:space="0"/>
            </w:tcBorders>
            <w:vAlign w:val="center"/>
          </w:tcPr>
          <w:p w14:paraId="2619BDD0">
            <w:pPr>
              <w:pStyle w:val="49"/>
              <w:bidi w:val="0"/>
              <w:ind w:firstLine="420" w:firstLineChars="200"/>
              <w:rPr>
                <w:rFonts w:hint="eastAsia" w:ascii="Times New Roman" w:hAnsi="Times New Roman" w:eastAsia="宋体" w:cs="Times New Roman"/>
              </w:rPr>
            </w:pPr>
            <w:r>
              <w:rPr>
                <w:rFonts w:hint="eastAsia" w:ascii="Times New Roman" w:hAnsi="Times New Roman" w:eastAsia="宋体" w:cs="Times New Roman"/>
              </w:rPr>
              <w:t>评分</w:t>
            </w:r>
          </w:p>
          <w:p w14:paraId="6E0E615D">
            <w:pPr>
              <w:pStyle w:val="49"/>
              <w:bidi w:val="0"/>
              <w:ind w:firstLine="420" w:firstLineChars="200"/>
              <w:rPr>
                <w:rFonts w:hint="eastAsia" w:ascii="Times New Roman" w:hAnsi="Times New Roman" w:eastAsia="宋体" w:cs="Times New Roman"/>
              </w:rPr>
            </w:pPr>
            <w:r>
              <w:rPr>
                <w:rFonts w:hint="eastAsia" w:ascii="Times New Roman" w:hAnsi="Times New Roman" w:eastAsia="宋体" w:cs="Times New Roman"/>
              </w:rPr>
              <w:t>依据</w:t>
            </w:r>
          </w:p>
        </w:tc>
        <w:tc>
          <w:tcPr>
            <w:tcW w:w="1434" w:type="dxa"/>
            <w:tcBorders>
              <w:top w:val="single" w:color="auto" w:sz="4" w:space="0"/>
              <w:left w:val="single" w:color="auto" w:sz="4" w:space="0"/>
              <w:bottom w:val="single" w:color="auto" w:sz="4" w:space="0"/>
              <w:right w:val="single" w:color="auto" w:sz="4" w:space="0"/>
            </w:tcBorders>
            <w:vAlign w:val="center"/>
          </w:tcPr>
          <w:p w14:paraId="433E1618">
            <w:pPr>
              <w:pStyle w:val="49"/>
              <w:bidi w:val="0"/>
              <w:ind w:firstLine="420" w:firstLineChars="200"/>
              <w:rPr>
                <w:rFonts w:hint="eastAsia" w:ascii="Times New Roman" w:hAnsi="Times New Roman" w:eastAsia="宋体" w:cs="Times New Roman"/>
              </w:rPr>
            </w:pPr>
            <w:r>
              <w:rPr>
                <w:rFonts w:hint="eastAsia" w:ascii="Times New Roman" w:hAnsi="Times New Roman" w:eastAsia="宋体" w:cs="Times New Roman"/>
              </w:rPr>
              <w:t>评分对</w:t>
            </w:r>
          </w:p>
          <w:p w14:paraId="216A92C1">
            <w:pPr>
              <w:pStyle w:val="49"/>
              <w:bidi w:val="0"/>
              <w:ind w:firstLine="420" w:firstLineChars="200"/>
              <w:rPr>
                <w:rFonts w:hint="eastAsia" w:ascii="Times New Roman" w:hAnsi="Times New Roman" w:eastAsia="宋体" w:cs="Times New Roman"/>
              </w:rPr>
            </w:pPr>
            <w:r>
              <w:rPr>
                <w:rFonts w:hint="eastAsia" w:ascii="Times New Roman" w:hAnsi="Times New Roman" w:eastAsia="宋体" w:cs="Times New Roman"/>
              </w:rPr>
              <w:t>应页码</w:t>
            </w:r>
          </w:p>
        </w:tc>
      </w:tr>
      <w:tr w14:paraId="2D1EEAD5">
        <w:tblPrEx>
          <w:tblCellMar>
            <w:top w:w="15" w:type="dxa"/>
            <w:left w:w="15" w:type="dxa"/>
            <w:bottom w:w="15" w:type="dxa"/>
            <w:right w:w="15" w:type="dxa"/>
          </w:tblCellMar>
        </w:tblPrEx>
        <w:trPr>
          <w:trHeight w:val="127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4C0FC3E">
            <w:pPr>
              <w:pStyle w:val="49"/>
              <w:bidi w:val="0"/>
              <w:rPr>
                <w:rFonts w:hint="eastAsia" w:ascii="Times New Roman" w:hAnsi="Times New Roman" w:eastAsia="宋体" w:cs="Times New Roman"/>
              </w:rPr>
            </w:pPr>
          </w:p>
        </w:tc>
        <w:tc>
          <w:tcPr>
            <w:tcW w:w="4057" w:type="dxa"/>
            <w:tcBorders>
              <w:top w:val="single" w:color="auto" w:sz="4" w:space="0"/>
              <w:left w:val="single" w:color="auto" w:sz="4" w:space="0"/>
              <w:bottom w:val="single" w:color="auto" w:sz="4" w:space="0"/>
              <w:right w:val="single" w:color="auto" w:sz="4" w:space="0"/>
            </w:tcBorders>
            <w:vAlign w:val="center"/>
          </w:tcPr>
          <w:p w14:paraId="5040DEFC">
            <w:pPr>
              <w:pStyle w:val="49"/>
              <w:bidi w:val="0"/>
              <w:rPr>
                <w:rFonts w:hint="eastAsia" w:ascii="Times New Roman" w:hAnsi="Times New Roman" w:eastAsia="宋体" w:cs="Times New Roman"/>
              </w:rPr>
            </w:pPr>
          </w:p>
        </w:tc>
        <w:tc>
          <w:tcPr>
            <w:tcW w:w="933" w:type="dxa"/>
            <w:tcBorders>
              <w:top w:val="single" w:color="auto" w:sz="4" w:space="0"/>
              <w:left w:val="single" w:color="auto" w:sz="4" w:space="0"/>
              <w:bottom w:val="single" w:color="auto" w:sz="4" w:space="0"/>
              <w:right w:val="single" w:color="auto" w:sz="4" w:space="0"/>
            </w:tcBorders>
            <w:vAlign w:val="center"/>
          </w:tcPr>
          <w:p w14:paraId="2A182CB7">
            <w:pPr>
              <w:pStyle w:val="49"/>
              <w:bidi w:val="0"/>
              <w:rPr>
                <w:rFonts w:hint="eastAsia" w:ascii="Times New Roman" w:hAnsi="Times New Roman" w:eastAsia="宋体" w:cs="Times New Roman"/>
              </w:rPr>
            </w:pPr>
          </w:p>
        </w:tc>
        <w:tc>
          <w:tcPr>
            <w:tcW w:w="1117" w:type="dxa"/>
            <w:tcBorders>
              <w:top w:val="single" w:color="auto" w:sz="4" w:space="0"/>
              <w:left w:val="single" w:color="auto" w:sz="4" w:space="0"/>
              <w:bottom w:val="single" w:color="auto" w:sz="4" w:space="0"/>
              <w:right w:val="single" w:color="auto" w:sz="4" w:space="0"/>
            </w:tcBorders>
            <w:vAlign w:val="center"/>
          </w:tcPr>
          <w:p w14:paraId="735B1DA6">
            <w:pPr>
              <w:pStyle w:val="49"/>
              <w:bidi w:val="0"/>
              <w:rPr>
                <w:rFonts w:hint="eastAsia" w:ascii="Times New Roman" w:hAnsi="Times New Roman" w:eastAsia="宋体" w:cs="Times New Roman"/>
              </w:rPr>
            </w:pPr>
          </w:p>
        </w:tc>
        <w:tc>
          <w:tcPr>
            <w:tcW w:w="989" w:type="dxa"/>
            <w:tcBorders>
              <w:top w:val="single" w:color="auto" w:sz="4" w:space="0"/>
              <w:left w:val="single" w:color="auto" w:sz="4" w:space="0"/>
              <w:bottom w:val="single" w:color="auto" w:sz="4" w:space="0"/>
              <w:right w:val="single" w:color="auto" w:sz="4" w:space="0"/>
            </w:tcBorders>
            <w:vAlign w:val="center"/>
          </w:tcPr>
          <w:p w14:paraId="4BA2B596">
            <w:pPr>
              <w:pStyle w:val="49"/>
              <w:bidi w:val="0"/>
              <w:rPr>
                <w:rFonts w:hint="eastAsia" w:ascii="Times New Roman" w:hAnsi="Times New Roman" w:eastAsia="宋体" w:cs="Times New Roman"/>
              </w:rPr>
            </w:pPr>
          </w:p>
        </w:tc>
        <w:tc>
          <w:tcPr>
            <w:tcW w:w="1434" w:type="dxa"/>
            <w:tcBorders>
              <w:top w:val="single" w:color="auto" w:sz="4" w:space="0"/>
              <w:left w:val="single" w:color="auto" w:sz="4" w:space="0"/>
              <w:bottom w:val="single" w:color="auto" w:sz="4" w:space="0"/>
              <w:right w:val="single" w:color="auto" w:sz="4" w:space="0"/>
            </w:tcBorders>
            <w:vAlign w:val="center"/>
          </w:tcPr>
          <w:p w14:paraId="2087846E">
            <w:pPr>
              <w:pStyle w:val="49"/>
              <w:bidi w:val="0"/>
              <w:rPr>
                <w:rFonts w:hint="eastAsia" w:ascii="Times New Roman" w:hAnsi="Times New Roman" w:eastAsia="宋体" w:cs="Times New Roman"/>
              </w:rPr>
            </w:pPr>
          </w:p>
        </w:tc>
      </w:tr>
      <w:tr w14:paraId="67885776">
        <w:tblPrEx>
          <w:tblCellMar>
            <w:top w:w="15" w:type="dxa"/>
            <w:left w:w="15" w:type="dxa"/>
            <w:bottom w:w="15" w:type="dxa"/>
            <w:right w:w="15" w:type="dxa"/>
          </w:tblCellMar>
        </w:tblPrEx>
        <w:trPr>
          <w:trHeight w:val="159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05580D8">
            <w:pPr>
              <w:pStyle w:val="49"/>
              <w:bidi w:val="0"/>
              <w:rPr>
                <w:rFonts w:hint="eastAsia" w:ascii="Times New Roman" w:hAnsi="Times New Roman" w:eastAsia="宋体" w:cs="Times New Roman"/>
              </w:rPr>
            </w:pPr>
          </w:p>
        </w:tc>
        <w:tc>
          <w:tcPr>
            <w:tcW w:w="4057" w:type="dxa"/>
            <w:tcBorders>
              <w:top w:val="single" w:color="auto" w:sz="4" w:space="0"/>
              <w:left w:val="single" w:color="auto" w:sz="4" w:space="0"/>
              <w:bottom w:val="single" w:color="auto" w:sz="4" w:space="0"/>
              <w:right w:val="single" w:color="auto" w:sz="4" w:space="0"/>
            </w:tcBorders>
            <w:vAlign w:val="center"/>
          </w:tcPr>
          <w:p w14:paraId="141BA8B3">
            <w:pPr>
              <w:pStyle w:val="49"/>
              <w:bidi w:val="0"/>
              <w:rPr>
                <w:rFonts w:hint="eastAsia" w:ascii="Times New Roman" w:hAnsi="Times New Roman" w:eastAsia="宋体" w:cs="Times New Roman"/>
              </w:rPr>
            </w:pPr>
          </w:p>
        </w:tc>
        <w:tc>
          <w:tcPr>
            <w:tcW w:w="933" w:type="dxa"/>
            <w:tcBorders>
              <w:top w:val="single" w:color="auto" w:sz="4" w:space="0"/>
              <w:left w:val="single" w:color="auto" w:sz="4" w:space="0"/>
              <w:bottom w:val="single" w:color="auto" w:sz="4" w:space="0"/>
              <w:right w:val="single" w:color="auto" w:sz="4" w:space="0"/>
            </w:tcBorders>
            <w:vAlign w:val="center"/>
          </w:tcPr>
          <w:p w14:paraId="760CED37">
            <w:pPr>
              <w:pStyle w:val="49"/>
              <w:bidi w:val="0"/>
              <w:rPr>
                <w:rFonts w:hint="eastAsia" w:ascii="Times New Roman" w:hAnsi="Times New Roman" w:eastAsia="宋体" w:cs="Times New Roman"/>
              </w:rPr>
            </w:pPr>
          </w:p>
        </w:tc>
        <w:tc>
          <w:tcPr>
            <w:tcW w:w="1117" w:type="dxa"/>
            <w:tcBorders>
              <w:top w:val="single" w:color="auto" w:sz="4" w:space="0"/>
              <w:left w:val="single" w:color="auto" w:sz="4" w:space="0"/>
              <w:bottom w:val="single" w:color="auto" w:sz="4" w:space="0"/>
              <w:right w:val="single" w:color="auto" w:sz="4" w:space="0"/>
            </w:tcBorders>
            <w:vAlign w:val="center"/>
          </w:tcPr>
          <w:p w14:paraId="7F972807">
            <w:pPr>
              <w:pStyle w:val="49"/>
              <w:bidi w:val="0"/>
              <w:rPr>
                <w:rFonts w:hint="eastAsia" w:ascii="Times New Roman" w:hAnsi="Times New Roman" w:eastAsia="宋体" w:cs="Times New Roman"/>
              </w:rPr>
            </w:pPr>
          </w:p>
        </w:tc>
        <w:tc>
          <w:tcPr>
            <w:tcW w:w="989" w:type="dxa"/>
            <w:tcBorders>
              <w:top w:val="single" w:color="auto" w:sz="4" w:space="0"/>
              <w:left w:val="single" w:color="auto" w:sz="4" w:space="0"/>
              <w:bottom w:val="single" w:color="auto" w:sz="4" w:space="0"/>
              <w:right w:val="single" w:color="auto" w:sz="4" w:space="0"/>
            </w:tcBorders>
            <w:vAlign w:val="center"/>
          </w:tcPr>
          <w:p w14:paraId="34E3F729">
            <w:pPr>
              <w:pStyle w:val="49"/>
              <w:bidi w:val="0"/>
              <w:rPr>
                <w:rFonts w:hint="eastAsia" w:ascii="Times New Roman" w:hAnsi="Times New Roman" w:eastAsia="宋体" w:cs="Times New Roman"/>
              </w:rPr>
            </w:pPr>
          </w:p>
        </w:tc>
        <w:tc>
          <w:tcPr>
            <w:tcW w:w="1434" w:type="dxa"/>
            <w:tcBorders>
              <w:top w:val="single" w:color="auto" w:sz="4" w:space="0"/>
              <w:left w:val="single" w:color="auto" w:sz="4" w:space="0"/>
              <w:bottom w:val="single" w:color="auto" w:sz="4" w:space="0"/>
              <w:right w:val="single" w:color="auto" w:sz="4" w:space="0"/>
            </w:tcBorders>
            <w:vAlign w:val="center"/>
          </w:tcPr>
          <w:p w14:paraId="24794EDF">
            <w:pPr>
              <w:pStyle w:val="49"/>
              <w:bidi w:val="0"/>
              <w:rPr>
                <w:rFonts w:hint="eastAsia" w:ascii="Times New Roman" w:hAnsi="Times New Roman" w:eastAsia="宋体" w:cs="Times New Roman"/>
              </w:rPr>
            </w:pPr>
          </w:p>
        </w:tc>
      </w:tr>
      <w:tr w14:paraId="33FDFC2F">
        <w:tblPrEx>
          <w:tblCellMar>
            <w:top w:w="15" w:type="dxa"/>
            <w:left w:w="15" w:type="dxa"/>
            <w:bottom w:w="15" w:type="dxa"/>
            <w:right w:w="15" w:type="dxa"/>
          </w:tblCellMar>
        </w:tblPrEx>
        <w:trPr>
          <w:trHeight w:val="154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F3E73C4">
            <w:pPr>
              <w:pStyle w:val="49"/>
              <w:bidi w:val="0"/>
              <w:rPr>
                <w:rFonts w:hint="eastAsia" w:ascii="Times New Roman" w:hAnsi="Times New Roman" w:eastAsia="宋体" w:cs="Times New Roman"/>
              </w:rPr>
            </w:pPr>
          </w:p>
        </w:tc>
        <w:tc>
          <w:tcPr>
            <w:tcW w:w="4057" w:type="dxa"/>
            <w:tcBorders>
              <w:top w:val="single" w:color="auto" w:sz="4" w:space="0"/>
              <w:left w:val="single" w:color="auto" w:sz="4" w:space="0"/>
              <w:bottom w:val="single" w:color="auto" w:sz="4" w:space="0"/>
              <w:right w:val="single" w:color="auto" w:sz="4" w:space="0"/>
            </w:tcBorders>
            <w:vAlign w:val="center"/>
          </w:tcPr>
          <w:p w14:paraId="63064224">
            <w:pPr>
              <w:pStyle w:val="49"/>
              <w:bidi w:val="0"/>
              <w:rPr>
                <w:rFonts w:hint="eastAsia" w:ascii="Times New Roman" w:hAnsi="Times New Roman" w:eastAsia="宋体" w:cs="Times New Roman"/>
              </w:rPr>
            </w:pPr>
          </w:p>
        </w:tc>
        <w:tc>
          <w:tcPr>
            <w:tcW w:w="933" w:type="dxa"/>
            <w:tcBorders>
              <w:top w:val="single" w:color="auto" w:sz="4" w:space="0"/>
              <w:left w:val="single" w:color="auto" w:sz="4" w:space="0"/>
              <w:bottom w:val="single" w:color="auto" w:sz="4" w:space="0"/>
              <w:right w:val="single" w:color="auto" w:sz="4" w:space="0"/>
            </w:tcBorders>
            <w:vAlign w:val="center"/>
          </w:tcPr>
          <w:p w14:paraId="252C1BD2">
            <w:pPr>
              <w:pStyle w:val="49"/>
              <w:bidi w:val="0"/>
              <w:rPr>
                <w:rFonts w:hint="eastAsia" w:ascii="Times New Roman" w:hAnsi="Times New Roman" w:eastAsia="宋体" w:cs="Times New Roman"/>
              </w:rPr>
            </w:pPr>
          </w:p>
        </w:tc>
        <w:tc>
          <w:tcPr>
            <w:tcW w:w="1117" w:type="dxa"/>
            <w:tcBorders>
              <w:top w:val="single" w:color="auto" w:sz="4" w:space="0"/>
              <w:left w:val="single" w:color="auto" w:sz="4" w:space="0"/>
              <w:bottom w:val="single" w:color="auto" w:sz="4" w:space="0"/>
              <w:right w:val="single" w:color="auto" w:sz="4" w:space="0"/>
            </w:tcBorders>
            <w:vAlign w:val="center"/>
          </w:tcPr>
          <w:p w14:paraId="2A68D3B1">
            <w:pPr>
              <w:pStyle w:val="49"/>
              <w:bidi w:val="0"/>
              <w:rPr>
                <w:rFonts w:hint="eastAsia" w:ascii="Times New Roman" w:hAnsi="Times New Roman" w:eastAsia="宋体" w:cs="Times New Roman"/>
              </w:rPr>
            </w:pPr>
          </w:p>
        </w:tc>
        <w:tc>
          <w:tcPr>
            <w:tcW w:w="989" w:type="dxa"/>
            <w:tcBorders>
              <w:top w:val="single" w:color="auto" w:sz="4" w:space="0"/>
              <w:left w:val="single" w:color="auto" w:sz="4" w:space="0"/>
              <w:bottom w:val="single" w:color="auto" w:sz="4" w:space="0"/>
              <w:right w:val="single" w:color="auto" w:sz="4" w:space="0"/>
            </w:tcBorders>
            <w:vAlign w:val="center"/>
          </w:tcPr>
          <w:p w14:paraId="1B9A95E0">
            <w:pPr>
              <w:pStyle w:val="49"/>
              <w:bidi w:val="0"/>
              <w:rPr>
                <w:rFonts w:hint="eastAsia" w:ascii="Times New Roman" w:hAnsi="Times New Roman" w:eastAsia="宋体" w:cs="Times New Roman"/>
              </w:rPr>
            </w:pPr>
          </w:p>
        </w:tc>
        <w:tc>
          <w:tcPr>
            <w:tcW w:w="1434" w:type="dxa"/>
            <w:tcBorders>
              <w:top w:val="single" w:color="auto" w:sz="4" w:space="0"/>
              <w:left w:val="single" w:color="auto" w:sz="4" w:space="0"/>
              <w:bottom w:val="single" w:color="auto" w:sz="4" w:space="0"/>
              <w:right w:val="single" w:color="auto" w:sz="4" w:space="0"/>
            </w:tcBorders>
            <w:vAlign w:val="center"/>
          </w:tcPr>
          <w:p w14:paraId="752AB9F5">
            <w:pPr>
              <w:pStyle w:val="49"/>
              <w:bidi w:val="0"/>
              <w:rPr>
                <w:rFonts w:hint="eastAsia" w:ascii="Times New Roman" w:hAnsi="Times New Roman" w:eastAsia="宋体" w:cs="Times New Roman"/>
              </w:rPr>
            </w:pPr>
          </w:p>
        </w:tc>
      </w:tr>
      <w:tr w14:paraId="38425236">
        <w:tblPrEx>
          <w:tblCellMar>
            <w:top w:w="15" w:type="dxa"/>
            <w:left w:w="15" w:type="dxa"/>
            <w:bottom w:w="15" w:type="dxa"/>
            <w:right w:w="15" w:type="dxa"/>
          </w:tblCellMar>
        </w:tblPrEx>
        <w:trPr>
          <w:trHeight w:val="13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7B74856">
            <w:pPr>
              <w:pStyle w:val="49"/>
              <w:bidi w:val="0"/>
              <w:rPr>
                <w:rFonts w:hint="eastAsia" w:ascii="Times New Roman" w:hAnsi="Times New Roman" w:eastAsia="宋体" w:cs="Times New Roman"/>
              </w:rPr>
            </w:pPr>
            <w:r>
              <w:rPr>
                <w:rFonts w:hint="eastAsia" w:ascii="Times New Roman" w:hAnsi="Times New Roman" w:eastAsia="宋体" w:cs="Times New Roman"/>
              </w:rPr>
              <w:t>…</w:t>
            </w:r>
          </w:p>
        </w:tc>
        <w:tc>
          <w:tcPr>
            <w:tcW w:w="4057" w:type="dxa"/>
            <w:tcBorders>
              <w:top w:val="single" w:color="auto" w:sz="4" w:space="0"/>
              <w:left w:val="single" w:color="auto" w:sz="4" w:space="0"/>
              <w:bottom w:val="single" w:color="auto" w:sz="4" w:space="0"/>
              <w:right w:val="single" w:color="auto" w:sz="4" w:space="0"/>
            </w:tcBorders>
            <w:vAlign w:val="center"/>
          </w:tcPr>
          <w:p w14:paraId="6AB299C7">
            <w:pPr>
              <w:pStyle w:val="49"/>
              <w:bidi w:val="0"/>
              <w:rPr>
                <w:rFonts w:hint="eastAsia" w:ascii="Times New Roman" w:hAnsi="Times New Roman" w:eastAsia="宋体" w:cs="Times New Roman"/>
              </w:rPr>
            </w:pPr>
          </w:p>
        </w:tc>
        <w:tc>
          <w:tcPr>
            <w:tcW w:w="933" w:type="dxa"/>
            <w:tcBorders>
              <w:top w:val="single" w:color="auto" w:sz="4" w:space="0"/>
              <w:left w:val="single" w:color="auto" w:sz="4" w:space="0"/>
              <w:bottom w:val="single" w:color="auto" w:sz="4" w:space="0"/>
              <w:right w:val="single" w:color="auto" w:sz="4" w:space="0"/>
            </w:tcBorders>
            <w:vAlign w:val="center"/>
          </w:tcPr>
          <w:p w14:paraId="31358264">
            <w:pPr>
              <w:pStyle w:val="49"/>
              <w:bidi w:val="0"/>
              <w:rPr>
                <w:rFonts w:hint="eastAsia" w:ascii="Times New Roman" w:hAnsi="Times New Roman" w:eastAsia="宋体" w:cs="Times New Roman"/>
              </w:rPr>
            </w:pPr>
          </w:p>
        </w:tc>
        <w:tc>
          <w:tcPr>
            <w:tcW w:w="1117" w:type="dxa"/>
            <w:tcBorders>
              <w:top w:val="single" w:color="auto" w:sz="4" w:space="0"/>
              <w:left w:val="single" w:color="auto" w:sz="4" w:space="0"/>
              <w:bottom w:val="single" w:color="auto" w:sz="4" w:space="0"/>
              <w:right w:val="single" w:color="auto" w:sz="4" w:space="0"/>
            </w:tcBorders>
            <w:vAlign w:val="center"/>
          </w:tcPr>
          <w:p w14:paraId="64AFD60E">
            <w:pPr>
              <w:pStyle w:val="49"/>
              <w:bidi w:val="0"/>
              <w:rPr>
                <w:rFonts w:hint="eastAsia" w:ascii="Times New Roman" w:hAnsi="Times New Roman" w:eastAsia="宋体" w:cs="Times New Roman"/>
              </w:rPr>
            </w:pPr>
          </w:p>
        </w:tc>
        <w:tc>
          <w:tcPr>
            <w:tcW w:w="989" w:type="dxa"/>
            <w:tcBorders>
              <w:top w:val="single" w:color="auto" w:sz="4" w:space="0"/>
              <w:left w:val="single" w:color="auto" w:sz="4" w:space="0"/>
              <w:bottom w:val="single" w:color="auto" w:sz="4" w:space="0"/>
              <w:right w:val="single" w:color="auto" w:sz="4" w:space="0"/>
            </w:tcBorders>
            <w:vAlign w:val="center"/>
          </w:tcPr>
          <w:p w14:paraId="3D08FBDC">
            <w:pPr>
              <w:pStyle w:val="49"/>
              <w:bidi w:val="0"/>
              <w:rPr>
                <w:rFonts w:hint="eastAsia" w:ascii="Times New Roman" w:hAnsi="Times New Roman" w:eastAsia="宋体" w:cs="Times New Roman"/>
              </w:rPr>
            </w:pPr>
          </w:p>
        </w:tc>
        <w:tc>
          <w:tcPr>
            <w:tcW w:w="1434" w:type="dxa"/>
            <w:tcBorders>
              <w:top w:val="single" w:color="auto" w:sz="4" w:space="0"/>
              <w:left w:val="single" w:color="auto" w:sz="4" w:space="0"/>
              <w:bottom w:val="single" w:color="auto" w:sz="4" w:space="0"/>
              <w:right w:val="single" w:color="auto" w:sz="4" w:space="0"/>
            </w:tcBorders>
            <w:vAlign w:val="center"/>
          </w:tcPr>
          <w:p w14:paraId="095C05C6">
            <w:pPr>
              <w:pStyle w:val="49"/>
              <w:bidi w:val="0"/>
              <w:rPr>
                <w:rFonts w:hint="eastAsia" w:ascii="Times New Roman" w:hAnsi="Times New Roman" w:eastAsia="宋体" w:cs="Times New Roman"/>
              </w:rPr>
            </w:pPr>
          </w:p>
        </w:tc>
      </w:tr>
    </w:tbl>
    <w:p w14:paraId="026D5F95">
      <w:pPr>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注：评审项目、评分标准、分值对应“第五章  评标原则及方法”技术资信分评审内容。</w:t>
      </w:r>
    </w:p>
    <w:p w14:paraId="596FD6C5">
      <w:pPr>
        <w:spacing w:line="440" w:lineRule="exact"/>
        <w:ind w:firstLine="4860"/>
        <w:textAlignment w:val="baseline"/>
        <w:rPr>
          <w:rFonts w:ascii="宋体" w:hAnsi="宋体" w:cs="宋体"/>
          <w:b/>
          <w:bCs/>
          <w:color w:val="auto"/>
          <w:sz w:val="20"/>
          <w:szCs w:val="21"/>
          <w:highlight w:val="none"/>
        </w:rPr>
      </w:pPr>
    </w:p>
    <w:p w14:paraId="15F8BCD2">
      <w:pPr>
        <w:spacing w:line="440" w:lineRule="exact"/>
        <w:ind w:firstLine="4860"/>
        <w:textAlignment w:val="baseline"/>
        <w:rPr>
          <w:rFonts w:ascii="宋体" w:hAnsi="宋体" w:cs="宋体"/>
          <w:b/>
          <w:bCs/>
          <w:color w:val="auto"/>
          <w:sz w:val="20"/>
          <w:szCs w:val="21"/>
          <w:highlight w:val="none"/>
        </w:rPr>
      </w:pPr>
    </w:p>
    <w:p w14:paraId="19C5173D">
      <w:pPr>
        <w:spacing w:line="440" w:lineRule="exact"/>
        <w:ind w:firstLine="482" w:firstLineChars="20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r>
        <w:rPr>
          <w:rFonts w:hint="eastAsia" w:ascii="宋体" w:hAnsi="宋体" w:cs="宋体"/>
          <w:b/>
          <w:bCs/>
          <w:color w:val="auto"/>
          <w:szCs w:val="21"/>
          <w:highlight w:val="none"/>
          <w:u w:val="single" w:color="000000"/>
        </w:rPr>
        <w:t xml:space="preserve">                               </w:t>
      </w:r>
    </w:p>
    <w:p w14:paraId="1A30B029">
      <w:pPr>
        <w:spacing w:line="440" w:lineRule="exact"/>
        <w:ind w:firstLine="422" w:firstLineChars="20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   期：    年     月     日</w:t>
      </w:r>
      <w:r>
        <w:rPr>
          <w:rFonts w:hint="eastAsia" w:ascii="宋体" w:hAnsi="宋体" w:cs="宋体"/>
          <w:color w:val="auto"/>
          <w:szCs w:val="21"/>
          <w:highlight w:val="none"/>
        </w:rPr>
        <w:t xml:space="preserve">                            </w:t>
      </w:r>
    </w:p>
    <w:p w14:paraId="01CDCE2A">
      <w:pPr>
        <w:pStyle w:val="30"/>
        <w:spacing w:line="360" w:lineRule="auto"/>
        <w:ind w:firstLine="44"/>
        <w:textAlignment w:val="baseline"/>
        <w:rPr>
          <w:rFonts w:ascii="宋体" w:hAnsi="宋体" w:eastAsia="宋体"/>
          <w:color w:val="auto"/>
          <w:sz w:val="22"/>
          <w:szCs w:val="22"/>
          <w:highlight w:val="none"/>
          <w:u w:val="single" w:color="000000"/>
        </w:rPr>
      </w:pPr>
    </w:p>
    <w:p w14:paraId="4874633B">
      <w:pPr>
        <w:spacing w:line="360" w:lineRule="auto"/>
        <w:ind w:firstLine="442" w:firstLineChars="200"/>
        <w:jc w:val="left"/>
        <w:textAlignment w:val="baseline"/>
        <w:outlineLvl w:val="9"/>
        <w:rPr>
          <w:rFonts w:hint="eastAsia" w:ascii="宋体" w:hAnsi="宋体" w:cs="宋体"/>
          <w:b/>
          <w:bCs/>
          <w:color w:val="auto"/>
          <w:sz w:val="22"/>
          <w:highlight w:val="none"/>
        </w:rPr>
      </w:pPr>
    </w:p>
    <w:p w14:paraId="35F5663E">
      <w:pPr>
        <w:pStyle w:val="12"/>
        <w:rPr>
          <w:rFonts w:hint="eastAsia" w:ascii="宋体" w:hAnsi="宋体" w:cs="宋体"/>
          <w:b/>
          <w:bCs/>
          <w:color w:val="auto"/>
          <w:sz w:val="22"/>
          <w:highlight w:val="none"/>
        </w:rPr>
      </w:pPr>
    </w:p>
    <w:p w14:paraId="2D63F6B4">
      <w:pPr>
        <w:pStyle w:val="57"/>
        <w:rPr>
          <w:rFonts w:hint="eastAsia" w:ascii="宋体" w:hAnsi="宋体" w:cs="宋体"/>
          <w:b/>
          <w:bCs/>
          <w:color w:val="auto"/>
          <w:sz w:val="22"/>
          <w:highlight w:val="none"/>
        </w:rPr>
      </w:pPr>
    </w:p>
    <w:p w14:paraId="6EE0CE87">
      <w:pPr>
        <w:pStyle w:val="61"/>
        <w:rPr>
          <w:rFonts w:hint="eastAsia" w:ascii="宋体" w:hAnsi="宋体" w:cs="宋体"/>
          <w:b/>
          <w:bCs/>
          <w:color w:val="auto"/>
          <w:sz w:val="22"/>
          <w:highlight w:val="none"/>
        </w:rPr>
      </w:pPr>
    </w:p>
    <w:p w14:paraId="4A477CB3">
      <w:pPr>
        <w:rPr>
          <w:rFonts w:hint="eastAsia" w:ascii="宋体" w:hAnsi="宋体" w:cs="宋体"/>
          <w:b/>
          <w:bCs/>
          <w:color w:val="auto"/>
          <w:sz w:val="22"/>
          <w:highlight w:val="none"/>
        </w:rPr>
      </w:pPr>
    </w:p>
    <w:p w14:paraId="6521A99D">
      <w:pPr>
        <w:pStyle w:val="12"/>
        <w:rPr>
          <w:rFonts w:hint="eastAsia"/>
          <w:color w:val="auto"/>
          <w:highlight w:val="none"/>
        </w:rPr>
      </w:pPr>
    </w:p>
    <w:p w14:paraId="25C7ECD4">
      <w:pPr>
        <w:spacing w:line="360" w:lineRule="auto"/>
        <w:ind w:firstLine="442" w:firstLineChars="200"/>
        <w:jc w:val="left"/>
        <w:textAlignment w:val="baseline"/>
        <w:outlineLvl w:val="9"/>
        <w:rPr>
          <w:rFonts w:hint="eastAsia" w:ascii="宋体" w:hAnsi="宋体" w:cs="宋体"/>
          <w:b/>
          <w:bCs/>
          <w:color w:val="auto"/>
          <w:sz w:val="22"/>
          <w:highlight w:val="none"/>
        </w:rPr>
      </w:pPr>
    </w:p>
    <w:p w14:paraId="15F1778B">
      <w:pPr>
        <w:spacing w:line="360" w:lineRule="auto"/>
        <w:ind w:firstLine="442" w:firstLineChars="200"/>
        <w:jc w:val="left"/>
        <w:textAlignment w:val="baseline"/>
        <w:outlineLvl w:val="0"/>
        <w:rPr>
          <w:rFonts w:hint="default" w:ascii="宋体" w:hAnsi="宋体" w:eastAsia="宋体" w:cs="宋体"/>
          <w:b/>
          <w:bCs/>
          <w:color w:val="auto"/>
          <w:sz w:val="22"/>
          <w:highlight w:val="none"/>
          <w:lang w:val="en-US" w:eastAsia="zh-CN"/>
        </w:rPr>
      </w:pPr>
      <w:r>
        <w:rPr>
          <w:rFonts w:hint="eastAsia" w:ascii="宋体" w:hAnsi="宋体" w:cs="宋体"/>
          <w:b/>
          <w:bCs/>
          <w:color w:val="auto"/>
          <w:sz w:val="22"/>
          <w:highlight w:val="none"/>
        </w:rPr>
        <w:t>附件</w:t>
      </w:r>
      <w:bookmarkEnd w:id="90"/>
      <w:r>
        <w:rPr>
          <w:rFonts w:hint="eastAsia" w:ascii="宋体" w:hAnsi="宋体" w:cs="宋体"/>
          <w:b/>
          <w:bCs/>
          <w:color w:val="auto"/>
          <w:sz w:val="22"/>
          <w:highlight w:val="none"/>
          <w:lang w:val="en-US" w:eastAsia="zh-CN"/>
        </w:rPr>
        <w:t>2</w:t>
      </w:r>
    </w:p>
    <w:p w14:paraId="2691F555">
      <w:pPr>
        <w:widowControl/>
        <w:spacing w:line="420" w:lineRule="atLeast"/>
        <w:ind w:firstLine="602" w:firstLineChars="200"/>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投标声明书</w:t>
      </w:r>
    </w:p>
    <w:p w14:paraId="6A8AE1F7">
      <w:pPr>
        <w:widowControl w:val="0"/>
        <w:spacing w:line="360" w:lineRule="auto"/>
        <w:ind w:firstLine="420" w:firstLineChars="200"/>
        <w:jc w:val="both"/>
        <w:textAlignment w:val="baseline"/>
        <w:rPr>
          <w:rFonts w:ascii="宋体" w:hAnsi="宋体" w:cs="宋体"/>
          <w:color w:val="auto"/>
          <w:sz w:val="20"/>
          <w:szCs w:val="21"/>
          <w:highlight w:val="none"/>
        </w:rPr>
      </w:pPr>
      <w:r>
        <w:rPr>
          <w:rFonts w:hint="eastAsia" w:ascii="宋体" w:hAnsi="宋体" w:cs="宋体"/>
          <w:color w:val="auto"/>
          <w:szCs w:val="21"/>
          <w:highlight w:val="none"/>
          <w:lang w:eastAsia="zh-CN"/>
        </w:rPr>
        <w:t>常山县紫港街道办事处</w:t>
      </w:r>
      <w:r>
        <w:rPr>
          <w:rFonts w:hint="eastAsia" w:ascii="宋体" w:hAnsi="宋体" w:cs="宋体"/>
          <w:color w:val="auto"/>
          <w:szCs w:val="21"/>
          <w:highlight w:val="none"/>
        </w:rPr>
        <w:t>：</w:t>
      </w:r>
    </w:p>
    <w:p w14:paraId="76CD7FB9">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lang w:eastAsia="zh-CN"/>
        </w:rPr>
        <w:t xml:space="preserve">常山县紫港街道外港零担菜市场临时疏导点运营管理项目 </w:t>
      </w:r>
      <w:r>
        <w:rPr>
          <w:rFonts w:hint="eastAsia" w:ascii="宋体" w:hAnsi="宋体" w:cs="宋体"/>
          <w:color w:val="auto"/>
          <w:szCs w:val="21"/>
          <w:highlight w:val="none"/>
          <w:u w:val="single"/>
          <w:lang w:val="en-US" w:eastAsia="zh-CN"/>
        </w:rPr>
        <w:t xml:space="preserve"> ，</w:t>
      </w:r>
      <w:r>
        <w:rPr>
          <w:rFonts w:hint="eastAsia" w:ascii="宋体" w:hAnsi="宋体" w:cs="宋体"/>
          <w:color w:val="auto"/>
          <w:kern w:val="0"/>
          <w:szCs w:val="21"/>
          <w:highlight w:val="none"/>
          <w:u w:val="single"/>
        </w:rPr>
        <w:t>（项目编号：</w:t>
      </w:r>
      <w:r>
        <w:rPr>
          <w:rFonts w:hint="eastAsia" w:ascii="宋体" w:hAnsi="宋体" w:cs="宋体"/>
          <w:color w:val="auto"/>
          <w:kern w:val="0"/>
          <w:szCs w:val="21"/>
          <w:highlight w:val="none"/>
          <w:u w:val="single"/>
          <w:lang w:eastAsia="zh-CN"/>
        </w:rPr>
        <w:t>JYZFCG-2025-CS008</w:t>
      </w:r>
      <w:r>
        <w:rPr>
          <w:rFonts w:hint="eastAsia" w:ascii="宋体" w:hAnsi="宋体" w:cs="宋体"/>
          <w:color w:val="auto"/>
          <w:kern w:val="0"/>
          <w:szCs w:val="21"/>
          <w:highlight w:val="none"/>
          <w:u w:val="single"/>
        </w:rPr>
        <w:t>）</w:t>
      </w:r>
      <w:r>
        <w:rPr>
          <w:rFonts w:hint="eastAsia" w:ascii="宋体" w:hAnsi="宋体" w:cs="宋体"/>
          <w:color w:val="auto"/>
          <w:szCs w:val="21"/>
          <w:highlight w:val="none"/>
        </w:rPr>
        <w:t>的招标文件，我方</w:t>
      </w:r>
      <w:r>
        <w:rPr>
          <w:rFonts w:hint="eastAsia" w:ascii="宋体" w:hAnsi="宋体" w:cs="宋体"/>
          <w:color w:val="auto"/>
          <w:szCs w:val="21"/>
          <w:highlight w:val="none"/>
          <w:u w:val="single" w:color="000000"/>
        </w:rPr>
        <w:t>　</w:t>
      </w:r>
      <w:r>
        <w:rPr>
          <w:rFonts w:hint="eastAsia" w:ascii="宋体" w:hAnsi="宋体" w:cs="宋体"/>
          <w:color w:val="auto"/>
          <w:szCs w:val="21"/>
          <w:highlight w:val="none"/>
          <w:u w:val="single" w:color="000000"/>
          <w:lang w:val="en-US" w:eastAsia="zh-CN"/>
        </w:rPr>
        <w:t xml:space="preserve">  </w:t>
      </w:r>
      <w:r>
        <w:rPr>
          <w:rFonts w:hint="eastAsia" w:ascii="宋体" w:hAnsi="宋体" w:cs="宋体"/>
          <w:color w:val="auto"/>
          <w:szCs w:val="21"/>
          <w:highlight w:val="none"/>
          <w:u w:val="single" w:color="000000"/>
        </w:rPr>
        <w:t>　</w:t>
      </w:r>
      <w:r>
        <w:rPr>
          <w:rFonts w:hint="eastAsia" w:ascii="宋体" w:hAnsi="宋体" w:cs="宋体"/>
          <w:color w:val="auto"/>
          <w:szCs w:val="21"/>
          <w:highlight w:val="none"/>
          <w:u w:val="single" w:color="000000"/>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名称）作为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正式授权</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 xml:space="preserve">   </w:t>
      </w:r>
      <w:r>
        <w:rPr>
          <w:rFonts w:hint="eastAsia" w:ascii="宋体" w:hAnsi="宋体" w:cs="宋体"/>
          <w:color w:val="auto"/>
          <w:szCs w:val="21"/>
          <w:highlight w:val="none"/>
          <w:u w:val="single" w:color="000000"/>
        </w:rPr>
        <w:t>（</w:t>
      </w:r>
      <w:r>
        <w:rPr>
          <w:rFonts w:hint="eastAsia" w:ascii="宋体" w:hAnsi="宋体" w:cs="宋体"/>
          <w:color w:val="auto"/>
          <w:szCs w:val="21"/>
          <w:highlight w:val="none"/>
        </w:rPr>
        <w:t>授权代表全名，职务）代表我方处理有关本投标的一切事宜。</w:t>
      </w:r>
    </w:p>
    <w:p w14:paraId="21CF6EC9">
      <w:pPr>
        <w:pStyle w:val="3"/>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在此</w:t>
      </w:r>
      <w:r>
        <w:rPr>
          <w:rFonts w:hint="eastAsia" w:ascii="宋体" w:hAnsi="宋体" w:cs="宋体"/>
          <w:color w:val="auto"/>
          <w:spacing w:val="-3"/>
          <w:highlight w:val="none"/>
        </w:rPr>
        <w:t>提</w:t>
      </w:r>
      <w:r>
        <w:rPr>
          <w:rFonts w:hint="eastAsia" w:ascii="宋体" w:hAnsi="宋体" w:cs="宋体"/>
          <w:color w:val="auto"/>
          <w:highlight w:val="none"/>
        </w:rPr>
        <w:t>供</w:t>
      </w:r>
      <w:r>
        <w:rPr>
          <w:rFonts w:hint="eastAsia" w:ascii="宋体" w:hAnsi="宋体" w:cs="宋体"/>
          <w:color w:val="auto"/>
          <w:spacing w:val="-3"/>
          <w:highlight w:val="none"/>
          <w:lang w:eastAsia="zh-CN"/>
        </w:rPr>
        <w:t>供应商</w:t>
      </w:r>
      <w:r>
        <w:rPr>
          <w:rFonts w:hint="eastAsia" w:ascii="宋体" w:hAnsi="宋体" w:cs="宋体"/>
          <w:color w:val="auto"/>
          <w:highlight w:val="none"/>
        </w:rPr>
        <w:t>须知规</w:t>
      </w:r>
      <w:r>
        <w:rPr>
          <w:rFonts w:hint="eastAsia" w:ascii="宋体" w:hAnsi="宋体" w:cs="宋体"/>
          <w:color w:val="auto"/>
          <w:spacing w:val="-3"/>
          <w:highlight w:val="none"/>
        </w:rPr>
        <w:t>定的</w:t>
      </w:r>
      <w:r>
        <w:rPr>
          <w:rFonts w:hint="eastAsia" w:ascii="宋体" w:hAnsi="宋体" w:cs="宋体"/>
          <w:color w:val="auto"/>
          <w:highlight w:val="none"/>
        </w:rPr>
        <w:t>全部</w:t>
      </w:r>
      <w:r>
        <w:rPr>
          <w:rFonts w:hint="eastAsia" w:ascii="宋体" w:hAnsi="宋体" w:cs="宋体"/>
          <w:color w:val="auto"/>
          <w:spacing w:val="-3"/>
          <w:highlight w:val="none"/>
          <w:lang w:eastAsia="zh-CN"/>
        </w:rPr>
        <w:t>响应文件</w:t>
      </w:r>
      <w:r>
        <w:rPr>
          <w:rFonts w:hint="eastAsia" w:ascii="宋体" w:hAnsi="宋体" w:cs="宋体"/>
          <w:color w:val="auto"/>
          <w:highlight w:val="none"/>
        </w:rPr>
        <w:t>。</w:t>
      </w:r>
    </w:p>
    <w:p w14:paraId="593B1D9B">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lang w:eastAsia="zh-CN"/>
        </w:rPr>
        <w:t>已</w:t>
      </w:r>
      <w:r>
        <w:rPr>
          <w:rFonts w:hint="eastAsia" w:ascii="宋体" w:hAnsi="宋体" w:cs="宋体"/>
          <w:color w:val="auto"/>
          <w:szCs w:val="21"/>
          <w:highlight w:val="none"/>
        </w:rPr>
        <w:t>完全明白招标文件的所有条款要求，并重申以下几点：</w:t>
      </w:r>
    </w:p>
    <w:p w14:paraId="16823141">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已详细审查全部“</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文件”，包括修改、澄清文件（如有的话）以及全部参考资料和有关附件，已经了解我方对于招标文件、采购过程、采购结果有依法进行询问、质疑、投诉的权利及相关渠道和要求。</w:t>
      </w:r>
    </w:p>
    <w:p w14:paraId="7035E239">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在投标之前已经与贵方进行了充分的沟通，完全理解并接受招标文件的各项规定和要求，对招标文件的合理性、合法性不再有异议。</w:t>
      </w:r>
    </w:p>
    <w:p w14:paraId="430AD288">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（三）本投标有效期自开标日起90日。</w:t>
      </w:r>
    </w:p>
    <w:p w14:paraId="4B59C5D6">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（四）如中标，本</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至本项目合同履行完毕止均保持有效，本</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将按“招标文件”及政府采购法律、法规的规定履行合同责任和义务。</w:t>
      </w:r>
    </w:p>
    <w:p w14:paraId="42997BD0">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同意按照贵方要求提供与投标有关的一切数据或资料。</w:t>
      </w:r>
    </w:p>
    <w:p w14:paraId="140C8D5B">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（六）我方向贵方提交的所有</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、资料都是准确的和真实的。</w:t>
      </w:r>
    </w:p>
    <w:p w14:paraId="22FD830B">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（七）我方不是采购人的附属机构；在获知本项目采购信息后，与采购人聘请的为此项目提供咨询服务的公司及其附属机构没有任何联系。</w:t>
      </w:r>
    </w:p>
    <w:p w14:paraId="36DC9A5B">
      <w:pPr>
        <w:spacing w:line="440" w:lineRule="exact"/>
        <w:ind w:firstLine="420" w:firstLineChars="200"/>
        <w:textAlignment w:val="baseline"/>
        <w:rPr>
          <w:rFonts w:ascii="宋体" w:hAnsi="宋体" w:cs="宋体"/>
          <w:color w:val="auto"/>
          <w:sz w:val="20"/>
          <w:szCs w:val="21"/>
          <w:highlight w:val="none"/>
          <w:u w:val="single"/>
        </w:rPr>
      </w:pPr>
      <w:r>
        <w:rPr>
          <w:rFonts w:hint="eastAsia" w:ascii="宋体" w:hAnsi="宋体" w:cs="宋体"/>
          <w:color w:val="auto"/>
          <w:szCs w:val="21"/>
          <w:highlight w:val="none"/>
        </w:rPr>
        <w:t>（八）以上事项如有虚假或隐瞒，我方愿意承担一切后果，并不再寻求任何旨在减轻或免除法律责任的辩解。</w:t>
      </w:r>
    </w:p>
    <w:p w14:paraId="26B82B7E">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（九）本投标有关的一切正式往来信函请寄：</w:t>
      </w:r>
    </w:p>
    <w:p w14:paraId="7BD45F41">
      <w:pPr>
        <w:spacing w:line="440" w:lineRule="exact"/>
        <w:ind w:firstLine="420" w:firstLineChars="200"/>
        <w:textAlignment w:val="baseline"/>
        <w:rPr>
          <w:rFonts w:hint="default" w:ascii="宋体" w:hAnsi="宋体" w:eastAsia="宋体" w:cs="宋体"/>
          <w:color w:val="auto"/>
          <w:sz w:val="20"/>
          <w:szCs w:val="21"/>
          <w:highlight w:val="none"/>
          <w:u w:val="single"/>
          <w:lang w:val="en-US"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p>
    <w:p w14:paraId="729BDF09">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p>
    <w:p w14:paraId="2FF16C25">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p>
    <w:p w14:paraId="546BABAC">
      <w:pPr>
        <w:spacing w:line="440" w:lineRule="exact"/>
        <w:ind w:firstLine="420" w:firstLineChars="200"/>
        <w:textAlignment w:val="baseline"/>
        <w:rPr>
          <w:rFonts w:hint="default" w:ascii="宋体" w:hAnsi="宋体" w:eastAsia="宋体" w:cs="宋体"/>
          <w:color w:val="auto"/>
          <w:sz w:val="20"/>
          <w:szCs w:val="21"/>
          <w:highlight w:val="none"/>
          <w:u w:val="single"/>
          <w:lang w:val="en-US" w:eastAsia="zh-CN"/>
        </w:rPr>
      </w:pPr>
      <w:r>
        <w:rPr>
          <w:rFonts w:hint="eastAsia" w:ascii="宋体" w:hAnsi="宋体" w:cs="宋体"/>
          <w:color w:val="auto"/>
          <w:szCs w:val="21"/>
          <w:highlight w:val="none"/>
        </w:rPr>
        <w:t>电子邮件</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p>
    <w:p w14:paraId="1A334D98">
      <w:pPr>
        <w:bidi w:val="0"/>
        <w:ind w:firstLine="420" w:firstLineChars="200"/>
      </w:pPr>
      <w:r>
        <w:rPr>
          <w:rFonts w:hint="eastAsia"/>
        </w:rPr>
        <w:t>供应商名称（盖章）：</w:t>
      </w:r>
    </w:p>
    <w:p w14:paraId="0CA38252">
      <w:pPr>
        <w:bidi w:val="0"/>
        <w:ind w:firstLine="420" w:firstLineChars="200"/>
      </w:pPr>
      <w:r>
        <w:rPr>
          <w:rFonts w:hint="eastAsia"/>
        </w:rP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133FD61C">
      <w:pPr>
        <w:ind w:firstLine="442" w:firstLineChars="200"/>
        <w:rPr>
          <w:rFonts w:hint="eastAsia" w:ascii="宋体" w:hAnsi="宋体" w:cs="宋体"/>
          <w:b/>
          <w:bCs/>
          <w:color w:val="auto"/>
          <w:sz w:val="22"/>
          <w:highlight w:val="none"/>
        </w:rPr>
      </w:pPr>
      <w:bookmarkStart w:id="91" w:name="_Toc231"/>
      <w:r>
        <w:rPr>
          <w:rFonts w:hint="eastAsia" w:ascii="宋体" w:hAnsi="宋体" w:cs="宋体"/>
          <w:b/>
          <w:bCs/>
          <w:color w:val="auto"/>
          <w:sz w:val="22"/>
          <w:highlight w:val="none"/>
        </w:rPr>
        <w:br w:type="page"/>
      </w:r>
    </w:p>
    <w:p w14:paraId="59F101B6">
      <w:pPr>
        <w:spacing w:line="360" w:lineRule="auto"/>
        <w:ind w:firstLine="442" w:firstLineChars="200"/>
        <w:textAlignment w:val="baseline"/>
        <w:outlineLvl w:val="0"/>
        <w:rPr>
          <w:rFonts w:hint="default" w:ascii="宋体" w:hAnsi="宋体" w:eastAsia="宋体" w:cs="宋体"/>
          <w:b/>
          <w:bCs/>
          <w:color w:val="auto"/>
          <w:sz w:val="22"/>
          <w:highlight w:val="none"/>
          <w:lang w:val="en-US" w:eastAsia="zh-CN"/>
        </w:rPr>
      </w:pPr>
      <w:r>
        <w:rPr>
          <w:rFonts w:hint="eastAsia" w:ascii="宋体" w:hAnsi="宋体" w:cs="宋体"/>
          <w:b/>
          <w:bCs/>
          <w:color w:val="auto"/>
          <w:sz w:val="22"/>
          <w:highlight w:val="none"/>
        </w:rPr>
        <w:t>附件</w:t>
      </w:r>
      <w:bookmarkEnd w:id="91"/>
      <w:r>
        <w:rPr>
          <w:rFonts w:hint="eastAsia" w:ascii="宋体" w:hAnsi="宋体" w:cs="宋体"/>
          <w:b/>
          <w:bCs/>
          <w:color w:val="auto"/>
          <w:sz w:val="22"/>
          <w:highlight w:val="none"/>
          <w:lang w:val="en-US" w:eastAsia="zh-CN"/>
        </w:rPr>
        <w:t>3</w:t>
      </w:r>
    </w:p>
    <w:p w14:paraId="70F5769B">
      <w:pPr>
        <w:widowControl/>
        <w:spacing w:line="360" w:lineRule="auto"/>
        <w:ind w:left="0" w:leftChars="0" w:firstLine="602" w:firstLineChars="200"/>
        <w:jc w:val="center"/>
        <w:textAlignment w:val="baseline"/>
        <w:rPr>
          <w:rFonts w:ascii="宋体" w:hAnsi="宋体" w:cs="宋体"/>
          <w:b/>
          <w:bCs/>
          <w:color w:val="auto"/>
          <w:kern w:val="0"/>
          <w:sz w:val="30"/>
          <w:szCs w:val="30"/>
          <w:highlight w:val="none"/>
        </w:rPr>
      </w:pPr>
      <w:bookmarkStart w:id="92" w:name="_Toc13405_WPSOffice_Level1"/>
      <w:bookmarkStart w:id="93" w:name="_Toc8847_WPSOffice_Level1"/>
      <w:r>
        <w:rPr>
          <w:rFonts w:hint="eastAsia" w:ascii="宋体" w:hAnsi="宋体" w:cs="宋体"/>
          <w:b/>
          <w:bCs/>
          <w:color w:val="auto"/>
          <w:kern w:val="0"/>
          <w:sz w:val="30"/>
          <w:szCs w:val="30"/>
          <w:highlight w:val="none"/>
        </w:rPr>
        <w:t>磋商供应商基本情况表</w:t>
      </w:r>
      <w:bookmarkEnd w:id="92"/>
      <w:bookmarkEnd w:id="93"/>
    </w:p>
    <w:tbl>
      <w:tblPr>
        <w:tblStyle w:val="32"/>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8"/>
        <w:gridCol w:w="1209"/>
        <w:gridCol w:w="1423"/>
        <w:gridCol w:w="1431"/>
        <w:gridCol w:w="1533"/>
        <w:gridCol w:w="308"/>
        <w:gridCol w:w="1571"/>
      </w:tblGrid>
      <w:tr w14:paraId="7241C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768" w:type="dxa"/>
            <w:tcBorders>
              <w:top w:val="single" w:color="auto" w:sz="4" w:space="0"/>
              <w:bottom w:val="single" w:color="auto" w:sz="4" w:space="0"/>
              <w:right w:val="single" w:color="auto" w:sz="4" w:space="0"/>
            </w:tcBorders>
            <w:vAlign w:val="center"/>
          </w:tcPr>
          <w:p w14:paraId="6305A642">
            <w:pPr>
              <w:pStyle w:val="49"/>
              <w:bidi w:val="0"/>
              <w:rPr>
                <w:rFonts w:hint="eastAsia" w:ascii="Times New Roman" w:hAnsi="Times New Roman" w:eastAsia="宋体" w:cs="Times New Roman"/>
              </w:rPr>
            </w:pPr>
            <w:r>
              <w:rPr>
                <w:rFonts w:hint="eastAsia" w:ascii="Times New Roman" w:hAnsi="Times New Roman" w:eastAsia="宋体" w:cs="Times New Roman"/>
              </w:rPr>
              <w:t>磋商供应商名称</w:t>
            </w:r>
          </w:p>
        </w:tc>
        <w:tc>
          <w:tcPr>
            <w:tcW w:w="7475" w:type="dxa"/>
            <w:gridSpan w:val="6"/>
            <w:tcBorders>
              <w:top w:val="single" w:color="auto" w:sz="4" w:space="0"/>
              <w:left w:val="single" w:color="auto" w:sz="4" w:space="0"/>
              <w:bottom w:val="single" w:color="auto" w:sz="4" w:space="0"/>
            </w:tcBorders>
            <w:vAlign w:val="center"/>
          </w:tcPr>
          <w:p w14:paraId="2ED6F003">
            <w:pPr>
              <w:pStyle w:val="49"/>
              <w:bidi w:val="0"/>
              <w:rPr>
                <w:rFonts w:hint="eastAsia" w:ascii="Times New Roman" w:hAnsi="Times New Roman" w:eastAsia="宋体" w:cs="Times New Roman"/>
              </w:rPr>
            </w:pPr>
          </w:p>
        </w:tc>
      </w:tr>
      <w:tr w14:paraId="5050C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71461696">
            <w:pPr>
              <w:pStyle w:val="49"/>
              <w:bidi w:val="0"/>
              <w:rPr>
                <w:rFonts w:hint="eastAsia" w:ascii="Times New Roman" w:hAnsi="Times New Roman" w:eastAsia="宋体" w:cs="Times New Roman"/>
              </w:rPr>
            </w:pPr>
            <w:r>
              <w:rPr>
                <w:rFonts w:hint="eastAsia" w:ascii="Times New Roman" w:hAnsi="Times New Roman" w:eastAsia="宋体" w:cs="Times New Roman"/>
              </w:rPr>
              <w:t>法定代表人</w:t>
            </w:r>
          </w:p>
        </w:tc>
        <w:tc>
          <w:tcPr>
            <w:tcW w:w="1209" w:type="dxa"/>
            <w:tcBorders>
              <w:top w:val="single" w:color="auto" w:sz="4" w:space="0"/>
              <w:left w:val="single" w:color="auto" w:sz="4" w:space="0"/>
              <w:bottom w:val="single" w:color="auto" w:sz="4" w:space="0"/>
              <w:right w:val="single" w:color="auto" w:sz="4" w:space="0"/>
            </w:tcBorders>
            <w:vAlign w:val="center"/>
          </w:tcPr>
          <w:p w14:paraId="31C8A139">
            <w:pPr>
              <w:pStyle w:val="49"/>
              <w:bidi w:val="0"/>
              <w:rPr>
                <w:rFonts w:hint="eastAsia" w:ascii="Times New Roman" w:hAnsi="Times New Roman" w:eastAsia="宋体" w:cs="Times New Roman"/>
              </w:rPr>
            </w:pPr>
          </w:p>
        </w:tc>
        <w:tc>
          <w:tcPr>
            <w:tcW w:w="1423" w:type="dxa"/>
            <w:tcBorders>
              <w:top w:val="single" w:color="auto" w:sz="4" w:space="0"/>
              <w:left w:val="single" w:color="auto" w:sz="4" w:space="0"/>
              <w:bottom w:val="single" w:color="auto" w:sz="4" w:space="0"/>
              <w:right w:val="single" w:color="auto" w:sz="4" w:space="0"/>
            </w:tcBorders>
            <w:vAlign w:val="center"/>
          </w:tcPr>
          <w:p w14:paraId="49564268">
            <w:pPr>
              <w:pStyle w:val="49"/>
              <w:bidi w:val="0"/>
              <w:rPr>
                <w:rFonts w:hint="eastAsia" w:ascii="Times New Roman" w:hAnsi="Times New Roman" w:eastAsia="宋体" w:cs="Times New Roman"/>
              </w:rPr>
            </w:pPr>
            <w:r>
              <w:rPr>
                <w:rFonts w:hint="eastAsia" w:ascii="Times New Roman" w:hAnsi="Times New Roman" w:eastAsia="宋体" w:cs="Times New Roman"/>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4D5431F2">
            <w:pPr>
              <w:pStyle w:val="49"/>
              <w:bidi w:val="0"/>
              <w:rPr>
                <w:rFonts w:hint="eastAsia" w:ascii="Times New Roman" w:hAnsi="Times New Roman" w:eastAsia="宋体" w:cs="Times New Roman"/>
              </w:rPr>
            </w:pPr>
          </w:p>
        </w:tc>
        <w:tc>
          <w:tcPr>
            <w:tcW w:w="1533" w:type="dxa"/>
            <w:tcBorders>
              <w:top w:val="single" w:color="auto" w:sz="4" w:space="0"/>
              <w:left w:val="single" w:color="auto" w:sz="4" w:space="0"/>
              <w:bottom w:val="single" w:color="auto" w:sz="4" w:space="0"/>
              <w:right w:val="single" w:color="auto" w:sz="4" w:space="0"/>
            </w:tcBorders>
            <w:vAlign w:val="center"/>
          </w:tcPr>
          <w:p w14:paraId="48B13CBA">
            <w:pPr>
              <w:pStyle w:val="49"/>
              <w:bidi w:val="0"/>
              <w:rPr>
                <w:rFonts w:hint="eastAsia" w:ascii="Times New Roman" w:hAnsi="Times New Roman" w:eastAsia="宋体" w:cs="Times New Roman"/>
              </w:rPr>
            </w:pPr>
            <w:r>
              <w:rPr>
                <w:rFonts w:hint="eastAsia" w:ascii="Times New Roman" w:hAnsi="Times New Roman" w:eastAsia="宋体" w:cs="Times New Roman"/>
              </w:rPr>
              <w:t>营业（经营）执照号码</w:t>
            </w:r>
          </w:p>
        </w:tc>
        <w:tc>
          <w:tcPr>
            <w:tcW w:w="1879" w:type="dxa"/>
            <w:gridSpan w:val="2"/>
            <w:tcBorders>
              <w:top w:val="single" w:color="auto" w:sz="4" w:space="0"/>
              <w:left w:val="single" w:color="auto" w:sz="4" w:space="0"/>
              <w:bottom w:val="single" w:color="auto" w:sz="4" w:space="0"/>
            </w:tcBorders>
            <w:vAlign w:val="center"/>
          </w:tcPr>
          <w:p w14:paraId="04C69209">
            <w:pPr>
              <w:pStyle w:val="49"/>
              <w:bidi w:val="0"/>
              <w:rPr>
                <w:rFonts w:hint="eastAsia" w:ascii="Times New Roman" w:hAnsi="Times New Roman" w:eastAsia="宋体" w:cs="Times New Roman"/>
              </w:rPr>
            </w:pPr>
          </w:p>
        </w:tc>
      </w:tr>
      <w:tr w14:paraId="03B43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1768" w:type="dxa"/>
            <w:tcBorders>
              <w:top w:val="single" w:color="auto" w:sz="4" w:space="0"/>
              <w:bottom w:val="single" w:color="auto" w:sz="4" w:space="0"/>
              <w:right w:val="single" w:color="auto" w:sz="4" w:space="0"/>
            </w:tcBorders>
            <w:vAlign w:val="center"/>
          </w:tcPr>
          <w:p w14:paraId="4EA9FF85">
            <w:pPr>
              <w:pStyle w:val="49"/>
              <w:bidi w:val="0"/>
              <w:rPr>
                <w:rFonts w:hint="eastAsia" w:ascii="Times New Roman" w:hAnsi="Times New Roman" w:eastAsia="宋体" w:cs="Times New Roman"/>
              </w:rPr>
            </w:pPr>
            <w:r>
              <w:rPr>
                <w:rFonts w:hint="eastAsia" w:ascii="Times New Roman" w:hAnsi="Times New Roman" w:eastAsia="宋体" w:cs="Times New Roman"/>
              </w:rPr>
              <w:t>职工人数</w:t>
            </w:r>
          </w:p>
        </w:tc>
        <w:tc>
          <w:tcPr>
            <w:tcW w:w="1209" w:type="dxa"/>
            <w:tcBorders>
              <w:top w:val="single" w:color="auto" w:sz="4" w:space="0"/>
              <w:left w:val="single" w:color="auto" w:sz="4" w:space="0"/>
              <w:bottom w:val="single" w:color="auto" w:sz="4" w:space="0"/>
              <w:right w:val="single" w:color="auto" w:sz="4" w:space="0"/>
            </w:tcBorders>
            <w:vAlign w:val="center"/>
          </w:tcPr>
          <w:p w14:paraId="04BD1867">
            <w:pPr>
              <w:pStyle w:val="49"/>
              <w:bidi w:val="0"/>
              <w:rPr>
                <w:rFonts w:hint="eastAsia" w:ascii="Times New Roman" w:hAnsi="Times New Roman" w:eastAsia="宋体" w:cs="Times New Roman"/>
              </w:rPr>
            </w:pPr>
          </w:p>
        </w:tc>
        <w:tc>
          <w:tcPr>
            <w:tcW w:w="1423" w:type="dxa"/>
            <w:tcBorders>
              <w:top w:val="single" w:color="auto" w:sz="4" w:space="0"/>
              <w:left w:val="single" w:color="auto" w:sz="4" w:space="0"/>
              <w:bottom w:val="single" w:color="auto" w:sz="4" w:space="0"/>
              <w:right w:val="single" w:color="auto" w:sz="4" w:space="0"/>
            </w:tcBorders>
            <w:vAlign w:val="center"/>
          </w:tcPr>
          <w:p w14:paraId="14271D51">
            <w:pPr>
              <w:pStyle w:val="49"/>
              <w:bidi w:val="0"/>
              <w:rPr>
                <w:rFonts w:hint="eastAsia" w:ascii="Times New Roman" w:hAnsi="Times New Roman" w:eastAsia="宋体" w:cs="Times New Roman"/>
              </w:rPr>
            </w:pPr>
            <w:r>
              <w:rPr>
                <w:rFonts w:hint="eastAsia" w:ascii="Times New Roman" w:hAnsi="Times New Roman" w:eastAsia="宋体" w:cs="Times New Roman"/>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3317F25B">
            <w:pPr>
              <w:pStyle w:val="49"/>
              <w:bidi w:val="0"/>
              <w:rPr>
                <w:rFonts w:hint="eastAsia" w:ascii="Times New Roman" w:hAnsi="Times New Roman" w:eastAsia="宋体" w:cs="Times New Roman"/>
              </w:rPr>
            </w:pPr>
          </w:p>
        </w:tc>
        <w:tc>
          <w:tcPr>
            <w:tcW w:w="1533" w:type="dxa"/>
            <w:tcBorders>
              <w:top w:val="single" w:color="auto" w:sz="4" w:space="0"/>
              <w:left w:val="single" w:color="auto" w:sz="4" w:space="0"/>
              <w:bottom w:val="single" w:color="auto" w:sz="4" w:space="0"/>
              <w:right w:val="single" w:color="auto" w:sz="4" w:space="0"/>
            </w:tcBorders>
            <w:vAlign w:val="center"/>
          </w:tcPr>
          <w:p w14:paraId="422F1EC6">
            <w:pPr>
              <w:pStyle w:val="49"/>
              <w:bidi w:val="0"/>
              <w:rPr>
                <w:rFonts w:hint="eastAsia" w:ascii="Times New Roman" w:hAnsi="Times New Roman" w:eastAsia="宋体" w:cs="Times New Roman"/>
              </w:rPr>
            </w:pPr>
            <w:r>
              <w:rPr>
                <w:rFonts w:hint="eastAsia" w:ascii="Times New Roman" w:hAnsi="Times New Roman" w:eastAsia="宋体" w:cs="Times New Roman"/>
              </w:rPr>
              <w:t>注册资金</w:t>
            </w:r>
          </w:p>
        </w:tc>
        <w:tc>
          <w:tcPr>
            <w:tcW w:w="1879" w:type="dxa"/>
            <w:gridSpan w:val="2"/>
            <w:tcBorders>
              <w:top w:val="single" w:color="auto" w:sz="4" w:space="0"/>
              <w:left w:val="single" w:color="auto" w:sz="4" w:space="0"/>
              <w:bottom w:val="single" w:color="auto" w:sz="4" w:space="0"/>
            </w:tcBorders>
            <w:vAlign w:val="center"/>
          </w:tcPr>
          <w:p w14:paraId="3717F713">
            <w:pPr>
              <w:pStyle w:val="49"/>
              <w:bidi w:val="0"/>
              <w:rPr>
                <w:rFonts w:hint="eastAsia" w:ascii="Times New Roman" w:hAnsi="Times New Roman" w:eastAsia="宋体" w:cs="Times New Roman"/>
              </w:rPr>
            </w:pPr>
            <w:r>
              <w:rPr>
                <w:rFonts w:hint="eastAsia" w:ascii="Times New Roman" w:hAnsi="Times New Roman" w:eastAsia="宋体" w:cs="Times New Roman"/>
              </w:rPr>
              <w:t>万元</w:t>
            </w:r>
          </w:p>
        </w:tc>
      </w:tr>
      <w:tr w14:paraId="7AA0F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71B62B33">
            <w:pPr>
              <w:pStyle w:val="49"/>
              <w:bidi w:val="0"/>
              <w:rPr>
                <w:rFonts w:hint="eastAsia" w:ascii="Times New Roman" w:hAnsi="Times New Roman" w:eastAsia="宋体" w:cs="Times New Roman"/>
              </w:rPr>
            </w:pPr>
            <w:r>
              <w:rPr>
                <w:rFonts w:hint="eastAsia" w:ascii="Times New Roman" w:hAnsi="Times New Roman" w:eastAsia="宋体" w:cs="Times New Roman"/>
              </w:rPr>
              <w:t>地址</w:t>
            </w:r>
          </w:p>
        </w:tc>
        <w:tc>
          <w:tcPr>
            <w:tcW w:w="7475" w:type="dxa"/>
            <w:gridSpan w:val="6"/>
            <w:tcBorders>
              <w:top w:val="single" w:color="auto" w:sz="4" w:space="0"/>
              <w:left w:val="single" w:color="auto" w:sz="4" w:space="0"/>
              <w:bottom w:val="single" w:color="auto" w:sz="4" w:space="0"/>
            </w:tcBorders>
            <w:vAlign w:val="center"/>
          </w:tcPr>
          <w:p w14:paraId="52AF0398">
            <w:pPr>
              <w:pStyle w:val="49"/>
              <w:bidi w:val="0"/>
              <w:rPr>
                <w:rFonts w:hint="eastAsia" w:ascii="Times New Roman" w:hAnsi="Times New Roman" w:eastAsia="宋体" w:cs="Times New Roman"/>
              </w:rPr>
            </w:pPr>
          </w:p>
        </w:tc>
      </w:tr>
      <w:tr w14:paraId="65606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right w:val="single" w:color="auto" w:sz="4" w:space="0"/>
            </w:tcBorders>
            <w:vAlign w:val="center"/>
          </w:tcPr>
          <w:p w14:paraId="288E9659">
            <w:pPr>
              <w:pStyle w:val="49"/>
              <w:bidi w:val="0"/>
              <w:ind w:firstLine="420" w:firstLineChars="200"/>
              <w:rPr>
                <w:rFonts w:hint="eastAsia" w:ascii="Times New Roman" w:hAnsi="Times New Roman" w:eastAsia="宋体" w:cs="Times New Roman"/>
              </w:rPr>
            </w:pPr>
            <w:r>
              <w:rPr>
                <w:rFonts w:hint="eastAsia" w:ascii="Times New Roman" w:hAnsi="Times New Roman" w:eastAsia="宋体" w:cs="Times New Roman"/>
              </w:rPr>
              <w:t>所获资质</w:t>
            </w:r>
          </w:p>
          <w:p w14:paraId="09970436">
            <w:pPr>
              <w:pStyle w:val="49"/>
              <w:bidi w:val="0"/>
              <w:ind w:firstLine="420" w:firstLineChars="200"/>
              <w:rPr>
                <w:rFonts w:hint="eastAsia" w:ascii="Times New Roman" w:hAnsi="Times New Roman" w:eastAsia="宋体" w:cs="Times New Roman"/>
              </w:rPr>
            </w:pPr>
            <w:r>
              <w:rPr>
                <w:rFonts w:hint="eastAsia" w:ascii="Times New Roman" w:hAnsi="Times New Roman" w:eastAsia="宋体" w:cs="Times New Roman"/>
              </w:rPr>
              <w:t>或认证</w:t>
            </w:r>
          </w:p>
        </w:tc>
        <w:tc>
          <w:tcPr>
            <w:tcW w:w="1209" w:type="dxa"/>
            <w:tcBorders>
              <w:top w:val="single" w:color="auto" w:sz="4" w:space="0"/>
              <w:left w:val="single" w:color="auto" w:sz="4" w:space="0"/>
              <w:bottom w:val="single" w:color="auto" w:sz="4" w:space="0"/>
              <w:right w:val="single" w:color="auto" w:sz="4" w:space="0"/>
            </w:tcBorders>
            <w:vAlign w:val="center"/>
          </w:tcPr>
          <w:p w14:paraId="52D59FB6">
            <w:pPr>
              <w:pStyle w:val="49"/>
              <w:bidi w:val="0"/>
              <w:rPr>
                <w:rFonts w:hint="eastAsia" w:ascii="Times New Roman" w:hAnsi="Times New Roman" w:eastAsia="宋体" w:cs="Times New Roman"/>
              </w:rPr>
            </w:pPr>
            <w:r>
              <w:rPr>
                <w:rFonts w:hint="eastAsia" w:ascii="Times New Roman" w:hAnsi="Times New Roman" w:eastAsia="宋体" w:cs="Times New Roman"/>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4C7F979">
            <w:pPr>
              <w:pStyle w:val="49"/>
              <w:bidi w:val="0"/>
              <w:rPr>
                <w:rFonts w:hint="eastAsia" w:ascii="Times New Roman" w:hAnsi="Times New Roman" w:eastAsia="宋体" w:cs="Times New Roman"/>
              </w:rPr>
            </w:pPr>
            <w:r>
              <w:rPr>
                <w:rFonts w:hint="eastAsia" w:ascii="Times New Roman" w:hAnsi="Times New Roman" w:eastAsia="宋体" w:cs="Times New Roman"/>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E745154">
            <w:pPr>
              <w:pStyle w:val="49"/>
              <w:bidi w:val="0"/>
              <w:rPr>
                <w:rFonts w:hint="eastAsia" w:ascii="Times New Roman" w:hAnsi="Times New Roman" w:eastAsia="宋体" w:cs="Times New Roman"/>
              </w:rPr>
            </w:pPr>
            <w:r>
              <w:rPr>
                <w:rFonts w:hint="eastAsia" w:ascii="Times New Roman" w:hAnsi="Times New Roman" w:eastAsia="宋体" w:cs="Times New Roman"/>
              </w:rPr>
              <w:t>颁发时间</w:t>
            </w:r>
          </w:p>
        </w:tc>
        <w:tc>
          <w:tcPr>
            <w:tcW w:w="1571" w:type="dxa"/>
            <w:tcBorders>
              <w:top w:val="single" w:color="auto" w:sz="4" w:space="0"/>
              <w:left w:val="single" w:color="auto" w:sz="4" w:space="0"/>
              <w:bottom w:val="single" w:color="auto" w:sz="4" w:space="0"/>
            </w:tcBorders>
            <w:vAlign w:val="center"/>
          </w:tcPr>
          <w:p w14:paraId="02534C59">
            <w:pPr>
              <w:pStyle w:val="49"/>
              <w:bidi w:val="0"/>
              <w:rPr>
                <w:rFonts w:hint="eastAsia" w:ascii="Times New Roman" w:hAnsi="Times New Roman" w:eastAsia="宋体" w:cs="Times New Roman"/>
              </w:rPr>
            </w:pPr>
            <w:r>
              <w:rPr>
                <w:rFonts w:hint="eastAsia" w:ascii="Times New Roman" w:hAnsi="Times New Roman" w:eastAsia="宋体" w:cs="Times New Roman"/>
              </w:rPr>
              <w:t>有效期</w:t>
            </w:r>
          </w:p>
        </w:tc>
      </w:tr>
      <w:tr w14:paraId="6FBBB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65511EC6">
            <w:pPr>
              <w:pStyle w:val="49"/>
              <w:bidi w:val="0"/>
              <w:rPr>
                <w:rFonts w:hint="eastAsia" w:ascii="Times New Roman" w:hAnsi="Times New Roman" w:eastAsia="宋体" w:cs="Times New Roman"/>
              </w:rPr>
            </w:pPr>
          </w:p>
        </w:tc>
        <w:tc>
          <w:tcPr>
            <w:tcW w:w="1209" w:type="dxa"/>
            <w:tcBorders>
              <w:top w:val="single" w:color="auto" w:sz="4" w:space="0"/>
              <w:left w:val="single" w:color="auto" w:sz="4" w:space="0"/>
              <w:bottom w:val="single" w:color="auto" w:sz="4" w:space="0"/>
              <w:right w:val="single" w:color="auto" w:sz="4" w:space="0"/>
            </w:tcBorders>
            <w:vAlign w:val="center"/>
          </w:tcPr>
          <w:p w14:paraId="065B9B51">
            <w:pPr>
              <w:pStyle w:val="49"/>
              <w:bidi w:val="0"/>
              <w:rPr>
                <w:rFonts w:hint="eastAsia" w:ascii="Times New Roman" w:hAnsi="Times New Roman" w:eastAsia="宋体" w:cs="Times New Roman"/>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3024978">
            <w:pPr>
              <w:pStyle w:val="49"/>
              <w:bidi w:val="0"/>
              <w:rPr>
                <w:rFonts w:hint="eastAsia" w:ascii="Times New Roman" w:hAnsi="Times New Roman" w:eastAsia="宋体" w:cs="Times New Roman"/>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5FC50D4">
            <w:pPr>
              <w:pStyle w:val="49"/>
              <w:bidi w:val="0"/>
              <w:rPr>
                <w:rFonts w:hint="eastAsia" w:ascii="Times New Roman" w:hAnsi="Times New Roman" w:eastAsia="宋体" w:cs="Times New Roman"/>
              </w:rPr>
            </w:pPr>
          </w:p>
        </w:tc>
        <w:tc>
          <w:tcPr>
            <w:tcW w:w="1571" w:type="dxa"/>
            <w:tcBorders>
              <w:top w:val="single" w:color="auto" w:sz="4" w:space="0"/>
              <w:left w:val="single" w:color="auto" w:sz="4" w:space="0"/>
              <w:bottom w:val="single" w:color="auto" w:sz="4" w:space="0"/>
            </w:tcBorders>
            <w:vAlign w:val="center"/>
          </w:tcPr>
          <w:p w14:paraId="7C6F7B6A">
            <w:pPr>
              <w:pStyle w:val="49"/>
              <w:bidi w:val="0"/>
              <w:rPr>
                <w:rFonts w:hint="eastAsia" w:ascii="Times New Roman" w:hAnsi="Times New Roman" w:eastAsia="宋体" w:cs="Times New Roman"/>
              </w:rPr>
            </w:pPr>
          </w:p>
        </w:tc>
      </w:tr>
      <w:tr w14:paraId="41ED0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3F2399BF">
            <w:pPr>
              <w:pStyle w:val="49"/>
              <w:bidi w:val="0"/>
              <w:rPr>
                <w:rFonts w:hint="eastAsia" w:ascii="Times New Roman" w:hAnsi="Times New Roman" w:eastAsia="宋体" w:cs="Times New Roman"/>
              </w:rPr>
            </w:pPr>
          </w:p>
        </w:tc>
        <w:tc>
          <w:tcPr>
            <w:tcW w:w="1209" w:type="dxa"/>
            <w:tcBorders>
              <w:top w:val="single" w:color="auto" w:sz="4" w:space="0"/>
              <w:left w:val="single" w:color="auto" w:sz="4" w:space="0"/>
              <w:bottom w:val="single" w:color="auto" w:sz="4" w:space="0"/>
              <w:right w:val="single" w:color="auto" w:sz="4" w:space="0"/>
            </w:tcBorders>
            <w:vAlign w:val="center"/>
          </w:tcPr>
          <w:p w14:paraId="0012487F">
            <w:pPr>
              <w:pStyle w:val="49"/>
              <w:bidi w:val="0"/>
              <w:rPr>
                <w:rFonts w:hint="eastAsia" w:ascii="Times New Roman" w:hAnsi="Times New Roman" w:eastAsia="宋体" w:cs="Times New Roman"/>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0FF1F46">
            <w:pPr>
              <w:pStyle w:val="49"/>
              <w:bidi w:val="0"/>
              <w:rPr>
                <w:rFonts w:hint="eastAsia" w:ascii="Times New Roman" w:hAnsi="Times New Roman" w:eastAsia="宋体" w:cs="Times New Roman"/>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2AC6C4C">
            <w:pPr>
              <w:pStyle w:val="49"/>
              <w:bidi w:val="0"/>
              <w:rPr>
                <w:rFonts w:hint="eastAsia" w:ascii="Times New Roman" w:hAnsi="Times New Roman" w:eastAsia="宋体" w:cs="Times New Roman"/>
              </w:rPr>
            </w:pPr>
          </w:p>
        </w:tc>
        <w:tc>
          <w:tcPr>
            <w:tcW w:w="1571" w:type="dxa"/>
            <w:tcBorders>
              <w:top w:val="single" w:color="auto" w:sz="4" w:space="0"/>
              <w:left w:val="single" w:color="auto" w:sz="4" w:space="0"/>
              <w:bottom w:val="single" w:color="auto" w:sz="4" w:space="0"/>
            </w:tcBorders>
            <w:vAlign w:val="center"/>
          </w:tcPr>
          <w:p w14:paraId="583A1FB7">
            <w:pPr>
              <w:pStyle w:val="49"/>
              <w:bidi w:val="0"/>
              <w:rPr>
                <w:rFonts w:hint="eastAsia" w:ascii="Times New Roman" w:hAnsi="Times New Roman" w:eastAsia="宋体" w:cs="Times New Roman"/>
              </w:rPr>
            </w:pPr>
          </w:p>
        </w:tc>
      </w:tr>
      <w:tr w14:paraId="0EBD8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7D8B76CA">
            <w:pPr>
              <w:pStyle w:val="49"/>
              <w:bidi w:val="0"/>
              <w:rPr>
                <w:rFonts w:hint="eastAsia" w:ascii="Times New Roman" w:hAnsi="Times New Roman" w:eastAsia="宋体" w:cs="Times New Roman"/>
              </w:rPr>
            </w:pPr>
          </w:p>
        </w:tc>
        <w:tc>
          <w:tcPr>
            <w:tcW w:w="1209" w:type="dxa"/>
            <w:tcBorders>
              <w:top w:val="single" w:color="auto" w:sz="4" w:space="0"/>
              <w:left w:val="single" w:color="auto" w:sz="4" w:space="0"/>
              <w:bottom w:val="single" w:color="auto" w:sz="4" w:space="0"/>
              <w:right w:val="single" w:color="auto" w:sz="4" w:space="0"/>
            </w:tcBorders>
            <w:vAlign w:val="center"/>
          </w:tcPr>
          <w:p w14:paraId="05827AC7">
            <w:pPr>
              <w:pStyle w:val="49"/>
              <w:bidi w:val="0"/>
              <w:rPr>
                <w:rFonts w:hint="eastAsia" w:ascii="Times New Roman" w:hAnsi="Times New Roman" w:eastAsia="宋体" w:cs="Times New Roman"/>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F170444">
            <w:pPr>
              <w:pStyle w:val="49"/>
              <w:bidi w:val="0"/>
              <w:rPr>
                <w:rFonts w:hint="eastAsia" w:ascii="Times New Roman" w:hAnsi="Times New Roman" w:eastAsia="宋体" w:cs="Times New Roman"/>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81C6946">
            <w:pPr>
              <w:pStyle w:val="49"/>
              <w:bidi w:val="0"/>
              <w:rPr>
                <w:rFonts w:hint="eastAsia" w:ascii="Times New Roman" w:hAnsi="Times New Roman" w:eastAsia="宋体" w:cs="Times New Roman"/>
              </w:rPr>
            </w:pPr>
          </w:p>
        </w:tc>
        <w:tc>
          <w:tcPr>
            <w:tcW w:w="1571" w:type="dxa"/>
            <w:tcBorders>
              <w:top w:val="single" w:color="auto" w:sz="4" w:space="0"/>
              <w:left w:val="single" w:color="auto" w:sz="4" w:space="0"/>
              <w:bottom w:val="single" w:color="auto" w:sz="4" w:space="0"/>
            </w:tcBorders>
            <w:vAlign w:val="center"/>
          </w:tcPr>
          <w:p w14:paraId="01CD6150">
            <w:pPr>
              <w:pStyle w:val="49"/>
              <w:bidi w:val="0"/>
              <w:rPr>
                <w:rFonts w:hint="eastAsia" w:ascii="Times New Roman" w:hAnsi="Times New Roman" w:eastAsia="宋体" w:cs="Times New Roman"/>
              </w:rPr>
            </w:pPr>
          </w:p>
        </w:tc>
      </w:tr>
      <w:tr w14:paraId="65A22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77C07E5B">
            <w:pPr>
              <w:pStyle w:val="49"/>
              <w:bidi w:val="0"/>
              <w:rPr>
                <w:rFonts w:hint="eastAsia" w:ascii="Times New Roman" w:hAnsi="Times New Roman" w:eastAsia="宋体" w:cs="Times New Roman"/>
              </w:rPr>
            </w:pPr>
          </w:p>
        </w:tc>
        <w:tc>
          <w:tcPr>
            <w:tcW w:w="1209" w:type="dxa"/>
            <w:tcBorders>
              <w:top w:val="single" w:color="auto" w:sz="4" w:space="0"/>
              <w:left w:val="single" w:color="auto" w:sz="4" w:space="0"/>
              <w:bottom w:val="single" w:color="auto" w:sz="4" w:space="0"/>
              <w:right w:val="single" w:color="auto" w:sz="4" w:space="0"/>
            </w:tcBorders>
            <w:vAlign w:val="center"/>
          </w:tcPr>
          <w:p w14:paraId="769A1603">
            <w:pPr>
              <w:pStyle w:val="49"/>
              <w:bidi w:val="0"/>
              <w:rPr>
                <w:rFonts w:hint="eastAsia" w:ascii="Times New Roman" w:hAnsi="Times New Roman" w:eastAsia="宋体" w:cs="Times New Roman"/>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142B75A">
            <w:pPr>
              <w:pStyle w:val="49"/>
              <w:bidi w:val="0"/>
              <w:rPr>
                <w:rFonts w:hint="eastAsia" w:ascii="Times New Roman" w:hAnsi="Times New Roman" w:eastAsia="宋体" w:cs="Times New Roman"/>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AF59E42">
            <w:pPr>
              <w:pStyle w:val="49"/>
              <w:bidi w:val="0"/>
              <w:rPr>
                <w:rFonts w:hint="eastAsia" w:ascii="Times New Roman" w:hAnsi="Times New Roman" w:eastAsia="宋体" w:cs="Times New Roman"/>
              </w:rPr>
            </w:pPr>
          </w:p>
        </w:tc>
        <w:tc>
          <w:tcPr>
            <w:tcW w:w="1571" w:type="dxa"/>
            <w:tcBorders>
              <w:top w:val="single" w:color="auto" w:sz="4" w:space="0"/>
              <w:left w:val="single" w:color="auto" w:sz="4" w:space="0"/>
              <w:bottom w:val="single" w:color="auto" w:sz="4" w:space="0"/>
            </w:tcBorders>
            <w:vAlign w:val="center"/>
          </w:tcPr>
          <w:p w14:paraId="32FE7732">
            <w:pPr>
              <w:pStyle w:val="49"/>
              <w:bidi w:val="0"/>
              <w:rPr>
                <w:rFonts w:hint="eastAsia" w:ascii="Times New Roman" w:hAnsi="Times New Roman" w:eastAsia="宋体" w:cs="Times New Roman"/>
              </w:rPr>
            </w:pPr>
          </w:p>
        </w:tc>
      </w:tr>
      <w:tr w14:paraId="05100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right w:val="single" w:color="auto" w:sz="4" w:space="0"/>
            </w:tcBorders>
            <w:vAlign w:val="center"/>
          </w:tcPr>
          <w:p w14:paraId="597A308D">
            <w:pPr>
              <w:pStyle w:val="49"/>
              <w:bidi w:val="0"/>
              <w:rPr>
                <w:rFonts w:hint="eastAsia" w:ascii="Times New Roman" w:hAnsi="Times New Roman" w:eastAsia="宋体" w:cs="Times New Roman"/>
              </w:rPr>
            </w:pPr>
            <w:r>
              <w:rPr>
                <w:rFonts w:hint="eastAsia" w:ascii="Times New Roman" w:hAnsi="Times New Roman" w:eastAsia="宋体" w:cs="Times New Roman"/>
              </w:rPr>
              <w:t>所获荣誉</w:t>
            </w:r>
          </w:p>
        </w:tc>
        <w:tc>
          <w:tcPr>
            <w:tcW w:w="1209" w:type="dxa"/>
            <w:tcBorders>
              <w:top w:val="single" w:color="auto" w:sz="4" w:space="0"/>
              <w:left w:val="single" w:color="auto" w:sz="4" w:space="0"/>
              <w:bottom w:val="single" w:color="auto" w:sz="4" w:space="0"/>
              <w:right w:val="single" w:color="auto" w:sz="4" w:space="0"/>
            </w:tcBorders>
            <w:vAlign w:val="center"/>
          </w:tcPr>
          <w:p w14:paraId="31DFF3E3">
            <w:pPr>
              <w:pStyle w:val="49"/>
              <w:bidi w:val="0"/>
              <w:rPr>
                <w:rFonts w:hint="eastAsia" w:ascii="Times New Roman" w:hAnsi="Times New Roman" w:eastAsia="宋体" w:cs="Times New Roman"/>
              </w:rPr>
            </w:pPr>
            <w:r>
              <w:rPr>
                <w:rFonts w:hint="eastAsia" w:ascii="Times New Roman" w:hAnsi="Times New Roman" w:eastAsia="宋体" w:cs="Times New Roman"/>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B1B6A27">
            <w:pPr>
              <w:pStyle w:val="49"/>
              <w:bidi w:val="0"/>
              <w:rPr>
                <w:rFonts w:hint="eastAsia" w:ascii="Times New Roman" w:hAnsi="Times New Roman" w:eastAsia="宋体" w:cs="Times New Roman"/>
              </w:rPr>
            </w:pPr>
            <w:r>
              <w:rPr>
                <w:rFonts w:hint="eastAsia" w:ascii="Times New Roman" w:hAnsi="Times New Roman" w:eastAsia="宋体" w:cs="Times New Roman"/>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FD8B528">
            <w:pPr>
              <w:pStyle w:val="49"/>
              <w:bidi w:val="0"/>
              <w:rPr>
                <w:rFonts w:hint="eastAsia" w:ascii="Times New Roman" w:hAnsi="Times New Roman" w:eastAsia="宋体" w:cs="Times New Roman"/>
              </w:rPr>
            </w:pPr>
            <w:r>
              <w:rPr>
                <w:rFonts w:hint="eastAsia" w:ascii="Times New Roman" w:hAnsi="Times New Roman" w:eastAsia="宋体" w:cs="Times New Roman"/>
              </w:rPr>
              <w:t>颁发时间</w:t>
            </w:r>
          </w:p>
        </w:tc>
        <w:tc>
          <w:tcPr>
            <w:tcW w:w="1571" w:type="dxa"/>
            <w:tcBorders>
              <w:top w:val="single" w:color="auto" w:sz="4" w:space="0"/>
              <w:left w:val="single" w:color="auto" w:sz="4" w:space="0"/>
              <w:bottom w:val="single" w:color="auto" w:sz="4" w:space="0"/>
            </w:tcBorders>
            <w:vAlign w:val="center"/>
          </w:tcPr>
          <w:p w14:paraId="46A182C1">
            <w:pPr>
              <w:pStyle w:val="49"/>
              <w:bidi w:val="0"/>
              <w:rPr>
                <w:rFonts w:hint="eastAsia" w:ascii="Times New Roman" w:hAnsi="Times New Roman" w:eastAsia="宋体" w:cs="Times New Roman"/>
              </w:rPr>
            </w:pPr>
            <w:r>
              <w:rPr>
                <w:rFonts w:hint="eastAsia" w:ascii="Times New Roman" w:hAnsi="Times New Roman" w:eastAsia="宋体" w:cs="Times New Roman"/>
              </w:rPr>
              <w:t>有效期</w:t>
            </w:r>
          </w:p>
        </w:tc>
      </w:tr>
      <w:tr w14:paraId="0B693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6A39F77A">
            <w:pPr>
              <w:pStyle w:val="49"/>
              <w:bidi w:val="0"/>
              <w:rPr>
                <w:rFonts w:hint="eastAsia" w:ascii="Times New Roman" w:hAnsi="Times New Roman" w:eastAsia="宋体" w:cs="Times New Roman"/>
              </w:rPr>
            </w:pPr>
          </w:p>
        </w:tc>
        <w:tc>
          <w:tcPr>
            <w:tcW w:w="1209" w:type="dxa"/>
            <w:tcBorders>
              <w:top w:val="single" w:color="auto" w:sz="4" w:space="0"/>
              <w:left w:val="single" w:color="auto" w:sz="4" w:space="0"/>
              <w:bottom w:val="single" w:color="auto" w:sz="4" w:space="0"/>
              <w:right w:val="single" w:color="auto" w:sz="4" w:space="0"/>
            </w:tcBorders>
            <w:vAlign w:val="center"/>
          </w:tcPr>
          <w:p w14:paraId="0F51BB7E">
            <w:pPr>
              <w:pStyle w:val="49"/>
              <w:bidi w:val="0"/>
              <w:rPr>
                <w:rFonts w:hint="eastAsia" w:ascii="Times New Roman" w:hAnsi="Times New Roman" w:eastAsia="宋体" w:cs="Times New Roman"/>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22577CB">
            <w:pPr>
              <w:pStyle w:val="49"/>
              <w:bidi w:val="0"/>
              <w:rPr>
                <w:rFonts w:hint="eastAsia" w:ascii="Times New Roman" w:hAnsi="Times New Roman" w:eastAsia="宋体" w:cs="Times New Roman"/>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504B6EB">
            <w:pPr>
              <w:pStyle w:val="49"/>
              <w:bidi w:val="0"/>
              <w:rPr>
                <w:rFonts w:hint="eastAsia" w:ascii="Times New Roman" w:hAnsi="Times New Roman" w:eastAsia="宋体" w:cs="Times New Roman"/>
              </w:rPr>
            </w:pPr>
          </w:p>
        </w:tc>
        <w:tc>
          <w:tcPr>
            <w:tcW w:w="1571" w:type="dxa"/>
            <w:tcBorders>
              <w:top w:val="single" w:color="auto" w:sz="4" w:space="0"/>
              <w:left w:val="single" w:color="auto" w:sz="4" w:space="0"/>
              <w:bottom w:val="single" w:color="auto" w:sz="4" w:space="0"/>
            </w:tcBorders>
            <w:vAlign w:val="center"/>
          </w:tcPr>
          <w:p w14:paraId="01100F67">
            <w:pPr>
              <w:pStyle w:val="49"/>
              <w:bidi w:val="0"/>
              <w:rPr>
                <w:rFonts w:hint="eastAsia" w:ascii="Times New Roman" w:hAnsi="Times New Roman" w:eastAsia="宋体" w:cs="Times New Roman"/>
              </w:rPr>
            </w:pPr>
          </w:p>
        </w:tc>
      </w:tr>
      <w:tr w14:paraId="78646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4BF8669A">
            <w:pPr>
              <w:pStyle w:val="49"/>
              <w:bidi w:val="0"/>
              <w:rPr>
                <w:rFonts w:hint="eastAsia" w:ascii="Times New Roman" w:hAnsi="Times New Roman" w:eastAsia="宋体" w:cs="Times New Roman"/>
              </w:rPr>
            </w:pPr>
          </w:p>
        </w:tc>
        <w:tc>
          <w:tcPr>
            <w:tcW w:w="1209" w:type="dxa"/>
            <w:tcBorders>
              <w:top w:val="single" w:color="auto" w:sz="4" w:space="0"/>
              <w:left w:val="single" w:color="auto" w:sz="4" w:space="0"/>
              <w:bottom w:val="single" w:color="auto" w:sz="4" w:space="0"/>
              <w:right w:val="single" w:color="auto" w:sz="4" w:space="0"/>
            </w:tcBorders>
            <w:vAlign w:val="center"/>
          </w:tcPr>
          <w:p w14:paraId="2D12725C">
            <w:pPr>
              <w:pStyle w:val="49"/>
              <w:bidi w:val="0"/>
              <w:rPr>
                <w:rFonts w:hint="eastAsia" w:ascii="Times New Roman" w:hAnsi="Times New Roman" w:eastAsia="宋体" w:cs="Times New Roman"/>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53B0C84">
            <w:pPr>
              <w:pStyle w:val="49"/>
              <w:bidi w:val="0"/>
              <w:rPr>
                <w:rFonts w:hint="eastAsia" w:ascii="Times New Roman" w:hAnsi="Times New Roman" w:eastAsia="宋体" w:cs="Times New Roman"/>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9669984">
            <w:pPr>
              <w:pStyle w:val="49"/>
              <w:bidi w:val="0"/>
              <w:rPr>
                <w:rFonts w:hint="eastAsia" w:ascii="Times New Roman" w:hAnsi="Times New Roman" w:eastAsia="宋体" w:cs="Times New Roman"/>
              </w:rPr>
            </w:pPr>
          </w:p>
        </w:tc>
        <w:tc>
          <w:tcPr>
            <w:tcW w:w="1571" w:type="dxa"/>
            <w:tcBorders>
              <w:top w:val="single" w:color="auto" w:sz="4" w:space="0"/>
              <w:left w:val="single" w:color="auto" w:sz="4" w:space="0"/>
              <w:bottom w:val="single" w:color="auto" w:sz="4" w:space="0"/>
            </w:tcBorders>
            <w:vAlign w:val="center"/>
          </w:tcPr>
          <w:p w14:paraId="6937D7D7">
            <w:pPr>
              <w:pStyle w:val="49"/>
              <w:bidi w:val="0"/>
              <w:rPr>
                <w:rFonts w:hint="eastAsia" w:ascii="Times New Roman" w:hAnsi="Times New Roman" w:eastAsia="宋体" w:cs="Times New Roman"/>
              </w:rPr>
            </w:pPr>
          </w:p>
        </w:tc>
      </w:tr>
      <w:tr w14:paraId="5E130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bottom w:val="single" w:color="auto" w:sz="4" w:space="0"/>
              <w:right w:val="single" w:color="auto" w:sz="4" w:space="0"/>
            </w:tcBorders>
            <w:vAlign w:val="center"/>
          </w:tcPr>
          <w:p w14:paraId="2CC2454A">
            <w:pPr>
              <w:pStyle w:val="49"/>
              <w:bidi w:val="0"/>
              <w:rPr>
                <w:rFonts w:hint="eastAsia" w:ascii="Times New Roman" w:hAnsi="Times New Roman" w:eastAsia="宋体" w:cs="Times New Roman"/>
              </w:rPr>
            </w:pPr>
          </w:p>
        </w:tc>
        <w:tc>
          <w:tcPr>
            <w:tcW w:w="1209" w:type="dxa"/>
            <w:tcBorders>
              <w:top w:val="single" w:color="auto" w:sz="4" w:space="0"/>
              <w:left w:val="single" w:color="auto" w:sz="4" w:space="0"/>
              <w:bottom w:val="single" w:color="auto" w:sz="4" w:space="0"/>
              <w:right w:val="single" w:color="auto" w:sz="4" w:space="0"/>
            </w:tcBorders>
            <w:vAlign w:val="center"/>
          </w:tcPr>
          <w:p w14:paraId="57F091E8">
            <w:pPr>
              <w:pStyle w:val="49"/>
              <w:bidi w:val="0"/>
              <w:rPr>
                <w:rFonts w:hint="eastAsia" w:ascii="Times New Roman" w:hAnsi="Times New Roman" w:eastAsia="宋体" w:cs="Times New Roman"/>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F84CB23">
            <w:pPr>
              <w:pStyle w:val="49"/>
              <w:bidi w:val="0"/>
              <w:rPr>
                <w:rFonts w:hint="eastAsia" w:ascii="Times New Roman" w:hAnsi="Times New Roman" w:eastAsia="宋体" w:cs="Times New Roman"/>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E124729">
            <w:pPr>
              <w:pStyle w:val="49"/>
              <w:bidi w:val="0"/>
              <w:rPr>
                <w:rFonts w:hint="eastAsia" w:ascii="Times New Roman" w:hAnsi="Times New Roman" w:eastAsia="宋体" w:cs="Times New Roman"/>
              </w:rPr>
            </w:pPr>
          </w:p>
        </w:tc>
        <w:tc>
          <w:tcPr>
            <w:tcW w:w="1571" w:type="dxa"/>
            <w:tcBorders>
              <w:top w:val="single" w:color="auto" w:sz="4" w:space="0"/>
              <w:left w:val="single" w:color="auto" w:sz="4" w:space="0"/>
              <w:bottom w:val="single" w:color="auto" w:sz="4" w:space="0"/>
            </w:tcBorders>
            <w:vAlign w:val="center"/>
          </w:tcPr>
          <w:p w14:paraId="7141E49B">
            <w:pPr>
              <w:pStyle w:val="49"/>
              <w:bidi w:val="0"/>
              <w:rPr>
                <w:rFonts w:hint="eastAsia" w:ascii="Times New Roman" w:hAnsi="Times New Roman" w:eastAsia="宋体" w:cs="Times New Roman"/>
              </w:rPr>
            </w:pPr>
          </w:p>
        </w:tc>
      </w:tr>
      <w:tr w14:paraId="4F192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768" w:type="dxa"/>
            <w:tcBorders>
              <w:top w:val="single" w:color="auto" w:sz="4" w:space="0"/>
              <w:bottom w:val="single" w:color="auto" w:sz="4" w:space="0"/>
              <w:right w:val="single" w:color="auto" w:sz="4" w:space="0"/>
            </w:tcBorders>
            <w:vAlign w:val="center"/>
          </w:tcPr>
          <w:p w14:paraId="718B09C7">
            <w:pPr>
              <w:pStyle w:val="49"/>
              <w:bidi w:val="0"/>
              <w:rPr>
                <w:rFonts w:hint="eastAsia" w:ascii="Times New Roman" w:hAnsi="Times New Roman" w:eastAsia="宋体" w:cs="Times New Roman"/>
              </w:rPr>
            </w:pPr>
            <w:r>
              <w:rPr>
                <w:rFonts w:hint="eastAsia" w:ascii="Times New Roman" w:hAnsi="Times New Roman" w:eastAsia="宋体" w:cs="Times New Roman"/>
              </w:rPr>
              <w:t>经营范围</w:t>
            </w:r>
          </w:p>
        </w:tc>
        <w:tc>
          <w:tcPr>
            <w:tcW w:w="7475" w:type="dxa"/>
            <w:gridSpan w:val="6"/>
            <w:tcBorders>
              <w:top w:val="single" w:color="auto" w:sz="4" w:space="0"/>
              <w:left w:val="single" w:color="auto" w:sz="4" w:space="0"/>
              <w:bottom w:val="single" w:color="auto" w:sz="4" w:space="0"/>
            </w:tcBorders>
            <w:vAlign w:val="center"/>
          </w:tcPr>
          <w:p w14:paraId="6B1CEE15">
            <w:pPr>
              <w:pStyle w:val="49"/>
              <w:bidi w:val="0"/>
              <w:rPr>
                <w:rFonts w:hint="eastAsia" w:ascii="Times New Roman" w:hAnsi="Times New Roman" w:eastAsia="宋体" w:cs="Times New Roman"/>
              </w:rPr>
            </w:pPr>
          </w:p>
        </w:tc>
      </w:tr>
      <w:tr w14:paraId="6EBB3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768" w:type="dxa"/>
            <w:tcBorders>
              <w:top w:val="single" w:color="auto" w:sz="4" w:space="0"/>
              <w:bottom w:val="single" w:color="auto" w:sz="4" w:space="0"/>
              <w:right w:val="single" w:color="auto" w:sz="4" w:space="0"/>
            </w:tcBorders>
            <w:vAlign w:val="center"/>
          </w:tcPr>
          <w:p w14:paraId="3D114A30">
            <w:pPr>
              <w:pStyle w:val="49"/>
              <w:bidi w:val="0"/>
              <w:rPr>
                <w:rFonts w:hint="eastAsia" w:ascii="Times New Roman" w:hAnsi="Times New Roman" w:eastAsia="宋体" w:cs="Times New Roman"/>
              </w:rPr>
            </w:pPr>
            <w:r>
              <w:rPr>
                <w:rFonts w:hint="eastAsia" w:ascii="Times New Roman" w:hAnsi="Times New Roman" w:eastAsia="宋体" w:cs="Times New Roman"/>
              </w:rPr>
              <w:t>其他</w:t>
            </w:r>
          </w:p>
        </w:tc>
        <w:tc>
          <w:tcPr>
            <w:tcW w:w="7475" w:type="dxa"/>
            <w:gridSpan w:val="6"/>
            <w:tcBorders>
              <w:top w:val="single" w:color="auto" w:sz="4" w:space="0"/>
              <w:left w:val="single" w:color="auto" w:sz="4" w:space="0"/>
              <w:bottom w:val="single" w:color="auto" w:sz="4" w:space="0"/>
            </w:tcBorders>
            <w:vAlign w:val="center"/>
          </w:tcPr>
          <w:p w14:paraId="01B21D5C">
            <w:pPr>
              <w:pStyle w:val="49"/>
              <w:bidi w:val="0"/>
              <w:rPr>
                <w:rFonts w:hint="eastAsia" w:ascii="Times New Roman" w:hAnsi="Times New Roman" w:eastAsia="宋体" w:cs="Times New Roman"/>
              </w:rPr>
            </w:pPr>
          </w:p>
        </w:tc>
      </w:tr>
    </w:tbl>
    <w:p w14:paraId="69CB9FA9">
      <w:pPr>
        <w:spacing w:line="360" w:lineRule="auto"/>
        <w:ind w:firstLine="360" w:firstLineChars="200"/>
        <w:textAlignment w:val="baseline"/>
        <w:rPr>
          <w:rFonts w:ascii="宋体" w:hAnsi="宋体" w:cs="宋体"/>
          <w:color w:val="auto"/>
          <w:sz w:val="18"/>
          <w:szCs w:val="18"/>
          <w:highlight w:val="none"/>
        </w:rPr>
      </w:pPr>
      <w:r>
        <w:rPr>
          <w:rFonts w:hint="eastAsia" w:ascii="宋体" w:hAnsi="宋体" w:cs="宋体"/>
          <w:color w:val="auto"/>
          <w:sz w:val="18"/>
          <w:szCs w:val="18"/>
          <w:highlight w:val="none"/>
        </w:rPr>
        <w:t>注：1、表格内容不够,可另附页。</w:t>
      </w:r>
    </w:p>
    <w:p w14:paraId="005AE7F2">
      <w:pPr>
        <w:spacing w:line="360" w:lineRule="auto"/>
        <w:ind w:firstLine="360" w:firstLineChars="200"/>
        <w:textAlignment w:val="baseline"/>
        <w:rPr>
          <w:rFonts w:ascii="宋体" w:hAnsi="宋体" w:cs="宋体"/>
          <w:b/>
          <w:color w:val="auto"/>
          <w:sz w:val="24"/>
          <w:highlight w:val="none"/>
        </w:rPr>
      </w:pPr>
      <w:r>
        <w:rPr>
          <w:rFonts w:hint="eastAsia" w:ascii="宋体" w:hAnsi="宋体" w:cs="宋体"/>
          <w:color w:val="auto"/>
          <w:sz w:val="18"/>
          <w:szCs w:val="18"/>
          <w:highlight w:val="none"/>
        </w:rPr>
        <w:t>2、企业营业执照、所获认证证书、荣誉资料的复印件附后。</w:t>
      </w:r>
    </w:p>
    <w:p w14:paraId="597A668A">
      <w:pPr>
        <w:bidi w:val="0"/>
        <w:ind w:firstLine="420" w:firstLineChars="200"/>
      </w:pPr>
      <w:r>
        <w:rPr>
          <w:rFonts w:hint="eastAsia"/>
        </w:rPr>
        <w:t>供应商名称（盖章）：</w:t>
      </w:r>
    </w:p>
    <w:p w14:paraId="0FDD894B">
      <w:pPr>
        <w:bidi w:val="0"/>
        <w:ind w:firstLine="420" w:firstLineChars="200"/>
      </w:pPr>
      <w:r>
        <w:rPr>
          <w:rFonts w:hint="eastAsia"/>
        </w:rPr>
        <w:t>日期：年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60A6919B">
      <w:pPr>
        <w:spacing w:line="460" w:lineRule="exact"/>
        <w:ind w:firstLine="602" w:firstLineChars="200"/>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00B2C9FE">
      <w:pPr>
        <w:spacing w:line="460" w:lineRule="exact"/>
        <w:ind w:firstLine="442" w:firstLineChars="200"/>
        <w:textAlignment w:val="baseline"/>
        <w:outlineLvl w:val="0"/>
        <w:rPr>
          <w:rFonts w:hint="default" w:ascii="宋体" w:hAnsi="宋体" w:eastAsia="宋体" w:cs="宋体"/>
          <w:b/>
          <w:color w:val="auto"/>
          <w:sz w:val="30"/>
          <w:highlight w:val="none"/>
          <w:lang w:val="en-US" w:eastAsia="zh-CN"/>
        </w:rPr>
      </w:pPr>
      <w:bookmarkStart w:id="94" w:name="_Toc3763"/>
      <w:r>
        <w:rPr>
          <w:rFonts w:hint="eastAsia" w:ascii="宋体" w:hAnsi="宋体" w:cs="宋体"/>
          <w:b/>
          <w:bCs/>
          <w:color w:val="auto"/>
          <w:sz w:val="22"/>
          <w:highlight w:val="none"/>
        </w:rPr>
        <w:t>附件</w:t>
      </w:r>
      <w:bookmarkEnd w:id="94"/>
      <w:r>
        <w:rPr>
          <w:rFonts w:hint="eastAsia" w:ascii="宋体" w:hAnsi="宋体" w:cs="宋体"/>
          <w:b/>
          <w:bCs/>
          <w:color w:val="auto"/>
          <w:sz w:val="22"/>
          <w:highlight w:val="none"/>
          <w:lang w:val="en-US" w:eastAsia="zh-CN"/>
        </w:rPr>
        <w:t>4</w:t>
      </w:r>
    </w:p>
    <w:p w14:paraId="16E14772">
      <w:pPr>
        <w:widowControl/>
        <w:spacing w:line="420" w:lineRule="atLeast"/>
        <w:ind w:firstLine="602" w:firstLineChars="200"/>
        <w:jc w:val="center"/>
        <w:textAlignment w:val="baseline"/>
        <w:rPr>
          <w:rFonts w:ascii="宋体" w:hAnsi="宋体" w:cs="宋体"/>
          <w:color w:val="auto"/>
          <w:highlight w:val="none"/>
        </w:rPr>
      </w:pPr>
      <w:r>
        <w:rPr>
          <w:rFonts w:hint="eastAsia" w:ascii="宋体" w:hAnsi="宋体" w:cs="宋体"/>
          <w:b/>
          <w:bCs/>
          <w:color w:val="auto"/>
          <w:kern w:val="0"/>
          <w:sz w:val="30"/>
          <w:szCs w:val="30"/>
          <w:highlight w:val="none"/>
        </w:rPr>
        <w:t>偏离表</w:t>
      </w:r>
    </w:p>
    <w:p w14:paraId="6E6C430F">
      <w:pPr>
        <w:pStyle w:val="30"/>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 xml:space="preserve">项目名称： </w:t>
      </w:r>
      <w:r>
        <w:rPr>
          <w:rFonts w:hint="eastAsia" w:ascii="宋体" w:hAnsi="宋体" w:eastAsia="宋体"/>
          <w:color w:val="auto"/>
          <w:highlight w:val="none"/>
          <w:lang w:eastAsia="zh-CN"/>
        </w:rPr>
        <w:t xml:space="preserve">常山县紫港街道外港零担菜市场临时疏导点运营管理项目 </w:t>
      </w:r>
    </w:p>
    <w:p w14:paraId="0AC6935D">
      <w:pPr>
        <w:pStyle w:val="30"/>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项目编号：</w:t>
      </w:r>
      <w:r>
        <w:rPr>
          <w:rFonts w:hint="eastAsia" w:ascii="宋体" w:hAnsi="宋体" w:eastAsia="宋体"/>
          <w:color w:val="auto"/>
          <w:highlight w:val="none"/>
          <w:lang w:eastAsia="zh-CN"/>
        </w:rPr>
        <w:t>JYZFCG-2025-CS008</w:t>
      </w:r>
    </w:p>
    <w:tbl>
      <w:tblPr>
        <w:tblStyle w:val="32"/>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148"/>
        <w:gridCol w:w="2040"/>
        <w:gridCol w:w="1942"/>
        <w:gridCol w:w="2543"/>
      </w:tblGrid>
      <w:tr w14:paraId="7B5C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915" w:type="dxa"/>
            <w:vAlign w:val="center"/>
          </w:tcPr>
          <w:p w14:paraId="38F1C6F5">
            <w:pPr>
              <w:pStyle w:val="49"/>
              <w:bidi w:val="0"/>
              <w:rPr>
                <w:rFonts w:hint="eastAsia" w:ascii="Times New Roman" w:hAnsi="Times New Roman" w:eastAsia="宋体" w:cs="Times New Roman"/>
              </w:rPr>
            </w:pPr>
            <w:r>
              <w:rPr>
                <w:rFonts w:hint="eastAsia" w:ascii="Times New Roman" w:hAnsi="Times New Roman" w:eastAsia="宋体" w:cs="Times New Roman"/>
              </w:rPr>
              <w:t>序号</w:t>
            </w:r>
          </w:p>
        </w:tc>
        <w:tc>
          <w:tcPr>
            <w:tcW w:w="2148" w:type="dxa"/>
            <w:vAlign w:val="center"/>
          </w:tcPr>
          <w:p w14:paraId="688568B3">
            <w:pPr>
              <w:pStyle w:val="49"/>
              <w:bidi w:val="0"/>
              <w:rPr>
                <w:rFonts w:hint="eastAsia" w:ascii="Times New Roman" w:hAnsi="Times New Roman" w:eastAsia="宋体" w:cs="Times New Roman"/>
              </w:rPr>
            </w:pPr>
            <w:r>
              <w:rPr>
                <w:rFonts w:hint="eastAsia" w:ascii="Times New Roman" w:hAnsi="Times New Roman" w:eastAsia="宋体" w:cs="Times New Roman"/>
              </w:rPr>
              <w:t>内容</w:t>
            </w:r>
          </w:p>
        </w:tc>
        <w:tc>
          <w:tcPr>
            <w:tcW w:w="2040" w:type="dxa"/>
            <w:vAlign w:val="center"/>
          </w:tcPr>
          <w:p w14:paraId="7776FFA9">
            <w:pPr>
              <w:pStyle w:val="49"/>
              <w:bidi w:val="0"/>
              <w:rPr>
                <w:rFonts w:hint="eastAsia" w:ascii="Times New Roman" w:hAnsi="Times New Roman" w:eastAsia="宋体" w:cs="Times New Roman"/>
              </w:rPr>
            </w:pPr>
            <w:r>
              <w:rPr>
                <w:rFonts w:hint="eastAsia" w:ascii="Times New Roman" w:hAnsi="Times New Roman" w:eastAsia="宋体" w:cs="Times New Roman"/>
              </w:rPr>
              <w:t>招标文件规范要求</w:t>
            </w:r>
          </w:p>
        </w:tc>
        <w:tc>
          <w:tcPr>
            <w:tcW w:w="1942" w:type="dxa"/>
            <w:vAlign w:val="center"/>
          </w:tcPr>
          <w:p w14:paraId="198F668B">
            <w:pPr>
              <w:pStyle w:val="49"/>
              <w:bidi w:val="0"/>
              <w:rPr>
                <w:rFonts w:hint="eastAsia" w:ascii="Times New Roman" w:hAnsi="Times New Roman" w:eastAsia="宋体" w:cs="Times New Roman"/>
              </w:rPr>
            </w:pPr>
            <w:r>
              <w:rPr>
                <w:rFonts w:hint="eastAsia" w:ascii="Times New Roman" w:hAnsi="Times New Roman" w:eastAsia="宋体" w:cs="Times New Roman"/>
                <w:lang w:eastAsia="zh-CN"/>
              </w:rPr>
              <w:t>响应文件</w:t>
            </w:r>
            <w:r>
              <w:rPr>
                <w:rFonts w:hint="eastAsia" w:ascii="Times New Roman" w:hAnsi="Times New Roman" w:eastAsia="宋体" w:cs="Times New Roman"/>
              </w:rPr>
              <w:t>对应规范</w:t>
            </w:r>
          </w:p>
        </w:tc>
        <w:tc>
          <w:tcPr>
            <w:tcW w:w="2543" w:type="dxa"/>
            <w:vAlign w:val="center"/>
          </w:tcPr>
          <w:p w14:paraId="7680E6D4">
            <w:pPr>
              <w:pStyle w:val="49"/>
              <w:bidi w:val="0"/>
              <w:rPr>
                <w:rFonts w:hint="eastAsia" w:ascii="Times New Roman" w:hAnsi="Times New Roman" w:eastAsia="宋体" w:cs="Times New Roman"/>
              </w:rPr>
            </w:pPr>
            <w:r>
              <w:rPr>
                <w:rFonts w:hint="eastAsia" w:ascii="Times New Roman" w:hAnsi="Times New Roman" w:eastAsia="宋体" w:cs="Times New Roman"/>
              </w:rPr>
              <w:t>偏离情况</w:t>
            </w:r>
          </w:p>
        </w:tc>
      </w:tr>
      <w:tr w14:paraId="53A2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7FA6C680">
            <w:pPr>
              <w:pStyle w:val="49"/>
              <w:bidi w:val="0"/>
              <w:rPr>
                <w:rFonts w:hint="eastAsia" w:ascii="Times New Roman" w:hAnsi="Times New Roman" w:eastAsia="宋体" w:cs="Times New Roman"/>
              </w:rPr>
            </w:pPr>
          </w:p>
        </w:tc>
        <w:tc>
          <w:tcPr>
            <w:tcW w:w="2148" w:type="dxa"/>
          </w:tcPr>
          <w:p w14:paraId="1FDA7E85">
            <w:pPr>
              <w:pStyle w:val="49"/>
              <w:bidi w:val="0"/>
              <w:rPr>
                <w:rFonts w:hint="eastAsia" w:ascii="Times New Roman" w:hAnsi="Times New Roman" w:eastAsia="宋体" w:cs="Times New Roman"/>
              </w:rPr>
            </w:pPr>
          </w:p>
        </w:tc>
        <w:tc>
          <w:tcPr>
            <w:tcW w:w="2040" w:type="dxa"/>
          </w:tcPr>
          <w:p w14:paraId="1E1584AE">
            <w:pPr>
              <w:pStyle w:val="49"/>
              <w:bidi w:val="0"/>
              <w:rPr>
                <w:rFonts w:hint="eastAsia" w:ascii="Times New Roman" w:hAnsi="Times New Roman" w:eastAsia="宋体" w:cs="Times New Roman"/>
              </w:rPr>
            </w:pPr>
          </w:p>
        </w:tc>
        <w:tc>
          <w:tcPr>
            <w:tcW w:w="1942" w:type="dxa"/>
          </w:tcPr>
          <w:p w14:paraId="2F48D405">
            <w:pPr>
              <w:pStyle w:val="49"/>
              <w:bidi w:val="0"/>
              <w:rPr>
                <w:rFonts w:hint="eastAsia" w:ascii="Times New Roman" w:hAnsi="Times New Roman" w:eastAsia="宋体" w:cs="Times New Roman"/>
              </w:rPr>
            </w:pPr>
          </w:p>
        </w:tc>
        <w:tc>
          <w:tcPr>
            <w:tcW w:w="2543" w:type="dxa"/>
          </w:tcPr>
          <w:p w14:paraId="4A026937">
            <w:pPr>
              <w:pStyle w:val="49"/>
              <w:bidi w:val="0"/>
              <w:rPr>
                <w:rFonts w:hint="eastAsia" w:ascii="Times New Roman" w:hAnsi="Times New Roman" w:eastAsia="宋体" w:cs="Times New Roman"/>
              </w:rPr>
            </w:pPr>
          </w:p>
        </w:tc>
      </w:tr>
      <w:tr w14:paraId="6953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1F9F9EE0">
            <w:pPr>
              <w:pStyle w:val="49"/>
              <w:bidi w:val="0"/>
              <w:rPr>
                <w:rFonts w:hint="eastAsia" w:ascii="Times New Roman" w:hAnsi="Times New Roman" w:eastAsia="宋体" w:cs="Times New Roman"/>
              </w:rPr>
            </w:pPr>
          </w:p>
        </w:tc>
        <w:tc>
          <w:tcPr>
            <w:tcW w:w="2148" w:type="dxa"/>
          </w:tcPr>
          <w:p w14:paraId="4A7A7F57">
            <w:pPr>
              <w:pStyle w:val="49"/>
              <w:bidi w:val="0"/>
              <w:rPr>
                <w:rFonts w:hint="eastAsia" w:ascii="Times New Roman" w:hAnsi="Times New Roman" w:eastAsia="宋体" w:cs="Times New Roman"/>
              </w:rPr>
            </w:pPr>
          </w:p>
        </w:tc>
        <w:tc>
          <w:tcPr>
            <w:tcW w:w="2040" w:type="dxa"/>
          </w:tcPr>
          <w:p w14:paraId="6B961664">
            <w:pPr>
              <w:pStyle w:val="49"/>
              <w:bidi w:val="0"/>
              <w:rPr>
                <w:rFonts w:hint="eastAsia" w:ascii="Times New Roman" w:hAnsi="Times New Roman" w:eastAsia="宋体" w:cs="Times New Roman"/>
              </w:rPr>
            </w:pPr>
          </w:p>
        </w:tc>
        <w:tc>
          <w:tcPr>
            <w:tcW w:w="1942" w:type="dxa"/>
          </w:tcPr>
          <w:p w14:paraId="2BA07CF1">
            <w:pPr>
              <w:pStyle w:val="49"/>
              <w:bidi w:val="0"/>
              <w:rPr>
                <w:rFonts w:hint="eastAsia" w:ascii="Times New Roman" w:hAnsi="Times New Roman" w:eastAsia="宋体" w:cs="Times New Roman"/>
              </w:rPr>
            </w:pPr>
          </w:p>
        </w:tc>
        <w:tc>
          <w:tcPr>
            <w:tcW w:w="2543" w:type="dxa"/>
          </w:tcPr>
          <w:p w14:paraId="3C405239">
            <w:pPr>
              <w:pStyle w:val="49"/>
              <w:bidi w:val="0"/>
              <w:rPr>
                <w:rFonts w:hint="eastAsia" w:ascii="Times New Roman" w:hAnsi="Times New Roman" w:eastAsia="宋体" w:cs="Times New Roman"/>
              </w:rPr>
            </w:pPr>
          </w:p>
        </w:tc>
      </w:tr>
      <w:tr w14:paraId="3228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155C36C6">
            <w:pPr>
              <w:pStyle w:val="49"/>
              <w:bidi w:val="0"/>
              <w:rPr>
                <w:rFonts w:hint="eastAsia" w:ascii="Times New Roman" w:hAnsi="Times New Roman" w:eastAsia="宋体" w:cs="Times New Roman"/>
              </w:rPr>
            </w:pPr>
          </w:p>
        </w:tc>
        <w:tc>
          <w:tcPr>
            <w:tcW w:w="2148" w:type="dxa"/>
          </w:tcPr>
          <w:p w14:paraId="26AA5D8D">
            <w:pPr>
              <w:pStyle w:val="49"/>
              <w:bidi w:val="0"/>
              <w:rPr>
                <w:rFonts w:hint="eastAsia" w:ascii="Times New Roman" w:hAnsi="Times New Roman" w:eastAsia="宋体" w:cs="Times New Roman"/>
              </w:rPr>
            </w:pPr>
          </w:p>
        </w:tc>
        <w:tc>
          <w:tcPr>
            <w:tcW w:w="2040" w:type="dxa"/>
          </w:tcPr>
          <w:p w14:paraId="4490D7A1">
            <w:pPr>
              <w:pStyle w:val="49"/>
              <w:bidi w:val="0"/>
              <w:rPr>
                <w:rFonts w:hint="eastAsia" w:ascii="Times New Roman" w:hAnsi="Times New Roman" w:eastAsia="宋体" w:cs="Times New Roman"/>
              </w:rPr>
            </w:pPr>
          </w:p>
        </w:tc>
        <w:tc>
          <w:tcPr>
            <w:tcW w:w="1942" w:type="dxa"/>
          </w:tcPr>
          <w:p w14:paraId="7793AF5E">
            <w:pPr>
              <w:pStyle w:val="49"/>
              <w:bidi w:val="0"/>
              <w:rPr>
                <w:rFonts w:hint="eastAsia" w:ascii="Times New Roman" w:hAnsi="Times New Roman" w:eastAsia="宋体" w:cs="Times New Roman"/>
              </w:rPr>
            </w:pPr>
          </w:p>
        </w:tc>
        <w:tc>
          <w:tcPr>
            <w:tcW w:w="2543" w:type="dxa"/>
          </w:tcPr>
          <w:p w14:paraId="1D6AE442">
            <w:pPr>
              <w:pStyle w:val="49"/>
              <w:bidi w:val="0"/>
              <w:rPr>
                <w:rFonts w:hint="eastAsia" w:ascii="Times New Roman" w:hAnsi="Times New Roman" w:eastAsia="宋体" w:cs="Times New Roman"/>
              </w:rPr>
            </w:pPr>
          </w:p>
        </w:tc>
      </w:tr>
      <w:tr w14:paraId="7FEF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top"/>
          </w:tcPr>
          <w:p w14:paraId="335EAD95">
            <w:pPr>
              <w:pStyle w:val="49"/>
              <w:bidi w:val="0"/>
              <w:rPr>
                <w:rFonts w:hint="eastAsia" w:ascii="Times New Roman" w:hAnsi="Times New Roman" w:eastAsia="宋体" w:cs="Times New Roman"/>
                <w:lang w:val="en-US" w:eastAsia="zh-CN"/>
              </w:rPr>
            </w:pPr>
            <w:r>
              <w:rPr>
                <w:rFonts w:hint="eastAsia" w:ascii="Times New Roman" w:hAnsi="Times New Roman" w:eastAsia="宋体" w:cs="Times New Roman"/>
              </w:rPr>
              <w:t>…</w:t>
            </w:r>
          </w:p>
        </w:tc>
        <w:tc>
          <w:tcPr>
            <w:tcW w:w="2148" w:type="dxa"/>
          </w:tcPr>
          <w:p w14:paraId="234C075D">
            <w:pPr>
              <w:pStyle w:val="49"/>
              <w:bidi w:val="0"/>
              <w:rPr>
                <w:rFonts w:hint="eastAsia" w:ascii="Times New Roman" w:hAnsi="Times New Roman" w:eastAsia="宋体" w:cs="Times New Roman"/>
              </w:rPr>
            </w:pPr>
          </w:p>
        </w:tc>
        <w:tc>
          <w:tcPr>
            <w:tcW w:w="2040" w:type="dxa"/>
          </w:tcPr>
          <w:p w14:paraId="3F8CA573">
            <w:pPr>
              <w:pStyle w:val="49"/>
              <w:bidi w:val="0"/>
              <w:rPr>
                <w:rFonts w:hint="eastAsia" w:ascii="Times New Roman" w:hAnsi="Times New Roman" w:eastAsia="宋体" w:cs="Times New Roman"/>
              </w:rPr>
            </w:pPr>
          </w:p>
        </w:tc>
        <w:tc>
          <w:tcPr>
            <w:tcW w:w="1942" w:type="dxa"/>
          </w:tcPr>
          <w:p w14:paraId="109D7366">
            <w:pPr>
              <w:pStyle w:val="49"/>
              <w:bidi w:val="0"/>
              <w:rPr>
                <w:rFonts w:hint="eastAsia" w:ascii="Times New Roman" w:hAnsi="Times New Roman" w:eastAsia="宋体" w:cs="Times New Roman"/>
              </w:rPr>
            </w:pPr>
          </w:p>
        </w:tc>
        <w:tc>
          <w:tcPr>
            <w:tcW w:w="2543" w:type="dxa"/>
          </w:tcPr>
          <w:p w14:paraId="11740BE6">
            <w:pPr>
              <w:pStyle w:val="49"/>
              <w:bidi w:val="0"/>
              <w:rPr>
                <w:rFonts w:hint="eastAsia" w:ascii="Times New Roman" w:hAnsi="Times New Roman" w:eastAsia="宋体" w:cs="Times New Roman"/>
              </w:rPr>
            </w:pPr>
          </w:p>
        </w:tc>
      </w:tr>
    </w:tbl>
    <w:p w14:paraId="6A05E8F8">
      <w:pPr>
        <w:spacing w:before="156" w:line="360" w:lineRule="auto"/>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填表说明：</w:t>
      </w:r>
    </w:p>
    <w:p w14:paraId="75207C63">
      <w:pPr>
        <w:numPr>
          <w:ilvl w:val="0"/>
          <w:numId w:val="8"/>
        </w:numPr>
        <w:spacing w:before="156"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对采购文件有偏离（包括正偏离</w:t>
      </w:r>
      <w:r>
        <w:rPr>
          <w:rFonts w:hint="eastAsia" w:ascii="宋体" w:hAnsi="宋体" w:cs="宋体"/>
          <w:color w:val="auto"/>
          <w:szCs w:val="21"/>
          <w:highlight w:val="none"/>
          <w:lang w:eastAsia="zh-CN"/>
        </w:rPr>
        <w:t>或</w:t>
      </w:r>
      <w:r>
        <w:rPr>
          <w:rFonts w:hint="eastAsia" w:ascii="宋体" w:hAnsi="宋体" w:cs="宋体"/>
          <w:color w:val="auto"/>
          <w:szCs w:val="21"/>
          <w:highlight w:val="none"/>
        </w:rPr>
        <w:t>负偏离）均应汇总并填写在此表中。</w:t>
      </w:r>
    </w:p>
    <w:p w14:paraId="0510AC2C">
      <w:pPr>
        <w:numPr>
          <w:ilvl w:val="0"/>
          <w:numId w:val="8"/>
        </w:numPr>
        <w:spacing w:before="156"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此表可在不改变格式的情况下自行制作。</w:t>
      </w:r>
    </w:p>
    <w:p w14:paraId="53A53175">
      <w:pPr>
        <w:numPr>
          <w:ilvl w:val="0"/>
          <w:numId w:val="8"/>
        </w:numPr>
        <w:spacing w:before="156" w:line="360" w:lineRule="auto"/>
        <w:ind w:firstLine="422" w:firstLineChars="200"/>
        <w:textAlignment w:val="baseline"/>
        <w:rPr>
          <w:rFonts w:ascii="宋体" w:hAnsi="宋体" w:cs="宋体"/>
          <w:b/>
          <w:color w:val="auto"/>
          <w:sz w:val="20"/>
          <w:szCs w:val="21"/>
          <w:highlight w:val="none"/>
        </w:rPr>
      </w:pPr>
      <w:r>
        <w:rPr>
          <w:rFonts w:hint="eastAsia" w:ascii="宋体" w:hAnsi="宋体" w:cs="宋体"/>
          <w:b/>
          <w:bCs/>
          <w:color w:val="auto"/>
          <w:szCs w:val="21"/>
          <w:highlight w:val="none"/>
        </w:rPr>
        <w:t>不填写此表视作完全响应本采购文件要求。</w:t>
      </w:r>
    </w:p>
    <w:p w14:paraId="0E84D517">
      <w:pPr>
        <w:pStyle w:val="30"/>
        <w:ind w:firstLine="42"/>
        <w:textAlignment w:val="baseline"/>
        <w:rPr>
          <w:rFonts w:ascii="宋体" w:hAnsi="宋体" w:eastAsia="宋体"/>
          <w:color w:val="auto"/>
          <w:highlight w:val="none"/>
        </w:rPr>
      </w:pPr>
    </w:p>
    <w:p w14:paraId="121B9D4E">
      <w:pPr>
        <w:spacing w:line="440" w:lineRule="exact"/>
        <w:ind w:firstLine="4860"/>
        <w:jc w:val="left"/>
        <w:textAlignment w:val="baseline"/>
        <w:rPr>
          <w:rFonts w:hint="eastAsia" w:ascii="宋体" w:hAnsi="宋体" w:cs="宋体"/>
          <w:b/>
          <w:bCs/>
          <w:color w:val="auto"/>
          <w:sz w:val="24"/>
          <w:highlight w:val="none"/>
        </w:rPr>
      </w:pPr>
    </w:p>
    <w:p w14:paraId="6727E2AA">
      <w:pPr>
        <w:spacing w:line="440" w:lineRule="exact"/>
        <w:ind w:firstLine="4860"/>
        <w:jc w:val="left"/>
        <w:textAlignment w:val="baseline"/>
        <w:rPr>
          <w:rFonts w:hint="eastAsia" w:ascii="宋体" w:hAnsi="宋体" w:cs="宋体"/>
          <w:b/>
          <w:bCs/>
          <w:color w:val="auto"/>
          <w:sz w:val="24"/>
          <w:highlight w:val="none"/>
        </w:rPr>
      </w:pPr>
    </w:p>
    <w:p w14:paraId="09F1907D">
      <w:pPr>
        <w:bidi w:val="0"/>
        <w:ind w:firstLine="420" w:firstLineChars="200"/>
      </w:pPr>
      <w:r>
        <w:rPr>
          <w:rFonts w:hint="eastAsia"/>
        </w:rPr>
        <w:t>供应商名称（盖章）：</w:t>
      </w:r>
    </w:p>
    <w:p w14:paraId="7ADFB6B0">
      <w:pPr>
        <w:bidi w:val="0"/>
        <w:ind w:firstLine="420" w:firstLineChars="200"/>
      </w:pPr>
      <w:r>
        <w:rPr>
          <w:rFonts w:hint="eastAsia"/>
        </w:rPr>
        <w:t>日期：  年  月  日</w:t>
      </w:r>
    </w:p>
    <w:p w14:paraId="01F6830B">
      <w:pPr>
        <w:spacing w:line="460" w:lineRule="exact"/>
        <w:jc w:val="center"/>
        <w:textAlignment w:val="baseline"/>
        <w:rPr>
          <w:rFonts w:ascii="宋体" w:hAnsi="宋体" w:cs="宋体"/>
          <w:b/>
          <w:bCs/>
          <w:color w:val="auto"/>
          <w:sz w:val="28"/>
          <w:szCs w:val="28"/>
          <w:highlight w:val="none"/>
        </w:rPr>
      </w:pPr>
    </w:p>
    <w:p w14:paraId="0C5B8238">
      <w:pPr>
        <w:spacing w:line="460" w:lineRule="exact"/>
        <w:jc w:val="center"/>
        <w:textAlignment w:val="baseline"/>
        <w:rPr>
          <w:rFonts w:ascii="宋体" w:hAnsi="宋体" w:cs="宋体"/>
          <w:b/>
          <w:bCs/>
          <w:color w:val="auto"/>
          <w:sz w:val="28"/>
          <w:szCs w:val="28"/>
          <w:highlight w:val="none"/>
        </w:rPr>
      </w:pPr>
    </w:p>
    <w:p w14:paraId="7859F99A">
      <w:pPr>
        <w:spacing w:line="460" w:lineRule="exact"/>
        <w:jc w:val="center"/>
        <w:textAlignment w:val="baseline"/>
        <w:rPr>
          <w:rFonts w:ascii="宋体" w:hAnsi="宋体" w:cs="宋体"/>
          <w:b/>
          <w:bCs/>
          <w:color w:val="auto"/>
          <w:sz w:val="28"/>
          <w:szCs w:val="28"/>
          <w:highlight w:val="none"/>
        </w:rPr>
      </w:pPr>
    </w:p>
    <w:p w14:paraId="0346A560">
      <w:pPr>
        <w:spacing w:line="460" w:lineRule="exact"/>
        <w:jc w:val="center"/>
        <w:textAlignment w:val="baseline"/>
        <w:rPr>
          <w:rFonts w:ascii="宋体" w:hAnsi="宋体" w:cs="宋体"/>
          <w:b/>
          <w:bCs/>
          <w:color w:val="auto"/>
          <w:sz w:val="28"/>
          <w:szCs w:val="28"/>
          <w:highlight w:val="none"/>
        </w:rPr>
      </w:pPr>
    </w:p>
    <w:p w14:paraId="13951143">
      <w:pPr>
        <w:spacing w:line="460" w:lineRule="exact"/>
        <w:jc w:val="center"/>
        <w:textAlignment w:val="baseline"/>
        <w:rPr>
          <w:rFonts w:ascii="宋体" w:hAnsi="宋体" w:cs="宋体"/>
          <w:b/>
          <w:bCs/>
          <w:color w:val="auto"/>
          <w:sz w:val="28"/>
          <w:szCs w:val="28"/>
          <w:highlight w:val="none"/>
        </w:rPr>
      </w:pPr>
    </w:p>
    <w:p w14:paraId="2E0E12CF">
      <w:pPr>
        <w:spacing w:line="460" w:lineRule="exact"/>
        <w:jc w:val="center"/>
        <w:textAlignment w:val="baseline"/>
        <w:rPr>
          <w:rFonts w:ascii="宋体" w:hAnsi="宋体" w:cs="宋体"/>
          <w:b/>
          <w:bCs/>
          <w:color w:val="auto"/>
          <w:sz w:val="28"/>
          <w:szCs w:val="28"/>
          <w:highlight w:val="none"/>
        </w:rPr>
      </w:pPr>
    </w:p>
    <w:p w14:paraId="61C2D7AA">
      <w:pPr>
        <w:pStyle w:val="30"/>
        <w:ind w:firstLine="42"/>
        <w:textAlignment w:val="baseline"/>
        <w:rPr>
          <w:rFonts w:ascii="宋体" w:hAnsi="宋体" w:eastAsia="宋体"/>
          <w:color w:val="auto"/>
          <w:highlight w:val="none"/>
        </w:rPr>
      </w:pPr>
    </w:p>
    <w:p w14:paraId="5F71061A">
      <w:pPr>
        <w:ind w:firstLine="442" w:firstLineChars="200"/>
        <w:rPr>
          <w:rFonts w:hint="eastAsia" w:ascii="宋体" w:hAnsi="宋体" w:cs="宋体"/>
          <w:b/>
          <w:bCs/>
          <w:color w:val="auto"/>
          <w:sz w:val="22"/>
          <w:highlight w:val="none"/>
        </w:rPr>
      </w:pPr>
      <w:bookmarkStart w:id="95" w:name="_Toc14763"/>
      <w:r>
        <w:rPr>
          <w:rFonts w:hint="eastAsia" w:ascii="宋体" w:hAnsi="宋体" w:cs="宋体"/>
          <w:b/>
          <w:bCs/>
          <w:color w:val="auto"/>
          <w:sz w:val="22"/>
          <w:highlight w:val="none"/>
        </w:rPr>
        <w:br w:type="page"/>
      </w:r>
    </w:p>
    <w:p w14:paraId="2F664697">
      <w:pPr>
        <w:spacing w:line="440" w:lineRule="exact"/>
        <w:ind w:firstLine="442" w:firstLineChars="200"/>
        <w:textAlignment w:val="baseline"/>
        <w:outlineLvl w:val="0"/>
        <w:rPr>
          <w:rFonts w:hint="default" w:ascii="宋体" w:hAnsi="宋体" w:eastAsia="宋体" w:cs="宋体"/>
          <w:b/>
          <w:bCs/>
          <w:color w:val="auto"/>
          <w:sz w:val="22"/>
          <w:highlight w:val="none"/>
          <w:lang w:val="en-US" w:eastAsia="zh-CN"/>
        </w:rPr>
      </w:pPr>
      <w:r>
        <w:rPr>
          <w:rFonts w:hint="eastAsia" w:ascii="宋体" w:hAnsi="宋体" w:cs="宋体"/>
          <w:b/>
          <w:bCs/>
          <w:color w:val="auto"/>
          <w:sz w:val="22"/>
          <w:highlight w:val="none"/>
        </w:rPr>
        <w:t>附件</w:t>
      </w:r>
      <w:bookmarkEnd w:id="95"/>
      <w:r>
        <w:rPr>
          <w:rFonts w:hint="eastAsia" w:ascii="宋体" w:hAnsi="宋体" w:cs="宋体"/>
          <w:b/>
          <w:bCs/>
          <w:color w:val="auto"/>
          <w:sz w:val="22"/>
          <w:highlight w:val="none"/>
          <w:lang w:val="en-US" w:eastAsia="zh-CN"/>
        </w:rPr>
        <w:t>5</w:t>
      </w:r>
    </w:p>
    <w:p w14:paraId="5440CA0D">
      <w:pPr>
        <w:spacing w:line="440" w:lineRule="exact"/>
        <w:ind w:firstLine="562" w:firstLineChars="200"/>
        <w:jc w:val="center"/>
        <w:textAlignment w:val="baseline"/>
        <w:rPr>
          <w:rFonts w:ascii="宋体" w:hAnsi="宋体" w:cs="宋体"/>
          <w:b/>
          <w:bCs/>
          <w:color w:val="auto"/>
          <w:sz w:val="28"/>
          <w:szCs w:val="28"/>
          <w:highlight w:val="none"/>
        </w:rPr>
      </w:pPr>
      <w:r>
        <w:rPr>
          <w:rFonts w:hint="eastAsia" w:ascii="宋体" w:hAnsi="宋体" w:cs="宋体"/>
          <w:b/>
          <w:bCs/>
          <w:color w:val="auto"/>
          <w:sz w:val="28"/>
          <w:szCs w:val="28"/>
          <w:highlight w:val="none"/>
        </w:rPr>
        <w:t>项目人员</w:t>
      </w:r>
      <w:r>
        <w:rPr>
          <w:rFonts w:hint="eastAsia" w:ascii="宋体" w:hAnsi="宋体" w:cs="宋体"/>
          <w:b/>
          <w:bCs/>
          <w:color w:val="auto"/>
          <w:sz w:val="28"/>
          <w:szCs w:val="28"/>
          <w:highlight w:val="none"/>
          <w:lang w:eastAsia="zh-CN"/>
        </w:rPr>
        <w:t>团队</w:t>
      </w:r>
      <w:r>
        <w:rPr>
          <w:rFonts w:hint="eastAsia" w:ascii="宋体" w:hAnsi="宋体" w:cs="宋体"/>
          <w:b/>
          <w:bCs/>
          <w:color w:val="auto"/>
          <w:sz w:val="28"/>
          <w:szCs w:val="28"/>
          <w:highlight w:val="none"/>
        </w:rPr>
        <w:t>配备情况表</w:t>
      </w:r>
    </w:p>
    <w:p w14:paraId="720B9306">
      <w:pPr>
        <w:pStyle w:val="12"/>
        <w:rPr>
          <w:rFonts w:ascii="宋体" w:hAnsi="宋体" w:cs="宋体"/>
          <w:color w:val="auto"/>
          <w:highlight w:val="none"/>
        </w:rPr>
      </w:pPr>
    </w:p>
    <w:p w14:paraId="45857C6F">
      <w:pPr>
        <w:pStyle w:val="30"/>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 xml:space="preserve">项目名称： </w:t>
      </w:r>
      <w:r>
        <w:rPr>
          <w:rFonts w:hint="eastAsia" w:ascii="宋体" w:hAnsi="宋体" w:eastAsia="宋体"/>
          <w:color w:val="auto"/>
          <w:highlight w:val="none"/>
          <w:lang w:eastAsia="zh-CN"/>
        </w:rPr>
        <w:t xml:space="preserve">常山县紫港街道外港零担菜市场临时疏导点运营管理项目 </w:t>
      </w:r>
    </w:p>
    <w:p w14:paraId="71CFF68B">
      <w:pPr>
        <w:pStyle w:val="30"/>
        <w:ind w:firstLine="420" w:firstLineChars="200"/>
        <w:rPr>
          <w:rFonts w:ascii="宋体" w:hAnsi="宋体" w:cs="宋体"/>
          <w:bCs/>
          <w:color w:val="auto"/>
          <w:sz w:val="24"/>
          <w:highlight w:val="none"/>
        </w:rPr>
      </w:pPr>
      <w:r>
        <w:rPr>
          <w:rFonts w:hint="eastAsia" w:ascii="宋体" w:hAnsi="宋体" w:eastAsia="宋体"/>
          <w:color w:val="auto"/>
          <w:highlight w:val="none"/>
        </w:rPr>
        <w:t>项目编号：</w:t>
      </w:r>
      <w:r>
        <w:rPr>
          <w:rFonts w:hint="eastAsia" w:ascii="宋体" w:hAnsi="宋体" w:eastAsia="宋体"/>
          <w:color w:val="auto"/>
          <w:highlight w:val="none"/>
          <w:lang w:eastAsia="zh-CN"/>
        </w:rPr>
        <w:t>JYZFCG-2025-CS008</w:t>
      </w:r>
    </w:p>
    <w:tbl>
      <w:tblPr>
        <w:tblStyle w:val="32"/>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2158"/>
        <w:gridCol w:w="1343"/>
        <w:gridCol w:w="1063"/>
        <w:gridCol w:w="1606"/>
        <w:gridCol w:w="1399"/>
      </w:tblGrid>
      <w:tr w14:paraId="61CF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8" w:type="dxa"/>
            <w:vAlign w:val="center"/>
          </w:tcPr>
          <w:p w14:paraId="0A4D6AC0">
            <w:pPr>
              <w:pStyle w:val="49"/>
              <w:bidi w:val="0"/>
            </w:pPr>
            <w:r>
              <w:rPr>
                <w:rFonts w:hint="eastAsia"/>
              </w:rPr>
              <w:t>姓名</w:t>
            </w:r>
          </w:p>
        </w:tc>
        <w:tc>
          <w:tcPr>
            <w:tcW w:w="2158" w:type="dxa"/>
            <w:vAlign w:val="center"/>
          </w:tcPr>
          <w:p w14:paraId="330F62B3">
            <w:pPr>
              <w:pStyle w:val="49"/>
              <w:bidi w:val="0"/>
            </w:pPr>
            <w:r>
              <w:rPr>
                <w:rFonts w:hint="eastAsia"/>
              </w:rPr>
              <w:t>本项目拟任岗位</w:t>
            </w:r>
          </w:p>
        </w:tc>
        <w:tc>
          <w:tcPr>
            <w:tcW w:w="1343" w:type="dxa"/>
            <w:vAlign w:val="center"/>
          </w:tcPr>
          <w:p w14:paraId="5E42CADB">
            <w:pPr>
              <w:pStyle w:val="49"/>
              <w:bidi w:val="0"/>
            </w:pPr>
            <w:r>
              <w:rPr>
                <w:rFonts w:hint="eastAsia"/>
              </w:rPr>
              <w:t>年龄</w:t>
            </w:r>
          </w:p>
        </w:tc>
        <w:tc>
          <w:tcPr>
            <w:tcW w:w="1063" w:type="dxa"/>
            <w:vAlign w:val="center"/>
          </w:tcPr>
          <w:p w14:paraId="7AAA2F9C">
            <w:pPr>
              <w:pStyle w:val="49"/>
              <w:bidi w:val="0"/>
            </w:pPr>
            <w:r>
              <w:rPr>
                <w:rFonts w:hint="eastAsia"/>
              </w:rPr>
              <w:t>性别</w:t>
            </w:r>
          </w:p>
        </w:tc>
        <w:tc>
          <w:tcPr>
            <w:tcW w:w="1606" w:type="dxa"/>
            <w:vAlign w:val="center"/>
          </w:tcPr>
          <w:p w14:paraId="5A462909">
            <w:pPr>
              <w:pStyle w:val="49"/>
              <w:bidi w:val="0"/>
              <w:rPr>
                <w:rFonts w:hint="eastAsia"/>
                <w:lang w:eastAsia="zh-Hans"/>
              </w:rPr>
            </w:pPr>
            <w:r>
              <w:rPr>
                <w:rFonts w:hint="eastAsia"/>
                <w:lang w:val="en-US" w:eastAsia="zh-Hans"/>
              </w:rPr>
              <w:t>学历及专业</w:t>
            </w:r>
          </w:p>
        </w:tc>
        <w:tc>
          <w:tcPr>
            <w:tcW w:w="1399" w:type="dxa"/>
            <w:vAlign w:val="center"/>
          </w:tcPr>
          <w:p w14:paraId="62C55532">
            <w:pPr>
              <w:pStyle w:val="49"/>
              <w:bidi w:val="0"/>
              <w:rPr>
                <w:rFonts w:hint="eastAsia"/>
                <w:lang w:eastAsia="zh-Hans"/>
              </w:rPr>
            </w:pPr>
            <w:r>
              <w:rPr>
                <w:rFonts w:hint="eastAsia"/>
                <w:lang w:val="en-US" w:eastAsia="zh-Hans"/>
              </w:rPr>
              <w:t>工作经历</w:t>
            </w:r>
          </w:p>
        </w:tc>
      </w:tr>
      <w:tr w14:paraId="0CF9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106DD4B5">
            <w:pPr>
              <w:pStyle w:val="49"/>
              <w:bidi w:val="0"/>
            </w:pPr>
          </w:p>
        </w:tc>
        <w:tc>
          <w:tcPr>
            <w:tcW w:w="2158" w:type="dxa"/>
          </w:tcPr>
          <w:p w14:paraId="2E5EAC4C">
            <w:pPr>
              <w:pStyle w:val="49"/>
              <w:bidi w:val="0"/>
            </w:pPr>
          </w:p>
        </w:tc>
        <w:tc>
          <w:tcPr>
            <w:tcW w:w="1343" w:type="dxa"/>
          </w:tcPr>
          <w:p w14:paraId="730223BA">
            <w:pPr>
              <w:pStyle w:val="49"/>
              <w:bidi w:val="0"/>
            </w:pPr>
          </w:p>
        </w:tc>
        <w:tc>
          <w:tcPr>
            <w:tcW w:w="1063" w:type="dxa"/>
          </w:tcPr>
          <w:p w14:paraId="5C618577">
            <w:pPr>
              <w:pStyle w:val="49"/>
              <w:bidi w:val="0"/>
            </w:pPr>
          </w:p>
        </w:tc>
        <w:tc>
          <w:tcPr>
            <w:tcW w:w="1606" w:type="dxa"/>
          </w:tcPr>
          <w:p w14:paraId="3959B369">
            <w:pPr>
              <w:pStyle w:val="49"/>
              <w:bidi w:val="0"/>
            </w:pPr>
          </w:p>
        </w:tc>
        <w:tc>
          <w:tcPr>
            <w:tcW w:w="1399" w:type="dxa"/>
          </w:tcPr>
          <w:p w14:paraId="163EC6CB">
            <w:pPr>
              <w:pStyle w:val="49"/>
              <w:bidi w:val="0"/>
            </w:pPr>
          </w:p>
        </w:tc>
      </w:tr>
      <w:tr w14:paraId="06BD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0CE0F376">
            <w:pPr>
              <w:pStyle w:val="49"/>
              <w:bidi w:val="0"/>
            </w:pPr>
          </w:p>
        </w:tc>
        <w:tc>
          <w:tcPr>
            <w:tcW w:w="2158" w:type="dxa"/>
          </w:tcPr>
          <w:p w14:paraId="61A97ADA">
            <w:pPr>
              <w:pStyle w:val="49"/>
              <w:bidi w:val="0"/>
            </w:pPr>
          </w:p>
        </w:tc>
        <w:tc>
          <w:tcPr>
            <w:tcW w:w="1343" w:type="dxa"/>
          </w:tcPr>
          <w:p w14:paraId="3E9153E0">
            <w:pPr>
              <w:pStyle w:val="49"/>
              <w:bidi w:val="0"/>
            </w:pPr>
          </w:p>
        </w:tc>
        <w:tc>
          <w:tcPr>
            <w:tcW w:w="1063" w:type="dxa"/>
          </w:tcPr>
          <w:p w14:paraId="581B0D38">
            <w:pPr>
              <w:pStyle w:val="49"/>
              <w:bidi w:val="0"/>
            </w:pPr>
          </w:p>
        </w:tc>
        <w:tc>
          <w:tcPr>
            <w:tcW w:w="1606" w:type="dxa"/>
          </w:tcPr>
          <w:p w14:paraId="077CDB60">
            <w:pPr>
              <w:pStyle w:val="49"/>
              <w:bidi w:val="0"/>
            </w:pPr>
          </w:p>
        </w:tc>
        <w:tc>
          <w:tcPr>
            <w:tcW w:w="1399" w:type="dxa"/>
          </w:tcPr>
          <w:p w14:paraId="46B29631">
            <w:pPr>
              <w:pStyle w:val="49"/>
              <w:bidi w:val="0"/>
            </w:pPr>
          </w:p>
        </w:tc>
      </w:tr>
      <w:tr w14:paraId="6BAA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176FAB15">
            <w:pPr>
              <w:pStyle w:val="49"/>
              <w:bidi w:val="0"/>
            </w:pPr>
          </w:p>
        </w:tc>
        <w:tc>
          <w:tcPr>
            <w:tcW w:w="2158" w:type="dxa"/>
          </w:tcPr>
          <w:p w14:paraId="0CFB5876">
            <w:pPr>
              <w:pStyle w:val="49"/>
              <w:bidi w:val="0"/>
            </w:pPr>
          </w:p>
        </w:tc>
        <w:tc>
          <w:tcPr>
            <w:tcW w:w="1343" w:type="dxa"/>
          </w:tcPr>
          <w:p w14:paraId="166F7103">
            <w:pPr>
              <w:pStyle w:val="49"/>
              <w:bidi w:val="0"/>
            </w:pPr>
          </w:p>
        </w:tc>
        <w:tc>
          <w:tcPr>
            <w:tcW w:w="1063" w:type="dxa"/>
          </w:tcPr>
          <w:p w14:paraId="6CAAABBA">
            <w:pPr>
              <w:pStyle w:val="49"/>
              <w:bidi w:val="0"/>
            </w:pPr>
          </w:p>
        </w:tc>
        <w:tc>
          <w:tcPr>
            <w:tcW w:w="1606" w:type="dxa"/>
          </w:tcPr>
          <w:p w14:paraId="4B59980C">
            <w:pPr>
              <w:pStyle w:val="49"/>
              <w:bidi w:val="0"/>
            </w:pPr>
          </w:p>
        </w:tc>
        <w:tc>
          <w:tcPr>
            <w:tcW w:w="1399" w:type="dxa"/>
          </w:tcPr>
          <w:p w14:paraId="1A879624">
            <w:pPr>
              <w:pStyle w:val="49"/>
              <w:bidi w:val="0"/>
            </w:pPr>
          </w:p>
        </w:tc>
      </w:tr>
      <w:tr w14:paraId="65BB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48AAC97B">
            <w:pPr>
              <w:pStyle w:val="49"/>
              <w:bidi w:val="0"/>
            </w:pPr>
          </w:p>
        </w:tc>
        <w:tc>
          <w:tcPr>
            <w:tcW w:w="2158" w:type="dxa"/>
          </w:tcPr>
          <w:p w14:paraId="19E81CB0">
            <w:pPr>
              <w:pStyle w:val="49"/>
              <w:bidi w:val="0"/>
            </w:pPr>
          </w:p>
        </w:tc>
        <w:tc>
          <w:tcPr>
            <w:tcW w:w="1343" w:type="dxa"/>
          </w:tcPr>
          <w:p w14:paraId="48969C11">
            <w:pPr>
              <w:pStyle w:val="49"/>
              <w:bidi w:val="0"/>
            </w:pPr>
          </w:p>
        </w:tc>
        <w:tc>
          <w:tcPr>
            <w:tcW w:w="1063" w:type="dxa"/>
          </w:tcPr>
          <w:p w14:paraId="025073F3">
            <w:pPr>
              <w:pStyle w:val="49"/>
              <w:bidi w:val="0"/>
            </w:pPr>
          </w:p>
        </w:tc>
        <w:tc>
          <w:tcPr>
            <w:tcW w:w="1606" w:type="dxa"/>
          </w:tcPr>
          <w:p w14:paraId="1E75A28F">
            <w:pPr>
              <w:pStyle w:val="49"/>
              <w:bidi w:val="0"/>
            </w:pPr>
          </w:p>
        </w:tc>
        <w:tc>
          <w:tcPr>
            <w:tcW w:w="1399" w:type="dxa"/>
          </w:tcPr>
          <w:p w14:paraId="2EA876C9">
            <w:pPr>
              <w:pStyle w:val="49"/>
              <w:bidi w:val="0"/>
            </w:pPr>
          </w:p>
        </w:tc>
      </w:tr>
      <w:tr w14:paraId="5F06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4FEC004A">
            <w:pPr>
              <w:pStyle w:val="49"/>
              <w:bidi w:val="0"/>
            </w:pPr>
          </w:p>
        </w:tc>
        <w:tc>
          <w:tcPr>
            <w:tcW w:w="2158" w:type="dxa"/>
          </w:tcPr>
          <w:p w14:paraId="57B8E62D">
            <w:pPr>
              <w:pStyle w:val="49"/>
              <w:bidi w:val="0"/>
            </w:pPr>
          </w:p>
        </w:tc>
        <w:tc>
          <w:tcPr>
            <w:tcW w:w="1343" w:type="dxa"/>
          </w:tcPr>
          <w:p w14:paraId="5043947C">
            <w:pPr>
              <w:pStyle w:val="49"/>
              <w:bidi w:val="0"/>
            </w:pPr>
          </w:p>
        </w:tc>
        <w:tc>
          <w:tcPr>
            <w:tcW w:w="1063" w:type="dxa"/>
          </w:tcPr>
          <w:p w14:paraId="36DAB68D">
            <w:pPr>
              <w:pStyle w:val="49"/>
              <w:bidi w:val="0"/>
            </w:pPr>
          </w:p>
        </w:tc>
        <w:tc>
          <w:tcPr>
            <w:tcW w:w="1606" w:type="dxa"/>
          </w:tcPr>
          <w:p w14:paraId="24960528">
            <w:pPr>
              <w:pStyle w:val="49"/>
              <w:bidi w:val="0"/>
            </w:pPr>
          </w:p>
        </w:tc>
        <w:tc>
          <w:tcPr>
            <w:tcW w:w="1399" w:type="dxa"/>
          </w:tcPr>
          <w:p w14:paraId="049DF7C9">
            <w:pPr>
              <w:pStyle w:val="49"/>
              <w:bidi w:val="0"/>
            </w:pPr>
          </w:p>
        </w:tc>
      </w:tr>
      <w:tr w14:paraId="5976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19080E2C">
            <w:pPr>
              <w:pStyle w:val="49"/>
              <w:bidi w:val="0"/>
            </w:pPr>
          </w:p>
        </w:tc>
        <w:tc>
          <w:tcPr>
            <w:tcW w:w="2158" w:type="dxa"/>
          </w:tcPr>
          <w:p w14:paraId="51BCA6E9">
            <w:pPr>
              <w:pStyle w:val="49"/>
              <w:bidi w:val="0"/>
            </w:pPr>
          </w:p>
        </w:tc>
        <w:tc>
          <w:tcPr>
            <w:tcW w:w="1343" w:type="dxa"/>
          </w:tcPr>
          <w:p w14:paraId="5EFB81CE">
            <w:pPr>
              <w:pStyle w:val="49"/>
              <w:bidi w:val="0"/>
            </w:pPr>
          </w:p>
        </w:tc>
        <w:tc>
          <w:tcPr>
            <w:tcW w:w="1063" w:type="dxa"/>
          </w:tcPr>
          <w:p w14:paraId="56F9D2A0">
            <w:pPr>
              <w:pStyle w:val="49"/>
              <w:bidi w:val="0"/>
            </w:pPr>
          </w:p>
        </w:tc>
        <w:tc>
          <w:tcPr>
            <w:tcW w:w="1606" w:type="dxa"/>
          </w:tcPr>
          <w:p w14:paraId="51234D10">
            <w:pPr>
              <w:pStyle w:val="49"/>
              <w:bidi w:val="0"/>
            </w:pPr>
          </w:p>
        </w:tc>
        <w:tc>
          <w:tcPr>
            <w:tcW w:w="1399" w:type="dxa"/>
          </w:tcPr>
          <w:p w14:paraId="189BA600">
            <w:pPr>
              <w:pStyle w:val="49"/>
              <w:bidi w:val="0"/>
            </w:pPr>
          </w:p>
        </w:tc>
      </w:tr>
      <w:tr w14:paraId="505D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3469D096">
            <w:pPr>
              <w:pStyle w:val="49"/>
              <w:bidi w:val="0"/>
            </w:pPr>
          </w:p>
        </w:tc>
        <w:tc>
          <w:tcPr>
            <w:tcW w:w="2158" w:type="dxa"/>
          </w:tcPr>
          <w:p w14:paraId="0F371ACE">
            <w:pPr>
              <w:pStyle w:val="49"/>
              <w:bidi w:val="0"/>
            </w:pPr>
          </w:p>
        </w:tc>
        <w:tc>
          <w:tcPr>
            <w:tcW w:w="1343" w:type="dxa"/>
          </w:tcPr>
          <w:p w14:paraId="194AC4EA">
            <w:pPr>
              <w:pStyle w:val="49"/>
              <w:bidi w:val="0"/>
            </w:pPr>
          </w:p>
        </w:tc>
        <w:tc>
          <w:tcPr>
            <w:tcW w:w="1063" w:type="dxa"/>
          </w:tcPr>
          <w:p w14:paraId="06B9F138">
            <w:pPr>
              <w:pStyle w:val="49"/>
              <w:bidi w:val="0"/>
            </w:pPr>
          </w:p>
        </w:tc>
        <w:tc>
          <w:tcPr>
            <w:tcW w:w="1606" w:type="dxa"/>
          </w:tcPr>
          <w:p w14:paraId="712EB56B">
            <w:pPr>
              <w:pStyle w:val="49"/>
              <w:bidi w:val="0"/>
            </w:pPr>
          </w:p>
        </w:tc>
        <w:tc>
          <w:tcPr>
            <w:tcW w:w="1399" w:type="dxa"/>
          </w:tcPr>
          <w:p w14:paraId="4FD4A758">
            <w:pPr>
              <w:pStyle w:val="49"/>
              <w:bidi w:val="0"/>
            </w:pPr>
          </w:p>
        </w:tc>
      </w:tr>
      <w:tr w14:paraId="50F4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07710CB3">
            <w:pPr>
              <w:pStyle w:val="49"/>
              <w:bidi w:val="0"/>
            </w:pPr>
          </w:p>
        </w:tc>
        <w:tc>
          <w:tcPr>
            <w:tcW w:w="2158" w:type="dxa"/>
          </w:tcPr>
          <w:p w14:paraId="05FCDE21">
            <w:pPr>
              <w:pStyle w:val="49"/>
              <w:bidi w:val="0"/>
            </w:pPr>
          </w:p>
        </w:tc>
        <w:tc>
          <w:tcPr>
            <w:tcW w:w="1343" w:type="dxa"/>
          </w:tcPr>
          <w:p w14:paraId="6E8DD490">
            <w:pPr>
              <w:pStyle w:val="49"/>
              <w:bidi w:val="0"/>
            </w:pPr>
          </w:p>
        </w:tc>
        <w:tc>
          <w:tcPr>
            <w:tcW w:w="1063" w:type="dxa"/>
          </w:tcPr>
          <w:p w14:paraId="44E41B3B">
            <w:pPr>
              <w:pStyle w:val="49"/>
              <w:bidi w:val="0"/>
            </w:pPr>
          </w:p>
        </w:tc>
        <w:tc>
          <w:tcPr>
            <w:tcW w:w="1606" w:type="dxa"/>
          </w:tcPr>
          <w:p w14:paraId="696849A0">
            <w:pPr>
              <w:pStyle w:val="49"/>
              <w:bidi w:val="0"/>
            </w:pPr>
          </w:p>
        </w:tc>
        <w:tc>
          <w:tcPr>
            <w:tcW w:w="1399" w:type="dxa"/>
          </w:tcPr>
          <w:p w14:paraId="5F25B59E">
            <w:pPr>
              <w:pStyle w:val="49"/>
              <w:bidi w:val="0"/>
            </w:pPr>
          </w:p>
        </w:tc>
      </w:tr>
      <w:tr w14:paraId="78C9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317D4824">
            <w:pPr>
              <w:pStyle w:val="49"/>
              <w:bidi w:val="0"/>
            </w:pPr>
          </w:p>
        </w:tc>
        <w:tc>
          <w:tcPr>
            <w:tcW w:w="2158" w:type="dxa"/>
          </w:tcPr>
          <w:p w14:paraId="5B87A0C6">
            <w:pPr>
              <w:pStyle w:val="49"/>
              <w:bidi w:val="0"/>
            </w:pPr>
          </w:p>
        </w:tc>
        <w:tc>
          <w:tcPr>
            <w:tcW w:w="1343" w:type="dxa"/>
          </w:tcPr>
          <w:p w14:paraId="2FE31DFC">
            <w:pPr>
              <w:pStyle w:val="49"/>
              <w:bidi w:val="0"/>
            </w:pPr>
          </w:p>
        </w:tc>
        <w:tc>
          <w:tcPr>
            <w:tcW w:w="1063" w:type="dxa"/>
          </w:tcPr>
          <w:p w14:paraId="7FA1834F">
            <w:pPr>
              <w:pStyle w:val="49"/>
              <w:bidi w:val="0"/>
            </w:pPr>
          </w:p>
        </w:tc>
        <w:tc>
          <w:tcPr>
            <w:tcW w:w="1606" w:type="dxa"/>
          </w:tcPr>
          <w:p w14:paraId="317CA691">
            <w:pPr>
              <w:pStyle w:val="49"/>
              <w:bidi w:val="0"/>
            </w:pPr>
          </w:p>
        </w:tc>
        <w:tc>
          <w:tcPr>
            <w:tcW w:w="1399" w:type="dxa"/>
          </w:tcPr>
          <w:p w14:paraId="38B06753">
            <w:pPr>
              <w:pStyle w:val="49"/>
              <w:bidi w:val="0"/>
            </w:pPr>
          </w:p>
        </w:tc>
      </w:tr>
      <w:tr w14:paraId="1319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33F368D3">
            <w:pPr>
              <w:pStyle w:val="49"/>
              <w:bidi w:val="0"/>
            </w:pPr>
          </w:p>
        </w:tc>
        <w:tc>
          <w:tcPr>
            <w:tcW w:w="2158" w:type="dxa"/>
          </w:tcPr>
          <w:p w14:paraId="06E19E48">
            <w:pPr>
              <w:pStyle w:val="49"/>
              <w:bidi w:val="0"/>
            </w:pPr>
          </w:p>
        </w:tc>
        <w:tc>
          <w:tcPr>
            <w:tcW w:w="1343" w:type="dxa"/>
          </w:tcPr>
          <w:p w14:paraId="182B53EB">
            <w:pPr>
              <w:pStyle w:val="49"/>
              <w:bidi w:val="0"/>
            </w:pPr>
          </w:p>
        </w:tc>
        <w:tc>
          <w:tcPr>
            <w:tcW w:w="1063" w:type="dxa"/>
          </w:tcPr>
          <w:p w14:paraId="71AFF545">
            <w:pPr>
              <w:pStyle w:val="49"/>
              <w:bidi w:val="0"/>
            </w:pPr>
          </w:p>
        </w:tc>
        <w:tc>
          <w:tcPr>
            <w:tcW w:w="1606" w:type="dxa"/>
          </w:tcPr>
          <w:p w14:paraId="5C37450A">
            <w:pPr>
              <w:pStyle w:val="49"/>
              <w:bidi w:val="0"/>
            </w:pPr>
          </w:p>
        </w:tc>
        <w:tc>
          <w:tcPr>
            <w:tcW w:w="1399" w:type="dxa"/>
          </w:tcPr>
          <w:p w14:paraId="1D954C7E">
            <w:pPr>
              <w:pStyle w:val="49"/>
              <w:bidi w:val="0"/>
            </w:pPr>
          </w:p>
        </w:tc>
      </w:tr>
      <w:tr w14:paraId="47A2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53DF9C5B">
            <w:pPr>
              <w:pStyle w:val="49"/>
              <w:bidi w:val="0"/>
            </w:pPr>
          </w:p>
        </w:tc>
        <w:tc>
          <w:tcPr>
            <w:tcW w:w="2158" w:type="dxa"/>
          </w:tcPr>
          <w:p w14:paraId="1D2D4BA4">
            <w:pPr>
              <w:pStyle w:val="49"/>
              <w:bidi w:val="0"/>
            </w:pPr>
          </w:p>
        </w:tc>
        <w:tc>
          <w:tcPr>
            <w:tcW w:w="1343" w:type="dxa"/>
          </w:tcPr>
          <w:p w14:paraId="09268743">
            <w:pPr>
              <w:pStyle w:val="49"/>
              <w:bidi w:val="0"/>
            </w:pPr>
          </w:p>
        </w:tc>
        <w:tc>
          <w:tcPr>
            <w:tcW w:w="1063" w:type="dxa"/>
          </w:tcPr>
          <w:p w14:paraId="198F5BB4">
            <w:pPr>
              <w:pStyle w:val="49"/>
              <w:bidi w:val="0"/>
            </w:pPr>
          </w:p>
        </w:tc>
        <w:tc>
          <w:tcPr>
            <w:tcW w:w="1606" w:type="dxa"/>
          </w:tcPr>
          <w:p w14:paraId="1A2D8B30">
            <w:pPr>
              <w:pStyle w:val="49"/>
              <w:bidi w:val="0"/>
            </w:pPr>
          </w:p>
        </w:tc>
        <w:tc>
          <w:tcPr>
            <w:tcW w:w="1399" w:type="dxa"/>
          </w:tcPr>
          <w:p w14:paraId="54FA51EA">
            <w:pPr>
              <w:pStyle w:val="49"/>
              <w:bidi w:val="0"/>
            </w:pPr>
          </w:p>
        </w:tc>
      </w:tr>
      <w:tr w14:paraId="43FC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3CDC79CE">
            <w:pPr>
              <w:pStyle w:val="49"/>
              <w:bidi w:val="0"/>
            </w:pPr>
          </w:p>
        </w:tc>
        <w:tc>
          <w:tcPr>
            <w:tcW w:w="2158" w:type="dxa"/>
          </w:tcPr>
          <w:p w14:paraId="555EA8FF">
            <w:pPr>
              <w:pStyle w:val="49"/>
              <w:bidi w:val="0"/>
            </w:pPr>
          </w:p>
        </w:tc>
        <w:tc>
          <w:tcPr>
            <w:tcW w:w="1343" w:type="dxa"/>
          </w:tcPr>
          <w:p w14:paraId="1BB8826C">
            <w:pPr>
              <w:pStyle w:val="49"/>
              <w:bidi w:val="0"/>
            </w:pPr>
          </w:p>
        </w:tc>
        <w:tc>
          <w:tcPr>
            <w:tcW w:w="1063" w:type="dxa"/>
          </w:tcPr>
          <w:p w14:paraId="45224410">
            <w:pPr>
              <w:pStyle w:val="49"/>
              <w:bidi w:val="0"/>
            </w:pPr>
          </w:p>
        </w:tc>
        <w:tc>
          <w:tcPr>
            <w:tcW w:w="1606" w:type="dxa"/>
          </w:tcPr>
          <w:p w14:paraId="6293C0CF">
            <w:pPr>
              <w:pStyle w:val="49"/>
              <w:bidi w:val="0"/>
            </w:pPr>
          </w:p>
        </w:tc>
        <w:tc>
          <w:tcPr>
            <w:tcW w:w="1399" w:type="dxa"/>
          </w:tcPr>
          <w:p w14:paraId="46878196">
            <w:pPr>
              <w:pStyle w:val="49"/>
              <w:bidi w:val="0"/>
            </w:pPr>
          </w:p>
        </w:tc>
      </w:tr>
      <w:tr w14:paraId="15A3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68" w:type="dxa"/>
          </w:tcPr>
          <w:p w14:paraId="6162C6B8">
            <w:pPr>
              <w:pStyle w:val="49"/>
              <w:bidi w:val="0"/>
            </w:pPr>
            <w:r>
              <w:rPr>
                <w:rFonts w:hint="eastAsia"/>
              </w:rPr>
              <w:t>…</w:t>
            </w:r>
          </w:p>
        </w:tc>
        <w:tc>
          <w:tcPr>
            <w:tcW w:w="2158" w:type="dxa"/>
          </w:tcPr>
          <w:p w14:paraId="001937FC">
            <w:pPr>
              <w:pStyle w:val="49"/>
              <w:bidi w:val="0"/>
            </w:pPr>
          </w:p>
        </w:tc>
        <w:tc>
          <w:tcPr>
            <w:tcW w:w="1343" w:type="dxa"/>
          </w:tcPr>
          <w:p w14:paraId="2D906C17">
            <w:pPr>
              <w:pStyle w:val="49"/>
              <w:bidi w:val="0"/>
            </w:pPr>
          </w:p>
        </w:tc>
        <w:tc>
          <w:tcPr>
            <w:tcW w:w="1063" w:type="dxa"/>
          </w:tcPr>
          <w:p w14:paraId="3B73B592">
            <w:pPr>
              <w:pStyle w:val="49"/>
              <w:bidi w:val="0"/>
            </w:pPr>
          </w:p>
        </w:tc>
        <w:tc>
          <w:tcPr>
            <w:tcW w:w="1606" w:type="dxa"/>
          </w:tcPr>
          <w:p w14:paraId="6F8E922E">
            <w:pPr>
              <w:pStyle w:val="49"/>
              <w:bidi w:val="0"/>
            </w:pPr>
          </w:p>
        </w:tc>
        <w:tc>
          <w:tcPr>
            <w:tcW w:w="1399" w:type="dxa"/>
          </w:tcPr>
          <w:p w14:paraId="3675B9CF">
            <w:pPr>
              <w:pStyle w:val="49"/>
              <w:bidi w:val="0"/>
            </w:pPr>
          </w:p>
        </w:tc>
      </w:tr>
    </w:tbl>
    <w:p w14:paraId="132F97D1">
      <w:pPr>
        <w:spacing w:line="440" w:lineRule="exact"/>
        <w:ind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注：1、拟派项目组人员须满足</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文件。</w:t>
      </w:r>
    </w:p>
    <w:p w14:paraId="06483D29">
      <w:pPr>
        <w:spacing w:line="440" w:lineRule="exact"/>
        <w:ind w:firstLine="3998" w:firstLineChars="1666"/>
        <w:textAlignment w:val="baseline"/>
        <w:rPr>
          <w:rFonts w:ascii="宋体" w:hAnsi="宋体" w:cs="宋体"/>
          <w:bCs/>
          <w:color w:val="auto"/>
          <w:sz w:val="24"/>
          <w:highlight w:val="none"/>
        </w:rPr>
      </w:pPr>
    </w:p>
    <w:p w14:paraId="4B169DEC">
      <w:pPr>
        <w:spacing w:line="440" w:lineRule="exact"/>
        <w:ind w:firstLine="3998" w:firstLineChars="1666"/>
        <w:textAlignment w:val="baseline"/>
        <w:rPr>
          <w:rFonts w:ascii="宋体" w:hAnsi="宋体" w:cs="宋体"/>
          <w:bCs/>
          <w:color w:val="auto"/>
          <w:sz w:val="24"/>
          <w:highlight w:val="none"/>
        </w:rPr>
      </w:pPr>
    </w:p>
    <w:p w14:paraId="638E01CA">
      <w:pPr>
        <w:bidi w:val="0"/>
        <w:ind w:firstLine="420" w:firstLineChars="200"/>
      </w:pPr>
      <w:r>
        <w:rPr>
          <w:rFonts w:hint="eastAsia"/>
        </w:rPr>
        <w:t>供应商名称（盖章）：</w:t>
      </w:r>
    </w:p>
    <w:p w14:paraId="17DB3D5E">
      <w:pPr>
        <w:bidi w:val="0"/>
        <w:ind w:firstLine="420" w:firstLineChars="200"/>
      </w:pPr>
      <w:r>
        <w:rPr>
          <w:rFonts w:hint="eastAsia"/>
        </w:rPr>
        <w:t>日期：年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692FA75F">
      <w:pPr>
        <w:spacing w:line="460" w:lineRule="exact"/>
        <w:textAlignment w:val="baseline"/>
        <w:rPr>
          <w:rFonts w:ascii="宋体" w:hAnsi="宋体" w:cs="宋体"/>
          <w:b/>
          <w:bCs/>
          <w:color w:val="auto"/>
          <w:sz w:val="22"/>
          <w:highlight w:val="none"/>
        </w:rPr>
      </w:pPr>
    </w:p>
    <w:p w14:paraId="3EC1AA72">
      <w:pPr>
        <w:pStyle w:val="30"/>
        <w:ind w:firstLine="44"/>
        <w:textAlignment w:val="baseline"/>
        <w:rPr>
          <w:rFonts w:ascii="宋体" w:hAnsi="宋体" w:eastAsia="宋体"/>
          <w:b/>
          <w:bCs/>
          <w:color w:val="auto"/>
          <w:sz w:val="22"/>
          <w:highlight w:val="none"/>
        </w:rPr>
      </w:pPr>
    </w:p>
    <w:p w14:paraId="577FBDAA">
      <w:pPr>
        <w:spacing w:line="440" w:lineRule="exact"/>
        <w:textAlignment w:val="baseline"/>
        <w:outlineLvl w:val="9"/>
        <w:rPr>
          <w:rFonts w:hint="eastAsia" w:ascii="宋体" w:hAnsi="宋体" w:cs="宋体"/>
          <w:b/>
          <w:bCs/>
          <w:color w:val="auto"/>
          <w:sz w:val="22"/>
          <w:highlight w:val="none"/>
        </w:rPr>
      </w:pPr>
      <w:bookmarkStart w:id="96" w:name="_Toc31261"/>
    </w:p>
    <w:bookmarkEnd w:id="96"/>
    <w:p w14:paraId="751AB97D">
      <w:pPr>
        <w:spacing w:before="185"/>
        <w:ind w:right="210" w:firstLine="1044" w:firstLineChars="200"/>
        <w:jc w:val="center"/>
        <w:textAlignment w:val="baseline"/>
        <w:outlineLvl w:val="9"/>
        <w:rPr>
          <w:rFonts w:ascii="宋体" w:hAnsi="宋体" w:cs="宋体"/>
          <w:b/>
          <w:color w:val="auto"/>
          <w:sz w:val="52"/>
          <w:highlight w:val="none"/>
        </w:rPr>
      </w:pPr>
      <w:bookmarkStart w:id="97" w:name="_Toc31082"/>
      <w:r>
        <w:rPr>
          <w:rFonts w:hint="eastAsia" w:ascii="宋体" w:hAnsi="宋体" w:cs="宋体"/>
          <w:b/>
          <w:color w:val="auto"/>
          <w:sz w:val="52"/>
          <w:highlight w:val="none"/>
        </w:rPr>
        <w:t>投 标 文 件</w:t>
      </w:r>
    </w:p>
    <w:p w14:paraId="5CD476E6">
      <w:pPr>
        <w:pStyle w:val="12"/>
        <w:spacing w:before="11"/>
        <w:textAlignment w:val="baseline"/>
        <w:rPr>
          <w:rFonts w:ascii="宋体" w:hAnsi="宋体" w:cs="宋体"/>
          <w:b/>
          <w:color w:val="auto"/>
          <w:sz w:val="69"/>
          <w:highlight w:val="none"/>
        </w:rPr>
      </w:pPr>
    </w:p>
    <w:p w14:paraId="2FD155AC">
      <w:pPr>
        <w:ind w:right="208" w:firstLine="643" w:firstLineChars="200"/>
        <w:jc w:val="center"/>
        <w:textAlignment w:val="baseline"/>
        <w:outlineLvl w:val="2"/>
        <w:rPr>
          <w:rFonts w:ascii="宋体" w:hAnsi="宋体" w:cs="宋体"/>
          <w:b/>
          <w:color w:val="auto"/>
          <w:sz w:val="32"/>
          <w:highlight w:val="none"/>
        </w:rPr>
      </w:pPr>
      <w:r>
        <w:rPr>
          <w:rFonts w:hint="eastAsia" w:ascii="宋体" w:hAnsi="宋体" w:cs="宋体"/>
          <w:b/>
          <w:color w:val="auto"/>
          <w:sz w:val="32"/>
          <w:highlight w:val="none"/>
        </w:rPr>
        <w:t>报价文件</w:t>
      </w:r>
    </w:p>
    <w:p w14:paraId="6EB3AFB5">
      <w:pPr>
        <w:pStyle w:val="71"/>
        <w:rPr>
          <w:rFonts w:ascii="宋体" w:hAnsi="宋体" w:cs="宋体"/>
          <w:b/>
          <w:color w:val="auto"/>
          <w:sz w:val="32"/>
          <w:highlight w:val="none"/>
        </w:rPr>
      </w:pPr>
    </w:p>
    <w:p w14:paraId="7AC01820">
      <w:pPr>
        <w:pStyle w:val="71"/>
        <w:rPr>
          <w:rFonts w:ascii="宋体" w:hAnsi="宋体" w:cs="宋体"/>
          <w:b/>
          <w:color w:val="auto"/>
          <w:sz w:val="32"/>
          <w:highlight w:val="none"/>
        </w:rPr>
      </w:pPr>
    </w:p>
    <w:p w14:paraId="10E8788B">
      <w:pPr>
        <w:snapToGrid w:val="0"/>
        <w:spacing w:line="720" w:lineRule="auto"/>
        <w:ind w:firstLine="560" w:firstLineChars="2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color="000000"/>
        </w:rPr>
        <w:t xml:space="preserve">                       </w:t>
      </w:r>
    </w:p>
    <w:p w14:paraId="4628A097">
      <w:pPr>
        <w:snapToGrid w:val="0"/>
        <w:spacing w:line="720" w:lineRule="auto"/>
        <w:ind w:firstLine="560" w:firstLineChars="2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color="000000"/>
        </w:rPr>
        <w:t>                       </w:t>
      </w:r>
      <w:r>
        <w:rPr>
          <w:rFonts w:hint="eastAsia" w:ascii="宋体" w:hAnsi="宋体" w:cs="宋体"/>
          <w:color w:val="auto"/>
          <w:sz w:val="28"/>
          <w:szCs w:val="28"/>
          <w:highlight w:val="none"/>
        </w:rPr>
        <w:t xml:space="preserve"> </w:t>
      </w:r>
    </w:p>
    <w:p w14:paraId="078C417A">
      <w:pPr>
        <w:snapToGrid w:val="0"/>
        <w:spacing w:line="720" w:lineRule="auto"/>
        <w:ind w:firstLine="560" w:firstLineChars="200"/>
        <w:textAlignment w:val="baseline"/>
        <w:rPr>
          <w:rFonts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（全称）：</w:t>
      </w:r>
      <w:r>
        <w:rPr>
          <w:rFonts w:hint="eastAsia" w:ascii="宋体" w:hAnsi="宋体" w:cs="宋体"/>
          <w:color w:val="auto"/>
          <w:sz w:val="28"/>
          <w:szCs w:val="28"/>
          <w:highlight w:val="none"/>
          <w:u w:val="single" w:color="000000"/>
        </w:rPr>
        <w:t>            （盖章）</w:t>
      </w:r>
    </w:p>
    <w:p w14:paraId="3602316F">
      <w:pPr>
        <w:snapToGrid w:val="0"/>
        <w:spacing w:line="720" w:lineRule="auto"/>
        <w:ind w:firstLine="560" w:firstLineChars="2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color="000000"/>
        </w:rPr>
        <w:t>                     </w:t>
      </w:r>
    </w:p>
    <w:p w14:paraId="048426A6">
      <w:pPr>
        <w:widowControl/>
        <w:spacing w:line="420" w:lineRule="atLeast"/>
        <w:textAlignment w:val="baseline"/>
        <w:outlineLvl w:val="9"/>
        <w:rPr>
          <w:rFonts w:hint="eastAsia" w:ascii="宋体" w:hAnsi="宋体" w:cs="宋体"/>
          <w:b/>
          <w:bCs/>
          <w:color w:val="auto"/>
          <w:kern w:val="0"/>
          <w:sz w:val="24"/>
          <w:szCs w:val="24"/>
          <w:highlight w:val="none"/>
        </w:rPr>
      </w:pPr>
    </w:p>
    <w:p w14:paraId="534D47C1">
      <w:pPr>
        <w:pStyle w:val="21"/>
        <w:rPr>
          <w:rFonts w:hint="eastAsia" w:ascii="宋体" w:hAnsi="宋体" w:cs="宋体"/>
          <w:b/>
          <w:bCs/>
          <w:color w:val="auto"/>
          <w:kern w:val="0"/>
          <w:sz w:val="24"/>
          <w:szCs w:val="24"/>
          <w:highlight w:val="none"/>
        </w:rPr>
      </w:pPr>
    </w:p>
    <w:p w14:paraId="2A1DA7D5">
      <w:pPr>
        <w:rPr>
          <w:rFonts w:hint="eastAsia" w:ascii="宋体" w:hAnsi="宋体" w:cs="宋体"/>
          <w:b/>
          <w:bCs/>
          <w:color w:val="auto"/>
          <w:kern w:val="0"/>
          <w:sz w:val="24"/>
          <w:szCs w:val="24"/>
          <w:highlight w:val="none"/>
        </w:rPr>
      </w:pPr>
    </w:p>
    <w:p w14:paraId="5BEF3987">
      <w:pPr>
        <w:pStyle w:val="21"/>
        <w:rPr>
          <w:rFonts w:hint="eastAsia" w:ascii="宋体" w:hAnsi="宋体" w:cs="宋体"/>
          <w:b/>
          <w:bCs/>
          <w:color w:val="auto"/>
          <w:kern w:val="0"/>
          <w:sz w:val="24"/>
          <w:szCs w:val="24"/>
          <w:highlight w:val="none"/>
        </w:rPr>
      </w:pPr>
    </w:p>
    <w:p w14:paraId="5145FEEC">
      <w:pPr>
        <w:rPr>
          <w:rFonts w:hint="eastAsia" w:ascii="宋体" w:hAnsi="宋体" w:cs="宋体"/>
          <w:b/>
          <w:bCs/>
          <w:color w:val="auto"/>
          <w:kern w:val="0"/>
          <w:sz w:val="24"/>
          <w:szCs w:val="24"/>
          <w:highlight w:val="none"/>
        </w:rPr>
      </w:pPr>
    </w:p>
    <w:p w14:paraId="3B5EDDD9">
      <w:pPr>
        <w:pStyle w:val="21"/>
        <w:rPr>
          <w:rFonts w:hint="eastAsia" w:ascii="宋体" w:hAnsi="宋体" w:cs="宋体"/>
          <w:b/>
          <w:bCs/>
          <w:color w:val="auto"/>
          <w:kern w:val="0"/>
          <w:sz w:val="24"/>
          <w:szCs w:val="24"/>
          <w:highlight w:val="none"/>
        </w:rPr>
      </w:pPr>
    </w:p>
    <w:p w14:paraId="4DAAFF79">
      <w:pPr>
        <w:rPr>
          <w:rFonts w:hint="eastAsia" w:ascii="宋体" w:hAnsi="宋体" w:cs="宋体"/>
          <w:b/>
          <w:bCs/>
          <w:color w:val="auto"/>
          <w:kern w:val="0"/>
          <w:sz w:val="24"/>
          <w:szCs w:val="24"/>
          <w:highlight w:val="none"/>
        </w:rPr>
      </w:pPr>
    </w:p>
    <w:p w14:paraId="5371EB33">
      <w:pPr>
        <w:pStyle w:val="21"/>
        <w:rPr>
          <w:rFonts w:hint="eastAsia" w:ascii="宋体" w:hAnsi="宋体" w:cs="宋体"/>
          <w:b/>
          <w:bCs/>
          <w:color w:val="auto"/>
          <w:kern w:val="0"/>
          <w:sz w:val="24"/>
          <w:szCs w:val="24"/>
          <w:highlight w:val="none"/>
        </w:rPr>
      </w:pPr>
    </w:p>
    <w:p w14:paraId="77C1593D">
      <w:pPr>
        <w:rPr>
          <w:rFonts w:hint="eastAsia" w:ascii="宋体" w:hAnsi="宋体" w:cs="宋体"/>
          <w:b/>
          <w:bCs/>
          <w:color w:val="auto"/>
          <w:kern w:val="0"/>
          <w:sz w:val="24"/>
          <w:szCs w:val="24"/>
          <w:highlight w:val="none"/>
        </w:rPr>
      </w:pPr>
    </w:p>
    <w:p w14:paraId="089141EC">
      <w:pPr>
        <w:pStyle w:val="21"/>
        <w:rPr>
          <w:rFonts w:hint="eastAsia"/>
          <w:highlight w:val="none"/>
        </w:rPr>
      </w:pPr>
    </w:p>
    <w:p w14:paraId="58A2F920">
      <w:pPr>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br w:type="page"/>
      </w:r>
    </w:p>
    <w:p w14:paraId="6722E7C3">
      <w:pPr>
        <w:widowControl/>
        <w:spacing w:line="420" w:lineRule="atLeast"/>
        <w:ind w:firstLine="482" w:firstLineChars="200"/>
        <w:textAlignment w:val="baseline"/>
        <w:outlineLvl w:val="0"/>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rPr>
        <w:t>附件</w:t>
      </w:r>
      <w:bookmarkEnd w:id="97"/>
      <w:r>
        <w:rPr>
          <w:rFonts w:hint="eastAsia" w:ascii="宋体" w:hAnsi="宋体" w:cs="宋体"/>
          <w:b/>
          <w:bCs/>
          <w:color w:val="auto"/>
          <w:kern w:val="0"/>
          <w:sz w:val="24"/>
          <w:szCs w:val="24"/>
          <w:highlight w:val="none"/>
          <w:lang w:val="en-US" w:eastAsia="zh-CN"/>
        </w:rPr>
        <w:t>1</w:t>
      </w:r>
    </w:p>
    <w:p w14:paraId="525E3018">
      <w:pPr>
        <w:widowControl/>
        <w:spacing w:line="420" w:lineRule="atLeast"/>
        <w:ind w:firstLine="602" w:firstLineChars="200"/>
        <w:jc w:val="center"/>
        <w:textAlignment w:val="baseline"/>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开标一览表（初次报价）</w:t>
      </w:r>
    </w:p>
    <w:p w14:paraId="6037711F">
      <w:pPr>
        <w:pStyle w:val="57"/>
        <w:rPr>
          <w:highlight w:val="none"/>
        </w:rPr>
      </w:pPr>
    </w:p>
    <w:p w14:paraId="2C9C1018">
      <w:pPr>
        <w:pStyle w:val="30"/>
        <w:ind w:firstLine="422" w:firstLineChars="200"/>
        <w:rPr>
          <w:rFonts w:hint="eastAsia" w:ascii="宋体" w:hAnsi="宋体" w:eastAsia="宋体"/>
          <w:b/>
          <w:bCs/>
          <w:color w:val="auto"/>
          <w:highlight w:val="none"/>
          <w:lang w:eastAsia="zh-CN"/>
        </w:rPr>
      </w:pPr>
      <w:r>
        <w:rPr>
          <w:rFonts w:hint="eastAsia" w:ascii="宋体" w:hAnsi="宋体" w:eastAsia="宋体"/>
          <w:b/>
          <w:bCs/>
          <w:color w:val="auto"/>
          <w:highlight w:val="none"/>
        </w:rPr>
        <w:t xml:space="preserve">项目名称： </w:t>
      </w:r>
      <w:r>
        <w:rPr>
          <w:rFonts w:hint="eastAsia" w:ascii="宋体" w:hAnsi="宋体" w:eastAsia="宋体"/>
          <w:b/>
          <w:bCs/>
          <w:color w:val="auto"/>
          <w:highlight w:val="none"/>
          <w:lang w:eastAsia="zh-CN"/>
        </w:rPr>
        <w:t xml:space="preserve">常山县紫港街道外港零担菜市场临时疏导点运营管理项目 </w:t>
      </w:r>
    </w:p>
    <w:p w14:paraId="3B1B3052">
      <w:pPr>
        <w:pStyle w:val="30"/>
        <w:ind w:firstLine="422" w:firstLineChars="200"/>
        <w:rPr>
          <w:rFonts w:hint="eastAsia" w:ascii="宋体" w:hAnsi="宋体" w:eastAsia="宋体" w:cs="宋体"/>
          <w:b/>
          <w:bCs/>
          <w:color w:val="auto"/>
          <w:sz w:val="28"/>
          <w:highlight w:val="none"/>
        </w:rPr>
      </w:pPr>
      <w:r>
        <w:rPr>
          <w:rFonts w:hint="eastAsia" w:ascii="宋体" w:hAnsi="宋体" w:eastAsia="宋体"/>
          <w:b/>
          <w:bCs/>
          <w:color w:val="auto"/>
          <w:highlight w:val="none"/>
        </w:rPr>
        <w:t>项目编号：</w:t>
      </w:r>
      <w:r>
        <w:rPr>
          <w:rFonts w:hint="eastAsia" w:ascii="宋体" w:hAnsi="宋体" w:eastAsia="宋体"/>
          <w:b/>
          <w:bCs/>
          <w:color w:val="auto"/>
          <w:highlight w:val="none"/>
          <w:lang w:eastAsia="zh-CN"/>
        </w:rPr>
        <w:t>JYZFCG-2025-CS008</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6437"/>
      </w:tblGrid>
      <w:tr w14:paraId="388F0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bottom w:val="single" w:color="auto" w:sz="4" w:space="0"/>
              <w:right w:val="single" w:color="auto" w:sz="4" w:space="0"/>
            </w:tcBorders>
            <w:vAlign w:val="center"/>
          </w:tcPr>
          <w:p w14:paraId="4AA19313">
            <w:pPr>
              <w:pStyle w:val="49"/>
              <w:bidi w:val="0"/>
            </w:pPr>
            <w:r>
              <w:rPr>
                <w:rFonts w:hint="eastAsia"/>
              </w:rPr>
              <w:t>序号</w:t>
            </w:r>
          </w:p>
        </w:tc>
        <w:tc>
          <w:tcPr>
            <w:tcW w:w="2520" w:type="dxa"/>
            <w:tcBorders>
              <w:left w:val="single" w:color="auto" w:sz="4" w:space="0"/>
              <w:bottom w:val="single" w:color="auto" w:sz="4" w:space="0"/>
              <w:right w:val="single" w:color="auto" w:sz="4" w:space="0"/>
            </w:tcBorders>
            <w:vAlign w:val="center"/>
          </w:tcPr>
          <w:p w14:paraId="09D2E28D">
            <w:pPr>
              <w:pStyle w:val="49"/>
              <w:bidi w:val="0"/>
            </w:pPr>
            <w:r>
              <w:rPr>
                <w:rFonts w:hint="eastAsia"/>
              </w:rPr>
              <w:t>名称</w:t>
            </w:r>
          </w:p>
        </w:tc>
        <w:tc>
          <w:tcPr>
            <w:tcW w:w="6437" w:type="dxa"/>
            <w:tcBorders>
              <w:left w:val="single" w:color="auto" w:sz="4" w:space="0"/>
              <w:bottom w:val="single" w:color="auto" w:sz="4" w:space="0"/>
            </w:tcBorders>
            <w:vAlign w:val="center"/>
          </w:tcPr>
          <w:p w14:paraId="59699F1C">
            <w:pPr>
              <w:pStyle w:val="49"/>
              <w:bidi w:val="0"/>
            </w:pPr>
            <w:r>
              <w:rPr>
                <w:rFonts w:hint="eastAsia"/>
              </w:rPr>
              <w:t>内容</w:t>
            </w:r>
          </w:p>
        </w:tc>
      </w:tr>
      <w:tr w14:paraId="658DD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709" w:type="dxa"/>
            <w:tcBorders>
              <w:bottom w:val="single" w:color="auto" w:sz="4" w:space="0"/>
              <w:right w:val="single" w:color="auto" w:sz="4" w:space="0"/>
            </w:tcBorders>
            <w:vAlign w:val="center"/>
          </w:tcPr>
          <w:p w14:paraId="121EC031">
            <w:pPr>
              <w:pStyle w:val="49"/>
              <w:bidi w:val="0"/>
            </w:pPr>
            <w:r>
              <w:rPr>
                <w:rFonts w:hint="eastAsia"/>
              </w:rPr>
              <w:t>一</w:t>
            </w:r>
          </w:p>
        </w:tc>
        <w:tc>
          <w:tcPr>
            <w:tcW w:w="2520" w:type="dxa"/>
            <w:tcBorders>
              <w:left w:val="single" w:color="auto" w:sz="4" w:space="0"/>
              <w:bottom w:val="single" w:color="auto" w:sz="4" w:space="0"/>
              <w:right w:val="single" w:color="auto" w:sz="4" w:space="0"/>
            </w:tcBorders>
            <w:vAlign w:val="center"/>
          </w:tcPr>
          <w:p w14:paraId="52202422">
            <w:pPr>
              <w:pStyle w:val="49"/>
              <w:bidi w:val="0"/>
            </w:pPr>
            <w:r>
              <w:rPr>
                <w:rFonts w:hint="eastAsia"/>
              </w:rPr>
              <w:t>投标总价</w:t>
            </w:r>
          </w:p>
        </w:tc>
        <w:tc>
          <w:tcPr>
            <w:tcW w:w="6437" w:type="dxa"/>
            <w:tcBorders>
              <w:top w:val="single" w:color="auto" w:sz="4" w:space="0"/>
              <w:left w:val="single" w:color="auto" w:sz="4" w:space="0"/>
              <w:bottom w:val="single" w:color="auto" w:sz="4" w:space="0"/>
            </w:tcBorders>
            <w:vAlign w:val="center"/>
          </w:tcPr>
          <w:p w14:paraId="7D899A5C">
            <w:pPr>
              <w:pStyle w:val="49"/>
              <w:bidi w:val="0"/>
            </w:pPr>
            <w:r>
              <w:rPr>
                <w:rFonts w:hint="eastAsia"/>
              </w:rPr>
              <w:t xml:space="preserve">小写：             大写：     </w:t>
            </w:r>
          </w:p>
        </w:tc>
      </w:tr>
      <w:tr w14:paraId="3B606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709" w:type="dxa"/>
            <w:tcBorders>
              <w:bottom w:val="single" w:color="auto" w:sz="4" w:space="0"/>
              <w:right w:val="single" w:color="auto" w:sz="4" w:space="0"/>
            </w:tcBorders>
            <w:vAlign w:val="center"/>
          </w:tcPr>
          <w:p w14:paraId="0307EB0A">
            <w:pPr>
              <w:pStyle w:val="49"/>
              <w:bidi w:val="0"/>
            </w:pPr>
            <w:r>
              <w:rPr>
                <w:rFonts w:hint="eastAsia"/>
              </w:rPr>
              <w:t>二</w:t>
            </w:r>
          </w:p>
        </w:tc>
        <w:tc>
          <w:tcPr>
            <w:tcW w:w="2520" w:type="dxa"/>
            <w:tcBorders>
              <w:left w:val="single" w:color="auto" w:sz="4" w:space="0"/>
              <w:bottom w:val="single" w:color="auto" w:sz="4" w:space="0"/>
              <w:right w:val="single" w:color="auto" w:sz="4" w:space="0"/>
            </w:tcBorders>
            <w:vAlign w:val="center"/>
          </w:tcPr>
          <w:p w14:paraId="5B210964">
            <w:pPr>
              <w:pStyle w:val="49"/>
              <w:bidi w:val="0"/>
              <w:rPr>
                <w:rFonts w:hint="eastAsia"/>
                <w:lang w:eastAsia="zh-CN"/>
              </w:rPr>
            </w:pPr>
            <w:r>
              <w:rPr>
                <w:rFonts w:hint="eastAsia"/>
                <w:lang w:eastAsia="zh-CN"/>
              </w:rPr>
              <w:t>项目负责人</w:t>
            </w:r>
          </w:p>
        </w:tc>
        <w:tc>
          <w:tcPr>
            <w:tcW w:w="6437" w:type="dxa"/>
            <w:tcBorders>
              <w:top w:val="single" w:color="auto" w:sz="4" w:space="0"/>
              <w:left w:val="single" w:color="auto" w:sz="4" w:space="0"/>
              <w:bottom w:val="single" w:color="auto" w:sz="4" w:space="0"/>
            </w:tcBorders>
            <w:vAlign w:val="center"/>
          </w:tcPr>
          <w:p w14:paraId="4532528E">
            <w:pPr>
              <w:pStyle w:val="49"/>
              <w:bidi w:val="0"/>
            </w:pPr>
          </w:p>
        </w:tc>
      </w:tr>
      <w:tr w14:paraId="66D00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229" w:type="dxa"/>
            <w:gridSpan w:val="2"/>
            <w:tcBorders>
              <w:top w:val="single" w:color="auto" w:sz="4" w:space="0"/>
              <w:right w:val="single" w:color="auto" w:sz="4" w:space="0"/>
            </w:tcBorders>
            <w:vAlign w:val="center"/>
          </w:tcPr>
          <w:p w14:paraId="6E7ADDCD">
            <w:pPr>
              <w:pStyle w:val="49"/>
              <w:bidi w:val="0"/>
            </w:pPr>
            <w:r>
              <w:rPr>
                <w:rFonts w:hint="eastAsia"/>
              </w:rPr>
              <w:t>备注</w:t>
            </w:r>
          </w:p>
        </w:tc>
        <w:tc>
          <w:tcPr>
            <w:tcW w:w="6437" w:type="dxa"/>
            <w:tcBorders>
              <w:top w:val="single" w:color="auto" w:sz="4" w:space="0"/>
              <w:left w:val="single" w:color="auto" w:sz="4" w:space="0"/>
            </w:tcBorders>
            <w:vAlign w:val="center"/>
          </w:tcPr>
          <w:p w14:paraId="1A6E0674">
            <w:pPr>
              <w:pStyle w:val="49"/>
              <w:bidi w:val="0"/>
            </w:pPr>
            <w:r>
              <w:rPr>
                <w:rFonts w:hint="eastAsia"/>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投标报价。</w:t>
            </w:r>
          </w:p>
        </w:tc>
      </w:tr>
    </w:tbl>
    <w:p w14:paraId="049A4F15">
      <w:pPr>
        <w:spacing w:line="360" w:lineRule="auto"/>
        <w:ind w:firstLine="602" w:firstLineChars="300"/>
        <w:textAlignment w:val="baseline"/>
        <w:rPr>
          <w:rFonts w:ascii="宋体" w:hAnsi="宋体" w:cs="宋体"/>
          <w:b/>
          <w:bCs/>
          <w:color w:val="auto"/>
          <w:sz w:val="20"/>
          <w:szCs w:val="21"/>
          <w:highlight w:val="none"/>
        </w:rPr>
      </w:pPr>
    </w:p>
    <w:p w14:paraId="1F7FC23B">
      <w:pPr>
        <w:spacing w:line="360" w:lineRule="auto"/>
        <w:ind w:firstLine="602" w:firstLineChars="300"/>
        <w:textAlignment w:val="baseline"/>
        <w:rPr>
          <w:rFonts w:ascii="宋体" w:hAnsi="宋体" w:cs="宋体"/>
          <w:b/>
          <w:bCs/>
          <w:color w:val="auto"/>
          <w:sz w:val="20"/>
          <w:szCs w:val="21"/>
          <w:highlight w:val="none"/>
        </w:rPr>
      </w:pPr>
    </w:p>
    <w:p w14:paraId="5948455D">
      <w:pPr>
        <w:snapToGrid w:val="0"/>
        <w:spacing w:before="156" w:after="156"/>
        <w:ind w:firstLine="424" w:firstLineChars="177"/>
        <w:textAlignment w:val="baseline"/>
        <w:rPr>
          <w:rFonts w:ascii="宋体" w:hAnsi="宋体" w:cs="宋体"/>
          <w:color w:val="auto"/>
          <w:sz w:val="24"/>
          <w:highlight w:val="none"/>
        </w:rPr>
      </w:pPr>
    </w:p>
    <w:p w14:paraId="5D35CEA9">
      <w:pPr>
        <w:snapToGrid w:val="0"/>
        <w:spacing w:before="156" w:after="156"/>
        <w:ind w:firstLine="424" w:firstLineChars="177"/>
        <w:textAlignment w:val="baseline"/>
        <w:rPr>
          <w:rFonts w:ascii="宋体" w:hAnsi="宋体" w:cs="宋体"/>
          <w:color w:val="auto"/>
          <w:sz w:val="24"/>
          <w:highlight w:val="none"/>
        </w:rPr>
      </w:pPr>
    </w:p>
    <w:p w14:paraId="342C83A3">
      <w:pPr>
        <w:bidi w:val="0"/>
        <w:ind w:firstLine="420" w:firstLineChars="200"/>
      </w:pPr>
      <w:r>
        <w:rPr>
          <w:rFonts w:hint="eastAsia"/>
        </w:rPr>
        <w:t>供应商名称（盖章）：</w:t>
      </w:r>
    </w:p>
    <w:p w14:paraId="6A965CBE">
      <w:pPr>
        <w:bidi w:val="0"/>
        <w:ind w:firstLine="420" w:firstLineChars="200"/>
      </w:pPr>
      <w:r>
        <w:rPr>
          <w:rFonts w:hint="eastAsia"/>
        </w:rP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387C1213">
      <w:pPr>
        <w:ind w:firstLine="440" w:firstLineChars="200"/>
        <w:rPr>
          <w:rFonts w:ascii="宋体" w:hAnsi="宋体" w:cs="宋体"/>
          <w:color w:val="auto"/>
          <w:sz w:val="22"/>
          <w:highlight w:val="none"/>
        </w:rPr>
      </w:pPr>
      <w:r>
        <w:rPr>
          <w:rFonts w:ascii="宋体" w:hAnsi="宋体" w:cs="宋体"/>
          <w:color w:val="auto"/>
          <w:sz w:val="22"/>
          <w:highlight w:val="none"/>
        </w:rPr>
        <w:br w:type="page"/>
      </w:r>
    </w:p>
    <w:p w14:paraId="7B0FBC68">
      <w:pPr>
        <w:widowControl/>
        <w:spacing w:line="420" w:lineRule="atLeast"/>
        <w:ind w:firstLine="602" w:firstLineChars="200"/>
        <w:jc w:val="center"/>
        <w:rPr>
          <w:rFonts w:ascii="宋体" w:hAnsi="宋体"/>
          <w:b/>
          <w:bCs/>
          <w:color w:val="auto"/>
          <w:kern w:val="0"/>
          <w:sz w:val="30"/>
          <w:szCs w:val="30"/>
        </w:rPr>
      </w:pPr>
      <w:r>
        <w:rPr>
          <w:rFonts w:hint="eastAsia" w:ascii="宋体" w:hAnsi="宋体"/>
          <w:b/>
          <w:bCs/>
          <w:color w:val="auto"/>
          <w:kern w:val="0"/>
          <w:sz w:val="30"/>
          <w:szCs w:val="30"/>
        </w:rPr>
        <w:t>投标报价明细表</w:t>
      </w:r>
    </w:p>
    <w:p w14:paraId="468AFC22">
      <w:pPr>
        <w:pStyle w:val="30"/>
        <w:ind w:firstLine="422" w:firstLineChars="200"/>
        <w:rPr>
          <w:rFonts w:hint="eastAsia" w:ascii="宋体" w:hAnsi="宋体" w:eastAsia="宋体"/>
          <w:b/>
          <w:bCs/>
          <w:color w:val="auto"/>
          <w:highlight w:val="none"/>
          <w:lang w:eastAsia="zh-CN"/>
        </w:rPr>
      </w:pPr>
      <w:r>
        <w:rPr>
          <w:rFonts w:hint="eastAsia" w:ascii="宋体" w:hAnsi="宋体" w:eastAsia="宋体"/>
          <w:b/>
          <w:bCs/>
          <w:color w:val="auto"/>
          <w:highlight w:val="none"/>
        </w:rPr>
        <w:t xml:space="preserve">项目名称： </w:t>
      </w:r>
      <w:r>
        <w:rPr>
          <w:rFonts w:hint="eastAsia" w:ascii="宋体" w:hAnsi="宋体" w:eastAsia="宋体"/>
          <w:b/>
          <w:bCs/>
          <w:color w:val="auto"/>
          <w:highlight w:val="none"/>
          <w:lang w:eastAsia="zh-CN"/>
        </w:rPr>
        <w:t xml:space="preserve">常山县紫港街道外港零担菜市场临时疏导点运营管理项目 </w:t>
      </w:r>
    </w:p>
    <w:p w14:paraId="6A9131B1">
      <w:pPr>
        <w:pStyle w:val="30"/>
        <w:ind w:firstLine="422" w:firstLineChars="200"/>
        <w:rPr>
          <w:rFonts w:hint="eastAsia" w:ascii="宋体" w:hAnsi="宋体" w:eastAsia="宋体" w:cs="宋体"/>
          <w:b/>
          <w:bCs/>
          <w:color w:val="auto"/>
          <w:sz w:val="28"/>
          <w:highlight w:val="none"/>
        </w:rPr>
      </w:pPr>
      <w:r>
        <w:rPr>
          <w:rFonts w:hint="eastAsia" w:ascii="宋体" w:hAnsi="宋体" w:eastAsia="宋体"/>
          <w:b/>
          <w:bCs/>
          <w:color w:val="auto"/>
          <w:highlight w:val="none"/>
        </w:rPr>
        <w:t>项目编号：</w:t>
      </w:r>
      <w:r>
        <w:rPr>
          <w:rFonts w:hint="eastAsia" w:ascii="宋体" w:hAnsi="宋体" w:eastAsia="宋体"/>
          <w:b/>
          <w:bCs/>
          <w:color w:val="auto"/>
          <w:highlight w:val="none"/>
          <w:lang w:eastAsia="zh-CN"/>
        </w:rPr>
        <w:t>JYZFCG-2025-CS008</w:t>
      </w:r>
    </w:p>
    <w:tbl>
      <w:tblPr>
        <w:tblStyle w:val="32"/>
        <w:tblW w:w="10125" w:type="dxa"/>
        <w:tblInd w:w="108"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735"/>
        <w:gridCol w:w="2325"/>
        <w:gridCol w:w="471"/>
        <w:gridCol w:w="3069"/>
        <w:gridCol w:w="3525"/>
      </w:tblGrid>
      <w:tr w14:paraId="2A7D787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5" w:type="dxa"/>
            <w:tcBorders>
              <w:top w:val="single" w:color="auto" w:sz="18" w:space="0"/>
              <w:left w:val="single" w:color="auto" w:sz="18" w:space="0"/>
              <w:bottom w:val="single" w:color="auto" w:sz="6" w:space="0"/>
              <w:right w:val="single" w:color="auto" w:sz="4" w:space="0"/>
            </w:tcBorders>
            <w:noWrap w:val="0"/>
            <w:vAlign w:val="center"/>
          </w:tcPr>
          <w:p w14:paraId="49BEC74A">
            <w:pPr>
              <w:pStyle w:val="49"/>
              <w:bidi w:val="0"/>
              <w:rPr>
                <w:rFonts w:hint="eastAsia"/>
              </w:rPr>
            </w:pPr>
            <w:r>
              <w:rPr>
                <w:rFonts w:hint="eastAsia"/>
              </w:rPr>
              <w:t>序号</w:t>
            </w:r>
          </w:p>
        </w:tc>
        <w:tc>
          <w:tcPr>
            <w:tcW w:w="2325" w:type="dxa"/>
            <w:tcBorders>
              <w:top w:val="single" w:color="auto" w:sz="18" w:space="0"/>
              <w:left w:val="single" w:color="auto" w:sz="4" w:space="0"/>
              <w:bottom w:val="single" w:color="auto" w:sz="6" w:space="0"/>
              <w:right w:val="single" w:color="auto" w:sz="6" w:space="0"/>
            </w:tcBorders>
            <w:noWrap w:val="0"/>
            <w:vAlign w:val="top"/>
          </w:tcPr>
          <w:p w14:paraId="6AD19291">
            <w:pPr>
              <w:pStyle w:val="49"/>
              <w:bidi w:val="0"/>
            </w:pPr>
          </w:p>
          <w:p w14:paraId="79CFB0A6">
            <w:pPr>
              <w:pStyle w:val="49"/>
              <w:bidi w:val="0"/>
              <w:ind w:firstLine="420" w:firstLineChars="200"/>
              <w:rPr>
                <w:rFonts w:hint="eastAsia"/>
              </w:rPr>
            </w:pPr>
            <w:r>
              <w:t>报价内容</w:t>
            </w:r>
          </w:p>
        </w:tc>
        <w:tc>
          <w:tcPr>
            <w:tcW w:w="3540" w:type="dxa"/>
            <w:gridSpan w:val="2"/>
            <w:tcBorders>
              <w:top w:val="single" w:color="auto" w:sz="18" w:space="0"/>
              <w:left w:val="single" w:color="auto" w:sz="4" w:space="0"/>
              <w:bottom w:val="single" w:color="auto" w:sz="6" w:space="0"/>
              <w:right w:val="single" w:color="auto" w:sz="6" w:space="0"/>
            </w:tcBorders>
            <w:noWrap w:val="0"/>
            <w:vAlign w:val="top"/>
          </w:tcPr>
          <w:p w14:paraId="5E198E08">
            <w:pPr>
              <w:pStyle w:val="49"/>
              <w:bidi w:val="0"/>
              <w:rPr>
                <w:rFonts w:hint="eastAsia"/>
              </w:rPr>
            </w:pPr>
          </w:p>
          <w:p w14:paraId="4A9AD08D">
            <w:pPr>
              <w:pStyle w:val="49"/>
              <w:bidi w:val="0"/>
              <w:ind w:firstLine="420" w:firstLineChars="200"/>
              <w:rPr>
                <w:rFonts w:hint="eastAsia"/>
              </w:rPr>
            </w:pPr>
            <w:r>
              <w:rPr>
                <w:rFonts w:hint="eastAsia"/>
              </w:rPr>
              <w:t>主要工作内容</w:t>
            </w:r>
          </w:p>
        </w:tc>
        <w:tc>
          <w:tcPr>
            <w:tcW w:w="3525" w:type="dxa"/>
            <w:tcBorders>
              <w:top w:val="single" w:color="auto" w:sz="18" w:space="0"/>
              <w:left w:val="single" w:color="auto" w:sz="6" w:space="0"/>
              <w:bottom w:val="single" w:color="auto" w:sz="6" w:space="0"/>
              <w:right w:val="single" w:color="auto" w:sz="18" w:space="0"/>
            </w:tcBorders>
            <w:noWrap w:val="0"/>
            <w:vAlign w:val="center"/>
          </w:tcPr>
          <w:p w14:paraId="5C88AF8E">
            <w:pPr>
              <w:pStyle w:val="49"/>
              <w:bidi w:val="0"/>
              <w:rPr>
                <w:rFonts w:hint="eastAsia"/>
              </w:rPr>
            </w:pPr>
            <w:r>
              <w:rPr>
                <w:rFonts w:hint="eastAsia"/>
              </w:rPr>
              <w:t>投标报价（元）</w:t>
            </w:r>
          </w:p>
        </w:tc>
      </w:tr>
      <w:tr w14:paraId="0C74125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735" w:type="dxa"/>
            <w:tcBorders>
              <w:top w:val="single" w:color="auto" w:sz="6" w:space="0"/>
              <w:left w:val="single" w:color="auto" w:sz="18" w:space="0"/>
              <w:right w:val="single" w:color="auto" w:sz="4" w:space="0"/>
            </w:tcBorders>
            <w:noWrap w:val="0"/>
            <w:vAlign w:val="center"/>
          </w:tcPr>
          <w:p w14:paraId="40098791">
            <w:pPr>
              <w:pStyle w:val="49"/>
              <w:bidi w:val="0"/>
              <w:rPr>
                <w:rFonts w:hint="eastAsia"/>
              </w:rPr>
            </w:pPr>
            <w:r>
              <w:rPr>
                <w:rFonts w:hint="eastAsia"/>
              </w:rPr>
              <w:t>1</w:t>
            </w:r>
          </w:p>
        </w:tc>
        <w:tc>
          <w:tcPr>
            <w:tcW w:w="2325" w:type="dxa"/>
            <w:tcBorders>
              <w:top w:val="single" w:color="auto" w:sz="6" w:space="0"/>
              <w:left w:val="single" w:color="auto" w:sz="4" w:space="0"/>
              <w:right w:val="single" w:color="auto" w:sz="6" w:space="0"/>
            </w:tcBorders>
            <w:noWrap w:val="0"/>
            <w:vAlign w:val="center"/>
          </w:tcPr>
          <w:p w14:paraId="4CB491F3">
            <w:pPr>
              <w:pStyle w:val="49"/>
              <w:bidi w:val="0"/>
            </w:pPr>
          </w:p>
        </w:tc>
        <w:tc>
          <w:tcPr>
            <w:tcW w:w="3540" w:type="dxa"/>
            <w:gridSpan w:val="2"/>
            <w:tcBorders>
              <w:top w:val="single" w:color="auto" w:sz="6" w:space="0"/>
              <w:left w:val="single" w:color="auto" w:sz="4" w:space="0"/>
              <w:right w:val="single" w:color="auto" w:sz="6" w:space="0"/>
            </w:tcBorders>
            <w:noWrap w:val="0"/>
            <w:vAlign w:val="center"/>
          </w:tcPr>
          <w:p w14:paraId="56EB0049">
            <w:pPr>
              <w:pStyle w:val="49"/>
              <w:bidi w:val="0"/>
            </w:pPr>
          </w:p>
        </w:tc>
        <w:tc>
          <w:tcPr>
            <w:tcW w:w="3525" w:type="dxa"/>
            <w:tcBorders>
              <w:top w:val="single" w:color="auto" w:sz="6" w:space="0"/>
              <w:left w:val="single" w:color="auto" w:sz="6" w:space="0"/>
              <w:bottom w:val="single" w:color="auto" w:sz="6" w:space="0"/>
              <w:right w:val="single" w:color="auto" w:sz="18" w:space="0"/>
            </w:tcBorders>
            <w:noWrap w:val="0"/>
            <w:vAlign w:val="top"/>
          </w:tcPr>
          <w:p w14:paraId="65A83AD4">
            <w:pPr>
              <w:pStyle w:val="49"/>
              <w:bidi w:val="0"/>
            </w:pPr>
          </w:p>
        </w:tc>
      </w:tr>
      <w:tr w14:paraId="30650BB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229" w:hRule="atLeast"/>
        </w:trPr>
        <w:tc>
          <w:tcPr>
            <w:tcW w:w="735" w:type="dxa"/>
            <w:tcBorders>
              <w:top w:val="single" w:color="auto" w:sz="6" w:space="0"/>
              <w:left w:val="single" w:color="auto" w:sz="18" w:space="0"/>
              <w:bottom w:val="single" w:color="auto" w:sz="4" w:space="0"/>
              <w:right w:val="single" w:color="auto" w:sz="4" w:space="0"/>
            </w:tcBorders>
            <w:noWrap w:val="0"/>
            <w:vAlign w:val="center"/>
          </w:tcPr>
          <w:p w14:paraId="006C98AE">
            <w:pPr>
              <w:pStyle w:val="49"/>
              <w:bidi w:val="0"/>
              <w:rPr>
                <w:rFonts w:hint="eastAsia"/>
              </w:rPr>
            </w:pPr>
            <w:r>
              <w:rPr>
                <w:rFonts w:hint="eastAsia"/>
              </w:rPr>
              <w:t>2</w:t>
            </w:r>
          </w:p>
        </w:tc>
        <w:tc>
          <w:tcPr>
            <w:tcW w:w="2325" w:type="dxa"/>
            <w:tcBorders>
              <w:top w:val="single" w:color="auto" w:sz="6" w:space="0"/>
              <w:left w:val="single" w:color="auto" w:sz="4" w:space="0"/>
              <w:bottom w:val="single" w:color="auto" w:sz="4" w:space="0"/>
              <w:right w:val="single" w:color="auto" w:sz="6" w:space="0"/>
            </w:tcBorders>
            <w:noWrap w:val="0"/>
            <w:vAlign w:val="center"/>
          </w:tcPr>
          <w:p w14:paraId="2C068982">
            <w:pPr>
              <w:pStyle w:val="49"/>
              <w:bidi w:val="0"/>
            </w:pPr>
          </w:p>
        </w:tc>
        <w:tc>
          <w:tcPr>
            <w:tcW w:w="3540" w:type="dxa"/>
            <w:gridSpan w:val="2"/>
            <w:tcBorders>
              <w:top w:val="single" w:color="auto" w:sz="6" w:space="0"/>
              <w:left w:val="single" w:color="auto" w:sz="4" w:space="0"/>
              <w:bottom w:val="single" w:color="auto" w:sz="4" w:space="0"/>
              <w:right w:val="single" w:color="auto" w:sz="6" w:space="0"/>
            </w:tcBorders>
            <w:noWrap w:val="0"/>
            <w:vAlign w:val="center"/>
          </w:tcPr>
          <w:p w14:paraId="09AC7B02">
            <w:pPr>
              <w:pStyle w:val="49"/>
              <w:bidi w:val="0"/>
            </w:pPr>
          </w:p>
        </w:tc>
        <w:tc>
          <w:tcPr>
            <w:tcW w:w="3525" w:type="dxa"/>
            <w:tcBorders>
              <w:top w:val="single" w:color="auto" w:sz="6" w:space="0"/>
              <w:left w:val="single" w:color="auto" w:sz="6" w:space="0"/>
              <w:bottom w:val="single" w:color="auto" w:sz="6" w:space="0"/>
              <w:right w:val="single" w:color="auto" w:sz="18" w:space="0"/>
            </w:tcBorders>
            <w:noWrap w:val="0"/>
            <w:vAlign w:val="top"/>
          </w:tcPr>
          <w:p w14:paraId="6AB5169B">
            <w:pPr>
              <w:pStyle w:val="49"/>
              <w:bidi w:val="0"/>
            </w:pPr>
          </w:p>
        </w:tc>
      </w:tr>
      <w:tr w14:paraId="5F4661D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366" w:hRule="atLeast"/>
        </w:trPr>
        <w:tc>
          <w:tcPr>
            <w:tcW w:w="735" w:type="dxa"/>
            <w:tcBorders>
              <w:top w:val="single" w:color="auto" w:sz="4" w:space="0"/>
              <w:left w:val="single" w:color="auto" w:sz="18" w:space="0"/>
              <w:right w:val="single" w:color="auto" w:sz="4" w:space="0"/>
            </w:tcBorders>
            <w:noWrap w:val="0"/>
            <w:vAlign w:val="center"/>
          </w:tcPr>
          <w:p w14:paraId="5852366A">
            <w:pPr>
              <w:pStyle w:val="49"/>
              <w:bidi w:val="0"/>
              <w:rPr>
                <w:rFonts w:hint="eastAsia"/>
              </w:rPr>
            </w:pPr>
            <w:r>
              <w:rPr>
                <w:rFonts w:hint="eastAsia"/>
              </w:rPr>
              <w:t>3</w:t>
            </w:r>
          </w:p>
        </w:tc>
        <w:tc>
          <w:tcPr>
            <w:tcW w:w="2325" w:type="dxa"/>
            <w:tcBorders>
              <w:top w:val="single" w:color="auto" w:sz="4" w:space="0"/>
              <w:left w:val="single" w:color="auto" w:sz="4" w:space="0"/>
              <w:right w:val="single" w:color="auto" w:sz="6" w:space="0"/>
            </w:tcBorders>
            <w:noWrap w:val="0"/>
            <w:vAlign w:val="center"/>
          </w:tcPr>
          <w:p w14:paraId="60F694DE">
            <w:pPr>
              <w:pStyle w:val="49"/>
              <w:bidi w:val="0"/>
            </w:pPr>
          </w:p>
        </w:tc>
        <w:tc>
          <w:tcPr>
            <w:tcW w:w="3540" w:type="dxa"/>
            <w:gridSpan w:val="2"/>
            <w:tcBorders>
              <w:top w:val="single" w:color="auto" w:sz="4" w:space="0"/>
              <w:left w:val="single" w:color="auto" w:sz="4" w:space="0"/>
              <w:right w:val="single" w:color="auto" w:sz="6" w:space="0"/>
            </w:tcBorders>
            <w:noWrap w:val="0"/>
            <w:vAlign w:val="center"/>
          </w:tcPr>
          <w:p w14:paraId="07C46EC7">
            <w:pPr>
              <w:pStyle w:val="49"/>
              <w:bidi w:val="0"/>
            </w:pPr>
          </w:p>
        </w:tc>
        <w:tc>
          <w:tcPr>
            <w:tcW w:w="3525" w:type="dxa"/>
            <w:tcBorders>
              <w:top w:val="single" w:color="auto" w:sz="6" w:space="0"/>
              <w:left w:val="single" w:color="auto" w:sz="6" w:space="0"/>
              <w:bottom w:val="single" w:color="auto" w:sz="6" w:space="0"/>
              <w:right w:val="single" w:color="auto" w:sz="18" w:space="0"/>
            </w:tcBorders>
            <w:noWrap w:val="0"/>
            <w:vAlign w:val="top"/>
          </w:tcPr>
          <w:p w14:paraId="45937CE4">
            <w:pPr>
              <w:pStyle w:val="49"/>
              <w:bidi w:val="0"/>
            </w:pPr>
          </w:p>
        </w:tc>
      </w:tr>
      <w:tr w14:paraId="013278E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6600" w:type="dxa"/>
            <w:gridSpan w:val="4"/>
            <w:tcBorders>
              <w:top w:val="single" w:color="auto" w:sz="6" w:space="0"/>
              <w:left w:val="single" w:color="auto" w:sz="18" w:space="0"/>
              <w:bottom w:val="single" w:color="auto" w:sz="6" w:space="0"/>
              <w:right w:val="single" w:color="auto" w:sz="6" w:space="0"/>
            </w:tcBorders>
            <w:noWrap w:val="0"/>
            <w:vAlign w:val="center"/>
          </w:tcPr>
          <w:p w14:paraId="297CA0D1">
            <w:pPr>
              <w:pStyle w:val="49"/>
              <w:bidi w:val="0"/>
            </w:pPr>
            <w:r>
              <w:rPr>
                <w:rFonts w:hint="eastAsia"/>
              </w:rPr>
              <w:t>合   计（小写）</w:t>
            </w:r>
          </w:p>
        </w:tc>
        <w:tc>
          <w:tcPr>
            <w:tcW w:w="3525" w:type="dxa"/>
            <w:tcBorders>
              <w:top w:val="single" w:color="auto" w:sz="6" w:space="0"/>
              <w:left w:val="single" w:color="auto" w:sz="6" w:space="0"/>
              <w:bottom w:val="single" w:color="auto" w:sz="6" w:space="0"/>
              <w:right w:val="single" w:color="auto" w:sz="18" w:space="0"/>
            </w:tcBorders>
            <w:noWrap w:val="0"/>
            <w:vAlign w:val="center"/>
          </w:tcPr>
          <w:p w14:paraId="0FB9CE5C">
            <w:pPr>
              <w:pStyle w:val="49"/>
              <w:bidi w:val="0"/>
            </w:pPr>
          </w:p>
        </w:tc>
      </w:tr>
      <w:tr w14:paraId="6F27957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531" w:type="dxa"/>
            <w:gridSpan w:val="3"/>
            <w:tcBorders>
              <w:left w:val="single" w:color="auto" w:sz="18" w:space="0"/>
              <w:bottom w:val="single" w:color="auto" w:sz="12" w:space="0"/>
              <w:right w:val="single" w:color="auto" w:sz="6" w:space="0"/>
            </w:tcBorders>
            <w:noWrap w:val="0"/>
            <w:vAlign w:val="center"/>
          </w:tcPr>
          <w:p w14:paraId="11D315F1">
            <w:pPr>
              <w:pStyle w:val="49"/>
              <w:bidi w:val="0"/>
              <w:rPr>
                <w:rFonts w:hint="eastAsia"/>
              </w:rPr>
            </w:pPr>
            <w:r>
              <w:rPr>
                <w:rFonts w:hint="eastAsia"/>
              </w:rPr>
              <w:t>总计价（大写）</w:t>
            </w:r>
          </w:p>
        </w:tc>
        <w:tc>
          <w:tcPr>
            <w:tcW w:w="6594" w:type="dxa"/>
            <w:gridSpan w:val="2"/>
            <w:tcBorders>
              <w:top w:val="single" w:color="auto" w:sz="6" w:space="0"/>
              <w:left w:val="single" w:color="auto" w:sz="6" w:space="0"/>
              <w:bottom w:val="single" w:color="auto" w:sz="12" w:space="0"/>
              <w:right w:val="single" w:color="auto" w:sz="18" w:space="0"/>
            </w:tcBorders>
            <w:noWrap w:val="0"/>
            <w:vAlign w:val="center"/>
          </w:tcPr>
          <w:p w14:paraId="237EEB90">
            <w:pPr>
              <w:pStyle w:val="49"/>
              <w:bidi w:val="0"/>
              <w:rPr>
                <w:rFonts w:hint="eastAsia"/>
              </w:rPr>
            </w:pPr>
          </w:p>
        </w:tc>
      </w:tr>
    </w:tbl>
    <w:p w14:paraId="2C130AD9">
      <w:pPr>
        <w:bidi w:val="0"/>
        <w:ind w:firstLine="420" w:firstLineChars="200"/>
        <w:rPr>
          <w:rFonts w:hint="eastAsia"/>
        </w:rPr>
      </w:pPr>
      <w:bookmarkStart w:id="98" w:name="_Toc5875"/>
      <w:r>
        <w:rPr>
          <w:rFonts w:hint="eastAsia"/>
        </w:rPr>
        <w:t>注：1. 总计价应与“开标一览表”中投标报价相一致。</w:t>
      </w:r>
    </w:p>
    <w:p w14:paraId="3A2850C6">
      <w:pPr>
        <w:bidi w:val="0"/>
        <w:ind w:firstLine="420" w:firstLineChars="200"/>
        <w:rPr>
          <w:rFonts w:hint="eastAsia"/>
        </w:rPr>
      </w:pPr>
      <w:r>
        <w:rPr>
          <w:rFonts w:hint="eastAsia"/>
        </w:rPr>
        <w:t xml:space="preserve">2. 本表可在不改变格式的情况下根据具体需要自行增加。 </w:t>
      </w:r>
    </w:p>
    <w:p w14:paraId="2875CFB5">
      <w:pPr>
        <w:bidi w:val="0"/>
      </w:pPr>
    </w:p>
    <w:p w14:paraId="098D85B2">
      <w:pPr>
        <w:bidi w:val="0"/>
      </w:pPr>
    </w:p>
    <w:p w14:paraId="63E9B182">
      <w:pPr>
        <w:bidi w:val="0"/>
        <w:ind w:firstLine="420" w:firstLineChars="200"/>
      </w:pPr>
      <w:r>
        <w:rPr>
          <w:rFonts w:hint="eastAsia"/>
        </w:rPr>
        <w:t>投标人（盖章）：</w:t>
      </w:r>
    </w:p>
    <w:p w14:paraId="191D28F3">
      <w:pPr>
        <w:bidi w:val="0"/>
        <w:ind w:firstLine="420" w:firstLineChars="200"/>
      </w:pPr>
      <w:r>
        <w:rPr>
          <w:rFonts w:hint="eastAsia"/>
        </w:rPr>
        <w:t>日 期：  年  月  日</w:t>
      </w:r>
    </w:p>
    <w:p w14:paraId="58224CF1">
      <w:pPr>
        <w:rPr>
          <w:rFonts w:hint="eastAsia" w:hAnsi="宋体" w:cs="宋体"/>
          <w:b/>
          <w:bCs/>
          <w:color w:val="auto"/>
          <w:sz w:val="32"/>
          <w:szCs w:val="32"/>
          <w:highlight w:val="none"/>
        </w:rPr>
      </w:pPr>
    </w:p>
    <w:p w14:paraId="369C25A6">
      <w:pPr>
        <w:ind w:firstLine="643" w:firstLineChars="200"/>
        <w:rPr>
          <w:rFonts w:hint="eastAsia" w:hAnsi="宋体" w:cs="宋体"/>
          <w:b/>
          <w:bCs/>
          <w:color w:val="auto"/>
          <w:sz w:val="32"/>
          <w:szCs w:val="32"/>
          <w:highlight w:val="none"/>
        </w:rPr>
      </w:pPr>
      <w:r>
        <w:rPr>
          <w:rFonts w:hint="eastAsia" w:hAnsi="宋体" w:cs="宋体"/>
          <w:b/>
          <w:bCs/>
          <w:color w:val="auto"/>
          <w:sz w:val="32"/>
          <w:szCs w:val="32"/>
          <w:highlight w:val="none"/>
        </w:rPr>
        <w:br w:type="page"/>
      </w:r>
    </w:p>
    <w:p w14:paraId="15BB86CE">
      <w:pPr>
        <w:ind w:firstLine="643" w:firstLineChars="200"/>
        <w:jc w:val="center"/>
        <w:rPr>
          <w:rFonts w:hAnsi="宋体" w:cs="宋体"/>
          <w:b/>
          <w:bCs/>
          <w:color w:val="auto"/>
          <w:sz w:val="32"/>
          <w:szCs w:val="32"/>
          <w:highlight w:val="none"/>
        </w:rPr>
      </w:pPr>
      <w:r>
        <w:rPr>
          <w:rFonts w:hint="eastAsia" w:hAnsi="宋体" w:cs="宋体"/>
          <w:b/>
          <w:bCs/>
          <w:color w:val="auto"/>
          <w:sz w:val="32"/>
          <w:szCs w:val="32"/>
          <w:highlight w:val="none"/>
        </w:rPr>
        <w:t>政府采购活动现场确认声明书</w:t>
      </w:r>
      <w:bookmarkEnd w:id="98"/>
    </w:p>
    <w:p w14:paraId="30C0906B">
      <w:pPr>
        <w:pStyle w:val="100"/>
        <w:numPr>
          <w:ilvl w:val="0"/>
          <w:numId w:val="0"/>
        </w:numPr>
        <w:snapToGrid w:val="0"/>
        <w:spacing w:line="440" w:lineRule="exact"/>
        <w:ind w:left="227" w:firstLine="480" w:firstLineChars="200"/>
        <w:rPr>
          <w:rFonts w:hAnsi="宋体" w:cs="宋体"/>
          <w:bCs/>
          <w:color w:val="auto"/>
          <w:sz w:val="24"/>
          <w:szCs w:val="24"/>
          <w:highlight w:val="none"/>
        </w:rPr>
      </w:pPr>
      <w:r>
        <w:rPr>
          <w:rFonts w:hint="eastAsia" w:hAnsi="宋体" w:cs="宋体"/>
          <w:color w:val="auto"/>
          <w:sz w:val="24"/>
          <w:szCs w:val="24"/>
          <w:highlight w:val="none"/>
          <w:lang w:eastAsia="zh-CN"/>
        </w:rPr>
        <w:t>浙江九越建设管理有限公司</w:t>
      </w:r>
      <w:r>
        <w:rPr>
          <w:rFonts w:hint="eastAsia" w:hAnsi="宋体" w:cs="宋体"/>
          <w:color w:val="auto"/>
          <w:sz w:val="24"/>
          <w:szCs w:val="24"/>
          <w:highlight w:val="none"/>
        </w:rPr>
        <w:t>：</w:t>
      </w:r>
    </w:p>
    <w:p w14:paraId="6760FD06">
      <w:pPr>
        <w:pStyle w:val="100"/>
        <w:numPr>
          <w:ilvl w:val="0"/>
          <w:numId w:val="0"/>
        </w:numPr>
        <w:snapToGrid w:val="0"/>
        <w:spacing w:line="440" w:lineRule="exact"/>
        <w:ind w:left="420" w:leftChars="200" w:firstLine="504" w:firstLineChars="200"/>
        <w:rPr>
          <w:rFonts w:hAnsi="宋体" w:cs="宋体"/>
          <w:color w:val="auto"/>
          <w:spacing w:val="6"/>
          <w:sz w:val="24"/>
          <w:szCs w:val="24"/>
          <w:highlight w:val="none"/>
        </w:rPr>
      </w:pPr>
      <w:r>
        <w:rPr>
          <w:rFonts w:hint="eastAsia" w:hAnsi="宋体" w:cs="宋体"/>
          <w:color w:val="auto"/>
          <w:spacing w:val="6"/>
          <w:sz w:val="24"/>
          <w:szCs w:val="24"/>
          <w:highlight w:val="none"/>
        </w:rPr>
        <w:t>本人</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（授权代表姓名），经由</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（单位）</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（法定代表人姓名）合法授权参加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 xml:space="preserve">常山县紫港街道外港零担菜市场临时疏导点运营管理项目 </w:t>
      </w:r>
      <w:r>
        <w:rPr>
          <w:rFonts w:hint="eastAsia" w:hAnsi="宋体" w:cs="宋体"/>
          <w:color w:val="auto"/>
          <w:spacing w:val="6"/>
          <w:sz w:val="24"/>
          <w:szCs w:val="24"/>
          <w:highlight w:val="none"/>
        </w:rPr>
        <w:t>（编号：</w:t>
      </w:r>
      <w:r>
        <w:rPr>
          <w:rFonts w:hint="eastAsia" w:hAnsi="宋体" w:cs="宋体"/>
          <w:color w:val="auto"/>
          <w:spacing w:val="6"/>
          <w:sz w:val="24"/>
          <w:szCs w:val="24"/>
          <w:highlight w:val="none"/>
          <w:u w:val="single"/>
          <w:lang w:eastAsia="zh-CN"/>
        </w:rPr>
        <w:t>JYZFCG-2025-CS008</w:t>
      </w:r>
      <w:r>
        <w:rPr>
          <w:rFonts w:hint="eastAsia" w:hAnsi="宋体" w:cs="宋体"/>
          <w:color w:val="auto"/>
          <w:spacing w:val="6"/>
          <w:sz w:val="24"/>
          <w:szCs w:val="24"/>
          <w:highlight w:val="none"/>
        </w:rPr>
        <w:t xml:space="preserve">）政府采购活动，经与本单位法人代表（负责人）联系确认，现就有关公平竞争事项郑重声明如下： </w:t>
      </w:r>
    </w:p>
    <w:p w14:paraId="0D5F27B3">
      <w:pPr>
        <w:pStyle w:val="50"/>
        <w:widowControl/>
        <w:numPr>
          <w:ilvl w:val="0"/>
          <w:numId w:val="0"/>
        </w:numPr>
        <w:snapToGrid w:val="0"/>
        <w:spacing w:line="440" w:lineRule="exact"/>
        <w:ind w:firstLine="480" w:firstLineChars="200"/>
        <w:rPr>
          <w:rFonts w:ascii="宋体" w:cs="宋体"/>
          <w:color w:val="auto"/>
          <w:kern w:val="0"/>
          <w:sz w:val="24"/>
          <w:highlight w:val="none"/>
        </w:rPr>
      </w:pPr>
      <w:r>
        <w:rPr>
          <w:rFonts w:ascii="宋体" w:hAnsi="宋体" w:eastAsia="宋体" w:cs="宋体"/>
          <w:color w:val="auto"/>
          <w:kern w:val="0"/>
          <w:sz w:val="24"/>
          <w:szCs w:val="22"/>
          <w:lang w:val="en-US" w:eastAsia="zh-CN" w:bidi="ar-SA"/>
        </w:rPr>
        <w:t>一、</w:t>
      </w:r>
      <w:r>
        <w:rPr>
          <w:rFonts w:hint="eastAsia" w:ascii="宋体" w:cs="宋体"/>
          <w:color w:val="auto"/>
          <w:kern w:val="0"/>
          <w:sz w:val="24"/>
          <w:highlight w:val="none"/>
        </w:rPr>
        <w:t>本单位与采购人之间 □不存在利害关系 □存在下列利害关系</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5E64848B">
      <w:pPr>
        <w:pStyle w:val="50"/>
        <w:widowControl/>
        <w:numPr>
          <w:ilvl w:val="0"/>
          <w:numId w:val="0"/>
        </w:numPr>
        <w:snapToGrid w:val="0"/>
        <w:spacing w:line="440" w:lineRule="exact"/>
        <w:ind w:left="227" w:firstLine="480" w:firstLineChars="200"/>
        <w:rPr>
          <w:rFonts w:ascii="宋体" w:cs="宋体"/>
          <w:color w:val="auto"/>
          <w:kern w:val="0"/>
          <w:sz w:val="24"/>
          <w:highlight w:val="none"/>
        </w:rPr>
      </w:pPr>
      <w:r>
        <w:rPr>
          <w:rFonts w:hint="eastAsia" w:ascii="宋体" w:cs="宋体"/>
          <w:color w:val="auto"/>
          <w:kern w:val="0"/>
          <w:sz w:val="24"/>
          <w:highlight w:val="none"/>
        </w:rPr>
        <w:t xml:space="preserve">  A.投资关系    B.行政隶属关系    C.业务指导关系</w:t>
      </w:r>
    </w:p>
    <w:p w14:paraId="61C474D5">
      <w:pPr>
        <w:pStyle w:val="50"/>
        <w:widowControl/>
        <w:numPr>
          <w:ilvl w:val="0"/>
          <w:numId w:val="0"/>
        </w:numPr>
        <w:snapToGrid w:val="0"/>
        <w:spacing w:line="440" w:lineRule="exact"/>
        <w:ind w:left="227" w:firstLine="480" w:firstLineChars="200"/>
        <w:rPr>
          <w:rFonts w:ascii="宋体" w:cs="宋体"/>
          <w:color w:val="auto"/>
          <w:kern w:val="0"/>
          <w:sz w:val="24"/>
          <w:highlight w:val="none"/>
        </w:rPr>
      </w:pPr>
      <w:r>
        <w:rPr>
          <w:rFonts w:hint="eastAsia" w:ascii="宋体" w:cs="宋体"/>
          <w:color w:val="auto"/>
          <w:kern w:val="0"/>
          <w:sz w:val="24"/>
          <w:highlight w:val="none"/>
        </w:rPr>
        <w:t xml:space="preserve">  D.其他可能</w:t>
      </w:r>
      <w:r>
        <w:rPr>
          <w:rFonts w:hint="eastAsia" w:ascii="宋体" w:cs="宋体"/>
          <w:color w:val="auto"/>
          <w:sz w:val="24"/>
          <w:highlight w:val="none"/>
        </w:rPr>
        <w:t>影响采购公正的</w:t>
      </w:r>
      <w:r>
        <w:rPr>
          <w:rFonts w:hint="eastAsia" w:ascii="宋体" w:cs="宋体"/>
          <w:color w:val="auto"/>
          <w:kern w:val="0"/>
          <w:sz w:val="24"/>
          <w:highlight w:val="none"/>
        </w:rPr>
        <w:t xml:space="preserve">利害关系（如有，请如实说明） </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1558C7F0">
      <w:pPr>
        <w:pStyle w:val="50"/>
        <w:widowControl/>
        <w:numPr>
          <w:ilvl w:val="0"/>
          <w:numId w:val="0"/>
        </w:numPr>
        <w:snapToGrid w:val="0"/>
        <w:spacing w:line="440" w:lineRule="exact"/>
        <w:ind w:firstLine="480" w:firstLineChars="200"/>
        <w:rPr>
          <w:rFonts w:ascii="宋体" w:cs="宋体"/>
          <w:color w:val="auto"/>
          <w:kern w:val="0"/>
          <w:sz w:val="24"/>
          <w:highlight w:val="none"/>
        </w:rPr>
      </w:pPr>
      <w:r>
        <w:rPr>
          <w:rFonts w:ascii="宋体" w:hAnsi="宋体" w:eastAsia="宋体" w:cs="宋体"/>
          <w:color w:val="auto"/>
          <w:kern w:val="0"/>
          <w:sz w:val="24"/>
          <w:szCs w:val="22"/>
          <w:lang w:val="en-US" w:eastAsia="zh-CN" w:bidi="ar-SA"/>
        </w:rPr>
        <w:t>二、</w:t>
      </w:r>
      <w:r>
        <w:rPr>
          <w:rFonts w:hint="eastAsia" w:ascii="宋体" w:cs="宋体"/>
          <w:color w:val="auto"/>
          <w:kern w:val="0"/>
          <w:sz w:val="24"/>
          <w:highlight w:val="none"/>
        </w:rPr>
        <w:t xml:space="preserve">现已清楚知道参加本项目采购活动的其他所有供应商名称，本单位 □与其他所有供应商之间均不存在利害关系 □与 </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（供应商名称）之间存在下列利害关系</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3934219E">
      <w:pPr>
        <w:pStyle w:val="100"/>
        <w:numPr>
          <w:ilvl w:val="0"/>
          <w:numId w:val="0"/>
        </w:numPr>
        <w:snapToGrid w:val="0"/>
        <w:spacing w:line="440" w:lineRule="exact"/>
        <w:ind w:left="227" w:firstLine="480" w:firstLineChars="200"/>
        <w:rPr>
          <w:rFonts w:hAnsi="宋体" w:cs="宋体"/>
          <w:color w:val="auto"/>
          <w:sz w:val="24"/>
          <w:szCs w:val="24"/>
          <w:highlight w:val="none"/>
        </w:rPr>
      </w:pPr>
      <w:r>
        <w:rPr>
          <w:rFonts w:hint="eastAsia" w:hAnsi="宋体" w:cs="宋体"/>
          <w:color w:val="auto"/>
          <w:sz w:val="24"/>
          <w:szCs w:val="24"/>
          <w:highlight w:val="none"/>
        </w:rPr>
        <w:t>A.法定代表人或负责人或实际控制人是同一人</w:t>
      </w:r>
    </w:p>
    <w:p w14:paraId="2FD8478A">
      <w:pPr>
        <w:pStyle w:val="100"/>
        <w:numPr>
          <w:ilvl w:val="0"/>
          <w:numId w:val="0"/>
        </w:numPr>
        <w:snapToGrid w:val="0"/>
        <w:spacing w:line="440" w:lineRule="exact"/>
        <w:ind w:left="227" w:firstLine="480" w:firstLineChars="200"/>
        <w:rPr>
          <w:rFonts w:hAnsi="宋体" w:cs="宋体"/>
          <w:color w:val="auto"/>
          <w:spacing w:val="6"/>
          <w:sz w:val="24"/>
          <w:szCs w:val="24"/>
          <w:highlight w:val="none"/>
        </w:rPr>
      </w:pPr>
      <w:r>
        <w:rPr>
          <w:rFonts w:hint="eastAsia" w:hAnsi="宋体" w:cs="宋体"/>
          <w:color w:val="auto"/>
          <w:sz w:val="24"/>
          <w:szCs w:val="24"/>
          <w:highlight w:val="none"/>
        </w:rPr>
        <w:t>B.法定代表人或负责人或实际控制人是夫妻关系</w:t>
      </w:r>
    </w:p>
    <w:p w14:paraId="27AB6105">
      <w:pPr>
        <w:pStyle w:val="100"/>
        <w:numPr>
          <w:ilvl w:val="0"/>
          <w:numId w:val="0"/>
        </w:numPr>
        <w:snapToGrid w:val="0"/>
        <w:spacing w:line="440" w:lineRule="exact"/>
        <w:ind w:left="22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C.法定代表人或负责人或实际控制人是直系血亲关系</w:t>
      </w:r>
    </w:p>
    <w:p w14:paraId="165F9AF3">
      <w:pPr>
        <w:pStyle w:val="100"/>
        <w:numPr>
          <w:ilvl w:val="0"/>
          <w:numId w:val="0"/>
        </w:numPr>
        <w:snapToGrid w:val="0"/>
        <w:spacing w:line="440" w:lineRule="exact"/>
        <w:ind w:left="227" w:firstLine="480" w:firstLineChars="200"/>
        <w:rPr>
          <w:rFonts w:hAnsi="宋体" w:cs="宋体"/>
          <w:color w:val="auto"/>
          <w:spacing w:val="6"/>
          <w:sz w:val="24"/>
          <w:szCs w:val="24"/>
          <w:highlight w:val="none"/>
        </w:rPr>
      </w:pPr>
      <w:r>
        <w:rPr>
          <w:rFonts w:hint="eastAsia" w:ascii="宋体" w:hAnsi="宋体" w:eastAsia="宋体" w:cs="宋体"/>
          <w:color w:val="auto"/>
          <w:sz w:val="24"/>
          <w:szCs w:val="24"/>
          <w:highlight w:val="none"/>
        </w:rPr>
        <w:t>D.法定代</w:t>
      </w:r>
      <w:r>
        <w:rPr>
          <w:rFonts w:hint="eastAsia" w:hAnsi="宋体" w:cs="宋体"/>
          <w:color w:val="auto"/>
          <w:sz w:val="24"/>
          <w:szCs w:val="24"/>
          <w:highlight w:val="none"/>
        </w:rPr>
        <w:t>表人或负责人或实际控制人存在三代以内旁系血亲关系</w:t>
      </w:r>
    </w:p>
    <w:p w14:paraId="20235837">
      <w:pPr>
        <w:pStyle w:val="100"/>
        <w:numPr>
          <w:ilvl w:val="0"/>
          <w:numId w:val="0"/>
        </w:numPr>
        <w:snapToGrid w:val="0"/>
        <w:spacing w:line="440" w:lineRule="exact"/>
        <w:ind w:left="227" w:firstLine="480" w:firstLineChars="200"/>
        <w:rPr>
          <w:rFonts w:hAnsi="宋体" w:cs="宋体"/>
          <w:color w:val="auto"/>
          <w:sz w:val="24"/>
          <w:szCs w:val="24"/>
          <w:highlight w:val="none"/>
        </w:rPr>
      </w:pPr>
      <w:r>
        <w:rPr>
          <w:rFonts w:hint="eastAsia" w:hAnsi="宋体" w:cs="宋体"/>
          <w:color w:val="auto"/>
          <w:sz w:val="24"/>
          <w:szCs w:val="24"/>
          <w:highlight w:val="none"/>
        </w:rPr>
        <w:t>E.法定代表人或负责人或实际控制人存在近姻亲关系</w:t>
      </w:r>
    </w:p>
    <w:p w14:paraId="658EC87A">
      <w:pPr>
        <w:pStyle w:val="100"/>
        <w:numPr>
          <w:ilvl w:val="0"/>
          <w:numId w:val="0"/>
        </w:numPr>
        <w:snapToGrid w:val="0"/>
        <w:spacing w:line="440" w:lineRule="exact"/>
        <w:ind w:left="227" w:firstLine="480" w:firstLineChars="200"/>
        <w:rPr>
          <w:rFonts w:hAnsi="宋体" w:cs="宋体"/>
          <w:color w:val="auto"/>
          <w:sz w:val="24"/>
          <w:szCs w:val="24"/>
          <w:highlight w:val="none"/>
        </w:rPr>
      </w:pPr>
      <w:r>
        <w:rPr>
          <w:rFonts w:hint="eastAsia" w:hAnsi="宋体" w:cs="宋体"/>
          <w:color w:val="auto"/>
          <w:sz w:val="24"/>
          <w:szCs w:val="24"/>
          <w:highlight w:val="none"/>
        </w:rPr>
        <w:t>F.法定代表人或负责人或实际控制人存在股份控制或实际控制关系</w:t>
      </w:r>
    </w:p>
    <w:p w14:paraId="62C62553">
      <w:pPr>
        <w:pStyle w:val="100"/>
        <w:numPr>
          <w:ilvl w:val="0"/>
          <w:numId w:val="0"/>
        </w:numPr>
        <w:snapToGrid w:val="0"/>
        <w:spacing w:line="440" w:lineRule="exact"/>
        <w:ind w:left="227" w:firstLine="480" w:firstLineChars="200"/>
        <w:rPr>
          <w:rFonts w:hAnsi="宋体" w:cs="宋体"/>
          <w:color w:val="auto"/>
          <w:sz w:val="24"/>
          <w:szCs w:val="24"/>
          <w:highlight w:val="none"/>
        </w:rPr>
      </w:pPr>
      <w:r>
        <w:rPr>
          <w:rFonts w:hint="eastAsia" w:hAnsi="宋体" w:cs="宋体"/>
          <w:color w:val="auto"/>
          <w:sz w:val="24"/>
          <w:szCs w:val="24"/>
          <w:highlight w:val="none"/>
        </w:rPr>
        <w:t>G.存在共同直接或间接投资设立子公司、联营企业和合营企业情况</w:t>
      </w:r>
    </w:p>
    <w:p w14:paraId="33909197">
      <w:pPr>
        <w:pStyle w:val="100"/>
        <w:numPr>
          <w:ilvl w:val="0"/>
          <w:numId w:val="0"/>
        </w:numPr>
        <w:snapToGrid w:val="0"/>
        <w:spacing w:line="440" w:lineRule="exact"/>
        <w:ind w:left="227" w:firstLine="480" w:firstLineChars="200"/>
        <w:rPr>
          <w:rFonts w:hAnsi="宋体" w:cs="宋体"/>
          <w:color w:val="auto"/>
          <w:sz w:val="24"/>
          <w:szCs w:val="24"/>
          <w:highlight w:val="none"/>
        </w:rPr>
      </w:pPr>
      <w:r>
        <w:rPr>
          <w:rFonts w:hint="eastAsia" w:hAnsi="宋体" w:cs="宋体"/>
          <w:color w:val="auto"/>
          <w:sz w:val="24"/>
          <w:szCs w:val="24"/>
          <w:highlight w:val="none"/>
        </w:rPr>
        <w:t>H.存在分级代理或代销关系、同一生产制造商关系、管理关系、重要业务（占主营业务收入50%以上）或重要财务往来关系（如融资）等其他实质性控制关系</w:t>
      </w:r>
    </w:p>
    <w:p w14:paraId="44E800CD">
      <w:pPr>
        <w:pStyle w:val="100"/>
        <w:numPr>
          <w:ilvl w:val="0"/>
          <w:numId w:val="0"/>
        </w:numPr>
        <w:snapToGrid w:val="0"/>
        <w:spacing w:line="440" w:lineRule="exact"/>
        <w:ind w:left="227" w:firstLine="480" w:firstLineChars="200"/>
        <w:outlineLvl w:val="0"/>
        <w:rPr>
          <w:rFonts w:hAnsi="宋体" w:cs="宋体"/>
          <w:color w:val="auto"/>
          <w:spacing w:val="6"/>
          <w:sz w:val="24"/>
          <w:szCs w:val="24"/>
          <w:highlight w:val="none"/>
        </w:rPr>
      </w:pPr>
      <w:bookmarkStart w:id="99" w:name="_Toc680"/>
      <w:bookmarkStart w:id="100" w:name="_Toc22681"/>
      <w:r>
        <w:rPr>
          <w:rFonts w:hint="eastAsia" w:hAnsi="宋体" w:cs="宋体"/>
          <w:color w:val="auto"/>
          <w:sz w:val="24"/>
          <w:szCs w:val="24"/>
          <w:highlight w:val="none"/>
        </w:rPr>
        <w:t>I.其他利害关系情况</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bookmarkEnd w:id="99"/>
      <w:bookmarkEnd w:id="100"/>
    </w:p>
    <w:p w14:paraId="1A501A5F">
      <w:pPr>
        <w:pStyle w:val="50"/>
        <w:widowControl/>
        <w:numPr>
          <w:ilvl w:val="0"/>
          <w:numId w:val="0"/>
        </w:numPr>
        <w:snapToGrid w:val="0"/>
        <w:spacing w:line="440" w:lineRule="exact"/>
        <w:ind w:firstLine="480" w:firstLineChars="200"/>
        <w:rPr>
          <w:rFonts w:ascii="宋体" w:cs="宋体"/>
          <w:color w:val="auto"/>
          <w:kern w:val="0"/>
          <w:sz w:val="24"/>
          <w:highlight w:val="none"/>
        </w:rPr>
      </w:pPr>
      <w:r>
        <w:rPr>
          <w:rFonts w:ascii="宋体" w:hAnsi="宋体" w:eastAsia="宋体" w:cs="宋体"/>
          <w:color w:val="auto"/>
          <w:kern w:val="0"/>
          <w:sz w:val="24"/>
          <w:szCs w:val="22"/>
          <w:lang w:val="en-US" w:eastAsia="zh-CN" w:bidi="ar-SA"/>
        </w:rPr>
        <w:t>三、</w:t>
      </w:r>
      <w:r>
        <w:rPr>
          <w:rFonts w:hint="eastAsia" w:ascii="宋体" w:cs="宋体"/>
          <w:color w:val="auto"/>
          <w:sz w:val="24"/>
          <w:highlight w:val="none"/>
        </w:rPr>
        <w:t>现已清楚知道并</w:t>
      </w:r>
      <w:r>
        <w:rPr>
          <w:rFonts w:hint="eastAsia" w:ascii="宋体" w:cs="宋体"/>
          <w:color w:val="auto"/>
          <w:kern w:val="0"/>
          <w:sz w:val="24"/>
          <w:highlight w:val="none"/>
        </w:rPr>
        <w:t>严格遵守政府采购法律法规和现场纪律。</w:t>
      </w:r>
    </w:p>
    <w:p w14:paraId="61E43DEF">
      <w:pPr>
        <w:pStyle w:val="50"/>
        <w:widowControl/>
        <w:numPr>
          <w:ilvl w:val="0"/>
          <w:numId w:val="0"/>
        </w:numPr>
        <w:snapToGrid w:val="0"/>
        <w:spacing w:line="440" w:lineRule="exact"/>
        <w:ind w:firstLine="480" w:firstLineChars="200"/>
        <w:rPr>
          <w:rFonts w:ascii="宋体" w:cs="宋体"/>
          <w:color w:val="auto"/>
          <w:kern w:val="0"/>
          <w:sz w:val="24"/>
          <w:highlight w:val="none"/>
        </w:rPr>
      </w:pPr>
      <w:r>
        <w:rPr>
          <w:rFonts w:ascii="宋体" w:hAnsi="宋体" w:eastAsia="宋体" w:cs="宋体"/>
          <w:color w:val="auto"/>
          <w:kern w:val="0"/>
          <w:sz w:val="24"/>
          <w:szCs w:val="22"/>
          <w:lang w:val="en-US" w:eastAsia="zh-CN" w:bidi="ar-SA"/>
        </w:rPr>
        <w:t>四、</w:t>
      </w:r>
      <w:r>
        <w:rPr>
          <w:rFonts w:hint="eastAsia" w:ascii="宋体" w:cs="宋体"/>
          <w:color w:val="auto"/>
          <w:kern w:val="0"/>
          <w:sz w:val="24"/>
          <w:highlight w:val="none"/>
        </w:rPr>
        <w:t>我发现</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供应商之间存在或可能存在上述第二条第</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项利害关系。</w:t>
      </w:r>
    </w:p>
    <w:p w14:paraId="69369258">
      <w:pPr>
        <w:pStyle w:val="100"/>
        <w:numPr>
          <w:ilvl w:val="0"/>
          <w:numId w:val="0"/>
        </w:numPr>
        <w:snapToGrid w:val="0"/>
        <w:spacing w:line="440" w:lineRule="exact"/>
        <w:ind w:left="227" w:firstLine="480" w:firstLineChars="200"/>
        <w:rPr>
          <w:rFonts w:hAnsi="宋体" w:cs="宋体"/>
          <w:color w:val="auto"/>
          <w:sz w:val="24"/>
          <w:szCs w:val="24"/>
          <w:highlight w:val="none"/>
        </w:rPr>
      </w:pPr>
      <w:r>
        <w:rPr>
          <w:rFonts w:hint="eastAsia" w:hAnsi="宋体" w:cs="宋体"/>
          <w:color w:val="auto"/>
          <w:sz w:val="24"/>
          <w:szCs w:val="24"/>
          <w:highlight w:val="none"/>
        </w:rPr>
        <w:t xml:space="preserve">（供应商代表签名）：                                </w:t>
      </w:r>
    </w:p>
    <w:p w14:paraId="5191FDB3">
      <w:pPr>
        <w:pStyle w:val="100"/>
        <w:numPr>
          <w:ilvl w:val="0"/>
          <w:numId w:val="0"/>
        </w:numPr>
        <w:snapToGrid w:val="0"/>
        <w:spacing w:line="440" w:lineRule="exact"/>
        <w:ind w:left="5250" w:leftChars="2500" w:firstLine="480" w:firstLineChars="200"/>
        <w:rPr>
          <w:rFonts w:hAnsi="宋体" w:cs="宋体"/>
          <w:color w:val="auto"/>
          <w:sz w:val="24"/>
          <w:szCs w:val="24"/>
          <w:highlight w:val="none"/>
        </w:rPr>
      </w:pPr>
      <w:r>
        <w:rPr>
          <w:rFonts w:hint="eastAsia" w:hAnsi="宋体" w:cs="宋体"/>
          <w:color w:val="auto"/>
          <w:sz w:val="24"/>
          <w:szCs w:val="24"/>
          <w:highlight w:val="none"/>
          <w:lang w:eastAsia="zh-CN"/>
        </w:rPr>
        <w:t>2025年</w:t>
      </w:r>
      <w:r>
        <w:rPr>
          <w:rFonts w:hint="eastAsia" w:hAnsi="宋体" w:cs="宋体"/>
          <w:color w:val="auto"/>
          <w:sz w:val="24"/>
          <w:szCs w:val="24"/>
          <w:highlight w:val="none"/>
        </w:rPr>
        <w:t xml:space="preserve">  月  日</w:t>
      </w:r>
    </w:p>
    <w:p w14:paraId="44C45310">
      <w:pPr>
        <w:pStyle w:val="100"/>
        <w:numPr>
          <w:ilvl w:val="0"/>
          <w:numId w:val="0"/>
        </w:numPr>
        <w:snapToGrid w:val="0"/>
        <w:spacing w:line="440" w:lineRule="exact"/>
        <w:ind w:left="227" w:firstLine="482" w:firstLineChars="200"/>
        <w:rPr>
          <w:rFonts w:ascii="宋体" w:hAnsi="宋体" w:eastAsia="宋体"/>
          <w:color w:val="auto"/>
          <w:highlight w:val="none"/>
        </w:rPr>
      </w:pPr>
      <w:r>
        <w:rPr>
          <w:rFonts w:hint="eastAsia" w:hAnsi="宋体" w:cs="宋体"/>
          <w:b/>
          <w:bCs/>
          <w:color w:val="auto"/>
          <w:sz w:val="24"/>
          <w:szCs w:val="24"/>
          <w:highlight w:val="none"/>
        </w:rPr>
        <w:t>注：待完成解密后填写本确认书再以扫描件的形式发到QQ邮箱（</w:t>
      </w:r>
      <w:r>
        <w:rPr>
          <w:rFonts w:hint="eastAsia" w:hAnsi="宋体" w:cs="宋体"/>
          <w:b/>
          <w:bCs/>
          <w:color w:val="auto"/>
          <w:sz w:val="24"/>
          <w:szCs w:val="24"/>
          <w:highlight w:val="none"/>
          <w:lang w:eastAsia="zh-CN"/>
        </w:rPr>
        <w:t>1627136484@qq.com</w:t>
      </w:r>
      <w:r>
        <w:rPr>
          <w:rFonts w:hint="eastAsia" w:hAnsi="宋体" w:cs="宋体"/>
          <w:b/>
          <w:bCs/>
          <w:color w:val="auto"/>
          <w:sz w:val="24"/>
          <w:szCs w:val="24"/>
          <w:highlight w:val="none"/>
        </w:rPr>
        <w:t>）内，打印时请删除此项注明。</w:t>
      </w:r>
    </w:p>
    <w:sectPr>
      <w:headerReference r:id="rId8" w:type="default"/>
      <w:footerReference r:id="rId9" w:type="default"/>
      <w:pgSz w:w="11906" w:h="16838"/>
      <w:pgMar w:top="1440" w:right="1176" w:bottom="1440" w:left="1070" w:header="850" w:footer="992" w:gutter="0"/>
      <w:cols w:space="72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15"/>
      </w:pPr>
      <w:r>
        <w:separator/>
      </w:r>
    </w:p>
  </w:endnote>
  <w:endnote w:type="continuationSeparator" w:id="1">
    <w:p>
      <w:pPr>
        <w:spacing w:line="240" w:lineRule="auto"/>
        <w:ind w:firstLine="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ong">
    <w:altName w:val="仿宋"/>
    <w:panose1 w:val="00000000000000000000"/>
    <w:charset w:val="86"/>
    <w:family w:val="auto"/>
    <w:pitch w:val="default"/>
    <w:sig w:usb0="00000000" w:usb1="00000000" w:usb2="00000000" w:usb3="00000000" w:csb0="00160000"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42B2">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3FDF">
    <w:pPr>
      <w:pStyle w:val="19"/>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D32518">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4oiTSAQAAowMAAA4AAABkcnMvZTJvRG9jLnhtbK1TzY7TMBC+&#10;I/EOlu80aaUtUdR0tatqERICpIUHcB27seQ/edwmfQF4A05cuPNcfQ7GTtJFy2UPXJwZz/ib+b6Z&#10;bG4Ho8lJBFDONnS5KCkRlrtW2UNDv355eFNRApHZlmlnRUPPAujt9vWrTe9rsXKd060IBEEs1L1v&#10;aBejr4sCeCcMg4XzwmJQumBYRDccijawHtGNLlZluS56F1ofHBcAeLsbg3RCDC8BdFIqLnaOH42w&#10;cUQNQrOIlKBTHug2dyul4PGTlCAi0Q1FpjGfWATtfTqL7YbVh8B8p/jUAntJC884GaYsFr1C7Vhk&#10;5BjUP1BG8eDAybjgzhQjkawIsliWz7R57JgXmQtKDf4qOvw/WP7x9DkQ1TZ0TYllBgd++fH98vP3&#10;5dc3sk7y9B5qzHr0mBeHezfg0sz3gJeJ9SCDSV/kQzCO4p6v4oohEp4eVauqKjHEMTY7iF88PfcB&#10;4jvhDElGQwNOL4vKTh8gjqlzSqpm3YPSOk9QW9Ij6k319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NziiJNIBAACjAwAADgAAAAAAAAABACAAAAAi&#10;AQAAZHJzL2Uyb0RvYy54bWxQSwUGAAAAAAYABgBZAQAAZgUAAAAA&#10;">
              <v:fill on="f" focussize="0,0"/>
              <v:stroke on="f" weight="1.25pt"/>
              <v:imagedata o:title=""/>
              <o:lock v:ext="edit" aspectratio="f"/>
              <v:textbox inset="0mm,0mm,0mm,0mm" style="mso-fit-shape-to-text:t;">
                <w:txbxContent>
                  <w:p w14:paraId="2ED32518">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E793D">
    <w:pPr>
      <w:pStyle w:val="19"/>
      <w:tabs>
        <w:tab w:val="center" w:pos="5103"/>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D9FAEB">
                          <w:pPr>
                            <w:pStyle w:val="19"/>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14:paraId="06D9FAEB">
                    <w:pPr>
                      <w:pStyle w:val="19"/>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ind w:firstLine="315"/>
      </w:pPr>
      <w:r>
        <w:separator/>
      </w:r>
    </w:p>
  </w:footnote>
  <w:footnote w:type="continuationSeparator" w:id="3">
    <w:p>
      <w:pPr>
        <w:spacing w:line="360" w:lineRule="auto"/>
        <w:ind w:firstLine="315"/>
      </w:pPr>
      <w:r>
        <w:continuationSeparator/>
      </w:r>
    </w:p>
  </w:footnote>
  <w:footnote w:id="0">
    <w:p w14:paraId="6E3DD392">
      <w:pPr>
        <w:rPr>
          <w:rFonts w:hint="default"/>
        </w:rPr>
      </w:pPr>
      <w:r>
        <w:rPr>
          <w:rFonts w:hint="eastAsia"/>
          <w:vertAlign w:val="superscript"/>
          <w:lang w:val="en-US" w:eastAsia="zh-CN"/>
        </w:rPr>
        <w:t>1</w:t>
      </w:r>
      <w:r>
        <w:t>从业人员、营业收入、资产总额填报上一年度数据，无上一年度数据的新成立企业可不填报。</w:t>
      </w:r>
    </w:p>
    <w:p w14:paraId="7A86E402">
      <w:pPr>
        <w:rPr>
          <w:rFonts w:hint="default"/>
          <w:b/>
          <w:b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46A52">
    <w:pPr>
      <w:pStyle w:val="20"/>
      <w:pBdr>
        <w:bottom w:val="single" w:color="auto" w:sz="4"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58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77"/>
      <w:lvlText w:val="%1."/>
      <w:lvlJc w:val="left"/>
      <w:pPr>
        <w:tabs>
          <w:tab w:val="left" w:pos="360"/>
        </w:tabs>
        <w:ind w:left="360" w:hanging="360"/>
      </w:pPr>
      <w:rPr>
        <w:rFonts w:cs="Times New Roman"/>
      </w:rPr>
    </w:lvl>
  </w:abstractNum>
  <w:abstractNum w:abstractNumId="1">
    <w:nsid w:val="036C06B5"/>
    <w:multiLevelType w:val="multilevel"/>
    <w:tmpl w:val="036C06B5"/>
    <w:lvl w:ilvl="0" w:tentative="0">
      <w:start w:val="1"/>
      <w:numFmt w:val="bullet"/>
      <w:pStyle w:val="50"/>
      <w:lvlText w:val=""/>
      <w:lvlJc w:val="left"/>
      <w:pPr>
        <w:tabs>
          <w:tab w:val="left" w:pos="587"/>
        </w:tabs>
        <w:ind w:left="0" w:firstLine="227"/>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F7CF899"/>
    <w:multiLevelType w:val="singleLevel"/>
    <w:tmpl w:val="1F7CF899"/>
    <w:lvl w:ilvl="0" w:tentative="0">
      <w:start w:val="1"/>
      <w:numFmt w:val="lowerLetter"/>
      <w:suff w:val="nothing"/>
      <w:lvlText w:val="%1."/>
      <w:lvlJc w:val="left"/>
      <w:pPr>
        <w:ind w:left="358" w:hanging="425"/>
      </w:pPr>
      <w:rPr>
        <w:rFonts w:hint="default"/>
      </w:rPr>
    </w:lvl>
  </w:abstractNum>
  <w:abstractNum w:abstractNumId="3">
    <w:nsid w:val="29391921"/>
    <w:multiLevelType w:val="singleLevel"/>
    <w:tmpl w:val="29391921"/>
    <w:lvl w:ilvl="0" w:tentative="0">
      <w:start w:val="1"/>
      <w:numFmt w:val="decimal"/>
      <w:suff w:val="nothing"/>
      <w:lvlText w:val="%1、"/>
      <w:lvlJc w:val="left"/>
    </w:lvl>
  </w:abstractNum>
  <w:abstractNum w:abstractNumId="4">
    <w:nsid w:val="3F5162E2"/>
    <w:multiLevelType w:val="multilevel"/>
    <w:tmpl w:val="3F5162E2"/>
    <w:lvl w:ilvl="0" w:tentative="0">
      <w:start w:val="1"/>
      <w:numFmt w:val="decimal"/>
      <w:suff w:val="space"/>
      <w:lvlText w:val="第%1章"/>
      <w:lvlJc w:val="left"/>
      <w:pPr>
        <w:ind w:left="0" w:firstLine="0"/>
      </w:pPr>
      <w:rPr>
        <w:rFonts w:hint="eastAsia" w:ascii="宋体" w:eastAsia="宋体" w:cs="Times New Roman"/>
        <w:b/>
        <w:bCs w:val="0"/>
        <w:i w:val="0"/>
        <w:iCs w:val="0"/>
        <w:caps w:val="0"/>
        <w:smallCaps w:val="0"/>
        <w:strike w:val="0"/>
        <w:dstrike w:val="0"/>
        <w:vanish w:val="0"/>
        <w:color w:val="000000"/>
        <w:spacing w:val="0"/>
        <w:kern w:val="0"/>
        <w:position w:val="0"/>
        <w:sz w:val="36"/>
        <w:u w:val="none"/>
        <w:vertAlign w:val="baseline"/>
      </w:rPr>
    </w:lvl>
    <w:lvl w:ilvl="1" w:tentative="0">
      <w:start w:val="1"/>
      <w:numFmt w:val="decimal"/>
      <w:pStyle w:val="5"/>
      <w:suff w:val="space"/>
      <w:lvlText w:val="%1.%2"/>
      <w:lvlJc w:val="left"/>
      <w:pPr>
        <w:ind w:left="0" w:firstLine="0"/>
      </w:pPr>
      <w:rPr>
        <w:rFonts w:hint="eastAsia" w:ascii="宋体" w:hAnsi="Times New Roman" w:eastAsia="宋体" w:cs="Times New Roman"/>
        <w:b/>
        <w:bCs w:val="0"/>
        <w:i w:val="0"/>
        <w:iCs w:val="0"/>
        <w:caps w:val="0"/>
        <w:smallCaps w:val="0"/>
        <w:strike w:val="0"/>
        <w:dstrike w:val="0"/>
        <w:vanish w:val="0"/>
        <w:color w:val="000000"/>
        <w:spacing w:val="0"/>
        <w:kern w:val="0"/>
        <w:position w:val="0"/>
        <w:sz w:val="32"/>
        <w:u w:val="none"/>
        <w:vertAlign w:val="baseline"/>
      </w:rPr>
    </w:lvl>
    <w:lvl w:ilvl="2" w:tentative="0">
      <w:start w:val="1"/>
      <w:numFmt w:val="decimal"/>
      <w:suff w:val="space"/>
      <w:lvlText w:val="%1.%2.%3"/>
      <w:lvlJc w:val="left"/>
      <w:pPr>
        <w:ind w:left="0" w:firstLine="0"/>
      </w:pPr>
      <w:rPr>
        <w:rFonts w:hint="eastAsia" w:ascii="宋体" w:eastAsia="宋体"/>
        <w:b/>
        <w:bCs w:val="0"/>
        <w:i w:val="0"/>
        <w:iCs w:val="0"/>
        <w:caps w:val="0"/>
        <w:smallCaps w:val="0"/>
        <w:strike w:val="0"/>
        <w:dstrike w:val="0"/>
        <w:vanish w:val="0"/>
        <w:color w:val="000000"/>
        <w:spacing w:val="0"/>
        <w:position w:val="0"/>
        <w:sz w:val="30"/>
        <w:u w:val="none"/>
        <w:vertAlign w:val="baseline"/>
      </w:rPr>
    </w:lvl>
    <w:lvl w:ilvl="3" w:tentative="0">
      <w:start w:val="1"/>
      <w:numFmt w:val="decimal"/>
      <w:pStyle w:val="7"/>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tentative="0">
      <w:start w:val="1"/>
      <w:numFmt w:val="decimal"/>
      <w:pStyle w:val="8"/>
      <w:suff w:val="space"/>
      <w:lvlText w:val="%1.%2.%3.%4.%5"/>
      <w:lvlJc w:val="left"/>
      <w:pPr>
        <w:ind w:left="0" w:firstLine="0"/>
      </w:pPr>
      <w:rPr>
        <w:rFonts w:hint="eastAsia" w:ascii="宋体" w:hAnsi="Times New Roman" w:eastAsia="宋体" w:cs="Times New Roman"/>
        <w:b/>
        <w:bCs w:val="0"/>
        <w:i w:val="0"/>
        <w:iCs w:val="0"/>
        <w:caps w:val="0"/>
        <w:smallCaps w:val="0"/>
        <w:strike w:val="0"/>
        <w:dstrike w:val="0"/>
        <w:vanish w:val="0"/>
        <w:color w:val="000000"/>
        <w:spacing w:val="0"/>
        <w:position w:val="0"/>
        <w:sz w:val="24"/>
        <w:u w:val="none"/>
        <w:vertAlign w:val="baseline"/>
      </w:rPr>
    </w:lvl>
    <w:lvl w:ilvl="5" w:tentative="0">
      <w:start w:val="1"/>
      <w:numFmt w:val="decimal"/>
      <w:pStyle w:val="9"/>
      <w:lvlText w:val="%1.%2.%3.%4.%5.%6."/>
      <w:lvlJc w:val="left"/>
      <w:pPr>
        <w:tabs>
          <w:tab w:val="left" w:pos="432"/>
        </w:tabs>
        <w:ind w:left="0" w:firstLine="0"/>
      </w:pPr>
      <w:rPr>
        <w:rFonts w:hint="default" w:ascii="Arial" w:hAnsi="Arial" w:eastAsia="仿宋"/>
      </w:rPr>
    </w:lvl>
    <w:lvl w:ilvl="6" w:tentative="0">
      <w:start w:val="1"/>
      <w:numFmt w:val="decimal"/>
      <w:lvlText w:val="%1.%2.%3.%4.%5.%6.%7."/>
      <w:lvlJc w:val="left"/>
      <w:pPr>
        <w:tabs>
          <w:tab w:val="left" w:pos="432"/>
        </w:tabs>
        <w:ind w:left="0" w:firstLine="0"/>
      </w:pPr>
      <w:rPr>
        <w:rFonts w:hint="default"/>
      </w:rPr>
    </w:lvl>
    <w:lvl w:ilvl="7" w:tentative="0">
      <w:start w:val="1"/>
      <w:numFmt w:val="decimal"/>
      <w:lvlText w:val="%1.%2.%3.%4.%5.%6.%7.%8."/>
      <w:lvlJc w:val="left"/>
      <w:pPr>
        <w:tabs>
          <w:tab w:val="left" w:pos="432"/>
        </w:tabs>
        <w:ind w:left="0" w:firstLine="0"/>
      </w:pPr>
      <w:rPr>
        <w:rFonts w:hint="default"/>
      </w:rPr>
    </w:lvl>
    <w:lvl w:ilvl="8" w:tentative="0">
      <w:start w:val="1"/>
      <w:numFmt w:val="decimal"/>
      <w:lvlText w:val="%1.%2.%3.%4.%5.%6.%7.%8.%9."/>
      <w:lvlJc w:val="left"/>
      <w:pPr>
        <w:tabs>
          <w:tab w:val="left" w:pos="432"/>
        </w:tabs>
        <w:ind w:left="0" w:firstLine="0"/>
      </w:pPr>
      <w:rPr>
        <w:rFonts w:hint="default"/>
      </w:rPr>
    </w:lvl>
  </w:abstractNum>
  <w:abstractNum w:abstractNumId="5">
    <w:nsid w:val="49746C33"/>
    <w:multiLevelType w:val="singleLevel"/>
    <w:tmpl w:val="49746C33"/>
    <w:lvl w:ilvl="0" w:tentative="0">
      <w:start w:val="1"/>
      <w:numFmt w:val="decimal"/>
      <w:suff w:val="nothing"/>
      <w:lvlText w:val="%1"/>
      <w:lvlJc w:val="left"/>
      <w:pPr>
        <w:ind w:left="425" w:leftChars="0" w:hanging="425" w:firstLineChars="0"/>
      </w:pPr>
      <w:rPr>
        <w:rFonts w:hint="default"/>
      </w:rPr>
    </w:lvl>
  </w:abstractNum>
  <w:abstractNum w:abstractNumId="6">
    <w:nsid w:val="765316F3"/>
    <w:multiLevelType w:val="multilevel"/>
    <w:tmpl w:val="765316F3"/>
    <w:lvl w:ilvl="0" w:tentative="0">
      <w:start w:val="1"/>
      <w:numFmt w:val="chineseCountingThousand"/>
      <w:pStyle w:val="109"/>
      <w:lvlText w:val="%1、"/>
      <w:lvlJc w:val="left"/>
      <w:pPr>
        <w:tabs>
          <w:tab w:val="left" w:pos="1110"/>
        </w:tabs>
        <w:ind w:left="106" w:firstLine="454"/>
      </w:pPr>
      <w:rPr>
        <w:rFonts w:hint="default" w:ascii="??" w:hAnsi="??" w:eastAsia="??"/>
        <w:b/>
        <w:i w:val="0"/>
        <w:iCs w:val="0"/>
        <w:caps w:val="0"/>
        <w:smallCaps w:val="0"/>
        <w:strike w:val="0"/>
        <w:dstrike w:val="0"/>
        <w:spacing w:val="0"/>
        <w:position w:val="0"/>
        <w:sz w:val="21"/>
        <w:szCs w:val="21"/>
        <w:u w:val="no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7">
    <w:nsid w:val="7F6053CB"/>
    <w:multiLevelType w:val="multilevel"/>
    <w:tmpl w:val="7F6053CB"/>
    <w:lvl w:ilvl="0" w:tentative="0">
      <w:start w:val="1"/>
      <w:numFmt w:val="decimal"/>
      <w:lvlText w:val="第 %1 条"/>
      <w:lvlJc w:val="center"/>
      <w:pPr>
        <w:tabs>
          <w:tab w:val="left" w:pos="3420"/>
        </w:tabs>
        <w:ind w:left="2581" w:firstLine="119"/>
      </w:pPr>
      <w:rPr>
        <w:rFonts w:hint="default" w:ascii="Times New Roman" w:hAnsi="Times New Roman" w:eastAsia="宋体" w:cs="Times New Roman"/>
        <w:b/>
        <w:i w:val="0"/>
        <w:sz w:val="30"/>
      </w:rPr>
    </w:lvl>
    <w:lvl w:ilvl="1" w:tentative="0">
      <w:start w:val="1"/>
      <w:numFmt w:val="decimal"/>
      <w:lvlText w:val="%1.%2"/>
      <w:lvlJc w:val="left"/>
      <w:pPr>
        <w:tabs>
          <w:tab w:val="left" w:pos="624"/>
        </w:tabs>
        <w:ind w:left="624" w:hanging="624"/>
      </w:pPr>
      <w:rPr>
        <w:rFonts w:hint="default" w:ascii="Times New Roman" w:hAnsi="Times New Roman" w:eastAsia="宋体" w:cs="Times New Roman"/>
        <w:b/>
        <w:i w:val="0"/>
        <w:sz w:val="28"/>
        <w:szCs w:val="28"/>
      </w:rPr>
    </w:lvl>
    <w:lvl w:ilvl="2" w:tentative="0">
      <w:start w:val="1"/>
      <w:numFmt w:val="decimal"/>
      <w:pStyle w:val="6"/>
      <w:suff w:val="space"/>
      <w:lvlText w:val="%1.%2.%3"/>
      <w:lvlJc w:val="left"/>
      <w:rPr>
        <w:rFonts w:hint="default" w:ascii="Times New Roman" w:hAnsi="Times New Roman" w:eastAsia="宋体" w:cs="Times New Roman"/>
        <w:b w:val="0"/>
        <w:i w:val="0"/>
        <w:sz w:val="24"/>
        <w:szCs w:val="24"/>
      </w:rPr>
    </w:lvl>
    <w:lvl w:ilvl="3" w:tentative="0">
      <w:start w:val="1"/>
      <w:numFmt w:val="lowerLetter"/>
      <w:lvlText w:val="（%4）"/>
      <w:lvlJc w:val="left"/>
      <w:pPr>
        <w:tabs>
          <w:tab w:val="left" w:pos="1006"/>
        </w:tabs>
        <w:ind w:left="1006" w:hanging="864"/>
      </w:pPr>
      <w:rPr>
        <w:rFonts w:hint="eastAsia" w:cs="Times New Roman"/>
      </w:rPr>
    </w:lvl>
    <w:lvl w:ilvl="4" w:tentative="0">
      <w:start w:val="1"/>
      <w:numFmt w:val="lowerRoman"/>
      <w:lvlText w:val="（%5）"/>
      <w:lvlJc w:val="left"/>
      <w:pPr>
        <w:tabs>
          <w:tab w:val="left" w:pos="720"/>
        </w:tabs>
        <w:ind w:left="720" w:hanging="1008"/>
      </w:pPr>
      <w:rPr>
        <w:rFonts w:hint="eastAsia" w:cs="Times New Roman"/>
        <w:color w:val="auto"/>
      </w:rPr>
    </w:lvl>
    <w:lvl w:ilvl="5" w:tentative="0">
      <w:start w:val="1"/>
      <w:numFmt w:val="decimal"/>
      <w:lvlText w:val="%1.%2.%3.%4.%5.%6"/>
      <w:lvlJc w:val="left"/>
      <w:pPr>
        <w:tabs>
          <w:tab w:val="left" w:pos="864"/>
        </w:tabs>
        <w:ind w:left="864" w:hanging="1152"/>
      </w:pPr>
      <w:rPr>
        <w:rFonts w:hint="eastAsia" w:cs="Times New Roman"/>
      </w:rPr>
    </w:lvl>
    <w:lvl w:ilvl="6" w:tentative="0">
      <w:start w:val="1"/>
      <w:numFmt w:val="decimal"/>
      <w:lvlText w:val="%1.%2.%3.%4.%5.%6.%7"/>
      <w:lvlJc w:val="left"/>
      <w:pPr>
        <w:tabs>
          <w:tab w:val="left" w:pos="1008"/>
        </w:tabs>
        <w:ind w:left="1008" w:hanging="1296"/>
      </w:pPr>
      <w:rPr>
        <w:rFonts w:hint="eastAsia" w:cs="Times New Roman"/>
      </w:rPr>
    </w:lvl>
    <w:lvl w:ilvl="7" w:tentative="0">
      <w:start w:val="1"/>
      <w:numFmt w:val="decimal"/>
      <w:lvlText w:val="%1.%2.%3.%4.%5.%6.%7.%8"/>
      <w:lvlJc w:val="left"/>
      <w:pPr>
        <w:tabs>
          <w:tab w:val="left" w:pos="1152"/>
        </w:tabs>
        <w:ind w:left="1152" w:hanging="1440"/>
      </w:pPr>
      <w:rPr>
        <w:rFonts w:hint="eastAsia" w:cs="Times New Roman"/>
      </w:rPr>
    </w:lvl>
    <w:lvl w:ilvl="8" w:tentative="0">
      <w:start w:val="1"/>
      <w:numFmt w:val="decimal"/>
      <w:lvlText w:val="%1.%2.%3.%4.%5.%6.%7.%8.%9"/>
      <w:lvlJc w:val="left"/>
      <w:pPr>
        <w:tabs>
          <w:tab w:val="left" w:pos="1296"/>
        </w:tabs>
        <w:ind w:left="1296" w:hanging="1584"/>
      </w:pPr>
      <w:rPr>
        <w:rFonts w:hint="eastAsia" w:cs="Times New Roman"/>
      </w:rPr>
    </w:lvl>
  </w:abstractNum>
  <w:num w:numId="1">
    <w:abstractNumId w:val="4"/>
  </w:num>
  <w:num w:numId="2">
    <w:abstractNumId w:val="7"/>
  </w:num>
  <w:num w:numId="3">
    <w:abstractNumId w:val="1"/>
  </w:num>
  <w:num w:numId="4">
    <w:abstractNumId w:val="0"/>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2OGY4OGVlMTlhYjFlNGE1OTBiNzFlM2QzNGJjNmYifQ=="/>
  </w:docVars>
  <w:rsids>
    <w:rsidRoot w:val="353B09A0"/>
    <w:rsid w:val="00010167"/>
    <w:rsid w:val="00010E4B"/>
    <w:rsid w:val="00013654"/>
    <w:rsid w:val="00050887"/>
    <w:rsid w:val="000C0881"/>
    <w:rsid w:val="000D5711"/>
    <w:rsid w:val="00133793"/>
    <w:rsid w:val="001A5180"/>
    <w:rsid w:val="001E44E9"/>
    <w:rsid w:val="001F0A21"/>
    <w:rsid w:val="002012CF"/>
    <w:rsid w:val="00220AEB"/>
    <w:rsid w:val="002F659C"/>
    <w:rsid w:val="00311BBD"/>
    <w:rsid w:val="00387A77"/>
    <w:rsid w:val="003D3AFA"/>
    <w:rsid w:val="003D7267"/>
    <w:rsid w:val="003F3B8C"/>
    <w:rsid w:val="00410745"/>
    <w:rsid w:val="00476E27"/>
    <w:rsid w:val="004953CD"/>
    <w:rsid w:val="004F7371"/>
    <w:rsid w:val="0050752C"/>
    <w:rsid w:val="005266E5"/>
    <w:rsid w:val="0053423F"/>
    <w:rsid w:val="0054401D"/>
    <w:rsid w:val="00566BDF"/>
    <w:rsid w:val="00580FE9"/>
    <w:rsid w:val="005A21F2"/>
    <w:rsid w:val="005C0C86"/>
    <w:rsid w:val="00611502"/>
    <w:rsid w:val="006554C5"/>
    <w:rsid w:val="006925B7"/>
    <w:rsid w:val="006B6D1F"/>
    <w:rsid w:val="006D0562"/>
    <w:rsid w:val="006E1F52"/>
    <w:rsid w:val="007D3335"/>
    <w:rsid w:val="007F440E"/>
    <w:rsid w:val="00834467"/>
    <w:rsid w:val="008418E2"/>
    <w:rsid w:val="00853DF2"/>
    <w:rsid w:val="00877AE3"/>
    <w:rsid w:val="0088246D"/>
    <w:rsid w:val="0096056A"/>
    <w:rsid w:val="009A580A"/>
    <w:rsid w:val="009B154A"/>
    <w:rsid w:val="009C6EFF"/>
    <w:rsid w:val="009E7CE8"/>
    <w:rsid w:val="00A27A5E"/>
    <w:rsid w:val="00AC3364"/>
    <w:rsid w:val="00AF358D"/>
    <w:rsid w:val="00B27DE6"/>
    <w:rsid w:val="00BC3906"/>
    <w:rsid w:val="00C1486D"/>
    <w:rsid w:val="00C86FB1"/>
    <w:rsid w:val="00CD1554"/>
    <w:rsid w:val="00CD299C"/>
    <w:rsid w:val="00CE027E"/>
    <w:rsid w:val="00CF26B5"/>
    <w:rsid w:val="00D47403"/>
    <w:rsid w:val="00D6253C"/>
    <w:rsid w:val="00D72607"/>
    <w:rsid w:val="00DE6E56"/>
    <w:rsid w:val="00E54E75"/>
    <w:rsid w:val="00E96B4D"/>
    <w:rsid w:val="00EC4A63"/>
    <w:rsid w:val="00ED00F4"/>
    <w:rsid w:val="00EF4B06"/>
    <w:rsid w:val="00EF5AA6"/>
    <w:rsid w:val="00F03396"/>
    <w:rsid w:val="00F04226"/>
    <w:rsid w:val="00F61C8B"/>
    <w:rsid w:val="00F671F2"/>
    <w:rsid w:val="00F811DC"/>
    <w:rsid w:val="00FD1419"/>
    <w:rsid w:val="011251E4"/>
    <w:rsid w:val="0114328C"/>
    <w:rsid w:val="012F43BC"/>
    <w:rsid w:val="0138117D"/>
    <w:rsid w:val="01396E1E"/>
    <w:rsid w:val="014063FE"/>
    <w:rsid w:val="01490498"/>
    <w:rsid w:val="015A067B"/>
    <w:rsid w:val="0161280A"/>
    <w:rsid w:val="01A26EDA"/>
    <w:rsid w:val="01B5529A"/>
    <w:rsid w:val="01EB4256"/>
    <w:rsid w:val="02105DD0"/>
    <w:rsid w:val="023201E5"/>
    <w:rsid w:val="02485899"/>
    <w:rsid w:val="0250246E"/>
    <w:rsid w:val="026A1835"/>
    <w:rsid w:val="029E5EBF"/>
    <w:rsid w:val="02A50652"/>
    <w:rsid w:val="02BA7CB2"/>
    <w:rsid w:val="02C46D8B"/>
    <w:rsid w:val="02FA5546"/>
    <w:rsid w:val="030F6088"/>
    <w:rsid w:val="039743BD"/>
    <w:rsid w:val="03B170D7"/>
    <w:rsid w:val="03B510E0"/>
    <w:rsid w:val="03BF38F8"/>
    <w:rsid w:val="04844854"/>
    <w:rsid w:val="0499408B"/>
    <w:rsid w:val="04D64A5B"/>
    <w:rsid w:val="04DB088C"/>
    <w:rsid w:val="04E363D0"/>
    <w:rsid w:val="04ED0CC8"/>
    <w:rsid w:val="0516577E"/>
    <w:rsid w:val="051C683A"/>
    <w:rsid w:val="054962B1"/>
    <w:rsid w:val="054A3CDD"/>
    <w:rsid w:val="05663F59"/>
    <w:rsid w:val="056D7096"/>
    <w:rsid w:val="05922FA0"/>
    <w:rsid w:val="059E1B13"/>
    <w:rsid w:val="05A412E1"/>
    <w:rsid w:val="05CB086B"/>
    <w:rsid w:val="05CB7098"/>
    <w:rsid w:val="05D13AC9"/>
    <w:rsid w:val="06016FF1"/>
    <w:rsid w:val="061C371F"/>
    <w:rsid w:val="06314567"/>
    <w:rsid w:val="064641C0"/>
    <w:rsid w:val="06464573"/>
    <w:rsid w:val="064C314F"/>
    <w:rsid w:val="06581A11"/>
    <w:rsid w:val="066C4AE8"/>
    <w:rsid w:val="06B34F7C"/>
    <w:rsid w:val="06CB767C"/>
    <w:rsid w:val="06CC603E"/>
    <w:rsid w:val="06D7299F"/>
    <w:rsid w:val="06DF3856"/>
    <w:rsid w:val="070F3358"/>
    <w:rsid w:val="074E2F45"/>
    <w:rsid w:val="075C5F94"/>
    <w:rsid w:val="07621A0E"/>
    <w:rsid w:val="076808DF"/>
    <w:rsid w:val="07724E37"/>
    <w:rsid w:val="078A79B8"/>
    <w:rsid w:val="0793589F"/>
    <w:rsid w:val="07AF2977"/>
    <w:rsid w:val="07B216D8"/>
    <w:rsid w:val="07BE1E2B"/>
    <w:rsid w:val="07E95234"/>
    <w:rsid w:val="083D381F"/>
    <w:rsid w:val="08610AB4"/>
    <w:rsid w:val="08AD1F59"/>
    <w:rsid w:val="08CC1F74"/>
    <w:rsid w:val="08E104C7"/>
    <w:rsid w:val="08FC0E5C"/>
    <w:rsid w:val="091A2635"/>
    <w:rsid w:val="091C14FF"/>
    <w:rsid w:val="092A65E7"/>
    <w:rsid w:val="092D3070"/>
    <w:rsid w:val="09554CD5"/>
    <w:rsid w:val="0971652A"/>
    <w:rsid w:val="0983332C"/>
    <w:rsid w:val="09864BCA"/>
    <w:rsid w:val="09B21497"/>
    <w:rsid w:val="09CD0D4C"/>
    <w:rsid w:val="09DF42DA"/>
    <w:rsid w:val="0A175CFE"/>
    <w:rsid w:val="0A197A56"/>
    <w:rsid w:val="0A894972"/>
    <w:rsid w:val="0AB1779B"/>
    <w:rsid w:val="0B0B140F"/>
    <w:rsid w:val="0B0B42CE"/>
    <w:rsid w:val="0B0B7898"/>
    <w:rsid w:val="0B1A3A0F"/>
    <w:rsid w:val="0B3B41AE"/>
    <w:rsid w:val="0B4B14E2"/>
    <w:rsid w:val="0B570DC0"/>
    <w:rsid w:val="0B662000"/>
    <w:rsid w:val="0B664CB3"/>
    <w:rsid w:val="0B835452"/>
    <w:rsid w:val="0B9B2395"/>
    <w:rsid w:val="0BB93035"/>
    <w:rsid w:val="0BC5416A"/>
    <w:rsid w:val="0C2648CE"/>
    <w:rsid w:val="0C6F1945"/>
    <w:rsid w:val="0CB91FCD"/>
    <w:rsid w:val="0CB97065"/>
    <w:rsid w:val="0CCF22A8"/>
    <w:rsid w:val="0CCF3D5E"/>
    <w:rsid w:val="0CD143AE"/>
    <w:rsid w:val="0D116EA1"/>
    <w:rsid w:val="0D2C1755"/>
    <w:rsid w:val="0D392F32"/>
    <w:rsid w:val="0D6944CC"/>
    <w:rsid w:val="0D7D66D2"/>
    <w:rsid w:val="0D7F15F2"/>
    <w:rsid w:val="0DAC53B2"/>
    <w:rsid w:val="0DBF0046"/>
    <w:rsid w:val="0DCB329C"/>
    <w:rsid w:val="0DDD6BA5"/>
    <w:rsid w:val="0DF53397"/>
    <w:rsid w:val="0DF5347F"/>
    <w:rsid w:val="0E05202C"/>
    <w:rsid w:val="0E1C78AB"/>
    <w:rsid w:val="0E2844A2"/>
    <w:rsid w:val="0E355127"/>
    <w:rsid w:val="0E3D4F92"/>
    <w:rsid w:val="0E410B02"/>
    <w:rsid w:val="0E4479A7"/>
    <w:rsid w:val="0E5C7254"/>
    <w:rsid w:val="0E7B2823"/>
    <w:rsid w:val="0F02767C"/>
    <w:rsid w:val="0F072309"/>
    <w:rsid w:val="0F144A26"/>
    <w:rsid w:val="0F330759"/>
    <w:rsid w:val="0F4F5A5E"/>
    <w:rsid w:val="0F576A5B"/>
    <w:rsid w:val="0F5D0D7E"/>
    <w:rsid w:val="0F802A6E"/>
    <w:rsid w:val="0F9A4F2B"/>
    <w:rsid w:val="0FA37038"/>
    <w:rsid w:val="0FD82A5E"/>
    <w:rsid w:val="103C5FE2"/>
    <w:rsid w:val="107D60E2"/>
    <w:rsid w:val="10934FF1"/>
    <w:rsid w:val="10BA2DC3"/>
    <w:rsid w:val="10C85AC8"/>
    <w:rsid w:val="10E5358A"/>
    <w:rsid w:val="113E1C9A"/>
    <w:rsid w:val="114001F7"/>
    <w:rsid w:val="11724C1B"/>
    <w:rsid w:val="11796EDC"/>
    <w:rsid w:val="11951E4E"/>
    <w:rsid w:val="11A307CE"/>
    <w:rsid w:val="11AF75A7"/>
    <w:rsid w:val="11D6322F"/>
    <w:rsid w:val="11EB1677"/>
    <w:rsid w:val="12240651"/>
    <w:rsid w:val="122945CF"/>
    <w:rsid w:val="122E55B0"/>
    <w:rsid w:val="123548E0"/>
    <w:rsid w:val="123B27D1"/>
    <w:rsid w:val="1265128C"/>
    <w:rsid w:val="12724F5E"/>
    <w:rsid w:val="127822B5"/>
    <w:rsid w:val="127C0BA7"/>
    <w:rsid w:val="12855389"/>
    <w:rsid w:val="12865757"/>
    <w:rsid w:val="128C7CD3"/>
    <w:rsid w:val="12C850CE"/>
    <w:rsid w:val="12E65181"/>
    <w:rsid w:val="12FE44E7"/>
    <w:rsid w:val="130F1D20"/>
    <w:rsid w:val="13477CA5"/>
    <w:rsid w:val="13AF41C9"/>
    <w:rsid w:val="13DA6F8D"/>
    <w:rsid w:val="13EF6C4A"/>
    <w:rsid w:val="142474B9"/>
    <w:rsid w:val="143E4A1F"/>
    <w:rsid w:val="1441006B"/>
    <w:rsid w:val="14587163"/>
    <w:rsid w:val="1493085C"/>
    <w:rsid w:val="14C9727A"/>
    <w:rsid w:val="14FC3F92"/>
    <w:rsid w:val="150948F0"/>
    <w:rsid w:val="15177BFE"/>
    <w:rsid w:val="152039A4"/>
    <w:rsid w:val="152C0D1B"/>
    <w:rsid w:val="15623A24"/>
    <w:rsid w:val="157F432D"/>
    <w:rsid w:val="15A76263"/>
    <w:rsid w:val="15BA49A3"/>
    <w:rsid w:val="15D3598F"/>
    <w:rsid w:val="15DD5B72"/>
    <w:rsid w:val="15F26797"/>
    <w:rsid w:val="15F65792"/>
    <w:rsid w:val="16111CBF"/>
    <w:rsid w:val="16172D09"/>
    <w:rsid w:val="162B0FD3"/>
    <w:rsid w:val="165C5AF2"/>
    <w:rsid w:val="16674585"/>
    <w:rsid w:val="16E178E4"/>
    <w:rsid w:val="16E20B3E"/>
    <w:rsid w:val="16F109BE"/>
    <w:rsid w:val="16FB6BF7"/>
    <w:rsid w:val="170C6713"/>
    <w:rsid w:val="171F21BA"/>
    <w:rsid w:val="172F4AF3"/>
    <w:rsid w:val="17886B7F"/>
    <w:rsid w:val="178D2675"/>
    <w:rsid w:val="17B648CC"/>
    <w:rsid w:val="17BD5C5B"/>
    <w:rsid w:val="17C931E2"/>
    <w:rsid w:val="17D901FF"/>
    <w:rsid w:val="17FA5F05"/>
    <w:rsid w:val="1800023D"/>
    <w:rsid w:val="18001FEB"/>
    <w:rsid w:val="186033AF"/>
    <w:rsid w:val="18742154"/>
    <w:rsid w:val="18A24E51"/>
    <w:rsid w:val="18CB43A7"/>
    <w:rsid w:val="18CE45EB"/>
    <w:rsid w:val="18D07C10"/>
    <w:rsid w:val="18E9298B"/>
    <w:rsid w:val="191331C3"/>
    <w:rsid w:val="1926721A"/>
    <w:rsid w:val="1977008B"/>
    <w:rsid w:val="197B18BC"/>
    <w:rsid w:val="19914FCB"/>
    <w:rsid w:val="19B47531"/>
    <w:rsid w:val="19BC36D5"/>
    <w:rsid w:val="19CF7EC7"/>
    <w:rsid w:val="1A030941"/>
    <w:rsid w:val="1A475995"/>
    <w:rsid w:val="1A5C1A78"/>
    <w:rsid w:val="1A603624"/>
    <w:rsid w:val="1A9219FB"/>
    <w:rsid w:val="1AB20659"/>
    <w:rsid w:val="1AC403AE"/>
    <w:rsid w:val="1AE11026"/>
    <w:rsid w:val="1B3C3304"/>
    <w:rsid w:val="1B610FF3"/>
    <w:rsid w:val="1B6417B0"/>
    <w:rsid w:val="1B6672B1"/>
    <w:rsid w:val="1BD25B21"/>
    <w:rsid w:val="1BD4616D"/>
    <w:rsid w:val="1BE51C24"/>
    <w:rsid w:val="1BFB0E3A"/>
    <w:rsid w:val="1C4E37D5"/>
    <w:rsid w:val="1C6F209D"/>
    <w:rsid w:val="1CCE6D50"/>
    <w:rsid w:val="1CD42DAD"/>
    <w:rsid w:val="1D02315B"/>
    <w:rsid w:val="1D0F41FB"/>
    <w:rsid w:val="1D1642DD"/>
    <w:rsid w:val="1D2167DA"/>
    <w:rsid w:val="1D263DB2"/>
    <w:rsid w:val="1D433CF7"/>
    <w:rsid w:val="1D823D48"/>
    <w:rsid w:val="1D8B67FB"/>
    <w:rsid w:val="1D9527F4"/>
    <w:rsid w:val="1DA500C4"/>
    <w:rsid w:val="1DAC3EB1"/>
    <w:rsid w:val="1DB71E03"/>
    <w:rsid w:val="1DE33A59"/>
    <w:rsid w:val="1DF01E1B"/>
    <w:rsid w:val="1DF779ED"/>
    <w:rsid w:val="1E197963"/>
    <w:rsid w:val="1E283168"/>
    <w:rsid w:val="1E513FF3"/>
    <w:rsid w:val="1E5A48B2"/>
    <w:rsid w:val="1E5D32F8"/>
    <w:rsid w:val="1E781B01"/>
    <w:rsid w:val="1E990AA4"/>
    <w:rsid w:val="1EA02471"/>
    <w:rsid w:val="1F0B19A2"/>
    <w:rsid w:val="1F114ADE"/>
    <w:rsid w:val="1F132604"/>
    <w:rsid w:val="1F207806"/>
    <w:rsid w:val="1F292445"/>
    <w:rsid w:val="1F3A5DE3"/>
    <w:rsid w:val="1F6966C8"/>
    <w:rsid w:val="1F6D7E0F"/>
    <w:rsid w:val="1F7E03C6"/>
    <w:rsid w:val="1F9061E2"/>
    <w:rsid w:val="1FA34B10"/>
    <w:rsid w:val="1FA470FA"/>
    <w:rsid w:val="1FAA0D66"/>
    <w:rsid w:val="1FAB57C7"/>
    <w:rsid w:val="1FCA144E"/>
    <w:rsid w:val="1FE30229"/>
    <w:rsid w:val="1FF95C9E"/>
    <w:rsid w:val="20014B53"/>
    <w:rsid w:val="200C7D9A"/>
    <w:rsid w:val="201A79C2"/>
    <w:rsid w:val="20343A7B"/>
    <w:rsid w:val="204F3E9C"/>
    <w:rsid w:val="205904EB"/>
    <w:rsid w:val="20730A5A"/>
    <w:rsid w:val="20913FE3"/>
    <w:rsid w:val="20954E1B"/>
    <w:rsid w:val="20B0193D"/>
    <w:rsid w:val="20B73DE5"/>
    <w:rsid w:val="20BC2BA8"/>
    <w:rsid w:val="20F63892"/>
    <w:rsid w:val="20FB2DBF"/>
    <w:rsid w:val="210C5BD6"/>
    <w:rsid w:val="21134B3E"/>
    <w:rsid w:val="212A5F25"/>
    <w:rsid w:val="213F21C9"/>
    <w:rsid w:val="214116AB"/>
    <w:rsid w:val="215238B8"/>
    <w:rsid w:val="215556D8"/>
    <w:rsid w:val="2159709A"/>
    <w:rsid w:val="217A696B"/>
    <w:rsid w:val="217F0425"/>
    <w:rsid w:val="21A47E8B"/>
    <w:rsid w:val="21B31E7D"/>
    <w:rsid w:val="21B61CE9"/>
    <w:rsid w:val="21B856E5"/>
    <w:rsid w:val="21BA145D"/>
    <w:rsid w:val="21F04294"/>
    <w:rsid w:val="21F04E7F"/>
    <w:rsid w:val="22126005"/>
    <w:rsid w:val="222B484B"/>
    <w:rsid w:val="224455F9"/>
    <w:rsid w:val="22573BE0"/>
    <w:rsid w:val="22751EDA"/>
    <w:rsid w:val="22A5262D"/>
    <w:rsid w:val="22AC723B"/>
    <w:rsid w:val="22C024C9"/>
    <w:rsid w:val="22C024D6"/>
    <w:rsid w:val="22C205C9"/>
    <w:rsid w:val="22D14492"/>
    <w:rsid w:val="22E36792"/>
    <w:rsid w:val="22EE782F"/>
    <w:rsid w:val="22FE7A36"/>
    <w:rsid w:val="23180FA5"/>
    <w:rsid w:val="23447230"/>
    <w:rsid w:val="23567131"/>
    <w:rsid w:val="236A7696"/>
    <w:rsid w:val="23A203FB"/>
    <w:rsid w:val="23B0207A"/>
    <w:rsid w:val="23E86965"/>
    <w:rsid w:val="24194909"/>
    <w:rsid w:val="24262DDA"/>
    <w:rsid w:val="242916BD"/>
    <w:rsid w:val="24613E12"/>
    <w:rsid w:val="247B1377"/>
    <w:rsid w:val="248A5117"/>
    <w:rsid w:val="24937273"/>
    <w:rsid w:val="24A0493A"/>
    <w:rsid w:val="24B722DA"/>
    <w:rsid w:val="24D447A2"/>
    <w:rsid w:val="24F66F84"/>
    <w:rsid w:val="25122F37"/>
    <w:rsid w:val="251315B0"/>
    <w:rsid w:val="253C60EE"/>
    <w:rsid w:val="25850719"/>
    <w:rsid w:val="25852A52"/>
    <w:rsid w:val="259F2E44"/>
    <w:rsid w:val="25C11E0D"/>
    <w:rsid w:val="25E22D30"/>
    <w:rsid w:val="25EE7927"/>
    <w:rsid w:val="267539C7"/>
    <w:rsid w:val="268B33C8"/>
    <w:rsid w:val="26A96D22"/>
    <w:rsid w:val="26C2749D"/>
    <w:rsid w:val="26C8461C"/>
    <w:rsid w:val="26EE5B38"/>
    <w:rsid w:val="26F22400"/>
    <w:rsid w:val="26F470CD"/>
    <w:rsid w:val="271B4612"/>
    <w:rsid w:val="27225A23"/>
    <w:rsid w:val="27520EF9"/>
    <w:rsid w:val="2753038A"/>
    <w:rsid w:val="276B7710"/>
    <w:rsid w:val="277B51EB"/>
    <w:rsid w:val="27867423"/>
    <w:rsid w:val="27897627"/>
    <w:rsid w:val="27D00F92"/>
    <w:rsid w:val="27DA0525"/>
    <w:rsid w:val="27F714D0"/>
    <w:rsid w:val="27FA5B95"/>
    <w:rsid w:val="28022433"/>
    <w:rsid w:val="28137B19"/>
    <w:rsid w:val="282969C9"/>
    <w:rsid w:val="282F096B"/>
    <w:rsid w:val="28350DE4"/>
    <w:rsid w:val="28551EE0"/>
    <w:rsid w:val="28BB57EB"/>
    <w:rsid w:val="290D4568"/>
    <w:rsid w:val="2915783B"/>
    <w:rsid w:val="292B19EC"/>
    <w:rsid w:val="293B74DB"/>
    <w:rsid w:val="295312BC"/>
    <w:rsid w:val="2971553E"/>
    <w:rsid w:val="297665B1"/>
    <w:rsid w:val="29B923EA"/>
    <w:rsid w:val="29D82DC8"/>
    <w:rsid w:val="29DB2856"/>
    <w:rsid w:val="2A3679BC"/>
    <w:rsid w:val="2A3B7601"/>
    <w:rsid w:val="2A667359"/>
    <w:rsid w:val="2A750617"/>
    <w:rsid w:val="2A7A79DB"/>
    <w:rsid w:val="2ABA24CE"/>
    <w:rsid w:val="2AC03D36"/>
    <w:rsid w:val="2AD7734B"/>
    <w:rsid w:val="2ADF1D9D"/>
    <w:rsid w:val="2AF14141"/>
    <w:rsid w:val="2AF53506"/>
    <w:rsid w:val="2B0A581E"/>
    <w:rsid w:val="2B0B1D57"/>
    <w:rsid w:val="2B177DCE"/>
    <w:rsid w:val="2B2362C5"/>
    <w:rsid w:val="2B2D7303"/>
    <w:rsid w:val="2B3D11DD"/>
    <w:rsid w:val="2B4C5CF9"/>
    <w:rsid w:val="2B5920B8"/>
    <w:rsid w:val="2B8A1EA0"/>
    <w:rsid w:val="2BA2543C"/>
    <w:rsid w:val="2BAA2542"/>
    <w:rsid w:val="2BCA5DAD"/>
    <w:rsid w:val="2BCC1090"/>
    <w:rsid w:val="2BDD46C6"/>
    <w:rsid w:val="2BEF61A7"/>
    <w:rsid w:val="2BF738BD"/>
    <w:rsid w:val="2C251BC9"/>
    <w:rsid w:val="2C26606D"/>
    <w:rsid w:val="2C322CE5"/>
    <w:rsid w:val="2C5A5D16"/>
    <w:rsid w:val="2C7F0500"/>
    <w:rsid w:val="2C967871"/>
    <w:rsid w:val="2CB43679"/>
    <w:rsid w:val="2CD51EEC"/>
    <w:rsid w:val="2CDA1D47"/>
    <w:rsid w:val="2D10499E"/>
    <w:rsid w:val="2D15393D"/>
    <w:rsid w:val="2D3E1194"/>
    <w:rsid w:val="2D4C3CE0"/>
    <w:rsid w:val="2D5770D8"/>
    <w:rsid w:val="2D732E94"/>
    <w:rsid w:val="2D932376"/>
    <w:rsid w:val="2DC97B2B"/>
    <w:rsid w:val="2DD31A23"/>
    <w:rsid w:val="2DEC191C"/>
    <w:rsid w:val="2E0221C2"/>
    <w:rsid w:val="2E5C5D76"/>
    <w:rsid w:val="2E7A5E37"/>
    <w:rsid w:val="2E7A61FC"/>
    <w:rsid w:val="2EAD150C"/>
    <w:rsid w:val="2EC14403"/>
    <w:rsid w:val="2EC45085"/>
    <w:rsid w:val="2F10271C"/>
    <w:rsid w:val="2F402024"/>
    <w:rsid w:val="2F61609B"/>
    <w:rsid w:val="2F7470EF"/>
    <w:rsid w:val="2F793DD9"/>
    <w:rsid w:val="2F923A19"/>
    <w:rsid w:val="2FBC6C5A"/>
    <w:rsid w:val="2FE41442"/>
    <w:rsid w:val="2FED6D35"/>
    <w:rsid w:val="301A4137"/>
    <w:rsid w:val="30347D23"/>
    <w:rsid w:val="3068545A"/>
    <w:rsid w:val="307C36FA"/>
    <w:rsid w:val="307D1FD3"/>
    <w:rsid w:val="307D2A5C"/>
    <w:rsid w:val="30EB1E14"/>
    <w:rsid w:val="313E79B5"/>
    <w:rsid w:val="314A4F02"/>
    <w:rsid w:val="316B1D43"/>
    <w:rsid w:val="317A53A8"/>
    <w:rsid w:val="319E66A5"/>
    <w:rsid w:val="31B44F8F"/>
    <w:rsid w:val="31B97B44"/>
    <w:rsid w:val="31C939C4"/>
    <w:rsid w:val="31CF1BE6"/>
    <w:rsid w:val="32004C6A"/>
    <w:rsid w:val="322272D6"/>
    <w:rsid w:val="323B0398"/>
    <w:rsid w:val="324C48A1"/>
    <w:rsid w:val="325C0BDA"/>
    <w:rsid w:val="3267118D"/>
    <w:rsid w:val="326D08D9"/>
    <w:rsid w:val="3275333C"/>
    <w:rsid w:val="32A36E6B"/>
    <w:rsid w:val="32AC6A32"/>
    <w:rsid w:val="32D0254E"/>
    <w:rsid w:val="32F77971"/>
    <w:rsid w:val="331210F9"/>
    <w:rsid w:val="33297D43"/>
    <w:rsid w:val="3341251D"/>
    <w:rsid w:val="336D3397"/>
    <w:rsid w:val="33700CD4"/>
    <w:rsid w:val="33811DDB"/>
    <w:rsid w:val="33CF6FEA"/>
    <w:rsid w:val="33D60378"/>
    <w:rsid w:val="34266E92"/>
    <w:rsid w:val="34324333"/>
    <w:rsid w:val="34795E8C"/>
    <w:rsid w:val="348F05CA"/>
    <w:rsid w:val="349D07B0"/>
    <w:rsid w:val="34DD74E5"/>
    <w:rsid w:val="34E37A56"/>
    <w:rsid w:val="35346CAC"/>
    <w:rsid w:val="353B09A0"/>
    <w:rsid w:val="354C01C6"/>
    <w:rsid w:val="35830745"/>
    <w:rsid w:val="35865833"/>
    <w:rsid w:val="359009FB"/>
    <w:rsid w:val="35BE10C4"/>
    <w:rsid w:val="35D01034"/>
    <w:rsid w:val="35EE1E51"/>
    <w:rsid w:val="35FA7F90"/>
    <w:rsid w:val="361A2073"/>
    <w:rsid w:val="365E6403"/>
    <w:rsid w:val="366156D0"/>
    <w:rsid w:val="36685CF0"/>
    <w:rsid w:val="36C7204F"/>
    <w:rsid w:val="36F755C7"/>
    <w:rsid w:val="3720190B"/>
    <w:rsid w:val="372C602D"/>
    <w:rsid w:val="37781C9F"/>
    <w:rsid w:val="37830680"/>
    <w:rsid w:val="378C0D4E"/>
    <w:rsid w:val="378E5399"/>
    <w:rsid w:val="37BE407E"/>
    <w:rsid w:val="37C2268E"/>
    <w:rsid w:val="37C27F0F"/>
    <w:rsid w:val="380D0AFB"/>
    <w:rsid w:val="381F5604"/>
    <w:rsid w:val="383564BA"/>
    <w:rsid w:val="38651BCF"/>
    <w:rsid w:val="3929260E"/>
    <w:rsid w:val="39363667"/>
    <w:rsid w:val="39495149"/>
    <w:rsid w:val="394C2823"/>
    <w:rsid w:val="39504729"/>
    <w:rsid w:val="3950587C"/>
    <w:rsid w:val="395D31FD"/>
    <w:rsid w:val="396777DF"/>
    <w:rsid w:val="396B1830"/>
    <w:rsid w:val="39873EC3"/>
    <w:rsid w:val="39B27192"/>
    <w:rsid w:val="39B90520"/>
    <w:rsid w:val="39BA6046"/>
    <w:rsid w:val="39C16A08"/>
    <w:rsid w:val="39C95C05"/>
    <w:rsid w:val="39E80792"/>
    <w:rsid w:val="39F77BE4"/>
    <w:rsid w:val="39F80C9A"/>
    <w:rsid w:val="3A1C0AAF"/>
    <w:rsid w:val="3A1C460B"/>
    <w:rsid w:val="3A357E2D"/>
    <w:rsid w:val="3A7727CD"/>
    <w:rsid w:val="3A79380C"/>
    <w:rsid w:val="3A931A1E"/>
    <w:rsid w:val="3B4007CD"/>
    <w:rsid w:val="3B497682"/>
    <w:rsid w:val="3B6045E9"/>
    <w:rsid w:val="3B654373"/>
    <w:rsid w:val="3B7721FE"/>
    <w:rsid w:val="3B7D3B4D"/>
    <w:rsid w:val="3BB8547D"/>
    <w:rsid w:val="3BCE5DD9"/>
    <w:rsid w:val="3BED2784"/>
    <w:rsid w:val="3BF51E1C"/>
    <w:rsid w:val="3C08668D"/>
    <w:rsid w:val="3C1329A9"/>
    <w:rsid w:val="3C194C77"/>
    <w:rsid w:val="3C320116"/>
    <w:rsid w:val="3C60135A"/>
    <w:rsid w:val="3C761FCB"/>
    <w:rsid w:val="3C7A0F4B"/>
    <w:rsid w:val="3C862362"/>
    <w:rsid w:val="3CC1149A"/>
    <w:rsid w:val="3CC20A2F"/>
    <w:rsid w:val="3CC82DB1"/>
    <w:rsid w:val="3CE8383B"/>
    <w:rsid w:val="3CEB2B51"/>
    <w:rsid w:val="3CEF1FA3"/>
    <w:rsid w:val="3CF40B0C"/>
    <w:rsid w:val="3CFC24D2"/>
    <w:rsid w:val="3D463FF4"/>
    <w:rsid w:val="3D507DBA"/>
    <w:rsid w:val="3D5567B2"/>
    <w:rsid w:val="3D6B6207"/>
    <w:rsid w:val="3D793B23"/>
    <w:rsid w:val="3D7C6A3A"/>
    <w:rsid w:val="3D891FB8"/>
    <w:rsid w:val="3D8F7BCA"/>
    <w:rsid w:val="3DA23079"/>
    <w:rsid w:val="3DBA6615"/>
    <w:rsid w:val="3DBB413B"/>
    <w:rsid w:val="3DD376D7"/>
    <w:rsid w:val="3E047CEE"/>
    <w:rsid w:val="3E285C74"/>
    <w:rsid w:val="3E294501"/>
    <w:rsid w:val="3E294DBF"/>
    <w:rsid w:val="3E4E3201"/>
    <w:rsid w:val="3E5A1BA6"/>
    <w:rsid w:val="3E6C490B"/>
    <w:rsid w:val="3E8403B9"/>
    <w:rsid w:val="3E8409D1"/>
    <w:rsid w:val="3EB76FF8"/>
    <w:rsid w:val="3EBB30A6"/>
    <w:rsid w:val="3EC77396"/>
    <w:rsid w:val="3ECB6600"/>
    <w:rsid w:val="3ED50C7B"/>
    <w:rsid w:val="3ED6123E"/>
    <w:rsid w:val="3ED656D0"/>
    <w:rsid w:val="3EF03617"/>
    <w:rsid w:val="3EF9316D"/>
    <w:rsid w:val="3F081BB2"/>
    <w:rsid w:val="3F3423F7"/>
    <w:rsid w:val="3F4F586A"/>
    <w:rsid w:val="3F8327DC"/>
    <w:rsid w:val="3F8C3FE1"/>
    <w:rsid w:val="3F8E5FAB"/>
    <w:rsid w:val="3F9F4A2D"/>
    <w:rsid w:val="3FA45105"/>
    <w:rsid w:val="3FAD1E21"/>
    <w:rsid w:val="3FAD3F2A"/>
    <w:rsid w:val="3FD17C46"/>
    <w:rsid w:val="3FD31402"/>
    <w:rsid w:val="3FFB2F15"/>
    <w:rsid w:val="40477F08"/>
    <w:rsid w:val="405522F8"/>
    <w:rsid w:val="408F561E"/>
    <w:rsid w:val="4090365D"/>
    <w:rsid w:val="409B4AFE"/>
    <w:rsid w:val="409D2E0B"/>
    <w:rsid w:val="40A37834"/>
    <w:rsid w:val="40B03CFF"/>
    <w:rsid w:val="40C02A49"/>
    <w:rsid w:val="40C6655A"/>
    <w:rsid w:val="411C1395"/>
    <w:rsid w:val="412F10C8"/>
    <w:rsid w:val="413D1610"/>
    <w:rsid w:val="41666E60"/>
    <w:rsid w:val="416C01C0"/>
    <w:rsid w:val="416D012D"/>
    <w:rsid w:val="419D5840"/>
    <w:rsid w:val="41C92A42"/>
    <w:rsid w:val="41D8350E"/>
    <w:rsid w:val="41FE1996"/>
    <w:rsid w:val="420144F6"/>
    <w:rsid w:val="424C451D"/>
    <w:rsid w:val="425C4F23"/>
    <w:rsid w:val="425C6F5E"/>
    <w:rsid w:val="427C0176"/>
    <w:rsid w:val="428321E8"/>
    <w:rsid w:val="42876CE2"/>
    <w:rsid w:val="429E63C6"/>
    <w:rsid w:val="42BD5080"/>
    <w:rsid w:val="430E44A8"/>
    <w:rsid w:val="43145F37"/>
    <w:rsid w:val="43191540"/>
    <w:rsid w:val="434C41B3"/>
    <w:rsid w:val="43A806C0"/>
    <w:rsid w:val="43C17374"/>
    <w:rsid w:val="43CF6DE7"/>
    <w:rsid w:val="43D30430"/>
    <w:rsid w:val="43E511A3"/>
    <w:rsid w:val="43EC0FB3"/>
    <w:rsid w:val="44042918"/>
    <w:rsid w:val="444F05C1"/>
    <w:rsid w:val="44521FDF"/>
    <w:rsid w:val="447A1126"/>
    <w:rsid w:val="448031DF"/>
    <w:rsid w:val="448536D9"/>
    <w:rsid w:val="4491682C"/>
    <w:rsid w:val="449675BE"/>
    <w:rsid w:val="44982BA2"/>
    <w:rsid w:val="44B6565C"/>
    <w:rsid w:val="44F23662"/>
    <w:rsid w:val="44F57BCE"/>
    <w:rsid w:val="451203DC"/>
    <w:rsid w:val="45154A79"/>
    <w:rsid w:val="451C58E6"/>
    <w:rsid w:val="456A0530"/>
    <w:rsid w:val="456D2BB8"/>
    <w:rsid w:val="456D554A"/>
    <w:rsid w:val="45795008"/>
    <w:rsid w:val="45841897"/>
    <w:rsid w:val="458E5FA2"/>
    <w:rsid w:val="459578A3"/>
    <w:rsid w:val="45A30F67"/>
    <w:rsid w:val="45C10D70"/>
    <w:rsid w:val="45DA2D97"/>
    <w:rsid w:val="45DB35CC"/>
    <w:rsid w:val="45E624DF"/>
    <w:rsid w:val="46342CDD"/>
    <w:rsid w:val="46347164"/>
    <w:rsid w:val="464130C1"/>
    <w:rsid w:val="46B93068"/>
    <w:rsid w:val="46C422B2"/>
    <w:rsid w:val="46C44060"/>
    <w:rsid w:val="471054F8"/>
    <w:rsid w:val="473B5AF9"/>
    <w:rsid w:val="473C62ED"/>
    <w:rsid w:val="4758493F"/>
    <w:rsid w:val="4783158D"/>
    <w:rsid w:val="47BA4CFD"/>
    <w:rsid w:val="47BD295D"/>
    <w:rsid w:val="47E04A60"/>
    <w:rsid w:val="47F21E53"/>
    <w:rsid w:val="48231874"/>
    <w:rsid w:val="482F37F3"/>
    <w:rsid w:val="48364911"/>
    <w:rsid w:val="48603B53"/>
    <w:rsid w:val="48A352F2"/>
    <w:rsid w:val="48A77517"/>
    <w:rsid w:val="48F81C9E"/>
    <w:rsid w:val="48FC4CE4"/>
    <w:rsid w:val="49082AA9"/>
    <w:rsid w:val="492334DC"/>
    <w:rsid w:val="49527AA5"/>
    <w:rsid w:val="498E53FA"/>
    <w:rsid w:val="499A554C"/>
    <w:rsid w:val="49A54C47"/>
    <w:rsid w:val="49AD702E"/>
    <w:rsid w:val="49B20AE8"/>
    <w:rsid w:val="49B74350"/>
    <w:rsid w:val="49CE00ED"/>
    <w:rsid w:val="49F0775D"/>
    <w:rsid w:val="4A347F90"/>
    <w:rsid w:val="4A4200BE"/>
    <w:rsid w:val="4A564D3D"/>
    <w:rsid w:val="4A5A5A80"/>
    <w:rsid w:val="4A622934"/>
    <w:rsid w:val="4A74000B"/>
    <w:rsid w:val="4A9265AB"/>
    <w:rsid w:val="4A960E2E"/>
    <w:rsid w:val="4AA555E3"/>
    <w:rsid w:val="4AD11C6E"/>
    <w:rsid w:val="4AE2733A"/>
    <w:rsid w:val="4B1732F9"/>
    <w:rsid w:val="4B3475A6"/>
    <w:rsid w:val="4B452887"/>
    <w:rsid w:val="4B46773A"/>
    <w:rsid w:val="4B5300A9"/>
    <w:rsid w:val="4B747717"/>
    <w:rsid w:val="4B7A2A82"/>
    <w:rsid w:val="4B863FDA"/>
    <w:rsid w:val="4BB6355F"/>
    <w:rsid w:val="4BBC5403"/>
    <w:rsid w:val="4BDA4C17"/>
    <w:rsid w:val="4BDD2E40"/>
    <w:rsid w:val="4BDF1A98"/>
    <w:rsid w:val="4BEB0423"/>
    <w:rsid w:val="4BEB5EDF"/>
    <w:rsid w:val="4BF25F94"/>
    <w:rsid w:val="4BF436C9"/>
    <w:rsid w:val="4C1415E6"/>
    <w:rsid w:val="4C262242"/>
    <w:rsid w:val="4C292FB7"/>
    <w:rsid w:val="4C3063D7"/>
    <w:rsid w:val="4C410343"/>
    <w:rsid w:val="4C5243A3"/>
    <w:rsid w:val="4C6068FA"/>
    <w:rsid w:val="4C6B24D1"/>
    <w:rsid w:val="4C7C5ED4"/>
    <w:rsid w:val="4C83676C"/>
    <w:rsid w:val="4C87000A"/>
    <w:rsid w:val="4C9B6BCF"/>
    <w:rsid w:val="4CA55BFE"/>
    <w:rsid w:val="4CAD5011"/>
    <w:rsid w:val="4CCB5EA5"/>
    <w:rsid w:val="4CF65190"/>
    <w:rsid w:val="4D030417"/>
    <w:rsid w:val="4D317F76"/>
    <w:rsid w:val="4D3F2693"/>
    <w:rsid w:val="4D6E2A9A"/>
    <w:rsid w:val="4D73233C"/>
    <w:rsid w:val="4D782813"/>
    <w:rsid w:val="4D894FFF"/>
    <w:rsid w:val="4D8F21AB"/>
    <w:rsid w:val="4DA93FB0"/>
    <w:rsid w:val="4DDC1B6E"/>
    <w:rsid w:val="4E365EBA"/>
    <w:rsid w:val="4E493012"/>
    <w:rsid w:val="4E4E31AC"/>
    <w:rsid w:val="4E5168ED"/>
    <w:rsid w:val="4E56283B"/>
    <w:rsid w:val="4E726A98"/>
    <w:rsid w:val="4E743E46"/>
    <w:rsid w:val="4E9915B0"/>
    <w:rsid w:val="4E9A2CD0"/>
    <w:rsid w:val="4ECC0B5C"/>
    <w:rsid w:val="4ED86D93"/>
    <w:rsid w:val="4EE43F07"/>
    <w:rsid w:val="4F3124AF"/>
    <w:rsid w:val="4F47493D"/>
    <w:rsid w:val="4F4A32CC"/>
    <w:rsid w:val="4F600C2E"/>
    <w:rsid w:val="4F644633"/>
    <w:rsid w:val="4F767BF0"/>
    <w:rsid w:val="4F9B5B7A"/>
    <w:rsid w:val="4FAF1DDA"/>
    <w:rsid w:val="4FB235F0"/>
    <w:rsid w:val="4FBF5D0D"/>
    <w:rsid w:val="4FD25A40"/>
    <w:rsid w:val="4FDC066D"/>
    <w:rsid w:val="4FE70DC0"/>
    <w:rsid w:val="50061FBE"/>
    <w:rsid w:val="50274D02"/>
    <w:rsid w:val="50324731"/>
    <w:rsid w:val="50406E4E"/>
    <w:rsid w:val="50487AB0"/>
    <w:rsid w:val="50577CF3"/>
    <w:rsid w:val="505C7F2D"/>
    <w:rsid w:val="50641485"/>
    <w:rsid w:val="50AD2009"/>
    <w:rsid w:val="50B138A7"/>
    <w:rsid w:val="50CD4459"/>
    <w:rsid w:val="50EC4999"/>
    <w:rsid w:val="51136310"/>
    <w:rsid w:val="51185252"/>
    <w:rsid w:val="514642BB"/>
    <w:rsid w:val="51573990"/>
    <w:rsid w:val="515D3A2F"/>
    <w:rsid w:val="515E6E0C"/>
    <w:rsid w:val="51917235"/>
    <w:rsid w:val="51A00668"/>
    <w:rsid w:val="521855F1"/>
    <w:rsid w:val="521A1920"/>
    <w:rsid w:val="52382532"/>
    <w:rsid w:val="525A1D1D"/>
    <w:rsid w:val="52692C4E"/>
    <w:rsid w:val="527C7CEA"/>
    <w:rsid w:val="529B37EE"/>
    <w:rsid w:val="529E401E"/>
    <w:rsid w:val="52C46194"/>
    <w:rsid w:val="52C8137C"/>
    <w:rsid w:val="52DC6BD6"/>
    <w:rsid w:val="53065190"/>
    <w:rsid w:val="53193986"/>
    <w:rsid w:val="533C6BFD"/>
    <w:rsid w:val="53411CCF"/>
    <w:rsid w:val="536D6D3B"/>
    <w:rsid w:val="53742406"/>
    <w:rsid w:val="53817C44"/>
    <w:rsid w:val="538E3C1A"/>
    <w:rsid w:val="53A63F80"/>
    <w:rsid w:val="53B63678"/>
    <w:rsid w:val="53BC24C4"/>
    <w:rsid w:val="53CE651E"/>
    <w:rsid w:val="53DC68B8"/>
    <w:rsid w:val="53EA7EAE"/>
    <w:rsid w:val="53F934C0"/>
    <w:rsid w:val="541B7496"/>
    <w:rsid w:val="54564958"/>
    <w:rsid w:val="547B2582"/>
    <w:rsid w:val="54901D38"/>
    <w:rsid w:val="54953EAB"/>
    <w:rsid w:val="54C3746B"/>
    <w:rsid w:val="54C47FDD"/>
    <w:rsid w:val="54E05BFB"/>
    <w:rsid w:val="55402184"/>
    <w:rsid w:val="55492338"/>
    <w:rsid w:val="55516C81"/>
    <w:rsid w:val="55652EB2"/>
    <w:rsid w:val="556C6C12"/>
    <w:rsid w:val="55733821"/>
    <w:rsid w:val="55833339"/>
    <w:rsid w:val="55855303"/>
    <w:rsid w:val="55994ED3"/>
    <w:rsid w:val="55E64AA2"/>
    <w:rsid w:val="56024BA5"/>
    <w:rsid w:val="56355CE7"/>
    <w:rsid w:val="5689160E"/>
    <w:rsid w:val="56955C0E"/>
    <w:rsid w:val="56A42320"/>
    <w:rsid w:val="56BC618B"/>
    <w:rsid w:val="56BC6B02"/>
    <w:rsid w:val="56C55E54"/>
    <w:rsid w:val="56C62F6E"/>
    <w:rsid w:val="56E83B25"/>
    <w:rsid w:val="57034731"/>
    <w:rsid w:val="5726133B"/>
    <w:rsid w:val="57482A8C"/>
    <w:rsid w:val="576D6A1E"/>
    <w:rsid w:val="578137B9"/>
    <w:rsid w:val="57B26E8E"/>
    <w:rsid w:val="57C739B1"/>
    <w:rsid w:val="57FB365A"/>
    <w:rsid w:val="580E1D6A"/>
    <w:rsid w:val="5813056E"/>
    <w:rsid w:val="581C3C86"/>
    <w:rsid w:val="585E4E02"/>
    <w:rsid w:val="58B35AC8"/>
    <w:rsid w:val="58C03F2E"/>
    <w:rsid w:val="58FC3501"/>
    <w:rsid w:val="591C7D2C"/>
    <w:rsid w:val="59340209"/>
    <w:rsid w:val="59351607"/>
    <w:rsid w:val="5939268C"/>
    <w:rsid w:val="59576A84"/>
    <w:rsid w:val="5960230F"/>
    <w:rsid w:val="59613991"/>
    <w:rsid w:val="596C01DD"/>
    <w:rsid w:val="597275C0"/>
    <w:rsid w:val="59A11816"/>
    <w:rsid w:val="59E76564"/>
    <w:rsid w:val="59EE791A"/>
    <w:rsid w:val="5A1334AA"/>
    <w:rsid w:val="5A2C7950"/>
    <w:rsid w:val="5A2D00B4"/>
    <w:rsid w:val="5A572F81"/>
    <w:rsid w:val="5A6D3FB0"/>
    <w:rsid w:val="5A7B1324"/>
    <w:rsid w:val="5A9665CB"/>
    <w:rsid w:val="5A9C7376"/>
    <w:rsid w:val="5AA61FA3"/>
    <w:rsid w:val="5ACC69D3"/>
    <w:rsid w:val="5AD034B0"/>
    <w:rsid w:val="5AD3594A"/>
    <w:rsid w:val="5AE058B6"/>
    <w:rsid w:val="5AFF3461"/>
    <w:rsid w:val="5B013FFE"/>
    <w:rsid w:val="5B04199C"/>
    <w:rsid w:val="5B3C13B7"/>
    <w:rsid w:val="5B4E3743"/>
    <w:rsid w:val="5B5774F6"/>
    <w:rsid w:val="5BC86DE0"/>
    <w:rsid w:val="5BE0337F"/>
    <w:rsid w:val="5BE334BC"/>
    <w:rsid w:val="5C060B77"/>
    <w:rsid w:val="5C336BC5"/>
    <w:rsid w:val="5C3D6937"/>
    <w:rsid w:val="5C407EBF"/>
    <w:rsid w:val="5C606182"/>
    <w:rsid w:val="5C741C2D"/>
    <w:rsid w:val="5C771C2B"/>
    <w:rsid w:val="5C797D48"/>
    <w:rsid w:val="5C86423C"/>
    <w:rsid w:val="5C9476E3"/>
    <w:rsid w:val="5CB64EF7"/>
    <w:rsid w:val="5CBB0698"/>
    <w:rsid w:val="5CD771D0"/>
    <w:rsid w:val="5CEC4AF6"/>
    <w:rsid w:val="5D184CAE"/>
    <w:rsid w:val="5D1C36CA"/>
    <w:rsid w:val="5D6808D9"/>
    <w:rsid w:val="5D722B65"/>
    <w:rsid w:val="5D8559A9"/>
    <w:rsid w:val="5DA737AB"/>
    <w:rsid w:val="5DD30284"/>
    <w:rsid w:val="5DDB3802"/>
    <w:rsid w:val="5DDE74C3"/>
    <w:rsid w:val="5DEF3C61"/>
    <w:rsid w:val="5E0C4813"/>
    <w:rsid w:val="5E20206C"/>
    <w:rsid w:val="5E591A42"/>
    <w:rsid w:val="5E9345EC"/>
    <w:rsid w:val="5EA52572"/>
    <w:rsid w:val="5EAA0A9E"/>
    <w:rsid w:val="5EAF23C4"/>
    <w:rsid w:val="5EB933E6"/>
    <w:rsid w:val="5EDA03DE"/>
    <w:rsid w:val="5F0609A9"/>
    <w:rsid w:val="5F1C0A86"/>
    <w:rsid w:val="5F2540C3"/>
    <w:rsid w:val="5F261904"/>
    <w:rsid w:val="5F420DD1"/>
    <w:rsid w:val="5F9E4BFD"/>
    <w:rsid w:val="5FB40A21"/>
    <w:rsid w:val="5FD131B5"/>
    <w:rsid w:val="5FD44EBD"/>
    <w:rsid w:val="600973D9"/>
    <w:rsid w:val="600C30B8"/>
    <w:rsid w:val="60172FFB"/>
    <w:rsid w:val="60196D73"/>
    <w:rsid w:val="60362E3C"/>
    <w:rsid w:val="605F3033"/>
    <w:rsid w:val="609A3353"/>
    <w:rsid w:val="60A85A6E"/>
    <w:rsid w:val="60BF02B8"/>
    <w:rsid w:val="60C018E5"/>
    <w:rsid w:val="60D854B9"/>
    <w:rsid w:val="60DE4BDB"/>
    <w:rsid w:val="60E2224F"/>
    <w:rsid w:val="61134759"/>
    <w:rsid w:val="614405A5"/>
    <w:rsid w:val="61480611"/>
    <w:rsid w:val="61557341"/>
    <w:rsid w:val="61880C9C"/>
    <w:rsid w:val="61967449"/>
    <w:rsid w:val="61AB2550"/>
    <w:rsid w:val="61B054B5"/>
    <w:rsid w:val="61C10272"/>
    <w:rsid w:val="61D83B07"/>
    <w:rsid w:val="61F71336"/>
    <w:rsid w:val="62026685"/>
    <w:rsid w:val="62097C76"/>
    <w:rsid w:val="62126170"/>
    <w:rsid w:val="62234B37"/>
    <w:rsid w:val="622639C9"/>
    <w:rsid w:val="62601A09"/>
    <w:rsid w:val="626A7E25"/>
    <w:rsid w:val="62840A39"/>
    <w:rsid w:val="62BA5DDC"/>
    <w:rsid w:val="62CD4529"/>
    <w:rsid w:val="62E77A80"/>
    <w:rsid w:val="62FF0C08"/>
    <w:rsid w:val="63002F69"/>
    <w:rsid w:val="63051831"/>
    <w:rsid w:val="632A606F"/>
    <w:rsid w:val="632F4CB2"/>
    <w:rsid w:val="633C1C08"/>
    <w:rsid w:val="6343056E"/>
    <w:rsid w:val="635421BD"/>
    <w:rsid w:val="63556314"/>
    <w:rsid w:val="636179CD"/>
    <w:rsid w:val="63BD58EA"/>
    <w:rsid w:val="63DD33AA"/>
    <w:rsid w:val="63E63410"/>
    <w:rsid w:val="63F675B5"/>
    <w:rsid w:val="640F0BB9"/>
    <w:rsid w:val="640F2A3F"/>
    <w:rsid w:val="642A2423"/>
    <w:rsid w:val="643E6BC1"/>
    <w:rsid w:val="64417DA8"/>
    <w:rsid w:val="64587FD2"/>
    <w:rsid w:val="64AF5EF8"/>
    <w:rsid w:val="650321AD"/>
    <w:rsid w:val="650C2B98"/>
    <w:rsid w:val="65274F9D"/>
    <w:rsid w:val="653308D7"/>
    <w:rsid w:val="654B2510"/>
    <w:rsid w:val="655B1BCC"/>
    <w:rsid w:val="65622F6B"/>
    <w:rsid w:val="657555B7"/>
    <w:rsid w:val="657F1D6E"/>
    <w:rsid w:val="65A215B9"/>
    <w:rsid w:val="65B06E9D"/>
    <w:rsid w:val="65D87D0A"/>
    <w:rsid w:val="65DA48B9"/>
    <w:rsid w:val="65E0431F"/>
    <w:rsid w:val="65F16189"/>
    <w:rsid w:val="65FA5357"/>
    <w:rsid w:val="66140709"/>
    <w:rsid w:val="664D10C7"/>
    <w:rsid w:val="66616073"/>
    <w:rsid w:val="666920D7"/>
    <w:rsid w:val="667119CA"/>
    <w:rsid w:val="66AA4BC9"/>
    <w:rsid w:val="66C016C6"/>
    <w:rsid w:val="67541BF9"/>
    <w:rsid w:val="675A68D3"/>
    <w:rsid w:val="67677C61"/>
    <w:rsid w:val="676F7BC1"/>
    <w:rsid w:val="678777BE"/>
    <w:rsid w:val="678C2521"/>
    <w:rsid w:val="679F1744"/>
    <w:rsid w:val="67C258DC"/>
    <w:rsid w:val="67D7784A"/>
    <w:rsid w:val="67E52D51"/>
    <w:rsid w:val="67EB2552"/>
    <w:rsid w:val="67EC6572"/>
    <w:rsid w:val="67F86E79"/>
    <w:rsid w:val="68254F50"/>
    <w:rsid w:val="68264723"/>
    <w:rsid w:val="6852337A"/>
    <w:rsid w:val="686B4693"/>
    <w:rsid w:val="686B482C"/>
    <w:rsid w:val="68855C6D"/>
    <w:rsid w:val="68A72A50"/>
    <w:rsid w:val="68F17085"/>
    <w:rsid w:val="69015896"/>
    <w:rsid w:val="69074555"/>
    <w:rsid w:val="692E2CB4"/>
    <w:rsid w:val="69322DA6"/>
    <w:rsid w:val="69685B5B"/>
    <w:rsid w:val="696C71F7"/>
    <w:rsid w:val="697670FA"/>
    <w:rsid w:val="69831701"/>
    <w:rsid w:val="69885DDA"/>
    <w:rsid w:val="69977A9B"/>
    <w:rsid w:val="699A391B"/>
    <w:rsid w:val="69B813AB"/>
    <w:rsid w:val="69DA7573"/>
    <w:rsid w:val="69E8281B"/>
    <w:rsid w:val="69F3799D"/>
    <w:rsid w:val="69F85C4B"/>
    <w:rsid w:val="69FC1BE0"/>
    <w:rsid w:val="69FD3262"/>
    <w:rsid w:val="69FF522C"/>
    <w:rsid w:val="6A1C5DDE"/>
    <w:rsid w:val="6A2B6021"/>
    <w:rsid w:val="6A486BD3"/>
    <w:rsid w:val="6A4E61B3"/>
    <w:rsid w:val="6A4E7F61"/>
    <w:rsid w:val="6A505A87"/>
    <w:rsid w:val="6A8207A6"/>
    <w:rsid w:val="6A9212D6"/>
    <w:rsid w:val="6A963105"/>
    <w:rsid w:val="6AD4717B"/>
    <w:rsid w:val="6AE82164"/>
    <w:rsid w:val="6AFC79BD"/>
    <w:rsid w:val="6B1742BC"/>
    <w:rsid w:val="6B240DE5"/>
    <w:rsid w:val="6B42775E"/>
    <w:rsid w:val="6B454EC0"/>
    <w:rsid w:val="6B4D3B92"/>
    <w:rsid w:val="6B56329B"/>
    <w:rsid w:val="6B634EB9"/>
    <w:rsid w:val="6B7105BF"/>
    <w:rsid w:val="6B7B7960"/>
    <w:rsid w:val="6B7E07B9"/>
    <w:rsid w:val="6B8A2F2D"/>
    <w:rsid w:val="6B8A4FC9"/>
    <w:rsid w:val="6BA45610"/>
    <w:rsid w:val="6BB12E5B"/>
    <w:rsid w:val="6C1136CF"/>
    <w:rsid w:val="6C345A2D"/>
    <w:rsid w:val="6C3E778F"/>
    <w:rsid w:val="6C67544D"/>
    <w:rsid w:val="6C730DBA"/>
    <w:rsid w:val="6C7C0DB6"/>
    <w:rsid w:val="6C822881"/>
    <w:rsid w:val="6C9A5765"/>
    <w:rsid w:val="6CA51590"/>
    <w:rsid w:val="6CAE2105"/>
    <w:rsid w:val="6CBC11B2"/>
    <w:rsid w:val="6CD91ACD"/>
    <w:rsid w:val="6CE632A0"/>
    <w:rsid w:val="6CF11BC7"/>
    <w:rsid w:val="6D0736EB"/>
    <w:rsid w:val="6D181284"/>
    <w:rsid w:val="6D5953BC"/>
    <w:rsid w:val="6D664854"/>
    <w:rsid w:val="6D777539"/>
    <w:rsid w:val="6D8754F4"/>
    <w:rsid w:val="6DC93584"/>
    <w:rsid w:val="6DCE5641"/>
    <w:rsid w:val="6E026A1B"/>
    <w:rsid w:val="6E14017F"/>
    <w:rsid w:val="6E1D3ED3"/>
    <w:rsid w:val="6E5031D3"/>
    <w:rsid w:val="6EA41261"/>
    <w:rsid w:val="6ECD3B4B"/>
    <w:rsid w:val="6F0B0CDB"/>
    <w:rsid w:val="6F183550"/>
    <w:rsid w:val="6F400286"/>
    <w:rsid w:val="6F6E4AFF"/>
    <w:rsid w:val="6F9F044F"/>
    <w:rsid w:val="6FCD1928"/>
    <w:rsid w:val="7017608F"/>
    <w:rsid w:val="704D11EE"/>
    <w:rsid w:val="705A0CD1"/>
    <w:rsid w:val="709D579F"/>
    <w:rsid w:val="709D5DCF"/>
    <w:rsid w:val="70A36C70"/>
    <w:rsid w:val="70A729E1"/>
    <w:rsid w:val="70AD2E48"/>
    <w:rsid w:val="70E62CA2"/>
    <w:rsid w:val="70F01D72"/>
    <w:rsid w:val="711638AA"/>
    <w:rsid w:val="71502B75"/>
    <w:rsid w:val="717B788E"/>
    <w:rsid w:val="719B1CDE"/>
    <w:rsid w:val="71A87F57"/>
    <w:rsid w:val="71AA3CCF"/>
    <w:rsid w:val="71B3150E"/>
    <w:rsid w:val="71E62D3B"/>
    <w:rsid w:val="71EE1295"/>
    <w:rsid w:val="71FD02E7"/>
    <w:rsid w:val="720A6E64"/>
    <w:rsid w:val="722C0B88"/>
    <w:rsid w:val="722E2EA9"/>
    <w:rsid w:val="729A1F96"/>
    <w:rsid w:val="729B5374"/>
    <w:rsid w:val="72CF071D"/>
    <w:rsid w:val="72D2048F"/>
    <w:rsid w:val="73374B7F"/>
    <w:rsid w:val="73402BC5"/>
    <w:rsid w:val="73497518"/>
    <w:rsid w:val="737A34D9"/>
    <w:rsid w:val="738C2151"/>
    <w:rsid w:val="738D5998"/>
    <w:rsid w:val="739710DE"/>
    <w:rsid w:val="73972979"/>
    <w:rsid w:val="739A1AFC"/>
    <w:rsid w:val="73A26DEB"/>
    <w:rsid w:val="73B806BE"/>
    <w:rsid w:val="73E6120B"/>
    <w:rsid w:val="73FB2F08"/>
    <w:rsid w:val="741D55BA"/>
    <w:rsid w:val="742E508B"/>
    <w:rsid w:val="743106D8"/>
    <w:rsid w:val="74354239"/>
    <w:rsid w:val="74366D94"/>
    <w:rsid w:val="744D473B"/>
    <w:rsid w:val="74513AF1"/>
    <w:rsid w:val="746B3CAF"/>
    <w:rsid w:val="74754750"/>
    <w:rsid w:val="74C20ECB"/>
    <w:rsid w:val="74D70265"/>
    <w:rsid w:val="74E90FB2"/>
    <w:rsid w:val="74FF4475"/>
    <w:rsid w:val="7501218E"/>
    <w:rsid w:val="754937FF"/>
    <w:rsid w:val="757232B9"/>
    <w:rsid w:val="757D9334"/>
    <w:rsid w:val="7580174E"/>
    <w:rsid w:val="75AA747B"/>
    <w:rsid w:val="75B07D22"/>
    <w:rsid w:val="75D54D59"/>
    <w:rsid w:val="75D56130"/>
    <w:rsid w:val="76037E52"/>
    <w:rsid w:val="761738FD"/>
    <w:rsid w:val="761C26EA"/>
    <w:rsid w:val="762754E7"/>
    <w:rsid w:val="763C24E0"/>
    <w:rsid w:val="7641097A"/>
    <w:rsid w:val="7654267A"/>
    <w:rsid w:val="7662793F"/>
    <w:rsid w:val="7671125F"/>
    <w:rsid w:val="76760624"/>
    <w:rsid w:val="76930D8F"/>
    <w:rsid w:val="76CF5F86"/>
    <w:rsid w:val="76DA3215"/>
    <w:rsid w:val="76EE0B02"/>
    <w:rsid w:val="76F52177"/>
    <w:rsid w:val="775001F8"/>
    <w:rsid w:val="7755292F"/>
    <w:rsid w:val="77582649"/>
    <w:rsid w:val="77644784"/>
    <w:rsid w:val="77676A05"/>
    <w:rsid w:val="77710016"/>
    <w:rsid w:val="77853D80"/>
    <w:rsid w:val="7791148D"/>
    <w:rsid w:val="77DB4757"/>
    <w:rsid w:val="77DB72D8"/>
    <w:rsid w:val="77DE2925"/>
    <w:rsid w:val="781D017E"/>
    <w:rsid w:val="78281DF2"/>
    <w:rsid w:val="78463590"/>
    <w:rsid w:val="788D3082"/>
    <w:rsid w:val="78BA4BE3"/>
    <w:rsid w:val="78D0322B"/>
    <w:rsid w:val="78FE2225"/>
    <w:rsid w:val="79174419"/>
    <w:rsid w:val="793B3DA7"/>
    <w:rsid w:val="796F00A6"/>
    <w:rsid w:val="7977420F"/>
    <w:rsid w:val="79AE2763"/>
    <w:rsid w:val="79E306C6"/>
    <w:rsid w:val="7A0C3669"/>
    <w:rsid w:val="7A30210C"/>
    <w:rsid w:val="7A527C0D"/>
    <w:rsid w:val="7A8B2B63"/>
    <w:rsid w:val="7A911CDB"/>
    <w:rsid w:val="7A9D69F8"/>
    <w:rsid w:val="7A9E45ED"/>
    <w:rsid w:val="7AAB68AA"/>
    <w:rsid w:val="7AC93465"/>
    <w:rsid w:val="7ACC5AD7"/>
    <w:rsid w:val="7AF23B57"/>
    <w:rsid w:val="7AF84C48"/>
    <w:rsid w:val="7B106671"/>
    <w:rsid w:val="7B347AFD"/>
    <w:rsid w:val="7B9E40C9"/>
    <w:rsid w:val="7BA10A40"/>
    <w:rsid w:val="7BED0375"/>
    <w:rsid w:val="7BF605D5"/>
    <w:rsid w:val="7C2E7969"/>
    <w:rsid w:val="7C5036C5"/>
    <w:rsid w:val="7C514D70"/>
    <w:rsid w:val="7C711F43"/>
    <w:rsid w:val="7C7C4DF9"/>
    <w:rsid w:val="7C7E46D6"/>
    <w:rsid w:val="7C864AF6"/>
    <w:rsid w:val="7CB665FC"/>
    <w:rsid w:val="7CB84E88"/>
    <w:rsid w:val="7CCF0A8E"/>
    <w:rsid w:val="7CCF6945"/>
    <w:rsid w:val="7CE80EC9"/>
    <w:rsid w:val="7CF1325B"/>
    <w:rsid w:val="7D575A72"/>
    <w:rsid w:val="7D5D1E07"/>
    <w:rsid w:val="7D7B6E68"/>
    <w:rsid w:val="7DA33863"/>
    <w:rsid w:val="7DAA43E4"/>
    <w:rsid w:val="7DEA1ACC"/>
    <w:rsid w:val="7DF05160"/>
    <w:rsid w:val="7DFA3259"/>
    <w:rsid w:val="7DFD061C"/>
    <w:rsid w:val="7E0D5D12"/>
    <w:rsid w:val="7E32455A"/>
    <w:rsid w:val="7E3A2EEA"/>
    <w:rsid w:val="7E7E048E"/>
    <w:rsid w:val="7E7E276B"/>
    <w:rsid w:val="7E903C73"/>
    <w:rsid w:val="7E9B4050"/>
    <w:rsid w:val="7EAC5AF2"/>
    <w:rsid w:val="7EB643A4"/>
    <w:rsid w:val="7EDB2536"/>
    <w:rsid w:val="7EE5287C"/>
    <w:rsid w:val="7EF6285C"/>
    <w:rsid w:val="7F0245CE"/>
    <w:rsid w:val="7F055A88"/>
    <w:rsid w:val="7F0A49F2"/>
    <w:rsid w:val="7F146331"/>
    <w:rsid w:val="7F4C286A"/>
    <w:rsid w:val="7F777854"/>
    <w:rsid w:val="7F846928"/>
    <w:rsid w:val="7F89761A"/>
    <w:rsid w:val="7F8E5C58"/>
    <w:rsid w:val="7F934D2E"/>
    <w:rsid w:val="7F9D30C5"/>
    <w:rsid w:val="7FBF27D5"/>
    <w:rsid w:val="7FDA1469"/>
    <w:rsid w:val="ABFF1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6"/>
    <w:qFormat/>
    <w:uiPriority w:val="0"/>
    <w:pPr>
      <w:widowControl w:val="0"/>
      <w:spacing w:line="360" w:lineRule="auto"/>
      <w:ind w:firstLine="669" w:firstLineChars="15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jc w:val="center"/>
      <w:outlineLvl w:val="0"/>
    </w:pPr>
    <w:rPr>
      <w:rFonts w:ascii="楷体_GB2312" w:eastAsia="楷体_GB2312"/>
      <w:b/>
      <w:bCs/>
    </w:rPr>
  </w:style>
  <w:style w:type="paragraph" w:styleId="5">
    <w:name w:val="heading 2"/>
    <w:basedOn w:val="1"/>
    <w:next w:val="1"/>
    <w:unhideWhenUsed/>
    <w:qFormat/>
    <w:uiPriority w:val="0"/>
    <w:pPr>
      <w:keepNext/>
      <w:keepLines/>
      <w:numPr>
        <w:ilvl w:val="1"/>
        <w:numId w:val="1"/>
      </w:numPr>
      <w:jc w:val="left"/>
      <w:outlineLvl w:val="1"/>
    </w:pPr>
    <w:rPr>
      <w:rFonts w:ascii="宋体" w:hAnsi="宋体" w:cstheme="majorBidi"/>
      <w:b/>
      <w:bCs/>
      <w:sz w:val="32"/>
      <w:szCs w:val="32"/>
    </w:rPr>
  </w:style>
  <w:style w:type="paragraph" w:styleId="6">
    <w:name w:val="heading 3"/>
    <w:basedOn w:val="1"/>
    <w:next w:val="1"/>
    <w:qFormat/>
    <w:uiPriority w:val="9"/>
    <w:pPr>
      <w:widowControl/>
      <w:numPr>
        <w:ilvl w:val="2"/>
        <w:numId w:val="2"/>
      </w:numPr>
      <w:autoSpaceDE w:val="0"/>
      <w:autoSpaceDN w:val="0"/>
      <w:adjustRightInd w:val="0"/>
      <w:spacing w:before="50" w:beforeLines="50" w:after="50" w:afterLines="50" w:line="360" w:lineRule="auto"/>
      <w:ind w:firstLine="0" w:firstLineChars="0"/>
      <w:outlineLvl w:val="2"/>
    </w:pPr>
    <w:rPr>
      <w:rFonts w:ascii="CG Times" w:hAnsi="CG Times"/>
      <w:color w:val="000000"/>
      <w:kern w:val="0"/>
      <w:sz w:val="24"/>
      <w:szCs w:val="20"/>
    </w:rPr>
  </w:style>
  <w:style w:type="paragraph" w:styleId="7">
    <w:name w:val="heading 4"/>
    <w:basedOn w:val="1"/>
    <w:next w:val="1"/>
    <w:unhideWhenUsed/>
    <w:qFormat/>
    <w:uiPriority w:val="0"/>
    <w:pPr>
      <w:keepNext/>
      <w:keepLines/>
      <w:numPr>
        <w:ilvl w:val="3"/>
        <w:numId w:val="1"/>
      </w:numPr>
      <w:jc w:val="left"/>
      <w:outlineLvl w:val="3"/>
    </w:pPr>
    <w:rPr>
      <w:rFonts w:ascii="宋体" w:hAnsiTheme="majorHAnsi" w:cstheme="majorBidi"/>
      <w:b/>
      <w:bCs/>
      <w:sz w:val="28"/>
      <w:szCs w:val="28"/>
    </w:rPr>
  </w:style>
  <w:style w:type="paragraph" w:styleId="8">
    <w:name w:val="heading 5"/>
    <w:basedOn w:val="1"/>
    <w:next w:val="1"/>
    <w:unhideWhenUsed/>
    <w:qFormat/>
    <w:uiPriority w:val="0"/>
    <w:pPr>
      <w:keepNext/>
      <w:keepLines/>
      <w:numPr>
        <w:ilvl w:val="4"/>
        <w:numId w:val="1"/>
      </w:numPr>
      <w:tabs>
        <w:tab w:val="left" w:pos="576"/>
      </w:tabs>
      <w:jc w:val="left"/>
      <w:outlineLvl w:val="4"/>
    </w:pPr>
    <w:rPr>
      <w:rFonts w:ascii="宋体" w:hAnsi="宋体"/>
      <w:b/>
      <w:bCs/>
      <w:szCs w:val="20"/>
    </w:rPr>
  </w:style>
  <w:style w:type="paragraph" w:styleId="9">
    <w:name w:val="heading 6"/>
    <w:basedOn w:val="1"/>
    <w:next w:val="1"/>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left="360" w:firstLine="56" w:firstLineChars="20"/>
    </w:pPr>
    <w:rPr>
      <w:rFonts w:eastAsia="仿宋_GB2312"/>
      <w:kern w:val="0"/>
      <w:sz w:val="32"/>
      <w:szCs w:val="24"/>
    </w:rPr>
  </w:style>
  <w:style w:type="paragraph" w:styleId="3">
    <w:name w:val="Normal Indent"/>
    <w:basedOn w:val="1"/>
    <w:next w:val="2"/>
    <w:unhideWhenUsed/>
    <w:qFormat/>
    <w:uiPriority w:val="99"/>
    <w:pPr>
      <w:adjustRightInd w:val="0"/>
      <w:spacing w:line="312" w:lineRule="atLeast"/>
      <w:ind w:firstLine="420"/>
    </w:pPr>
    <w:rPr>
      <w:rFonts w:cs="黑体"/>
    </w:rPr>
  </w:style>
  <w:style w:type="paragraph" w:styleId="10">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11">
    <w:name w:val="annotation text"/>
    <w:basedOn w:val="1"/>
    <w:qFormat/>
    <w:uiPriority w:val="0"/>
    <w:pPr>
      <w:jc w:val="left"/>
    </w:pPr>
  </w:style>
  <w:style w:type="paragraph" w:styleId="12">
    <w:name w:val="Body Text"/>
    <w:basedOn w:val="1"/>
    <w:next w:val="1"/>
    <w:unhideWhenUsed/>
    <w:qFormat/>
    <w:uiPriority w:val="0"/>
    <w:pPr>
      <w:spacing w:after="120"/>
    </w:pPr>
    <w:rPr>
      <w:rFonts w:ascii="Times New Roman" w:hAnsi="Times New Roman"/>
      <w:szCs w:val="24"/>
    </w:rPr>
  </w:style>
  <w:style w:type="paragraph" w:styleId="13">
    <w:name w:val="List 2"/>
    <w:basedOn w:val="1"/>
    <w:unhideWhenUsed/>
    <w:qFormat/>
    <w:uiPriority w:val="99"/>
    <w:pPr>
      <w:ind w:left="100" w:leftChars="200" w:hanging="200" w:hangingChars="200"/>
      <w:contextualSpacing/>
    </w:pPr>
  </w:style>
  <w:style w:type="paragraph" w:styleId="14">
    <w:name w:val="Block Text"/>
    <w:basedOn w:val="1"/>
    <w:qFormat/>
    <w:uiPriority w:val="0"/>
    <w:pPr>
      <w:spacing w:beforeLines="50" w:afterLines="50"/>
      <w:ind w:left="426" w:right="-11" w:hanging="426" w:hangingChars="203"/>
    </w:pPr>
    <w:rPr>
      <w:rFonts w:eastAsia="楷体_GB2312"/>
    </w:rPr>
  </w:style>
  <w:style w:type="paragraph" w:styleId="15">
    <w:name w:val="toc 3"/>
    <w:basedOn w:val="1"/>
    <w:next w:val="1"/>
    <w:qFormat/>
    <w:uiPriority w:val="0"/>
    <w:pPr>
      <w:ind w:left="840" w:leftChars="400"/>
    </w:pPr>
  </w:style>
  <w:style w:type="paragraph" w:styleId="16">
    <w:name w:val="Plain Text"/>
    <w:basedOn w:val="1"/>
    <w:next w:val="1"/>
    <w:unhideWhenUsed/>
    <w:qFormat/>
    <w:uiPriority w:val="99"/>
    <w:pPr>
      <w:widowControl/>
      <w:overflowPunct w:val="0"/>
      <w:autoSpaceDE w:val="0"/>
      <w:autoSpaceDN w:val="0"/>
      <w:adjustRightInd w:val="0"/>
      <w:jc w:val="left"/>
    </w:pPr>
    <w:rPr>
      <w:rFonts w:ascii="宋体" w:hAnsi="Courier New" w:cs="黑体"/>
      <w:szCs w:val="21"/>
    </w:rPr>
  </w:style>
  <w:style w:type="paragraph" w:styleId="17">
    <w:name w:val="Date"/>
    <w:basedOn w:val="1"/>
    <w:next w:val="1"/>
    <w:qFormat/>
    <w:uiPriority w:val="0"/>
    <w:pPr>
      <w:ind w:left="100" w:leftChars="2500"/>
    </w:pPr>
    <w:rPr>
      <w:sz w:val="24"/>
    </w:rPr>
  </w:style>
  <w:style w:type="paragraph" w:styleId="18">
    <w:name w:val="Balloon Text"/>
    <w:basedOn w:val="1"/>
    <w:link w:val="81"/>
    <w:qFormat/>
    <w:uiPriority w:val="0"/>
    <w:rPr>
      <w:sz w:val="18"/>
      <w:szCs w:val="18"/>
    </w:rPr>
  </w:style>
  <w:style w:type="paragraph" w:styleId="19">
    <w:name w:val="footer"/>
    <w:basedOn w:val="1"/>
    <w:unhideWhenUsed/>
    <w:qFormat/>
    <w:uiPriority w:val="99"/>
    <w:pPr>
      <w:tabs>
        <w:tab w:val="center" w:pos="4153"/>
        <w:tab w:val="right" w:pos="8306"/>
      </w:tabs>
      <w:snapToGrid w:val="0"/>
      <w:jc w:val="left"/>
    </w:pPr>
    <w:rPr>
      <w:sz w:val="18"/>
      <w:szCs w:val="18"/>
    </w:rPr>
  </w:style>
  <w:style w:type="paragraph" w:styleId="2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line="340" w:lineRule="exact"/>
    </w:pPr>
  </w:style>
  <w:style w:type="paragraph" w:styleId="22">
    <w:name w:val="footnote text"/>
    <w:basedOn w:val="1"/>
    <w:unhideWhenUsed/>
    <w:qFormat/>
    <w:uiPriority w:val="99"/>
    <w:pPr>
      <w:snapToGrid w:val="0"/>
      <w:spacing w:beforeLines="0" w:afterLines="0"/>
      <w:jc w:val="left"/>
    </w:pPr>
    <w:rPr>
      <w:rFonts w:hint="eastAsia"/>
      <w:sz w:val="18"/>
    </w:rPr>
  </w:style>
  <w:style w:type="paragraph" w:styleId="23">
    <w:name w:val="toc 6"/>
    <w:basedOn w:val="1"/>
    <w:next w:val="1"/>
    <w:qFormat/>
    <w:uiPriority w:val="99"/>
    <w:pPr>
      <w:ind w:left="2100" w:leftChars="1000"/>
    </w:pPr>
  </w:style>
  <w:style w:type="paragraph" w:styleId="24">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5">
    <w:name w:val="table of figures"/>
    <w:basedOn w:val="1"/>
    <w:next w:val="1"/>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1"/>
    <w:next w:val="1"/>
    <w:qFormat/>
    <w:uiPriority w:val="0"/>
    <w:pPr>
      <w:ind w:left="420" w:leftChars="200"/>
    </w:pPr>
  </w:style>
  <w:style w:type="paragraph" w:styleId="27">
    <w:name w:val="Normal (Web)"/>
    <w:basedOn w:val="1"/>
    <w:qFormat/>
    <w:uiPriority w:val="0"/>
    <w:pPr>
      <w:spacing w:beforeAutospacing="1" w:afterAutospacing="1"/>
      <w:jc w:val="left"/>
    </w:pPr>
    <w:rPr>
      <w:kern w:val="0"/>
      <w:sz w:val="24"/>
    </w:rPr>
  </w:style>
  <w:style w:type="paragraph" w:styleId="28">
    <w:name w:val="Title"/>
    <w:basedOn w:val="1"/>
    <w:next w:val="1"/>
    <w:qFormat/>
    <w:uiPriority w:val="10"/>
    <w:pPr>
      <w:jc w:val="center"/>
    </w:pPr>
    <w:rPr>
      <w:rFonts w:ascii="Arial" w:hAnsi="Arial"/>
      <w:b/>
      <w:kern w:val="0"/>
      <w:sz w:val="36"/>
      <w:szCs w:val="20"/>
      <w:lang w:eastAsia="en-US"/>
    </w:rPr>
  </w:style>
  <w:style w:type="paragraph" w:styleId="29">
    <w:name w:val="Body Text First Indent"/>
    <w:basedOn w:val="12"/>
    <w:next w:val="1"/>
    <w:qFormat/>
    <w:uiPriority w:val="0"/>
    <w:pPr>
      <w:autoSpaceDE w:val="0"/>
      <w:autoSpaceDN w:val="0"/>
      <w:adjustRightInd w:val="0"/>
      <w:ind w:firstLine="420" w:firstLineChars="100"/>
      <w:textAlignment w:val="baseline"/>
    </w:pPr>
    <w:rPr>
      <w:sz w:val="24"/>
      <w:szCs w:val="20"/>
    </w:rPr>
  </w:style>
  <w:style w:type="paragraph" w:styleId="30">
    <w:name w:val="Body Text First Indent 2"/>
    <w:basedOn w:val="2"/>
    <w:next w:val="31"/>
    <w:unhideWhenUsed/>
    <w:qFormat/>
    <w:uiPriority w:val="99"/>
    <w:pPr>
      <w:spacing w:after="120"/>
      <w:ind w:left="420" w:leftChars="200" w:firstLine="420"/>
    </w:pPr>
    <w:rPr>
      <w:rFonts w:cs="宋体"/>
      <w:sz w:val="21"/>
      <w:szCs w:val="21"/>
    </w:rPr>
  </w:style>
  <w:style w:type="paragraph" w:customStyle="1" w:styleId="3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Cs/>
    </w:rPr>
  </w:style>
  <w:style w:type="character" w:styleId="36">
    <w:name w:val="page number"/>
    <w:basedOn w:val="34"/>
    <w:qFormat/>
    <w:uiPriority w:val="0"/>
  </w:style>
  <w:style w:type="character" w:styleId="37">
    <w:name w:val="FollowedHyperlink"/>
    <w:basedOn w:val="34"/>
    <w:qFormat/>
    <w:uiPriority w:val="0"/>
    <w:rPr>
      <w:color w:val="800080"/>
      <w:u w:val="none"/>
    </w:rPr>
  </w:style>
  <w:style w:type="character" w:styleId="38">
    <w:name w:val="HTML Definition"/>
    <w:basedOn w:val="34"/>
    <w:qFormat/>
    <w:uiPriority w:val="0"/>
  </w:style>
  <w:style w:type="character" w:styleId="39">
    <w:name w:val="HTML Typewriter"/>
    <w:basedOn w:val="34"/>
    <w:qFormat/>
    <w:uiPriority w:val="0"/>
    <w:rPr>
      <w:rFonts w:hint="default" w:ascii="monospace" w:hAnsi="monospace" w:eastAsia="monospace" w:cs="monospace"/>
      <w:sz w:val="20"/>
    </w:rPr>
  </w:style>
  <w:style w:type="character" w:styleId="40">
    <w:name w:val="HTML Acronym"/>
    <w:basedOn w:val="34"/>
    <w:qFormat/>
    <w:uiPriority w:val="0"/>
  </w:style>
  <w:style w:type="character" w:styleId="41">
    <w:name w:val="HTML Variable"/>
    <w:basedOn w:val="34"/>
    <w:qFormat/>
    <w:uiPriority w:val="0"/>
  </w:style>
  <w:style w:type="character" w:styleId="42">
    <w:name w:val="Hyperlink"/>
    <w:basedOn w:val="34"/>
    <w:unhideWhenUsed/>
    <w:qFormat/>
    <w:uiPriority w:val="99"/>
    <w:rPr>
      <w:color w:val="0563C1"/>
      <w:u w:val="single"/>
    </w:rPr>
  </w:style>
  <w:style w:type="character" w:styleId="43">
    <w:name w:val="HTML Code"/>
    <w:basedOn w:val="34"/>
    <w:qFormat/>
    <w:uiPriority w:val="0"/>
    <w:rPr>
      <w:rFonts w:ascii="monospace" w:hAnsi="monospace" w:eastAsia="monospace" w:cs="monospace"/>
      <w:sz w:val="20"/>
    </w:rPr>
  </w:style>
  <w:style w:type="character" w:styleId="44">
    <w:name w:val="annotation reference"/>
    <w:basedOn w:val="34"/>
    <w:qFormat/>
    <w:uiPriority w:val="0"/>
    <w:rPr>
      <w:sz w:val="21"/>
      <w:szCs w:val="21"/>
    </w:rPr>
  </w:style>
  <w:style w:type="character" w:styleId="45">
    <w:name w:val="HTML Cite"/>
    <w:basedOn w:val="34"/>
    <w:qFormat/>
    <w:uiPriority w:val="0"/>
  </w:style>
  <w:style w:type="character" w:styleId="46">
    <w:name w:val="footnote reference"/>
    <w:unhideWhenUsed/>
    <w:qFormat/>
    <w:uiPriority w:val="99"/>
    <w:rPr>
      <w:rFonts w:hint="default" w:ascii="Times New Roman"/>
      <w:sz w:val="24"/>
      <w:vertAlign w:val="superscript"/>
    </w:rPr>
  </w:style>
  <w:style w:type="character" w:styleId="47">
    <w:name w:val="HTML Keyboard"/>
    <w:basedOn w:val="34"/>
    <w:qFormat/>
    <w:uiPriority w:val="0"/>
    <w:rPr>
      <w:rFonts w:hint="default" w:ascii="monospace" w:hAnsi="monospace" w:eastAsia="monospace" w:cs="monospace"/>
      <w:sz w:val="20"/>
    </w:rPr>
  </w:style>
  <w:style w:type="character" w:styleId="48">
    <w:name w:val="HTML Sample"/>
    <w:basedOn w:val="34"/>
    <w:qFormat/>
    <w:uiPriority w:val="0"/>
    <w:rPr>
      <w:rFonts w:hint="default" w:ascii="monospace" w:hAnsi="monospace" w:eastAsia="monospace" w:cs="monospace"/>
    </w:rPr>
  </w:style>
  <w:style w:type="paragraph" w:customStyle="1" w:styleId="49">
    <w:name w:val="表格文字"/>
    <w:basedOn w:val="1"/>
    <w:next w:val="12"/>
    <w:qFormat/>
    <w:uiPriority w:val="0"/>
    <w:pPr>
      <w:adjustRightInd w:val="0"/>
      <w:spacing w:line="420" w:lineRule="atLeast"/>
      <w:ind w:firstLine="0" w:firstLineChars="0"/>
      <w:jc w:val="left"/>
      <w:textAlignment w:val="baseline"/>
    </w:pPr>
    <w:rPr>
      <w:rFonts w:ascii="Times New Roman" w:hAnsi="Times New Roman"/>
      <w:kern w:val="0"/>
      <w:szCs w:val="24"/>
    </w:rPr>
  </w:style>
  <w:style w:type="paragraph" w:customStyle="1" w:styleId="50">
    <w:name w:val="正文1"/>
    <w:basedOn w:val="15"/>
    <w:next w:val="51"/>
    <w:qFormat/>
    <w:uiPriority w:val="0"/>
    <w:pPr>
      <w:numPr>
        <w:ilvl w:val="0"/>
        <w:numId w:val="3"/>
      </w:numPr>
      <w:spacing w:line="500" w:lineRule="exact"/>
    </w:pPr>
    <w:rPr>
      <w:rFonts w:ascii="黑体" w:hAnsi="宋体"/>
    </w:rPr>
  </w:style>
  <w:style w:type="paragraph" w:customStyle="1" w:styleId="51">
    <w:name w:val="自动更正"/>
    <w:next w:val="5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xl39"/>
    <w:basedOn w:val="1"/>
    <w:next w:val="53"/>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53">
    <w:name w:val="分手多日，近况如何？"/>
    <w:next w:val="1"/>
    <w:qFormat/>
    <w:uiPriority w:val="0"/>
    <w:pPr>
      <w:widowControl w:val="0"/>
      <w:jc w:val="both"/>
    </w:pPr>
    <w:rPr>
      <w:rFonts w:ascii="Calibri" w:hAnsi="Calibri" w:eastAsia="宋体" w:cs="Times New Roman"/>
      <w:sz w:val="21"/>
      <w:lang w:val="en-US" w:eastAsia="zh-CN" w:bidi="ar-SA"/>
    </w:rPr>
  </w:style>
  <w:style w:type="paragraph" w:customStyle="1" w:styleId="54">
    <w:name w:val="表格正文"/>
    <w:basedOn w:val="1"/>
    <w:qFormat/>
    <w:uiPriority w:val="0"/>
    <w:pPr>
      <w:spacing w:line="360" w:lineRule="auto"/>
      <w:jc w:val="center"/>
    </w:pPr>
    <w:rPr>
      <w:rFonts w:ascii="Times New Roman" w:hAnsi="Times New Roman" w:eastAsia="SimSong"/>
      <w:sz w:val="24"/>
      <w:lang w:eastAsia="en-US"/>
    </w:rPr>
  </w:style>
  <w:style w:type="paragraph" w:customStyle="1" w:styleId="5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character" w:customStyle="1" w:styleId="56">
    <w:name w:val="NormalCharacter"/>
    <w:link w:val="1"/>
    <w:qFormat/>
    <w:uiPriority w:val="0"/>
    <w:rPr>
      <w:rFonts w:ascii="Calibri" w:hAnsi="Calibri" w:eastAsia="宋体" w:cs="Times New Roman"/>
      <w:kern w:val="2"/>
      <w:sz w:val="21"/>
      <w:szCs w:val="22"/>
      <w:lang w:val="en-US" w:eastAsia="zh-CN" w:bidi="ar-SA"/>
    </w:rPr>
  </w:style>
  <w:style w:type="paragraph" w:customStyle="1" w:styleId="57">
    <w:name w:val="Default"/>
    <w:next w:val="58"/>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paragraph" w:customStyle="1" w:styleId="5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9">
    <w:name w:val="样式 首行缩进:  2 字符"/>
    <w:basedOn w:val="1"/>
    <w:qFormat/>
    <w:uiPriority w:val="0"/>
    <w:pPr>
      <w:spacing w:line="360" w:lineRule="auto"/>
      <w:ind w:firstLine="480" w:firstLineChars="200"/>
    </w:pPr>
    <w:rPr>
      <w:rFonts w:ascii="宋体" w:hAnsi="宋体" w:cs="宋体"/>
      <w:color w:val="000000"/>
      <w:sz w:val="24"/>
    </w:rPr>
  </w:style>
  <w:style w:type="paragraph" w:customStyle="1" w:styleId="60">
    <w:name w:val="正文文本首行缩进 2"/>
    <w:basedOn w:val="2"/>
    <w:qFormat/>
    <w:uiPriority w:val="99"/>
    <w:pPr>
      <w:spacing w:line="200" w:lineRule="atLeast"/>
      <w:ind w:firstLine="420"/>
    </w:pPr>
    <w:rPr>
      <w:rFonts w:hAnsi="Courier New"/>
      <w:spacing w:val="-4"/>
      <w:sz w:val="18"/>
      <w:szCs w:val="18"/>
    </w:rPr>
  </w:style>
  <w:style w:type="paragraph" w:customStyle="1" w:styleId="6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2">
    <w:name w:val="样式1"/>
    <w:basedOn w:val="20"/>
    <w:next w:val="12"/>
    <w:qFormat/>
    <w:uiPriority w:val="0"/>
    <w:pPr>
      <w:widowControl/>
      <w:tabs>
        <w:tab w:val="left" w:pos="1212"/>
        <w:tab w:val="left" w:pos="3888"/>
        <w:tab w:val="clear" w:pos="4153"/>
        <w:tab w:val="clear" w:pos="8306"/>
      </w:tabs>
      <w:spacing w:line="336" w:lineRule="auto"/>
      <w:ind w:firstLine="432"/>
      <w:jc w:val="left"/>
    </w:pPr>
    <w:rPr>
      <w:rFonts w:ascii="宋体" w:hAnsi="宋体"/>
      <w:kern w:val="0"/>
      <w:sz w:val="24"/>
      <w:szCs w:val="20"/>
    </w:rPr>
  </w:style>
  <w:style w:type="paragraph" w:customStyle="1" w:styleId="63">
    <w:name w:val="样式 表格正文 + 两端对齐"/>
    <w:basedOn w:val="1"/>
    <w:next w:val="50"/>
    <w:qFormat/>
    <w:uiPriority w:val="0"/>
    <w:pPr>
      <w:spacing w:line="300" w:lineRule="auto"/>
    </w:pPr>
    <w:rPr>
      <w:rFonts w:ascii="Times New Roman"/>
      <w:sz w:val="24"/>
    </w:rPr>
  </w:style>
  <w:style w:type="paragraph" w:customStyle="1" w:styleId="64">
    <w:name w:val="Body Text First Indent 21"/>
    <w:basedOn w:val="65"/>
    <w:qFormat/>
    <w:uiPriority w:val="0"/>
    <w:pPr>
      <w:ind w:firstLine="420"/>
    </w:pPr>
    <w:rPr>
      <w:rFonts w:ascii="Times New Roman" w:hAnsi="Times New Roman" w:cs="宋体"/>
    </w:rPr>
  </w:style>
  <w:style w:type="paragraph" w:customStyle="1" w:styleId="65">
    <w:name w:val="Body Text Indent1"/>
    <w:basedOn w:val="1"/>
    <w:next w:val="1"/>
    <w:qFormat/>
    <w:uiPriority w:val="0"/>
    <w:pPr>
      <w:ind w:left="420" w:leftChars="200"/>
    </w:pPr>
    <w:rPr>
      <w:color w:val="000000"/>
      <w:szCs w:val="21"/>
    </w:rPr>
  </w:style>
  <w:style w:type="paragraph" w:customStyle="1" w:styleId="66">
    <w:name w:val="Normal Indent1"/>
    <w:basedOn w:val="1"/>
    <w:qFormat/>
    <w:uiPriority w:val="0"/>
    <w:pPr>
      <w:ind w:firstLine="420" w:firstLineChars="200"/>
    </w:pPr>
  </w:style>
  <w:style w:type="paragraph" w:customStyle="1" w:styleId="67">
    <w:name w:val="[Normal]"/>
    <w:qFormat/>
    <w:uiPriority w:val="0"/>
    <w:rPr>
      <w:rFonts w:ascii="宋体" w:hAnsi="宋体" w:eastAsia="宋体" w:cs="Times New Roman"/>
      <w:sz w:val="24"/>
      <w:szCs w:val="22"/>
      <w:lang w:val="zh-CN" w:eastAsia="zh-CN" w:bidi="ar-SA"/>
    </w:rPr>
  </w:style>
  <w:style w:type="paragraph" w:customStyle="1" w:styleId="68">
    <w:name w:val="Char"/>
    <w:basedOn w:val="1"/>
    <w:qFormat/>
    <w:uiPriority w:val="0"/>
    <w:rPr>
      <w:rFonts w:ascii="仿宋_GB2312" w:eastAsia="仿宋_GB2312"/>
      <w:b/>
      <w:sz w:val="32"/>
      <w:szCs w:val="32"/>
    </w:rPr>
  </w:style>
  <w:style w:type="paragraph" w:customStyle="1" w:styleId="69">
    <w:name w:val="列出段落1"/>
    <w:basedOn w:val="1"/>
    <w:qFormat/>
    <w:uiPriority w:val="99"/>
    <w:pPr>
      <w:ind w:firstLine="420" w:firstLineChars="200"/>
    </w:pPr>
  </w:style>
  <w:style w:type="paragraph" w:customStyle="1" w:styleId="70">
    <w:name w:val="Table Paragraph"/>
    <w:basedOn w:val="1"/>
    <w:qFormat/>
    <w:uiPriority w:val="1"/>
    <w:rPr>
      <w:rFonts w:ascii="宋体" w:hAnsi="宋体" w:cs="宋体"/>
      <w:lang w:val="zh-CN" w:bidi="zh-CN"/>
    </w:rPr>
  </w:style>
  <w:style w:type="paragraph" w:customStyle="1" w:styleId="71">
    <w:name w:val="Fließtext"/>
    <w:basedOn w:val="1"/>
    <w:qFormat/>
    <w:uiPriority w:val="0"/>
    <w:pPr>
      <w:overflowPunct w:val="0"/>
      <w:autoSpaceDE w:val="0"/>
      <w:autoSpaceDN w:val="0"/>
      <w:adjustRightInd w:val="0"/>
      <w:textAlignment w:val="baseline"/>
    </w:pPr>
    <w:rPr>
      <w:kern w:val="28"/>
      <w:szCs w:val="20"/>
    </w:rPr>
  </w:style>
  <w:style w:type="paragraph" w:customStyle="1" w:styleId="7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List Paragraph1"/>
    <w:basedOn w:val="1"/>
    <w:qFormat/>
    <w:uiPriority w:val="0"/>
    <w:pPr>
      <w:ind w:firstLine="420" w:firstLineChars="200"/>
    </w:pPr>
    <w:rPr>
      <w:rFonts w:ascii="Times New Roman" w:hAnsi="Times New Roman"/>
      <w:szCs w:val="24"/>
    </w:rPr>
  </w:style>
  <w:style w:type="paragraph" w:customStyle="1" w:styleId="74">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正常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
    <w:basedOn w:val="1"/>
    <w:qFormat/>
    <w:uiPriority w:val="0"/>
    <w:rPr>
      <w:rFonts w:eastAsia="仿宋"/>
      <w:sz w:val="32"/>
    </w:rPr>
  </w:style>
  <w:style w:type="paragraph" w:customStyle="1" w:styleId="77">
    <w:name w:val="11样式2"/>
    <w:basedOn w:val="1"/>
    <w:qFormat/>
    <w:uiPriority w:val="99"/>
    <w:pPr>
      <w:numPr>
        <w:ilvl w:val="0"/>
        <w:numId w:val="4"/>
      </w:numPr>
      <w:ind w:firstLine="0"/>
    </w:pPr>
    <w:rPr>
      <w:rFonts w:ascii="Times New Roman" w:hAnsi="Times New Roman"/>
      <w:szCs w:val="24"/>
    </w:rPr>
  </w:style>
  <w:style w:type="character" w:customStyle="1" w:styleId="78">
    <w:name w:val="font21"/>
    <w:basedOn w:val="34"/>
    <w:qFormat/>
    <w:uiPriority w:val="99"/>
    <w:rPr>
      <w:rFonts w:ascii="宋体" w:hAnsi="宋体" w:eastAsia="宋体" w:cs="宋体"/>
      <w:color w:val="000000"/>
      <w:sz w:val="21"/>
      <w:szCs w:val="21"/>
      <w:u w:val="none"/>
    </w:rPr>
  </w:style>
  <w:style w:type="paragraph" w:customStyle="1" w:styleId="7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正文_4"/>
    <w:qFormat/>
    <w:uiPriority w:val="0"/>
    <w:pPr>
      <w:widowControl w:val="0"/>
      <w:jc w:val="both"/>
    </w:pPr>
    <w:rPr>
      <w:rFonts w:ascii="Calibri" w:hAnsi="Calibri" w:eastAsia="宋体" w:cs="Times New Roman"/>
      <w:kern w:val="2"/>
      <w:sz w:val="21"/>
      <w:szCs w:val="24"/>
      <w:lang w:val="en-US" w:eastAsia="zh-CN" w:bidi="ar-SA"/>
    </w:rPr>
  </w:style>
  <w:style w:type="character" w:customStyle="1" w:styleId="81">
    <w:name w:val="批注框文本 字符"/>
    <w:basedOn w:val="34"/>
    <w:link w:val="18"/>
    <w:qFormat/>
    <w:uiPriority w:val="0"/>
    <w:rPr>
      <w:kern w:val="2"/>
      <w:sz w:val="18"/>
      <w:szCs w:val="18"/>
    </w:rPr>
  </w:style>
  <w:style w:type="paragraph" w:customStyle="1" w:styleId="82">
    <w:name w:val="p0"/>
    <w:basedOn w:val="1"/>
    <w:qFormat/>
    <w:uiPriority w:val="0"/>
    <w:pPr>
      <w:widowControl/>
      <w:spacing w:line="360" w:lineRule="atLeast"/>
      <w:ind w:firstLine="641"/>
    </w:pPr>
    <w:rPr>
      <w:kern w:val="0"/>
    </w:rPr>
  </w:style>
  <w:style w:type="paragraph" w:customStyle="1" w:styleId="83">
    <w:name w:val="content5"/>
    <w:basedOn w:val="1"/>
    <w:qFormat/>
    <w:uiPriority w:val="0"/>
    <w:pPr>
      <w:widowControl/>
      <w:spacing w:before="100" w:beforeAutospacing="1" w:after="100" w:afterAutospacing="1"/>
      <w:jc w:val="left"/>
    </w:pPr>
    <w:rPr>
      <w:rFonts w:ascii="幼圆" w:hAnsi="幼圆" w:eastAsia="幼圆" w:cs="幼圆"/>
      <w:b/>
      <w:color w:val="000000"/>
      <w:kern w:val="0"/>
      <w:sz w:val="84"/>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表格内容"/>
    <w:basedOn w:val="12"/>
    <w:qFormat/>
    <w:uiPriority w:val="99"/>
    <w:pPr>
      <w:suppressLineNumbers/>
      <w:suppressAutoHyphens/>
    </w:pPr>
    <w:rPr>
      <w:kern w:val="1"/>
      <w:lang w:eastAsia="ar-SA"/>
    </w:rPr>
  </w:style>
  <w:style w:type="paragraph" w:customStyle="1" w:styleId="86">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87">
    <w:name w:val="正文2"/>
    <w:basedOn w:val="1"/>
    <w:qFormat/>
    <w:uiPriority w:val="0"/>
    <w:pPr>
      <w:spacing w:before="156" w:line="360" w:lineRule="auto"/>
      <w:ind w:firstLine="510" w:firstLineChars="200"/>
    </w:pPr>
    <w:rPr>
      <w:sz w:val="24"/>
      <w:szCs w:val="20"/>
    </w:rPr>
  </w:style>
  <w:style w:type="paragraph" w:customStyle="1" w:styleId="88">
    <w:name w:val="_Style 17"/>
    <w:basedOn w:val="1"/>
    <w:next w:val="89"/>
    <w:qFormat/>
    <w:uiPriority w:val="0"/>
    <w:pPr>
      <w:ind w:firstLine="420" w:firstLineChars="200"/>
    </w:pPr>
  </w:style>
  <w:style w:type="paragraph" w:customStyle="1" w:styleId="89">
    <w:name w:val="List Paragraph"/>
    <w:basedOn w:val="1"/>
    <w:qFormat/>
    <w:uiPriority w:val="0"/>
    <w:pPr>
      <w:ind w:firstLine="420" w:firstLineChars="200"/>
    </w:pPr>
    <w:rPr>
      <w:rFonts w:eastAsia="仿宋_GB2312"/>
      <w:sz w:val="24"/>
      <w:szCs w:val="21"/>
    </w:rPr>
  </w:style>
  <w:style w:type="paragraph" w:customStyle="1" w:styleId="90">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91">
    <w:name w:val="列出段落111"/>
    <w:basedOn w:val="1"/>
    <w:qFormat/>
    <w:uiPriority w:val="99"/>
    <w:pPr>
      <w:ind w:firstLine="420" w:firstLineChars="200"/>
    </w:pPr>
    <w:rPr>
      <w:rFonts w:eastAsia="仿宋_GB2312" w:cs="仿宋_GB2312"/>
      <w:b/>
      <w:spacing w:val="4"/>
      <w:sz w:val="24"/>
    </w:rPr>
  </w:style>
  <w:style w:type="paragraph" w:customStyle="1" w:styleId="92">
    <w:name w:val="DAS正文"/>
    <w:basedOn w:val="1"/>
    <w:qFormat/>
    <w:uiPriority w:val="0"/>
    <w:pPr>
      <w:spacing w:line="360" w:lineRule="auto"/>
      <w:ind w:right="181" w:firstLine="480" w:firstLineChars="200"/>
    </w:pPr>
    <w:rPr>
      <w:rFonts w:ascii="Verdana" w:hAnsi="Verdana"/>
      <w:szCs w:val="20"/>
    </w:rPr>
  </w:style>
  <w:style w:type="paragraph" w:customStyle="1" w:styleId="93">
    <w:name w:val="正文首行缩进 21"/>
    <w:basedOn w:val="94"/>
    <w:qFormat/>
    <w:uiPriority w:val="0"/>
  </w:style>
  <w:style w:type="paragraph" w:customStyle="1" w:styleId="94">
    <w:name w:val="正文文本缩进1"/>
    <w:basedOn w:val="1"/>
    <w:qFormat/>
    <w:uiPriority w:val="0"/>
    <w:pPr>
      <w:spacing w:after="120"/>
      <w:ind w:left="420" w:leftChars="200"/>
    </w:pPr>
  </w:style>
  <w:style w:type="paragraph" w:customStyle="1" w:styleId="95">
    <w:name w:val="列出段落12"/>
    <w:basedOn w:val="1"/>
    <w:qFormat/>
    <w:uiPriority w:val="34"/>
    <w:pPr>
      <w:widowControl/>
      <w:ind w:firstLine="420" w:firstLineChars="200"/>
      <w:jc w:val="left"/>
    </w:pPr>
    <w:rPr>
      <w:rFonts w:ascii="宋体" w:hAnsi="宋体" w:cs="宋体"/>
      <w:kern w:val="0"/>
      <w:sz w:val="24"/>
    </w:rPr>
  </w:style>
  <w:style w:type="paragraph" w:customStyle="1" w:styleId="96">
    <w:name w:val="Other|1"/>
    <w:basedOn w:val="1"/>
    <w:qFormat/>
    <w:uiPriority w:val="0"/>
    <w:pPr>
      <w:spacing w:line="238" w:lineRule="exact"/>
      <w:jc w:val="center"/>
    </w:pPr>
    <w:rPr>
      <w:rFonts w:ascii="宋体" w:hAnsi="宋体" w:cs="宋体"/>
      <w:sz w:val="20"/>
      <w:szCs w:val="20"/>
      <w:lang w:val="zh-TW" w:eastAsia="zh-TW" w:bidi="zh-TW"/>
    </w:rPr>
  </w:style>
  <w:style w:type="character" w:customStyle="1" w:styleId="97">
    <w:name w:val="font31"/>
    <w:basedOn w:val="34"/>
    <w:qFormat/>
    <w:uiPriority w:val="0"/>
    <w:rPr>
      <w:rFonts w:hint="eastAsia" w:ascii="宋体" w:hAnsi="宋体" w:eastAsia="宋体" w:cs="宋体"/>
      <w:color w:val="FF0000"/>
      <w:sz w:val="20"/>
      <w:szCs w:val="20"/>
      <w:u w:val="none"/>
    </w:rPr>
  </w:style>
  <w:style w:type="paragraph" w:customStyle="1" w:styleId="98">
    <w:name w:val="批注框文本1"/>
    <w:basedOn w:val="1"/>
    <w:qFormat/>
    <w:uiPriority w:val="0"/>
    <w:rPr>
      <w:sz w:val="18"/>
      <w:szCs w:val="18"/>
    </w:rPr>
  </w:style>
  <w:style w:type="character" w:customStyle="1" w:styleId="99">
    <w:name w:val="font11"/>
    <w:basedOn w:val="34"/>
    <w:qFormat/>
    <w:uiPriority w:val="0"/>
    <w:rPr>
      <w:rFonts w:hint="eastAsia" w:ascii="宋体" w:hAnsi="宋体" w:eastAsia="宋体" w:cs="宋体"/>
      <w:color w:val="000000"/>
      <w:sz w:val="21"/>
      <w:szCs w:val="21"/>
      <w:u w:val="none"/>
    </w:rPr>
  </w:style>
  <w:style w:type="paragraph" w:customStyle="1" w:styleId="100">
    <w:name w:val="纯文本1"/>
    <w:basedOn w:val="50"/>
    <w:qFormat/>
    <w:uiPriority w:val="0"/>
    <w:rPr>
      <w:rFonts w:ascii="宋体" w:hAnsi="Courier New"/>
      <w:kern w:val="0"/>
      <w:sz w:val="20"/>
      <w:szCs w:val="20"/>
    </w:rPr>
  </w:style>
  <w:style w:type="paragraph" w:customStyle="1" w:styleId="101">
    <w:name w:val="WPSOffice手动目录 1"/>
    <w:qFormat/>
    <w:uiPriority w:val="0"/>
    <w:rPr>
      <w:rFonts w:ascii="Calibri" w:hAnsi="Calibri" w:eastAsia="宋体" w:cs="Times New Roman"/>
      <w:lang w:val="en-US" w:eastAsia="zh-CN" w:bidi="ar-SA"/>
    </w:rPr>
  </w:style>
  <w:style w:type="character" w:customStyle="1" w:styleId="102">
    <w:name w:val="font01"/>
    <w:basedOn w:val="34"/>
    <w:qFormat/>
    <w:uiPriority w:val="0"/>
    <w:rPr>
      <w:rFonts w:hint="eastAsia" w:ascii="宋体" w:hAnsi="宋体" w:eastAsia="宋体" w:cs="宋体"/>
      <w:color w:val="000000"/>
      <w:sz w:val="22"/>
      <w:szCs w:val="22"/>
      <w:u w:val="none"/>
    </w:rPr>
  </w:style>
  <w:style w:type="paragraph" w:customStyle="1" w:styleId="103">
    <w:name w:val="HtmlNormal"/>
    <w:basedOn w:val="1"/>
    <w:qFormat/>
    <w:uiPriority w:val="0"/>
    <w:pPr>
      <w:widowControl/>
      <w:spacing w:before="100" w:beforeAutospacing="1" w:after="100" w:afterAutospacing="1"/>
      <w:jc w:val="left"/>
      <w:textAlignment w:val="baseline"/>
    </w:pPr>
    <w:rPr>
      <w:rFonts w:ascii="宋体" w:hAnsi="宋体"/>
      <w:kern w:val="0"/>
      <w:sz w:val="24"/>
    </w:rPr>
  </w:style>
  <w:style w:type="character" w:customStyle="1" w:styleId="104">
    <w:name w:val="layui-this"/>
    <w:basedOn w:val="34"/>
    <w:qFormat/>
    <w:uiPriority w:val="0"/>
    <w:rPr>
      <w:bdr w:val="single" w:color="EEEEEE" w:sz="6" w:space="0"/>
      <w:shd w:val="clear" w:fill="FFFFFF"/>
    </w:rPr>
  </w:style>
  <w:style w:type="character" w:customStyle="1" w:styleId="105">
    <w:name w:val="first-child"/>
    <w:basedOn w:val="34"/>
    <w:qFormat/>
    <w:uiPriority w:val="0"/>
  </w:style>
  <w:style w:type="paragraph" w:customStyle="1" w:styleId="106">
    <w:name w:val="正文缩进1"/>
    <w:basedOn w:val="1"/>
    <w:next w:val="2"/>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107">
    <w:name w:val="索引 11"/>
    <w:basedOn w:val="1"/>
    <w:next w:val="1"/>
    <w:qFormat/>
    <w:uiPriority w:val="99"/>
    <w:pPr>
      <w:adjustRightInd/>
      <w:spacing w:line="360" w:lineRule="auto"/>
    </w:pPr>
    <w:rPr>
      <w:rFonts w:ascii="??_GB2312" w:eastAsia="Times New Roman" w:cs="??_GB2312"/>
      <w:sz w:val="24"/>
      <w:szCs w:val="24"/>
    </w:rPr>
  </w:style>
  <w:style w:type="paragraph" w:customStyle="1" w:styleId="108">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09">
    <w:name w:val="Heading2"/>
    <w:basedOn w:val="1"/>
    <w:next w:val="1"/>
    <w:qFormat/>
    <w:uiPriority w:val="0"/>
    <w:pPr>
      <w:keepNext/>
      <w:keepLines/>
      <w:numPr>
        <w:ilvl w:val="0"/>
        <w:numId w:val="5"/>
      </w:numPr>
      <w:tabs>
        <w:tab w:val="left" w:pos="706"/>
      </w:tabs>
      <w:spacing w:line="360" w:lineRule="auto"/>
      <w:jc w:val="both"/>
      <w:textAlignment w:val="baseline"/>
    </w:pPr>
    <w:rPr>
      <w:rFonts w:ascii="Arial" w:hAnsi="Arial" w:eastAsia="??" w:cs="Arial"/>
      <w:b/>
      <w:bCs/>
      <w:kern w:val="2"/>
      <w:sz w:val="21"/>
      <w:szCs w:val="32"/>
      <w:lang w:val="en-US" w:eastAsia="zh-CN" w:bidi="ar-SA"/>
    </w:rPr>
  </w:style>
  <w:style w:type="paragraph" w:customStyle="1" w:styleId="110">
    <w:name w:val="UserStyle_186"/>
    <w:basedOn w:val="111"/>
    <w:qFormat/>
    <w:uiPriority w:val="0"/>
    <w:pPr>
      <w:widowControl/>
      <w:spacing w:before="100" w:beforeAutospacing="1" w:after="100" w:afterAutospacing="1"/>
      <w:jc w:val="left"/>
      <w:textAlignment w:val="baseline"/>
    </w:pPr>
    <w:rPr>
      <w:rFonts w:ascii="宋体" w:hAnsi="宋体"/>
      <w:kern w:val="0"/>
      <w:sz w:val="24"/>
      <w:szCs w:val="22"/>
      <w:lang w:val="en-US" w:eastAsia="zh-CN" w:bidi="ar-SA"/>
    </w:rPr>
  </w:style>
  <w:style w:type="paragraph" w:customStyle="1" w:styleId="111">
    <w:name w:val="UserStyle_5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12">
    <w:name w:val="UserStyle_91"/>
    <w:basedOn w:val="1"/>
    <w:qFormat/>
    <w:uiPriority w:val="0"/>
    <w:pPr>
      <w:ind w:firstLine="420" w:firstLineChars="200"/>
      <w:jc w:val="both"/>
      <w:textAlignment w:val="baseline"/>
    </w:pPr>
    <w:rPr>
      <w:rFonts w:ascii="Calibri" w:hAnsi="Calibri"/>
      <w:color w:val="000000"/>
      <w:kern w:val="2"/>
      <w:sz w:val="21"/>
      <w:szCs w:val="22"/>
      <w:lang w:val="en-US" w:eastAsia="zh-CN" w:bidi="ar-SA"/>
    </w:rPr>
  </w:style>
  <w:style w:type="paragraph" w:customStyle="1" w:styleId="113">
    <w:name w:val="UserStyle_226"/>
    <w:basedOn w:val="1"/>
    <w:qFormat/>
    <w:uiPriority w:val="0"/>
    <w:pPr>
      <w:spacing w:line="410" w:lineRule="auto"/>
      <w:ind w:firstLine="400"/>
      <w:jc w:val="both"/>
      <w:textAlignment w:val="baseline"/>
    </w:pPr>
    <w:rPr>
      <w:rFonts w:ascii="宋体" w:hAnsi="宋体" w:eastAsia="宋体"/>
      <w:kern w:val="2"/>
      <w:sz w:val="20"/>
      <w:szCs w:val="20"/>
      <w:lang w:val="zh-TW" w:eastAsia="zh-TW" w:bidi="zh-TW"/>
    </w:rPr>
  </w:style>
  <w:style w:type="paragraph" w:customStyle="1" w:styleId="114">
    <w:name w:val="NormalIndent"/>
    <w:basedOn w:val="1"/>
    <w:next w:val="1"/>
    <w:qFormat/>
    <w:uiPriority w:val="0"/>
    <w:pPr>
      <w:ind w:firstLine="420"/>
      <w:jc w:val="both"/>
      <w:textAlignment w:val="baseline"/>
    </w:pPr>
    <w:rPr>
      <w:rFonts w:ascii="Times New Roman" w:hAnsi="Times New Roman"/>
      <w:kern w:val="2"/>
      <w:sz w:val="21"/>
      <w:szCs w:val="20"/>
      <w:lang w:val="en-US" w:eastAsia="zh-CN" w:bidi="ar-SA"/>
    </w:rPr>
  </w:style>
  <w:style w:type="paragraph" w:customStyle="1" w:styleId="115">
    <w:name w:val="UserStyle_126"/>
    <w:basedOn w:val="1"/>
    <w:qFormat/>
    <w:uiPriority w:val="0"/>
    <w:pPr>
      <w:jc w:val="both"/>
      <w:textAlignment w:val="baseline"/>
    </w:pPr>
    <w:rPr>
      <w:rFonts w:ascii="Tahoma" w:hAnsi="Tahoma"/>
      <w:kern w:val="2"/>
      <w:sz w:val="24"/>
      <w:szCs w:val="20"/>
      <w:lang w:val="en-US" w:eastAsia="zh-CN" w:bidi="ar-SA"/>
    </w:rPr>
  </w:style>
  <w:style w:type="paragraph" w:customStyle="1" w:styleId="116">
    <w:name w:val="msolistparagraph"/>
    <w:basedOn w:val="1"/>
    <w:qFormat/>
    <w:uiPriority w:val="0"/>
    <w:pPr>
      <w:keepNext w:val="0"/>
      <w:keepLines w:val="0"/>
      <w:widowControl w:val="0"/>
      <w:suppressLineNumbers w:val="0"/>
      <w:spacing w:before="0" w:beforeAutospacing="0" w:after="0" w:afterAutospacing="0"/>
      <w:ind w:left="253" w:right="0" w:firstLine="420"/>
      <w:jc w:val="both"/>
    </w:pPr>
    <w:rPr>
      <w:rFonts w:hint="eastAsia" w:ascii="宋体" w:hAnsi="宋体" w:eastAsia="宋体" w:cs="宋体"/>
      <w:kern w:val="2"/>
      <w:sz w:val="21"/>
      <w:szCs w:val="24"/>
      <w:lang w:val="en-US" w:eastAsia="zh-CN" w:bidi="ar"/>
    </w:rPr>
  </w:style>
  <w:style w:type="paragraph" w:customStyle="1" w:styleId="117">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18">
    <w:name w:val="_Style 3"/>
    <w:basedOn w:val="1"/>
    <w:autoRedefine/>
    <w:qFormat/>
    <w:uiPriority w:val="0"/>
    <w:pPr>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12402</Words>
  <Characters>13400</Characters>
  <Lines>209</Lines>
  <Paragraphs>59</Paragraphs>
  <TotalTime>0</TotalTime>
  <ScaleCrop>false</ScaleCrop>
  <LinksUpToDate>false</LinksUpToDate>
  <CharactersWithSpaces>13530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2022-01-26T12:54:00Z</dcterms:created>
  <dc:creator>开成</dc:creator>
  <cp:lastModifiedBy>CHEN</cp:lastModifiedBy>
  <cp:lastPrinted>2025-06-20T07:57:00Z</cp:lastPrinted>
  <dcterms:modified xsi:type="dcterms:W3CDTF">2025-06-27T06:43:30Z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F6364A91543E452FA41BD609C4B4474C</vt:lpwstr>
  </property>
  <property fmtid="{D5CDD505-2E9C-101B-9397-08002B2CF9AE}" pid="4" name="KSOTemplateDocerSaveRecord">
    <vt:lpwstr>eyJoZGlkIjoiMzYzZWU5MmNlMmNjOGU4ZjAxZWZjNDgxMDljNDdmOWQiLCJ1c2VySWQiOiI2MTc4MDM2NzIifQ==</vt:lpwstr>
  </property>
</Properties>
</file>