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14:paraId="1B52DEE3">
      <w:pPr>
        <w:spacing w:line="360" w:lineRule="auto"/>
        <w:rPr>
          <w:rFonts w:hint="eastAsia" w:ascii="宋体" w:hAnsi="宋体" w:eastAsia="宋体" w:cs="宋体"/>
          <w:b/>
          <w:color w:val="auto"/>
          <w:sz w:val="44"/>
          <w:szCs w:val="44"/>
          <w:highlight w:val="none"/>
          <w:lang w:val="en-US" w:eastAsia="zh-CN"/>
        </w:rPr>
      </w:pPr>
    </w:p>
    <w:p w14:paraId="3085BE7D">
      <w:pPr>
        <w:pStyle w:val="12"/>
        <w:spacing w:line="240" w:lineRule="auto"/>
        <w:jc w:val="center"/>
        <w:rPr>
          <w:rFonts w:hint="eastAsia" w:asciiTheme="minorEastAsia" w:hAnsiTheme="minorEastAsia" w:eastAsiaTheme="minorEastAsia" w:cstheme="minorEastAsia"/>
          <w:b/>
          <w:color w:val="auto"/>
          <w:sz w:val="44"/>
          <w:szCs w:val="44"/>
          <w:highlight w:val="none"/>
          <w:lang w:eastAsia="zh-CN"/>
        </w:rPr>
      </w:pPr>
      <w:bookmarkStart w:id="0" w:name="OLE_LINK6"/>
      <w:r>
        <w:rPr>
          <w:rFonts w:hint="eastAsia" w:asciiTheme="minorEastAsia" w:hAnsiTheme="minorEastAsia" w:eastAsiaTheme="minorEastAsia" w:cstheme="minorEastAsia"/>
          <w:b/>
          <w:color w:val="auto"/>
          <w:sz w:val="44"/>
          <w:szCs w:val="44"/>
          <w:highlight w:val="none"/>
          <w:lang w:eastAsia="zh-CN"/>
        </w:rPr>
        <w:t xml:space="preserve">浦江县城区幼儿园金狮湖幼儿园建设项目幼儿园玩具  </w:t>
      </w:r>
    </w:p>
    <w:bookmarkEnd w:id="0"/>
    <w:p w14:paraId="15E98C57">
      <w:pPr>
        <w:rPr>
          <w:color w:val="auto"/>
          <w:highlight w:val="none"/>
        </w:rPr>
      </w:pPr>
    </w:p>
    <w:p w14:paraId="3BB9B1A9">
      <w:pPr>
        <w:rPr>
          <w:rFonts w:asciiTheme="minorEastAsia" w:hAnsiTheme="minorEastAsia" w:eastAsiaTheme="minorEastAsia" w:cstheme="minorEastAsia"/>
          <w:b/>
          <w:color w:val="auto"/>
          <w:sz w:val="44"/>
          <w:szCs w:val="44"/>
          <w:highlight w:val="none"/>
        </w:rPr>
      </w:pPr>
    </w:p>
    <w:p w14:paraId="5DE161E1">
      <w:pPr>
        <w:pStyle w:val="2"/>
        <w:ind w:firstLine="560"/>
        <w:rPr>
          <w:rFonts w:hint="default"/>
          <w:color w:val="auto"/>
          <w:highlight w:val="none"/>
        </w:rPr>
      </w:pPr>
    </w:p>
    <w:p w14:paraId="2A74EB80">
      <w:pPr>
        <w:pStyle w:val="12"/>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公开招标采购文件</w:t>
      </w:r>
    </w:p>
    <w:p w14:paraId="627B6384">
      <w:pPr>
        <w:spacing w:line="360" w:lineRule="auto"/>
        <w:jc w:val="center"/>
        <w:rPr>
          <w:rFonts w:asciiTheme="minorEastAsia" w:hAnsiTheme="minorEastAsia" w:eastAsiaTheme="minorEastAsia" w:cstheme="minorEastAsia"/>
          <w:b/>
          <w:color w:val="auto"/>
          <w:sz w:val="40"/>
          <w:szCs w:val="40"/>
          <w:highlight w:val="none"/>
        </w:rPr>
      </w:pPr>
    </w:p>
    <w:p w14:paraId="32A5ACE0">
      <w:pPr>
        <w:spacing w:line="360" w:lineRule="auto"/>
        <w:jc w:val="center"/>
        <w:rPr>
          <w:rFonts w:asciiTheme="minorEastAsia" w:hAnsiTheme="minorEastAsia" w:eastAsiaTheme="minorEastAsia" w:cstheme="minorEastAsia"/>
          <w:b/>
          <w:color w:val="auto"/>
          <w:sz w:val="40"/>
          <w:szCs w:val="40"/>
          <w:highlight w:val="none"/>
        </w:rPr>
      </w:pPr>
      <w:r>
        <w:rPr>
          <w:rFonts w:asciiTheme="minorEastAsia" w:hAnsiTheme="minorEastAsia" w:eastAsiaTheme="minorEastAsia" w:cstheme="minorEastAsia"/>
          <w:b/>
          <w:color w:val="auto"/>
          <w:sz w:val="40"/>
          <w:szCs w:val="40"/>
          <w:highlight w:val="none"/>
        </w:rPr>
        <w:t>（</w:t>
      </w:r>
      <w:r>
        <w:rPr>
          <w:rFonts w:ascii="仿宋" w:hAnsi="仿宋" w:eastAsia="仿宋" w:cs="仿宋_GB2312"/>
          <w:b/>
          <w:color w:val="auto"/>
          <w:sz w:val="44"/>
          <w:szCs w:val="44"/>
          <w:highlight w:val="none"/>
        </w:rPr>
        <w:t>电子招投标</w:t>
      </w:r>
      <w:r>
        <w:rPr>
          <w:rFonts w:asciiTheme="minorEastAsia" w:hAnsiTheme="minorEastAsia" w:eastAsiaTheme="minorEastAsia" w:cstheme="minorEastAsia"/>
          <w:b/>
          <w:color w:val="auto"/>
          <w:sz w:val="40"/>
          <w:szCs w:val="40"/>
          <w:highlight w:val="none"/>
        </w:rPr>
        <w:t>）</w:t>
      </w:r>
    </w:p>
    <w:p w14:paraId="18E5D2C3">
      <w:pPr>
        <w:pStyle w:val="3"/>
        <w:ind w:firstLine="0" w:firstLineChars="0"/>
        <w:rPr>
          <w:rFonts w:asciiTheme="minorEastAsia" w:hAnsiTheme="minorEastAsia" w:eastAsiaTheme="minorEastAsia" w:cstheme="minorEastAsia"/>
          <w:b/>
          <w:color w:val="auto"/>
          <w:sz w:val="40"/>
          <w:szCs w:val="40"/>
          <w:highlight w:val="none"/>
        </w:rPr>
      </w:pPr>
    </w:p>
    <w:tbl>
      <w:tblPr>
        <w:tblStyle w:val="20"/>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14:paraId="11413053">
        <w:tblPrEx>
          <w:tblCellMar>
            <w:top w:w="0" w:type="dxa"/>
            <w:left w:w="108" w:type="dxa"/>
            <w:bottom w:w="0" w:type="dxa"/>
            <w:right w:w="108" w:type="dxa"/>
          </w:tblCellMar>
        </w:tblPrEx>
        <w:trPr>
          <w:trHeight w:val="936" w:hRule="atLeast"/>
        </w:trPr>
        <w:tc>
          <w:tcPr>
            <w:tcW w:w="1755" w:type="dxa"/>
            <w:vAlign w:val="center"/>
          </w:tcPr>
          <w:p w14:paraId="43D33DF5">
            <w:pPr>
              <w:spacing w:line="360" w:lineRule="auto"/>
              <w:rPr>
                <w:rFonts w:ascii="宋体" w:hAnsi="宋体" w:eastAsia="宋体" w:cs="宋体"/>
                <w:color w:val="auto"/>
                <w:sz w:val="32"/>
                <w:highlight w:val="none"/>
              </w:rPr>
            </w:pPr>
            <w:r>
              <w:rPr>
                <w:rFonts w:ascii="宋体" w:hAnsi="宋体" w:eastAsia="宋体" w:cs="宋体"/>
                <w:color w:val="auto"/>
                <w:sz w:val="32"/>
                <w:highlight w:val="none"/>
              </w:rPr>
              <w:t>项目编号：</w:t>
            </w:r>
          </w:p>
        </w:tc>
        <w:tc>
          <w:tcPr>
            <w:tcW w:w="3841" w:type="dxa"/>
            <w:vAlign w:val="center"/>
          </w:tcPr>
          <w:p w14:paraId="19FCC5E9">
            <w:pPr>
              <w:spacing w:line="360" w:lineRule="auto"/>
              <w:rPr>
                <w:rFonts w:hint="default" w:ascii="宋体" w:hAnsi="宋体" w:eastAsia="微软雅黑" w:cs="宋体"/>
                <w:color w:val="auto"/>
                <w:sz w:val="32"/>
                <w:szCs w:val="32"/>
                <w:highlight w:val="none"/>
                <w:lang w:val="en-US" w:eastAsia="zh-CN"/>
              </w:rPr>
            </w:pPr>
            <w:r>
              <w:rPr>
                <w:rFonts w:hint="eastAsia" w:ascii="宋体" w:hAnsi="宋体" w:eastAsia="微软雅黑" w:cs="宋体"/>
                <w:color w:val="auto"/>
                <w:sz w:val="32"/>
                <w:szCs w:val="32"/>
                <w:highlight w:val="none"/>
                <w:lang w:val="en-US" w:eastAsia="zh-CN"/>
              </w:rPr>
              <w:t>ZJHY20250616001</w:t>
            </w:r>
          </w:p>
        </w:tc>
      </w:tr>
    </w:tbl>
    <w:p w14:paraId="0CE787DE">
      <w:pPr>
        <w:pStyle w:val="3"/>
        <w:rPr>
          <w:color w:val="auto"/>
          <w:highlight w:val="none"/>
        </w:rPr>
      </w:pPr>
    </w:p>
    <w:p w14:paraId="29540D77">
      <w:pPr>
        <w:pStyle w:val="3"/>
        <w:rPr>
          <w:color w:val="auto"/>
          <w:highlight w:val="none"/>
        </w:rPr>
      </w:pPr>
    </w:p>
    <w:p w14:paraId="18956274">
      <w:pPr>
        <w:pStyle w:val="3"/>
        <w:ind w:firstLine="0" w:firstLineChars="0"/>
        <w:rPr>
          <w:color w:val="auto"/>
          <w:highlight w:val="none"/>
        </w:rPr>
      </w:pPr>
    </w:p>
    <w:p w14:paraId="35EEB5E9">
      <w:pPr>
        <w:pStyle w:val="3"/>
        <w:rPr>
          <w:color w:val="auto"/>
          <w:highlight w:val="none"/>
        </w:rPr>
      </w:pPr>
    </w:p>
    <w:p w14:paraId="21C58736">
      <w:pPr>
        <w:pStyle w:val="7"/>
        <w:ind w:firstLine="0"/>
        <w:rPr>
          <w:rFonts w:hint="default"/>
          <w:color w:val="auto"/>
          <w:highlight w:val="none"/>
        </w:rPr>
      </w:pPr>
    </w:p>
    <w:p w14:paraId="31E0D4BF">
      <w:pPr>
        <w:pStyle w:val="3"/>
        <w:rPr>
          <w:color w:val="auto"/>
          <w:highlight w:val="none"/>
        </w:rPr>
      </w:pPr>
    </w:p>
    <w:p w14:paraId="1A808E98">
      <w:pPr>
        <w:pStyle w:val="3"/>
        <w:rPr>
          <w:color w:val="auto"/>
          <w:highlight w:val="none"/>
        </w:rPr>
      </w:pPr>
    </w:p>
    <w:p w14:paraId="72334EC9">
      <w:pPr>
        <w:pStyle w:val="3"/>
        <w:rPr>
          <w:color w:val="auto"/>
          <w:highlight w:val="none"/>
        </w:rPr>
      </w:pPr>
    </w:p>
    <w:p w14:paraId="6CC8A3A8">
      <w:pPr>
        <w:pStyle w:val="3"/>
        <w:rPr>
          <w:color w:val="auto"/>
          <w:highlight w:val="none"/>
        </w:rPr>
      </w:pPr>
    </w:p>
    <w:p w14:paraId="194E6AB9">
      <w:pPr>
        <w:pStyle w:val="7"/>
        <w:rPr>
          <w:rFonts w:hint="default"/>
          <w:color w:val="auto"/>
          <w:highlight w:val="none"/>
        </w:rPr>
      </w:pPr>
    </w:p>
    <w:tbl>
      <w:tblPr>
        <w:tblStyle w:val="21"/>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6B7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7060EBAF">
            <w:pPr>
              <w:adjustRightInd w:val="0"/>
              <w:spacing w:line="360" w:lineRule="auto"/>
              <w:jc w:val="center"/>
              <w:rPr>
                <w:rFonts w:ascii="宋体" w:hAnsi="宋体" w:eastAsia="宋体" w:cs="宋体"/>
                <w:color w:val="auto"/>
                <w:sz w:val="24"/>
                <w:highlight w:val="none"/>
              </w:rPr>
            </w:pPr>
            <w:r>
              <w:rPr>
                <w:rFonts w:ascii="宋体" w:hAnsi="宋体" w:eastAsia="宋体" w:cs="宋体"/>
                <w:color w:val="auto"/>
                <w:sz w:val="32"/>
                <w:szCs w:val="32"/>
                <w:highlight w:val="none"/>
                <w:lang w:val="zh-CN"/>
              </w:rPr>
              <w:t>采</w:t>
            </w:r>
            <w:r>
              <w:rPr>
                <w:rFonts w:ascii="宋体" w:hAnsi="宋体" w:eastAsia="宋体" w:cs="宋体"/>
                <w:color w:val="auto"/>
                <w:sz w:val="32"/>
                <w:szCs w:val="32"/>
                <w:highlight w:val="none"/>
              </w:rPr>
              <w:t xml:space="preserve">   </w:t>
            </w:r>
            <w:r>
              <w:rPr>
                <w:rFonts w:ascii="宋体" w:hAnsi="宋体" w:eastAsia="宋体" w:cs="宋体"/>
                <w:color w:val="auto"/>
                <w:sz w:val="32"/>
                <w:szCs w:val="32"/>
                <w:highlight w:val="none"/>
                <w:lang w:val="zh-CN"/>
              </w:rPr>
              <w:t>购</w:t>
            </w:r>
            <w:r>
              <w:rPr>
                <w:rFonts w:ascii="宋体" w:hAnsi="宋体" w:eastAsia="宋体" w:cs="宋体"/>
                <w:color w:val="auto"/>
                <w:sz w:val="32"/>
                <w:szCs w:val="32"/>
                <w:highlight w:val="none"/>
              </w:rPr>
              <w:t xml:space="preserve">   </w:t>
            </w:r>
            <w:r>
              <w:rPr>
                <w:rFonts w:ascii="宋体" w:hAnsi="宋体" w:eastAsia="宋体" w:cs="宋体"/>
                <w:color w:val="auto"/>
                <w:sz w:val="32"/>
                <w:szCs w:val="32"/>
                <w:highlight w:val="none"/>
                <w:lang w:val="zh-CN"/>
              </w:rPr>
              <w:t>人：</w:t>
            </w:r>
          </w:p>
        </w:tc>
        <w:tc>
          <w:tcPr>
            <w:tcW w:w="6270" w:type="dxa"/>
          </w:tcPr>
          <w:p w14:paraId="513E866B">
            <w:pPr>
              <w:autoSpaceDE w:val="0"/>
              <w:autoSpaceDN w:val="0"/>
              <w:adjustRightIn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32"/>
                <w:szCs w:val="32"/>
                <w:highlight w:val="none"/>
                <w:lang w:val="zh-CN"/>
              </w:rPr>
              <w:t>浦江县教育局</w:t>
            </w:r>
          </w:p>
        </w:tc>
      </w:tr>
      <w:tr w14:paraId="76F1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5" w:type="dxa"/>
          </w:tcPr>
          <w:p w14:paraId="2CE0D4A6">
            <w:pPr>
              <w:adjustRightInd w:val="0"/>
              <w:spacing w:line="360" w:lineRule="auto"/>
              <w:jc w:val="center"/>
              <w:rPr>
                <w:rFonts w:ascii="宋体" w:hAnsi="宋体" w:eastAsia="宋体" w:cs="宋体"/>
                <w:color w:val="auto"/>
                <w:sz w:val="24"/>
                <w:highlight w:val="none"/>
              </w:rPr>
            </w:pPr>
            <w:r>
              <w:rPr>
                <w:rFonts w:ascii="宋体" w:hAnsi="宋体" w:eastAsia="宋体" w:cs="宋体"/>
                <w:color w:val="auto"/>
                <w:sz w:val="32"/>
                <w:szCs w:val="32"/>
                <w:highlight w:val="none"/>
                <w:lang w:val="zh-CN"/>
              </w:rPr>
              <w:t>采购代理机构：</w:t>
            </w:r>
          </w:p>
        </w:tc>
        <w:tc>
          <w:tcPr>
            <w:tcW w:w="6270" w:type="dxa"/>
          </w:tcPr>
          <w:p w14:paraId="484AC197">
            <w:pPr>
              <w:autoSpaceDE w:val="0"/>
              <w:autoSpaceDN w:val="0"/>
              <w:adjustRightInd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32"/>
                <w:szCs w:val="32"/>
                <w:highlight w:val="none"/>
                <w:lang w:val="zh-CN"/>
              </w:rPr>
              <w:t>浙江宏誉工程咨询有限公司</w:t>
            </w:r>
          </w:p>
        </w:tc>
      </w:tr>
      <w:tr w14:paraId="3065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55" w:type="dxa"/>
            <w:gridSpan w:val="2"/>
          </w:tcPr>
          <w:p w14:paraId="2E272FE6">
            <w:pPr>
              <w:autoSpaceDE w:val="0"/>
              <w:autoSpaceDN w:val="0"/>
              <w:adjustRightInd w:val="0"/>
              <w:spacing w:line="360" w:lineRule="auto"/>
              <w:jc w:val="center"/>
              <w:rPr>
                <w:rFonts w:ascii="宋体" w:hAnsi="宋体" w:eastAsia="宋体" w:cs="宋体"/>
                <w:color w:val="auto"/>
                <w:sz w:val="24"/>
                <w:highlight w:val="none"/>
              </w:rPr>
            </w:pPr>
            <w:r>
              <w:rPr>
                <w:rFonts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6</w:t>
            </w:r>
            <w:r>
              <w:rPr>
                <w:rFonts w:ascii="宋体" w:hAnsi="宋体" w:eastAsia="宋体" w:cs="宋体"/>
                <w:color w:val="auto"/>
                <w:sz w:val="32"/>
                <w:szCs w:val="32"/>
                <w:highlight w:val="none"/>
              </w:rPr>
              <w:t>月</w:t>
            </w:r>
          </w:p>
        </w:tc>
      </w:tr>
    </w:tbl>
    <w:p w14:paraId="5BDD812A">
      <w:pPr>
        <w:pStyle w:val="3"/>
        <w:ind w:firstLine="0" w:firstLineChars="0"/>
        <w:rPr>
          <w:color w:val="auto"/>
          <w:highlight w:val="none"/>
        </w:rPr>
      </w:pPr>
    </w:p>
    <w:p w14:paraId="5BB11B45">
      <w:pPr>
        <w:pStyle w:val="3"/>
        <w:ind w:firstLine="0" w:firstLineChars="0"/>
        <w:rPr>
          <w:color w:val="auto"/>
          <w:highlight w:val="none"/>
        </w:rPr>
      </w:pPr>
    </w:p>
    <w:p w14:paraId="34701F4D">
      <w:pPr>
        <w:pStyle w:val="3"/>
        <w:ind w:firstLine="0" w:firstLineChars="0"/>
        <w:rPr>
          <w:color w:val="auto"/>
          <w:highlight w:val="none"/>
        </w:rPr>
      </w:pPr>
    </w:p>
    <w:p w14:paraId="4C6DA2C4">
      <w:pPr>
        <w:pStyle w:val="3"/>
        <w:ind w:firstLine="0" w:firstLineChars="0"/>
        <w:rPr>
          <w:color w:val="auto"/>
          <w:highlight w:val="none"/>
        </w:rPr>
      </w:pPr>
    </w:p>
    <w:p w14:paraId="250A1238">
      <w:pPr>
        <w:pStyle w:val="3"/>
        <w:ind w:firstLine="0" w:firstLineChars="0"/>
        <w:rPr>
          <w:color w:val="auto"/>
          <w:highlight w:val="none"/>
        </w:rPr>
      </w:pPr>
    </w:p>
    <w:p w14:paraId="0E69C018">
      <w:pPr>
        <w:pStyle w:val="3"/>
        <w:ind w:firstLine="0" w:firstLineChars="0"/>
        <w:rPr>
          <w:color w:val="auto"/>
          <w:highlight w:val="none"/>
        </w:rPr>
      </w:pPr>
    </w:p>
    <w:p w14:paraId="09FB12B8">
      <w:pPr>
        <w:pStyle w:val="3"/>
        <w:ind w:firstLine="0" w:firstLineChars="0"/>
        <w:rPr>
          <w:color w:val="auto"/>
          <w:highlight w:val="none"/>
        </w:rPr>
      </w:pPr>
    </w:p>
    <w:p w14:paraId="0009C097">
      <w:pPr>
        <w:pStyle w:val="3"/>
        <w:ind w:firstLine="0" w:firstLineChars="0"/>
        <w:rPr>
          <w:color w:val="auto"/>
          <w:highlight w:val="none"/>
        </w:rPr>
      </w:pPr>
    </w:p>
    <w:p w14:paraId="112E069F">
      <w:pPr>
        <w:pStyle w:val="3"/>
        <w:ind w:firstLine="0" w:firstLineChars="0"/>
        <w:rPr>
          <w:color w:val="auto"/>
          <w:highlight w:val="none"/>
        </w:rPr>
      </w:pPr>
    </w:p>
    <w:p w14:paraId="2DC0CA38">
      <w:pPr>
        <w:pStyle w:val="3"/>
        <w:ind w:firstLine="0" w:firstLineChars="0"/>
        <w:rPr>
          <w:color w:val="auto"/>
          <w:highlight w:val="none"/>
        </w:rPr>
      </w:pPr>
    </w:p>
    <w:p w14:paraId="581AA046">
      <w:pPr>
        <w:pStyle w:val="3"/>
        <w:ind w:firstLine="0" w:firstLineChars="0"/>
        <w:rPr>
          <w:color w:val="auto"/>
          <w:highlight w:val="none"/>
        </w:rPr>
      </w:pPr>
    </w:p>
    <w:p w14:paraId="10839492">
      <w:pPr>
        <w:pStyle w:val="3"/>
        <w:ind w:firstLine="0" w:firstLineChars="0"/>
        <w:rPr>
          <w:color w:val="auto"/>
          <w:highlight w:val="none"/>
        </w:rPr>
      </w:pPr>
    </w:p>
    <w:p w14:paraId="22E7512D">
      <w:pPr>
        <w:pStyle w:val="3"/>
        <w:ind w:firstLine="0" w:firstLineChars="0"/>
        <w:rPr>
          <w:color w:val="auto"/>
          <w:highlight w:val="none"/>
        </w:rPr>
      </w:pPr>
    </w:p>
    <w:p w14:paraId="1F21DE4D">
      <w:pPr>
        <w:pStyle w:val="3"/>
        <w:ind w:firstLine="0" w:firstLineChars="0"/>
        <w:rPr>
          <w:color w:val="auto"/>
          <w:highlight w:val="none"/>
        </w:rPr>
      </w:pPr>
    </w:p>
    <w:p w14:paraId="7159F73A">
      <w:pPr>
        <w:pStyle w:val="3"/>
        <w:ind w:firstLine="0" w:firstLineChars="0"/>
        <w:rPr>
          <w:color w:val="auto"/>
          <w:highlight w:val="none"/>
        </w:rPr>
      </w:pPr>
    </w:p>
    <w:p w14:paraId="236E624F">
      <w:pPr>
        <w:pStyle w:val="3"/>
        <w:ind w:firstLine="0" w:firstLineChars="0"/>
        <w:rPr>
          <w:color w:val="auto"/>
          <w:highlight w:val="none"/>
        </w:rPr>
      </w:pPr>
    </w:p>
    <w:p w14:paraId="5CBE3C73">
      <w:pPr>
        <w:pStyle w:val="3"/>
        <w:ind w:firstLine="0" w:firstLineChars="0"/>
        <w:rPr>
          <w:color w:val="auto"/>
          <w:highlight w:val="none"/>
        </w:rPr>
      </w:pPr>
    </w:p>
    <w:p w14:paraId="0921FA1F">
      <w:pPr>
        <w:pStyle w:val="3"/>
        <w:ind w:firstLine="0" w:firstLineChars="0"/>
        <w:rPr>
          <w:color w:val="auto"/>
          <w:highlight w:val="none"/>
        </w:rPr>
      </w:pPr>
    </w:p>
    <w:p w14:paraId="778531C7">
      <w:pPr>
        <w:pStyle w:val="3"/>
        <w:ind w:firstLine="0" w:firstLineChars="0"/>
        <w:rPr>
          <w:color w:val="auto"/>
          <w:highlight w:val="none"/>
        </w:rPr>
      </w:pPr>
    </w:p>
    <w:p w14:paraId="4BD39A2D">
      <w:pPr>
        <w:pStyle w:val="3"/>
        <w:ind w:firstLine="0" w:firstLineChars="0"/>
        <w:rPr>
          <w:color w:val="auto"/>
          <w:highlight w:val="none"/>
        </w:rPr>
      </w:pPr>
    </w:p>
    <w:p w14:paraId="0FCE85FE">
      <w:pPr>
        <w:pStyle w:val="3"/>
        <w:ind w:firstLine="0" w:firstLineChars="0"/>
        <w:rPr>
          <w:color w:val="auto"/>
          <w:highlight w:val="none"/>
        </w:rPr>
      </w:pPr>
    </w:p>
    <w:p w14:paraId="00F72C5B">
      <w:pPr>
        <w:pStyle w:val="3"/>
        <w:ind w:firstLine="0" w:firstLineChars="0"/>
        <w:rPr>
          <w:color w:val="auto"/>
          <w:highlight w:val="none"/>
        </w:rPr>
      </w:pPr>
    </w:p>
    <w:p w14:paraId="256D52B0">
      <w:pPr>
        <w:pStyle w:val="3"/>
        <w:ind w:firstLine="0" w:firstLineChars="0"/>
        <w:rPr>
          <w:color w:val="auto"/>
          <w:highlight w:val="none"/>
        </w:rPr>
      </w:pPr>
    </w:p>
    <w:p w14:paraId="6E09E32E">
      <w:pPr>
        <w:pStyle w:val="3"/>
        <w:ind w:firstLine="0" w:firstLineChars="0"/>
        <w:rPr>
          <w:color w:val="auto"/>
          <w:highlight w:val="none"/>
        </w:rPr>
      </w:pPr>
    </w:p>
    <w:p w14:paraId="0C5D5EBA">
      <w:pPr>
        <w:pStyle w:val="2"/>
        <w:ind w:firstLine="560"/>
        <w:rPr>
          <w:rFonts w:hint="default"/>
          <w:color w:val="auto"/>
          <w:highlight w:val="none"/>
        </w:rPr>
      </w:pPr>
    </w:p>
    <w:p w14:paraId="7507BCF0">
      <w:pPr>
        <w:adjustRightInd w:val="0"/>
        <w:spacing w:line="360" w:lineRule="auto"/>
        <w:jc w:val="center"/>
        <w:rPr>
          <w:rFonts w:asciiTheme="minorEastAsia" w:hAnsiTheme="minorEastAsia" w:eastAsiaTheme="minorEastAsia" w:cstheme="minorEastAsia"/>
          <w:b/>
          <w:color w:val="auto"/>
          <w:sz w:val="48"/>
          <w:szCs w:val="48"/>
          <w:highlight w:val="none"/>
        </w:rPr>
      </w:pPr>
    </w:p>
    <w:p w14:paraId="313C8065">
      <w:pPr>
        <w:pStyle w:val="2"/>
        <w:ind w:firstLine="964"/>
        <w:rPr>
          <w:rFonts w:asciiTheme="minorEastAsia" w:hAnsiTheme="minorEastAsia" w:eastAsiaTheme="minorEastAsia" w:cstheme="minorEastAsia"/>
          <w:b/>
          <w:color w:val="auto"/>
          <w:sz w:val="48"/>
          <w:szCs w:val="48"/>
          <w:highlight w:val="none"/>
        </w:rPr>
        <w:sectPr>
          <w:headerReference r:id="rId5" w:type="default"/>
          <w:footerReference r:id="rId6" w:type="default"/>
          <w:pgSz w:w="11906" w:h="16838"/>
          <w:pgMar w:top="1701" w:right="1106" w:bottom="1217" w:left="1461" w:header="1077" w:footer="597" w:gutter="0"/>
          <w:cols w:space="720" w:num="1"/>
          <w:docGrid w:type="lines" w:linePitch="312" w:charSpace="0"/>
        </w:sectPr>
      </w:pPr>
    </w:p>
    <w:p w14:paraId="1EC435C3">
      <w:pPr>
        <w:adjustRightInd w:val="0"/>
        <w:spacing w:line="360" w:lineRule="auto"/>
        <w:rPr>
          <w:rFonts w:asciiTheme="minorEastAsia" w:hAnsiTheme="minorEastAsia" w:eastAsiaTheme="minorEastAsia" w:cstheme="minorEastAsia"/>
          <w:b/>
          <w:color w:val="auto"/>
          <w:sz w:val="48"/>
          <w:szCs w:val="48"/>
          <w:highlight w:val="none"/>
        </w:rPr>
      </w:pPr>
    </w:p>
    <w:p w14:paraId="684F431E">
      <w:pPr>
        <w:adjustRightInd w:val="0"/>
        <w:spacing w:line="360" w:lineRule="auto"/>
        <w:jc w:val="center"/>
        <w:rPr>
          <w:rFonts w:asciiTheme="minorEastAsia" w:hAnsiTheme="minorEastAsia" w:eastAsiaTheme="minorEastAsia" w:cstheme="minorEastAsia"/>
          <w:b/>
          <w:color w:val="auto"/>
          <w:sz w:val="48"/>
          <w:szCs w:val="48"/>
          <w:highlight w:val="none"/>
        </w:rPr>
      </w:pPr>
      <w:r>
        <w:rPr>
          <w:rFonts w:asciiTheme="minorEastAsia" w:hAnsiTheme="minorEastAsia" w:eastAsiaTheme="minorEastAsia" w:cstheme="minorEastAsia"/>
          <w:b/>
          <w:color w:val="auto"/>
          <w:sz w:val="48"/>
          <w:szCs w:val="48"/>
          <w:highlight w:val="none"/>
        </w:rPr>
        <w:t>目  录</w:t>
      </w:r>
    </w:p>
    <w:p w14:paraId="43CEC877">
      <w:pPr>
        <w:adjustRightInd w:val="0"/>
        <w:spacing w:line="360" w:lineRule="auto"/>
        <w:rPr>
          <w:rFonts w:asciiTheme="minorEastAsia" w:hAnsiTheme="minorEastAsia" w:eastAsiaTheme="minorEastAsia" w:cstheme="minorEastAsia"/>
          <w:color w:val="auto"/>
          <w:sz w:val="32"/>
          <w:szCs w:val="32"/>
          <w:highlight w:val="none"/>
        </w:rPr>
      </w:pPr>
    </w:p>
    <w:p w14:paraId="6EED4CA7">
      <w:pPr>
        <w:adjustRightInd w:val="0"/>
        <w:spacing w:line="360" w:lineRule="auto"/>
        <w:rPr>
          <w:rFonts w:asciiTheme="minorEastAsia" w:hAnsiTheme="minorEastAsia" w:eastAsiaTheme="minorEastAsia" w:cstheme="minorEastAsia"/>
          <w:color w:val="auto"/>
          <w:sz w:val="32"/>
          <w:szCs w:val="32"/>
          <w:highlight w:val="none"/>
        </w:rPr>
      </w:pPr>
    </w:p>
    <w:p w14:paraId="20A29130">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第一部分      采购公告</w:t>
      </w:r>
    </w:p>
    <w:p w14:paraId="17A8B548">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第二部分      投标人须知</w:t>
      </w:r>
    </w:p>
    <w:p w14:paraId="3E3F52A3">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第三部分      采购需求</w:t>
      </w:r>
    </w:p>
    <w:p w14:paraId="1E521BFF">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第四部分      评标办法</w:t>
      </w:r>
    </w:p>
    <w:p w14:paraId="4F08C4E0">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第五部分      拟签订的合同文本</w:t>
      </w:r>
    </w:p>
    <w:p w14:paraId="1E75AAE8">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第六部分      应提交的有关格式范例</w:t>
      </w:r>
    </w:p>
    <w:p w14:paraId="232A3E7B">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第七部分      其他</w:t>
      </w:r>
    </w:p>
    <w:p w14:paraId="26ABB101">
      <w:pPr>
        <w:adjustRightInd w:val="0"/>
        <w:spacing w:line="360" w:lineRule="auto"/>
        <w:ind w:firstLine="1280" w:firstLineChars="400"/>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 xml:space="preserve">  </w:t>
      </w:r>
    </w:p>
    <w:p w14:paraId="23B22F4F">
      <w:pPr>
        <w:rPr>
          <w:rFonts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br w:type="textWrapping"/>
      </w:r>
    </w:p>
    <w:p w14:paraId="05CDA92B">
      <w:pPr>
        <w:pStyle w:val="2"/>
        <w:ind w:firstLine="640"/>
        <w:rPr>
          <w:rFonts w:asciiTheme="minorEastAsia" w:hAnsiTheme="minorEastAsia" w:eastAsiaTheme="minorEastAsia" w:cstheme="minorEastAsia"/>
          <w:color w:val="auto"/>
          <w:sz w:val="32"/>
          <w:szCs w:val="32"/>
          <w:highlight w:val="none"/>
        </w:rPr>
      </w:pPr>
    </w:p>
    <w:p w14:paraId="3DDF8454">
      <w:pPr>
        <w:rPr>
          <w:rFonts w:asciiTheme="minorEastAsia" w:hAnsiTheme="minorEastAsia" w:eastAsiaTheme="minorEastAsia" w:cstheme="minorEastAsia"/>
          <w:color w:val="auto"/>
          <w:sz w:val="32"/>
          <w:szCs w:val="32"/>
          <w:highlight w:val="none"/>
        </w:rPr>
      </w:pPr>
    </w:p>
    <w:p w14:paraId="42E45CB6">
      <w:pPr>
        <w:pStyle w:val="2"/>
        <w:ind w:firstLine="640"/>
        <w:rPr>
          <w:rFonts w:asciiTheme="minorEastAsia" w:hAnsiTheme="minorEastAsia" w:eastAsiaTheme="minorEastAsia" w:cstheme="minorEastAsia"/>
          <w:color w:val="auto"/>
          <w:sz w:val="32"/>
          <w:szCs w:val="32"/>
          <w:highlight w:val="none"/>
        </w:rPr>
      </w:pPr>
    </w:p>
    <w:p w14:paraId="4DC595EC">
      <w:pPr>
        <w:rPr>
          <w:rFonts w:asciiTheme="minorEastAsia" w:hAnsiTheme="minorEastAsia" w:eastAsiaTheme="minorEastAsia" w:cstheme="minorEastAsia"/>
          <w:color w:val="auto"/>
          <w:sz w:val="32"/>
          <w:szCs w:val="32"/>
          <w:highlight w:val="none"/>
        </w:rPr>
      </w:pPr>
    </w:p>
    <w:p w14:paraId="3015567A">
      <w:pPr>
        <w:pStyle w:val="2"/>
        <w:ind w:firstLine="640"/>
        <w:rPr>
          <w:rFonts w:asciiTheme="minorEastAsia" w:hAnsiTheme="minorEastAsia" w:eastAsiaTheme="minorEastAsia" w:cstheme="minorEastAsia"/>
          <w:color w:val="auto"/>
          <w:sz w:val="32"/>
          <w:szCs w:val="32"/>
          <w:highlight w:val="none"/>
        </w:rPr>
      </w:pPr>
    </w:p>
    <w:p w14:paraId="3DA354B2">
      <w:pPr>
        <w:spacing w:line="360" w:lineRule="auto"/>
        <w:outlineLvl w:val="0"/>
        <w:rPr>
          <w:rFonts w:asciiTheme="minorEastAsia" w:hAnsiTheme="minorEastAsia" w:eastAsiaTheme="minorEastAsia" w:cstheme="minorEastAsia"/>
          <w:b/>
          <w:color w:val="auto"/>
          <w:sz w:val="36"/>
          <w:highlight w:val="none"/>
        </w:rPr>
      </w:pPr>
    </w:p>
    <w:p w14:paraId="3DF50A5B">
      <w:pPr>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7C9B08CA">
      <w:pPr>
        <w:spacing w:line="360" w:lineRule="auto"/>
        <w:jc w:val="center"/>
        <w:outlineLvl w:val="0"/>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第一部分 采购公告</w:t>
      </w:r>
    </w:p>
    <w:tbl>
      <w:tblPr>
        <w:tblStyle w:val="2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7FC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62AD3560">
            <w:pPr>
              <w:widowControl/>
              <w:spacing w:line="390" w:lineRule="exact"/>
              <w:jc w:val="left"/>
              <w:rPr>
                <w:rFonts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项目概况：</w:t>
            </w:r>
          </w:p>
          <w:p w14:paraId="29E597CA">
            <w:pPr>
              <w:widowControl/>
              <w:spacing w:line="390" w:lineRule="exact"/>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 xml:space="preserve">浦江县城区幼儿园金狮湖幼儿园建设项目幼儿园玩具  </w:t>
            </w:r>
            <w:r>
              <w:rPr>
                <w:rFonts w:asciiTheme="minorEastAsia" w:hAnsiTheme="minorEastAsia" w:eastAsiaTheme="minorEastAsia" w:cstheme="minorEastAsia"/>
                <w:color w:val="auto"/>
                <w:kern w:val="0"/>
                <w:sz w:val="24"/>
                <w:szCs w:val="24"/>
                <w:highlight w:val="none"/>
              </w:rPr>
              <w:t>招标项目的潜在投标人应在</w:t>
            </w:r>
            <w:r>
              <w:rPr>
                <w:rFonts w:asciiTheme="minorEastAsia" w:hAnsiTheme="minorEastAsia" w:eastAsiaTheme="minorEastAsia" w:cstheme="minorEastAsia"/>
                <w:color w:val="auto"/>
                <w:kern w:val="0"/>
                <w:sz w:val="24"/>
                <w:szCs w:val="24"/>
                <w:highlight w:val="none"/>
                <w:u w:val="single"/>
              </w:rPr>
              <w:t>浙江政府采购网（https://zfcg.czt.zj.gov.cn/）</w:t>
            </w:r>
            <w:r>
              <w:rPr>
                <w:rFonts w:asciiTheme="minorEastAsia" w:hAnsiTheme="minorEastAsia" w:eastAsiaTheme="minorEastAsia" w:cstheme="minorEastAsia"/>
                <w:color w:val="auto"/>
                <w:kern w:val="0"/>
                <w:sz w:val="24"/>
                <w:szCs w:val="24"/>
                <w:highlight w:val="none"/>
              </w:rPr>
              <w:t>获取（下载）招标文件，并于</w:t>
            </w:r>
            <w:r>
              <w:rPr>
                <w:rFonts w:asciiTheme="minorEastAsia" w:hAnsiTheme="minorEastAsia" w:eastAsiaTheme="minorEastAsia" w:cstheme="minorEastAsia"/>
                <w:color w:val="auto"/>
                <w:kern w:val="0"/>
                <w:sz w:val="24"/>
                <w:szCs w:val="24"/>
                <w:highlight w:val="none"/>
                <w:u w:val="single"/>
                <w:shd w:val="clear" w:color="auto" w:fill="auto"/>
              </w:rPr>
              <w:t>202</w:t>
            </w:r>
            <w:r>
              <w:rPr>
                <w:rFonts w:hint="eastAsia" w:asciiTheme="minorEastAsia" w:hAnsiTheme="minorEastAsia" w:eastAsiaTheme="minorEastAsia" w:cstheme="minorEastAsia"/>
                <w:color w:val="auto"/>
                <w:kern w:val="0"/>
                <w:sz w:val="24"/>
                <w:szCs w:val="24"/>
                <w:highlight w:val="none"/>
                <w:u w:val="single"/>
                <w:shd w:val="clear" w:color="auto" w:fill="auto"/>
                <w:lang w:val="en-US" w:eastAsia="zh-CN"/>
              </w:rPr>
              <w:t>5</w:t>
            </w:r>
            <w:r>
              <w:rPr>
                <w:rFonts w:asciiTheme="minorEastAsia" w:hAnsiTheme="minorEastAsia" w:eastAsiaTheme="minorEastAsia" w:cstheme="minorEastAsia"/>
                <w:color w:val="auto"/>
                <w:kern w:val="0"/>
                <w:sz w:val="24"/>
                <w:szCs w:val="24"/>
                <w:highlight w:val="none"/>
                <w:u w:val="single"/>
                <w:shd w:val="clear" w:color="auto" w:fill="auto"/>
              </w:rPr>
              <w:t>年</w:t>
            </w:r>
            <w:r>
              <w:rPr>
                <w:rFonts w:hint="eastAsia" w:asciiTheme="minorEastAsia" w:hAnsiTheme="minorEastAsia" w:eastAsiaTheme="minorEastAsia" w:cstheme="minorEastAsia"/>
                <w:color w:val="auto"/>
                <w:kern w:val="0"/>
                <w:sz w:val="24"/>
                <w:szCs w:val="24"/>
                <w:highlight w:val="none"/>
                <w:u w:val="single"/>
                <w:shd w:val="clear" w:color="auto" w:fill="auto"/>
                <w:lang w:val="en-US" w:eastAsia="zh-CN"/>
              </w:rPr>
              <w:t>7</w:t>
            </w:r>
            <w:r>
              <w:rPr>
                <w:rFonts w:asciiTheme="minorEastAsia" w:hAnsiTheme="minorEastAsia" w:eastAsiaTheme="minorEastAsia" w:cstheme="minorEastAsia"/>
                <w:color w:val="auto"/>
                <w:kern w:val="0"/>
                <w:sz w:val="24"/>
                <w:szCs w:val="24"/>
                <w:highlight w:val="none"/>
                <w:u w:val="single"/>
                <w:shd w:val="clear" w:color="auto" w:fill="auto"/>
              </w:rPr>
              <w:t>月</w:t>
            </w:r>
            <w:r>
              <w:rPr>
                <w:rFonts w:hint="eastAsia" w:asciiTheme="minorEastAsia" w:hAnsiTheme="minorEastAsia" w:eastAsiaTheme="minorEastAsia" w:cstheme="minorEastAsia"/>
                <w:color w:val="auto"/>
                <w:kern w:val="0"/>
                <w:sz w:val="24"/>
                <w:szCs w:val="24"/>
                <w:highlight w:val="none"/>
                <w:u w:val="single"/>
                <w:shd w:val="clear" w:color="auto" w:fill="auto"/>
                <w:lang w:val="en-US" w:eastAsia="zh-CN"/>
              </w:rPr>
              <w:t xml:space="preserve">15 </w:t>
            </w:r>
            <w:r>
              <w:rPr>
                <w:rFonts w:asciiTheme="minorEastAsia" w:hAnsiTheme="minorEastAsia" w:eastAsiaTheme="minorEastAsia" w:cstheme="minorEastAsia"/>
                <w:color w:val="auto"/>
                <w:kern w:val="0"/>
                <w:sz w:val="24"/>
                <w:szCs w:val="24"/>
                <w:highlight w:val="none"/>
                <w:u w:val="single"/>
                <w:shd w:val="clear" w:color="auto" w:fill="auto"/>
              </w:rPr>
              <w:t>日</w:t>
            </w:r>
            <w:r>
              <w:rPr>
                <w:rFonts w:hint="eastAsia" w:asciiTheme="minorEastAsia" w:hAnsiTheme="minorEastAsia" w:eastAsiaTheme="minorEastAsia" w:cstheme="minorEastAsia"/>
                <w:color w:val="auto"/>
                <w:kern w:val="0"/>
                <w:sz w:val="24"/>
                <w:szCs w:val="24"/>
                <w:highlight w:val="none"/>
                <w:u w:val="single"/>
                <w:shd w:val="clear" w:color="auto" w:fill="auto"/>
                <w:lang w:val="en-US" w:eastAsia="zh-CN"/>
              </w:rPr>
              <w:t xml:space="preserve">14 </w:t>
            </w:r>
            <w:r>
              <w:rPr>
                <w:rFonts w:asciiTheme="minorEastAsia" w:hAnsiTheme="minorEastAsia" w:eastAsiaTheme="minorEastAsia" w:cstheme="minorEastAsia"/>
                <w:color w:val="auto"/>
                <w:kern w:val="0"/>
                <w:sz w:val="24"/>
                <w:szCs w:val="24"/>
                <w:highlight w:val="none"/>
                <w:u w:val="single"/>
                <w:shd w:val="clear" w:color="auto" w:fill="auto"/>
              </w:rPr>
              <w:t>时</w:t>
            </w:r>
            <w:r>
              <w:rPr>
                <w:rFonts w:hint="eastAsia" w:asciiTheme="minorEastAsia" w:hAnsiTheme="minorEastAsia" w:eastAsiaTheme="minorEastAsia" w:cstheme="minorEastAsia"/>
                <w:color w:val="auto"/>
                <w:kern w:val="0"/>
                <w:sz w:val="24"/>
                <w:szCs w:val="24"/>
                <w:highlight w:val="none"/>
                <w:u w:val="single"/>
                <w:shd w:val="clear" w:color="auto" w:fill="auto"/>
                <w:lang w:val="en-US" w:eastAsia="zh-CN"/>
              </w:rPr>
              <w:t>30</w:t>
            </w:r>
            <w:r>
              <w:rPr>
                <w:rFonts w:asciiTheme="minorEastAsia" w:hAnsiTheme="minorEastAsia" w:eastAsiaTheme="minorEastAsia" w:cstheme="minorEastAsia"/>
                <w:color w:val="auto"/>
                <w:kern w:val="0"/>
                <w:sz w:val="24"/>
                <w:szCs w:val="24"/>
                <w:highlight w:val="none"/>
                <w:u w:val="single"/>
                <w:shd w:val="clear" w:color="auto" w:fill="auto"/>
              </w:rPr>
              <w:t>分</w:t>
            </w:r>
            <w:r>
              <w:rPr>
                <w:rFonts w:asciiTheme="minorEastAsia" w:hAnsiTheme="minorEastAsia" w:eastAsiaTheme="minorEastAsia" w:cstheme="minorEastAsia"/>
                <w:bCs/>
                <w:color w:val="auto"/>
                <w:kern w:val="0"/>
                <w:sz w:val="24"/>
                <w:szCs w:val="24"/>
                <w:highlight w:val="none"/>
                <w:u w:val="single"/>
              </w:rPr>
              <w:t>（</w:t>
            </w:r>
            <w:r>
              <w:rPr>
                <w:rFonts w:asciiTheme="minorEastAsia" w:hAnsiTheme="minorEastAsia" w:eastAsiaTheme="minorEastAsia" w:cstheme="minorEastAsia"/>
                <w:bCs/>
                <w:color w:val="auto"/>
                <w:kern w:val="0"/>
                <w:sz w:val="24"/>
                <w:szCs w:val="24"/>
                <w:highlight w:val="none"/>
              </w:rPr>
              <w:t>北京时间）前递交（上传）投标文件</w:t>
            </w:r>
            <w:r>
              <w:rPr>
                <w:rFonts w:asciiTheme="minorEastAsia" w:hAnsiTheme="minorEastAsia" w:eastAsiaTheme="minorEastAsia" w:cstheme="minorEastAsia"/>
                <w:color w:val="auto"/>
                <w:kern w:val="0"/>
                <w:sz w:val="24"/>
                <w:szCs w:val="24"/>
                <w:highlight w:val="none"/>
              </w:rPr>
              <w:t>。</w:t>
            </w:r>
          </w:p>
        </w:tc>
      </w:tr>
    </w:tbl>
    <w:p w14:paraId="6F154E81">
      <w:pPr>
        <w:adjustRightInd w:val="0"/>
        <w:spacing w:line="39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 xml:space="preserve">一、项目基本情况                                            </w:t>
      </w:r>
    </w:p>
    <w:p w14:paraId="0EE6C186">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项目</w:t>
      </w:r>
      <w:r>
        <w:rPr>
          <w:rFonts w:hint="eastAsia" w:asciiTheme="minorEastAsia" w:hAnsiTheme="minorEastAsia" w:eastAsiaTheme="minorEastAsia" w:cstheme="minorEastAsia"/>
          <w:b/>
          <w:bCs/>
          <w:snapToGrid w:val="0"/>
          <w:color w:val="auto"/>
          <w:kern w:val="28"/>
          <w:sz w:val="24"/>
          <w:highlight w:val="none"/>
          <w:lang w:eastAsia="zh-CN"/>
        </w:rPr>
        <w:t>编号：</w:t>
      </w:r>
      <w:r>
        <w:rPr>
          <w:rFonts w:hint="eastAsia" w:asciiTheme="minorEastAsia" w:hAnsiTheme="minorEastAsia" w:eastAsiaTheme="minorEastAsia" w:cstheme="minorEastAsia"/>
          <w:b/>
          <w:bCs/>
          <w:snapToGrid w:val="0"/>
          <w:color w:val="auto"/>
          <w:kern w:val="28"/>
          <w:sz w:val="24"/>
          <w:highlight w:val="none"/>
          <w:lang w:val="en-US" w:eastAsia="zh-CN"/>
        </w:rPr>
        <w:t>ZJHY20250616001</w:t>
      </w:r>
    </w:p>
    <w:p w14:paraId="67495682">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项目名称：</w:t>
      </w:r>
      <w:r>
        <w:rPr>
          <w:rFonts w:hint="eastAsia" w:asciiTheme="minorEastAsia" w:hAnsiTheme="minorEastAsia" w:eastAsiaTheme="minorEastAsia" w:cstheme="minorEastAsia"/>
          <w:b/>
          <w:bCs/>
          <w:snapToGrid w:val="0"/>
          <w:color w:val="auto"/>
          <w:kern w:val="28"/>
          <w:sz w:val="24"/>
          <w:highlight w:val="none"/>
          <w:lang w:eastAsia="zh-CN"/>
        </w:rPr>
        <w:t xml:space="preserve">浦江县城区幼儿园金狮湖幼儿园建设项目幼儿园玩具  </w:t>
      </w:r>
    </w:p>
    <w:p w14:paraId="0388AEDE">
      <w:pPr>
        <w:adjustRightInd w:val="0"/>
        <w:spacing w:line="390" w:lineRule="exact"/>
        <w:ind w:firstLine="480"/>
        <w:rPr>
          <w:rFonts w:hint="default" w:asciiTheme="minorEastAsia" w:hAnsiTheme="minorEastAsia" w:eastAsiaTheme="minorEastAsia" w:cstheme="minorEastAsia"/>
          <w:b/>
          <w:bCs/>
          <w:snapToGrid w:val="0"/>
          <w:color w:val="auto"/>
          <w:kern w:val="28"/>
          <w:sz w:val="24"/>
          <w:highlight w:val="none"/>
          <w:lang w:val="en-US" w:eastAsia="zh-CN"/>
        </w:rPr>
      </w:pPr>
      <w:r>
        <w:rPr>
          <w:rFonts w:asciiTheme="minorEastAsia" w:hAnsiTheme="minorEastAsia" w:eastAsiaTheme="minorEastAsia" w:cstheme="minorEastAsia"/>
          <w:b/>
          <w:bCs/>
          <w:snapToGrid w:val="0"/>
          <w:color w:val="auto"/>
          <w:kern w:val="28"/>
          <w:sz w:val="24"/>
          <w:highlight w:val="none"/>
        </w:rPr>
        <w:t>预算金额（元）：</w:t>
      </w:r>
      <w:r>
        <w:rPr>
          <w:rFonts w:hint="eastAsia" w:asciiTheme="minorEastAsia" w:hAnsiTheme="minorEastAsia" w:eastAsiaTheme="minorEastAsia" w:cstheme="minorEastAsia"/>
          <w:b/>
          <w:bCs/>
          <w:snapToGrid w:val="0"/>
          <w:color w:val="auto"/>
          <w:kern w:val="28"/>
          <w:sz w:val="24"/>
          <w:highlight w:val="none"/>
          <w:lang w:val="en-US" w:eastAsia="zh-CN"/>
        </w:rPr>
        <w:t>600000</w:t>
      </w:r>
    </w:p>
    <w:p w14:paraId="2DA934DF">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最高限价（元）：</w:t>
      </w:r>
      <w:r>
        <w:rPr>
          <w:rFonts w:hint="eastAsia" w:asciiTheme="minorEastAsia" w:hAnsiTheme="minorEastAsia" w:eastAsiaTheme="minorEastAsia" w:cstheme="minorEastAsia"/>
          <w:b/>
          <w:bCs/>
          <w:snapToGrid w:val="0"/>
          <w:color w:val="auto"/>
          <w:kern w:val="28"/>
          <w:sz w:val="24"/>
          <w:highlight w:val="none"/>
          <w:lang w:val="en-US" w:eastAsia="zh-CN"/>
        </w:rPr>
        <w:t>600000</w:t>
      </w:r>
    </w:p>
    <w:p w14:paraId="4F5E07A8">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采购需求：</w:t>
      </w:r>
    </w:p>
    <w:p w14:paraId="65589E28">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标项名称：</w:t>
      </w:r>
      <w:r>
        <w:rPr>
          <w:rFonts w:hint="eastAsia" w:asciiTheme="minorEastAsia" w:hAnsiTheme="minorEastAsia" w:eastAsiaTheme="minorEastAsia" w:cstheme="minorEastAsia"/>
          <w:b/>
          <w:bCs/>
          <w:snapToGrid w:val="0"/>
          <w:color w:val="auto"/>
          <w:kern w:val="28"/>
          <w:sz w:val="24"/>
          <w:highlight w:val="none"/>
          <w:lang w:eastAsia="zh-CN"/>
        </w:rPr>
        <w:t xml:space="preserve">浦江县城区幼儿园金狮湖幼儿园建设项目幼儿园玩具  </w:t>
      </w:r>
    </w:p>
    <w:p w14:paraId="13B8547A">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数量：1</w:t>
      </w:r>
    </w:p>
    <w:p w14:paraId="218D8E09">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预算金额（元）：</w:t>
      </w:r>
      <w:r>
        <w:rPr>
          <w:rFonts w:hint="eastAsia" w:asciiTheme="minorEastAsia" w:hAnsiTheme="minorEastAsia" w:eastAsiaTheme="minorEastAsia" w:cstheme="minorEastAsia"/>
          <w:b/>
          <w:bCs/>
          <w:snapToGrid w:val="0"/>
          <w:color w:val="auto"/>
          <w:kern w:val="28"/>
          <w:sz w:val="24"/>
          <w:highlight w:val="none"/>
          <w:lang w:val="en-US" w:eastAsia="zh-CN"/>
        </w:rPr>
        <w:t>600000</w:t>
      </w:r>
    </w:p>
    <w:p w14:paraId="4E8EAE35">
      <w:pPr>
        <w:adjustRightInd w:val="0"/>
        <w:spacing w:line="390" w:lineRule="exact"/>
        <w:ind w:firstLine="480"/>
        <w:jc w:val="left"/>
        <w:rPr>
          <w:rFonts w:hint="eastAsia" w:asciiTheme="minorEastAsia" w:hAnsiTheme="minorEastAsia" w:eastAsiaTheme="minorEastAsia" w:cstheme="minorEastAsia"/>
          <w:b/>
          <w:bCs/>
          <w:snapToGrid w:val="0"/>
          <w:color w:val="auto"/>
          <w:kern w:val="28"/>
          <w:sz w:val="24"/>
          <w:highlight w:val="none"/>
          <w:lang w:eastAsia="zh-CN"/>
        </w:rPr>
      </w:pPr>
      <w:r>
        <w:rPr>
          <w:rFonts w:asciiTheme="minorEastAsia" w:hAnsiTheme="minorEastAsia" w:eastAsiaTheme="minorEastAsia" w:cstheme="minorEastAsia"/>
          <w:b/>
          <w:bCs/>
          <w:snapToGrid w:val="0"/>
          <w:color w:val="auto"/>
          <w:kern w:val="28"/>
          <w:sz w:val="24"/>
          <w:highlight w:val="none"/>
        </w:rPr>
        <w:t>简要规格描述或项目基本概况介绍、用途：详见采购文件第三部分《采购需求》</w:t>
      </w:r>
      <w:r>
        <w:rPr>
          <w:rFonts w:hint="eastAsia" w:asciiTheme="minorEastAsia" w:hAnsiTheme="minorEastAsia" w:eastAsiaTheme="minorEastAsia" w:cstheme="minorEastAsia"/>
          <w:b/>
          <w:bCs/>
          <w:snapToGrid w:val="0"/>
          <w:color w:val="auto"/>
          <w:kern w:val="28"/>
          <w:sz w:val="24"/>
          <w:highlight w:val="none"/>
          <w:lang w:eastAsia="zh-CN"/>
        </w:rPr>
        <w:t>。</w:t>
      </w:r>
    </w:p>
    <w:p w14:paraId="52BE1745">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备注：</w:t>
      </w:r>
    </w:p>
    <w:p w14:paraId="618FA11C">
      <w:pPr>
        <w:adjustRightInd w:val="0"/>
        <w:spacing w:line="390" w:lineRule="exact"/>
        <w:ind w:firstLine="480"/>
        <w:rPr>
          <w:rFonts w:asciiTheme="minorEastAsia" w:hAnsiTheme="minorEastAsia" w:eastAsiaTheme="minorEastAsia" w:cstheme="minorEastAsia"/>
          <w:b/>
          <w:bCs/>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合同履约期限：具备实施条件并收到采购人通知后</w:t>
      </w:r>
      <w:r>
        <w:rPr>
          <w:rFonts w:hint="eastAsia" w:asciiTheme="minorEastAsia" w:hAnsiTheme="minorEastAsia" w:eastAsiaTheme="minorEastAsia" w:cstheme="minorEastAsia"/>
          <w:b/>
          <w:bCs/>
          <w:snapToGrid w:val="0"/>
          <w:color w:val="auto"/>
          <w:kern w:val="28"/>
          <w:sz w:val="24"/>
          <w:highlight w:val="none"/>
          <w:lang w:val="en-US" w:eastAsia="zh-CN"/>
        </w:rPr>
        <w:t>30</w:t>
      </w:r>
      <w:r>
        <w:rPr>
          <w:rFonts w:asciiTheme="minorEastAsia" w:hAnsiTheme="minorEastAsia" w:eastAsiaTheme="minorEastAsia" w:cstheme="minorEastAsia"/>
          <w:b/>
          <w:bCs/>
          <w:snapToGrid w:val="0"/>
          <w:color w:val="auto"/>
          <w:kern w:val="28"/>
          <w:sz w:val="24"/>
          <w:highlight w:val="none"/>
        </w:rPr>
        <w:t>日历天内完成安装调试</w:t>
      </w:r>
      <w:r>
        <w:rPr>
          <w:rFonts w:hint="eastAsia" w:asciiTheme="minorEastAsia" w:hAnsiTheme="minorEastAsia" w:eastAsiaTheme="minorEastAsia" w:cstheme="minorEastAsia"/>
          <w:b/>
          <w:bCs/>
          <w:snapToGrid w:val="0"/>
          <w:color w:val="auto"/>
          <w:kern w:val="28"/>
          <w:sz w:val="24"/>
          <w:highlight w:val="none"/>
          <w:lang w:val="en-US" w:eastAsia="zh-CN"/>
        </w:rPr>
        <w:t>并验收通过</w:t>
      </w:r>
      <w:r>
        <w:rPr>
          <w:rFonts w:asciiTheme="minorEastAsia" w:hAnsiTheme="minorEastAsia" w:eastAsiaTheme="minorEastAsia" w:cstheme="minorEastAsia"/>
          <w:b/>
          <w:bCs/>
          <w:snapToGrid w:val="0"/>
          <w:color w:val="auto"/>
          <w:kern w:val="28"/>
          <w:sz w:val="24"/>
          <w:highlight w:val="none"/>
        </w:rPr>
        <w:t>。</w:t>
      </w:r>
    </w:p>
    <w:p w14:paraId="5E24905A">
      <w:pPr>
        <w:widowControl/>
        <w:adjustRightInd w:val="0"/>
        <w:snapToGrid w:val="0"/>
        <w:spacing w:line="390" w:lineRule="exact"/>
        <w:ind w:firstLine="482" w:firstLineChars="200"/>
        <w:rPr>
          <w:rFonts w:asciiTheme="minorEastAsia" w:hAnsiTheme="minorEastAsia" w:eastAsiaTheme="minorEastAsia" w:cstheme="minorEastAsia"/>
          <w:b/>
          <w:snapToGrid w:val="0"/>
          <w:color w:val="auto"/>
          <w:kern w:val="28"/>
          <w:sz w:val="24"/>
          <w:highlight w:val="none"/>
        </w:rPr>
      </w:pPr>
      <w:r>
        <w:rPr>
          <w:rFonts w:asciiTheme="minorEastAsia" w:hAnsiTheme="minorEastAsia" w:eastAsiaTheme="minorEastAsia" w:cstheme="minorEastAsia"/>
          <w:b/>
          <w:snapToGrid w:val="0"/>
          <w:color w:val="auto"/>
          <w:kern w:val="28"/>
          <w:sz w:val="24"/>
          <w:highlight w:val="none"/>
        </w:rPr>
        <w:t>本项目接受联合体投标：</w:t>
      </w:r>
      <w:r>
        <w:rPr>
          <w:rFonts w:ascii="宋体" w:hAnsi="宋体" w:eastAsia="宋体" w:cs="宋体"/>
          <w:color w:val="auto"/>
          <w:sz w:val="24"/>
          <w:szCs w:val="24"/>
          <w:highlight w:val="none"/>
        </w:rPr>
        <w:sym w:font="Wingdings" w:char="00A8"/>
      </w:r>
      <w:r>
        <w:rPr>
          <w:rFonts w:asciiTheme="minorEastAsia" w:hAnsiTheme="minorEastAsia" w:eastAsiaTheme="minorEastAsia" w:cstheme="minorEastAsia"/>
          <w:b/>
          <w:snapToGrid w:val="0"/>
          <w:color w:val="auto"/>
          <w:kern w:val="28"/>
          <w:sz w:val="24"/>
          <w:highlight w:val="none"/>
        </w:rPr>
        <w:t>是，</w:t>
      </w:r>
      <w:r>
        <w:rPr>
          <w:rFonts w:ascii="宋体" w:hAnsi="宋体" w:eastAsia="宋体" w:cs="宋体"/>
          <w:color w:val="auto"/>
          <w:sz w:val="24"/>
          <w:szCs w:val="24"/>
          <w:highlight w:val="none"/>
        </w:rPr>
        <w:sym w:font="Wingdings" w:char="00FE"/>
      </w:r>
      <w:r>
        <w:rPr>
          <w:rFonts w:asciiTheme="minorEastAsia" w:hAnsiTheme="minorEastAsia" w:eastAsiaTheme="minorEastAsia" w:cstheme="minorEastAsia"/>
          <w:b/>
          <w:snapToGrid w:val="0"/>
          <w:color w:val="auto"/>
          <w:kern w:val="28"/>
          <w:sz w:val="24"/>
          <w:highlight w:val="none"/>
        </w:rPr>
        <w:t>否</w:t>
      </w:r>
      <w:r>
        <w:rPr>
          <w:rFonts w:asciiTheme="minorEastAsia" w:hAnsiTheme="minorEastAsia" w:eastAsiaTheme="minorEastAsia" w:cstheme="minorEastAsia"/>
          <w:snapToGrid w:val="0"/>
          <w:color w:val="auto"/>
          <w:kern w:val="0"/>
          <w:sz w:val="24"/>
          <w:highlight w:val="none"/>
        </w:rPr>
        <w:t>。</w:t>
      </w:r>
    </w:p>
    <w:p w14:paraId="3BC2BD17">
      <w:pPr>
        <w:adjustRightInd w:val="0"/>
        <w:spacing w:line="39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二、申请人的资格要求：</w:t>
      </w:r>
    </w:p>
    <w:p w14:paraId="38DCE084">
      <w:pPr>
        <w:adjustRightInd w:val="0"/>
        <w:spacing w:line="390" w:lineRule="exact"/>
        <w:ind w:firstLine="48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snapToGrid w:val="0"/>
          <w:color w:val="auto"/>
          <w:kern w:val="28"/>
          <w:sz w:val="24"/>
          <w:highlight w:val="none"/>
        </w:rPr>
        <w:t>1.满足《中华人民共和国政府采购法》第二十二条规定；未被“信用中国”（www.creditchina.gov.cn</w:t>
      </w:r>
      <w:r>
        <w:rPr>
          <w:rFonts w:hint="eastAsia" w:asciiTheme="minorEastAsia" w:hAnsiTheme="minorEastAsia" w:eastAsiaTheme="minorEastAsia" w:cstheme="minorEastAsia"/>
          <w:snapToGrid w:val="0"/>
          <w:color w:val="auto"/>
          <w:kern w:val="28"/>
          <w:sz w:val="24"/>
          <w:highlight w:val="none"/>
          <w:lang w:eastAsia="zh-CN"/>
        </w:rPr>
        <w:t>）</w:t>
      </w:r>
      <w:r>
        <w:rPr>
          <w:rFonts w:asciiTheme="minorEastAsia" w:hAnsiTheme="minorEastAsia" w:eastAsiaTheme="minorEastAsia" w:cstheme="minorEastAsia"/>
          <w:snapToGrid w:val="0"/>
          <w:color w:val="auto"/>
          <w:kern w:val="28"/>
          <w:sz w:val="24"/>
          <w:highlight w:val="none"/>
        </w:rPr>
        <w:t>、中国政府采购网（www.ccgp.gov.cn）列入失信被执行人、重大税收违法失信主体、政府采购严重违法失信行为记录名单；</w:t>
      </w:r>
    </w:p>
    <w:p w14:paraId="0C9DF489">
      <w:pPr>
        <w:adjustRightInd w:val="0"/>
        <w:spacing w:line="390" w:lineRule="exact"/>
        <w:ind w:firstLine="480" w:firstLineChars="200"/>
        <w:rPr>
          <w:rFonts w:ascii="宋体" w:hAnsi="宋体" w:eastAsia="宋体" w:cs="宋体"/>
          <w:b/>
          <w:bCs/>
          <w:color w:val="auto"/>
          <w:sz w:val="24"/>
          <w:szCs w:val="24"/>
          <w:highlight w:val="none"/>
        </w:rPr>
      </w:pPr>
      <w:r>
        <w:rPr>
          <w:rFonts w:asciiTheme="minorEastAsia" w:hAnsiTheme="minorEastAsia" w:eastAsiaTheme="minorEastAsia" w:cstheme="minorEastAsia"/>
          <w:snapToGrid w:val="0"/>
          <w:color w:val="auto"/>
          <w:kern w:val="28"/>
          <w:sz w:val="24"/>
          <w:highlight w:val="none"/>
        </w:rPr>
        <w:t>2.落实政府采购政策需满足的资格要求：</w:t>
      </w:r>
      <w:r>
        <w:rPr>
          <w:rFonts w:hint="eastAsia" w:ascii="宋体" w:hAnsi="宋体" w:eastAsia="宋体" w:cs="宋体"/>
          <w:b/>
          <w:bCs/>
          <w:snapToGrid w:val="0"/>
          <w:color w:val="auto"/>
          <w:kern w:val="28"/>
          <w:sz w:val="24"/>
          <w:highlight w:val="none"/>
        </w:rPr>
        <w:t>本项目专门面向中小企业采购，货物全部由符合政策要求的中小企业制造；</w:t>
      </w:r>
    </w:p>
    <w:p w14:paraId="22BAD150">
      <w:pPr>
        <w:adjustRightInd w:val="0"/>
        <w:spacing w:line="390" w:lineRule="exact"/>
        <w:ind w:firstLine="480"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snapToGrid w:val="0"/>
          <w:color w:val="auto"/>
          <w:kern w:val="28"/>
          <w:sz w:val="24"/>
          <w:highlight w:val="none"/>
        </w:rPr>
        <w:t>3.本项目的特定资格要求：无；</w:t>
      </w:r>
    </w:p>
    <w:p w14:paraId="73FC9D9C">
      <w:pPr>
        <w:adjustRightInd w:val="0"/>
        <w:spacing w:line="390" w:lineRule="exact"/>
        <w:ind w:firstLine="48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snapToGrid w:val="0"/>
          <w:color w:val="auto"/>
          <w:kern w:val="28"/>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3768AD">
      <w:pPr>
        <w:adjustRightInd w:val="0"/>
        <w:spacing w:line="39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 xml:space="preserve">三、获取招标文件 </w:t>
      </w:r>
    </w:p>
    <w:p w14:paraId="11B78A32">
      <w:pPr>
        <w:adjustRightInd w:val="0"/>
        <w:spacing w:line="390" w:lineRule="exact"/>
        <w:ind w:firstLine="482"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b/>
          <w:color w:val="auto"/>
          <w:sz w:val="24"/>
          <w:szCs w:val="24"/>
          <w:highlight w:val="none"/>
          <w:lang w:eastAsia="zh-CN"/>
        </w:rPr>
        <w:t>：</w:t>
      </w:r>
      <w:r>
        <w:rPr>
          <w:rFonts w:asciiTheme="minorEastAsia" w:hAnsiTheme="minorEastAsia" w:eastAsiaTheme="minorEastAsia" w:cstheme="minorEastAsia"/>
          <w:snapToGrid w:val="0"/>
          <w:color w:val="auto"/>
          <w:kern w:val="28"/>
          <w:sz w:val="24"/>
          <w:highlight w:val="none"/>
          <w:u w:val="single"/>
        </w:rPr>
        <w:t>至202</w:t>
      </w:r>
      <w:r>
        <w:rPr>
          <w:rFonts w:hint="eastAsia" w:asciiTheme="minorEastAsia" w:hAnsiTheme="minorEastAsia" w:eastAsiaTheme="minorEastAsia" w:cstheme="minorEastAsia"/>
          <w:snapToGrid w:val="0"/>
          <w:color w:val="auto"/>
          <w:kern w:val="28"/>
          <w:sz w:val="24"/>
          <w:highlight w:val="none"/>
          <w:u w:val="single"/>
          <w:lang w:val="en-US" w:eastAsia="zh-CN"/>
        </w:rPr>
        <w:t>5</w:t>
      </w:r>
      <w:r>
        <w:rPr>
          <w:rFonts w:asciiTheme="minorEastAsia" w:hAnsiTheme="minorEastAsia" w:eastAsiaTheme="minorEastAsia" w:cstheme="minorEastAsia"/>
          <w:snapToGrid w:val="0"/>
          <w:color w:val="auto"/>
          <w:kern w:val="28"/>
          <w:sz w:val="24"/>
          <w:highlight w:val="none"/>
          <w:u w:val="single"/>
        </w:rPr>
        <w:t>年</w:t>
      </w:r>
      <w:r>
        <w:rPr>
          <w:rFonts w:hint="eastAsia" w:asciiTheme="minorEastAsia" w:hAnsiTheme="minorEastAsia" w:eastAsiaTheme="minorEastAsia" w:cstheme="minorEastAsia"/>
          <w:snapToGrid w:val="0"/>
          <w:color w:val="auto"/>
          <w:kern w:val="28"/>
          <w:sz w:val="24"/>
          <w:highlight w:val="none"/>
          <w:u w:val="single"/>
          <w:lang w:val="en-US" w:eastAsia="zh-CN"/>
        </w:rPr>
        <w:t>7</w:t>
      </w:r>
      <w:r>
        <w:rPr>
          <w:rFonts w:asciiTheme="minorEastAsia" w:hAnsiTheme="minorEastAsia" w:eastAsiaTheme="minorEastAsia" w:cstheme="minorEastAsia"/>
          <w:snapToGrid w:val="0"/>
          <w:color w:val="auto"/>
          <w:kern w:val="28"/>
          <w:sz w:val="24"/>
          <w:highlight w:val="none"/>
          <w:u w:val="single"/>
        </w:rPr>
        <w:t>月</w:t>
      </w:r>
      <w:r>
        <w:rPr>
          <w:rFonts w:hint="eastAsia" w:asciiTheme="minorEastAsia" w:hAnsiTheme="minorEastAsia" w:eastAsiaTheme="minorEastAsia" w:cstheme="minorEastAsia"/>
          <w:snapToGrid w:val="0"/>
          <w:color w:val="auto"/>
          <w:kern w:val="28"/>
          <w:sz w:val="24"/>
          <w:highlight w:val="none"/>
          <w:u w:val="single"/>
          <w:lang w:val="en-US" w:eastAsia="zh-CN"/>
        </w:rPr>
        <w:t>15</w:t>
      </w:r>
      <w:r>
        <w:rPr>
          <w:rFonts w:asciiTheme="minorEastAsia" w:hAnsiTheme="minorEastAsia" w:eastAsiaTheme="minorEastAsia" w:cstheme="minorEastAsia"/>
          <w:snapToGrid w:val="0"/>
          <w:color w:val="auto"/>
          <w:kern w:val="28"/>
          <w:sz w:val="24"/>
          <w:highlight w:val="none"/>
          <w:u w:val="single"/>
        </w:rPr>
        <w:t>日</w:t>
      </w:r>
      <w:r>
        <w:rPr>
          <w:rFonts w:asciiTheme="minorEastAsia" w:hAnsiTheme="minorEastAsia" w:eastAsiaTheme="minorEastAsia" w:cstheme="minorEastAsia"/>
          <w:snapToGrid w:val="0"/>
          <w:color w:val="auto"/>
          <w:kern w:val="28"/>
          <w:sz w:val="24"/>
          <w:highlight w:val="none"/>
        </w:rPr>
        <w:t>，每天上午00:00至12:00 ，下午12:00至23:59（北京时间，线上获取法定节假日均可，线下获取文件法定节假日除外）</w:t>
      </w:r>
    </w:p>
    <w:p w14:paraId="493D4F5E">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地点（网址）：</w:t>
      </w:r>
      <w:r>
        <w:rPr>
          <w:rFonts w:asciiTheme="minorEastAsia" w:hAnsiTheme="minorEastAsia" w:eastAsiaTheme="minorEastAsia" w:cstheme="minorEastAsia"/>
          <w:snapToGrid w:val="0"/>
          <w:color w:val="auto"/>
          <w:kern w:val="28"/>
          <w:sz w:val="24"/>
          <w:highlight w:val="none"/>
        </w:rPr>
        <w:t xml:space="preserve">浙江政府采购网（https://zfcg.czt.zj.gov.cn/） </w:t>
      </w:r>
    </w:p>
    <w:p w14:paraId="501AB39F">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方式：</w:t>
      </w:r>
      <w:r>
        <w:rPr>
          <w:rFonts w:asciiTheme="minorEastAsia" w:hAnsiTheme="minorEastAsia" w:eastAsiaTheme="minorEastAsia" w:cstheme="minorEastAsia"/>
          <w:snapToGrid w:val="0"/>
          <w:color w:val="auto"/>
          <w:kern w:val="28"/>
          <w:sz w:val="24"/>
          <w:highlight w:val="none"/>
        </w:rPr>
        <w:t>供应商登录政采云平台https://www.zcygov.cn/在线申请获取采购文件（进入“项目采购”应用，在获取采购文件菜单中选择项目，申请获取采购文件）</w:t>
      </w:r>
    </w:p>
    <w:p w14:paraId="2B69B8E0">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售价（元）：</w:t>
      </w:r>
      <w:r>
        <w:rPr>
          <w:rFonts w:asciiTheme="minorEastAsia" w:hAnsiTheme="minorEastAsia" w:eastAsiaTheme="minorEastAsia" w:cstheme="minorEastAsia"/>
          <w:snapToGrid w:val="0"/>
          <w:color w:val="auto"/>
          <w:kern w:val="28"/>
          <w:sz w:val="24"/>
          <w:highlight w:val="none"/>
        </w:rPr>
        <w:t xml:space="preserve">0 </w:t>
      </w:r>
      <w:r>
        <w:rPr>
          <w:rFonts w:asciiTheme="minorEastAsia" w:hAnsiTheme="minorEastAsia" w:eastAsiaTheme="minorEastAsia" w:cstheme="minorEastAsia"/>
          <w:snapToGrid w:val="0"/>
          <w:color w:val="auto"/>
          <w:kern w:val="28"/>
          <w:sz w:val="24"/>
          <w:highlight w:val="none"/>
        </w:rPr>
        <w:tab/>
      </w:r>
    </w:p>
    <w:p w14:paraId="11E62240">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四、提交投标文件截止时间、开标时间和地点</w:t>
      </w:r>
    </w:p>
    <w:p w14:paraId="44BC9F8E">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提交投标文件截止时间：</w:t>
      </w:r>
      <w:r>
        <w:rPr>
          <w:rFonts w:asciiTheme="minorEastAsia" w:hAnsiTheme="minorEastAsia" w:eastAsiaTheme="minorEastAsia" w:cstheme="minorEastAsia"/>
          <w:snapToGrid w:val="0"/>
          <w:color w:val="auto"/>
          <w:kern w:val="28"/>
          <w:sz w:val="24"/>
          <w:highlight w:val="none"/>
        </w:rPr>
        <w:t>/</w:t>
      </w:r>
      <w:r>
        <w:rPr>
          <w:rFonts w:asciiTheme="minorEastAsia" w:hAnsiTheme="minorEastAsia" w:eastAsiaTheme="minorEastAsia" w:cstheme="minorEastAsia"/>
          <w:snapToGrid w:val="0"/>
          <w:color w:val="auto"/>
          <w:kern w:val="28"/>
          <w:sz w:val="24"/>
          <w:highlight w:val="none"/>
          <w:u w:val="single"/>
        </w:rPr>
        <w:t>至2025年</w:t>
      </w:r>
      <w:r>
        <w:rPr>
          <w:rFonts w:hint="eastAsia" w:asciiTheme="minorEastAsia" w:hAnsiTheme="minorEastAsia" w:eastAsiaTheme="minorEastAsia" w:cstheme="minorEastAsia"/>
          <w:snapToGrid w:val="0"/>
          <w:color w:val="auto"/>
          <w:kern w:val="28"/>
          <w:sz w:val="24"/>
          <w:highlight w:val="none"/>
          <w:u w:val="single"/>
          <w:lang w:val="en-US" w:eastAsia="zh-CN"/>
        </w:rPr>
        <w:t>7</w:t>
      </w:r>
      <w:r>
        <w:rPr>
          <w:rFonts w:asciiTheme="minorEastAsia" w:hAnsiTheme="minorEastAsia" w:eastAsiaTheme="minorEastAsia" w:cstheme="minorEastAsia"/>
          <w:snapToGrid w:val="0"/>
          <w:color w:val="auto"/>
          <w:kern w:val="28"/>
          <w:sz w:val="24"/>
          <w:highlight w:val="none"/>
          <w:u w:val="single"/>
        </w:rPr>
        <w:t>月</w:t>
      </w:r>
      <w:r>
        <w:rPr>
          <w:rFonts w:hint="eastAsia" w:asciiTheme="minorEastAsia" w:hAnsiTheme="minorEastAsia" w:eastAsiaTheme="minorEastAsia" w:cstheme="minorEastAsia"/>
          <w:snapToGrid w:val="0"/>
          <w:color w:val="auto"/>
          <w:kern w:val="28"/>
          <w:sz w:val="24"/>
          <w:highlight w:val="none"/>
          <w:u w:val="single"/>
          <w:lang w:val="en-US" w:eastAsia="zh-CN"/>
        </w:rPr>
        <w:t>15</w:t>
      </w:r>
      <w:r>
        <w:rPr>
          <w:rFonts w:asciiTheme="minorEastAsia" w:hAnsiTheme="minorEastAsia" w:eastAsiaTheme="minorEastAsia" w:cstheme="minorEastAsia"/>
          <w:snapToGrid w:val="0"/>
          <w:color w:val="auto"/>
          <w:kern w:val="28"/>
          <w:sz w:val="24"/>
          <w:highlight w:val="none"/>
          <w:u w:val="single"/>
        </w:rPr>
        <w:t>日</w:t>
      </w:r>
      <w:r>
        <w:rPr>
          <w:rFonts w:hint="eastAsia" w:asciiTheme="minorEastAsia" w:hAnsiTheme="minorEastAsia" w:eastAsiaTheme="minorEastAsia" w:cstheme="minorEastAsia"/>
          <w:snapToGrid w:val="0"/>
          <w:color w:val="auto"/>
          <w:kern w:val="28"/>
          <w:sz w:val="24"/>
          <w:highlight w:val="none"/>
          <w:u w:val="single"/>
          <w:lang w:val="en-US" w:eastAsia="zh-CN"/>
        </w:rPr>
        <w:t>14</w:t>
      </w:r>
      <w:r>
        <w:rPr>
          <w:rFonts w:asciiTheme="minorEastAsia" w:hAnsiTheme="minorEastAsia" w:eastAsiaTheme="minorEastAsia" w:cstheme="minorEastAsia"/>
          <w:snapToGrid w:val="0"/>
          <w:color w:val="auto"/>
          <w:kern w:val="28"/>
          <w:sz w:val="24"/>
          <w:highlight w:val="none"/>
          <w:u w:val="single"/>
        </w:rPr>
        <w:t>时</w:t>
      </w:r>
      <w:r>
        <w:rPr>
          <w:rFonts w:hint="eastAsia" w:asciiTheme="minorEastAsia" w:hAnsiTheme="minorEastAsia" w:eastAsiaTheme="minorEastAsia" w:cstheme="minorEastAsia"/>
          <w:snapToGrid w:val="0"/>
          <w:color w:val="auto"/>
          <w:kern w:val="28"/>
          <w:sz w:val="24"/>
          <w:highlight w:val="none"/>
          <w:u w:val="single"/>
          <w:lang w:val="en-US" w:eastAsia="zh-CN"/>
        </w:rPr>
        <w:t>30</w:t>
      </w:r>
      <w:r>
        <w:rPr>
          <w:rFonts w:asciiTheme="minorEastAsia" w:hAnsiTheme="minorEastAsia" w:eastAsiaTheme="minorEastAsia" w:cstheme="minorEastAsia"/>
          <w:snapToGrid w:val="0"/>
          <w:color w:val="auto"/>
          <w:kern w:val="28"/>
          <w:sz w:val="24"/>
          <w:highlight w:val="none"/>
          <w:u w:val="single"/>
        </w:rPr>
        <w:t>分</w:t>
      </w:r>
      <w:r>
        <w:rPr>
          <w:rFonts w:asciiTheme="minorEastAsia" w:hAnsiTheme="minorEastAsia" w:eastAsiaTheme="minorEastAsia" w:cstheme="minorEastAsia"/>
          <w:snapToGrid w:val="0"/>
          <w:color w:val="auto"/>
          <w:kern w:val="28"/>
          <w:sz w:val="24"/>
          <w:highlight w:val="none"/>
        </w:rPr>
        <w:t>（北京时间）</w:t>
      </w:r>
    </w:p>
    <w:p w14:paraId="1341EE2B">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投标地点（网址）：</w:t>
      </w:r>
      <w:r>
        <w:rPr>
          <w:rFonts w:asciiTheme="minorEastAsia" w:hAnsiTheme="minorEastAsia" w:eastAsiaTheme="minorEastAsia" w:cstheme="minorEastAsia"/>
          <w:snapToGrid w:val="0"/>
          <w:color w:val="auto"/>
          <w:kern w:val="28"/>
          <w:sz w:val="24"/>
          <w:highlight w:val="none"/>
        </w:rPr>
        <w:t>在政府采购云平台http://login.zcygov.cn/login上自行加密上传电子投标文件，逾期上传或未按要求上传的投标文件将予以拒收</w:t>
      </w:r>
    </w:p>
    <w:p w14:paraId="635AAA75">
      <w:pPr>
        <w:adjustRightInd w:val="0"/>
        <w:spacing w:line="390" w:lineRule="exact"/>
        <w:ind w:firstLine="482" w:firstLineChars="200"/>
        <w:rPr>
          <w:rFonts w:asciiTheme="minorEastAsia" w:hAnsiTheme="minorEastAsia" w:eastAsiaTheme="minorEastAsia" w:cstheme="minorEastAsia"/>
          <w:snapToGrid w:val="0"/>
          <w:color w:val="auto"/>
          <w:kern w:val="28"/>
          <w:sz w:val="24"/>
          <w:highlight w:val="none"/>
        </w:rPr>
      </w:pPr>
      <w:r>
        <w:rPr>
          <w:rFonts w:asciiTheme="minorEastAsia" w:hAnsiTheme="minorEastAsia" w:eastAsiaTheme="minorEastAsia" w:cstheme="minorEastAsia"/>
          <w:b/>
          <w:bCs/>
          <w:snapToGrid w:val="0"/>
          <w:color w:val="auto"/>
          <w:kern w:val="28"/>
          <w:sz w:val="24"/>
          <w:highlight w:val="none"/>
        </w:rPr>
        <w:t>开标时间：</w:t>
      </w:r>
      <w:r>
        <w:rPr>
          <w:rFonts w:asciiTheme="minorEastAsia" w:hAnsiTheme="minorEastAsia" w:eastAsiaTheme="minorEastAsia" w:cstheme="minorEastAsia"/>
          <w:snapToGrid w:val="0"/>
          <w:color w:val="auto"/>
          <w:kern w:val="28"/>
          <w:sz w:val="24"/>
          <w:highlight w:val="none"/>
        </w:rPr>
        <w:t>/</w:t>
      </w:r>
      <w:r>
        <w:rPr>
          <w:rFonts w:asciiTheme="minorEastAsia" w:hAnsiTheme="minorEastAsia" w:eastAsiaTheme="minorEastAsia" w:cstheme="minorEastAsia"/>
          <w:snapToGrid w:val="0"/>
          <w:color w:val="auto"/>
          <w:kern w:val="28"/>
          <w:sz w:val="24"/>
          <w:highlight w:val="none"/>
          <w:u w:val="single"/>
        </w:rPr>
        <w:t>至2025年</w:t>
      </w:r>
      <w:r>
        <w:rPr>
          <w:rFonts w:hint="eastAsia" w:asciiTheme="minorEastAsia" w:hAnsiTheme="minorEastAsia" w:eastAsiaTheme="minorEastAsia" w:cstheme="minorEastAsia"/>
          <w:snapToGrid w:val="0"/>
          <w:color w:val="auto"/>
          <w:kern w:val="28"/>
          <w:sz w:val="24"/>
          <w:highlight w:val="none"/>
          <w:u w:val="single"/>
          <w:lang w:val="en-US" w:eastAsia="zh-CN"/>
        </w:rPr>
        <w:t>7</w:t>
      </w:r>
      <w:r>
        <w:rPr>
          <w:rFonts w:asciiTheme="minorEastAsia" w:hAnsiTheme="minorEastAsia" w:eastAsiaTheme="minorEastAsia" w:cstheme="minorEastAsia"/>
          <w:snapToGrid w:val="0"/>
          <w:color w:val="auto"/>
          <w:kern w:val="28"/>
          <w:sz w:val="24"/>
          <w:highlight w:val="none"/>
          <w:u w:val="single"/>
        </w:rPr>
        <w:t>月</w:t>
      </w:r>
      <w:r>
        <w:rPr>
          <w:rFonts w:hint="eastAsia" w:asciiTheme="minorEastAsia" w:hAnsiTheme="minorEastAsia" w:eastAsiaTheme="minorEastAsia" w:cstheme="minorEastAsia"/>
          <w:snapToGrid w:val="0"/>
          <w:color w:val="auto"/>
          <w:kern w:val="28"/>
          <w:sz w:val="24"/>
          <w:highlight w:val="none"/>
          <w:u w:val="single"/>
          <w:lang w:val="en-US" w:eastAsia="zh-CN"/>
        </w:rPr>
        <w:t xml:space="preserve">15 </w:t>
      </w:r>
      <w:r>
        <w:rPr>
          <w:rFonts w:asciiTheme="minorEastAsia" w:hAnsiTheme="minorEastAsia" w:eastAsiaTheme="minorEastAsia" w:cstheme="minorEastAsia"/>
          <w:snapToGrid w:val="0"/>
          <w:color w:val="auto"/>
          <w:kern w:val="28"/>
          <w:sz w:val="24"/>
          <w:highlight w:val="none"/>
          <w:u w:val="single"/>
        </w:rPr>
        <w:t>日</w:t>
      </w:r>
      <w:r>
        <w:rPr>
          <w:rFonts w:hint="eastAsia" w:asciiTheme="minorEastAsia" w:hAnsiTheme="minorEastAsia" w:eastAsiaTheme="minorEastAsia" w:cstheme="minorEastAsia"/>
          <w:snapToGrid w:val="0"/>
          <w:color w:val="auto"/>
          <w:kern w:val="28"/>
          <w:sz w:val="24"/>
          <w:highlight w:val="none"/>
          <w:u w:val="single"/>
          <w:lang w:val="en-US" w:eastAsia="zh-CN"/>
        </w:rPr>
        <w:t>14</w:t>
      </w:r>
      <w:r>
        <w:rPr>
          <w:rFonts w:asciiTheme="minorEastAsia" w:hAnsiTheme="minorEastAsia" w:eastAsiaTheme="minorEastAsia" w:cstheme="minorEastAsia"/>
          <w:snapToGrid w:val="0"/>
          <w:color w:val="auto"/>
          <w:kern w:val="28"/>
          <w:sz w:val="24"/>
          <w:highlight w:val="none"/>
          <w:u w:val="single"/>
        </w:rPr>
        <w:t>时</w:t>
      </w:r>
      <w:r>
        <w:rPr>
          <w:rFonts w:hint="eastAsia" w:asciiTheme="minorEastAsia" w:hAnsiTheme="minorEastAsia" w:eastAsiaTheme="minorEastAsia" w:cstheme="minorEastAsia"/>
          <w:snapToGrid w:val="0"/>
          <w:color w:val="auto"/>
          <w:kern w:val="28"/>
          <w:sz w:val="24"/>
          <w:highlight w:val="none"/>
          <w:u w:val="single"/>
          <w:lang w:val="en-US" w:eastAsia="zh-CN"/>
        </w:rPr>
        <w:t>30</w:t>
      </w:r>
      <w:r>
        <w:rPr>
          <w:rFonts w:asciiTheme="minorEastAsia" w:hAnsiTheme="minorEastAsia" w:eastAsiaTheme="minorEastAsia" w:cstheme="minorEastAsia"/>
          <w:snapToGrid w:val="0"/>
          <w:color w:val="auto"/>
          <w:kern w:val="28"/>
          <w:sz w:val="24"/>
          <w:highlight w:val="none"/>
          <w:u w:val="single"/>
        </w:rPr>
        <w:t>分</w:t>
      </w:r>
      <w:r>
        <w:rPr>
          <w:rFonts w:asciiTheme="minorEastAsia" w:hAnsiTheme="minorEastAsia" w:eastAsiaTheme="minorEastAsia" w:cstheme="minorEastAsia"/>
          <w:snapToGrid w:val="0"/>
          <w:color w:val="auto"/>
          <w:kern w:val="28"/>
          <w:sz w:val="24"/>
          <w:highlight w:val="none"/>
        </w:rPr>
        <w:t>（北京时间）</w:t>
      </w:r>
    </w:p>
    <w:p w14:paraId="284A253E">
      <w:pPr>
        <w:adjustRightInd w:val="0"/>
        <w:spacing w:line="390" w:lineRule="exact"/>
        <w:ind w:firstLine="482" w:firstLineChars="200"/>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
          <w:color w:val="auto"/>
          <w:sz w:val="24"/>
          <w:szCs w:val="24"/>
          <w:highlight w:val="none"/>
        </w:rPr>
        <w:t>开标地点（网址）：</w:t>
      </w:r>
      <w:r>
        <w:rPr>
          <w:rFonts w:asciiTheme="minorEastAsia" w:hAnsiTheme="minorEastAsia" w:eastAsiaTheme="minorEastAsia" w:cstheme="minorEastAsia"/>
          <w:bCs/>
          <w:color w:val="auto"/>
          <w:sz w:val="24"/>
          <w:szCs w:val="24"/>
          <w:highlight w:val="none"/>
        </w:rPr>
        <w:t>浦江县人民东路83号金华市公共资源交易中心浦江县分中心</w:t>
      </w:r>
    </w:p>
    <w:p w14:paraId="3F839417">
      <w:pPr>
        <w:adjustRightInd w:val="0"/>
        <w:spacing w:line="39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五、采购意向公开链接</w:t>
      </w:r>
    </w:p>
    <w:p w14:paraId="627C3903">
      <w:pPr>
        <w:keepNext w:val="0"/>
        <w:keepLines w:val="0"/>
        <w:pageBreakBefore w:val="0"/>
        <w:kinsoku/>
        <w:wordWrap/>
        <w:overflowPunct/>
        <w:topLinePunct w:val="0"/>
        <w:autoSpaceDE/>
        <w:autoSpaceDN/>
        <w:bidi w:val="0"/>
        <w:adjustRightInd w:val="0"/>
        <w:spacing w:line="360" w:lineRule="auto"/>
        <w:ind w:firstLine="723" w:firstLineChars="3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fldChar w:fldCharType="begin"/>
      </w:r>
      <w:r>
        <w:rPr>
          <w:rFonts w:hint="eastAsia" w:asciiTheme="minorEastAsia" w:hAnsiTheme="minorEastAsia" w:eastAsiaTheme="minorEastAsia" w:cstheme="minorEastAsia"/>
          <w:b/>
          <w:color w:val="auto"/>
          <w:sz w:val="24"/>
          <w:szCs w:val="24"/>
          <w:highlight w:val="none"/>
          <w:lang w:val="en-US" w:eastAsia="zh-CN"/>
        </w:rPr>
        <w:instrText xml:space="preserve"> HYPERLINK "https://zfcg.czt.zj.gov.cn/site/detail?categoryCode=ZcyAnnouncement&amp;parentId=600007&amp;articleId=eDfS9byq3W+nEK2Cf3yEzQ==" </w:instrText>
      </w:r>
      <w:r>
        <w:rPr>
          <w:rFonts w:hint="eastAsia" w:asciiTheme="minorEastAsia" w:hAnsiTheme="minorEastAsia" w:eastAsiaTheme="minorEastAsia" w:cstheme="minorEastAsia"/>
          <w:b/>
          <w:color w:val="auto"/>
          <w:sz w:val="24"/>
          <w:szCs w:val="24"/>
          <w:highlight w:val="none"/>
          <w:lang w:val="en-US" w:eastAsia="zh-CN"/>
        </w:rPr>
        <w:fldChar w:fldCharType="separate"/>
      </w:r>
      <w:r>
        <w:rPr>
          <w:rStyle w:val="27"/>
          <w:rFonts w:hint="eastAsia" w:asciiTheme="minorEastAsia" w:hAnsiTheme="minorEastAsia" w:eastAsiaTheme="minorEastAsia" w:cstheme="minorEastAsia"/>
          <w:b/>
          <w:color w:val="auto"/>
          <w:sz w:val="24"/>
          <w:szCs w:val="24"/>
          <w:highlight w:val="none"/>
          <w:lang w:val="en-US" w:eastAsia="zh-CN"/>
        </w:rPr>
        <w:t>https://zfcg.czt.zj.gov.cn/site/detail?categoryCode=ZcyAnnouncement&amp;parentId=600007&amp;articleId=eDfS9byq3W+nEK2Cf3yEzQ= =</w:t>
      </w:r>
      <w:r>
        <w:rPr>
          <w:rFonts w:hint="eastAsia" w:asciiTheme="minorEastAsia" w:hAnsiTheme="minorEastAsia" w:eastAsiaTheme="minorEastAsia" w:cstheme="minorEastAsia"/>
          <w:b/>
          <w:color w:val="auto"/>
          <w:sz w:val="24"/>
          <w:szCs w:val="24"/>
          <w:highlight w:val="none"/>
          <w:lang w:val="en-US" w:eastAsia="zh-CN"/>
        </w:rPr>
        <w:fldChar w:fldCharType="end"/>
      </w:r>
    </w:p>
    <w:p w14:paraId="482073C0">
      <w:pPr>
        <w:adjustRightInd w:val="0"/>
        <w:spacing w:line="390" w:lineRule="exact"/>
        <w:ind w:firstLine="482" w:firstLineChars="200"/>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六、公告期限</w:t>
      </w:r>
    </w:p>
    <w:p w14:paraId="20057AF9">
      <w:pPr>
        <w:adjustRightInd w:val="0"/>
        <w:spacing w:line="390" w:lineRule="exact"/>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自本公告发布之日起5个工作日。</w:t>
      </w:r>
    </w:p>
    <w:p w14:paraId="0D4B5D5B">
      <w:pPr>
        <w:adjustRightInd w:val="0"/>
        <w:spacing w:line="39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七、其他补充事宜</w:t>
      </w:r>
    </w:p>
    <w:p w14:paraId="1F4916B2">
      <w:pPr>
        <w:adjustRightInd w:val="0"/>
        <w:spacing w:line="39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1.《浙江省财政厅关于进一步发挥政府采购政策功能全力推动经济稳进提质的通知》 （浙财采监</w:t>
      </w:r>
      <w:r>
        <w:rPr>
          <w:rFonts w:hint="eastAsia" w:ascii="宋体" w:hAnsi="宋体" w:eastAsia="宋体" w:cs="宋体"/>
          <w:color w:val="auto"/>
          <w:sz w:val="24"/>
          <w:szCs w:val="24"/>
          <w:highlight w:val="none"/>
          <w:lang w:eastAsia="zh-CN"/>
        </w:rPr>
        <w:t>〔2022〕3号</w:t>
      </w:r>
      <w:r>
        <w:rPr>
          <w:rFonts w:ascii="宋体" w:hAnsi="宋体" w:eastAsia="宋体" w:cs="宋体"/>
          <w:color w:val="auto"/>
          <w:sz w:val="24"/>
          <w:szCs w:val="24"/>
          <w:highlight w:val="none"/>
        </w:rPr>
        <w:t>）、《浙江省财政厅关于进一步促进政府采购公平竞争打造最优营商环境的通知》（浙财采监</w:t>
      </w:r>
      <w:r>
        <w:rPr>
          <w:rFonts w:hint="eastAsia" w:ascii="宋体" w:hAnsi="宋体" w:eastAsia="宋体" w:cs="宋体"/>
          <w:color w:val="auto"/>
          <w:sz w:val="24"/>
          <w:szCs w:val="24"/>
          <w:highlight w:val="none"/>
          <w:lang w:eastAsia="zh-CN"/>
        </w:rPr>
        <w:t>〔2021〕22号</w:t>
      </w:r>
      <w:r>
        <w:rPr>
          <w:rFonts w:ascii="宋体" w:hAnsi="宋体" w:eastAsia="宋体" w:cs="宋体"/>
          <w:color w:val="auto"/>
          <w:sz w:val="24"/>
          <w:szCs w:val="24"/>
          <w:highlight w:val="none"/>
        </w:rPr>
        <w:t>））、《浙江省财政厅关于进一步加大政府采购支持中小企业力度助力扎实稳住经济的通知》 （浙财采监</w:t>
      </w:r>
      <w:r>
        <w:rPr>
          <w:rFonts w:hint="eastAsia" w:ascii="宋体" w:hAnsi="宋体" w:eastAsia="宋体" w:cs="宋体"/>
          <w:color w:val="auto"/>
          <w:sz w:val="24"/>
          <w:szCs w:val="24"/>
          <w:highlight w:val="none"/>
          <w:lang w:eastAsia="zh-CN"/>
        </w:rPr>
        <w:t>〔2022〕8号</w:t>
      </w:r>
      <w:r>
        <w:rPr>
          <w:rFonts w:ascii="宋体" w:hAnsi="宋体" w:eastAsia="宋体" w:cs="宋体"/>
          <w:color w:val="auto"/>
          <w:sz w:val="24"/>
          <w:szCs w:val="24"/>
          <w:highlight w:val="none"/>
        </w:rPr>
        <w:t>）已分别于2022年1月29日、2022年2月1日和2022年7月1日开始实施，此前有关规定与上述文件内容不一致的，按上述文件要求执行。</w:t>
      </w:r>
    </w:p>
    <w:p w14:paraId="51F86BB3">
      <w:pPr>
        <w:tabs>
          <w:tab w:val="left" w:pos="5880"/>
        </w:tabs>
        <w:adjustRightInd w:val="0"/>
        <w:spacing w:line="39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2.根据《浙江省财政厅关于进一步促进政府采购公平竞争打造最优营商环境的通知》（浙财采监</w:t>
      </w:r>
      <w:r>
        <w:rPr>
          <w:rFonts w:hint="eastAsia" w:ascii="宋体" w:hAnsi="宋体" w:eastAsia="宋体" w:cs="宋体"/>
          <w:color w:val="auto"/>
          <w:sz w:val="24"/>
          <w:szCs w:val="24"/>
          <w:highlight w:val="none"/>
          <w:lang w:eastAsia="zh-CN"/>
        </w:rPr>
        <w:t>〔2021〕22号</w:t>
      </w:r>
      <w:r>
        <w:rPr>
          <w:rFonts w:ascii="宋体" w:hAnsi="宋体" w:eastAsia="宋体" w:cs="宋体"/>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248A558">
      <w:pPr>
        <w:adjustRightInd w:val="0"/>
        <w:spacing w:line="39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FBE959">
      <w:pPr>
        <w:widowControl/>
        <w:spacing w:line="390" w:lineRule="exact"/>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4.其他事项：</w:t>
      </w:r>
      <w:r>
        <w:rPr>
          <w:rFonts w:ascii="宋体" w:hAnsi="宋体" w:eastAsia="宋体" w:cs="宋体"/>
          <w:color w:val="auto"/>
          <w:kern w:val="0"/>
          <w:sz w:val="24"/>
          <w:szCs w:val="24"/>
          <w:highlight w:val="none"/>
        </w:rPr>
        <w:t>（1）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633E702">
      <w:pPr>
        <w:adjustRightInd w:val="0"/>
        <w:spacing w:line="39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需要落实的政府采购政策：执行节约能源、保护环境相关的节能产品政府强制采购和优先采购政策，执行环境标志产品政府优先采购政策；促进中小企业发展、支持监狱企业发展、促进残疾人就业、支持中小企业信用融资；支持创新等政府采购政策。详见采购文件的“第二部分 投标人须知”。</w:t>
      </w:r>
    </w:p>
    <w:p w14:paraId="6031EBF3">
      <w:pPr>
        <w:adjustRightInd w:val="0"/>
        <w:spacing w:line="39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采购文件的供应商进行投标活动；⑥对未按上述方式获取采购文件的供应商对该文件提出的质疑，采购人或采购代理机构将不予处理；⑦不提供采购文件纸质版；⑧投标文件的传输递交：投标人在投标截止时间前将加密的投标文件上传至政府采购云平台（如同时递交备份投标文件的，电子备份投标文件的制作、存储、密封要求详见投标须知前附表条款号19项。电子备份投标文件的提交不作强制要求），逾期送达、未按指定地点送达或未密封将予以拒收。⑨投标文件的解密：开标后，投标人按照政采云平台提示和采购文件的规定在30分钟内完成在线解密（为防止解密失败，建议采用制作投标文件的电脑进行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635BA44">
      <w:pPr>
        <w:adjustRightInd w:val="0"/>
        <w:spacing w:line="390" w:lineRule="exact"/>
        <w:ind w:firstLine="480" w:firstLineChars="200"/>
        <w:rPr>
          <w:rFonts w:ascii="宋体" w:hAnsi="宋体" w:eastAsia="宋体" w:cs="宋体"/>
          <w:bCs/>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z w:val="24"/>
          <w:highlight w:val="none"/>
        </w:rPr>
        <w:t>中小企业信用融资：</w:t>
      </w:r>
      <w:r>
        <w:rPr>
          <w:rFonts w:ascii="宋体" w:hAnsi="宋体" w:eastAsia="宋体" w:cs="宋体"/>
          <w:color w:val="auto"/>
          <w:sz w:val="24"/>
          <w:szCs w:val="24"/>
          <w:highlight w:val="none"/>
        </w:rPr>
        <w:t>详见采购文件的“第二部分 投标人须知”一、总则5.5条。</w:t>
      </w:r>
    </w:p>
    <w:p w14:paraId="0637BF9D">
      <w:pPr>
        <w:adjustRightInd w:val="0"/>
        <w:spacing w:line="390" w:lineRule="exact"/>
        <w:ind w:firstLine="480" w:firstLineChars="200"/>
        <w:rPr>
          <w:rFonts w:ascii="宋体" w:hAnsi="宋体" w:eastAsia="宋体" w:cs="宋体"/>
          <w:bCs/>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bCs/>
          <w:color w:val="auto"/>
          <w:sz w:val="24"/>
          <w:szCs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3BE95B8">
      <w:pPr>
        <w:adjustRightInd w:val="0"/>
        <w:spacing w:line="390" w:lineRule="exact"/>
        <w:ind w:firstLine="480" w:firstLineChars="200"/>
        <w:rPr>
          <w:rFonts w:ascii="宋体" w:hAnsi="宋体" w:eastAsia="宋体" w:cs="宋体"/>
          <w:color w:val="auto"/>
          <w:sz w:val="24"/>
          <w:highlight w:val="none"/>
        </w:rPr>
      </w:pPr>
      <w:r>
        <w:rPr>
          <w:rFonts w:ascii="宋体" w:hAnsi="宋体" w:eastAsia="宋体" w:cs="宋体"/>
          <w:color w:val="auto"/>
          <w:sz w:val="24"/>
          <w:szCs w:val="24"/>
          <w:highlight w:val="none"/>
        </w:rPr>
        <w:t>（6）</w:t>
      </w:r>
      <w:r>
        <w:rPr>
          <w:rFonts w:ascii="宋体" w:hAnsi="宋体" w:eastAsia="宋体" w:cs="宋体"/>
          <w:bCs/>
          <w:color w:val="auto"/>
          <w:sz w:val="24"/>
          <w:highlight w:val="none"/>
        </w:rPr>
        <w:t>政</w:t>
      </w:r>
      <w:r>
        <w:rPr>
          <w:rFonts w:ascii="宋体" w:hAnsi="宋体" w:eastAsia="宋体" w:cs="宋体"/>
          <w:color w:val="auto"/>
          <w:sz w:val="24"/>
          <w:highlight w:val="none"/>
        </w:rPr>
        <w:t>府采购金融服务提示：为扩大政府采购金融服务面，除政采云网上金融服务合作银行外，金华市范围增加线下合作银行两家，具体信息如下：</w:t>
      </w:r>
    </w:p>
    <w:p w14:paraId="618289B6">
      <w:pPr>
        <w:adjustRightInd w:val="0"/>
        <w:spacing w:line="390" w:lineRule="exact"/>
        <w:ind w:firstLine="240" w:firstLineChars="100"/>
        <w:rPr>
          <w:rFonts w:ascii="宋体" w:hAnsi="宋体" w:eastAsia="宋体" w:cs="宋体"/>
          <w:color w:val="auto"/>
          <w:sz w:val="24"/>
          <w:highlight w:val="none"/>
        </w:rPr>
      </w:pPr>
      <w:r>
        <w:rPr>
          <w:rFonts w:ascii="宋体" w:hAnsi="宋体" w:eastAsia="宋体" w:cs="宋体"/>
          <w:color w:val="auto"/>
          <w:sz w:val="24"/>
          <w:highlight w:val="none"/>
        </w:rPr>
        <w:t>金华银行文创支行      联系人：姜 峰； 联系电话：13905792828、0579-82479020</w:t>
      </w:r>
    </w:p>
    <w:p w14:paraId="67E9EB19">
      <w:pPr>
        <w:adjustRightInd w:val="0"/>
        <w:spacing w:line="390" w:lineRule="exact"/>
        <w:ind w:firstLine="240" w:firstLineChars="100"/>
        <w:rPr>
          <w:rFonts w:ascii="宋体" w:hAnsi="宋体" w:eastAsia="宋体" w:cs="宋体"/>
          <w:color w:val="auto"/>
          <w:sz w:val="24"/>
          <w:highlight w:val="none"/>
        </w:rPr>
      </w:pPr>
      <w:r>
        <w:rPr>
          <w:rFonts w:ascii="宋体" w:hAnsi="宋体" w:eastAsia="宋体" w:cs="宋体"/>
          <w:color w:val="auto"/>
          <w:sz w:val="24"/>
          <w:highlight w:val="none"/>
        </w:rPr>
        <w:t>浙商银行金华浦江支行  联系人：严艳萍；联系电话：13566950560、0579-88088337</w:t>
      </w:r>
    </w:p>
    <w:p w14:paraId="13ED1213">
      <w:pPr>
        <w:adjustRightInd w:val="0"/>
        <w:spacing w:line="390" w:lineRule="exac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八、凡对本次招标提出询问、质疑、投诉，请按以下方式联系</w:t>
      </w:r>
    </w:p>
    <w:p w14:paraId="08DB1D46">
      <w:pPr>
        <w:adjustRightInd w:val="0"/>
        <w:spacing w:line="39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1.采购人信息</w:t>
      </w:r>
    </w:p>
    <w:p w14:paraId="58FECD03">
      <w:pPr>
        <w:adjustRightInd w:val="0"/>
        <w:spacing w:line="390" w:lineRule="exact"/>
        <w:ind w:firstLine="48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浦江县教育局</w:t>
      </w:r>
    </w:p>
    <w:p w14:paraId="420BC9FA">
      <w:pPr>
        <w:adjustRightInd w:val="0"/>
        <w:spacing w:line="39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eastAsia="宋体" w:cs="宋体"/>
          <w:color w:val="auto"/>
          <w:sz w:val="24"/>
          <w:szCs w:val="24"/>
          <w:highlight w:val="none"/>
        </w:rPr>
        <w:t>浦江县新华西路76号</w:t>
      </w:r>
      <w:r>
        <w:rPr>
          <w:rFonts w:ascii="宋体" w:hAnsi="宋体" w:eastAsia="宋体" w:cs="宋体"/>
          <w:color w:val="auto"/>
          <w:sz w:val="24"/>
          <w:szCs w:val="24"/>
          <w:highlight w:val="none"/>
        </w:rPr>
        <w:t xml:space="preserve">      </w:t>
      </w:r>
    </w:p>
    <w:p w14:paraId="59504626">
      <w:pPr>
        <w:adjustRightInd w:val="0"/>
        <w:spacing w:line="39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传    真： /</w:t>
      </w:r>
    </w:p>
    <w:p w14:paraId="77A000D5">
      <w:pPr>
        <w:adjustRightInd w:val="0"/>
        <w:spacing w:line="390" w:lineRule="exact"/>
        <w:ind w:firstLine="48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方老师</w:t>
      </w:r>
    </w:p>
    <w:p w14:paraId="504CF433">
      <w:pPr>
        <w:adjustRightInd w:val="0"/>
        <w:spacing w:line="39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rPr>
        <w:t>13566956659</w:t>
      </w:r>
    </w:p>
    <w:p w14:paraId="49911C13">
      <w:pPr>
        <w:adjustRightInd w:val="0"/>
        <w:spacing w:line="390" w:lineRule="exact"/>
        <w:ind w:firstLine="48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rPr>
        <w:t>许</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62F8D707">
      <w:pPr>
        <w:adjustRightInd w:val="0"/>
        <w:spacing w:line="390" w:lineRule="exact"/>
        <w:ind w:firstLine="48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质疑联系方式：</w:t>
      </w:r>
      <w:bookmarkStart w:id="1" w:name="OLE_LINK9"/>
      <w:r>
        <w:rPr>
          <w:rFonts w:hint="eastAsia" w:ascii="宋体" w:hAnsi="宋体" w:eastAsia="宋体" w:cs="宋体"/>
          <w:color w:val="auto"/>
          <w:sz w:val="24"/>
          <w:szCs w:val="24"/>
          <w:highlight w:val="none"/>
          <w:lang w:val="en-US" w:eastAsia="zh-CN"/>
        </w:rPr>
        <w:t>15058577533</w:t>
      </w:r>
    </w:p>
    <w:bookmarkEnd w:id="1"/>
    <w:p w14:paraId="7F5E189B">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w:t>
      </w:r>
    </w:p>
    <w:p w14:paraId="57E2F62E">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2.采购代理机构信息            </w:t>
      </w:r>
    </w:p>
    <w:p w14:paraId="390B36ED">
      <w:pPr>
        <w:adjustRightInd w:val="0"/>
        <w:spacing w:line="390" w:lineRule="exact"/>
        <w:ind w:firstLine="48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浙江宏誉工程咨询有限公司</w:t>
      </w:r>
    </w:p>
    <w:p w14:paraId="7E46F15E">
      <w:pPr>
        <w:adjustRightInd w:val="0"/>
        <w:spacing w:line="39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地    址：浦江县</w:t>
      </w:r>
      <w:r>
        <w:rPr>
          <w:rFonts w:hint="eastAsia" w:ascii="宋体" w:hAnsi="宋体" w:eastAsia="宋体" w:cs="宋体"/>
          <w:color w:val="auto"/>
          <w:sz w:val="24"/>
          <w:szCs w:val="24"/>
          <w:highlight w:val="none"/>
          <w:lang w:val="en-US" w:eastAsia="zh-CN"/>
        </w:rPr>
        <w:t>蒋塘路90号</w:t>
      </w:r>
      <w:r>
        <w:rPr>
          <w:rFonts w:ascii="宋体" w:hAnsi="宋体" w:eastAsia="宋体" w:cs="宋体"/>
          <w:color w:val="auto"/>
          <w:sz w:val="24"/>
          <w:szCs w:val="24"/>
          <w:highlight w:val="none"/>
        </w:rPr>
        <w:t xml:space="preserve"> </w:t>
      </w:r>
    </w:p>
    <w:p w14:paraId="02A6AA19">
      <w:pPr>
        <w:adjustRightInd w:val="0"/>
        <w:spacing w:line="39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传    真：/             </w:t>
      </w:r>
    </w:p>
    <w:p w14:paraId="4ED839CD">
      <w:pPr>
        <w:adjustRightInd w:val="0"/>
        <w:spacing w:line="39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刘玉静</w:t>
      </w:r>
      <w:r>
        <w:rPr>
          <w:rFonts w:ascii="宋体" w:hAnsi="宋体" w:eastAsia="宋体" w:cs="宋体"/>
          <w:color w:val="auto"/>
          <w:sz w:val="24"/>
          <w:szCs w:val="24"/>
          <w:highlight w:val="none"/>
        </w:rPr>
        <w:t xml:space="preserve">        </w:t>
      </w:r>
    </w:p>
    <w:p w14:paraId="582E5A92">
      <w:pPr>
        <w:adjustRightInd w:val="0"/>
        <w:spacing w:line="390" w:lineRule="exact"/>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 xml:space="preserve">    项目联系方式（询问）：0579-</w:t>
      </w:r>
      <w:r>
        <w:rPr>
          <w:rFonts w:hint="eastAsia" w:ascii="宋体" w:hAnsi="宋体" w:eastAsia="宋体" w:cs="宋体"/>
          <w:color w:val="auto"/>
          <w:sz w:val="24"/>
          <w:szCs w:val="24"/>
          <w:highlight w:val="none"/>
          <w:lang w:val="en-US" w:eastAsia="zh-CN"/>
        </w:rPr>
        <w:t xml:space="preserve">88076690 </w:t>
      </w:r>
    </w:p>
    <w:p w14:paraId="05556F81">
      <w:pPr>
        <w:adjustRightInd w:val="0"/>
        <w:spacing w:line="39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严旭东</w:t>
      </w:r>
      <w:r>
        <w:rPr>
          <w:rFonts w:ascii="宋体" w:hAnsi="宋体" w:eastAsia="宋体" w:cs="宋体"/>
          <w:color w:val="auto"/>
          <w:sz w:val="24"/>
          <w:szCs w:val="24"/>
          <w:highlight w:val="none"/>
        </w:rPr>
        <w:t xml:space="preserve">          </w:t>
      </w:r>
    </w:p>
    <w:p w14:paraId="39A360E2">
      <w:pPr>
        <w:adjustRightInd w:val="0"/>
        <w:spacing w:line="390" w:lineRule="exact"/>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15068031367</w:t>
      </w:r>
    </w:p>
    <w:p w14:paraId="4BC8A0B5">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w:t>
      </w:r>
    </w:p>
    <w:p w14:paraId="6ACA1B17">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3.同级政府采购监督管理部门            </w:t>
      </w:r>
    </w:p>
    <w:p w14:paraId="667E2B4D">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名    称：浦江县财政局政府采购监管科 </w:t>
      </w:r>
    </w:p>
    <w:p w14:paraId="1150232F">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地    址：浦江县人民东路83号 </w:t>
      </w:r>
    </w:p>
    <w:p w14:paraId="4A627F5E">
      <w:pPr>
        <w:adjustRightInd w:val="0"/>
        <w:spacing w:line="390" w:lineRule="exact"/>
        <w:ind w:firstLine="240" w:firstLineChars="1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传    真：0579-84107222 </w:t>
      </w:r>
    </w:p>
    <w:p w14:paraId="3FBD02F4">
      <w:pPr>
        <w:adjustRightInd w:val="0"/>
        <w:spacing w:line="39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联系人 ：赵先生    </w:t>
      </w:r>
    </w:p>
    <w:p w14:paraId="51272142">
      <w:pPr>
        <w:adjustRightInd w:val="0"/>
        <w:spacing w:line="390" w:lineRule="exact"/>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监督投诉电话：0579-84123011          </w:t>
      </w:r>
    </w:p>
    <w:p w14:paraId="6533B9EA">
      <w:pPr>
        <w:adjustRightInd w:val="0"/>
        <w:spacing w:line="390" w:lineRule="exact"/>
        <w:ind w:firstLine="480" w:firstLineChars="200"/>
        <w:jc w:val="righ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2025年</w:t>
      </w:r>
      <w:r>
        <w:rPr>
          <w:rFonts w:hint="eastAsia" w:asciiTheme="minorEastAsia" w:hAnsiTheme="minorEastAsia" w:eastAsiaTheme="minorEastAsia" w:cstheme="minorEastAsia"/>
          <w:color w:val="auto"/>
          <w:sz w:val="24"/>
          <w:szCs w:val="24"/>
          <w:highlight w:val="none"/>
          <w:lang w:val="en-US" w:eastAsia="zh-CN"/>
        </w:rPr>
        <w:t xml:space="preserve">6 </w:t>
      </w:r>
      <w:r>
        <w:rPr>
          <w:rFonts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24</w:t>
      </w:r>
      <w:r>
        <w:rPr>
          <w:rFonts w:asciiTheme="minorEastAsia" w:hAnsiTheme="minorEastAsia" w:eastAsiaTheme="minorEastAsia" w:cstheme="minorEastAsia"/>
          <w:color w:val="auto"/>
          <w:sz w:val="24"/>
          <w:szCs w:val="24"/>
          <w:highlight w:val="none"/>
        </w:rPr>
        <w:t>日</w:t>
      </w:r>
    </w:p>
    <w:p w14:paraId="0C703727">
      <w:pPr>
        <w:adjustRightInd w:val="0"/>
        <w:spacing w:line="390" w:lineRule="exact"/>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8009149">
      <w:pPr>
        <w:adjustRightInd w:val="0"/>
        <w:spacing w:line="390" w:lineRule="exact"/>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CA问题联系电话（人工）：汇信CA 400-888-4636；天谷CA 400-087-8198。</w:t>
      </w:r>
    </w:p>
    <w:p w14:paraId="58D2673F">
      <w:pPr>
        <w:spacing w:line="360" w:lineRule="auto"/>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1ACFD1E7">
      <w:pPr>
        <w:spacing w:line="360" w:lineRule="auto"/>
        <w:jc w:val="center"/>
        <w:outlineLvl w:val="0"/>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第二部分  投标人须知</w:t>
      </w:r>
    </w:p>
    <w:p w14:paraId="31B4419E">
      <w:pPr>
        <w:adjustRightInd w:val="0"/>
        <w:spacing w:line="360" w:lineRule="auto"/>
        <w:jc w:val="center"/>
        <w:outlineLvl w:val="1"/>
        <w:rPr>
          <w:rFonts w:ascii="宋体" w:hAnsi="宋体" w:eastAsia="宋体" w:cs="宋体"/>
          <w:b/>
          <w:color w:val="auto"/>
          <w:sz w:val="32"/>
          <w:highlight w:val="none"/>
        </w:rPr>
      </w:pPr>
      <w:bookmarkStart w:id="2" w:name="_Toc12650"/>
      <w:r>
        <w:rPr>
          <w:rFonts w:ascii="宋体" w:hAnsi="宋体" w:eastAsia="宋体" w:cs="宋体"/>
          <w:b/>
          <w:color w:val="auto"/>
          <w:sz w:val="32"/>
          <w:highlight w:val="none"/>
        </w:rPr>
        <w:t>前附表</w:t>
      </w:r>
      <w:bookmarkEnd w:id="2"/>
    </w:p>
    <w:tbl>
      <w:tblPr>
        <w:tblStyle w:val="21"/>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4DBA0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6B4614CD">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条款号</w:t>
            </w:r>
          </w:p>
        </w:tc>
        <w:tc>
          <w:tcPr>
            <w:tcW w:w="1231" w:type="dxa"/>
            <w:tcBorders>
              <w:tl2br w:val="nil"/>
              <w:tr2bl w:val="nil"/>
            </w:tcBorders>
          </w:tcPr>
          <w:p w14:paraId="7A98E478">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w:t>
            </w:r>
          </w:p>
        </w:tc>
        <w:tc>
          <w:tcPr>
            <w:tcW w:w="6764" w:type="dxa"/>
            <w:tcBorders>
              <w:tl2br w:val="nil"/>
              <w:tr2bl w:val="nil"/>
            </w:tcBorders>
          </w:tcPr>
          <w:p w14:paraId="5681D44A">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条款内容</w:t>
            </w:r>
          </w:p>
        </w:tc>
      </w:tr>
      <w:tr w14:paraId="4F668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98" w:type="dxa"/>
            <w:tcBorders>
              <w:tl2br w:val="nil"/>
              <w:tr2bl w:val="nil"/>
            </w:tcBorders>
            <w:vAlign w:val="center"/>
          </w:tcPr>
          <w:p w14:paraId="75E2015A">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1231" w:type="dxa"/>
            <w:tcBorders>
              <w:tl2br w:val="nil"/>
              <w:tr2bl w:val="nil"/>
            </w:tcBorders>
            <w:vAlign w:val="center"/>
          </w:tcPr>
          <w:p w14:paraId="7A5AE0A3">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lang w:val="zh-TW"/>
              </w:rPr>
              <w:t>项目名称</w:t>
            </w:r>
          </w:p>
        </w:tc>
        <w:tc>
          <w:tcPr>
            <w:tcW w:w="6764" w:type="dxa"/>
            <w:tcBorders>
              <w:tl2br w:val="nil"/>
              <w:tr2bl w:val="nil"/>
            </w:tcBorders>
            <w:shd w:val="clear" w:color="auto" w:fill="CCE8CF" w:themeFill="background1"/>
            <w:vAlign w:val="center"/>
          </w:tcPr>
          <w:p w14:paraId="0B68D2AA">
            <w:pPr>
              <w:spacing w:line="360" w:lineRule="exact"/>
              <w:rPr>
                <w:rFonts w:ascii="宋体" w:hAnsi="宋体" w:eastAsia="宋体" w:cs="宋体"/>
                <w:color w:val="auto"/>
                <w:szCs w:val="21"/>
                <w:highlight w:val="none"/>
                <w:lang w:val="zh-TW"/>
              </w:rPr>
            </w:pPr>
            <w:r>
              <w:rPr>
                <w:rFonts w:hint="eastAsia" w:ascii="宋体" w:hAnsi="宋体" w:eastAsia="宋体" w:cs="宋体"/>
                <w:color w:val="auto"/>
                <w:szCs w:val="21"/>
                <w:highlight w:val="none"/>
                <w:lang w:val="zh-TW" w:eastAsia="zh-CN"/>
              </w:rPr>
              <w:t xml:space="preserve">浦江县城区幼儿园金狮湖幼儿园建设项目幼儿园玩具  </w:t>
            </w:r>
          </w:p>
        </w:tc>
      </w:tr>
      <w:tr w14:paraId="008DD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2BDEA91B">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1231" w:type="dxa"/>
            <w:tcBorders>
              <w:tl2br w:val="nil"/>
              <w:tr2bl w:val="nil"/>
            </w:tcBorders>
            <w:vAlign w:val="center"/>
          </w:tcPr>
          <w:p w14:paraId="180A2EC7">
            <w:pPr>
              <w:spacing w:line="360" w:lineRule="exact"/>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zh-TW" w:eastAsia="zh-CN"/>
              </w:rPr>
              <w:t>项目编号</w:t>
            </w:r>
          </w:p>
        </w:tc>
        <w:tc>
          <w:tcPr>
            <w:tcW w:w="6764" w:type="dxa"/>
            <w:tcBorders>
              <w:tl2br w:val="nil"/>
              <w:tr2bl w:val="nil"/>
            </w:tcBorders>
            <w:shd w:val="clear" w:color="auto" w:fill="CCE8CF" w:themeFill="background1"/>
            <w:vAlign w:val="center"/>
          </w:tcPr>
          <w:p w14:paraId="59B14416">
            <w:pPr>
              <w:spacing w:line="360" w:lineRule="exact"/>
              <w:rPr>
                <w:rFonts w:hint="eastAsia" w:ascii="宋体" w:hAnsi="宋体" w:eastAsia="宋体" w:cs="宋体"/>
                <w:color w:val="auto"/>
                <w:szCs w:val="21"/>
                <w:highlight w:val="none"/>
                <w:lang w:val="zh-TW" w:eastAsia="zh-CN"/>
              </w:rPr>
            </w:pPr>
            <w:r>
              <w:rPr>
                <w:rFonts w:hint="eastAsia" w:ascii="宋体" w:hAnsi="宋体" w:eastAsia="宋体" w:cs="宋体"/>
                <w:color w:val="auto"/>
                <w:szCs w:val="21"/>
                <w:highlight w:val="none"/>
                <w:lang w:val="en-US" w:eastAsia="zh-CN"/>
              </w:rPr>
              <w:t>ZJHY20250616001</w:t>
            </w:r>
          </w:p>
        </w:tc>
      </w:tr>
      <w:tr w14:paraId="1949C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98" w:type="dxa"/>
            <w:tcBorders>
              <w:tl2br w:val="nil"/>
              <w:tr2bl w:val="nil"/>
            </w:tcBorders>
            <w:vAlign w:val="center"/>
          </w:tcPr>
          <w:p w14:paraId="5C9FD569">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1231" w:type="dxa"/>
            <w:tcBorders>
              <w:tl2br w:val="nil"/>
              <w:tr2bl w:val="nil"/>
            </w:tcBorders>
            <w:vAlign w:val="center"/>
          </w:tcPr>
          <w:p w14:paraId="7ACB14F4">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采购方式</w:t>
            </w:r>
          </w:p>
        </w:tc>
        <w:tc>
          <w:tcPr>
            <w:tcW w:w="6764" w:type="dxa"/>
            <w:tcBorders>
              <w:tl2br w:val="nil"/>
              <w:tr2bl w:val="nil"/>
            </w:tcBorders>
            <w:shd w:val="clear" w:color="auto" w:fill="CCE8CF" w:themeFill="background1"/>
            <w:vAlign w:val="center"/>
          </w:tcPr>
          <w:p w14:paraId="5BEFCAF3">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公开招标（电子招投标）</w:t>
            </w:r>
          </w:p>
        </w:tc>
      </w:tr>
      <w:tr w14:paraId="324AE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98" w:type="dxa"/>
            <w:tcBorders>
              <w:tl2br w:val="nil"/>
              <w:tr2bl w:val="nil"/>
            </w:tcBorders>
            <w:vAlign w:val="center"/>
          </w:tcPr>
          <w:p w14:paraId="3E2268C5">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c>
          <w:tcPr>
            <w:tcW w:w="1231" w:type="dxa"/>
            <w:tcBorders>
              <w:tl2br w:val="nil"/>
              <w:tr2bl w:val="nil"/>
            </w:tcBorders>
            <w:vAlign w:val="center"/>
          </w:tcPr>
          <w:p w14:paraId="491A32F2">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lang w:val="zh-TW"/>
              </w:rPr>
              <w:t>项目概况</w:t>
            </w:r>
          </w:p>
        </w:tc>
        <w:tc>
          <w:tcPr>
            <w:tcW w:w="6764" w:type="dxa"/>
            <w:tcBorders>
              <w:tl2br w:val="nil"/>
              <w:tr2bl w:val="nil"/>
            </w:tcBorders>
            <w:shd w:val="clear" w:color="auto" w:fill="CCE8CF" w:themeFill="background1"/>
            <w:vAlign w:val="center"/>
          </w:tcPr>
          <w:p w14:paraId="0D213E8A">
            <w:pPr>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rPr>
              <w:t>采购内容：</w:t>
            </w:r>
            <w:r>
              <w:rPr>
                <w:rFonts w:ascii="宋体" w:hAnsi="宋体" w:eastAsia="宋体" w:cs="宋体"/>
                <w:color w:val="auto"/>
                <w:szCs w:val="21"/>
                <w:highlight w:val="none"/>
                <w:lang w:val="zh-TW"/>
              </w:rPr>
              <w:t>详见“第</w:t>
            </w:r>
            <w:r>
              <w:rPr>
                <w:rFonts w:ascii="宋体" w:hAnsi="宋体" w:eastAsia="宋体" w:cs="宋体"/>
                <w:color w:val="auto"/>
                <w:szCs w:val="21"/>
                <w:highlight w:val="none"/>
              </w:rPr>
              <w:t>三</w:t>
            </w:r>
            <w:r>
              <w:rPr>
                <w:rFonts w:ascii="宋体" w:hAnsi="宋体" w:eastAsia="宋体" w:cs="宋体"/>
                <w:color w:val="auto"/>
                <w:szCs w:val="21"/>
                <w:highlight w:val="none"/>
                <w:lang w:val="zh-TW"/>
              </w:rPr>
              <w:t>部分 采购需求”。</w:t>
            </w:r>
          </w:p>
          <w:p w14:paraId="4F68F8B1">
            <w:pPr>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lang w:val="zh-TW"/>
              </w:rPr>
              <w:t>项目实施地点：</w:t>
            </w:r>
            <w:r>
              <w:rPr>
                <w:rFonts w:ascii="宋体" w:hAnsi="宋体" w:eastAsia="宋体" w:cs="宋体"/>
                <w:color w:val="auto"/>
                <w:szCs w:val="21"/>
                <w:highlight w:val="none"/>
              </w:rPr>
              <w:t>金华市浦江县</w:t>
            </w:r>
            <w:r>
              <w:rPr>
                <w:rFonts w:ascii="宋体" w:hAnsi="宋体" w:eastAsia="宋体" w:cs="宋体"/>
                <w:color w:val="auto"/>
                <w:szCs w:val="21"/>
                <w:highlight w:val="none"/>
                <w:lang w:val="zh-TW"/>
              </w:rPr>
              <w:t>。</w:t>
            </w:r>
          </w:p>
          <w:p w14:paraId="09197FDC">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lang w:val="zh-TW"/>
              </w:rPr>
              <w:t>资金来源：财政资金。</w:t>
            </w:r>
          </w:p>
        </w:tc>
      </w:tr>
      <w:tr w14:paraId="6BCA6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98" w:type="dxa"/>
            <w:tcBorders>
              <w:tl2br w:val="nil"/>
              <w:tr2bl w:val="nil"/>
            </w:tcBorders>
            <w:vAlign w:val="center"/>
          </w:tcPr>
          <w:p w14:paraId="7DB70FE0">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1231" w:type="dxa"/>
            <w:tcBorders>
              <w:tl2br w:val="nil"/>
              <w:tr2bl w:val="nil"/>
            </w:tcBorders>
            <w:vAlign w:val="center"/>
          </w:tcPr>
          <w:p w14:paraId="72E8F92F">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lang w:val="zh-TW"/>
              </w:rPr>
              <w:t>采购</w:t>
            </w:r>
            <w:r>
              <w:rPr>
                <w:rFonts w:ascii="宋体" w:hAnsi="宋体" w:eastAsia="宋体" w:cs="宋体"/>
                <w:b/>
                <w:bCs/>
                <w:color w:val="auto"/>
                <w:szCs w:val="21"/>
                <w:highlight w:val="none"/>
              </w:rPr>
              <w:t>预算</w:t>
            </w:r>
          </w:p>
        </w:tc>
        <w:tc>
          <w:tcPr>
            <w:tcW w:w="6764" w:type="dxa"/>
            <w:tcBorders>
              <w:tl2br w:val="nil"/>
              <w:tr2bl w:val="nil"/>
            </w:tcBorders>
            <w:shd w:val="clear" w:color="auto" w:fill="CCE8CF" w:themeFill="background1"/>
            <w:vAlign w:val="center"/>
          </w:tcPr>
          <w:p w14:paraId="6EAC872B">
            <w:pPr>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lang w:val="zh-TW"/>
              </w:rPr>
              <w:t>采购预算：</w:t>
            </w:r>
            <w:r>
              <w:rPr>
                <w:rFonts w:hint="eastAsia" w:ascii="宋体" w:hAnsi="宋体" w:eastAsia="宋体" w:cs="宋体"/>
                <w:color w:val="auto"/>
                <w:szCs w:val="21"/>
                <w:highlight w:val="none"/>
                <w:lang w:val="en-US" w:eastAsia="zh-CN"/>
              </w:rPr>
              <w:t>600000</w:t>
            </w:r>
            <w:r>
              <w:rPr>
                <w:rFonts w:ascii="宋体" w:hAnsi="宋体" w:eastAsia="宋体" w:cs="宋体"/>
                <w:color w:val="auto"/>
                <w:szCs w:val="21"/>
                <w:highlight w:val="none"/>
              </w:rPr>
              <w:t>元，</w:t>
            </w:r>
            <w:r>
              <w:rPr>
                <w:rFonts w:ascii="宋体" w:hAnsi="宋体" w:eastAsia="宋体" w:cs="宋体"/>
                <w:color w:val="auto"/>
                <w:szCs w:val="21"/>
                <w:highlight w:val="none"/>
                <w:lang w:val="zh-TW"/>
              </w:rPr>
              <w:t>最高限价：</w:t>
            </w:r>
            <w:r>
              <w:rPr>
                <w:rFonts w:hint="eastAsia" w:ascii="宋体" w:hAnsi="宋体" w:eastAsia="宋体" w:cs="宋体"/>
                <w:color w:val="auto"/>
                <w:szCs w:val="21"/>
                <w:highlight w:val="none"/>
                <w:lang w:val="en-US" w:eastAsia="zh-CN"/>
              </w:rPr>
              <w:t>600000</w:t>
            </w:r>
            <w:r>
              <w:rPr>
                <w:rFonts w:ascii="宋体" w:hAnsi="宋体" w:eastAsia="宋体" w:cs="宋体"/>
                <w:color w:val="auto"/>
                <w:szCs w:val="21"/>
                <w:highlight w:val="none"/>
              </w:rPr>
              <w:t>元。</w:t>
            </w:r>
          </w:p>
        </w:tc>
      </w:tr>
      <w:tr w14:paraId="1CF83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98" w:type="dxa"/>
            <w:tcBorders>
              <w:tl2br w:val="nil"/>
              <w:tr2bl w:val="nil"/>
            </w:tcBorders>
            <w:vAlign w:val="center"/>
          </w:tcPr>
          <w:p w14:paraId="4F439D82">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6</w:t>
            </w:r>
          </w:p>
        </w:tc>
        <w:tc>
          <w:tcPr>
            <w:tcW w:w="1231" w:type="dxa"/>
            <w:tcBorders>
              <w:tl2br w:val="nil"/>
              <w:tr2bl w:val="nil"/>
            </w:tcBorders>
            <w:vAlign w:val="center"/>
          </w:tcPr>
          <w:p w14:paraId="6FFE517A">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采购人</w:t>
            </w:r>
          </w:p>
        </w:tc>
        <w:tc>
          <w:tcPr>
            <w:tcW w:w="6764" w:type="dxa"/>
            <w:tcBorders>
              <w:tl2br w:val="nil"/>
              <w:tr2bl w:val="nil"/>
            </w:tcBorders>
            <w:shd w:val="clear" w:color="auto" w:fill="CCE8CF" w:themeFill="background1"/>
            <w:vAlign w:val="center"/>
          </w:tcPr>
          <w:p w14:paraId="0A889994">
            <w:pPr>
              <w:spacing w:line="360" w:lineRule="exact"/>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浦江县教育局</w:t>
            </w:r>
          </w:p>
          <w:p w14:paraId="357877BE">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地址：</w:t>
            </w:r>
            <w:r>
              <w:rPr>
                <w:rFonts w:hint="eastAsia" w:ascii="宋体" w:hAnsi="宋体" w:eastAsia="宋体" w:cs="宋体"/>
                <w:color w:val="auto"/>
                <w:szCs w:val="21"/>
                <w:highlight w:val="none"/>
              </w:rPr>
              <w:t xml:space="preserve">浦江县新华西路76号 </w:t>
            </w:r>
          </w:p>
          <w:p w14:paraId="6996779B">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项目联系人（询问）：</w:t>
            </w:r>
            <w:r>
              <w:rPr>
                <w:rFonts w:hint="eastAsia" w:ascii="宋体" w:hAnsi="宋体" w:eastAsia="宋体" w:cs="宋体"/>
                <w:color w:val="auto"/>
                <w:szCs w:val="21"/>
                <w:highlight w:val="none"/>
              </w:rPr>
              <w:t>王爱爱</w:t>
            </w:r>
          </w:p>
          <w:p w14:paraId="4C776F5E">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项目联系方式（询问）：</w:t>
            </w:r>
            <w:r>
              <w:rPr>
                <w:rFonts w:hint="eastAsia" w:ascii="宋体" w:hAnsi="宋体" w:eastAsia="宋体" w:cs="宋体"/>
                <w:color w:val="auto"/>
                <w:szCs w:val="21"/>
                <w:highlight w:val="none"/>
              </w:rPr>
              <w:t>13967952451</w:t>
            </w:r>
          </w:p>
        </w:tc>
      </w:tr>
      <w:tr w14:paraId="475D4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898" w:type="dxa"/>
            <w:tcBorders>
              <w:tl2br w:val="nil"/>
              <w:tr2bl w:val="nil"/>
            </w:tcBorders>
            <w:vAlign w:val="center"/>
          </w:tcPr>
          <w:p w14:paraId="7A909CB1">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1231" w:type="dxa"/>
            <w:tcBorders>
              <w:tl2br w:val="nil"/>
              <w:tr2bl w:val="nil"/>
            </w:tcBorders>
            <w:vAlign w:val="center"/>
          </w:tcPr>
          <w:p w14:paraId="18D82E89">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采购代理机构</w:t>
            </w:r>
          </w:p>
        </w:tc>
        <w:tc>
          <w:tcPr>
            <w:tcW w:w="6764" w:type="dxa"/>
            <w:tcBorders>
              <w:tl2br w:val="nil"/>
              <w:tr2bl w:val="nil"/>
            </w:tcBorders>
            <w:vAlign w:val="center"/>
          </w:tcPr>
          <w:p w14:paraId="387DF78A">
            <w:pPr>
              <w:spacing w:line="360" w:lineRule="exact"/>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浙江宏誉工程咨询有限公司</w:t>
            </w:r>
          </w:p>
          <w:p w14:paraId="64840E29">
            <w:pPr>
              <w:spacing w:line="360" w:lineRule="exact"/>
              <w:rPr>
                <w:rFonts w:hint="eastAsia" w:ascii="宋体" w:hAnsi="宋体" w:eastAsia="宋体" w:cs="宋体"/>
                <w:color w:val="auto"/>
                <w:szCs w:val="21"/>
                <w:highlight w:val="none"/>
                <w:lang w:val="en-US" w:eastAsia="zh-CN"/>
              </w:rPr>
            </w:pPr>
            <w:r>
              <w:rPr>
                <w:rFonts w:ascii="宋体" w:hAnsi="宋体" w:eastAsia="宋体" w:cs="宋体"/>
                <w:color w:val="auto"/>
                <w:szCs w:val="21"/>
                <w:highlight w:val="none"/>
              </w:rPr>
              <w:t>地址：浦江县</w:t>
            </w:r>
            <w:r>
              <w:rPr>
                <w:rFonts w:hint="eastAsia" w:ascii="宋体" w:hAnsi="宋体" w:eastAsia="宋体" w:cs="宋体"/>
                <w:color w:val="auto"/>
                <w:szCs w:val="21"/>
                <w:highlight w:val="none"/>
                <w:lang w:val="en-US" w:eastAsia="zh-CN"/>
              </w:rPr>
              <w:t>蒋塘路90号</w:t>
            </w:r>
          </w:p>
          <w:p w14:paraId="13EE3928">
            <w:pPr>
              <w:spacing w:line="360" w:lineRule="exact"/>
              <w:rPr>
                <w:rFonts w:hint="eastAsia" w:ascii="宋体" w:hAnsi="宋体" w:eastAsia="宋体" w:cs="宋体"/>
                <w:color w:val="auto"/>
                <w:szCs w:val="21"/>
                <w:highlight w:val="none"/>
                <w:lang w:val="en-US" w:eastAsia="zh-CN"/>
              </w:rPr>
            </w:pPr>
            <w:r>
              <w:rPr>
                <w:rFonts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刘玉静</w:t>
            </w:r>
          </w:p>
          <w:p w14:paraId="35137ADD">
            <w:pPr>
              <w:spacing w:line="360" w:lineRule="exact"/>
              <w:jc w:val="left"/>
              <w:rPr>
                <w:rFonts w:hint="default" w:ascii="宋体" w:hAnsi="宋体" w:eastAsia="宋体" w:cs="宋体"/>
                <w:color w:val="auto"/>
                <w:szCs w:val="21"/>
                <w:highlight w:val="none"/>
                <w:lang w:val="en-US" w:eastAsia="zh-CN"/>
              </w:rPr>
            </w:pPr>
            <w:r>
              <w:rPr>
                <w:rFonts w:ascii="宋体" w:hAnsi="宋体" w:eastAsia="宋体" w:cs="宋体"/>
                <w:color w:val="auto"/>
                <w:szCs w:val="21"/>
                <w:highlight w:val="none"/>
              </w:rPr>
              <w:t>项目联系方式（询问）：0579-</w:t>
            </w:r>
            <w:r>
              <w:rPr>
                <w:rFonts w:hint="eastAsia" w:ascii="宋体" w:hAnsi="宋体" w:eastAsia="宋体" w:cs="宋体"/>
                <w:color w:val="auto"/>
                <w:szCs w:val="21"/>
                <w:highlight w:val="none"/>
                <w:lang w:val="en-US" w:eastAsia="zh-CN"/>
              </w:rPr>
              <w:t>88076690</w:t>
            </w:r>
          </w:p>
        </w:tc>
      </w:tr>
      <w:tr w14:paraId="372F0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98" w:type="dxa"/>
            <w:tcBorders>
              <w:tl2br w:val="nil"/>
              <w:tr2bl w:val="nil"/>
            </w:tcBorders>
            <w:vAlign w:val="center"/>
          </w:tcPr>
          <w:p w14:paraId="607E8478">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8</w:t>
            </w:r>
          </w:p>
        </w:tc>
        <w:tc>
          <w:tcPr>
            <w:tcW w:w="1231" w:type="dxa"/>
            <w:tcBorders>
              <w:tl2br w:val="nil"/>
              <w:tr2bl w:val="nil"/>
            </w:tcBorders>
            <w:vAlign w:val="center"/>
          </w:tcPr>
          <w:p w14:paraId="70ACD45F">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电子交易平台</w:t>
            </w:r>
          </w:p>
        </w:tc>
        <w:tc>
          <w:tcPr>
            <w:tcW w:w="6764" w:type="dxa"/>
            <w:tcBorders>
              <w:tl2br w:val="nil"/>
              <w:tr2bl w:val="nil"/>
            </w:tcBorders>
            <w:vAlign w:val="center"/>
          </w:tcPr>
          <w:p w14:paraId="315C261E">
            <w:pPr>
              <w:spacing w:line="360" w:lineRule="exact"/>
              <w:jc w:val="left"/>
              <w:rPr>
                <w:rFonts w:ascii="宋体" w:hAnsi="宋体" w:eastAsia="宋体" w:cs="宋体"/>
                <w:b/>
                <w:bCs/>
                <w:color w:val="auto"/>
                <w:szCs w:val="21"/>
                <w:highlight w:val="none"/>
              </w:rPr>
            </w:pPr>
            <w:r>
              <w:rPr>
                <w:rFonts w:ascii="宋体" w:hAnsi="宋体" w:eastAsia="宋体" w:cs="宋体"/>
                <w:b/>
                <w:bCs/>
                <w:color w:val="auto"/>
                <w:szCs w:val="21"/>
                <w:highlight w:val="none"/>
              </w:rPr>
              <w:t>浙江政府采购网政府采购云平台（政采云平台）（www.zcygov.cn）。</w:t>
            </w:r>
          </w:p>
        </w:tc>
      </w:tr>
      <w:tr w14:paraId="5CDD7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22EEA060">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▲9</w:t>
            </w:r>
          </w:p>
        </w:tc>
        <w:tc>
          <w:tcPr>
            <w:tcW w:w="1231" w:type="dxa"/>
            <w:tcBorders>
              <w:tl2br w:val="nil"/>
              <w:tr2bl w:val="nil"/>
            </w:tcBorders>
            <w:vAlign w:val="center"/>
          </w:tcPr>
          <w:p w14:paraId="378B3F31">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资格</w:t>
            </w:r>
            <w:r>
              <w:rPr>
                <w:rFonts w:ascii="宋体" w:hAnsi="宋体" w:eastAsia="宋体" w:cs="宋体"/>
                <w:b/>
                <w:bCs/>
                <w:color w:val="auto"/>
                <w:szCs w:val="21"/>
                <w:highlight w:val="none"/>
              </w:rPr>
              <w:t>条件</w:t>
            </w:r>
          </w:p>
        </w:tc>
        <w:tc>
          <w:tcPr>
            <w:tcW w:w="6764" w:type="dxa"/>
            <w:tcBorders>
              <w:tl2br w:val="nil"/>
              <w:tr2bl w:val="nil"/>
            </w:tcBorders>
            <w:vAlign w:val="center"/>
          </w:tcPr>
          <w:p w14:paraId="74041D1B">
            <w:pPr>
              <w:spacing w:line="360" w:lineRule="exact"/>
              <w:jc w:val="left"/>
              <w:rPr>
                <w:rFonts w:ascii="宋体" w:hAnsi="宋体" w:eastAsia="宋体" w:cs="宋体"/>
                <w:b/>
                <w:bCs/>
                <w:color w:val="auto"/>
                <w:szCs w:val="21"/>
                <w:highlight w:val="none"/>
              </w:rPr>
            </w:pPr>
            <w:r>
              <w:rPr>
                <w:rFonts w:ascii="宋体" w:hAnsi="宋体" w:eastAsia="宋体" w:cs="宋体"/>
                <w:color w:val="auto"/>
                <w:szCs w:val="21"/>
                <w:highlight w:val="none"/>
                <w:lang w:val="zh-TW"/>
              </w:rPr>
              <w:t>详见采购公告</w:t>
            </w:r>
          </w:p>
        </w:tc>
      </w:tr>
      <w:tr w14:paraId="36FEB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98" w:type="dxa"/>
            <w:tcBorders>
              <w:tl2br w:val="nil"/>
              <w:tr2bl w:val="nil"/>
            </w:tcBorders>
            <w:vAlign w:val="center"/>
          </w:tcPr>
          <w:p w14:paraId="37B6935C">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1231" w:type="dxa"/>
            <w:tcBorders>
              <w:tl2br w:val="nil"/>
              <w:tr2bl w:val="nil"/>
            </w:tcBorders>
            <w:vAlign w:val="center"/>
          </w:tcPr>
          <w:p w14:paraId="72400995">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联合体</w:t>
            </w:r>
          </w:p>
        </w:tc>
        <w:tc>
          <w:tcPr>
            <w:tcW w:w="6764" w:type="dxa"/>
            <w:tcBorders>
              <w:tl2br w:val="nil"/>
              <w:tr2bl w:val="nil"/>
            </w:tcBorders>
            <w:vAlign w:val="center"/>
          </w:tcPr>
          <w:p w14:paraId="1DBC9F2E">
            <w:pPr>
              <w:spacing w:line="360" w:lineRule="exact"/>
              <w:rPr>
                <w:rFonts w:ascii="宋体" w:hAnsi="宋体" w:eastAsia="宋体" w:cs="宋体"/>
                <w:b/>
                <w:bCs/>
                <w:color w:val="auto"/>
                <w:szCs w:val="21"/>
                <w:highlight w:val="none"/>
              </w:rPr>
            </w:pPr>
            <w:r>
              <w:rPr>
                <w:rFonts w:ascii="宋体" w:hAnsi="宋体" w:eastAsia="宋体" w:cs="宋体"/>
                <w:b/>
                <w:bCs/>
                <w:snapToGrid w:val="0"/>
                <w:color w:val="auto"/>
                <w:kern w:val="0"/>
                <w:sz w:val="24"/>
                <w:highlight w:val="none"/>
              </w:rPr>
              <w:sym w:font="Wingdings" w:char="00FE"/>
            </w:r>
            <w:r>
              <w:rPr>
                <w:rFonts w:ascii="宋体" w:hAnsi="宋体" w:eastAsia="宋体" w:cs="宋体"/>
                <w:b/>
                <w:bCs/>
                <w:color w:val="auto"/>
                <w:szCs w:val="21"/>
                <w:highlight w:val="none"/>
              </w:rPr>
              <w:t>本项目不接受联合体投标。</w:t>
            </w:r>
          </w:p>
          <w:p w14:paraId="68335989">
            <w:pPr>
              <w:spacing w:before="156" w:beforeLines="50" w:line="360" w:lineRule="exact"/>
              <w:rPr>
                <w:rFonts w:ascii="宋体" w:hAnsi="宋体" w:eastAsia="宋体" w:cs="宋体"/>
                <w:color w:val="auto"/>
                <w:szCs w:val="21"/>
                <w:highlight w:val="none"/>
              </w:rPr>
            </w:pPr>
            <w:sdt>
              <w:sdtPr>
                <w:rPr>
                  <w:rFonts w:ascii="宋体" w:hAnsi="宋体" w:eastAsia="宋体" w:cs="宋体"/>
                  <w:b/>
                  <w:bCs/>
                  <w:snapToGrid w:val="0"/>
                  <w:color w:val="auto"/>
                  <w:kern w:val="0"/>
                  <w:sz w:val="24"/>
                  <w:highlight w:val="none"/>
                </w:rPr>
                <w:id w:val="147471003"/>
              </w:sdtPr>
              <w:sdtEndPr>
                <w:rPr>
                  <w:rFonts w:ascii="宋体" w:hAnsi="宋体" w:eastAsia="宋体" w:cs="宋体"/>
                  <w:b w:val="0"/>
                  <w:bCs w:val="0"/>
                  <w:snapToGrid w:val="0"/>
                  <w:color w:val="auto"/>
                  <w:kern w:val="0"/>
                  <w:sz w:val="24"/>
                  <w:highlight w:val="none"/>
                </w:rPr>
              </w:sdtEndPr>
              <w:sdtContent>
                <w:r>
                  <w:rPr>
                    <w:rFonts w:ascii="宋体" w:hAnsi="宋体" w:eastAsia="宋体" w:cs="宋体"/>
                    <w:snapToGrid w:val="0"/>
                    <w:color w:val="auto"/>
                    <w:kern w:val="0"/>
                    <w:sz w:val="24"/>
                    <w:highlight w:val="none"/>
                  </w:rPr>
                  <w:sym w:font="Wingdings" w:char="00A8"/>
                </w:r>
              </w:sdtContent>
            </w:sdt>
            <w:r>
              <w:rPr>
                <w:rFonts w:ascii="宋体" w:hAnsi="宋体" w:eastAsia="宋体" w:cs="宋体"/>
                <w:color w:val="auto"/>
                <w:szCs w:val="21"/>
                <w:highlight w:val="none"/>
              </w:rPr>
              <w:t>本项目接受联合体投标，具体要求如下：</w:t>
            </w:r>
          </w:p>
          <w:p w14:paraId="14FED4F5">
            <w:pPr>
              <w:numPr>
                <w:ilvl w:val="0"/>
                <w:numId w:val="1"/>
              </w:numPr>
              <w:spacing w:line="360" w:lineRule="exact"/>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联合体总成员单位不得超过2家。</w:t>
            </w:r>
          </w:p>
          <w:p w14:paraId="0F3C7BF8">
            <w:pPr>
              <w:numPr>
                <w:ilvl w:val="0"/>
                <w:numId w:val="1"/>
              </w:numPr>
              <w:spacing w:line="360" w:lineRule="exact"/>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以联合体形式参加政府采购活动的，联合体各方不得再单独参加或者与其他投标人另外组成联合体参加同一合同项下的政府采购活动。</w:t>
            </w:r>
          </w:p>
          <w:p w14:paraId="1E6C9F14">
            <w:pPr>
              <w:spacing w:line="360" w:lineRule="exact"/>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3）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14:paraId="481F8EC4">
            <w:pPr>
              <w:spacing w:line="360" w:lineRule="exact"/>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（4）以联合体名义参加投标的，投标文件则以联合体牵头人的名义上传。</w:t>
            </w:r>
          </w:p>
          <w:p w14:paraId="7DB4E07F">
            <w:pPr>
              <w:spacing w:line="360" w:lineRule="exact"/>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 xml:space="preserve">（5）组成联合体中标的，招标人支付项目各项费用的对象约定： </w:t>
            </w:r>
          </w:p>
          <w:p w14:paraId="1F156C8A">
            <w:pPr>
              <w:spacing w:line="360" w:lineRule="exact"/>
              <w:ind w:firstLine="210" w:firstLineChars="100"/>
              <w:rPr>
                <w:rFonts w:ascii="宋体" w:hAnsi="宋体" w:eastAsia="宋体" w:cs="宋体"/>
                <w:color w:val="auto"/>
                <w:szCs w:val="21"/>
                <w:highlight w:val="none"/>
              </w:rPr>
            </w:pPr>
            <w:r>
              <w:rPr>
                <w:rFonts w:ascii="宋体" w:hAnsi="宋体" w:eastAsia="宋体" w:cs="宋体"/>
                <w:color w:val="auto"/>
                <w:szCs w:val="21"/>
                <w:highlight w:val="none"/>
              </w:rPr>
              <w:t xml:space="preserve">□①各项费用由招标人直接支付给牵头人，再由牵头人按联合体协议书约定支付分配； </w:t>
            </w:r>
          </w:p>
          <w:p w14:paraId="13F19C1D">
            <w:pPr>
              <w:spacing w:line="360" w:lineRule="exact"/>
              <w:ind w:firstLine="210" w:firstLineChars="100"/>
              <w:rPr>
                <w:rFonts w:ascii="宋体" w:hAnsi="宋体" w:eastAsia="宋体" w:cs="宋体"/>
                <w:b/>
                <w:color w:val="auto"/>
                <w:kern w:val="10"/>
                <w:szCs w:val="21"/>
                <w:highlight w:val="none"/>
              </w:rPr>
            </w:pPr>
            <w:r>
              <w:rPr>
                <w:rFonts w:ascii="宋体" w:hAnsi="宋体" w:eastAsia="宋体" w:cs="宋体"/>
                <w:color w:val="auto"/>
                <w:szCs w:val="21"/>
                <w:highlight w:val="none"/>
              </w:rPr>
              <w:t>□②各项费用由招标人按联合体成员职责分工，分别支付给联合各成员。</w:t>
            </w:r>
          </w:p>
        </w:tc>
      </w:tr>
      <w:tr w14:paraId="02EA0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98" w:type="dxa"/>
            <w:tcBorders>
              <w:tl2br w:val="nil"/>
              <w:tr2bl w:val="nil"/>
            </w:tcBorders>
            <w:vAlign w:val="center"/>
          </w:tcPr>
          <w:p w14:paraId="65C9328B">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11</w:t>
            </w:r>
          </w:p>
        </w:tc>
        <w:tc>
          <w:tcPr>
            <w:tcW w:w="1231" w:type="dxa"/>
            <w:tcBorders>
              <w:tl2br w:val="nil"/>
              <w:tr2bl w:val="nil"/>
            </w:tcBorders>
            <w:vAlign w:val="center"/>
          </w:tcPr>
          <w:p w14:paraId="72A4EB97">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招标文件获取</w:t>
            </w:r>
          </w:p>
        </w:tc>
        <w:tc>
          <w:tcPr>
            <w:tcW w:w="6764" w:type="dxa"/>
            <w:tcBorders>
              <w:tl2br w:val="nil"/>
              <w:tr2bl w:val="nil"/>
            </w:tcBorders>
            <w:vAlign w:val="center"/>
          </w:tcPr>
          <w:p w14:paraId="3BEEEBAE">
            <w:pPr>
              <w:spacing w:line="360" w:lineRule="exact"/>
              <w:jc w:val="left"/>
              <w:rPr>
                <w:rFonts w:ascii="宋体" w:hAnsi="宋体" w:eastAsia="宋体" w:cs="宋体"/>
                <w:color w:val="auto"/>
                <w:szCs w:val="21"/>
                <w:highlight w:val="none"/>
              </w:rPr>
            </w:pPr>
            <w:r>
              <w:rPr>
                <w:rFonts w:ascii="宋体" w:hAnsi="宋体" w:eastAsia="宋体" w:cs="宋体"/>
                <w:b/>
                <w:bCs/>
                <w:color w:val="auto"/>
                <w:szCs w:val="21"/>
                <w:highlight w:val="none"/>
              </w:rPr>
              <w:t>获取方式</w:t>
            </w:r>
            <w:r>
              <w:rPr>
                <w:rFonts w:ascii="宋体" w:hAnsi="宋体" w:eastAsia="宋体" w:cs="宋体"/>
                <w:color w:val="auto"/>
                <w:szCs w:val="21"/>
                <w:highlight w:val="none"/>
              </w:rPr>
              <w:t>：政采云平台（www.zcygov.cn）用户登录-项目采购-获取采购文件-申请完成-下载文件；</w:t>
            </w:r>
          </w:p>
          <w:p w14:paraId="57D4345F">
            <w:pPr>
              <w:spacing w:line="360" w:lineRule="exact"/>
              <w:jc w:val="left"/>
              <w:rPr>
                <w:rFonts w:ascii="宋体" w:hAnsi="宋体" w:eastAsia="宋体" w:cs="宋体"/>
                <w:color w:val="auto"/>
                <w:szCs w:val="21"/>
                <w:highlight w:val="none"/>
              </w:rPr>
            </w:pPr>
            <w:r>
              <w:rPr>
                <w:rFonts w:ascii="宋体" w:hAnsi="宋体" w:eastAsia="宋体" w:cs="宋体"/>
                <w:b/>
                <w:bCs/>
                <w:color w:val="auto"/>
                <w:szCs w:val="21"/>
                <w:highlight w:val="none"/>
              </w:rPr>
              <w:t>获取状态</w:t>
            </w:r>
            <w:r>
              <w:rPr>
                <w:rFonts w:ascii="宋体" w:hAnsi="宋体" w:eastAsia="宋体" w:cs="宋体"/>
                <w:color w:val="auto"/>
                <w:szCs w:val="21"/>
                <w:highlight w:val="none"/>
              </w:rPr>
              <w:t>：政采云平台（www.zcygov.cn）用户登录-项目采购-获取采购文件-已申请-状态。</w:t>
            </w:r>
          </w:p>
        </w:tc>
      </w:tr>
      <w:tr w14:paraId="6CEDD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8" w:type="dxa"/>
            <w:tcBorders>
              <w:tl2br w:val="nil"/>
              <w:tr2bl w:val="nil"/>
            </w:tcBorders>
            <w:vAlign w:val="center"/>
          </w:tcPr>
          <w:p w14:paraId="677226A1">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12</w:t>
            </w:r>
          </w:p>
        </w:tc>
        <w:tc>
          <w:tcPr>
            <w:tcW w:w="1231" w:type="dxa"/>
            <w:tcBorders>
              <w:tl2br w:val="nil"/>
              <w:tr2bl w:val="nil"/>
            </w:tcBorders>
            <w:vAlign w:val="center"/>
          </w:tcPr>
          <w:p w14:paraId="2140DFC9">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开标前答疑会或现场考察</w:t>
            </w:r>
          </w:p>
        </w:tc>
        <w:tc>
          <w:tcPr>
            <w:tcW w:w="6764" w:type="dxa"/>
            <w:tcBorders>
              <w:tl2br w:val="nil"/>
              <w:tr2bl w:val="nil"/>
            </w:tcBorders>
            <w:vAlign w:val="center"/>
          </w:tcPr>
          <w:p w14:paraId="50D5DEB6">
            <w:pPr>
              <w:spacing w:line="360" w:lineRule="exact"/>
              <w:jc w:val="left"/>
              <w:rPr>
                <w:rFonts w:ascii="宋体" w:hAnsi="宋体" w:eastAsia="宋体" w:cs="宋体"/>
                <w:b/>
                <w:bCs/>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不组织。</w:t>
            </w:r>
          </w:p>
          <w:p w14:paraId="37CDCAE7">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组织，时间为：/年/月/日至/年/月/日（上午/至下午/），联系人：/，联系方式：/。</w:t>
            </w:r>
          </w:p>
        </w:tc>
      </w:tr>
      <w:tr w14:paraId="09634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6" w:hRule="atLeast"/>
        </w:trPr>
        <w:tc>
          <w:tcPr>
            <w:tcW w:w="898" w:type="dxa"/>
            <w:tcBorders>
              <w:tl2br w:val="nil"/>
              <w:tr2bl w:val="nil"/>
            </w:tcBorders>
            <w:vAlign w:val="center"/>
          </w:tcPr>
          <w:p w14:paraId="7A7D2805">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▲13</w:t>
            </w:r>
          </w:p>
        </w:tc>
        <w:tc>
          <w:tcPr>
            <w:tcW w:w="1231" w:type="dxa"/>
            <w:tcBorders>
              <w:tl2br w:val="nil"/>
              <w:tr2bl w:val="nil"/>
            </w:tcBorders>
            <w:vAlign w:val="center"/>
          </w:tcPr>
          <w:p w14:paraId="2E752ED8">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报价要求</w:t>
            </w:r>
          </w:p>
        </w:tc>
        <w:tc>
          <w:tcPr>
            <w:tcW w:w="6764" w:type="dxa"/>
            <w:tcBorders>
              <w:tl2br w:val="nil"/>
              <w:tr2bl w:val="nil"/>
            </w:tcBorders>
            <w:vAlign w:val="center"/>
          </w:tcPr>
          <w:p w14:paraId="6092E504">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1）投标总报价系指采购文件所确定的投标范围内全部服务内容的价格体现，包括但不限于货款、标准附件、备品备件、专用工具、配套设施、辅材辅件、配件、包装、运输、装卸、安装调试费、相关验收费用、管理费、利润、风险费、保险、税金、培训、技术指导、售后服务、设计费、专利费（著作权），招标代理费及合同实施过程中不可预见的费用等一切相关费用。合同价款结算时中标单位须开具正式发票。</w:t>
            </w:r>
          </w:p>
          <w:p w14:paraId="7E68AE67">
            <w:pPr>
              <w:spacing w:line="36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《开标一览表》是报价的唯一载体。投标文件中价格全部采用人民币报价。</w:t>
            </w:r>
          </w:p>
          <w:p w14:paraId="10F7B176">
            <w:pPr>
              <w:spacing w:line="360" w:lineRule="exact"/>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完成本项目所涉及的一切费用由投标人承担。费用清单需详细列明，不详细的部分采购人有权按最好效果、最高标准执行。</w:t>
            </w:r>
          </w:p>
          <w:p w14:paraId="095FC214">
            <w:pPr>
              <w:spacing w:line="360" w:lineRule="exact"/>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投标人应认真计算可能发生的各相关费用并计入报价内，在项目实施过程中不得藉此要求增加任何费用，并不得出现选择性的报价。</w:t>
            </w:r>
          </w:p>
          <w:p w14:paraId="39A5344F">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（2）其它需在报价中考虑的因素：</w:t>
            </w:r>
          </w:p>
          <w:p w14:paraId="11D499A3">
            <w:pPr>
              <w:spacing w:line="360" w:lineRule="exact"/>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①招标内容及需求中明确的需投标人承担的费用均应含在投标总价中；</w:t>
            </w:r>
          </w:p>
          <w:p w14:paraId="2416BB03">
            <w:pPr>
              <w:spacing w:line="360" w:lineRule="exact"/>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②采购文件未明示但投标人认为实施过程中可能产生的潜在费用支出均需自行考虑并计入投标总价中；</w:t>
            </w:r>
          </w:p>
          <w:p w14:paraId="17112FCB">
            <w:pPr>
              <w:spacing w:line="360" w:lineRule="exact"/>
              <w:ind w:firstLine="422" w:firstLineChars="200"/>
              <w:jc w:val="left"/>
              <w:rPr>
                <w:rFonts w:ascii="宋体" w:hAnsi="宋体" w:eastAsia="宋体" w:cs="宋体"/>
                <w:color w:val="auto"/>
                <w:szCs w:val="21"/>
                <w:highlight w:val="none"/>
              </w:rPr>
            </w:pPr>
            <w:r>
              <w:rPr>
                <w:rFonts w:ascii="宋体" w:hAnsi="宋体" w:eastAsia="宋体" w:cs="宋体"/>
                <w:b/>
                <w:bCs/>
                <w:color w:val="auto"/>
                <w:szCs w:val="21"/>
                <w:highlight w:val="none"/>
              </w:rPr>
              <w:t>③对于没有填报的项目，采购人将不再支付，并均认为已包含在报价内。</w:t>
            </w:r>
          </w:p>
        </w:tc>
      </w:tr>
      <w:tr w14:paraId="3960E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3F9E4E74">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▲14</w:t>
            </w:r>
          </w:p>
        </w:tc>
        <w:tc>
          <w:tcPr>
            <w:tcW w:w="1231" w:type="dxa"/>
            <w:tcBorders>
              <w:tl2br w:val="nil"/>
              <w:tr2bl w:val="nil"/>
            </w:tcBorders>
            <w:vAlign w:val="center"/>
          </w:tcPr>
          <w:p w14:paraId="37349667">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交货时间</w:t>
            </w:r>
          </w:p>
        </w:tc>
        <w:tc>
          <w:tcPr>
            <w:tcW w:w="6764" w:type="dxa"/>
            <w:tcBorders>
              <w:tl2br w:val="nil"/>
              <w:tr2bl w:val="nil"/>
            </w:tcBorders>
            <w:vAlign w:val="center"/>
          </w:tcPr>
          <w:p w14:paraId="777AB439">
            <w:pPr>
              <w:spacing w:line="360" w:lineRule="exact"/>
              <w:jc w:val="left"/>
              <w:rPr>
                <w:rFonts w:ascii="宋体" w:hAnsi="宋体" w:eastAsia="宋体" w:cs="宋体"/>
                <w:color w:val="auto"/>
                <w:szCs w:val="21"/>
                <w:highlight w:val="none"/>
              </w:rPr>
            </w:pPr>
            <w:r>
              <w:rPr>
                <w:rFonts w:hint="default" w:ascii="宋体" w:hAnsi="宋体" w:eastAsia="宋体" w:cs="宋体"/>
                <w:color w:val="auto"/>
                <w:szCs w:val="21"/>
                <w:highlight w:val="none"/>
                <w:shd w:val="clear" w:color="auto"/>
              </w:rPr>
              <w:t>具备实施条件并收到采购人通知后</w:t>
            </w:r>
            <w:r>
              <w:rPr>
                <w:rFonts w:hint="eastAsia" w:ascii="宋体" w:hAnsi="宋体" w:eastAsia="宋体" w:cs="宋体"/>
                <w:color w:val="auto"/>
                <w:szCs w:val="21"/>
                <w:highlight w:val="none"/>
                <w:shd w:val="clear" w:color="auto"/>
                <w:lang w:val="en-US" w:eastAsia="zh-CN"/>
              </w:rPr>
              <w:t>3</w:t>
            </w:r>
            <w:r>
              <w:rPr>
                <w:rFonts w:ascii="宋体" w:hAnsi="宋体" w:eastAsia="宋体" w:cs="宋体"/>
                <w:color w:val="auto"/>
                <w:szCs w:val="21"/>
                <w:highlight w:val="none"/>
                <w:shd w:val="clear" w:color="auto"/>
              </w:rPr>
              <w:t>0</w:t>
            </w:r>
            <w:r>
              <w:rPr>
                <w:rFonts w:hint="default" w:ascii="宋体" w:hAnsi="宋体" w:eastAsia="宋体" w:cs="宋体"/>
                <w:color w:val="auto"/>
                <w:szCs w:val="21"/>
                <w:highlight w:val="none"/>
                <w:shd w:val="clear" w:color="auto"/>
              </w:rPr>
              <w:t>日历天内</w:t>
            </w:r>
            <w:bookmarkStart w:id="3" w:name="OLE_LINK5"/>
            <w:r>
              <w:rPr>
                <w:rFonts w:hint="default" w:ascii="宋体" w:hAnsi="宋体" w:eastAsia="宋体" w:cs="宋体"/>
                <w:color w:val="auto"/>
                <w:szCs w:val="21"/>
                <w:highlight w:val="none"/>
                <w:shd w:val="clear" w:color="auto"/>
              </w:rPr>
              <w:t>完成安装调试</w:t>
            </w:r>
            <w:bookmarkEnd w:id="3"/>
            <w:r>
              <w:rPr>
                <w:rFonts w:hint="default" w:ascii="宋体" w:hAnsi="宋体" w:eastAsia="宋体" w:cs="宋体"/>
                <w:color w:val="auto"/>
                <w:szCs w:val="21"/>
                <w:highlight w:val="none"/>
                <w:shd w:val="clear" w:color="auto"/>
              </w:rPr>
              <w:t>。</w:t>
            </w:r>
          </w:p>
        </w:tc>
      </w:tr>
      <w:tr w14:paraId="7FC08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vAlign w:val="center"/>
          </w:tcPr>
          <w:p w14:paraId="54B7A977">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15</w:t>
            </w:r>
          </w:p>
        </w:tc>
        <w:tc>
          <w:tcPr>
            <w:tcW w:w="1231" w:type="dxa"/>
            <w:tcBorders>
              <w:tl2br w:val="nil"/>
              <w:tr2bl w:val="nil"/>
            </w:tcBorders>
            <w:vAlign w:val="center"/>
          </w:tcPr>
          <w:p w14:paraId="24ED1C63">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付款方式</w:t>
            </w:r>
          </w:p>
        </w:tc>
        <w:tc>
          <w:tcPr>
            <w:tcW w:w="6764" w:type="dxa"/>
            <w:tcBorders>
              <w:tl2br w:val="nil"/>
              <w:tr2bl w:val="nil"/>
            </w:tcBorders>
            <w:vAlign w:val="center"/>
          </w:tcPr>
          <w:p w14:paraId="3766D9DB">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合同生效以及具备实施条件后7个工作日内，甲方向乙方支付合同总额的40%作为预付款（在签订合同时，乙方明确表示无需预付款或者主动要求降低预付款比例的，双方协商确定。甲方根据项目特点、乙方诚信等因素，可以要求乙方提交银行、保险公司等金融机构出具的预付款保函或其他担保措施）。</w:t>
            </w:r>
            <w:r>
              <w:rPr>
                <w:rFonts w:hint="eastAsia" w:ascii="宋体" w:hAnsi="宋体" w:eastAsia="宋体" w:cs="宋体"/>
                <w:b w:val="0"/>
                <w:bCs w:val="0"/>
                <w:color w:val="auto"/>
                <w:szCs w:val="21"/>
                <w:highlight w:val="none"/>
                <w:lang w:val="en-US" w:eastAsia="zh-CN"/>
              </w:rPr>
              <w:t>经验收合格后凭发票付清余款。</w:t>
            </w:r>
          </w:p>
        </w:tc>
      </w:tr>
      <w:tr w14:paraId="78E85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7697676">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▲16</w:t>
            </w:r>
          </w:p>
        </w:tc>
        <w:tc>
          <w:tcPr>
            <w:tcW w:w="1231" w:type="dxa"/>
            <w:tcBorders>
              <w:tl2br w:val="nil"/>
              <w:tr2bl w:val="nil"/>
            </w:tcBorders>
            <w:vAlign w:val="center"/>
          </w:tcPr>
          <w:p w14:paraId="43F2516D">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投标文件有效期</w:t>
            </w:r>
          </w:p>
        </w:tc>
        <w:tc>
          <w:tcPr>
            <w:tcW w:w="6764" w:type="dxa"/>
            <w:tcBorders>
              <w:tl2br w:val="nil"/>
              <w:tr2bl w:val="nil"/>
            </w:tcBorders>
            <w:vAlign w:val="center"/>
          </w:tcPr>
          <w:p w14:paraId="422AA428">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t>自投标截止日起90天内有效。</w:t>
            </w:r>
          </w:p>
        </w:tc>
      </w:tr>
      <w:tr w14:paraId="48A7B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4ACAB8E">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17</w:t>
            </w:r>
          </w:p>
        </w:tc>
        <w:tc>
          <w:tcPr>
            <w:tcW w:w="1231" w:type="dxa"/>
            <w:tcBorders>
              <w:tl2br w:val="nil"/>
              <w:tr2bl w:val="nil"/>
            </w:tcBorders>
            <w:vAlign w:val="center"/>
          </w:tcPr>
          <w:p w14:paraId="6F3E0EAC">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履约保证金</w:t>
            </w:r>
          </w:p>
        </w:tc>
        <w:tc>
          <w:tcPr>
            <w:tcW w:w="6764" w:type="dxa"/>
            <w:tcBorders>
              <w:tl2br w:val="nil"/>
              <w:tr2bl w:val="nil"/>
            </w:tcBorders>
            <w:vAlign w:val="center"/>
          </w:tcPr>
          <w:p w14:paraId="3AC5BD24">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不要求。</w:t>
            </w:r>
          </w:p>
          <w:p w14:paraId="4EF5F434">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要求。</w:t>
            </w:r>
          </w:p>
          <w:p w14:paraId="4CA65ED5">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履约保证金：</w:t>
            </w:r>
            <w:r>
              <w:rPr>
                <w:rFonts w:ascii="宋体" w:hAnsi="宋体" w:eastAsia="宋体" w:cs="宋体"/>
                <w:color w:val="auto"/>
                <w:szCs w:val="21"/>
                <w:highlight w:val="none"/>
              </w:rPr>
              <w:t>中标价的</w:t>
            </w:r>
            <w:r>
              <w:rPr>
                <w:rFonts w:ascii="宋体" w:hAnsi="宋体" w:eastAsia="宋体" w:cs="宋体"/>
                <w:color w:val="auto"/>
                <w:szCs w:val="21"/>
                <w:highlight w:val="none"/>
                <w:u w:val="single"/>
              </w:rPr>
              <w:t xml:space="preserve"> 1% </w:t>
            </w:r>
            <w:r>
              <w:rPr>
                <w:rFonts w:ascii="宋体" w:hAnsi="宋体" w:eastAsia="宋体" w:cs="宋体"/>
                <w:color w:val="auto"/>
                <w:szCs w:val="21"/>
                <w:highlight w:val="none"/>
              </w:rPr>
              <w:t>。</w:t>
            </w:r>
          </w:p>
          <w:p w14:paraId="2590F975">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履约保证金缴纳的形式：</w:t>
            </w:r>
            <w:r>
              <w:rPr>
                <w:rFonts w:ascii="宋体" w:hAnsi="宋体" w:eastAsia="宋体" w:cs="宋体"/>
                <w:color w:val="auto"/>
                <w:szCs w:val="21"/>
                <w:highlight w:val="none"/>
              </w:rPr>
              <w:t>现金转账或金融机构、保险公司、担保机构出具的保函/保险。</w:t>
            </w:r>
          </w:p>
          <w:p w14:paraId="45BEBC72">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￭履约保证金形式为</w:t>
            </w:r>
            <w:r>
              <w:rPr>
                <w:rFonts w:ascii="宋体" w:hAnsi="宋体" w:eastAsia="宋体" w:cs="宋体"/>
                <w:color w:val="auto"/>
                <w:szCs w:val="21"/>
                <w:highlight w:val="none"/>
              </w:rPr>
              <w:t>现金转账（账户另行通知），供应商在供货时间符合采购人计划供货要求，且质量符合合同约定的条件下，待全部货物到场，安装调试完成并验收合格后到甲方处办理退还手续；</w:t>
            </w:r>
          </w:p>
          <w:p w14:paraId="41502B12">
            <w:pPr>
              <w:spacing w:line="360" w:lineRule="exact"/>
              <w:rPr>
                <w:rFonts w:ascii="宋体" w:hAnsi="宋体" w:eastAsia="宋体" w:cs="宋体"/>
                <w:color w:val="auto"/>
                <w:sz w:val="24"/>
                <w:szCs w:val="24"/>
                <w:highlight w:val="none"/>
              </w:rPr>
            </w:pPr>
            <w:r>
              <w:rPr>
                <w:rFonts w:ascii="宋体" w:hAnsi="宋体" w:eastAsia="宋体" w:cs="宋体"/>
                <w:b/>
                <w:bCs/>
                <w:color w:val="auto"/>
                <w:szCs w:val="21"/>
                <w:highlight w:val="none"/>
              </w:rPr>
              <w:t>￭履约保证金形式为</w:t>
            </w:r>
            <w:r>
              <w:rPr>
                <w:rFonts w:ascii="宋体" w:hAnsi="宋体" w:eastAsia="宋体" w:cs="宋体"/>
                <w:color w:val="auto"/>
                <w:szCs w:val="21"/>
                <w:highlight w:val="none"/>
              </w:rPr>
              <w:t>金融机构、保险公司、担保机构出具的保函/保险（可在政采云平台购买，具体操作详见备注条款）等非现金形式的，履约保证金保函应在合同履行期限内保持有效，如出现逾期，中标人需及时办理续保手续，否则按 1000 元/天收取违约金。若合同履约违约金无法从金融机构、保险公司、担保机构出具单位理赔的，采购人有权从合同款中直接扣除，不足支付时，采购人有权向中标人追缴。</w:t>
            </w:r>
          </w:p>
          <w:p w14:paraId="3B911A38">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2C143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5388012">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▲18</w:t>
            </w:r>
          </w:p>
        </w:tc>
        <w:tc>
          <w:tcPr>
            <w:tcW w:w="1231" w:type="dxa"/>
            <w:tcBorders>
              <w:tl2br w:val="nil"/>
              <w:tr2bl w:val="nil"/>
            </w:tcBorders>
            <w:vAlign w:val="center"/>
          </w:tcPr>
          <w:p w14:paraId="43961E10">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质量保证期（或保修期）</w:t>
            </w:r>
          </w:p>
        </w:tc>
        <w:tc>
          <w:tcPr>
            <w:tcW w:w="6764" w:type="dxa"/>
            <w:tcBorders>
              <w:tl2br w:val="nil"/>
              <w:tr2bl w:val="nil"/>
            </w:tcBorders>
            <w:vAlign w:val="center"/>
          </w:tcPr>
          <w:p w14:paraId="710C1863">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t>质量保证期（或保修期）：验收合格后</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年；</w:t>
            </w:r>
          </w:p>
          <w:p w14:paraId="7810803A">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t>中标人应保证合同项下所发产品完全是崭新的且生产日期为近一年内。在质量保证期内，中标人应负责修理和替换不合格的部件并承担一切费用。</w:t>
            </w:r>
          </w:p>
        </w:tc>
      </w:tr>
      <w:tr w14:paraId="5B3E5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DB8DBEC">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19</w:t>
            </w:r>
          </w:p>
        </w:tc>
        <w:tc>
          <w:tcPr>
            <w:tcW w:w="1231" w:type="dxa"/>
            <w:tcBorders>
              <w:tl2br w:val="nil"/>
              <w:tr2bl w:val="nil"/>
            </w:tcBorders>
            <w:vAlign w:val="center"/>
          </w:tcPr>
          <w:p w14:paraId="57D99E7C">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lang w:val="zh-TW"/>
              </w:rPr>
              <w:t>分包</w:t>
            </w:r>
          </w:p>
        </w:tc>
        <w:tc>
          <w:tcPr>
            <w:tcW w:w="6764" w:type="dxa"/>
            <w:tcBorders>
              <w:tl2br w:val="nil"/>
              <w:tr2bl w:val="nil"/>
            </w:tcBorders>
            <w:vAlign w:val="center"/>
          </w:tcPr>
          <w:p w14:paraId="52A1EC43">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sym w:font="Wingdings" w:char="00A8"/>
            </w:r>
            <w:r>
              <w:rPr>
                <w:rFonts w:ascii="宋体" w:hAnsi="宋体" w:eastAsia="宋体" w:cs="宋体"/>
                <w:color w:val="auto"/>
                <w:szCs w:val="21"/>
                <w:highlight w:val="none"/>
              </w:rPr>
              <w:t>A同意将非主体、非关键性的工作分包，须有相应资质和能力，并事前须得到采购人同意。</w:t>
            </w:r>
          </w:p>
          <w:p w14:paraId="28F1B1CA">
            <w:pPr>
              <w:spacing w:line="360" w:lineRule="exact"/>
              <w:jc w:val="left"/>
              <w:rPr>
                <w:rFonts w:ascii="宋体" w:hAnsi="宋体" w:eastAsia="宋体" w:cs="宋体"/>
                <w:color w:val="auto"/>
                <w:szCs w:val="21"/>
                <w:highlight w:val="none"/>
              </w:rPr>
            </w:pPr>
            <w:r>
              <w:rPr>
                <w:rFonts w:ascii="宋体" w:hAnsi="宋体" w:eastAsia="宋体" w:cs="宋体"/>
                <w:b/>
                <w:bCs/>
                <w:color w:val="auto"/>
                <w:szCs w:val="21"/>
                <w:highlight w:val="none"/>
              </w:rPr>
              <w:sym w:font="Wingdings" w:char="00FE"/>
            </w:r>
            <w:r>
              <w:rPr>
                <w:rFonts w:ascii="宋体" w:hAnsi="宋体" w:eastAsia="宋体" w:cs="宋体"/>
                <w:b/>
                <w:bCs/>
                <w:color w:val="auto"/>
                <w:szCs w:val="21"/>
                <w:highlight w:val="none"/>
              </w:rPr>
              <w:t>B不同意分包。</w:t>
            </w:r>
          </w:p>
        </w:tc>
      </w:tr>
      <w:tr w14:paraId="20F07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01C27B4D">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20</w:t>
            </w:r>
          </w:p>
        </w:tc>
        <w:tc>
          <w:tcPr>
            <w:tcW w:w="1231" w:type="dxa"/>
            <w:vMerge w:val="restart"/>
            <w:tcBorders>
              <w:tl2br w:val="nil"/>
              <w:tr2bl w:val="nil"/>
            </w:tcBorders>
            <w:vAlign w:val="center"/>
          </w:tcPr>
          <w:p w14:paraId="1D00EC27">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投标文件的上传和递交</w:t>
            </w:r>
          </w:p>
        </w:tc>
        <w:tc>
          <w:tcPr>
            <w:tcW w:w="6764" w:type="dxa"/>
            <w:tcBorders>
              <w:tl2br w:val="nil"/>
              <w:tr2bl w:val="nil"/>
            </w:tcBorders>
            <w:vAlign w:val="center"/>
          </w:tcPr>
          <w:p w14:paraId="477049F8">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电子加密投标文件的上传、递交：</w:t>
            </w:r>
          </w:p>
          <w:p w14:paraId="39D2899C">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a.投标人应在投标截止时间前将“电子加密投标文件”（后缀格式为.jmbs）成功上传递交至“政府采购云平台”，否则投标无效。</w:t>
            </w:r>
          </w:p>
          <w:p w14:paraId="5CF5E955">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b.投标文件递交的截止时间：详见采购公告。</w:t>
            </w:r>
          </w:p>
          <w:p w14:paraId="61053C8A">
            <w:pPr>
              <w:spacing w:line="360" w:lineRule="exact"/>
              <w:jc w:val="left"/>
              <w:rPr>
                <w:rFonts w:ascii="宋体" w:hAnsi="宋体" w:eastAsia="宋体" w:cs="宋体"/>
                <w:color w:val="auto"/>
                <w:szCs w:val="21"/>
                <w:highlight w:val="none"/>
              </w:rPr>
            </w:pPr>
            <w:r>
              <w:rPr>
                <w:rFonts w:ascii="宋体" w:hAnsi="宋体" w:eastAsia="宋体" w:cs="宋体"/>
                <w:color w:val="auto"/>
                <w:szCs w:val="21"/>
                <w:highlight w:val="none"/>
              </w:rPr>
              <w:t>c.电子加密投标文件成功上传递交后，投标人可自行打印投标文件接收回执。</w:t>
            </w:r>
          </w:p>
        </w:tc>
      </w:tr>
      <w:tr w14:paraId="4BF30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4355D524">
            <w:pPr>
              <w:spacing w:line="360" w:lineRule="exact"/>
              <w:jc w:val="center"/>
              <w:rPr>
                <w:rFonts w:ascii="宋体" w:hAnsi="宋体" w:eastAsia="宋体" w:cs="宋体"/>
                <w:color w:val="auto"/>
                <w:szCs w:val="21"/>
                <w:highlight w:val="none"/>
              </w:rPr>
            </w:pPr>
          </w:p>
        </w:tc>
        <w:tc>
          <w:tcPr>
            <w:tcW w:w="1231" w:type="dxa"/>
            <w:vMerge w:val="continue"/>
            <w:tcBorders>
              <w:tl2br w:val="nil"/>
              <w:tr2bl w:val="nil"/>
            </w:tcBorders>
            <w:vAlign w:val="center"/>
          </w:tcPr>
          <w:p w14:paraId="4EDE986C">
            <w:pPr>
              <w:spacing w:line="360" w:lineRule="exact"/>
              <w:jc w:val="center"/>
              <w:rPr>
                <w:rFonts w:ascii="宋体" w:hAnsi="宋体" w:eastAsia="宋体" w:cs="宋体"/>
                <w:b/>
                <w:bCs/>
                <w:color w:val="auto"/>
                <w:szCs w:val="21"/>
                <w:highlight w:val="none"/>
              </w:rPr>
            </w:pPr>
          </w:p>
        </w:tc>
        <w:tc>
          <w:tcPr>
            <w:tcW w:w="6764" w:type="dxa"/>
            <w:tcBorders>
              <w:tl2br w:val="nil"/>
              <w:tr2bl w:val="nil"/>
            </w:tcBorders>
            <w:vAlign w:val="center"/>
          </w:tcPr>
          <w:p w14:paraId="4C8A58FA">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电子备份投标文件的递交：</w:t>
            </w:r>
            <w:r>
              <w:rPr>
                <w:rFonts w:ascii="宋体" w:hAnsi="宋体" w:eastAsia="宋体" w:cs="宋体"/>
                <w:color w:val="auto"/>
                <w:szCs w:val="21"/>
                <w:highlight w:val="none"/>
              </w:rPr>
              <w:t>投标人如需要递交备份投标文件（后缀格式为.bfbs）的，请将</w:t>
            </w:r>
            <w:r>
              <w:rPr>
                <w:rFonts w:ascii="宋体" w:hAnsi="宋体" w:eastAsia="宋体" w:cs="宋体"/>
                <w:b/>
                <w:bCs/>
                <w:color w:val="auto"/>
                <w:szCs w:val="21"/>
                <w:highlight w:val="none"/>
              </w:rPr>
              <w:t>u盘或DVD光盘形式</w:t>
            </w:r>
            <w:r>
              <w:rPr>
                <w:rFonts w:ascii="宋体" w:hAnsi="宋体" w:eastAsia="宋体" w:cs="宋体"/>
                <w:color w:val="auto"/>
                <w:szCs w:val="21"/>
                <w:highlight w:val="none"/>
              </w:rPr>
              <w:t>的备份投标文件通过快递形式或现场送达形式送达采购代理机构处，以便标书解密异常时应急使用。</w:t>
            </w:r>
          </w:p>
          <w:p w14:paraId="72843E51">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邮寄/送达地址：浙江省金华市浦江县</w:t>
            </w:r>
            <w:r>
              <w:rPr>
                <w:rFonts w:hint="eastAsia" w:ascii="宋体" w:hAnsi="宋体" w:eastAsia="宋体" w:cs="宋体"/>
                <w:color w:val="auto"/>
                <w:szCs w:val="21"/>
                <w:highlight w:val="none"/>
                <w:lang w:val="en-US" w:eastAsia="zh-CN"/>
              </w:rPr>
              <w:t>蒋塘路90号</w:t>
            </w:r>
            <w:r>
              <w:rPr>
                <w:rFonts w:ascii="宋体" w:hAnsi="宋体" w:eastAsia="宋体" w:cs="宋体"/>
                <w:color w:val="auto"/>
                <w:szCs w:val="21"/>
                <w:highlight w:val="none"/>
              </w:rPr>
              <w:t>（</w:t>
            </w:r>
            <w:r>
              <w:rPr>
                <w:rFonts w:hint="eastAsia" w:ascii="宋体" w:hAnsi="宋体" w:eastAsia="宋体" w:cs="宋体"/>
                <w:color w:val="auto"/>
                <w:szCs w:val="21"/>
                <w:highlight w:val="none"/>
                <w:lang w:eastAsia="zh-CN"/>
              </w:rPr>
              <w:t>浙江宏誉工程咨询有限公司</w:t>
            </w:r>
            <w:r>
              <w:rPr>
                <w:rFonts w:ascii="宋体" w:hAnsi="宋体" w:eastAsia="宋体" w:cs="宋体"/>
                <w:color w:val="auto"/>
                <w:szCs w:val="21"/>
                <w:highlight w:val="none"/>
              </w:rPr>
              <w:t>浦江分公司招标代理部），</w:t>
            </w:r>
            <w:r>
              <w:rPr>
                <w:rFonts w:hint="eastAsia" w:ascii="宋体" w:hAnsi="宋体" w:eastAsia="宋体" w:cs="宋体"/>
                <w:color w:val="auto"/>
                <w:szCs w:val="21"/>
                <w:highlight w:val="none"/>
                <w:lang w:val="en-US" w:eastAsia="zh-CN"/>
              </w:rPr>
              <w:t>严</w:t>
            </w:r>
            <w:r>
              <w:rPr>
                <w:rFonts w:ascii="宋体" w:hAnsi="宋体" w:eastAsia="宋体" w:cs="宋体"/>
                <w:color w:val="auto"/>
                <w:szCs w:val="21"/>
                <w:highlight w:val="none"/>
              </w:rPr>
              <w:t>先生收，联系方式：</w:t>
            </w:r>
            <w:r>
              <w:rPr>
                <w:rFonts w:hint="eastAsia" w:ascii="宋体" w:hAnsi="宋体" w:eastAsia="宋体" w:cs="宋体"/>
                <w:color w:val="auto"/>
                <w:szCs w:val="21"/>
                <w:highlight w:val="none"/>
                <w:lang w:val="en-US" w:eastAsia="zh-CN"/>
              </w:rPr>
              <w:t>15068031367</w:t>
            </w:r>
            <w:r>
              <w:rPr>
                <w:rFonts w:ascii="宋体" w:hAnsi="宋体" w:eastAsia="宋体" w:cs="宋体"/>
                <w:color w:val="auto"/>
                <w:szCs w:val="21"/>
                <w:highlight w:val="none"/>
              </w:rPr>
              <w:t>，邮编：322200，逾期送达、未按指定地点送达或未密封将予以拒收。</w:t>
            </w:r>
          </w:p>
          <w:p w14:paraId="56579EEA">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截止签收时间：</w:t>
            </w:r>
            <w:r>
              <w:rPr>
                <w:rFonts w:ascii="宋体" w:hAnsi="宋体" w:eastAsia="宋体" w:cs="宋体"/>
                <w:color w:val="auto"/>
                <w:szCs w:val="21"/>
                <w:highlight w:val="none"/>
              </w:rPr>
              <w:t>同投标文件递交的截止时间。</w:t>
            </w:r>
          </w:p>
          <w:p w14:paraId="7A7849A7">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电子备份投标文件的密封要求如下：</w:t>
            </w:r>
          </w:p>
          <w:p w14:paraId="73AE72EB">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内层封套写明：</w:t>
            </w:r>
            <w:r>
              <w:rPr>
                <w:rFonts w:ascii="宋体" w:hAnsi="宋体" w:eastAsia="宋体" w:cs="宋体"/>
                <w:color w:val="auto"/>
                <w:szCs w:val="21"/>
                <w:highlight w:val="none"/>
              </w:rPr>
              <w:t>项目名称、项目编号、备份电子投标文件、投标人名称（盖章）、开标时间；</w:t>
            </w:r>
          </w:p>
          <w:p w14:paraId="067B86E7">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外层封套写明：</w:t>
            </w:r>
            <w:r>
              <w:rPr>
                <w:rFonts w:ascii="宋体" w:hAnsi="宋体" w:eastAsia="宋体" w:cs="宋体"/>
                <w:color w:val="auto"/>
                <w:szCs w:val="21"/>
                <w:highlight w:val="none"/>
              </w:rPr>
              <w:t>项目名称、项目编号、备份电子投标文件、开标时间；</w:t>
            </w:r>
            <w:r>
              <w:rPr>
                <w:rFonts w:ascii="宋体" w:hAnsi="宋体" w:eastAsia="宋体" w:cs="宋体"/>
                <w:b/>
                <w:bCs/>
                <w:color w:val="auto"/>
                <w:szCs w:val="21"/>
                <w:highlight w:val="none"/>
              </w:rPr>
              <w:t>注：</w:t>
            </w:r>
            <w:r>
              <w:rPr>
                <w:rFonts w:ascii="宋体" w:hAnsi="宋体" w:eastAsia="宋体" w:cs="宋体"/>
                <w:color w:val="auto"/>
                <w:szCs w:val="21"/>
                <w:highlight w:val="none"/>
              </w:rPr>
              <w:t>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76174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98" w:type="dxa"/>
            <w:tcBorders>
              <w:tl2br w:val="nil"/>
              <w:tr2bl w:val="nil"/>
            </w:tcBorders>
            <w:vAlign w:val="center"/>
          </w:tcPr>
          <w:p w14:paraId="44F48F16">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21</w:t>
            </w:r>
          </w:p>
        </w:tc>
        <w:tc>
          <w:tcPr>
            <w:tcW w:w="1231" w:type="dxa"/>
            <w:tcBorders>
              <w:tl2br w:val="nil"/>
              <w:tr2bl w:val="nil"/>
            </w:tcBorders>
            <w:vAlign w:val="center"/>
          </w:tcPr>
          <w:p w14:paraId="75221D2D">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投标文件开启</w:t>
            </w:r>
          </w:p>
        </w:tc>
        <w:tc>
          <w:tcPr>
            <w:tcW w:w="6764" w:type="dxa"/>
            <w:tcBorders>
              <w:tl2br w:val="nil"/>
              <w:tr2bl w:val="nil"/>
            </w:tcBorders>
            <w:vAlign w:val="center"/>
          </w:tcPr>
          <w:p w14:paraId="38C62D8D">
            <w:pPr>
              <w:widowControl/>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lang w:val="zh-TW"/>
              </w:rPr>
              <w:t>时间：</w:t>
            </w:r>
            <w:r>
              <w:rPr>
                <w:rFonts w:ascii="宋体" w:hAnsi="宋体" w:eastAsia="宋体" w:cs="宋体"/>
                <w:color w:val="auto"/>
                <w:szCs w:val="21"/>
                <w:highlight w:val="none"/>
              </w:rPr>
              <w:t>同开标时间</w:t>
            </w:r>
            <w:r>
              <w:rPr>
                <w:rFonts w:ascii="宋体" w:hAnsi="宋体" w:eastAsia="宋体" w:cs="宋体"/>
                <w:b/>
                <w:bCs/>
                <w:color w:val="auto"/>
                <w:szCs w:val="21"/>
                <w:highlight w:val="none"/>
              </w:rPr>
              <w:t>。</w:t>
            </w:r>
          </w:p>
          <w:p w14:paraId="25CE4AC6">
            <w:pPr>
              <w:widowControl/>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lang w:val="zh-TW"/>
              </w:rPr>
              <w:t>地点：</w:t>
            </w:r>
            <w:r>
              <w:rPr>
                <w:rFonts w:ascii="宋体" w:hAnsi="宋体" w:eastAsia="宋体" w:cs="宋体"/>
                <w:color w:val="auto"/>
                <w:szCs w:val="21"/>
                <w:highlight w:val="none"/>
              </w:rPr>
              <w:t>同投标地点。</w:t>
            </w:r>
          </w:p>
        </w:tc>
      </w:tr>
      <w:tr w14:paraId="66236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898" w:type="dxa"/>
            <w:tcBorders>
              <w:tl2br w:val="nil"/>
              <w:tr2bl w:val="nil"/>
            </w:tcBorders>
            <w:vAlign w:val="center"/>
          </w:tcPr>
          <w:p w14:paraId="76B912FE">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22</w:t>
            </w:r>
          </w:p>
        </w:tc>
        <w:tc>
          <w:tcPr>
            <w:tcW w:w="1231" w:type="dxa"/>
            <w:tcBorders>
              <w:tl2br w:val="nil"/>
              <w:tr2bl w:val="nil"/>
            </w:tcBorders>
            <w:vAlign w:val="center"/>
          </w:tcPr>
          <w:p w14:paraId="351A86D8">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解密时间</w:t>
            </w:r>
          </w:p>
        </w:tc>
        <w:tc>
          <w:tcPr>
            <w:tcW w:w="6764" w:type="dxa"/>
            <w:tcBorders>
              <w:tl2br w:val="nil"/>
              <w:tr2bl w:val="nil"/>
            </w:tcBorders>
            <w:vAlign w:val="center"/>
          </w:tcPr>
          <w:p w14:paraId="55B3EDF3">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投标文件开启后30分钟内。（以电子交易平台设定时间为准）</w:t>
            </w:r>
          </w:p>
          <w:p w14:paraId="72BC692D">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注：</w:t>
            </w:r>
            <w:r>
              <w:rPr>
                <w:rFonts w:ascii="宋体" w:hAnsi="宋体" w:eastAsia="宋体" w:cs="宋体"/>
                <w:color w:val="auto"/>
                <w:szCs w:val="21"/>
                <w:highlight w:val="none"/>
              </w:rPr>
              <w:t>①解密完成的时间根据投标人的网速、硬件环境、投标文件的大小而不同，开标后请投标人尽量提前启动解密，否则将可能未按时解密。</w:t>
            </w:r>
          </w:p>
          <w:p w14:paraId="411BE4C0">
            <w:pPr>
              <w:spacing w:line="360" w:lineRule="exact"/>
              <w:rPr>
                <w:rFonts w:ascii="宋体" w:hAnsi="宋体" w:eastAsia="宋体" w:cs="宋体"/>
                <w:b/>
                <w:bCs/>
                <w:color w:val="auto"/>
                <w:szCs w:val="21"/>
                <w:highlight w:val="none"/>
              </w:rPr>
            </w:pPr>
            <w:r>
              <w:rPr>
                <w:rFonts w:ascii="宋体" w:hAnsi="宋体" w:eastAsia="宋体" w:cs="宋体"/>
                <w:color w:val="auto"/>
                <w:szCs w:val="21"/>
                <w:highlight w:val="none"/>
              </w:rPr>
              <w:t>②投标文件的制作和解密应使用同一个CA，否则将可能解密失败。</w:t>
            </w:r>
          </w:p>
        </w:tc>
      </w:tr>
      <w:tr w14:paraId="574E3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898" w:type="dxa"/>
            <w:tcBorders>
              <w:tl2br w:val="nil"/>
              <w:tr2bl w:val="nil"/>
            </w:tcBorders>
            <w:vAlign w:val="center"/>
          </w:tcPr>
          <w:p w14:paraId="7755CDB3">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23</w:t>
            </w:r>
          </w:p>
        </w:tc>
        <w:tc>
          <w:tcPr>
            <w:tcW w:w="1231" w:type="dxa"/>
            <w:tcBorders>
              <w:tl2br w:val="nil"/>
              <w:tr2bl w:val="nil"/>
            </w:tcBorders>
            <w:vAlign w:val="center"/>
          </w:tcPr>
          <w:p w14:paraId="31C1427D">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解密失败的异常处理</w:t>
            </w:r>
          </w:p>
        </w:tc>
        <w:tc>
          <w:tcPr>
            <w:tcW w:w="6764" w:type="dxa"/>
            <w:tcBorders>
              <w:tl2br w:val="nil"/>
              <w:tr2bl w:val="nil"/>
            </w:tcBorders>
            <w:vAlign w:val="center"/>
          </w:tcPr>
          <w:p w14:paraId="5E2095FE">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①通过“政府采购云平台”成功上传递交的“电子加密投标文件”无法按时解密的，投标人如按规定递交了“备份投标文件”的，以“备份投标文件”为依据（由采购组织机构按“政府采购云平台”操作规范将“备份投标文件”上传至“政府采购云平台”，可以30分钟后解密，或失败后解密。上传成功后，“电子加密投标文件”自动失效），否则视为投标文件撤回。投标文件已按时解密的，备份投标文件自动失效。</w:t>
            </w:r>
          </w:p>
          <w:p w14:paraId="23271049">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②投标截止时间前，投标人仅递交了“备份投标文件”而未将“电子加密投标文件”成功上传至“政府采购云平台”的，视为投标无效。</w:t>
            </w:r>
          </w:p>
          <w:p w14:paraId="2CA88049">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注：因备份投标文件无法正常打开或正常显示等所引起的一切后果，由投标人自行承担。</w:t>
            </w:r>
          </w:p>
        </w:tc>
      </w:tr>
      <w:tr w14:paraId="62537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898" w:type="dxa"/>
            <w:tcBorders>
              <w:tl2br w:val="nil"/>
              <w:tr2bl w:val="nil"/>
            </w:tcBorders>
            <w:vAlign w:val="center"/>
          </w:tcPr>
          <w:p w14:paraId="6F17B928">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24</w:t>
            </w:r>
          </w:p>
        </w:tc>
        <w:tc>
          <w:tcPr>
            <w:tcW w:w="1231" w:type="dxa"/>
            <w:tcBorders>
              <w:tl2br w:val="nil"/>
              <w:tr2bl w:val="nil"/>
            </w:tcBorders>
            <w:vAlign w:val="center"/>
          </w:tcPr>
          <w:p w14:paraId="7C2718D5">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活动现场确认声明</w:t>
            </w:r>
          </w:p>
        </w:tc>
        <w:tc>
          <w:tcPr>
            <w:tcW w:w="6764" w:type="dxa"/>
            <w:tcBorders>
              <w:tl2br w:val="nil"/>
              <w:tr2bl w:val="nil"/>
            </w:tcBorders>
            <w:vAlign w:val="center"/>
          </w:tcPr>
          <w:p w14:paraId="02F09367">
            <w:pPr>
              <w:spacing w:line="360" w:lineRule="exact"/>
              <w:rPr>
                <w:rFonts w:ascii="宋体" w:hAnsi="宋体" w:eastAsia="宋体" w:cs="宋体"/>
                <w:color w:val="auto"/>
                <w:szCs w:val="21"/>
                <w:highlight w:val="none"/>
              </w:rPr>
            </w:pPr>
            <w:r>
              <w:rPr>
                <w:rFonts w:ascii="宋体" w:hAnsi="宋体" w:eastAsia="宋体" w:cs="宋体"/>
                <w:color w:val="auto"/>
                <w:szCs w:val="21"/>
                <w:highlight w:val="none"/>
              </w:rPr>
              <w:t>结束解密后，供应商通过邮件形式将经授权代表签署的《政府采购活动现场确认声明书》扫描件发至代理机构经办人邮箱（</w:t>
            </w:r>
            <w:r>
              <w:rPr>
                <w:rFonts w:hint="eastAsia" w:ascii="宋体" w:hAnsi="宋体" w:eastAsia="宋体" w:cs="宋体"/>
                <w:color w:val="auto"/>
                <w:szCs w:val="21"/>
                <w:highlight w:val="none"/>
                <w:lang w:val="en-US" w:eastAsia="zh-CN"/>
              </w:rPr>
              <w:t>787784926</w:t>
            </w:r>
            <w:r>
              <w:rPr>
                <w:rFonts w:ascii="宋体" w:hAnsi="宋体" w:eastAsia="宋体" w:cs="宋体"/>
                <w:color w:val="auto"/>
                <w:szCs w:val="21"/>
                <w:highlight w:val="none"/>
              </w:rPr>
              <w:t>@qq.com）（格式见附件），联系人：</w:t>
            </w:r>
            <w:r>
              <w:rPr>
                <w:rFonts w:hint="eastAsia" w:ascii="宋体" w:hAnsi="宋体" w:eastAsia="宋体" w:cs="宋体"/>
                <w:color w:val="auto"/>
                <w:szCs w:val="21"/>
                <w:highlight w:val="none"/>
                <w:lang w:val="en-US" w:eastAsia="zh-CN"/>
              </w:rPr>
              <w:t>刘</w:t>
            </w:r>
            <w:r>
              <w:rPr>
                <w:rFonts w:ascii="宋体" w:hAnsi="宋体" w:eastAsia="宋体" w:cs="宋体"/>
                <w:color w:val="auto"/>
                <w:szCs w:val="21"/>
                <w:highlight w:val="none"/>
              </w:rPr>
              <w:t>女士，电话：</w:t>
            </w:r>
            <w:r>
              <w:rPr>
                <w:rFonts w:hint="eastAsia" w:ascii="宋体" w:hAnsi="宋体" w:eastAsia="宋体" w:cs="宋体"/>
                <w:color w:val="auto"/>
                <w:szCs w:val="21"/>
                <w:highlight w:val="none"/>
                <w:lang w:val="en-US" w:eastAsia="zh-CN"/>
              </w:rPr>
              <w:t>18967450208</w:t>
            </w:r>
            <w:r>
              <w:rPr>
                <w:rFonts w:ascii="宋体" w:hAnsi="宋体" w:eastAsia="宋体" w:cs="宋体"/>
                <w:color w:val="auto"/>
                <w:szCs w:val="21"/>
                <w:highlight w:val="none"/>
              </w:rPr>
              <w:t>。</w:t>
            </w:r>
            <w:r>
              <w:rPr>
                <w:rFonts w:ascii="宋体" w:hAnsi="宋体" w:eastAsia="宋体" w:cs="宋体"/>
                <w:b/>
                <w:bCs/>
                <w:color w:val="auto"/>
                <w:szCs w:val="21"/>
                <w:highlight w:val="none"/>
              </w:rPr>
              <w:t>未按规定发送的，视为无异议，后果由投标人承担。</w:t>
            </w:r>
          </w:p>
        </w:tc>
      </w:tr>
      <w:tr w14:paraId="0A42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74E855A">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25</w:t>
            </w:r>
          </w:p>
        </w:tc>
        <w:tc>
          <w:tcPr>
            <w:tcW w:w="1231" w:type="dxa"/>
            <w:tcBorders>
              <w:tl2br w:val="nil"/>
              <w:tr2bl w:val="nil"/>
            </w:tcBorders>
            <w:vAlign w:val="center"/>
          </w:tcPr>
          <w:p w14:paraId="5A5EAA9B">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采购标的对应的中小企业划分标准所属行业</w:t>
            </w:r>
          </w:p>
        </w:tc>
        <w:tc>
          <w:tcPr>
            <w:tcW w:w="6764" w:type="dxa"/>
            <w:tcBorders>
              <w:tl2br w:val="nil"/>
              <w:tr2bl w:val="nil"/>
            </w:tcBorders>
            <w:vAlign w:val="center"/>
          </w:tcPr>
          <w:p w14:paraId="2473E68E">
            <w:pPr>
              <w:adjustRightInd w:val="0"/>
              <w:snapToGrid w:val="0"/>
              <w:spacing w:line="360" w:lineRule="auto"/>
              <w:rPr>
                <w:rFonts w:ascii="宋体" w:hAnsi="宋体" w:eastAsia="宋体" w:cs="宋体"/>
                <w:bCs/>
                <w:snapToGrid w:val="0"/>
                <w:kern w:val="0"/>
                <w:szCs w:val="24"/>
              </w:rPr>
            </w:pPr>
            <w:r>
              <w:rPr>
                <w:rFonts w:hint="eastAsia" w:ascii="宋体" w:hAnsi="宋体" w:eastAsia="宋体" w:cs="宋体"/>
                <w:bCs/>
                <w:snapToGrid w:val="0"/>
                <w:kern w:val="0"/>
                <w:szCs w:val="24"/>
              </w:rPr>
              <w:t>1.本项目</w:t>
            </w:r>
            <w:r>
              <w:rPr>
                <w:rFonts w:hint="eastAsia" w:ascii="宋体" w:hAnsi="宋体" w:eastAsia="宋体" w:cs="宋体"/>
                <w:b/>
                <w:snapToGrid w:val="0"/>
                <w:kern w:val="0"/>
                <w:szCs w:val="24"/>
                <w:u w:val="single"/>
              </w:rPr>
              <w:t>属于</w:t>
            </w:r>
            <w:r>
              <w:rPr>
                <w:rFonts w:hint="eastAsia" w:ascii="宋体" w:hAnsi="宋体" w:eastAsia="宋体" w:cs="宋体"/>
                <w:bCs/>
                <w:snapToGrid w:val="0"/>
                <w:kern w:val="0"/>
                <w:szCs w:val="24"/>
              </w:rPr>
              <w:t>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snapToGrid w:val="0"/>
                <w:kern w:val="0"/>
                <w:szCs w:val="24"/>
                <w:highlight w:val="none"/>
                <w:u w:val="single"/>
              </w:rPr>
              <w:t>（二）工业</w:t>
            </w:r>
            <w:r>
              <w:rPr>
                <w:rFonts w:hint="eastAsia" w:ascii="宋体" w:hAnsi="宋体" w:eastAsia="宋体" w:cs="宋体"/>
                <w:bCs/>
                <w:snapToGrid w:val="0"/>
                <w:kern w:val="0"/>
                <w:szCs w:val="24"/>
                <w:highlight w:val="none"/>
              </w:rPr>
              <w:t>。</w:t>
            </w:r>
          </w:p>
          <w:p w14:paraId="31B45F52">
            <w:pPr>
              <w:numPr>
                <w:ilvl w:val="0"/>
                <w:numId w:val="0"/>
              </w:numPr>
              <w:adjustRightInd w:val="0"/>
              <w:snapToGrid w:val="0"/>
              <w:spacing w:line="360" w:lineRule="exact"/>
              <w:rPr>
                <w:rFonts w:asciiTheme="minorEastAsia" w:hAnsiTheme="minorEastAsia" w:eastAsiaTheme="minorEastAsia" w:cstheme="minorEastAsia"/>
                <w:bCs/>
                <w:snapToGrid w:val="0"/>
                <w:color w:val="auto"/>
                <w:kern w:val="0"/>
                <w:szCs w:val="21"/>
                <w:highlight w:val="none"/>
              </w:rPr>
            </w:pPr>
            <w:r>
              <w:rPr>
                <w:rFonts w:hint="eastAsia" w:ascii="宋体" w:hAnsi="宋体" w:eastAsia="宋体" w:cs="宋体"/>
                <w:bCs/>
                <w:snapToGrid w:val="0"/>
                <w:kern w:val="0"/>
                <w:szCs w:val="24"/>
              </w:rPr>
              <w:t>2.残疾人福利性单位、监狱企业视同小型、微型企业，享受预留份额。</w:t>
            </w:r>
          </w:p>
        </w:tc>
      </w:tr>
      <w:tr w14:paraId="1BE7B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98" w:type="dxa"/>
            <w:tcBorders>
              <w:tl2br w:val="nil"/>
              <w:tr2bl w:val="nil"/>
            </w:tcBorders>
            <w:shd w:val="clear" w:color="auto" w:fill="auto"/>
            <w:vAlign w:val="center"/>
          </w:tcPr>
          <w:p w14:paraId="2CA1FB36">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26</w:t>
            </w:r>
          </w:p>
        </w:tc>
        <w:tc>
          <w:tcPr>
            <w:tcW w:w="1231" w:type="dxa"/>
            <w:tcBorders>
              <w:tl2br w:val="nil"/>
              <w:tr2bl w:val="nil"/>
            </w:tcBorders>
            <w:shd w:val="clear" w:color="auto" w:fill="auto"/>
            <w:vAlign w:val="center"/>
          </w:tcPr>
          <w:p w14:paraId="5D2F1690">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lang w:val="zh-TW"/>
              </w:rPr>
              <w:t>项目属性与核心产品</w:t>
            </w:r>
          </w:p>
        </w:tc>
        <w:tc>
          <w:tcPr>
            <w:tcW w:w="6764" w:type="dxa"/>
            <w:tcBorders>
              <w:tl2br w:val="nil"/>
              <w:tr2bl w:val="nil"/>
            </w:tcBorders>
            <w:shd w:val="clear" w:color="auto" w:fill="auto"/>
            <w:vAlign w:val="center"/>
          </w:tcPr>
          <w:p w14:paraId="72818B3E">
            <w:pPr>
              <w:adjustRightInd w:val="0"/>
              <w:spacing w:line="360" w:lineRule="exact"/>
              <w:rPr>
                <w:rFonts w:ascii="宋体" w:hAnsi="宋体" w:eastAsia="宋体" w:cs="宋体"/>
                <w:b/>
                <w:bCs/>
                <w:color w:val="auto"/>
                <w:szCs w:val="21"/>
                <w:highlight w:val="none"/>
              </w:rPr>
            </w:pPr>
            <w:r>
              <w:rPr>
                <w:rFonts w:ascii="宋体" w:hAnsi="宋体" w:eastAsia="宋体" w:cs="宋体"/>
                <w:color w:val="auto"/>
                <w:kern w:val="0"/>
                <w:sz w:val="24"/>
                <w:szCs w:val="24"/>
                <w:highlight w:val="none"/>
              </w:rPr>
              <w:sym w:font="Wingdings" w:char="00FE"/>
            </w:r>
            <w:r>
              <w:rPr>
                <w:rFonts w:ascii="宋体" w:hAnsi="宋体" w:eastAsia="宋体" w:cs="宋体"/>
                <w:b/>
                <w:bCs/>
                <w:color w:val="auto"/>
                <w:kern w:val="0"/>
                <w:szCs w:val="21"/>
                <w:highlight w:val="none"/>
              </w:rPr>
              <w:t>A</w:t>
            </w:r>
            <w:r>
              <w:rPr>
                <w:rFonts w:ascii="宋体" w:hAnsi="宋体" w:eastAsia="宋体" w:cs="宋体"/>
                <w:b/>
                <w:bCs/>
                <w:color w:val="auto"/>
                <w:szCs w:val="21"/>
                <w:highlight w:val="none"/>
              </w:rPr>
              <w:t>货物类，</w:t>
            </w:r>
            <w:r>
              <w:rPr>
                <w:rFonts w:ascii="宋体" w:hAnsi="宋体" w:eastAsia="宋体" w:cs="宋体"/>
                <w:b/>
                <w:bCs/>
                <w:color w:val="auto"/>
                <w:kern w:val="0"/>
                <w:szCs w:val="21"/>
                <w:highlight w:val="none"/>
              </w:rPr>
              <w:t>核心产品为：</w:t>
            </w:r>
            <w:r>
              <w:rPr>
                <w:rFonts w:hint="eastAsia" w:ascii="宋体" w:hAnsi="宋体" w:eastAsia="宋体" w:cs="宋体"/>
                <w:b/>
                <w:bCs/>
                <w:color w:val="auto"/>
                <w:kern w:val="0"/>
                <w:szCs w:val="21"/>
                <w:highlight w:val="none"/>
                <w:u w:val="single"/>
                <w:lang w:val="en-US" w:eastAsia="zh-CN"/>
              </w:rPr>
              <w:t xml:space="preserve"> 主题游戏器械 </w:t>
            </w:r>
            <w:r>
              <w:rPr>
                <w:rFonts w:ascii="宋体" w:hAnsi="宋体" w:eastAsia="宋体" w:cs="宋体"/>
                <w:b/>
                <w:bCs/>
                <w:color w:val="auto"/>
                <w:szCs w:val="21"/>
                <w:highlight w:val="none"/>
              </w:rPr>
              <w:t>。</w:t>
            </w:r>
          </w:p>
          <w:p w14:paraId="6EC7D02B">
            <w:pPr>
              <w:adjustRightInd w:val="0"/>
              <w:snapToGrid w:val="0"/>
              <w:spacing w:line="360" w:lineRule="exact"/>
              <w:rPr>
                <w:rFonts w:ascii="宋体" w:hAnsi="宋体" w:eastAsia="宋体" w:cs="宋体"/>
                <w:b/>
                <w:bCs/>
                <w:snapToGrid w:val="0"/>
                <w:color w:val="auto"/>
                <w:kern w:val="0"/>
                <w:szCs w:val="21"/>
                <w:highlight w:val="none"/>
              </w:rPr>
            </w:pPr>
            <w:r>
              <w:rPr>
                <w:rFonts w:ascii="宋体" w:hAnsi="宋体" w:eastAsia="宋体" w:cs="宋体"/>
                <w:b/>
                <w:bCs/>
                <w:snapToGrid w:val="0"/>
                <w:color w:val="auto"/>
                <w:kern w:val="0"/>
                <w:szCs w:val="21"/>
                <w:highlight w:val="none"/>
              </w:rPr>
              <w:t>注：非单一产品采购项目，采购人应当根据采购项目技术构成、产品价格比重等合理确定核心产品。</w:t>
            </w:r>
          </w:p>
          <w:p w14:paraId="0289EB33">
            <w:pPr>
              <w:spacing w:line="360" w:lineRule="exact"/>
              <w:rPr>
                <w:rFonts w:ascii="宋体" w:hAnsi="宋体" w:eastAsia="宋体" w:cs="宋体"/>
                <w:color w:val="auto"/>
                <w:szCs w:val="21"/>
                <w:highlight w:val="none"/>
              </w:rPr>
            </w:pPr>
            <w:r>
              <w:rPr>
                <w:rFonts w:ascii="宋体" w:hAnsi="宋体" w:eastAsia="宋体" w:cs="宋体"/>
                <w:color w:val="auto"/>
                <w:kern w:val="0"/>
                <w:sz w:val="24"/>
                <w:szCs w:val="24"/>
                <w:highlight w:val="none"/>
              </w:rPr>
              <w:sym w:font="Wingdings" w:char="00A8"/>
            </w:r>
            <w:sdt>
              <w:sdtPr>
                <w:rPr>
                  <w:rFonts w:ascii="宋体" w:hAnsi="宋体" w:eastAsia="宋体" w:cs="宋体"/>
                  <w:color w:val="auto"/>
                  <w:kern w:val="0"/>
                  <w:szCs w:val="21"/>
                  <w:highlight w:val="none"/>
                </w:rPr>
                <w:id w:val="147466747"/>
              </w:sdtPr>
              <w:sdtEndPr>
                <w:rPr>
                  <w:rFonts w:ascii="宋体" w:hAnsi="宋体" w:eastAsia="宋体" w:cs="宋体"/>
                  <w:color w:val="auto"/>
                  <w:kern w:val="0"/>
                  <w:szCs w:val="21"/>
                  <w:highlight w:val="none"/>
                </w:rPr>
              </w:sdtEndPr>
              <w:sdtContent>
                <w:sdt>
                  <w:sdtPr>
                    <w:rPr>
                      <w:rFonts w:ascii="宋体" w:hAnsi="宋体" w:eastAsia="宋体" w:cs="宋体"/>
                      <w:color w:val="auto"/>
                      <w:kern w:val="0"/>
                      <w:sz w:val="24"/>
                      <w:szCs w:val="24"/>
                      <w:highlight w:val="none"/>
                    </w:rPr>
                    <w:id w:val="147482305"/>
                    <w:showingPlcHdr/>
                  </w:sdtPr>
                  <w:sdtEndPr>
                    <w:rPr>
                      <w:rFonts w:ascii="宋体" w:hAnsi="宋体" w:eastAsia="宋体" w:cs="宋体"/>
                      <w:color w:val="auto"/>
                      <w:kern w:val="0"/>
                      <w:sz w:val="21"/>
                      <w:szCs w:val="21"/>
                      <w:highlight w:val="none"/>
                    </w:rPr>
                  </w:sdtEndPr>
                  <w:sdtContent/>
                </w:sdt>
              </w:sdtContent>
            </w:sdt>
            <w:r>
              <w:rPr>
                <w:rFonts w:ascii="宋体" w:hAnsi="宋体" w:eastAsia="宋体" w:cs="宋体"/>
                <w:color w:val="auto"/>
                <w:kern w:val="0"/>
                <w:szCs w:val="21"/>
                <w:highlight w:val="none"/>
              </w:rPr>
              <w:t>B</w:t>
            </w:r>
            <w:r>
              <w:rPr>
                <w:rFonts w:ascii="宋体" w:hAnsi="宋体" w:eastAsia="宋体" w:cs="宋体"/>
                <w:color w:val="auto"/>
                <w:szCs w:val="21"/>
                <w:highlight w:val="none"/>
              </w:rPr>
              <w:t>服务类。</w:t>
            </w:r>
          </w:p>
          <w:p w14:paraId="0010B476">
            <w:pPr>
              <w:spacing w:line="360" w:lineRule="exact"/>
              <w:rPr>
                <w:rFonts w:ascii="宋体" w:hAnsi="宋体" w:eastAsia="宋体" w:cs="宋体"/>
                <w:color w:val="auto"/>
                <w:kern w:val="0"/>
                <w:sz w:val="22"/>
                <w:szCs w:val="22"/>
                <w:highlight w:val="none"/>
              </w:rPr>
            </w:pPr>
            <w:sdt>
              <w:sdtPr>
                <w:rPr>
                  <w:rFonts w:ascii="宋体" w:hAnsi="宋体" w:eastAsia="宋体" w:cs="宋体"/>
                  <w:color w:val="auto"/>
                  <w:szCs w:val="21"/>
                  <w:highlight w:val="none"/>
                </w:rPr>
                <w:id w:val="147474974"/>
              </w:sdtPr>
              <w:sdtEndPr>
                <w:rPr>
                  <w:rFonts w:ascii="宋体" w:hAnsi="宋体" w:eastAsia="宋体" w:cs="宋体"/>
                  <w:color w:val="auto"/>
                  <w:szCs w:val="21"/>
                  <w:highlight w:val="none"/>
                </w:rPr>
              </w:sdtEndPr>
              <w:sdtContent>
                <w:r>
                  <w:rPr>
                    <w:rFonts w:ascii="宋体" w:hAnsi="宋体" w:eastAsia="宋体" w:cs="宋体"/>
                    <w:color w:val="auto"/>
                    <w:kern w:val="0"/>
                    <w:sz w:val="24"/>
                    <w:szCs w:val="24"/>
                    <w:highlight w:val="none"/>
                  </w:rPr>
                  <w:sym w:font="Wingdings" w:char="00A8"/>
                </w:r>
              </w:sdtContent>
            </w:sdt>
            <w:r>
              <w:rPr>
                <w:rFonts w:ascii="宋体" w:hAnsi="宋体" w:eastAsia="宋体" w:cs="宋体"/>
                <w:color w:val="auto"/>
                <w:szCs w:val="21"/>
                <w:highlight w:val="none"/>
              </w:rPr>
              <w:t>C工程类。</w:t>
            </w:r>
          </w:p>
        </w:tc>
      </w:tr>
      <w:tr w14:paraId="2951C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shd w:val="clear" w:color="auto" w:fill="auto"/>
            <w:vAlign w:val="center"/>
          </w:tcPr>
          <w:p w14:paraId="23750060">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27</w:t>
            </w:r>
          </w:p>
        </w:tc>
        <w:tc>
          <w:tcPr>
            <w:tcW w:w="1231" w:type="dxa"/>
            <w:tcBorders>
              <w:tl2br w:val="nil"/>
              <w:tr2bl w:val="nil"/>
            </w:tcBorders>
            <w:shd w:val="clear" w:color="auto" w:fill="auto"/>
            <w:vAlign w:val="center"/>
          </w:tcPr>
          <w:p w14:paraId="5A9C30B0">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rPr>
              <w:t>中小企业扶持政策</w:t>
            </w:r>
          </w:p>
        </w:tc>
        <w:tc>
          <w:tcPr>
            <w:tcW w:w="6764" w:type="dxa"/>
            <w:tcBorders>
              <w:tl2br w:val="nil"/>
              <w:tr2bl w:val="nil"/>
            </w:tcBorders>
            <w:shd w:val="clear" w:color="auto" w:fill="auto"/>
            <w:vAlign w:val="center"/>
          </w:tcPr>
          <w:p w14:paraId="3504AEE9">
            <w:pPr>
              <w:spacing w:line="350" w:lineRule="exact"/>
              <w:rPr>
                <w:rFonts w:ascii="宋体" w:hAnsi="宋体" w:eastAsia="宋体" w:cs="宋体"/>
                <w:color w:val="auto"/>
                <w:szCs w:val="21"/>
                <w:highlight w:val="none"/>
              </w:rPr>
            </w:pPr>
            <w:r>
              <w:rPr>
                <w:rFonts w:ascii="宋体" w:hAnsi="宋体" w:eastAsia="宋体" w:cs="宋体"/>
                <w:color w:val="auto"/>
                <w:kern w:val="0"/>
                <w:sz w:val="24"/>
                <w:szCs w:val="24"/>
                <w:highlight w:val="none"/>
              </w:rPr>
              <w:sym w:font="Wingdings" w:char="00FE"/>
            </w:r>
            <w:r>
              <w:rPr>
                <w:rFonts w:hint="eastAsia" w:ascii="宋体" w:hAnsi="宋体" w:eastAsia="宋体" w:cs="宋体"/>
                <w:b/>
                <w:bCs/>
                <w:color w:val="000000"/>
                <w:szCs w:val="24"/>
              </w:rPr>
              <w:t>本项目属于预留份额专门面向中小企业采购的项目（残疾人福利性单位、监狱企业视同小型、微型企业），不再进行价格政策扶持。</w:t>
            </w:r>
          </w:p>
          <w:p w14:paraId="0FB6F012">
            <w:pPr>
              <w:spacing w:before="156" w:beforeLines="50" w:line="350" w:lineRule="exact"/>
              <w:rPr>
                <w:rFonts w:ascii="宋体" w:hAnsi="宋体" w:eastAsia="宋体" w:cs="宋体"/>
                <w:color w:val="auto"/>
                <w:szCs w:val="21"/>
                <w:highlight w:val="none"/>
              </w:rPr>
            </w:pPr>
            <w:sdt>
              <w:sdtPr>
                <w:rPr>
                  <w:rFonts w:ascii="宋体" w:hAnsi="宋体" w:eastAsia="宋体" w:cs="宋体"/>
                  <w:b/>
                  <w:bCs/>
                  <w:color w:val="auto"/>
                  <w:kern w:val="0"/>
                  <w:sz w:val="24"/>
                  <w:highlight w:val="none"/>
                </w:rPr>
                <w:id w:val="147472499"/>
              </w:sdtPr>
              <w:sdtEndPr>
                <w:rPr>
                  <w:rFonts w:ascii="宋体" w:hAnsi="宋体" w:eastAsia="宋体" w:cs="宋体"/>
                  <w:b/>
                  <w:bCs/>
                  <w:color w:val="auto"/>
                  <w:kern w:val="0"/>
                  <w:sz w:val="24"/>
                  <w:highlight w:val="none"/>
                </w:rPr>
              </w:sdtEndPr>
              <w:sdtContent>
                <w:r>
                  <w:rPr>
                    <w:rFonts w:ascii="宋体" w:hAnsi="宋体" w:eastAsia="宋体" w:cs="宋体"/>
                    <w:b/>
                    <w:bCs/>
                    <w:color w:val="auto"/>
                    <w:kern w:val="0"/>
                    <w:sz w:val="24"/>
                    <w:highlight w:val="none"/>
                  </w:rPr>
                  <w:sym w:font="Wingdings" w:char="00A8"/>
                </w:r>
              </w:sdtContent>
            </w:sdt>
            <w:r>
              <w:rPr>
                <w:rFonts w:ascii="宋体" w:hAnsi="宋体" w:eastAsia="宋体" w:cs="宋体"/>
                <w:b/>
                <w:bCs/>
                <w:color w:val="auto"/>
                <w:szCs w:val="21"/>
                <w:highlight w:val="none"/>
              </w:rPr>
              <w:t>本项目非专门面向中小企业，价格扣除：</w:t>
            </w:r>
          </w:p>
          <w:p w14:paraId="7824AAB1">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1.投标人按照《关于印发中小企业划型标准规定的通知》（工信部联企业〔2011〕300号）的所属行业规定为小型、微型企业【注：按规定提供《中小企业声明函》】。</w:t>
            </w:r>
          </w:p>
          <w:p w14:paraId="31B5456F">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2.根据《政府采购促进中小企业发展管理办法》（财库</w:t>
            </w:r>
            <w:r>
              <w:rPr>
                <w:rFonts w:hint="eastAsia" w:ascii="宋体" w:hAnsi="宋体" w:cs="宋体"/>
                <w:color w:val="auto"/>
                <w:kern w:val="2"/>
                <w:sz w:val="21"/>
                <w:szCs w:val="21"/>
                <w:highlight w:val="none"/>
                <w:lang w:eastAsia="zh-CN"/>
              </w:rPr>
              <w:t>〔2020〕46号</w:t>
            </w:r>
            <w:r>
              <w:rPr>
                <w:rFonts w:ascii="宋体" w:hAnsi="宋体" w:cs="宋体"/>
                <w:color w:val="auto"/>
                <w:kern w:val="2"/>
                <w:sz w:val="21"/>
                <w:szCs w:val="21"/>
                <w:highlight w:val="none"/>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23573FE">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宋体" w:hAnsi="宋体" w:cs="宋体"/>
                <w:color w:val="auto"/>
                <w:kern w:val="2"/>
                <w:sz w:val="21"/>
                <w:szCs w:val="21"/>
                <w:highlight w:val="none"/>
                <w:lang w:eastAsia="zh-CN"/>
              </w:rPr>
              <w:t>〔2017〕141号</w:t>
            </w:r>
            <w:r>
              <w:rPr>
                <w:rFonts w:ascii="宋体" w:hAnsi="宋体" w:cs="宋体"/>
                <w:color w:val="auto"/>
                <w:kern w:val="2"/>
                <w:sz w:val="21"/>
                <w:szCs w:val="21"/>
                <w:highlight w:val="none"/>
              </w:rPr>
              <w:t>文件第一条的规定，并在投标文件中提供《残疾人福利性单位声明函》；</w:t>
            </w:r>
          </w:p>
          <w:p w14:paraId="27AF8163">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4.根据《关于政府采购支持监狱企业发展有关问题的通知》（财库</w:t>
            </w:r>
            <w:r>
              <w:rPr>
                <w:rFonts w:hint="eastAsia" w:ascii="宋体" w:hAnsi="宋体" w:cs="宋体"/>
                <w:color w:val="auto"/>
                <w:kern w:val="2"/>
                <w:sz w:val="21"/>
                <w:szCs w:val="21"/>
                <w:highlight w:val="none"/>
                <w:lang w:eastAsia="zh-CN"/>
              </w:rPr>
              <w:t>〔2014〕68号</w:t>
            </w:r>
            <w:r>
              <w:rPr>
                <w:rFonts w:ascii="宋体" w:hAnsi="宋体" w:cs="宋体"/>
                <w:color w:val="auto"/>
                <w:kern w:val="2"/>
                <w:sz w:val="21"/>
                <w:szCs w:val="21"/>
                <w:highlight w:val="none"/>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13036997">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b/>
                <w:bCs/>
                <w:color w:val="auto"/>
                <w:kern w:val="2"/>
                <w:sz w:val="21"/>
                <w:szCs w:val="21"/>
                <w:highlight w:val="none"/>
              </w:rPr>
              <w:t>注：</w:t>
            </w:r>
            <w:r>
              <w:rPr>
                <w:rFonts w:ascii="宋体" w:hAnsi="宋体" w:cs="宋体"/>
                <w:color w:val="auto"/>
                <w:kern w:val="2"/>
                <w:sz w:val="21"/>
                <w:szCs w:val="21"/>
                <w:highlight w:val="none"/>
              </w:rPr>
              <w:t>①残疾人福利性单位、监狱企业视同小型、微型企业，享受预留份额、评审中价格扣除等促进中小企业发展的政府采购政策，享受同样的价格扣除。</w:t>
            </w:r>
          </w:p>
          <w:p w14:paraId="04F6894B">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②残疾人福利性单位、监狱企业属于小型、微型企业的，不重复享受价格扣除优惠。</w:t>
            </w:r>
          </w:p>
          <w:p w14:paraId="00FDC802">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22EEAC53">
            <w:pPr>
              <w:pStyle w:val="2"/>
              <w:spacing w:after="0" w:line="350" w:lineRule="exact"/>
              <w:ind w:left="0" w:leftChars="0" w:firstLine="0" w:firstLineChars="0"/>
              <w:rPr>
                <w:rFonts w:ascii="宋体" w:hAnsi="宋体" w:cs="宋体"/>
                <w:color w:val="auto"/>
                <w:kern w:val="2"/>
                <w:sz w:val="21"/>
                <w:szCs w:val="21"/>
                <w:highlight w:val="none"/>
              </w:rPr>
            </w:pPr>
            <w:r>
              <w:rPr>
                <w:rFonts w:ascii="宋体" w:hAnsi="宋体" w:cs="宋体"/>
                <w:color w:val="auto"/>
                <w:kern w:val="2"/>
                <w:sz w:val="21"/>
                <w:szCs w:val="21"/>
                <w:highlight w:val="none"/>
              </w:rPr>
              <w:t>④联合体各方均为小型、微型企业的，联合体视同为小型、微型企业。</w:t>
            </w:r>
          </w:p>
          <w:p w14:paraId="3955BD74">
            <w:pPr>
              <w:pStyle w:val="2"/>
              <w:spacing w:after="0" w:line="350" w:lineRule="exact"/>
              <w:ind w:left="0" w:leftChars="0" w:firstLine="0" w:firstLineChars="0"/>
              <w:rPr>
                <w:rFonts w:ascii="宋体" w:hAnsi="宋体" w:cs="宋体"/>
                <w:color w:val="auto"/>
                <w:szCs w:val="21"/>
                <w:highlight w:val="none"/>
              </w:rPr>
            </w:pPr>
            <w:r>
              <w:rPr>
                <w:rFonts w:ascii="宋体" w:hAnsi="宋体" w:cs="宋体"/>
                <w:color w:val="auto"/>
                <w:kern w:val="2"/>
                <w:sz w:val="21"/>
                <w:szCs w:val="21"/>
                <w:highlight w:val="none"/>
              </w:rPr>
              <w:t>⑤未提供以上材料的，均不给予价格扣除。</w:t>
            </w:r>
          </w:p>
        </w:tc>
      </w:tr>
      <w:tr w14:paraId="326EF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shd w:val="clear" w:color="auto" w:fill="auto"/>
            <w:vAlign w:val="center"/>
          </w:tcPr>
          <w:p w14:paraId="42399BE1">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1231" w:type="dxa"/>
            <w:tcBorders>
              <w:tl2br w:val="nil"/>
              <w:tr2bl w:val="nil"/>
            </w:tcBorders>
            <w:shd w:val="clear" w:color="auto" w:fill="auto"/>
            <w:vAlign w:val="center"/>
          </w:tcPr>
          <w:p w14:paraId="371DE0BA">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rPr>
              <w:t>信用记录查询</w:t>
            </w:r>
          </w:p>
        </w:tc>
        <w:tc>
          <w:tcPr>
            <w:tcW w:w="6764" w:type="dxa"/>
            <w:tcBorders>
              <w:tl2br w:val="nil"/>
              <w:tr2bl w:val="nil"/>
            </w:tcBorders>
            <w:shd w:val="clear" w:color="auto" w:fill="auto"/>
            <w:vAlign w:val="center"/>
          </w:tcPr>
          <w:p w14:paraId="10431F2F">
            <w:pPr>
              <w:spacing w:line="35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根据《关于在政府采购活动中查询及使用信用记录有关问题的通知》财库</w:t>
            </w:r>
            <w:r>
              <w:rPr>
                <w:rFonts w:hint="eastAsia" w:ascii="宋体" w:hAnsi="宋体" w:eastAsia="宋体" w:cs="宋体"/>
                <w:b/>
                <w:bCs/>
                <w:color w:val="auto"/>
                <w:szCs w:val="21"/>
                <w:highlight w:val="none"/>
                <w:lang w:eastAsia="zh-CN"/>
              </w:rPr>
              <w:t>〔2016〕125号</w:t>
            </w:r>
            <w:r>
              <w:rPr>
                <w:rFonts w:ascii="宋体" w:hAnsi="宋体" w:eastAsia="宋体" w:cs="宋体"/>
                <w:b/>
                <w:bCs/>
                <w:color w:val="auto"/>
                <w:szCs w:val="21"/>
                <w:highlight w:val="none"/>
              </w:rPr>
              <w:t>文件的规定执行：</w:t>
            </w:r>
          </w:p>
          <w:p w14:paraId="7A0FF8DB">
            <w:pPr>
              <w:spacing w:line="350" w:lineRule="exac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ascii="宋体" w:hAnsi="宋体" w:eastAsia="宋体" w:cs="宋体"/>
                <w:color w:val="auto"/>
                <w:szCs w:val="21"/>
                <w:highlight w:val="none"/>
              </w:rPr>
              <w:t>招标人或采购代理机构将对本项目供应商的信用记录进行查询。查询渠道为信用中国（www.creditchina.gov.cn）、中国政府采购网（www.ccgp.gov.cn）；</w:t>
            </w:r>
          </w:p>
          <w:p w14:paraId="51CADEE5">
            <w:pPr>
              <w:spacing w:line="35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lang w:eastAsia="zh-CN"/>
              </w:rPr>
              <w:t>(2)</w:t>
            </w:r>
            <w:r>
              <w:rPr>
                <w:rFonts w:ascii="宋体" w:hAnsi="宋体" w:eastAsia="宋体" w:cs="宋体"/>
                <w:b/>
                <w:bCs/>
                <w:color w:val="auto"/>
                <w:szCs w:val="21"/>
                <w:highlight w:val="none"/>
              </w:rPr>
              <w:t>截止时点：</w:t>
            </w:r>
            <w:r>
              <w:rPr>
                <w:rFonts w:ascii="宋体" w:hAnsi="宋体" w:eastAsia="宋体" w:cs="宋体"/>
                <w:color w:val="auto"/>
                <w:szCs w:val="21"/>
                <w:highlight w:val="none"/>
              </w:rPr>
              <w:t>提交投标文件截止时间前3年内；</w:t>
            </w:r>
          </w:p>
          <w:p w14:paraId="6ED5E269">
            <w:pPr>
              <w:spacing w:line="35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lang w:eastAsia="zh-CN"/>
              </w:rPr>
              <w:t>(3)</w:t>
            </w:r>
            <w:r>
              <w:rPr>
                <w:rFonts w:ascii="宋体" w:hAnsi="宋体" w:eastAsia="宋体" w:cs="宋体"/>
                <w:b/>
                <w:bCs/>
                <w:color w:val="auto"/>
                <w:szCs w:val="21"/>
                <w:highlight w:val="none"/>
              </w:rPr>
              <w:t>查询记录和证据的留存：</w:t>
            </w:r>
            <w:r>
              <w:rPr>
                <w:rFonts w:ascii="宋体" w:hAnsi="宋体" w:eastAsia="宋体" w:cs="宋体"/>
                <w:color w:val="auto"/>
                <w:szCs w:val="21"/>
                <w:highlight w:val="none"/>
              </w:rPr>
              <w:t>信用信息查询记录和证据以网页截图等方式留存。</w:t>
            </w:r>
          </w:p>
          <w:p w14:paraId="1E5BD394">
            <w:pPr>
              <w:spacing w:line="35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(4)</w:t>
            </w:r>
            <w:r>
              <w:rPr>
                <w:rFonts w:ascii="宋体" w:hAnsi="宋体" w:eastAsia="宋体" w:cs="宋体"/>
                <w:b/>
                <w:bCs/>
                <w:color w:val="auto"/>
                <w:szCs w:val="21"/>
                <w:highlight w:val="none"/>
              </w:rPr>
              <w:t>使用规则：</w:t>
            </w:r>
            <w:r>
              <w:rPr>
                <w:rFonts w:ascii="宋体" w:hAnsi="宋体" w:eastAsia="宋体" w:cs="宋体"/>
                <w:color w:val="auto"/>
                <w:szCs w:val="21"/>
                <w:highlight w:val="none"/>
              </w:rPr>
              <w:t>被列入失信被执行人、重大税收违法失信主体、政府采购严重违法失信行为记录名单及其他不符合《中华人民共和国政府采购法》第二十二条规定条件的，其投标将被拒绝。</w:t>
            </w:r>
          </w:p>
          <w:p w14:paraId="43D08AF0">
            <w:pPr>
              <w:spacing w:line="350" w:lineRule="exact"/>
              <w:rPr>
                <w:rFonts w:ascii="宋体" w:hAnsi="宋体" w:eastAsia="宋体" w:cs="宋体"/>
                <w:b/>
                <w:bCs/>
                <w:color w:val="auto"/>
                <w:kern w:val="0"/>
                <w:sz w:val="22"/>
                <w:szCs w:val="18"/>
                <w:highlight w:val="none"/>
              </w:rPr>
            </w:pPr>
            <w:r>
              <w:rPr>
                <w:rFonts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lang w:eastAsia="zh-CN"/>
              </w:rPr>
              <w:t>(5)</w:t>
            </w:r>
            <w:r>
              <w:rPr>
                <w:rFonts w:ascii="宋体" w:hAnsi="宋体" w:eastAsia="宋体" w:cs="宋体"/>
                <w:b/>
                <w:bCs/>
                <w:color w:val="auto"/>
                <w:szCs w:val="21"/>
                <w:highlight w:val="none"/>
              </w:rPr>
              <w:t>联合体信用信息查询：</w:t>
            </w:r>
            <w:r>
              <w:rPr>
                <w:rFonts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53C31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74E2F9E">
            <w:pPr>
              <w:spacing w:line="360" w:lineRule="exact"/>
              <w:jc w:val="center"/>
              <w:rPr>
                <w:rFonts w:ascii="宋体" w:hAnsi="宋体" w:eastAsia="宋体" w:cs="宋体"/>
                <w:color w:val="auto"/>
                <w:szCs w:val="21"/>
                <w:highlight w:val="none"/>
                <w:lang w:eastAsia="zh-TW"/>
              </w:rPr>
            </w:pPr>
            <w:r>
              <w:rPr>
                <w:rFonts w:ascii="宋体" w:hAnsi="宋体" w:eastAsia="宋体" w:cs="宋体"/>
                <w:color w:val="auto"/>
                <w:szCs w:val="21"/>
                <w:highlight w:val="none"/>
              </w:rPr>
              <w:t>29</w:t>
            </w:r>
          </w:p>
        </w:tc>
        <w:tc>
          <w:tcPr>
            <w:tcW w:w="1231" w:type="dxa"/>
            <w:tcBorders>
              <w:tl2br w:val="nil"/>
              <w:tr2bl w:val="nil"/>
            </w:tcBorders>
            <w:vAlign w:val="center"/>
          </w:tcPr>
          <w:p w14:paraId="3D859C1C">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质疑</w:t>
            </w:r>
          </w:p>
        </w:tc>
        <w:tc>
          <w:tcPr>
            <w:tcW w:w="6764" w:type="dxa"/>
            <w:tcBorders>
              <w:tl2br w:val="nil"/>
              <w:tr2bl w:val="nil"/>
            </w:tcBorders>
            <w:vAlign w:val="center"/>
          </w:tcPr>
          <w:p w14:paraId="49C2C499">
            <w:pPr>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lang w:val="zh-TW"/>
              </w:rPr>
              <w:t>质疑：</w:t>
            </w:r>
            <w:r>
              <w:rPr>
                <w:rFonts w:ascii="宋体" w:hAnsi="宋体" w:eastAsia="宋体" w:cs="宋体"/>
                <w:color w:val="auto"/>
                <w:szCs w:val="21"/>
                <w:highlight w:val="none"/>
              </w:rPr>
              <w:t>投标人</w:t>
            </w:r>
            <w:r>
              <w:rPr>
                <w:rFonts w:ascii="宋体" w:hAnsi="宋体" w:eastAsia="宋体" w:cs="宋体"/>
                <w:color w:val="auto"/>
                <w:szCs w:val="21"/>
                <w:highlight w:val="none"/>
                <w:lang w:val="zh-TW"/>
              </w:rPr>
              <w:t>在法定质疑期内应当一次性提出针对同一采购程序环节的质疑。</w:t>
            </w:r>
          </w:p>
          <w:p w14:paraId="4FFD0709">
            <w:pPr>
              <w:spacing w:line="360" w:lineRule="exact"/>
              <w:rPr>
                <w:rFonts w:ascii="宋体" w:hAnsi="宋体" w:eastAsia="宋体" w:cs="宋体"/>
                <w:color w:val="auto"/>
                <w:szCs w:val="21"/>
                <w:highlight w:val="none"/>
                <w:lang w:val="zh-TW"/>
              </w:rPr>
            </w:pPr>
            <w:r>
              <w:rPr>
                <w:rFonts w:ascii="宋体" w:hAnsi="宋体" w:eastAsia="宋体" w:cs="宋体"/>
                <w:color w:val="auto"/>
                <w:szCs w:val="21"/>
                <w:highlight w:val="none"/>
                <w:lang w:val="zh-TW"/>
              </w:rPr>
              <w:t>接收质疑函的方式：</w:t>
            </w:r>
          </w:p>
          <w:p w14:paraId="3903BBDD">
            <w:pPr>
              <w:spacing w:line="360" w:lineRule="exact"/>
              <w:rPr>
                <w:rFonts w:ascii="宋体" w:hAnsi="宋体" w:eastAsia="宋体" w:cs="宋体"/>
                <w:b/>
                <w:bCs/>
                <w:color w:val="auto"/>
                <w:szCs w:val="21"/>
                <w:highlight w:val="none"/>
              </w:rPr>
            </w:pPr>
            <w:r>
              <w:rPr>
                <w:rFonts w:ascii="宋体" w:hAnsi="宋体" w:eastAsia="宋体" w:cs="宋体"/>
                <w:b/>
                <w:bCs/>
                <w:color w:val="auto"/>
                <w:szCs w:val="21"/>
                <w:highlight w:val="none"/>
              </w:rPr>
              <w:t>①鼓励供应商在线提起质疑，路径：</w:t>
            </w:r>
            <w:r>
              <w:rPr>
                <w:rFonts w:ascii="宋体" w:hAnsi="宋体" w:eastAsia="宋体" w:cs="宋体"/>
                <w:color w:val="auto"/>
                <w:szCs w:val="21"/>
                <w:highlight w:val="none"/>
              </w:rPr>
              <w:t>详见“第一部分  采购公告”，具体操作详见“政府采购项目电子交易管理操作指南-供应商” （https://service.zcygov.cn/#/knowledges/CW1EtGwBFdiHxlNd6I3m/6IMVAG0BFdiHxlNdQ8Na）；</w:t>
            </w:r>
          </w:p>
          <w:p w14:paraId="5F4ACDB9">
            <w:pPr>
              <w:spacing w:line="360" w:lineRule="exact"/>
              <w:rPr>
                <w:rFonts w:ascii="宋体" w:hAnsi="宋体" w:eastAsia="宋体" w:cs="宋体"/>
                <w:color w:val="auto"/>
                <w:szCs w:val="21"/>
                <w:highlight w:val="none"/>
              </w:rPr>
            </w:pPr>
            <w:r>
              <w:rPr>
                <w:rFonts w:ascii="宋体" w:hAnsi="宋体" w:eastAsia="宋体" w:cs="宋体"/>
                <w:b/>
                <w:bCs/>
                <w:color w:val="auto"/>
                <w:szCs w:val="21"/>
                <w:highlight w:val="none"/>
              </w:rPr>
              <w:t>②纸质</w:t>
            </w:r>
            <w:r>
              <w:rPr>
                <w:rFonts w:ascii="宋体" w:hAnsi="宋体" w:eastAsia="宋体" w:cs="宋体"/>
                <w:b/>
                <w:bCs/>
                <w:color w:val="auto"/>
                <w:szCs w:val="21"/>
                <w:highlight w:val="none"/>
                <w:lang w:val="zh-TW"/>
              </w:rPr>
              <w:t>形式，</w:t>
            </w:r>
            <w:r>
              <w:rPr>
                <w:rFonts w:ascii="宋体" w:hAnsi="宋体" w:eastAsia="宋体" w:cs="宋体"/>
                <w:b/>
                <w:bCs/>
                <w:color w:val="auto"/>
                <w:szCs w:val="21"/>
                <w:highlight w:val="none"/>
              </w:rPr>
              <w:t>以快递方式送达</w:t>
            </w:r>
            <w:r>
              <w:rPr>
                <w:rFonts w:ascii="宋体" w:hAnsi="宋体" w:eastAsia="宋体" w:cs="宋体"/>
                <w:b/>
                <w:bCs/>
                <w:color w:val="auto"/>
                <w:szCs w:val="21"/>
                <w:highlight w:val="none"/>
                <w:lang w:val="zh-TW"/>
              </w:rPr>
              <w:t>。</w:t>
            </w:r>
            <w:r>
              <w:rPr>
                <w:rFonts w:ascii="宋体" w:hAnsi="宋体" w:eastAsia="宋体" w:cs="宋体"/>
                <w:color w:val="auto"/>
                <w:szCs w:val="21"/>
                <w:highlight w:val="none"/>
                <w:lang w:val="zh-TW"/>
              </w:rPr>
              <w:t>联系人：</w:t>
            </w:r>
            <w:r>
              <w:rPr>
                <w:rFonts w:hint="eastAsia" w:ascii="宋体" w:hAnsi="宋体" w:eastAsia="宋体" w:cs="宋体"/>
                <w:color w:val="auto"/>
                <w:szCs w:val="21"/>
                <w:highlight w:val="none"/>
                <w:lang w:val="en-US" w:eastAsia="zh-CN"/>
              </w:rPr>
              <w:t>严旭东</w:t>
            </w:r>
            <w:r>
              <w:rPr>
                <w:rFonts w:ascii="宋体" w:hAnsi="宋体" w:eastAsia="宋体" w:cs="宋体"/>
                <w:color w:val="auto"/>
                <w:szCs w:val="21"/>
                <w:highlight w:val="none"/>
                <w:lang w:val="zh-TW"/>
              </w:rPr>
              <w:t>；质疑联系方式：</w:t>
            </w:r>
            <w:r>
              <w:rPr>
                <w:rFonts w:hint="eastAsia" w:ascii="宋体" w:hAnsi="宋体" w:eastAsia="宋体" w:cs="宋体"/>
                <w:color w:val="auto"/>
                <w:szCs w:val="21"/>
                <w:highlight w:val="none"/>
                <w:lang w:val="en-US" w:eastAsia="zh-CN"/>
              </w:rPr>
              <w:t>15068031367</w:t>
            </w:r>
            <w:r>
              <w:rPr>
                <w:rFonts w:ascii="宋体" w:hAnsi="宋体" w:eastAsia="宋体" w:cs="宋体"/>
                <w:color w:val="auto"/>
                <w:szCs w:val="21"/>
                <w:highlight w:val="none"/>
                <w:lang w:val="zh-TW"/>
              </w:rPr>
              <w:t>，地址：浦江县</w:t>
            </w:r>
            <w:r>
              <w:rPr>
                <w:rFonts w:hint="eastAsia" w:ascii="宋体" w:hAnsi="宋体" w:eastAsia="宋体" w:cs="宋体"/>
                <w:color w:val="auto"/>
                <w:szCs w:val="21"/>
                <w:highlight w:val="none"/>
                <w:lang w:val="en-US" w:eastAsia="zh-CN"/>
              </w:rPr>
              <w:t>蒋塘路90号</w:t>
            </w:r>
            <w:r>
              <w:rPr>
                <w:rFonts w:ascii="宋体" w:hAnsi="宋体" w:eastAsia="宋体" w:cs="宋体"/>
                <w:color w:val="auto"/>
                <w:szCs w:val="21"/>
                <w:highlight w:val="none"/>
                <w:lang w:val="zh-TW"/>
              </w:rPr>
              <w:t>二楼（</w:t>
            </w:r>
            <w:r>
              <w:rPr>
                <w:rFonts w:hint="eastAsia" w:ascii="宋体" w:hAnsi="宋体" w:eastAsia="宋体" w:cs="宋体"/>
                <w:color w:val="auto"/>
                <w:szCs w:val="21"/>
                <w:highlight w:val="none"/>
                <w:lang w:val="zh-TW" w:eastAsia="zh-CN"/>
              </w:rPr>
              <w:t>浙江宏誉工程咨询有限公司</w:t>
            </w:r>
            <w:r>
              <w:rPr>
                <w:rFonts w:ascii="宋体" w:hAnsi="宋体" w:eastAsia="宋体" w:cs="宋体"/>
                <w:color w:val="auto"/>
                <w:szCs w:val="21"/>
                <w:highlight w:val="none"/>
                <w:lang w:val="zh-TW"/>
              </w:rPr>
              <w:t>）。</w:t>
            </w:r>
            <w:r>
              <w:rPr>
                <w:rFonts w:ascii="宋体" w:hAnsi="宋体" w:eastAsia="宋体" w:cs="宋体"/>
                <w:color w:val="auto"/>
                <w:szCs w:val="21"/>
                <w:highlight w:val="none"/>
              </w:rPr>
              <w:t>同时请将质疑函的word格式文件发送至邮箱：</w:t>
            </w:r>
            <w:r>
              <w:rPr>
                <w:rFonts w:hint="eastAsia" w:ascii="宋体" w:hAnsi="宋体" w:eastAsia="宋体" w:cs="宋体"/>
                <w:color w:val="auto"/>
                <w:szCs w:val="21"/>
                <w:highlight w:val="none"/>
                <w:lang w:val="en-US" w:eastAsia="zh-CN"/>
              </w:rPr>
              <w:t>787784926</w:t>
            </w:r>
            <w:r>
              <w:rPr>
                <w:rFonts w:ascii="宋体" w:hAnsi="宋体" w:eastAsia="宋体" w:cs="宋体"/>
                <w:color w:val="auto"/>
                <w:szCs w:val="21"/>
                <w:highlight w:val="none"/>
              </w:rPr>
              <w:t>@qq.com</w:t>
            </w:r>
            <w:r>
              <w:rPr>
                <w:rFonts w:ascii="宋体" w:hAnsi="宋体" w:eastAsia="宋体" w:cs="宋体"/>
                <w:color w:val="auto"/>
                <w:szCs w:val="21"/>
                <w:highlight w:val="none"/>
                <w:lang w:val="zh-TW"/>
              </w:rPr>
              <w:t>。</w:t>
            </w:r>
          </w:p>
        </w:tc>
      </w:tr>
      <w:tr w14:paraId="15F25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898" w:type="dxa"/>
            <w:tcBorders>
              <w:tl2br w:val="nil"/>
              <w:tr2bl w:val="nil"/>
            </w:tcBorders>
            <w:vAlign w:val="center"/>
          </w:tcPr>
          <w:p w14:paraId="7DE86C10">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30</w:t>
            </w:r>
          </w:p>
        </w:tc>
        <w:tc>
          <w:tcPr>
            <w:tcW w:w="1231" w:type="dxa"/>
            <w:tcBorders>
              <w:tl2br w:val="nil"/>
              <w:tr2bl w:val="nil"/>
            </w:tcBorders>
            <w:vAlign w:val="center"/>
          </w:tcPr>
          <w:p w14:paraId="58868A7C">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节能产品、环境标志产品政策</w:t>
            </w:r>
          </w:p>
        </w:tc>
        <w:tc>
          <w:tcPr>
            <w:tcW w:w="6764" w:type="dxa"/>
            <w:tcBorders>
              <w:tl2br w:val="nil"/>
              <w:tr2bl w:val="nil"/>
            </w:tcBorders>
            <w:vAlign w:val="center"/>
          </w:tcPr>
          <w:p w14:paraId="3C7BADCF">
            <w:pPr>
              <w:spacing w:line="360" w:lineRule="exact"/>
              <w:rPr>
                <w:rFonts w:ascii="宋体" w:hAnsi="宋体" w:eastAsia="宋体" w:cs="宋体"/>
                <w:bCs/>
                <w:color w:val="auto"/>
                <w:szCs w:val="21"/>
                <w:highlight w:val="none"/>
              </w:rPr>
            </w:pPr>
            <w:r>
              <w:rPr>
                <w:rFonts w:ascii="宋体" w:hAnsi="宋体" w:eastAsia="宋体" w:cs="宋体"/>
                <w:color w:val="auto"/>
                <w:kern w:val="0"/>
                <w:sz w:val="24"/>
                <w:szCs w:val="24"/>
                <w:highlight w:val="none"/>
              </w:rPr>
              <w:sym w:font="Wingdings" w:char="00A8"/>
            </w:r>
            <w:r>
              <w:rPr>
                <w:rFonts w:ascii="宋体" w:hAnsi="宋体" w:eastAsia="宋体" w:cs="宋体"/>
                <w:bCs/>
                <w:color w:val="auto"/>
                <w:szCs w:val="21"/>
                <w:highlight w:val="none"/>
              </w:rPr>
              <w:t>本项目为服务项目，不适用节能环保政策。</w:t>
            </w:r>
          </w:p>
          <w:p w14:paraId="6FC7B437">
            <w:pPr>
              <w:spacing w:line="360" w:lineRule="exact"/>
              <w:rPr>
                <w:rFonts w:ascii="宋体" w:hAnsi="宋体" w:eastAsia="宋体" w:cs="宋体"/>
                <w:b/>
                <w:bCs/>
                <w:color w:val="auto"/>
                <w:szCs w:val="21"/>
                <w:highlight w:val="none"/>
              </w:rPr>
            </w:pPr>
            <w:r>
              <w:rPr>
                <w:rFonts w:ascii="宋体" w:hAnsi="宋体" w:eastAsia="宋体" w:cs="宋体"/>
                <w:color w:val="auto"/>
                <w:kern w:val="0"/>
                <w:sz w:val="24"/>
                <w:szCs w:val="24"/>
                <w:highlight w:val="none"/>
              </w:rPr>
              <w:sym w:font="Wingdings" w:char="00FE"/>
            </w:r>
            <w:r>
              <w:rPr>
                <w:rFonts w:ascii="宋体" w:hAnsi="宋体" w:eastAsia="宋体" w:cs="宋体"/>
                <w:b/>
                <w:bCs/>
                <w:color w:val="auto"/>
                <w:szCs w:val="21"/>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注：本项目执行最新政府采购节能产品、环境标志产品品目清单。）</w:t>
            </w:r>
          </w:p>
          <w:p w14:paraId="5B598FE6">
            <w:pPr>
              <w:spacing w:line="360" w:lineRule="exact"/>
              <w:rPr>
                <w:rFonts w:ascii="宋体" w:hAnsi="宋体" w:eastAsia="宋体" w:cs="宋体"/>
                <w:color w:val="auto"/>
                <w:szCs w:val="21"/>
                <w:highlight w:val="none"/>
                <w:lang w:val="zh-TW"/>
              </w:rPr>
            </w:pPr>
            <w:r>
              <w:rPr>
                <w:rFonts w:ascii="宋体" w:hAnsi="宋体" w:eastAsia="宋体" w:cs="宋体"/>
                <w:b/>
                <w:bCs/>
                <w:color w:val="auto"/>
                <w:szCs w:val="21"/>
                <w:highlight w:val="none"/>
              </w:rPr>
              <w:t>注：属于强制采购品目清单中的产品如未获得证书，其投标将作无效标处理。</w:t>
            </w:r>
          </w:p>
        </w:tc>
      </w:tr>
      <w:tr w14:paraId="5ADE4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98" w:type="dxa"/>
            <w:tcBorders>
              <w:tl2br w:val="nil"/>
              <w:tr2bl w:val="nil"/>
            </w:tcBorders>
            <w:vAlign w:val="center"/>
          </w:tcPr>
          <w:p w14:paraId="0CE88954">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31</w:t>
            </w:r>
          </w:p>
        </w:tc>
        <w:tc>
          <w:tcPr>
            <w:tcW w:w="1231" w:type="dxa"/>
            <w:tcBorders>
              <w:tl2br w:val="nil"/>
              <w:tr2bl w:val="nil"/>
            </w:tcBorders>
            <w:vAlign w:val="center"/>
          </w:tcPr>
          <w:p w14:paraId="4FE916EF">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采购代理服务费</w:t>
            </w:r>
          </w:p>
        </w:tc>
        <w:tc>
          <w:tcPr>
            <w:tcW w:w="6764" w:type="dxa"/>
            <w:tcBorders>
              <w:tl2br w:val="nil"/>
              <w:tr2bl w:val="nil"/>
            </w:tcBorders>
            <w:vAlign w:val="center"/>
          </w:tcPr>
          <w:p w14:paraId="1D159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本项目招标代理服务费收取标准：本项目招标代理费[以项目</w:t>
            </w:r>
            <w:r>
              <w:rPr>
                <w:rFonts w:hint="eastAsia" w:ascii="宋体" w:hAnsi="宋体" w:eastAsia="宋体" w:cs="宋体"/>
                <w:b w:val="0"/>
                <w:bCs/>
                <w:color w:val="auto"/>
                <w:szCs w:val="21"/>
                <w:highlight w:val="none"/>
                <w:lang w:eastAsia="zh-CN"/>
              </w:rPr>
              <w:t>预算</w:t>
            </w:r>
            <w:r>
              <w:rPr>
                <w:rFonts w:hint="eastAsia" w:ascii="宋体" w:hAnsi="宋体" w:eastAsia="宋体" w:cs="宋体"/>
                <w:b w:val="0"/>
                <w:bCs/>
                <w:color w:val="auto"/>
                <w:szCs w:val="21"/>
                <w:highlight w:val="none"/>
              </w:rPr>
              <w:t>金额为基数，参照</w:t>
            </w:r>
            <w:r>
              <w:rPr>
                <w:rFonts w:hint="eastAsia" w:ascii="宋体" w:hAnsi="宋体" w:eastAsia="宋体" w:cs="宋体"/>
                <w:b w:val="0"/>
                <w:bCs/>
                <w:color w:val="auto"/>
                <w:szCs w:val="21"/>
                <w:highlight w:val="none"/>
                <w:lang w:eastAsia="zh-CN"/>
              </w:rPr>
              <w:t>（审</w:t>
            </w:r>
            <w:r>
              <w:rPr>
                <w:rFonts w:hint="eastAsia" w:ascii="宋体" w:hAnsi="宋体" w:eastAsia="宋体" w:cs="宋体"/>
                <w:b w:val="0"/>
                <w:bCs/>
                <w:color w:val="auto"/>
                <w:szCs w:val="21"/>
                <w:highlight w:val="none"/>
              </w:rPr>
              <w:t>计价格</w:t>
            </w:r>
            <w:r>
              <w:rPr>
                <w:rFonts w:hint="eastAsia" w:ascii="宋体" w:hAnsi="宋体" w:eastAsia="宋体" w:cs="宋体"/>
                <w:b w:val="0"/>
                <w:bCs/>
                <w:color w:val="auto"/>
                <w:szCs w:val="21"/>
                <w:highlight w:val="none"/>
                <w:lang w:eastAsia="zh-CN"/>
              </w:rPr>
              <w:t>〔2002〕1980号</w:t>
            </w:r>
            <w:r>
              <w:rPr>
                <w:rFonts w:hint="eastAsia" w:ascii="宋体" w:hAnsi="宋体" w:eastAsia="宋体" w:cs="宋体"/>
                <w:b w:val="0"/>
                <w:bCs/>
                <w:color w:val="auto"/>
                <w:szCs w:val="21"/>
                <w:highlight w:val="none"/>
              </w:rPr>
              <w:t>）规定的标准收费计取（标准收费附后，类型为服务招标）]，</w:t>
            </w:r>
            <w:r>
              <w:rPr>
                <w:rFonts w:hint="eastAsia" w:ascii="宋体" w:hAnsi="宋体" w:eastAsia="宋体" w:cs="宋体"/>
                <w:b w:val="0"/>
                <w:bCs/>
                <w:color w:val="auto"/>
                <w:szCs w:val="21"/>
                <w:highlight w:val="none"/>
                <w:lang w:eastAsia="zh-CN"/>
              </w:rPr>
              <w:t>即</w:t>
            </w:r>
            <w:r>
              <w:rPr>
                <w:rFonts w:hint="eastAsia" w:ascii="宋体" w:hAnsi="宋体" w:eastAsia="宋体" w:cs="宋体"/>
                <w:b w:val="0"/>
                <w:bCs/>
                <w:color w:val="auto"/>
                <w:szCs w:val="21"/>
                <w:highlight w:val="none"/>
                <w:lang w:val="en-US" w:eastAsia="zh-CN"/>
              </w:rPr>
              <w:t>600000*1.5%=9000元。</w:t>
            </w:r>
            <w:r>
              <w:rPr>
                <w:rFonts w:hint="eastAsia" w:ascii="宋体" w:hAnsi="宋体" w:eastAsia="宋体" w:cs="宋体"/>
                <w:b w:val="0"/>
                <w:bCs/>
                <w:color w:val="auto"/>
                <w:szCs w:val="21"/>
                <w:highlight w:val="none"/>
              </w:rPr>
              <w:t>费用由中标供应商承担。由中标人在合同签订前支付给招标代理机构，请各投标人将上述费用自行考虑进投标报价中。</w:t>
            </w:r>
          </w:p>
          <w:p w14:paraId="6401AAC1">
            <w:pPr>
              <w:keepNext w:val="0"/>
              <w:keepLines w:val="0"/>
              <w:suppressLineNumbers w:val="0"/>
              <w:spacing w:before="0" w:beforeAutospacing="0" w:after="0" w:afterAutospacing="0" w:line="460" w:lineRule="exact"/>
              <w:ind w:left="0" w:right="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银行账户名称：浙江宏誉工程咨询有限公司浦江分公司</w:t>
            </w:r>
          </w:p>
          <w:p w14:paraId="5F7C02CA">
            <w:pPr>
              <w:keepNext w:val="0"/>
              <w:keepLines w:val="0"/>
              <w:suppressLineNumbers w:val="0"/>
              <w:spacing w:before="0" w:beforeAutospacing="0" w:after="0" w:afterAutospacing="0" w:line="460" w:lineRule="exact"/>
              <w:ind w:left="0" w:right="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开户银行：中国建设银行股份有限公司浦江分公司</w:t>
            </w:r>
          </w:p>
          <w:p w14:paraId="7533A18D">
            <w:pPr>
              <w:keepNext w:val="0"/>
              <w:keepLines w:val="0"/>
              <w:suppressLineNumbers w:val="0"/>
              <w:spacing w:before="0" w:beforeAutospacing="0" w:after="0" w:afterAutospacing="0" w:line="460" w:lineRule="exact"/>
              <w:ind w:left="0" w:right="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银行账号：33050167742700000602</w:t>
            </w:r>
          </w:p>
          <w:p w14:paraId="4C9149BD">
            <w:pPr>
              <w:spacing w:line="360" w:lineRule="exact"/>
              <w:rPr>
                <w:rFonts w:ascii="宋体" w:hAnsi="宋体" w:eastAsia="宋体" w:cs="宋体"/>
                <w:color w:val="auto"/>
                <w:kern w:val="0"/>
                <w:sz w:val="22"/>
                <w:szCs w:val="22"/>
                <w:highlight w:val="none"/>
                <w:lang w:val="zh-TW" w:eastAsia="zh-TW"/>
              </w:rPr>
            </w:pPr>
            <w:r>
              <w:rPr>
                <w:rFonts w:hint="eastAsia" w:asciiTheme="minorEastAsia" w:hAnsiTheme="minorEastAsia" w:eastAsiaTheme="minorEastAsia" w:cstheme="minorEastAsia"/>
                <w:b/>
                <w:bCs/>
                <w:color w:val="auto"/>
                <w:spacing w:val="0"/>
                <w:kern w:val="2"/>
                <w:sz w:val="21"/>
                <w:szCs w:val="21"/>
                <w:highlight w:val="none"/>
                <w:lang w:val="en-US" w:eastAsia="zh-CN" w:bidi="ar-SA"/>
              </w:rPr>
              <w:t>行号：105338400016</w:t>
            </w:r>
          </w:p>
        </w:tc>
      </w:tr>
      <w:tr w14:paraId="71D63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98" w:type="dxa"/>
            <w:tcBorders>
              <w:tl2br w:val="nil"/>
              <w:tr2bl w:val="nil"/>
            </w:tcBorders>
            <w:vAlign w:val="center"/>
          </w:tcPr>
          <w:p w14:paraId="1BC50480">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32</w:t>
            </w:r>
          </w:p>
        </w:tc>
        <w:tc>
          <w:tcPr>
            <w:tcW w:w="1231" w:type="dxa"/>
            <w:tcBorders>
              <w:tl2br w:val="nil"/>
              <w:tr2bl w:val="nil"/>
            </w:tcBorders>
            <w:vAlign w:val="center"/>
          </w:tcPr>
          <w:p w14:paraId="704A5779">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是否允许采购进口产品</w:t>
            </w:r>
          </w:p>
        </w:tc>
        <w:tc>
          <w:tcPr>
            <w:tcW w:w="6764" w:type="dxa"/>
            <w:tcBorders>
              <w:tl2br w:val="nil"/>
              <w:tr2bl w:val="nil"/>
            </w:tcBorders>
            <w:vAlign w:val="center"/>
          </w:tcPr>
          <w:p w14:paraId="6F0AA6E7">
            <w:pPr>
              <w:spacing w:line="360" w:lineRule="exact"/>
              <w:rPr>
                <w:rFonts w:asciiTheme="minorEastAsia" w:hAnsiTheme="minorEastAsia" w:eastAsiaTheme="minorEastAsia" w:cstheme="minorEastAsia"/>
                <w:b/>
                <w:bCs/>
                <w:color w:val="auto"/>
                <w:szCs w:val="21"/>
                <w:highlight w:val="none"/>
              </w:rPr>
            </w:pPr>
            <w:r>
              <w:rPr>
                <w:rFonts w:ascii="宋体" w:hAnsi="宋体" w:eastAsia="宋体" w:cs="宋体"/>
                <w:b/>
                <w:bCs/>
                <w:color w:val="auto"/>
                <w:kern w:val="0"/>
                <w:sz w:val="24"/>
                <w:szCs w:val="24"/>
                <w:highlight w:val="none"/>
              </w:rPr>
              <w:sym w:font="Wingdings" w:char="00FE"/>
            </w:r>
            <w:r>
              <w:rPr>
                <w:rFonts w:asciiTheme="minorEastAsia" w:hAnsiTheme="minorEastAsia" w:eastAsiaTheme="minorEastAsia" w:cstheme="minorEastAsia"/>
                <w:b/>
                <w:bCs/>
                <w:color w:val="auto"/>
                <w:szCs w:val="21"/>
                <w:highlight w:val="none"/>
              </w:rPr>
              <w:t>本项目不允许采购进口产品。</w:t>
            </w:r>
          </w:p>
          <w:p w14:paraId="06B1E621">
            <w:pPr>
              <w:spacing w:line="360" w:lineRule="exact"/>
              <w:rPr>
                <w:rFonts w:ascii="宋体" w:hAnsi="宋体" w:eastAsia="宋体" w:cs="宋体"/>
                <w:color w:val="auto"/>
                <w:kern w:val="0"/>
                <w:sz w:val="22"/>
                <w:szCs w:val="22"/>
                <w:highlight w:val="none"/>
              </w:rPr>
            </w:pPr>
            <w:r>
              <w:rPr>
                <w:rFonts w:ascii="宋体" w:hAnsi="宋体" w:eastAsia="宋体" w:cs="宋体"/>
                <w:color w:val="auto"/>
                <w:kern w:val="0"/>
                <w:sz w:val="24"/>
                <w:szCs w:val="24"/>
                <w:highlight w:val="none"/>
              </w:rPr>
              <w:sym w:font="Wingdings" w:char="00A8"/>
            </w:r>
            <w:r>
              <w:rPr>
                <w:rFonts w:asciiTheme="minorEastAsia" w:hAnsiTheme="minorEastAsia" w:eastAsiaTheme="minorEastAsia" w:cstheme="minorEastAsia"/>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C434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2FC9CD5">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33</w:t>
            </w:r>
          </w:p>
        </w:tc>
        <w:tc>
          <w:tcPr>
            <w:tcW w:w="1231" w:type="dxa"/>
            <w:tcBorders>
              <w:tl2br w:val="nil"/>
              <w:tr2bl w:val="nil"/>
            </w:tcBorders>
            <w:vAlign w:val="center"/>
          </w:tcPr>
          <w:p w14:paraId="70196A06">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演示</w:t>
            </w:r>
          </w:p>
        </w:tc>
        <w:tc>
          <w:tcPr>
            <w:tcW w:w="6764" w:type="dxa"/>
            <w:tcBorders>
              <w:tl2br w:val="nil"/>
              <w:tr2bl w:val="nil"/>
            </w:tcBorders>
            <w:vAlign w:val="center"/>
          </w:tcPr>
          <w:p w14:paraId="68DE8939">
            <w:pPr>
              <w:spacing w:line="360" w:lineRule="exact"/>
              <w:rPr>
                <w:rFonts w:eastAsia="宋体" w:asciiTheme="minorEastAsia" w:hAnsiTheme="minorEastAsia" w:cstheme="minorEastAsia"/>
                <w:color w:val="auto"/>
                <w:szCs w:val="21"/>
                <w:highlight w:val="none"/>
              </w:rPr>
            </w:pPr>
            <w:r>
              <w:rPr>
                <w:rFonts w:asciiTheme="minorEastAsia" w:hAnsiTheme="minorEastAsia" w:eastAsiaTheme="minorEastAsia" w:cstheme="minorEastAsia"/>
                <w:color w:val="auto"/>
                <w:szCs w:val="21"/>
                <w:highlight w:val="none"/>
              </w:rPr>
              <w:sym w:font="Wingdings" w:char="00FE"/>
            </w:r>
            <w:r>
              <w:rPr>
                <w:rFonts w:asciiTheme="minorEastAsia" w:hAnsiTheme="minorEastAsia" w:eastAsiaTheme="minorEastAsia" w:cstheme="minorEastAsia"/>
                <w:color w:val="auto"/>
                <w:szCs w:val="21"/>
                <w:highlight w:val="none"/>
              </w:rPr>
              <w:t>不要求；</w:t>
            </w:r>
          </w:p>
        </w:tc>
      </w:tr>
      <w:tr w14:paraId="787A9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tcBorders>
              <w:tl2br w:val="nil"/>
              <w:tr2bl w:val="nil"/>
            </w:tcBorders>
            <w:vAlign w:val="center"/>
          </w:tcPr>
          <w:p w14:paraId="7D0CF2EF">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34</w:t>
            </w:r>
          </w:p>
        </w:tc>
        <w:tc>
          <w:tcPr>
            <w:tcW w:w="1231" w:type="dxa"/>
            <w:tcBorders>
              <w:tl2br w:val="nil"/>
              <w:tr2bl w:val="nil"/>
            </w:tcBorders>
            <w:vAlign w:val="center"/>
          </w:tcPr>
          <w:p w14:paraId="74D0BAE0">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rPr>
              <w:t>方案讲解</w:t>
            </w:r>
          </w:p>
        </w:tc>
        <w:tc>
          <w:tcPr>
            <w:tcW w:w="6764" w:type="dxa"/>
            <w:tcBorders>
              <w:tl2br w:val="nil"/>
              <w:tr2bl w:val="nil"/>
            </w:tcBorders>
            <w:vAlign w:val="center"/>
          </w:tcPr>
          <w:p w14:paraId="069E0D8D">
            <w:pPr>
              <w:spacing w:line="360" w:lineRule="exact"/>
              <w:rPr>
                <w:rFonts w:asciiTheme="minorEastAsia" w:hAnsiTheme="minorEastAsia" w:eastAsiaTheme="minorEastAsia" w:cstheme="minorEastAsia"/>
                <w:color w:val="auto"/>
                <w:szCs w:val="21"/>
                <w:highlight w:val="none"/>
              </w:rPr>
            </w:pPr>
            <w:r>
              <w:rPr>
                <w:rFonts w:ascii="宋体" w:hAnsi="宋体" w:eastAsia="宋体" w:cs="宋体"/>
                <w:color w:val="auto"/>
                <w:kern w:val="0"/>
                <w:sz w:val="24"/>
                <w:szCs w:val="24"/>
                <w:highlight w:val="none"/>
              </w:rPr>
              <w:sym w:font="Wingdings" w:char="00FE"/>
            </w:r>
            <w:r>
              <w:rPr>
                <w:rFonts w:asciiTheme="minorEastAsia" w:hAnsiTheme="minorEastAsia" w:eastAsiaTheme="minorEastAsia" w:cstheme="minorEastAsia"/>
                <w:color w:val="auto"/>
                <w:szCs w:val="21"/>
                <w:highlight w:val="none"/>
              </w:rPr>
              <w:t>不要求。</w:t>
            </w:r>
          </w:p>
        </w:tc>
      </w:tr>
      <w:tr w14:paraId="28A25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98" w:type="dxa"/>
            <w:tcBorders>
              <w:tl2br w:val="nil"/>
              <w:tr2bl w:val="nil"/>
            </w:tcBorders>
            <w:vAlign w:val="center"/>
          </w:tcPr>
          <w:p w14:paraId="12D40419">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35</w:t>
            </w:r>
          </w:p>
        </w:tc>
        <w:tc>
          <w:tcPr>
            <w:tcW w:w="1231" w:type="dxa"/>
            <w:tcBorders>
              <w:tl2br w:val="nil"/>
              <w:tr2bl w:val="nil"/>
            </w:tcBorders>
            <w:vAlign w:val="center"/>
          </w:tcPr>
          <w:p w14:paraId="6AADDBC4">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样品</w:t>
            </w:r>
          </w:p>
        </w:tc>
        <w:tc>
          <w:tcPr>
            <w:tcW w:w="6764" w:type="dxa"/>
            <w:tcBorders>
              <w:tl2br w:val="nil"/>
              <w:tr2bl w:val="nil"/>
            </w:tcBorders>
            <w:vAlign w:val="center"/>
          </w:tcPr>
          <w:p w14:paraId="2AD4E03F">
            <w:pPr>
              <w:spacing w:line="240" w:lineRule="auto"/>
              <w:rPr>
                <w:rFonts w:asciiTheme="minorEastAsia" w:hAnsiTheme="minorEastAsia" w:eastAsiaTheme="minorEastAsia" w:cstheme="minorEastAsia"/>
                <w:color w:val="auto"/>
                <w:szCs w:val="21"/>
                <w:highlight w:val="none"/>
              </w:rPr>
            </w:pPr>
            <w:r>
              <w:rPr>
                <w:rFonts w:ascii="宋体" w:hAnsi="宋体" w:eastAsia="宋体" w:cs="宋体"/>
                <w:color w:val="auto"/>
                <w:kern w:val="0"/>
                <w:sz w:val="24"/>
                <w:szCs w:val="24"/>
                <w:highlight w:val="none"/>
              </w:rPr>
              <w:sym w:font="Wingdings" w:char="00FE"/>
            </w:r>
            <w:r>
              <w:rPr>
                <w:rFonts w:asciiTheme="minorEastAsia" w:hAnsiTheme="minorEastAsia" w:eastAsiaTheme="minorEastAsia" w:cstheme="minorEastAsia"/>
                <w:color w:val="auto"/>
                <w:szCs w:val="21"/>
                <w:highlight w:val="none"/>
              </w:rPr>
              <w:t>不提供。</w:t>
            </w:r>
          </w:p>
          <w:p w14:paraId="3C7BFB60">
            <w:pPr>
              <w:spacing w:line="240" w:lineRule="auto"/>
              <w:rPr>
                <w:color w:val="auto"/>
                <w:highlight w:val="none"/>
                <w:lang w:val="zh-TW"/>
              </w:rPr>
            </w:pPr>
            <w:r>
              <w:rPr>
                <w:rFonts w:ascii="宋体" w:hAnsi="宋体" w:eastAsia="宋体" w:cs="宋体"/>
                <w:color w:val="auto"/>
                <w:kern w:val="0"/>
                <w:sz w:val="24"/>
                <w:szCs w:val="24"/>
                <w:highlight w:val="none"/>
              </w:rPr>
              <w:sym w:font="Wingdings" w:char="00A8"/>
            </w:r>
            <w:r>
              <w:rPr>
                <w:rFonts w:asciiTheme="minorEastAsia" w:hAnsiTheme="minorEastAsia" w:eastAsiaTheme="minorEastAsia" w:cstheme="minorEastAsia"/>
                <w:color w:val="auto"/>
                <w:szCs w:val="21"/>
                <w:highlight w:val="none"/>
              </w:rPr>
              <w:t>提供，按招标文件“第三部分 采购需求”要求。</w:t>
            </w:r>
          </w:p>
        </w:tc>
      </w:tr>
      <w:tr w14:paraId="3A0EB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98" w:type="dxa"/>
            <w:tcBorders>
              <w:tl2br w:val="nil"/>
              <w:tr2bl w:val="nil"/>
            </w:tcBorders>
            <w:vAlign w:val="center"/>
          </w:tcPr>
          <w:p w14:paraId="76F7ED4E">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36</w:t>
            </w:r>
          </w:p>
        </w:tc>
        <w:tc>
          <w:tcPr>
            <w:tcW w:w="1231" w:type="dxa"/>
            <w:tcBorders>
              <w:tl2br w:val="nil"/>
              <w:tr2bl w:val="nil"/>
            </w:tcBorders>
            <w:vAlign w:val="center"/>
          </w:tcPr>
          <w:p w14:paraId="2057C8DE">
            <w:pPr>
              <w:spacing w:line="360" w:lineRule="exact"/>
              <w:jc w:val="center"/>
              <w:rPr>
                <w:rFonts w:ascii="宋体" w:hAnsi="宋体" w:eastAsia="宋体" w:cs="宋体"/>
                <w:b/>
                <w:bCs/>
                <w:color w:val="auto"/>
                <w:szCs w:val="21"/>
                <w:highlight w:val="none"/>
                <w:lang w:val="zh-TW"/>
              </w:rPr>
            </w:pPr>
            <w:r>
              <w:rPr>
                <w:rFonts w:ascii="宋体" w:hAnsi="宋体" w:eastAsia="宋体" w:cs="宋体"/>
                <w:b/>
                <w:bCs/>
                <w:color w:val="auto"/>
                <w:szCs w:val="21"/>
                <w:highlight w:val="none"/>
                <w:lang w:val="zh-TW"/>
              </w:rPr>
              <w:t>纸质投标文件</w:t>
            </w:r>
          </w:p>
        </w:tc>
        <w:tc>
          <w:tcPr>
            <w:tcW w:w="6764" w:type="dxa"/>
            <w:tcBorders>
              <w:tl2br w:val="nil"/>
              <w:tr2bl w:val="nil"/>
            </w:tcBorders>
            <w:vAlign w:val="center"/>
          </w:tcPr>
          <w:p w14:paraId="62C1A61E">
            <w:pPr>
              <w:spacing w:line="360" w:lineRule="exact"/>
              <w:rPr>
                <w:rFonts w:asciiTheme="minorEastAsia" w:hAnsiTheme="minorEastAsia" w:eastAsiaTheme="minorEastAsia" w:cstheme="minorEastAsia"/>
                <w:color w:val="auto"/>
                <w:szCs w:val="21"/>
                <w:highlight w:val="none"/>
              </w:rPr>
            </w:pPr>
            <w:bookmarkStart w:id="4" w:name="OLE_LINK1"/>
            <w:r>
              <w:rPr>
                <w:rFonts w:asciiTheme="minorEastAsia" w:hAnsiTheme="minorEastAsia" w:eastAsiaTheme="minorEastAsia" w:cstheme="minorEastAsia"/>
                <w:b/>
                <w:bCs/>
                <w:color w:val="auto"/>
                <w:szCs w:val="21"/>
                <w:highlight w:val="none"/>
              </w:rPr>
              <w:t>中标人在签订合同前需根据采购人要求提供与电子投标文件一致的纸质投标文件至少三份。</w:t>
            </w:r>
            <w:bookmarkEnd w:id="4"/>
          </w:p>
        </w:tc>
      </w:tr>
      <w:tr w14:paraId="59223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0F3FD40">
            <w:pPr>
              <w:spacing w:line="360" w:lineRule="exact"/>
              <w:jc w:val="center"/>
              <w:rPr>
                <w:rFonts w:ascii="宋体" w:hAnsi="宋体" w:eastAsia="宋体" w:cs="宋体"/>
                <w:color w:val="auto"/>
                <w:szCs w:val="21"/>
                <w:highlight w:val="none"/>
              </w:rPr>
            </w:pPr>
            <w:r>
              <w:rPr>
                <w:rFonts w:ascii="宋体" w:hAnsi="宋体" w:eastAsia="宋体" w:cs="宋体"/>
                <w:color w:val="auto"/>
                <w:szCs w:val="21"/>
                <w:highlight w:val="none"/>
              </w:rPr>
              <w:t>37</w:t>
            </w:r>
          </w:p>
        </w:tc>
        <w:tc>
          <w:tcPr>
            <w:tcW w:w="1231" w:type="dxa"/>
            <w:tcBorders>
              <w:tl2br w:val="nil"/>
              <w:tr2bl w:val="nil"/>
            </w:tcBorders>
            <w:vAlign w:val="center"/>
          </w:tcPr>
          <w:p w14:paraId="0B476C73">
            <w:pPr>
              <w:spacing w:line="360" w:lineRule="exact"/>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其他</w:t>
            </w:r>
          </w:p>
        </w:tc>
        <w:tc>
          <w:tcPr>
            <w:tcW w:w="6764" w:type="dxa"/>
            <w:tcBorders>
              <w:tl2br w:val="nil"/>
              <w:tr2bl w:val="nil"/>
            </w:tcBorders>
            <w:vAlign w:val="center"/>
          </w:tcPr>
          <w:p w14:paraId="4E183658">
            <w:pPr>
              <w:spacing w:line="340" w:lineRule="exact"/>
              <w:rPr>
                <w:rFonts w:ascii="宋体" w:hAnsi="宋体" w:eastAsia="宋体" w:cs="宋体"/>
                <w:color w:val="auto"/>
                <w:szCs w:val="21"/>
                <w:highlight w:val="none"/>
              </w:rPr>
            </w:pPr>
            <w:r>
              <w:rPr>
                <w:rFonts w:ascii="宋体" w:hAnsi="宋体" w:eastAsia="宋体" w:cs="宋体"/>
                <w:color w:val="auto"/>
                <w:szCs w:val="21"/>
                <w:highlight w:val="none"/>
              </w:rPr>
              <w:t>①公益一类事业单位不属于政府购买服务的承接主体，不得参与承接政府购买服务。</w:t>
            </w:r>
          </w:p>
          <w:p w14:paraId="11E99B26">
            <w:pPr>
              <w:spacing w:line="340" w:lineRule="exact"/>
              <w:rPr>
                <w:rFonts w:ascii="宋体" w:hAnsi="宋体" w:eastAsia="宋体" w:cs="宋体"/>
                <w:color w:val="auto"/>
                <w:szCs w:val="21"/>
                <w:highlight w:val="none"/>
              </w:rPr>
            </w:pPr>
            <w:r>
              <w:rPr>
                <w:rFonts w:ascii="宋体" w:hAnsi="宋体" w:eastAsia="宋体" w:cs="宋体"/>
                <w:color w:val="auto"/>
                <w:szCs w:val="21"/>
                <w:highlight w:val="none"/>
              </w:rPr>
              <w:t>②本采购文件规定如有与法律法规冲突的，以法律法规为准。</w:t>
            </w:r>
          </w:p>
          <w:p w14:paraId="49F1B7BA">
            <w:pPr>
              <w:spacing w:line="340" w:lineRule="exact"/>
              <w:rPr>
                <w:rFonts w:ascii="宋体" w:hAnsi="宋体" w:eastAsia="宋体" w:cs="宋体"/>
                <w:color w:val="auto"/>
                <w:szCs w:val="21"/>
                <w:highlight w:val="none"/>
              </w:rPr>
            </w:pPr>
            <w:r>
              <w:rPr>
                <w:rFonts w:ascii="宋体" w:hAnsi="宋体" w:eastAsia="宋体" w:cs="宋体"/>
                <w:color w:val="auto"/>
                <w:szCs w:val="21"/>
                <w:highlight w:val="none"/>
              </w:rPr>
              <w:t>③解释：本采购文件的解释权属于采购人。</w:t>
            </w:r>
          </w:p>
        </w:tc>
      </w:tr>
    </w:tbl>
    <w:p w14:paraId="77794A43">
      <w:pPr>
        <w:spacing w:line="480" w:lineRule="auto"/>
        <w:rPr>
          <w:rFonts w:asciiTheme="minorEastAsia" w:hAnsiTheme="minorEastAsia" w:eastAsiaTheme="minorEastAsia" w:cstheme="minorEastAsia"/>
          <w:b/>
          <w:color w:val="auto"/>
          <w:sz w:val="32"/>
          <w:szCs w:val="32"/>
          <w:highlight w:val="none"/>
        </w:rPr>
      </w:pPr>
      <w:r>
        <w:rPr>
          <w:rFonts w:ascii="宋体" w:hAnsi="宋体" w:eastAsia="宋体" w:cs="宋体"/>
          <w:b/>
          <w:color w:val="auto"/>
          <w:sz w:val="24"/>
          <w:szCs w:val="24"/>
          <w:highlight w:val="none"/>
        </w:rPr>
        <w:t>注：下文如有与本附表不一致处以本表为准。</w:t>
      </w:r>
    </w:p>
    <w:p w14:paraId="2BCC6A56">
      <w:pPr>
        <w:snapToGrid w:val="0"/>
        <w:spacing w:before="120" w:after="120" w:line="360" w:lineRule="auto"/>
        <w:jc w:val="center"/>
        <w:outlineLvl w:val="1"/>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一、总  则</w:t>
      </w:r>
    </w:p>
    <w:p w14:paraId="5C182874">
      <w:pPr>
        <w:adjustRightIn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1．适用范围</w:t>
      </w:r>
    </w:p>
    <w:p w14:paraId="25D4C15C">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本采购文件适用于该项目的招标、投标、开标、资格审查及信用信息查询、评标、定标、合同、验收等行为（法律法规另有规定的，从其规定）。</w:t>
      </w:r>
    </w:p>
    <w:p w14:paraId="6E0AAA61">
      <w:pPr>
        <w:adjustRightIn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2．定义</w:t>
      </w:r>
    </w:p>
    <w:p w14:paraId="2A3741C7">
      <w:pPr>
        <w:pStyle w:val="3"/>
        <w:spacing w:line="440" w:lineRule="exact"/>
        <w:rPr>
          <w:rFonts w:eastAsia="宋体" w:cs="宋体"/>
          <w:color w:val="auto"/>
          <w:szCs w:val="24"/>
          <w:highlight w:val="none"/>
        </w:rPr>
      </w:pPr>
      <w:r>
        <w:rPr>
          <w:rFonts w:eastAsia="宋体" w:cs="宋体"/>
          <w:color w:val="auto"/>
          <w:szCs w:val="24"/>
          <w:highlight w:val="none"/>
        </w:rPr>
        <w:t>2.1 “采购人”：详见前附表。</w:t>
      </w:r>
    </w:p>
    <w:p w14:paraId="24E3308F">
      <w:pPr>
        <w:pStyle w:val="3"/>
        <w:spacing w:line="440" w:lineRule="exact"/>
        <w:rPr>
          <w:rFonts w:eastAsia="宋体" w:cs="宋体"/>
          <w:color w:val="auto"/>
          <w:szCs w:val="24"/>
          <w:highlight w:val="none"/>
        </w:rPr>
      </w:pPr>
      <w:r>
        <w:rPr>
          <w:rFonts w:eastAsia="宋体" w:cs="宋体"/>
          <w:color w:val="auto"/>
          <w:szCs w:val="24"/>
          <w:highlight w:val="none"/>
        </w:rPr>
        <w:t>2.2 “采购代理机构”：详见前附表。</w:t>
      </w:r>
    </w:p>
    <w:p w14:paraId="3ACA9971">
      <w:pPr>
        <w:adjustRightInd w:val="0"/>
        <w:snapToGrid w:val="0"/>
        <w:spacing w:line="440" w:lineRule="exact"/>
        <w:ind w:firstLine="480" w:firstLineChars="200"/>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2.3 “监督管理部门”系指浦江县财政局政府采购监管科。</w:t>
      </w:r>
    </w:p>
    <w:p w14:paraId="096D666F">
      <w:pPr>
        <w:pStyle w:val="3"/>
        <w:spacing w:line="440" w:lineRule="exact"/>
        <w:rPr>
          <w:rFonts w:eastAsia="宋体" w:cs="宋体"/>
          <w:color w:val="auto"/>
          <w:szCs w:val="24"/>
          <w:highlight w:val="none"/>
        </w:rPr>
      </w:pPr>
      <w:r>
        <w:rPr>
          <w:rFonts w:eastAsia="宋体" w:cs="宋体"/>
          <w:color w:val="auto"/>
          <w:szCs w:val="24"/>
          <w:highlight w:val="none"/>
        </w:rPr>
        <w:t>2.4 “投标人”系指是指响应招标、参加投标竞争的法人、其他组织或者自然人。</w:t>
      </w:r>
    </w:p>
    <w:p w14:paraId="44FF76C2">
      <w:pPr>
        <w:pStyle w:val="3"/>
        <w:spacing w:line="440" w:lineRule="exact"/>
        <w:rPr>
          <w:rFonts w:eastAsia="宋体" w:cs="宋体"/>
          <w:color w:val="auto"/>
          <w:highlight w:val="none"/>
        </w:rPr>
      </w:pPr>
      <w:r>
        <w:rPr>
          <w:rFonts w:eastAsia="宋体" w:cs="宋体"/>
          <w:color w:val="auto"/>
          <w:szCs w:val="24"/>
          <w:highlight w:val="none"/>
        </w:rPr>
        <w:t>2.5 “负责人”系指法人企业的法定负责人，或</w:t>
      </w:r>
      <w:r>
        <w:rPr>
          <w:rFonts w:eastAsia="宋体" w:cs="宋体"/>
          <w:color w:val="auto"/>
          <w:highlight w:val="none"/>
        </w:rPr>
        <w:t>其他组织为法律、行政法规规定代表单位行使职权的主要负责人，或自然人本人。</w:t>
      </w:r>
    </w:p>
    <w:p w14:paraId="177BC06E">
      <w:pPr>
        <w:pStyle w:val="3"/>
        <w:spacing w:line="440" w:lineRule="exact"/>
        <w:rPr>
          <w:rFonts w:eastAsia="宋体" w:cs="宋体"/>
          <w:color w:val="auto"/>
          <w:highlight w:val="none"/>
        </w:rPr>
      </w:pPr>
      <w:r>
        <w:rPr>
          <w:rFonts w:eastAsia="宋体" w:cs="宋体"/>
          <w:color w:val="auto"/>
          <w:highlight w:val="none"/>
        </w:rPr>
        <w:t>2.6 “货物”系指投标人按投标文件或合同要求，须向采购人提供的一切材料、设备、机械、仪器、备件、配件、工具、手册及其他技术资料和文字材料。</w:t>
      </w:r>
    </w:p>
    <w:p w14:paraId="0191E82C">
      <w:pPr>
        <w:pStyle w:val="3"/>
        <w:spacing w:line="440" w:lineRule="exact"/>
        <w:rPr>
          <w:rFonts w:eastAsia="宋体" w:cs="宋体"/>
          <w:color w:val="auto"/>
          <w:highlight w:val="none"/>
        </w:rPr>
      </w:pPr>
      <w:r>
        <w:rPr>
          <w:rFonts w:eastAsia="宋体" w:cs="宋体"/>
          <w:color w:val="auto"/>
          <w:highlight w:val="none"/>
        </w:rPr>
        <w:t>2.7 “服务”系指投标人按投标文件或合同要求须承担的相关服务及义务。</w:t>
      </w:r>
    </w:p>
    <w:p w14:paraId="558499E7">
      <w:pPr>
        <w:pStyle w:val="3"/>
        <w:spacing w:line="440" w:lineRule="exact"/>
        <w:rPr>
          <w:rFonts w:eastAsia="宋体" w:cs="宋体"/>
          <w:color w:val="auto"/>
          <w:highlight w:val="none"/>
        </w:rPr>
      </w:pPr>
      <w:r>
        <w:rPr>
          <w:rFonts w:eastAsia="宋体" w:cs="宋体"/>
          <w:color w:val="auto"/>
          <w:highlight w:val="none"/>
        </w:rPr>
        <w:t>2.8 “投标文件”系指投标人提交的投标文件。</w:t>
      </w:r>
    </w:p>
    <w:p w14:paraId="5B111C6B">
      <w:pPr>
        <w:pStyle w:val="3"/>
        <w:spacing w:line="440" w:lineRule="exact"/>
        <w:rPr>
          <w:rFonts w:eastAsia="宋体" w:cs="宋体"/>
          <w:color w:val="auto"/>
          <w:highlight w:val="none"/>
        </w:rPr>
      </w:pPr>
      <w:r>
        <w:rPr>
          <w:rFonts w:eastAsia="宋体" w:cs="宋体"/>
          <w:color w:val="auto"/>
          <w:highlight w:val="none"/>
        </w:rPr>
        <w:t>2.9 “书面形式”是合同书、信件、电报、电传、传真等可以有形地表现所载内容的形式。以电子数据交换、电子邮件等方式能够有形地表现所载内容，并可以随时调取查用的数据电文，视为书面形式。</w:t>
      </w:r>
    </w:p>
    <w:p w14:paraId="3A7C1096">
      <w:pPr>
        <w:pStyle w:val="3"/>
        <w:spacing w:line="440" w:lineRule="exact"/>
        <w:rPr>
          <w:rFonts w:eastAsia="宋体" w:cs="宋体"/>
          <w:color w:val="auto"/>
          <w:highlight w:val="none"/>
        </w:rPr>
      </w:pPr>
      <w:r>
        <w:rPr>
          <w:rFonts w:eastAsia="宋体" w:cs="宋体"/>
          <w:color w:val="auto"/>
          <w:highlight w:val="none"/>
        </w:rPr>
        <w:t>2.10 “电子交易活动”是指以数据电文形式，依托政府采购项目电子交易平台（简称电子交易平台，详见前附表）进行的政府采购交易活动。</w:t>
      </w:r>
    </w:p>
    <w:p w14:paraId="44950A8E">
      <w:pPr>
        <w:pStyle w:val="3"/>
        <w:spacing w:line="440" w:lineRule="exact"/>
        <w:rPr>
          <w:rFonts w:eastAsia="宋体" w:cs="宋体"/>
          <w:color w:val="auto"/>
          <w:highlight w:val="none"/>
        </w:rPr>
      </w:pPr>
      <w:r>
        <w:rPr>
          <w:rFonts w:eastAsia="宋体" w:cs="宋体"/>
          <w:color w:val="auto"/>
          <w:highlight w:val="none"/>
        </w:rPr>
        <w:t>2.11 “电子签名”系指数据电文中以电子形式所含、所附用于识别签名人身份并表明签名人认可其中内容的数据；“公章”系指单位法定名称章。</w:t>
      </w:r>
    </w:p>
    <w:p w14:paraId="24C2CF0A">
      <w:pPr>
        <w:pStyle w:val="3"/>
        <w:spacing w:line="440" w:lineRule="exact"/>
        <w:rPr>
          <w:rFonts w:eastAsia="宋体" w:cs="宋体"/>
          <w:color w:val="auto"/>
          <w:highlight w:val="none"/>
        </w:rPr>
      </w:pPr>
      <w:r>
        <w:rPr>
          <w:rFonts w:eastAsia="宋体" w:cs="宋体"/>
          <w:color w:val="auto"/>
          <w:highlight w:val="none"/>
        </w:rPr>
        <w:t>2.12 “▲” 系指实质性要求条款，“★”系产品采购项目中重要技术参数，“</w:t>
      </w:r>
      <w:r>
        <w:rPr>
          <w:rFonts w:eastAsia="宋体" w:cs="宋体"/>
          <w:color w:val="auto"/>
          <w:highlight w:val="none"/>
        </w:rPr>
        <w:sym w:font="Wingdings" w:char="00FE"/>
      </w:r>
      <w:r>
        <w:rPr>
          <w:rFonts w:eastAsia="宋体" w:cs="宋体"/>
          <w:color w:val="auto"/>
          <w:highlight w:val="none"/>
        </w:rPr>
        <w:t>” 系指适用本项目的要求，“☐” 系指不适用本项目的要求。</w:t>
      </w:r>
    </w:p>
    <w:p w14:paraId="608D8A39">
      <w:pPr>
        <w:pStyle w:val="3"/>
        <w:spacing w:line="440" w:lineRule="exact"/>
        <w:rPr>
          <w:rFonts w:eastAsia="宋体" w:cs="宋体"/>
          <w:color w:val="auto"/>
          <w:highlight w:val="none"/>
        </w:rPr>
      </w:pPr>
      <w:bookmarkStart w:id="5" w:name="_Toc183786416"/>
      <w:r>
        <w:rPr>
          <w:rFonts w:eastAsia="宋体" w:cs="宋体"/>
          <w:color w:val="auto"/>
          <w:highlight w:val="none"/>
        </w:rPr>
        <w:t>2.13 官方指定网站公示的内容视为书面告知。</w:t>
      </w:r>
    </w:p>
    <w:p w14:paraId="30FC9383">
      <w:pPr>
        <w:adjustRightIn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3.相关说明</w:t>
      </w:r>
    </w:p>
    <w:p w14:paraId="64B3C428">
      <w:pPr>
        <w:pStyle w:val="3"/>
        <w:spacing w:line="440" w:lineRule="exact"/>
        <w:rPr>
          <w:rFonts w:eastAsia="宋体" w:cs="宋体"/>
          <w:color w:val="auto"/>
          <w:highlight w:val="none"/>
        </w:rPr>
      </w:pPr>
      <w:r>
        <w:rPr>
          <w:rFonts w:eastAsia="宋体" w:cs="宋体"/>
          <w:color w:val="auto"/>
          <w:highlight w:val="none"/>
        </w:rPr>
        <w:t>3.1 投标费用：投标人应承担其参加投标所涉及的一切费用，不管投标结果如何，采购人对这些费用不负任何责任。</w:t>
      </w:r>
    </w:p>
    <w:p w14:paraId="5F791BE1">
      <w:pPr>
        <w:pStyle w:val="3"/>
        <w:spacing w:line="440" w:lineRule="exact"/>
        <w:rPr>
          <w:rFonts w:eastAsia="宋体" w:cs="宋体"/>
          <w:color w:val="auto"/>
          <w:highlight w:val="none"/>
        </w:rPr>
      </w:pPr>
      <w:r>
        <w:rPr>
          <w:rFonts w:eastAsia="宋体" w:cs="宋体"/>
          <w:color w:val="auto"/>
          <w:highlight w:val="none"/>
        </w:rPr>
        <w:t>3.2 投标人应仔细阅读采购文件的所有内容，按照采购文件的要求提交投标文件。投标文件应对采购文件的要求作出实质性响应，并对所提供的全部资料的真实性承担法律责任。</w:t>
      </w:r>
    </w:p>
    <w:p w14:paraId="442F6F6A">
      <w:pPr>
        <w:pStyle w:val="3"/>
        <w:spacing w:line="440" w:lineRule="exact"/>
        <w:rPr>
          <w:rFonts w:eastAsia="宋体" w:cs="宋体"/>
          <w:color w:val="auto"/>
          <w:highlight w:val="none"/>
        </w:rPr>
      </w:pPr>
      <w:r>
        <w:rPr>
          <w:rFonts w:eastAsia="宋体" w:cs="宋体"/>
          <w:color w:val="auto"/>
          <w:highlight w:val="none"/>
        </w:rPr>
        <w:t>3.3采购项目需要公开的有关信息，包括招标公告、招标文件澄清或更正公告、中标结果公告等通知，采购代理机构将通过指定信息发布媒体公开。</w:t>
      </w:r>
    </w:p>
    <w:p w14:paraId="6AD205D4">
      <w:pPr>
        <w:pStyle w:val="3"/>
        <w:spacing w:line="440" w:lineRule="exact"/>
        <w:rPr>
          <w:rFonts w:eastAsia="宋体" w:cs="宋体"/>
          <w:color w:val="auto"/>
          <w:highlight w:val="none"/>
        </w:rPr>
      </w:pPr>
      <w:r>
        <w:rPr>
          <w:rFonts w:eastAsia="宋体" w:cs="宋体"/>
          <w:color w:val="auto"/>
          <w:highlight w:val="none"/>
        </w:rPr>
        <w:t>3.4投标人在参与本项目电子交易活动期间，请及时关注指定信息发布媒体的相关信息，投标人因没有及时关注而未能如期获取相关信息，是投标人的风险，采购人或者采购代理机构对此不承担任何责任。</w:t>
      </w:r>
    </w:p>
    <w:p w14:paraId="16368B6E">
      <w:pPr>
        <w:pStyle w:val="3"/>
        <w:spacing w:line="440" w:lineRule="exact"/>
        <w:rPr>
          <w:rFonts w:eastAsia="宋体" w:cs="宋体"/>
          <w:color w:val="auto"/>
          <w:highlight w:val="none"/>
        </w:rPr>
      </w:pPr>
      <w:r>
        <w:rPr>
          <w:rFonts w:eastAsia="宋体" w:cs="宋体"/>
          <w:color w:val="auto"/>
          <w:highlight w:val="none"/>
        </w:rPr>
        <w:t>3.5投标人投标所使用的资格、信誉、荣誉、业绩与企业认证必须为本法人所拥有。投标人投标所使用的采购项目实施人员必须为本法人员工。有业务承续关系的母子控股公司等可视作为统一法人主体。</w:t>
      </w:r>
    </w:p>
    <w:p w14:paraId="458FC6B7">
      <w:pPr>
        <w:pStyle w:val="3"/>
        <w:spacing w:line="440" w:lineRule="exact"/>
        <w:rPr>
          <w:rFonts w:eastAsia="宋体" w:cs="宋体"/>
          <w:color w:val="auto"/>
          <w:highlight w:val="none"/>
        </w:rPr>
      </w:pPr>
      <w:r>
        <w:rPr>
          <w:rFonts w:eastAsia="宋体" w:cs="宋体"/>
          <w:color w:val="auto"/>
          <w:highlight w:val="none"/>
        </w:rPr>
        <w:t>3.6投标人在投标活动中提供任何虚假材料，其投标无效，并报监管部门查处；中标后发现的，根据《浙江省政府采购投标人注册及诚信管理暂行办法的通知》规定进行处罚；还将依照《中华人民共和国消费者权益保护法》</w:t>
      </w:r>
      <w:r>
        <w:rPr>
          <w:rFonts w:hint="eastAsia" w:eastAsia="宋体" w:cs="宋体"/>
          <w:color w:val="auto"/>
          <w:highlight w:val="none"/>
          <w:lang w:eastAsia="zh-CN"/>
        </w:rPr>
        <w:t>第五十五条</w:t>
      </w:r>
      <w:r>
        <w:rPr>
          <w:rFonts w:eastAsia="宋体" w:cs="宋体"/>
          <w:color w:val="auto"/>
          <w:highlight w:val="none"/>
        </w:rPr>
        <w:t>之规定由中标人双倍赔偿采购人，且民事赔偿并不免除违法投标人的行政与刑事责任。</w:t>
      </w:r>
    </w:p>
    <w:p w14:paraId="37C72675">
      <w:pPr>
        <w:pStyle w:val="3"/>
        <w:spacing w:line="440" w:lineRule="exact"/>
        <w:ind w:firstLine="0" w:firstLineChars="0"/>
        <w:rPr>
          <w:rFonts w:eastAsia="宋体" w:cs="宋体"/>
          <w:b/>
          <w:bCs/>
          <w:color w:val="auto"/>
          <w:highlight w:val="none"/>
        </w:rPr>
      </w:pPr>
      <w:r>
        <w:rPr>
          <w:rFonts w:eastAsia="宋体" w:cs="宋体"/>
          <w:b/>
          <w:bCs/>
          <w:color w:val="auto"/>
          <w:szCs w:val="24"/>
          <w:highlight w:val="none"/>
        </w:rPr>
        <w:t>4．</w:t>
      </w:r>
      <w:r>
        <w:rPr>
          <w:rFonts w:eastAsia="宋体" w:cs="宋体"/>
          <w:b/>
          <w:bCs/>
          <w:color w:val="auto"/>
          <w:highlight w:val="none"/>
        </w:rPr>
        <w:t>对采购人员的限制</w:t>
      </w:r>
    </w:p>
    <w:p w14:paraId="6E1B3762">
      <w:pPr>
        <w:pStyle w:val="3"/>
        <w:spacing w:line="440" w:lineRule="exact"/>
        <w:rPr>
          <w:rFonts w:eastAsia="宋体" w:cs="宋体"/>
          <w:color w:val="auto"/>
          <w:highlight w:val="none"/>
        </w:rPr>
      </w:pPr>
      <w:r>
        <w:rPr>
          <w:rFonts w:eastAsia="宋体" w:cs="宋体"/>
          <w:color w:val="auto"/>
          <w:highlight w:val="none"/>
        </w:rPr>
        <w:t>4.1在政府采购活动中，采购人员及相关人员与投标人有下列利害关系之一的，应当回避：</w:t>
      </w:r>
    </w:p>
    <w:p w14:paraId="2528A57C">
      <w:pPr>
        <w:pStyle w:val="3"/>
        <w:spacing w:line="440" w:lineRule="exact"/>
        <w:rPr>
          <w:rFonts w:eastAsia="宋体" w:cs="宋体"/>
          <w:color w:val="auto"/>
          <w:highlight w:val="none"/>
        </w:rPr>
      </w:pPr>
      <w:r>
        <w:rPr>
          <w:rFonts w:eastAsia="宋体" w:cs="宋体"/>
          <w:color w:val="auto"/>
          <w:highlight w:val="none"/>
        </w:rPr>
        <w:t>4.1.1参加采购活动前3年内与投标人存在劳动关系；</w:t>
      </w:r>
    </w:p>
    <w:p w14:paraId="23615BB1">
      <w:pPr>
        <w:pStyle w:val="3"/>
        <w:spacing w:line="440" w:lineRule="exact"/>
        <w:rPr>
          <w:rFonts w:eastAsia="宋体" w:cs="宋体"/>
          <w:color w:val="auto"/>
          <w:highlight w:val="none"/>
        </w:rPr>
      </w:pPr>
      <w:r>
        <w:rPr>
          <w:rFonts w:eastAsia="宋体" w:cs="宋体"/>
          <w:color w:val="auto"/>
          <w:highlight w:val="none"/>
        </w:rPr>
        <w:t>4.1.2参加采购活动前3年内担任投标人的董事、监事；</w:t>
      </w:r>
    </w:p>
    <w:p w14:paraId="69076060">
      <w:pPr>
        <w:pStyle w:val="3"/>
        <w:spacing w:line="440" w:lineRule="exact"/>
        <w:rPr>
          <w:rFonts w:eastAsia="宋体" w:cs="宋体"/>
          <w:color w:val="auto"/>
          <w:highlight w:val="none"/>
        </w:rPr>
      </w:pPr>
      <w:r>
        <w:rPr>
          <w:rFonts w:eastAsia="宋体" w:cs="宋体"/>
          <w:color w:val="auto"/>
          <w:highlight w:val="none"/>
        </w:rPr>
        <w:t>4.1.3参加采购活动前3年内是投标人的控股股东或者实际控制人；</w:t>
      </w:r>
    </w:p>
    <w:p w14:paraId="5B09433A">
      <w:pPr>
        <w:pStyle w:val="3"/>
        <w:spacing w:line="440" w:lineRule="exact"/>
        <w:rPr>
          <w:rFonts w:eastAsia="宋体" w:cs="宋体"/>
          <w:color w:val="auto"/>
          <w:highlight w:val="none"/>
        </w:rPr>
      </w:pPr>
      <w:r>
        <w:rPr>
          <w:rFonts w:eastAsia="宋体" w:cs="宋体"/>
          <w:color w:val="auto"/>
          <w:highlight w:val="none"/>
        </w:rPr>
        <w:t>4.1.4与投标人的法定代表人或者负责人有夫妻、直系血亲、三代以内旁系血亲或者近姻亲关系；</w:t>
      </w:r>
    </w:p>
    <w:p w14:paraId="0D64E7AF">
      <w:pPr>
        <w:pStyle w:val="3"/>
        <w:spacing w:line="440" w:lineRule="exact"/>
        <w:rPr>
          <w:rFonts w:eastAsia="宋体" w:cs="宋体"/>
          <w:color w:val="auto"/>
          <w:highlight w:val="none"/>
        </w:rPr>
      </w:pPr>
      <w:r>
        <w:rPr>
          <w:rFonts w:eastAsia="宋体" w:cs="宋体"/>
          <w:color w:val="auto"/>
          <w:highlight w:val="none"/>
        </w:rPr>
        <w:t>4.1.5与投标人有其他可能影响政府采购活动公平、公正进行的关系。</w:t>
      </w:r>
    </w:p>
    <w:p w14:paraId="7318CF5B">
      <w:pPr>
        <w:pStyle w:val="3"/>
        <w:spacing w:line="440" w:lineRule="exact"/>
        <w:rPr>
          <w:rFonts w:eastAsia="宋体" w:cs="宋体"/>
          <w:color w:val="auto"/>
          <w:highlight w:val="none"/>
        </w:rPr>
      </w:pPr>
      <w:r>
        <w:rPr>
          <w:rFonts w:eastAsia="宋体" w:cs="宋体"/>
          <w:color w:val="auto"/>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19D7CB66">
      <w:pPr>
        <w:pStyle w:val="3"/>
        <w:spacing w:line="440" w:lineRule="exact"/>
        <w:ind w:firstLine="0" w:firstLineChars="0"/>
        <w:rPr>
          <w:rFonts w:eastAsia="宋体" w:cs="宋体"/>
          <w:b/>
          <w:bCs/>
          <w:color w:val="auto"/>
          <w:highlight w:val="none"/>
        </w:rPr>
      </w:pPr>
      <w:r>
        <w:rPr>
          <w:rFonts w:eastAsia="宋体" w:cs="宋体"/>
          <w:b/>
          <w:bCs/>
          <w:color w:val="auto"/>
          <w:szCs w:val="24"/>
          <w:highlight w:val="none"/>
        </w:rPr>
        <w:t>5．</w:t>
      </w:r>
      <w:r>
        <w:rPr>
          <w:rFonts w:eastAsia="宋体" w:cs="宋体"/>
          <w:b/>
          <w:bCs/>
          <w:color w:val="auto"/>
          <w:highlight w:val="none"/>
        </w:rPr>
        <w:t>采购项目需要落实的政府采购政策</w:t>
      </w:r>
    </w:p>
    <w:p w14:paraId="06A2CCEB">
      <w:pPr>
        <w:pStyle w:val="3"/>
        <w:spacing w:line="440" w:lineRule="exact"/>
        <w:rPr>
          <w:rFonts w:eastAsia="宋体" w:cs="宋体"/>
          <w:color w:val="auto"/>
          <w:highlight w:val="none"/>
        </w:rPr>
      </w:pPr>
      <w:r>
        <w:rPr>
          <w:rFonts w:eastAsia="宋体" w:cs="宋体"/>
          <w:color w:val="auto"/>
          <w:highlight w:val="none"/>
        </w:rPr>
        <w:t>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未明确视同不得采购进口产品。</w:t>
      </w:r>
    </w:p>
    <w:p w14:paraId="2E9C0413">
      <w:pPr>
        <w:pStyle w:val="3"/>
        <w:spacing w:line="440" w:lineRule="exact"/>
        <w:ind w:firstLine="482"/>
        <w:rPr>
          <w:rFonts w:eastAsia="宋体" w:cs="宋体"/>
          <w:b/>
          <w:bCs/>
          <w:color w:val="auto"/>
          <w:highlight w:val="none"/>
        </w:rPr>
      </w:pPr>
      <w:r>
        <w:rPr>
          <w:rFonts w:eastAsia="宋体" w:cs="宋体"/>
          <w:b/>
          <w:bCs/>
          <w:color w:val="auto"/>
          <w:highlight w:val="none"/>
        </w:rPr>
        <w:t>5.2 支持绿色发展</w:t>
      </w:r>
    </w:p>
    <w:p w14:paraId="3255294A">
      <w:pPr>
        <w:pStyle w:val="3"/>
        <w:spacing w:line="440" w:lineRule="exact"/>
        <w:rPr>
          <w:rFonts w:eastAsia="宋体" w:cs="宋体"/>
          <w:color w:val="auto"/>
          <w:highlight w:val="none"/>
        </w:rPr>
      </w:pPr>
      <w:r>
        <w:rPr>
          <w:rFonts w:eastAsia="宋体" w:cs="宋体"/>
          <w:color w:val="auto"/>
          <w:highlight w:val="none"/>
        </w:rPr>
        <w:t>5.2.1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81DD44D">
      <w:pPr>
        <w:pStyle w:val="3"/>
        <w:spacing w:line="440" w:lineRule="exact"/>
        <w:rPr>
          <w:rFonts w:eastAsia="宋体" w:cs="宋体"/>
          <w:color w:val="auto"/>
          <w:highlight w:val="none"/>
        </w:rPr>
      </w:pPr>
      <w:r>
        <w:rPr>
          <w:rFonts w:eastAsia="宋体" w:cs="宋体"/>
          <w:color w:val="auto"/>
          <w:highlight w:val="none"/>
        </w:rPr>
        <w:t>▲采购人拟采购的产品属于政府强制采购的节能产品品目清单范围的，供应商未按采购文件要求提供国家确定的认证机构出具的、处于有效期之内的节能产品认证证书的，投标无效。</w:t>
      </w:r>
    </w:p>
    <w:p w14:paraId="7B664E55">
      <w:pPr>
        <w:pStyle w:val="3"/>
        <w:spacing w:line="440" w:lineRule="exact"/>
        <w:rPr>
          <w:rFonts w:eastAsia="宋体" w:cs="宋体"/>
          <w:color w:val="auto"/>
          <w:highlight w:val="none"/>
        </w:rPr>
      </w:pPr>
      <w:r>
        <w:rPr>
          <w:rFonts w:eastAsia="宋体" w:cs="宋体"/>
          <w:color w:val="auto"/>
          <w:highlight w:val="none"/>
        </w:rPr>
        <w:t>5.2.2修缮、装修类项目采购建材的，采购人应将绿色建筑和绿色建材性能、指标等作为实质性条件纳入采购文件和合同。</w:t>
      </w:r>
    </w:p>
    <w:p w14:paraId="1ED81435">
      <w:pPr>
        <w:pStyle w:val="3"/>
        <w:spacing w:line="440" w:lineRule="exact"/>
        <w:rPr>
          <w:rFonts w:eastAsia="宋体" w:cs="宋体"/>
          <w:color w:val="auto"/>
          <w:highlight w:val="none"/>
        </w:rPr>
      </w:pPr>
      <w:r>
        <w:rPr>
          <w:rFonts w:eastAsia="宋体" w:cs="宋体"/>
          <w:color w:val="auto"/>
          <w:highlight w:val="none"/>
        </w:rPr>
        <w:t>5.2.3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28BFC82">
      <w:pPr>
        <w:pStyle w:val="3"/>
        <w:spacing w:line="440" w:lineRule="exact"/>
        <w:ind w:firstLine="482"/>
        <w:rPr>
          <w:rFonts w:eastAsia="宋体" w:cs="宋体"/>
          <w:b/>
          <w:bCs/>
          <w:color w:val="auto"/>
          <w:highlight w:val="none"/>
        </w:rPr>
      </w:pPr>
      <w:r>
        <w:rPr>
          <w:rFonts w:eastAsia="宋体" w:cs="宋体"/>
          <w:b/>
          <w:bCs/>
          <w:color w:val="auto"/>
          <w:highlight w:val="none"/>
        </w:rPr>
        <w:t>5.3支持中小企业发展</w:t>
      </w:r>
    </w:p>
    <w:p w14:paraId="2F62FD77">
      <w:pPr>
        <w:pStyle w:val="3"/>
        <w:spacing w:line="440" w:lineRule="exact"/>
        <w:rPr>
          <w:rFonts w:eastAsia="宋体" w:cs="宋体"/>
          <w:color w:val="auto"/>
          <w:highlight w:val="none"/>
        </w:rPr>
      </w:pPr>
      <w:r>
        <w:rPr>
          <w:rFonts w:eastAsia="宋体" w:cs="宋体"/>
          <w:color w:val="auto"/>
          <w:highlight w:val="none"/>
        </w:rPr>
        <w:t>5.3.1中小企业，是指在中华人民共和国境内依法设立，依据国务院批准的中小企业划分标准确定的中型企业、小型企业和微型企业，但与大企业的负责人为同一人，或者与大企业存在直接控股、管理关系的除外。</w:t>
      </w:r>
    </w:p>
    <w:p w14:paraId="03A289D6">
      <w:pPr>
        <w:pStyle w:val="3"/>
        <w:spacing w:line="440" w:lineRule="exact"/>
        <w:rPr>
          <w:rFonts w:eastAsia="宋体" w:cs="宋体"/>
          <w:color w:val="auto"/>
          <w:highlight w:val="none"/>
        </w:rPr>
      </w:pPr>
      <w:r>
        <w:rPr>
          <w:rFonts w:eastAsia="宋体" w:cs="宋体"/>
          <w:color w:val="auto"/>
          <w:highlight w:val="none"/>
        </w:rPr>
        <w:t>符合中小企业划分标准的个体工商户，在政府采购活动中视同中小企业。</w:t>
      </w:r>
    </w:p>
    <w:p w14:paraId="0D8E94C9">
      <w:pPr>
        <w:pStyle w:val="3"/>
        <w:spacing w:line="440" w:lineRule="exact"/>
        <w:rPr>
          <w:rFonts w:eastAsia="宋体" w:cs="宋体"/>
          <w:color w:val="auto"/>
          <w:highlight w:val="none"/>
        </w:rPr>
      </w:pPr>
      <w:r>
        <w:rPr>
          <w:rFonts w:eastAsia="宋体" w:cs="宋体"/>
          <w:color w:val="auto"/>
          <w:highlight w:val="none"/>
        </w:rPr>
        <w:t>5.3.2在政府采购活动中，供应商提供的货物、工程或者服务符合下列情形的，享受中小企业扶持政策：</w:t>
      </w:r>
    </w:p>
    <w:p w14:paraId="31EEA5C8">
      <w:pPr>
        <w:pStyle w:val="3"/>
        <w:spacing w:line="440" w:lineRule="exact"/>
        <w:rPr>
          <w:rFonts w:eastAsia="宋体" w:cs="宋体"/>
          <w:color w:val="auto"/>
          <w:highlight w:val="none"/>
        </w:rPr>
      </w:pPr>
      <w:r>
        <w:rPr>
          <w:rFonts w:eastAsia="宋体" w:cs="宋体"/>
          <w:color w:val="auto"/>
          <w:highlight w:val="none"/>
        </w:rPr>
        <w:t>5.3.2.1在货物采购项目中，货物由中小企业制造，即货物由中小企业生产且使用该中小企业商号或者注册商标；</w:t>
      </w:r>
    </w:p>
    <w:p w14:paraId="2B5ABD6D">
      <w:pPr>
        <w:pStyle w:val="3"/>
        <w:spacing w:line="440" w:lineRule="exact"/>
        <w:rPr>
          <w:rFonts w:eastAsia="宋体" w:cs="宋体"/>
          <w:color w:val="auto"/>
          <w:highlight w:val="none"/>
        </w:rPr>
      </w:pPr>
      <w:r>
        <w:rPr>
          <w:rFonts w:eastAsia="宋体" w:cs="宋体"/>
          <w:color w:val="auto"/>
          <w:highlight w:val="none"/>
        </w:rPr>
        <w:t>5.3.2.2在工程采购项目中，工程由中小企业承建，即工程施工单位为中小企业；</w:t>
      </w:r>
    </w:p>
    <w:p w14:paraId="5321DB48">
      <w:pPr>
        <w:pStyle w:val="3"/>
        <w:spacing w:line="440" w:lineRule="exact"/>
        <w:rPr>
          <w:rFonts w:eastAsia="宋体" w:cs="宋体"/>
          <w:color w:val="auto"/>
          <w:highlight w:val="none"/>
        </w:rPr>
      </w:pPr>
      <w:r>
        <w:rPr>
          <w:rFonts w:eastAsia="宋体" w:cs="宋体"/>
          <w:color w:val="auto"/>
          <w:highlight w:val="none"/>
        </w:rPr>
        <w:t>5.3.2.3在服务采购项目中，服务由中小企业承接，即提供服务的人员为中小企业依照《中华人民共和国劳动合同法》订立劳动合同的从业人员。</w:t>
      </w:r>
    </w:p>
    <w:p w14:paraId="54E64D72">
      <w:pPr>
        <w:pStyle w:val="3"/>
        <w:spacing w:line="440" w:lineRule="exact"/>
        <w:rPr>
          <w:rFonts w:eastAsia="宋体" w:cs="宋体"/>
          <w:color w:val="auto"/>
          <w:highlight w:val="none"/>
        </w:rPr>
      </w:pPr>
      <w:r>
        <w:rPr>
          <w:rFonts w:eastAsia="宋体" w:cs="宋体"/>
          <w:color w:val="auto"/>
          <w:highlight w:val="none"/>
        </w:rPr>
        <w:t>在货物采购项目中，供应商提供的货物既有中小企业制造货物，也有大型企业制造货物的，不享受中小企业扶持政策。</w:t>
      </w:r>
    </w:p>
    <w:p w14:paraId="2235E4A9">
      <w:pPr>
        <w:pStyle w:val="3"/>
        <w:spacing w:line="440" w:lineRule="exact"/>
        <w:rPr>
          <w:rFonts w:eastAsia="宋体" w:cs="宋体"/>
          <w:color w:val="auto"/>
          <w:highlight w:val="none"/>
        </w:rPr>
      </w:pPr>
      <w:r>
        <w:rPr>
          <w:rFonts w:eastAsia="宋体" w:cs="宋体"/>
          <w:color w:val="auto"/>
          <w:highlight w:val="none"/>
        </w:rPr>
        <w:sym w:font="Wingdings 2" w:char="00A3"/>
      </w:r>
      <w:r>
        <w:rPr>
          <w:rFonts w:eastAsia="宋体" w:cs="宋体"/>
          <w:color w:val="auto"/>
          <w:highlight w:val="none"/>
        </w:rPr>
        <w:t>以联合体形式参加政府采购活动，联合体各方均为中小企业的，联合体视同中小企业。其中，联合体各方均为小微企业的，联合体视同小微企业。</w:t>
      </w:r>
    </w:p>
    <w:p w14:paraId="0891DD7F">
      <w:pPr>
        <w:pStyle w:val="3"/>
        <w:spacing w:line="440" w:lineRule="exact"/>
        <w:rPr>
          <w:rFonts w:eastAsia="宋体" w:cs="宋体"/>
          <w:color w:val="auto"/>
          <w:highlight w:val="none"/>
        </w:rPr>
      </w:pPr>
      <w:r>
        <w:rPr>
          <w:rFonts w:eastAsia="宋体" w:cs="宋体"/>
          <w:color w:val="auto"/>
          <w:highlight w:val="none"/>
        </w:rPr>
        <w:t>5.3.3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5EEB0A28">
      <w:pPr>
        <w:pStyle w:val="3"/>
        <w:spacing w:line="440" w:lineRule="exact"/>
        <w:rPr>
          <w:rFonts w:eastAsia="宋体" w:cs="宋体"/>
          <w:color w:val="auto"/>
          <w:highlight w:val="none"/>
        </w:rPr>
      </w:pPr>
      <w:r>
        <w:rPr>
          <w:rFonts w:eastAsia="宋体" w:cs="宋体"/>
          <w:color w:val="auto"/>
          <w:highlight w:val="none"/>
        </w:rPr>
        <w:t>5.3.4符合《关于促进残疾人就业政府采购政策的通知》（财库〔2017〕141号）规定的条件并提供《残疾人福利性单位声明函》（格式附后）的残疾人福利性单位视同小型、微型企业；</w:t>
      </w:r>
    </w:p>
    <w:p w14:paraId="79F18322">
      <w:pPr>
        <w:pStyle w:val="3"/>
        <w:spacing w:line="440" w:lineRule="exact"/>
        <w:rPr>
          <w:rFonts w:eastAsia="宋体" w:cs="宋体"/>
          <w:color w:val="auto"/>
          <w:highlight w:val="none"/>
        </w:rPr>
      </w:pPr>
      <w:r>
        <w:rPr>
          <w:rFonts w:eastAsia="宋体" w:cs="宋体"/>
          <w:color w:val="auto"/>
          <w:highlight w:val="none"/>
        </w:rPr>
        <w:t>5.3.5符合《关于政府采购支持监狱企业发展有关问题的通知》（财库</w:t>
      </w:r>
      <w:r>
        <w:rPr>
          <w:rFonts w:hint="eastAsia" w:eastAsia="宋体" w:cs="宋体"/>
          <w:color w:val="auto"/>
          <w:highlight w:val="none"/>
          <w:lang w:eastAsia="zh-CN"/>
        </w:rPr>
        <w:t>〔2014〕68号</w:t>
      </w:r>
      <w:r>
        <w:rPr>
          <w:rFonts w:eastAsia="宋体" w:cs="宋体"/>
          <w:color w:val="auto"/>
          <w:highlight w:val="none"/>
        </w:rPr>
        <w:t>）规定的监狱企业并提供由省级以上监狱管理局、戒毒管理局（含新疆生产建设兵团）出具的属于监狱企业证明文件的，视同为小型、微型企业。</w:t>
      </w:r>
    </w:p>
    <w:p w14:paraId="4140B10D">
      <w:pPr>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highlight w:val="none"/>
        </w:rPr>
        <w:t>5.3.6</w:t>
      </w:r>
      <w:r>
        <w:rPr>
          <w:rFonts w:ascii="宋体" w:hAnsi="宋体" w:eastAsia="宋体" w:cs="宋体"/>
          <w:color w:val="auto"/>
          <w:sz w:val="24"/>
          <w:szCs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9D529BE">
      <w:pPr>
        <w:pStyle w:val="3"/>
        <w:spacing w:line="440" w:lineRule="exact"/>
        <w:rPr>
          <w:rFonts w:eastAsia="宋体" w:cs="宋体"/>
          <w:color w:val="auto"/>
          <w:highlight w:val="none"/>
        </w:rPr>
      </w:pPr>
      <w:r>
        <w:rPr>
          <w:rFonts w:eastAsia="宋体" w:cs="宋体"/>
          <w:color w:val="auto"/>
          <w:highlight w:val="none"/>
        </w:rPr>
        <w:t>5.3.7中小企业享受扶持政策获得政府采购合同的，小微企业不得将合同分包给大中型企业，中型企业不得将合同分包给大型企业。</w:t>
      </w:r>
    </w:p>
    <w:p w14:paraId="31AF5F0D">
      <w:pPr>
        <w:pStyle w:val="3"/>
        <w:spacing w:line="440" w:lineRule="exact"/>
        <w:ind w:firstLine="482"/>
        <w:rPr>
          <w:rFonts w:eastAsia="宋体" w:cs="宋体"/>
          <w:b/>
          <w:bCs/>
          <w:color w:val="auto"/>
          <w:highlight w:val="none"/>
        </w:rPr>
      </w:pPr>
      <w:r>
        <w:rPr>
          <w:rFonts w:eastAsia="宋体" w:cs="宋体"/>
          <w:b/>
          <w:bCs/>
          <w:color w:val="auto"/>
          <w:highlight w:val="none"/>
        </w:rPr>
        <w:t>5.4支持创新发展</w:t>
      </w:r>
    </w:p>
    <w:p w14:paraId="2FDE4752">
      <w:pPr>
        <w:pStyle w:val="3"/>
        <w:spacing w:line="440" w:lineRule="exact"/>
        <w:rPr>
          <w:rFonts w:eastAsia="宋体" w:cs="宋体"/>
          <w:color w:val="auto"/>
          <w:highlight w:val="none"/>
        </w:rPr>
      </w:pPr>
      <w:r>
        <w:rPr>
          <w:rFonts w:eastAsia="宋体" w:cs="宋体"/>
          <w:color w:val="auto"/>
          <w:highlight w:val="none"/>
        </w:rPr>
        <w:t>5.4.1 采购人优先采购被认定为首台套产品和“制造精品”的自主创新产品。</w:t>
      </w:r>
    </w:p>
    <w:p w14:paraId="7D62E735">
      <w:pPr>
        <w:pStyle w:val="3"/>
        <w:spacing w:line="440" w:lineRule="exact"/>
        <w:rPr>
          <w:rFonts w:eastAsia="宋体" w:cs="宋体"/>
          <w:color w:val="auto"/>
          <w:highlight w:val="none"/>
        </w:rPr>
      </w:pPr>
      <w:r>
        <w:rPr>
          <w:rFonts w:eastAsia="宋体" w:cs="宋体"/>
          <w:color w:val="auto"/>
          <w:highlight w:val="none"/>
        </w:rPr>
        <w:t>5.4.2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64CD4F6">
      <w:pPr>
        <w:pStyle w:val="3"/>
        <w:spacing w:line="440" w:lineRule="exact"/>
        <w:rPr>
          <w:rFonts w:eastAsia="宋体" w:cs="宋体"/>
          <w:color w:val="auto"/>
          <w:highlight w:val="none"/>
        </w:rPr>
      </w:pPr>
      <w:r>
        <w:rPr>
          <w:rFonts w:eastAsia="宋体" w:cs="宋体"/>
          <w:color w:val="auto"/>
          <w:highlight w:val="none"/>
        </w:rPr>
        <w:t>5.5中小企业信用融资：为支持和促进中小企业发展，进一步发挥政府采购政策功能， 省财政厅、浙江银监局、省金融办制定了《浙江省政府采购支持中小企业信用融资试点办法》浙财采监</w:t>
      </w:r>
      <w:r>
        <w:rPr>
          <w:rFonts w:hint="eastAsia" w:eastAsia="宋体" w:cs="宋体"/>
          <w:color w:val="auto"/>
          <w:highlight w:val="none"/>
          <w:lang w:eastAsia="zh-CN"/>
        </w:rPr>
        <w:t>〔2012〕13号</w:t>
      </w:r>
      <w:r>
        <w:rPr>
          <w:rFonts w:eastAsia="宋体" w:cs="宋体"/>
          <w:color w:val="auto"/>
          <w:highlight w:val="none"/>
        </w:rPr>
        <w:t>)，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 https://zfcg.czt.zj.gov.cn/)的中小企业信用融资栏目了解相关信息。供应商可以通过浙江政府采购网(https://zfcg.czt.zj.gov.cn/)首页的“浙江政采贷”模块进入申请，还可以通过政府采购云平台(www.zcygov.cn)首页的“金融服务”模块进入申请。</w:t>
      </w:r>
    </w:p>
    <w:p w14:paraId="5C92D32F">
      <w:pPr>
        <w:spacing w:line="440" w:lineRule="exact"/>
        <w:rPr>
          <w:rFonts w:ascii="宋体" w:hAnsi="宋体" w:eastAsia="宋体" w:cs="宋体"/>
          <w:b/>
          <w:bCs/>
          <w:color w:val="auto"/>
          <w:sz w:val="24"/>
          <w:szCs w:val="24"/>
          <w:highlight w:val="none"/>
        </w:rPr>
      </w:pPr>
      <w:r>
        <w:rPr>
          <w:rFonts w:ascii="宋体" w:hAnsi="宋体" w:eastAsia="宋体" w:cs="宋体"/>
          <w:color w:val="auto"/>
          <w:sz w:val="24"/>
          <w:highlight w:val="none"/>
        </w:rPr>
        <w:t xml:space="preserve">   </w:t>
      </w:r>
      <w:r>
        <w:rPr>
          <w:rFonts w:ascii="宋体" w:hAnsi="宋体" w:eastAsia="宋体" w:cs="宋体"/>
          <w:b/>
          <w:bCs/>
          <w:color w:val="auto"/>
          <w:sz w:val="24"/>
          <w:szCs w:val="24"/>
          <w:highlight w:val="none"/>
        </w:rPr>
        <w:t>6.询问、质疑、投诉</w:t>
      </w:r>
    </w:p>
    <w:p w14:paraId="07BC888C">
      <w:pPr>
        <w:spacing w:line="440" w:lineRule="exact"/>
        <w:ind w:firstLine="482" w:firstLineChars="200"/>
        <w:rPr>
          <w:rFonts w:ascii="宋体" w:hAnsi="宋体" w:eastAsia="宋体" w:cs="宋体"/>
          <w:b/>
          <w:bCs/>
          <w:color w:val="auto"/>
          <w:sz w:val="24"/>
          <w:szCs w:val="24"/>
          <w:highlight w:val="none"/>
          <w:lang w:val="zh-CN"/>
        </w:rPr>
      </w:pPr>
      <w:r>
        <w:rPr>
          <w:rFonts w:ascii="宋体" w:hAnsi="宋体" w:eastAsia="宋体" w:cs="宋体"/>
          <w:b/>
          <w:bCs/>
          <w:color w:val="auto"/>
          <w:sz w:val="24"/>
          <w:szCs w:val="24"/>
          <w:highlight w:val="none"/>
        </w:rPr>
        <w:t>6</w:t>
      </w:r>
      <w:r>
        <w:rPr>
          <w:rFonts w:ascii="宋体" w:hAnsi="宋体" w:eastAsia="宋体" w:cs="宋体"/>
          <w:b/>
          <w:bCs/>
          <w:color w:val="auto"/>
          <w:sz w:val="24"/>
          <w:szCs w:val="24"/>
          <w:highlight w:val="none"/>
          <w:lang w:val="zh-CN"/>
        </w:rPr>
        <w:t>.1</w:t>
      </w:r>
      <w:r>
        <w:rPr>
          <w:rFonts w:ascii="宋体" w:hAnsi="宋体" w:eastAsia="宋体" w:cs="宋体"/>
          <w:b/>
          <w:bCs/>
          <w:color w:val="auto"/>
          <w:sz w:val="24"/>
          <w:szCs w:val="24"/>
          <w:highlight w:val="none"/>
        </w:rPr>
        <w:t xml:space="preserve"> </w:t>
      </w:r>
      <w:r>
        <w:rPr>
          <w:rFonts w:ascii="宋体" w:hAnsi="宋体" w:eastAsia="宋体" w:cs="宋体"/>
          <w:b/>
          <w:bCs/>
          <w:color w:val="auto"/>
          <w:sz w:val="24"/>
          <w:szCs w:val="24"/>
          <w:highlight w:val="none"/>
          <w:lang w:val="zh-CN"/>
        </w:rPr>
        <w:t>供应商询问</w:t>
      </w:r>
    </w:p>
    <w:p w14:paraId="66CF077F">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t>供应商对政府采购活动事项有疑问的，可以向采购人或采购代理机构提出询问，采购人或采购代理机构应当在3个工作日内对供应商依法提出的询问作出答复，但答复的内容不得涉及商业秘密。（供应商可以在政采云系统里在线提起询问，路径为：政采云-项目采购-询问质疑投诉-询问列表）</w:t>
      </w:r>
    </w:p>
    <w:p w14:paraId="2F5F8C86">
      <w:pPr>
        <w:spacing w:line="440" w:lineRule="exact"/>
        <w:ind w:firstLine="482" w:firstLineChars="200"/>
        <w:rPr>
          <w:rFonts w:ascii="宋体" w:hAnsi="宋体" w:eastAsia="宋体" w:cs="宋体"/>
          <w:b/>
          <w:bCs/>
          <w:color w:val="auto"/>
          <w:sz w:val="24"/>
          <w:szCs w:val="24"/>
          <w:highlight w:val="none"/>
          <w:lang w:val="zh-CN"/>
        </w:rPr>
      </w:pPr>
      <w:r>
        <w:rPr>
          <w:rFonts w:ascii="宋体" w:hAnsi="宋体" w:eastAsia="宋体" w:cs="宋体"/>
          <w:b/>
          <w:bCs/>
          <w:color w:val="auto"/>
          <w:sz w:val="24"/>
          <w:szCs w:val="24"/>
          <w:highlight w:val="none"/>
        </w:rPr>
        <w:t>6</w:t>
      </w:r>
      <w:r>
        <w:rPr>
          <w:rFonts w:ascii="宋体" w:hAnsi="宋体" w:eastAsia="宋体" w:cs="宋体"/>
          <w:b/>
          <w:bCs/>
          <w:color w:val="auto"/>
          <w:sz w:val="24"/>
          <w:szCs w:val="24"/>
          <w:highlight w:val="none"/>
          <w:lang w:val="zh-CN"/>
        </w:rPr>
        <w:t>.2</w:t>
      </w:r>
      <w:r>
        <w:rPr>
          <w:rFonts w:ascii="宋体" w:hAnsi="宋体" w:eastAsia="宋体" w:cs="宋体"/>
          <w:b/>
          <w:bCs/>
          <w:color w:val="auto"/>
          <w:sz w:val="24"/>
          <w:szCs w:val="24"/>
          <w:highlight w:val="none"/>
        </w:rPr>
        <w:t xml:space="preserve"> </w:t>
      </w:r>
      <w:r>
        <w:rPr>
          <w:rFonts w:ascii="宋体" w:hAnsi="宋体" w:eastAsia="宋体" w:cs="宋体"/>
          <w:b/>
          <w:bCs/>
          <w:color w:val="auto"/>
          <w:sz w:val="24"/>
          <w:szCs w:val="24"/>
          <w:highlight w:val="none"/>
          <w:lang w:val="zh-CN"/>
        </w:rPr>
        <w:t>供应商质疑</w:t>
      </w:r>
    </w:p>
    <w:p w14:paraId="7F9EAE0B">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587D323">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.2 供应商认为采购文件、采购过程、中标或成交结果使自己的权益受到损害的，可以在知道或者应知其权益受到损害之日起7个工作日内，以书面形式向采购人、采购代理机构提出质疑，逾期提出的，采购人或者采购机构不予受理：</w:t>
      </w:r>
    </w:p>
    <w:p w14:paraId="46BB91FF">
      <w:pPr>
        <w:spacing w:line="440" w:lineRule="exact"/>
        <w:ind w:firstLine="482" w:firstLineChars="200"/>
        <w:rPr>
          <w:rFonts w:ascii="宋体" w:hAnsi="宋体" w:eastAsia="宋体" w:cs="宋体"/>
          <w:b/>
          <w:bCs/>
          <w:snapToGrid w:val="0"/>
          <w:color w:val="auto"/>
          <w:kern w:val="0"/>
          <w:sz w:val="24"/>
          <w:szCs w:val="24"/>
          <w:highlight w:val="none"/>
        </w:rPr>
      </w:pPr>
      <w:r>
        <w:rPr>
          <w:rFonts w:ascii="宋体" w:hAnsi="宋体" w:eastAsia="宋体" w:cs="宋体"/>
          <w:b/>
          <w:bCs/>
          <w:snapToGrid w:val="0"/>
          <w:color w:val="auto"/>
          <w:kern w:val="0"/>
          <w:sz w:val="24"/>
          <w:szCs w:val="24"/>
          <w:highlight w:val="none"/>
        </w:rPr>
        <w:t>本项目要求投标人在法定质疑期内一次性提出针对同一采购程序环节的质疑。</w:t>
      </w:r>
    </w:p>
    <w:p w14:paraId="24DCCAE4">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6.2.2.1 对采购文件提出质疑的，质疑期限为供应商获得采购文件之日或者采购文件公告期限届满之日起计算。</w:t>
      </w:r>
    </w:p>
    <w:p w14:paraId="45604BD8">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6.2.2.2 对采购过程提出质疑的，质疑期限为各采购程序环节结束之日起计算。</w:t>
      </w:r>
    </w:p>
    <w:p w14:paraId="1A4A6E18">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6.2.2.3 对中标或成交结果提出质疑的，质疑期限为中标或成交结果公告期限届满之日起计算。</w:t>
      </w:r>
    </w:p>
    <w:p w14:paraId="346E5347">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.3 提出质疑的供应商应当是参与所质疑项目采购活动的供应商。</w:t>
      </w:r>
    </w:p>
    <w:p w14:paraId="077DAC5A">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snapToGrid w:val="0"/>
          <w:color w:val="auto"/>
          <w:kern w:val="0"/>
          <w:sz w:val="24"/>
          <w:szCs w:val="24"/>
          <w:highlight w:val="none"/>
        </w:rPr>
        <w:t>潜在供应商已依法获取其可质疑的采购文件的，可以对该文件提出质疑。对采购文件提出质疑的，应当在获取采购文件或者采购文件公告期限届满之日起7个工作日内提出。</w:t>
      </w:r>
    </w:p>
    <w:p w14:paraId="7B49BF33">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 供应商提出质疑应当提交质疑函和必要的证明材料。质疑函应当包括下列内容：</w:t>
      </w:r>
    </w:p>
    <w:p w14:paraId="573904CE">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CN"/>
        </w:rPr>
        <w:t>.1</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CN"/>
        </w:rPr>
        <w:t>供应商的姓名或者名称、地址、邮编、联系人及联系电话；</w:t>
      </w:r>
    </w:p>
    <w:p w14:paraId="417A47A6">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CN"/>
        </w:rPr>
        <w:t>质疑项目的名称、编号；</w:t>
      </w:r>
    </w:p>
    <w:p w14:paraId="0B1B8BF7">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CN"/>
        </w:rPr>
        <w:t>.3</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CN"/>
        </w:rPr>
        <w:t>具体、明确的质疑事项和与质疑事项相关的请求；</w:t>
      </w:r>
    </w:p>
    <w:p w14:paraId="3AD54258">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CN"/>
        </w:rPr>
        <w:t>.4</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CN"/>
        </w:rPr>
        <w:t>事实依据；</w:t>
      </w:r>
    </w:p>
    <w:p w14:paraId="225F0BFA">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CN"/>
        </w:rPr>
        <w:t>.5</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CN"/>
        </w:rPr>
        <w:t>必要的法律依据；</w:t>
      </w:r>
    </w:p>
    <w:p w14:paraId="335B3FC7">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4</w:t>
      </w:r>
      <w:r>
        <w:rPr>
          <w:rFonts w:ascii="宋体" w:hAnsi="宋体" w:eastAsia="宋体" w:cs="宋体"/>
          <w:color w:val="auto"/>
          <w:sz w:val="24"/>
          <w:szCs w:val="24"/>
          <w:highlight w:val="none"/>
          <w:lang w:val="zh-CN"/>
        </w:rPr>
        <w:t>.6</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zh-CN"/>
        </w:rPr>
        <w:t>提出质疑的日期。</w:t>
      </w:r>
    </w:p>
    <w:p w14:paraId="4EAA737C">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7C1D2CBE">
      <w:pPr>
        <w:spacing w:line="440" w:lineRule="exact"/>
        <w:ind w:firstLine="480" w:firstLineChars="200"/>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6.2.5采购人、采购代理机构应当在收到法定质疑期内发出的质疑函后7个工作日内作出答复，并以书面形式通知质疑人和其他有关投标人。质疑答复的内容不得涉及商业秘密。</w:t>
      </w:r>
    </w:p>
    <w:p w14:paraId="064A66EB">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6F5AFC71">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.6 询问或者质疑事项可能影响中标或成交结果的，采购人应当暂停签订合同，已经签订合同的，应当中止履行合同。</w:t>
      </w:r>
    </w:p>
    <w:p w14:paraId="1093684D">
      <w:pPr>
        <w:spacing w:line="440" w:lineRule="exact"/>
        <w:ind w:firstLine="480" w:firstLineChars="200"/>
        <w:rPr>
          <w:rFonts w:ascii="宋体" w:hAnsi="宋体" w:eastAsia="宋体" w:cs="宋体"/>
          <w:color w:val="auto"/>
          <w:sz w:val="24"/>
          <w:szCs w:val="24"/>
          <w:highlight w:val="none"/>
          <w:lang w:val="zh-CN"/>
        </w:rPr>
      </w:pPr>
      <w:r>
        <w:rPr>
          <w:rFonts w:ascii="宋体" w:hAnsi="宋体" w:eastAsia="宋体" w:cs="宋体"/>
          <w:snapToGrid w:val="0"/>
          <w:color w:val="auto"/>
          <w:kern w:val="0"/>
          <w:sz w:val="24"/>
          <w:szCs w:val="24"/>
          <w:highlight w:val="none"/>
        </w:rPr>
        <w:t>质疑函范本请到浙江政府采购网下载专区下载。</w:t>
      </w:r>
    </w:p>
    <w:p w14:paraId="0214FF29">
      <w:pPr>
        <w:spacing w:line="440" w:lineRule="exact"/>
        <w:ind w:firstLine="482" w:firstLineChars="200"/>
        <w:rPr>
          <w:rFonts w:ascii="宋体" w:hAnsi="宋体" w:eastAsia="宋体" w:cs="宋体"/>
          <w:b/>
          <w:bCs/>
          <w:color w:val="auto"/>
          <w:sz w:val="24"/>
          <w:szCs w:val="24"/>
          <w:highlight w:val="none"/>
          <w:lang w:val="zh-CN"/>
        </w:rPr>
      </w:pPr>
      <w:r>
        <w:rPr>
          <w:rFonts w:ascii="宋体" w:hAnsi="宋体" w:eastAsia="宋体" w:cs="宋体"/>
          <w:b/>
          <w:bCs/>
          <w:color w:val="auto"/>
          <w:sz w:val="24"/>
          <w:szCs w:val="24"/>
          <w:highlight w:val="none"/>
        </w:rPr>
        <w:t>6</w:t>
      </w:r>
      <w:r>
        <w:rPr>
          <w:rFonts w:ascii="宋体" w:hAnsi="宋体" w:eastAsia="宋体" w:cs="宋体"/>
          <w:b/>
          <w:bCs/>
          <w:color w:val="auto"/>
          <w:sz w:val="24"/>
          <w:szCs w:val="24"/>
          <w:highlight w:val="none"/>
          <w:lang w:val="zh-CN"/>
        </w:rPr>
        <w:t>.3</w:t>
      </w:r>
      <w:r>
        <w:rPr>
          <w:rFonts w:ascii="宋体" w:hAnsi="宋体" w:eastAsia="宋体" w:cs="宋体"/>
          <w:b/>
          <w:bCs/>
          <w:color w:val="auto"/>
          <w:sz w:val="24"/>
          <w:szCs w:val="24"/>
          <w:highlight w:val="none"/>
        </w:rPr>
        <w:t xml:space="preserve"> </w:t>
      </w:r>
      <w:r>
        <w:rPr>
          <w:rFonts w:ascii="宋体" w:hAnsi="宋体" w:eastAsia="宋体" w:cs="宋体"/>
          <w:b/>
          <w:bCs/>
          <w:color w:val="auto"/>
          <w:sz w:val="24"/>
          <w:szCs w:val="24"/>
          <w:highlight w:val="none"/>
          <w:lang w:val="zh-CN"/>
        </w:rPr>
        <w:t>供应商投诉</w:t>
      </w:r>
    </w:p>
    <w:p w14:paraId="7A8D694F">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6.3.1 质疑供应商对采购人、采购</w:t>
      </w:r>
      <w:r>
        <w:rPr>
          <w:rFonts w:ascii="宋体" w:hAnsi="宋体" w:eastAsia="宋体" w:cs="宋体"/>
          <w:color w:val="auto"/>
          <w:kern w:val="0"/>
          <w:sz w:val="24"/>
          <w:szCs w:val="24"/>
          <w:highlight w:val="none"/>
        </w:rPr>
        <w:t>代理</w:t>
      </w:r>
      <w:r>
        <w:rPr>
          <w:rFonts w:ascii="宋体" w:hAnsi="宋体" w:eastAsia="宋体" w:cs="宋体"/>
          <w:color w:val="auto"/>
          <w:sz w:val="24"/>
          <w:szCs w:val="24"/>
          <w:highlight w:val="none"/>
        </w:rPr>
        <w:t>机构的答复不满意或者采购人、采购</w:t>
      </w:r>
      <w:r>
        <w:rPr>
          <w:rFonts w:ascii="宋体" w:hAnsi="宋体" w:eastAsia="宋体" w:cs="宋体"/>
          <w:color w:val="auto"/>
          <w:kern w:val="0"/>
          <w:sz w:val="24"/>
          <w:szCs w:val="24"/>
          <w:highlight w:val="none"/>
        </w:rPr>
        <w:t>代理</w:t>
      </w:r>
      <w:r>
        <w:rPr>
          <w:rFonts w:ascii="宋体" w:hAnsi="宋体" w:eastAsia="宋体" w:cs="宋体"/>
          <w:color w:val="auto"/>
          <w:sz w:val="24"/>
          <w:szCs w:val="24"/>
          <w:highlight w:val="none"/>
        </w:rPr>
        <w:t>机构未在规定的时间内作出答复的，可以在答复期满后十五个工作日内向同级政府采购监督管理部门提出投诉。（质疑供应商对在线质疑答复不满意的，可在线提起投诉，路径为：浙江政务服务网-政府采购投诉处理-在线办理。）</w:t>
      </w:r>
    </w:p>
    <w:p w14:paraId="1E0DFC5B">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w:t>
      </w:r>
      <w:r>
        <w:rPr>
          <w:rFonts w:ascii="宋体" w:hAnsi="宋体" w:eastAsia="宋体" w:cs="宋体"/>
          <w:color w:val="auto"/>
          <w:sz w:val="24"/>
          <w:szCs w:val="24"/>
          <w:highlight w:val="none"/>
          <w:lang w:val="zh-CN"/>
        </w:rPr>
        <w:t>2</w:t>
      </w:r>
      <w:r>
        <w:rPr>
          <w:rFonts w:ascii="宋体" w:hAnsi="宋体" w:eastAsia="宋体" w:cs="宋体"/>
          <w:color w:val="auto"/>
          <w:sz w:val="24"/>
          <w:szCs w:val="24"/>
          <w:highlight w:val="none"/>
        </w:rPr>
        <w:t xml:space="preserve"> 供应商投诉的事项不得超出已质疑事项的范围，但基于质疑答复内容提出的投诉事项除外。</w:t>
      </w:r>
    </w:p>
    <w:p w14:paraId="1996F4D2">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6.3.3 供应商投诉应当有明确的请求和必要的证明材料。</w:t>
      </w:r>
    </w:p>
    <w:p w14:paraId="4F3AD3E3">
      <w:pPr>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6.3.4 以联合体形式参加政府采购活动的，其投诉应当由组成联合体的所有供应商共同提出。</w:t>
      </w:r>
    </w:p>
    <w:p w14:paraId="1EDF7CC4">
      <w:pPr>
        <w:spacing w:line="440" w:lineRule="exact"/>
        <w:ind w:firstLine="480" w:firstLineChars="200"/>
        <w:rPr>
          <w:rFonts w:ascii="宋体" w:hAnsi="宋体" w:eastAsia="宋体" w:cs="宋体"/>
          <w:color w:val="auto"/>
          <w:sz w:val="24"/>
          <w:szCs w:val="24"/>
          <w:highlight w:val="none"/>
        </w:rPr>
      </w:pPr>
      <w:bookmarkStart w:id="6" w:name="_Toc32634"/>
      <w:r>
        <w:rPr>
          <w:rFonts w:ascii="宋体" w:hAnsi="宋体" w:eastAsia="宋体" w:cs="宋体"/>
          <w:color w:val="auto"/>
          <w:sz w:val="24"/>
          <w:szCs w:val="24"/>
          <w:highlight w:val="none"/>
        </w:rPr>
        <w:t>投诉书范本请到浙江政府采购网下载专区下载。</w:t>
      </w:r>
    </w:p>
    <w:p w14:paraId="7EC221BF">
      <w:pPr>
        <w:pStyle w:val="5"/>
        <w:spacing w:before="120" w:after="120" w:line="440" w:lineRule="exact"/>
        <w:jc w:val="center"/>
        <w:rPr>
          <w:rFonts w:ascii="宋体" w:hAnsi="宋体" w:eastAsia="宋体" w:cs="宋体"/>
          <w:bCs/>
          <w:color w:val="auto"/>
          <w:highlight w:val="none"/>
        </w:rPr>
      </w:pPr>
      <w:r>
        <w:rPr>
          <w:rFonts w:ascii="宋体" w:hAnsi="宋体" w:eastAsia="宋体" w:cs="宋体"/>
          <w:color w:val="auto"/>
          <w:kern w:val="2"/>
          <w:sz w:val="32"/>
          <w:szCs w:val="32"/>
          <w:highlight w:val="none"/>
        </w:rPr>
        <w:t>二、</w:t>
      </w:r>
      <w:bookmarkEnd w:id="5"/>
      <w:bookmarkEnd w:id="6"/>
      <w:r>
        <w:rPr>
          <w:rFonts w:ascii="宋体" w:hAnsi="宋体" w:eastAsia="宋体" w:cs="宋体"/>
          <w:color w:val="auto"/>
          <w:kern w:val="2"/>
          <w:sz w:val="32"/>
          <w:szCs w:val="32"/>
          <w:highlight w:val="none"/>
        </w:rPr>
        <w:t>采购文件</w:t>
      </w:r>
      <w:r>
        <w:rPr>
          <w:rFonts w:ascii="宋体" w:hAnsi="宋体" w:eastAsia="宋体" w:cs="宋体"/>
          <w:color w:val="auto"/>
          <w:sz w:val="32"/>
          <w:szCs w:val="32"/>
          <w:highlight w:val="none"/>
        </w:rPr>
        <w:t>构成、修改、解释</w:t>
      </w:r>
    </w:p>
    <w:p w14:paraId="7895A594">
      <w:pPr>
        <w:adjustRightInd w:val="0"/>
        <w:spacing w:line="440" w:lineRule="exact"/>
        <w:rPr>
          <w:rFonts w:ascii="宋体" w:hAnsi="宋体" w:eastAsia="宋体" w:cs="宋体"/>
          <w:b/>
          <w:snapToGrid w:val="0"/>
          <w:color w:val="auto"/>
          <w:sz w:val="24"/>
          <w:szCs w:val="24"/>
          <w:highlight w:val="none"/>
        </w:rPr>
      </w:pPr>
      <w:bookmarkStart w:id="7" w:name="_Toc183786417"/>
      <w:bookmarkStart w:id="8" w:name="_Toc13570"/>
      <w:r>
        <w:rPr>
          <w:rFonts w:ascii="宋体" w:hAnsi="宋体" w:eastAsia="宋体" w:cs="宋体"/>
          <w:b/>
          <w:snapToGrid w:val="0"/>
          <w:color w:val="auto"/>
          <w:sz w:val="24"/>
          <w:szCs w:val="24"/>
          <w:highlight w:val="none"/>
        </w:rPr>
        <w:t>7．采购文件的构成</w:t>
      </w:r>
    </w:p>
    <w:p w14:paraId="1FFE0F16">
      <w:pPr>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7.1 采购文件包括下列文件及附件：</w:t>
      </w:r>
    </w:p>
    <w:p w14:paraId="70957D41">
      <w:pPr>
        <w:tabs>
          <w:tab w:val="left" w:pos="840"/>
        </w:tabs>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7.1.1 公开采购公告；</w:t>
      </w:r>
    </w:p>
    <w:p w14:paraId="31F324A5">
      <w:pPr>
        <w:tabs>
          <w:tab w:val="left" w:pos="840"/>
        </w:tabs>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7.1.2 投标人须知；</w:t>
      </w:r>
    </w:p>
    <w:p w14:paraId="57D1957F">
      <w:pPr>
        <w:tabs>
          <w:tab w:val="left" w:pos="840"/>
        </w:tabs>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7.1.3 采购需求；</w:t>
      </w:r>
    </w:p>
    <w:p w14:paraId="1E6114E3">
      <w:pPr>
        <w:tabs>
          <w:tab w:val="left" w:pos="840"/>
        </w:tabs>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7.1.4 评标办法；</w:t>
      </w:r>
    </w:p>
    <w:p w14:paraId="0D6B0396">
      <w:pPr>
        <w:tabs>
          <w:tab w:val="left" w:pos="840"/>
        </w:tabs>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4"/>
          <w:highlight w:val="none"/>
        </w:rPr>
        <w:t>7.1.5 拟签订的合同文本；</w:t>
      </w:r>
    </w:p>
    <w:p w14:paraId="5D755108">
      <w:pPr>
        <w:tabs>
          <w:tab w:val="left" w:pos="840"/>
        </w:tabs>
        <w:adjustRightInd w:val="0"/>
        <w:spacing w:line="440" w:lineRule="exact"/>
        <w:ind w:firstLine="480" w:firstLineChars="200"/>
        <w:rPr>
          <w:rFonts w:ascii="宋体" w:hAnsi="宋体" w:eastAsia="宋体" w:cs="宋体"/>
          <w:snapToGrid w:val="0"/>
          <w:color w:val="auto"/>
          <w:sz w:val="24"/>
          <w:szCs w:val="24"/>
          <w:highlight w:val="none"/>
        </w:rPr>
      </w:pPr>
      <w:r>
        <w:rPr>
          <w:rFonts w:ascii="宋体" w:hAnsi="宋体" w:eastAsia="宋体" w:cs="宋体"/>
          <w:snapToGrid w:val="0"/>
          <w:color w:val="auto"/>
          <w:sz w:val="24"/>
          <w:szCs w:val="21"/>
          <w:highlight w:val="none"/>
        </w:rPr>
        <w:t xml:space="preserve">7.1.6 </w:t>
      </w:r>
      <w:r>
        <w:rPr>
          <w:rFonts w:ascii="宋体" w:hAnsi="宋体" w:eastAsia="宋体" w:cs="宋体"/>
          <w:snapToGrid w:val="0"/>
          <w:color w:val="auto"/>
          <w:sz w:val="24"/>
          <w:szCs w:val="24"/>
          <w:highlight w:val="none"/>
        </w:rPr>
        <w:t>应提交的有关格式范例。</w:t>
      </w:r>
    </w:p>
    <w:p w14:paraId="78B27AF1">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7.1.7 其他</w:t>
      </w:r>
    </w:p>
    <w:p w14:paraId="722363FD">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7.2与本项目有关的</w:t>
      </w:r>
      <w:r>
        <w:rPr>
          <w:rFonts w:ascii="宋体" w:hAnsi="宋体" w:eastAsia="宋体" w:cs="宋体"/>
          <w:bCs/>
          <w:color w:val="auto"/>
          <w:sz w:val="24"/>
          <w:szCs w:val="24"/>
          <w:highlight w:val="none"/>
        </w:rPr>
        <w:t>澄清或者修改的内容为采购文件的组成部分</w:t>
      </w:r>
      <w:r>
        <w:rPr>
          <w:rFonts w:ascii="宋体" w:hAnsi="宋体" w:eastAsia="宋体" w:cs="宋体"/>
          <w:color w:val="auto"/>
          <w:sz w:val="24"/>
          <w:szCs w:val="24"/>
          <w:highlight w:val="none"/>
        </w:rPr>
        <w:t>。</w:t>
      </w:r>
    </w:p>
    <w:p w14:paraId="52BFC53D">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7.3 除上述所列内容外，采购人和采购代理机构的任何工作人员对投标人所作的任何口头解释、介绍、答复，只能供投标人参考，对采购人、采购代理机构和投标人无任何约束力。</w:t>
      </w:r>
    </w:p>
    <w:p w14:paraId="21FE9765">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7.4 采购文件是招标过程进行的有效依据，也是中标后签订合同的依据，对双方均具有约束力，凡不遵守采购文件规定或对采购文件的实质性内容不响应的，将可能被拒绝或以无效标处理。</w:t>
      </w:r>
    </w:p>
    <w:p w14:paraId="3F02B630">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7.5 本采购文件由采购人或采购代理机构依据相关法律、法规、规章、省市规定及采购文件进行解释。</w:t>
      </w:r>
    </w:p>
    <w:p w14:paraId="661427A0">
      <w:pPr>
        <w:adjustRightInd w:val="0"/>
        <w:spacing w:line="440" w:lineRule="exact"/>
        <w:rPr>
          <w:rFonts w:ascii="宋体" w:hAnsi="宋体" w:eastAsia="宋体" w:cs="宋体"/>
          <w:b/>
          <w:snapToGrid w:val="0"/>
          <w:color w:val="auto"/>
          <w:sz w:val="24"/>
          <w:szCs w:val="24"/>
          <w:highlight w:val="none"/>
        </w:rPr>
      </w:pPr>
      <w:r>
        <w:rPr>
          <w:rFonts w:ascii="宋体" w:hAnsi="宋体" w:eastAsia="宋体" w:cs="宋体"/>
          <w:b/>
          <w:snapToGrid w:val="0"/>
          <w:color w:val="auto"/>
          <w:sz w:val="24"/>
          <w:szCs w:val="24"/>
          <w:highlight w:val="none"/>
        </w:rPr>
        <w:t>8. 采购文件的澄清、修改</w:t>
      </w:r>
    </w:p>
    <w:p w14:paraId="2E411D50">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采购人、采购代理机构联系方式详见第一部分采购公告“八、对本次采购提出询问、质疑、投诉，请按以下方式联系”）；逾期提出的，采购组织机构可以不予受理、答复；澄清或者修改的内容可能影响投标文件编制的，采购人或者采购代理机构应当在投标截止时间至少15日前，以更正公告形式通知所有获取采购文件的潜在投标人；不足15日的，采购人或者采购代理机构应当顺延提交投标文件的截止时间。</w:t>
      </w:r>
    </w:p>
    <w:p w14:paraId="130E4707">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8.2采购代理机构必须以书面形式答复投标人要求澄清的问题，并将不包含问题来源的答复书面通知所有购买采购文件的投标人；除书面答复以外的其他澄清方式及澄清内容均无效。</w:t>
      </w:r>
    </w:p>
    <w:p w14:paraId="25C79D87">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8.3采购文件澄清、答复、修改、补充的内容为采购文件的组成部分。当采购文件与采购文件的答复、澄清、修改、补充通知就同一内容的表述不一致时，以最后发出的书面文件为准。</w:t>
      </w:r>
    </w:p>
    <w:p w14:paraId="75F3108B">
      <w:pPr>
        <w:adjustRightIn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8.4采购文件的澄清、答复、修改或补充都应该通过本代理机构以法定形式发布，采购人非通过本机构，不得擅自澄清、答复、修改或补充采购文件。</w:t>
      </w:r>
    </w:p>
    <w:p w14:paraId="08CE8FCC">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三、</w:t>
      </w:r>
      <w:bookmarkEnd w:id="7"/>
      <w:r>
        <w:rPr>
          <w:rFonts w:ascii="宋体" w:hAnsi="宋体" w:eastAsia="宋体" w:cs="宋体"/>
          <w:color w:val="auto"/>
          <w:kern w:val="2"/>
          <w:sz w:val="32"/>
          <w:szCs w:val="32"/>
          <w:highlight w:val="none"/>
        </w:rPr>
        <w:t>投标</w:t>
      </w:r>
      <w:bookmarkEnd w:id="8"/>
    </w:p>
    <w:p w14:paraId="776F3CC7">
      <w:pPr>
        <w:adjustRightInd w:val="0"/>
        <w:snapToGrid w:val="0"/>
        <w:spacing w:line="440" w:lineRule="exact"/>
        <w:rPr>
          <w:rFonts w:ascii="宋体" w:hAnsi="宋体" w:eastAsia="宋体" w:cs="宋体"/>
          <w:b/>
          <w:color w:val="auto"/>
          <w:sz w:val="24"/>
          <w:szCs w:val="24"/>
          <w:highlight w:val="none"/>
        </w:rPr>
      </w:pPr>
      <w:bookmarkStart w:id="9" w:name="_Toc183786418"/>
      <w:bookmarkStart w:id="10" w:name="_Toc6879"/>
      <w:r>
        <w:rPr>
          <w:rFonts w:ascii="宋体" w:hAnsi="宋体" w:eastAsia="宋体" w:cs="宋体"/>
          <w:b/>
          <w:color w:val="auto"/>
          <w:sz w:val="24"/>
          <w:szCs w:val="24"/>
          <w:highlight w:val="none"/>
        </w:rPr>
        <w:t>9.采购文件的获取</w:t>
      </w:r>
    </w:p>
    <w:p w14:paraId="017B9CED">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详见采购公告中获取采购文件的时间期限、地点、方式及采购文件售价。</w:t>
      </w:r>
    </w:p>
    <w:p w14:paraId="7E3FE2AC">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10.开标前答疑会或现场考察</w:t>
      </w:r>
    </w:p>
    <w:p w14:paraId="73E7D1A0">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采购人组织潜在投标人现场考察或者召开开标前答疑会的，潜在投标人按第二部分投标人须知前附表的规定参加现场考察或者开标前答疑会。</w:t>
      </w:r>
    </w:p>
    <w:p w14:paraId="1F61D725">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11.投标保证金</w:t>
      </w:r>
    </w:p>
    <w:p w14:paraId="07876F33">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本项目不收取投标保证金。但违反政府采购相关规定给采购人造成损失的，投标人应当承担赔偿责任。</w:t>
      </w:r>
    </w:p>
    <w:p w14:paraId="71C1B950">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12.投标文件的语言及计量单位</w:t>
      </w:r>
    </w:p>
    <w:p w14:paraId="2FEF1E56">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12.1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036B8EDB">
      <w:pPr>
        <w:adjustRightInd w:val="0"/>
        <w:snapToGrid w:val="0"/>
        <w:spacing w:line="440" w:lineRule="exact"/>
        <w:ind w:firstLine="480" w:firstLineChars="200"/>
        <w:rPr>
          <w:rFonts w:ascii="宋体" w:hAnsi="宋体" w:eastAsia="宋体" w:cs="宋体"/>
          <w:b/>
          <w:color w:val="auto"/>
          <w:sz w:val="24"/>
          <w:szCs w:val="24"/>
          <w:highlight w:val="none"/>
        </w:rPr>
      </w:pPr>
      <w:r>
        <w:rPr>
          <w:rFonts w:ascii="宋体" w:hAnsi="宋体" w:eastAsia="宋体" w:cs="宋体"/>
          <w:bCs/>
          <w:color w:val="auto"/>
          <w:sz w:val="24"/>
          <w:szCs w:val="24"/>
          <w:highlight w:val="none"/>
        </w:rPr>
        <w:t>12.2 除采购文件另有规定外，投标文件所使用的计量单位，均须采用中华人民共和国法定计量单位，否则视同未响应。</w:t>
      </w:r>
    </w:p>
    <w:p w14:paraId="50541138">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13．投标文件的组成</w:t>
      </w:r>
    </w:p>
    <w:p w14:paraId="44256AE2">
      <w:pPr>
        <w:autoSpaceDE w:val="0"/>
        <w:autoSpaceDN w:val="0"/>
        <w:adjustRightInd w:val="0"/>
        <w:snapToGrid w:val="0"/>
        <w:spacing w:line="440" w:lineRule="exact"/>
        <w:ind w:firstLine="480" w:firstLineChars="200"/>
        <w:textAlignment w:val="bottom"/>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供应商向采购人上传的投标文件由资格文件、商务技术文件及报价文件三部分内容组成，具体如下： </w:t>
      </w:r>
    </w:p>
    <w:p w14:paraId="6A823C43">
      <w:pPr>
        <w:adjustRightInd w:val="0"/>
        <w:snapToGrid w:val="0"/>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13.1 资格文件</w:t>
      </w:r>
    </w:p>
    <w:p w14:paraId="214EC037">
      <w:pPr>
        <w:autoSpaceDE w:val="0"/>
        <w:autoSpaceDN w:val="0"/>
        <w:adjustRightInd w:val="0"/>
        <w:snapToGrid w:val="0"/>
        <w:spacing w:line="440" w:lineRule="exact"/>
        <w:ind w:firstLine="482" w:firstLineChars="200"/>
        <w:textAlignment w:val="bottom"/>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详见“第六部分 应提交的有关格式范例”要求</w:t>
      </w:r>
    </w:p>
    <w:p w14:paraId="6530CAB5">
      <w:pPr>
        <w:autoSpaceDE w:val="0"/>
        <w:autoSpaceDN w:val="0"/>
        <w:adjustRightInd w:val="0"/>
        <w:snapToGrid w:val="0"/>
        <w:spacing w:line="440" w:lineRule="exact"/>
        <w:ind w:firstLine="482" w:firstLineChars="200"/>
        <w:textAlignment w:val="bottom"/>
        <w:rPr>
          <w:rFonts w:ascii="宋体" w:hAnsi="宋体" w:eastAsia="宋体" w:cs="宋体"/>
          <w:b/>
          <w:bCs/>
          <w:color w:val="auto"/>
          <w:sz w:val="24"/>
          <w:szCs w:val="24"/>
          <w:highlight w:val="none"/>
        </w:rPr>
      </w:pPr>
      <w:r>
        <w:rPr>
          <w:rFonts w:ascii="宋体" w:hAnsi="宋体" w:eastAsia="宋体" w:cs="宋体"/>
          <w:b/>
          <w:color w:val="auto"/>
          <w:sz w:val="24"/>
          <w:szCs w:val="24"/>
          <w:highlight w:val="none"/>
        </w:rPr>
        <w:t>13.2 商务技术文件</w:t>
      </w:r>
    </w:p>
    <w:p w14:paraId="1BDD5B98">
      <w:pPr>
        <w:tabs>
          <w:tab w:val="left" w:pos="900"/>
        </w:tabs>
        <w:adjustRightInd w:val="0"/>
        <w:snapToGrid w:val="0"/>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详见“第六部分 应提交的有关格式范例”要求</w:t>
      </w:r>
    </w:p>
    <w:p w14:paraId="160FA7E5">
      <w:pPr>
        <w:tabs>
          <w:tab w:val="left" w:pos="900"/>
        </w:tabs>
        <w:adjustRightInd w:val="0"/>
        <w:snapToGrid w:val="0"/>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13.3 报价文件</w:t>
      </w:r>
    </w:p>
    <w:p w14:paraId="71A8AF37">
      <w:pPr>
        <w:tabs>
          <w:tab w:val="left" w:pos="900"/>
        </w:tabs>
        <w:adjustRightInd w:val="0"/>
        <w:snapToGrid w:val="0"/>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详见“第六部分 应提交的有关格式范例”要求</w:t>
      </w:r>
    </w:p>
    <w:p w14:paraId="6F56C591">
      <w:pPr>
        <w:tabs>
          <w:tab w:val="left" w:pos="900"/>
        </w:tabs>
        <w:adjustRightInd w:val="0"/>
        <w:snapToGrid w:val="0"/>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投标文件含有采购人不能接受的附加条件的，投标无效；</w:t>
      </w:r>
    </w:p>
    <w:p w14:paraId="6EE63DCA">
      <w:pPr>
        <w:tabs>
          <w:tab w:val="left" w:pos="900"/>
        </w:tabs>
        <w:adjustRightInd w:val="0"/>
        <w:snapToGrid w:val="0"/>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投标人提供虚假材料投标的，投标无效。</w:t>
      </w:r>
    </w:p>
    <w:p w14:paraId="11DD60CD">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14.投标文件的编制</w:t>
      </w:r>
    </w:p>
    <w:p w14:paraId="74D75A08">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14.1 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04A5E2A4">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14.2 投标人进行电子投标应安装客户端软件—“政采云电子交易客户端”，并按照采购文件和电子交易平台的要求编制并加密投标文件。投标人未按规定加密的投标文件，电子交易平台将拒收并提示。</w:t>
      </w:r>
    </w:p>
    <w:p w14:paraId="6AF45942">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14.3 使用“政采云电子交易客户端”需要提前申领CA数字证书，申领流程请自行前往“浙江政府采购网-下载专区-电子交易客户端-CA驱动和申领流程”进行查阅。</w:t>
      </w:r>
    </w:p>
    <w:p w14:paraId="3B113535">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14.4投标人应准确设置评审关联点，以便评标委员会在评标时，点击评分项，可直接定位到该评分项内容。未设置或设置错误导致投标文件被误读、漏读或者在按采购文件规定的部分查找不到相关内容的，是投标人的责任。</w:t>
      </w:r>
    </w:p>
    <w:p w14:paraId="1E331264">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14.5投标文件所提供的相关材料的尺寸和清晰度应该能够在电脑上被阅读、识别和判断。投标文件内容无法阅读、识别和判断的，视为未提供。</w:t>
      </w:r>
    </w:p>
    <w:p w14:paraId="28553B87">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14.6投标人编制投标文件过程中，资格文件和商务技术文件部分不得出现本项目投标报价，如因投标人原因提前泄露投标报价，是投标人的责任。</w:t>
      </w:r>
    </w:p>
    <w:p w14:paraId="68D98288">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15.投标文件的签署、盖章</w:t>
      </w:r>
    </w:p>
    <w:p w14:paraId="7B718919">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15.1 投标文件按照采购文件第六部分格式要求进行签署、盖章。▲投标人的投标文件未按照采购文件要求签署、盖章的，其投标无效。</w:t>
      </w:r>
    </w:p>
    <w:p w14:paraId="4DA58149">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15.2 为确保网上操作合法、有效和安全，投标人应当在投标截止时间前完成在“政府采购云平台”的身份认证，确保在电子投标过程中能够对相关数据电文进行加密和使用电子签名。</w:t>
      </w:r>
    </w:p>
    <w:p w14:paraId="615DBB70">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15.3 采购文件提供的“第六部分 应提交的有关格式范例”格式要求投标人盖章、法定代表人印章的地方，投标人均应使用CA数字证书加盖投标人的单位电子印章、法定代表人个人电子印章。联合体投标的，除联合体共同投标协议书格式之外的仅由联合体牵头人加盖单位电子印章、法定代表人个人电子印章即可。</w:t>
      </w:r>
    </w:p>
    <w:p w14:paraId="63ECA36F">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16.投标文件的提交、补充、修改、撤回</w:t>
      </w:r>
    </w:p>
    <w:p w14:paraId="0846BACF">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7956BE">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16.2 电子交易平台收到投标文件，将妥善保存并即时向供应商发出确认回执通知。在投标截止时间前，除供应商补充、修改或者撤回投标文件外，任何单位和个人不得解密或提取投标文件。</w:t>
      </w:r>
    </w:p>
    <w:p w14:paraId="76016BB2">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16.3 采购人、采购机构可以视情况延长投标文件提交的截止时间。在上述情况下，采购机构与投标人以前在投标截止期方面的全部权利、责任和义务，将适用于延长至新的投标截止期。</w:t>
      </w:r>
    </w:p>
    <w:p w14:paraId="2F8D801B">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17.备份投标文件</w:t>
      </w:r>
    </w:p>
    <w:p w14:paraId="627849C6">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17.1 投标人在电子交易平台传输递交投标文件后，还可以在投标截止时间前现场送达或者以快递方式递交备份投标文件1份，但采购人、采购机构不强制或变相强制投标人提交备份投标文件。</w:t>
      </w:r>
    </w:p>
    <w:p w14:paraId="3BB31316">
      <w:pPr>
        <w:adjustRightInd w:val="0"/>
        <w:snapToGrid w:val="0"/>
        <w:spacing w:line="440" w:lineRule="exact"/>
        <w:ind w:firstLine="480" w:firstLineChars="200"/>
        <w:rPr>
          <w:rFonts w:ascii="宋体" w:hAnsi="宋体" w:eastAsia="宋体" w:cs="宋体"/>
          <w:b/>
          <w:color w:val="auto"/>
          <w:sz w:val="24"/>
          <w:szCs w:val="24"/>
          <w:highlight w:val="none"/>
        </w:rPr>
      </w:pPr>
      <w:r>
        <w:rPr>
          <w:rFonts w:ascii="宋体" w:hAnsi="宋体" w:eastAsia="宋体" w:cs="宋体"/>
          <w:bCs/>
          <w:color w:val="auto"/>
          <w:sz w:val="24"/>
          <w:szCs w:val="24"/>
          <w:highlight w:val="none"/>
        </w:rPr>
        <w:t>17.2 备份投标文件的制作、存储、密封要求详见投标须知前附表条款号19项。</w:t>
      </w:r>
    </w:p>
    <w:p w14:paraId="5FF00AE2">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18.投标文件的无效处理</w:t>
      </w:r>
    </w:p>
    <w:p w14:paraId="16DE5C6B">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有采购文件“第四部分 评标办法”规定的情形之一的，投标无效：</w:t>
      </w:r>
    </w:p>
    <w:p w14:paraId="6B8C1FF4">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19.投标有效期</w:t>
      </w:r>
    </w:p>
    <w:p w14:paraId="79B2BE7C">
      <w:pPr>
        <w:adjustRightInd w:val="0"/>
        <w:snapToGrid w:val="0"/>
        <w:spacing w:line="440" w:lineRule="exact"/>
        <w:ind w:firstLine="480" w:firstLineChars="200"/>
        <w:rPr>
          <w:rFonts w:ascii="宋体" w:hAnsi="宋体" w:eastAsia="宋体" w:cs="宋体"/>
          <w:b/>
          <w:color w:val="auto"/>
          <w:sz w:val="24"/>
          <w:szCs w:val="24"/>
          <w:highlight w:val="none"/>
        </w:rPr>
      </w:pPr>
      <w:r>
        <w:rPr>
          <w:rFonts w:ascii="宋体" w:hAnsi="宋体" w:eastAsia="宋体" w:cs="宋体"/>
          <w:bCs/>
          <w:color w:val="auto"/>
          <w:sz w:val="24"/>
          <w:szCs w:val="24"/>
          <w:highlight w:val="none"/>
        </w:rPr>
        <w:t>19.1 投标有效期为从提交投标文件的截止之日起90天。</w:t>
      </w:r>
      <w:r>
        <w:rPr>
          <w:rFonts w:ascii="宋体" w:hAnsi="宋体" w:eastAsia="宋体" w:cs="宋体"/>
          <w:b/>
          <w:color w:val="auto"/>
          <w:sz w:val="24"/>
          <w:szCs w:val="24"/>
          <w:highlight w:val="none"/>
        </w:rPr>
        <w:t>▲投标人的投标文件中承诺的投标有效期少于采购文件中载明的投标有效期的，投标无效。</w:t>
      </w:r>
    </w:p>
    <w:p w14:paraId="59429C26">
      <w:pPr>
        <w:adjustRightInd w:val="0"/>
        <w:snapToGrid w:val="0"/>
        <w:spacing w:line="44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19.2 投标文件合格投递后，自投标截止日期起，在投标有效期内有效。</w:t>
      </w:r>
    </w:p>
    <w:p w14:paraId="6B6D3671">
      <w:pPr>
        <w:adjustRightInd w:val="0"/>
        <w:snapToGrid w:val="0"/>
        <w:spacing w:line="440" w:lineRule="exact"/>
        <w:ind w:firstLine="480" w:firstLineChars="200"/>
        <w:rPr>
          <w:rFonts w:ascii="宋体" w:hAnsi="宋体" w:eastAsia="宋体" w:cs="宋体"/>
          <w:b/>
          <w:color w:val="auto"/>
          <w:sz w:val="24"/>
          <w:szCs w:val="24"/>
          <w:highlight w:val="none"/>
        </w:rPr>
      </w:pPr>
      <w:r>
        <w:rPr>
          <w:rFonts w:ascii="宋体" w:hAnsi="宋体" w:eastAsia="宋体" w:cs="宋体"/>
          <w:bCs/>
          <w:color w:val="auto"/>
          <w:sz w:val="24"/>
          <w:szCs w:val="24"/>
          <w:highlight w:val="none"/>
        </w:rPr>
        <w:t>19.3 在原定投标有效期满之前，如果出现特殊情况，采购机构可以以书面形式通知投标人延长投标有效期。投标人同意延长的，不得要求或被允许修改其投标文件，投标人拒绝延长的，其投标无效。</w:t>
      </w:r>
    </w:p>
    <w:p w14:paraId="57CE88AE">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四、</w:t>
      </w:r>
      <w:bookmarkEnd w:id="9"/>
      <w:bookmarkEnd w:id="10"/>
      <w:r>
        <w:rPr>
          <w:rFonts w:ascii="宋体" w:hAnsi="宋体" w:eastAsia="宋体" w:cs="宋体"/>
          <w:color w:val="auto"/>
          <w:kern w:val="2"/>
          <w:sz w:val="32"/>
          <w:szCs w:val="32"/>
          <w:highlight w:val="none"/>
        </w:rPr>
        <w:t>开标、资格审查与信用信息查询</w:t>
      </w:r>
    </w:p>
    <w:p w14:paraId="295E7053">
      <w:pPr>
        <w:autoSpaceDE w:val="0"/>
        <w:autoSpaceDN w:val="0"/>
        <w:adjustRightInd w:val="0"/>
        <w:spacing w:line="440" w:lineRule="exact"/>
        <w:contextualSpacing/>
        <w:rPr>
          <w:rFonts w:ascii="宋体" w:hAnsi="宋体" w:eastAsia="宋体" w:cs="宋体"/>
          <w:color w:val="auto"/>
          <w:sz w:val="24"/>
          <w:highlight w:val="none"/>
        </w:rPr>
      </w:pPr>
      <w:bookmarkStart w:id="11" w:name="_Toc183786419"/>
      <w:bookmarkStart w:id="12" w:name="_Toc11093"/>
      <w:bookmarkStart w:id="13" w:name="_Toc207550884"/>
      <w:r>
        <w:rPr>
          <w:rFonts w:ascii="宋体" w:hAnsi="宋体" w:eastAsia="宋体" w:cs="宋体"/>
          <w:b/>
          <w:color w:val="auto"/>
          <w:sz w:val="24"/>
          <w:szCs w:val="24"/>
          <w:highlight w:val="none"/>
        </w:rPr>
        <w:t>20.开标</w:t>
      </w:r>
      <w:r>
        <w:rPr>
          <w:rFonts w:ascii="宋体" w:hAnsi="宋体" w:eastAsia="宋体" w:cs="宋体"/>
          <w:color w:val="auto"/>
          <w:sz w:val="24"/>
          <w:highlight w:val="none"/>
        </w:rPr>
        <w:t xml:space="preserve"> </w:t>
      </w:r>
    </w:p>
    <w:p w14:paraId="2707F652">
      <w:pPr>
        <w:autoSpaceDE w:val="0"/>
        <w:autoSpaceDN w:val="0"/>
        <w:adjustRightInd w:val="0"/>
        <w:spacing w:line="440" w:lineRule="exact"/>
        <w:ind w:firstLine="480" w:firstLineChars="200"/>
        <w:contextualSpacing/>
        <w:rPr>
          <w:rFonts w:ascii="宋体" w:hAnsi="宋体" w:eastAsia="宋体" w:cs="宋体"/>
          <w:color w:val="auto"/>
          <w:sz w:val="24"/>
          <w:highlight w:val="none"/>
        </w:rPr>
      </w:pPr>
      <w:r>
        <w:rPr>
          <w:rFonts w:ascii="宋体" w:hAnsi="宋体" w:eastAsia="宋体" w:cs="宋体"/>
          <w:color w:val="auto"/>
          <w:sz w:val="24"/>
          <w:highlight w:val="none"/>
        </w:rPr>
        <w:t>20.1 采购机构按照采购文件规定的时间通过电子交易平台组织开标，所有投标人均应当准时</w:t>
      </w:r>
      <w:r>
        <w:rPr>
          <w:rFonts w:ascii="宋体" w:hAnsi="宋体" w:eastAsia="宋体" w:cs="宋体"/>
          <w:color w:val="auto"/>
          <w:sz w:val="24"/>
          <w:szCs w:val="24"/>
          <w:highlight w:val="none"/>
        </w:rPr>
        <w:t>在线操作，并关注政采云有关信息公布、澄清等情况。投标人代表不参加开标程序的，事后不得对采购相关人员、开标过程和开标结果提出异议</w:t>
      </w:r>
      <w:r>
        <w:rPr>
          <w:rFonts w:ascii="宋体" w:hAnsi="宋体" w:eastAsia="宋体" w:cs="宋体"/>
          <w:color w:val="auto"/>
          <w:sz w:val="24"/>
          <w:highlight w:val="none"/>
        </w:rPr>
        <w:t>。</w:t>
      </w:r>
    </w:p>
    <w:p w14:paraId="77817D47">
      <w:pPr>
        <w:autoSpaceDE w:val="0"/>
        <w:autoSpaceDN w:val="0"/>
        <w:adjustRightInd w:val="0"/>
        <w:spacing w:line="440" w:lineRule="exact"/>
        <w:ind w:firstLine="480" w:firstLineChars="200"/>
        <w:contextualSpacing/>
        <w:rPr>
          <w:rFonts w:ascii="宋体" w:hAnsi="宋体" w:eastAsia="宋体" w:cs="宋体"/>
          <w:color w:val="auto"/>
          <w:sz w:val="24"/>
          <w:highlight w:val="none"/>
        </w:rPr>
      </w:pPr>
      <w:r>
        <w:rPr>
          <w:rFonts w:ascii="宋体" w:hAnsi="宋体" w:eastAsia="宋体" w:cs="宋体"/>
          <w:color w:val="auto"/>
          <w:sz w:val="24"/>
          <w:highlight w:val="none"/>
        </w:rPr>
        <w:t>20.2 开标时，电子交易平台按开标时间自动提取所有投标文件。采购代理机构依托电子交易平台发起开始解密指令，投标人按照平台提示和采购文件的规定在30分钟内完成在线解密。</w:t>
      </w:r>
    </w:p>
    <w:p w14:paraId="3DB016A9">
      <w:pPr>
        <w:autoSpaceDE w:val="0"/>
        <w:autoSpaceDN w:val="0"/>
        <w:adjustRightInd w:val="0"/>
        <w:spacing w:line="440" w:lineRule="exact"/>
        <w:ind w:firstLine="482" w:firstLineChars="200"/>
        <w:contextualSpacing/>
        <w:rPr>
          <w:rFonts w:ascii="宋体" w:hAnsi="宋体" w:eastAsia="宋体" w:cs="宋体"/>
          <w:b/>
          <w:color w:val="auto"/>
          <w:sz w:val="24"/>
          <w:highlight w:val="none"/>
        </w:rPr>
      </w:pPr>
      <w:r>
        <w:rPr>
          <w:rFonts w:ascii="宋体" w:hAnsi="宋体" w:eastAsia="宋体" w:cs="宋体"/>
          <w:b/>
          <w:bCs/>
          <w:color w:val="auto"/>
          <w:sz w:val="24"/>
          <w:highlight w:val="none"/>
        </w:rPr>
        <w:t xml:space="preserve">20.3 </w:t>
      </w:r>
      <w:r>
        <w:rPr>
          <w:rFonts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76233A1">
      <w:pPr>
        <w:adjustRightInd w:val="0"/>
        <w:snapToGrid w:val="0"/>
        <w:spacing w:line="440" w:lineRule="exact"/>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注：①如遇“政府采购云平台”电子化开标或评审程序调整的，或者政采云系统提供数据电文交互功能的，按其规定执行。</w:t>
      </w:r>
    </w:p>
    <w:p w14:paraId="7D635FFB">
      <w:pPr>
        <w:adjustRightInd w:val="0"/>
        <w:snapToGrid w:val="0"/>
        <w:spacing w:line="440" w:lineRule="exact"/>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②除邮件交互外，如政采云平台提供信息发布、澄清说明、数据交换等操作方式的，或者政采云系统平台有新的操作流程的，按其规定。</w:t>
      </w:r>
    </w:p>
    <w:p w14:paraId="68661EBC">
      <w:pPr>
        <w:widowControl/>
        <w:adjustRightInd w:val="0"/>
        <w:spacing w:line="440" w:lineRule="exact"/>
        <w:jc w:val="left"/>
        <w:rPr>
          <w:rFonts w:ascii="宋体" w:hAnsi="宋体" w:eastAsia="宋体" w:cs="宋体"/>
          <w:b/>
          <w:color w:val="auto"/>
          <w:sz w:val="24"/>
          <w:highlight w:val="none"/>
        </w:rPr>
      </w:pPr>
      <w:r>
        <w:rPr>
          <w:rFonts w:ascii="宋体" w:hAnsi="宋体" w:eastAsia="宋体" w:cs="宋体"/>
          <w:b/>
          <w:color w:val="auto"/>
          <w:sz w:val="24"/>
          <w:highlight w:val="none"/>
        </w:rPr>
        <w:t>21.资格审查</w:t>
      </w:r>
    </w:p>
    <w:p w14:paraId="30B60A8F">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kern w:val="0"/>
          <w:sz w:val="24"/>
          <w:szCs w:val="24"/>
          <w:highlight w:val="none"/>
        </w:rPr>
        <w:t>21.1 开标后，采购人或采购机构将</w:t>
      </w:r>
      <w:r>
        <w:rPr>
          <w:rFonts w:ascii="宋体" w:hAnsi="宋体" w:eastAsia="宋体" w:cs="宋体"/>
          <w:color w:val="auto"/>
          <w:sz w:val="24"/>
          <w:szCs w:val="24"/>
          <w:highlight w:val="none"/>
        </w:rPr>
        <w:t>依据法律法规和采购文件的规定，对投标人的基本资格条件、特定资格条件进行审查。</w:t>
      </w:r>
    </w:p>
    <w:p w14:paraId="52BFD7E1">
      <w:pPr>
        <w:adjustRightIn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kern w:val="0"/>
          <w:sz w:val="24"/>
          <w:szCs w:val="24"/>
          <w:highlight w:val="none"/>
        </w:rPr>
        <w:t>21.2 投标人未按照采购文件要求提供与</w:t>
      </w:r>
      <w:r>
        <w:rPr>
          <w:rFonts w:ascii="宋体" w:hAnsi="宋体" w:eastAsia="宋体" w:cs="宋体"/>
          <w:color w:val="auto"/>
          <w:sz w:val="24"/>
          <w:highlight w:val="none"/>
        </w:rPr>
        <w:t>基本资格条件、特定资格条件相应的</w:t>
      </w:r>
      <w:r>
        <w:rPr>
          <w:rFonts w:ascii="宋体" w:hAnsi="宋体" w:eastAsia="宋体" w:cs="宋体"/>
          <w:color w:val="auto"/>
          <w:kern w:val="0"/>
          <w:sz w:val="24"/>
          <w:szCs w:val="24"/>
          <w:highlight w:val="none"/>
        </w:rPr>
        <w:t>有效资格证明材料的，视为</w:t>
      </w:r>
      <w:r>
        <w:rPr>
          <w:rFonts w:ascii="宋体" w:hAnsi="宋体" w:eastAsia="宋体" w:cs="宋体"/>
          <w:color w:val="auto"/>
          <w:sz w:val="24"/>
          <w:highlight w:val="none"/>
        </w:rPr>
        <w:t>投标人不具备采购文件中规定的资格要求，</w:t>
      </w:r>
      <w:r>
        <w:rPr>
          <w:rFonts w:ascii="宋体" w:hAnsi="宋体" w:eastAsia="宋体" w:cs="宋体"/>
          <w:color w:val="auto"/>
          <w:kern w:val="0"/>
          <w:sz w:val="24"/>
          <w:szCs w:val="24"/>
          <w:highlight w:val="none"/>
        </w:rPr>
        <w:t>其投标无效。无效情形具体详见“5.2投标无效”。</w:t>
      </w:r>
    </w:p>
    <w:p w14:paraId="24C9BAF7">
      <w:pPr>
        <w:adjustRightIn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kern w:val="0"/>
          <w:sz w:val="24"/>
          <w:szCs w:val="24"/>
          <w:highlight w:val="none"/>
        </w:rPr>
        <w:t>21.</w:t>
      </w:r>
      <w:r>
        <w:rPr>
          <w:rFonts w:ascii="宋体" w:hAnsi="宋体" w:eastAsia="宋体" w:cs="宋体"/>
          <w:color w:val="auto"/>
          <w:sz w:val="24"/>
          <w:highlight w:val="none"/>
        </w:rPr>
        <w:t>3 对未通过资格审查的投标人，采购人或采购机构告知其未通过的原因。</w:t>
      </w:r>
    </w:p>
    <w:p w14:paraId="6A16629B">
      <w:pPr>
        <w:adjustRightIn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kern w:val="0"/>
          <w:sz w:val="24"/>
          <w:szCs w:val="24"/>
          <w:highlight w:val="none"/>
        </w:rPr>
        <w:t>21.</w:t>
      </w:r>
      <w:r>
        <w:rPr>
          <w:rFonts w:ascii="宋体" w:hAnsi="宋体" w:eastAsia="宋体" w:cs="宋体"/>
          <w:color w:val="auto"/>
          <w:sz w:val="24"/>
          <w:highlight w:val="none"/>
        </w:rPr>
        <w:t>4 合格投标人不足3家的，不再评标。</w:t>
      </w:r>
    </w:p>
    <w:p w14:paraId="77D1BC15">
      <w:pPr>
        <w:adjustRightIn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22.信用信息查询</w:t>
      </w:r>
    </w:p>
    <w:p w14:paraId="4429616C">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具体要求详见投标人须知前附表。</w:t>
      </w:r>
    </w:p>
    <w:p w14:paraId="028B4661">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五、评标</w:t>
      </w:r>
    </w:p>
    <w:p w14:paraId="3417980F">
      <w:pPr>
        <w:adjustRightIn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23.</w:t>
      </w:r>
      <w:r>
        <w:rPr>
          <w:rFonts w:ascii="宋体" w:hAnsi="宋体" w:eastAsia="宋体" w:cs="宋体"/>
          <w:color w:val="auto"/>
          <w:sz w:val="24"/>
          <w:szCs w:val="24"/>
          <w:highlight w:val="none"/>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ascii="宋体" w:hAnsi="宋体" w:eastAsia="宋体" w:cs="宋体"/>
          <w:b/>
          <w:color w:val="auto"/>
          <w:sz w:val="24"/>
          <w:szCs w:val="24"/>
          <w:highlight w:val="none"/>
        </w:rPr>
        <w:t>详见采购文件“第四部分 评标办法”。</w:t>
      </w:r>
    </w:p>
    <w:p w14:paraId="0831405C">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六、定标</w:t>
      </w:r>
    </w:p>
    <w:p w14:paraId="647EC9C9">
      <w:pPr>
        <w:adjustRightInd w:val="0"/>
        <w:spacing w:line="440" w:lineRule="exact"/>
        <w:ind w:left="479" w:hanging="479" w:hangingChars="199"/>
        <w:rPr>
          <w:rFonts w:ascii="宋体" w:hAnsi="宋体" w:eastAsia="宋体" w:cs="宋体"/>
          <w:b/>
          <w:color w:val="auto"/>
          <w:sz w:val="24"/>
          <w:szCs w:val="24"/>
          <w:highlight w:val="none"/>
        </w:rPr>
      </w:pPr>
      <w:r>
        <w:rPr>
          <w:rFonts w:ascii="宋体" w:hAnsi="宋体" w:eastAsia="宋体" w:cs="宋体"/>
          <w:b/>
          <w:color w:val="auto"/>
          <w:sz w:val="24"/>
          <w:szCs w:val="24"/>
          <w:highlight w:val="none"/>
        </w:rPr>
        <w:t>24.确定中标供应商</w:t>
      </w:r>
    </w:p>
    <w:p w14:paraId="6F0FFEFB">
      <w:pPr>
        <w:adjustRightInd w:val="0"/>
        <w:snapToGrid w:val="0"/>
        <w:spacing w:line="440" w:lineRule="exact"/>
        <w:ind w:firstLine="480" w:firstLineChars="200"/>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采购代理机构应当自评标结束之日起2个工作日内将评标报告送交采购人。</w:t>
      </w:r>
    </w:p>
    <w:p w14:paraId="53B5D0A7">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采购人应当自收到评标报告之日起5个工作日内，在评标报告确定的中标候选人名单中按顺序确定1名中标人。</w:t>
      </w:r>
    </w:p>
    <w:p w14:paraId="01127F0C">
      <w:pPr>
        <w:adjustRightInd w:val="0"/>
        <w:snapToGrid w:val="0"/>
        <w:spacing w:line="440" w:lineRule="exact"/>
        <w:ind w:firstLine="480" w:firstLineChars="200"/>
        <w:rPr>
          <w:rFonts w:ascii="宋体" w:hAnsi="宋体" w:eastAsia="宋体" w:cs="宋体"/>
          <w:b/>
          <w:color w:val="auto"/>
          <w:sz w:val="24"/>
          <w:szCs w:val="24"/>
          <w:highlight w:val="none"/>
        </w:rPr>
      </w:pPr>
      <w:r>
        <w:rPr>
          <w:rFonts w:ascii="宋体" w:hAnsi="宋体" w:eastAsia="宋体" w:cs="宋体"/>
          <w:snapToGrid w:val="0"/>
          <w:color w:val="auto"/>
          <w:kern w:val="0"/>
          <w:sz w:val="24"/>
          <w:szCs w:val="24"/>
          <w:highlight w:val="none"/>
        </w:rPr>
        <w:t>采购人在收到评标报告5个工作日内未按评标报告推荐的中标候选人顺序确定1名中标人，又不能说明合法理由的，视同按评标报告推荐的顺序确定排名第一的中标候选人为中标人。</w:t>
      </w:r>
    </w:p>
    <w:p w14:paraId="3DA0A3CF">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25.中标通知与中标结果公告</w:t>
      </w:r>
    </w:p>
    <w:p w14:paraId="56B91BBC">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25.1 采购人或者采购代理机构应当自中标人确定之日起2个工作日内，在省级以上财政部门指定的媒体上公告中标结果，采购文件应当随中标结果同时公告。</w:t>
      </w:r>
    </w:p>
    <w:p w14:paraId="1669D0F1">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48178A0">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中标结果公告期限为1个工作日。</w:t>
      </w:r>
    </w:p>
    <w:p w14:paraId="25FD927B">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14:paraId="0BE93202">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25.2 除国务院财政部门规定的情形外，采购人、采购代理机构不得以任何理由组织重新评审。采购人、采购代理机构按照国务院财政部门的规定组织重新评审的，应当书面报告本级人民政府财政部门。</w:t>
      </w:r>
    </w:p>
    <w:p w14:paraId="0C30287C">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 xml:space="preserve">25.3中标通知书发出后，采购人不得违法改变中标结果，中标人无正当理由不得放弃中标。 </w:t>
      </w:r>
    </w:p>
    <w:p w14:paraId="2E8DC18A">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七、合同授予</w:t>
      </w:r>
    </w:p>
    <w:p w14:paraId="0F469038">
      <w:pPr>
        <w:adjustRightInd w:val="0"/>
        <w:spacing w:line="440" w:lineRule="exact"/>
        <w:ind w:left="479" w:hanging="479" w:hangingChars="199"/>
        <w:rPr>
          <w:rFonts w:ascii="宋体" w:hAnsi="宋体" w:eastAsia="宋体" w:cs="宋体"/>
          <w:b/>
          <w:color w:val="auto"/>
          <w:sz w:val="24"/>
          <w:szCs w:val="24"/>
          <w:highlight w:val="none"/>
        </w:rPr>
      </w:pPr>
      <w:r>
        <w:rPr>
          <w:rFonts w:ascii="宋体" w:hAnsi="宋体" w:eastAsia="宋体" w:cs="宋体"/>
          <w:b/>
          <w:color w:val="auto"/>
          <w:sz w:val="24"/>
          <w:szCs w:val="24"/>
          <w:highlight w:val="none"/>
        </w:rPr>
        <w:t>26.合同主要条款详见“第五部分 拟签订的合同文本”。</w:t>
      </w:r>
    </w:p>
    <w:p w14:paraId="211779F4">
      <w:pPr>
        <w:adjustRightInd w:val="0"/>
        <w:spacing w:line="440" w:lineRule="exact"/>
        <w:ind w:left="479" w:hanging="479" w:hangingChars="199"/>
        <w:rPr>
          <w:rFonts w:ascii="宋体" w:hAnsi="宋体" w:eastAsia="宋体" w:cs="宋体"/>
          <w:b/>
          <w:color w:val="auto"/>
          <w:sz w:val="24"/>
          <w:szCs w:val="24"/>
          <w:highlight w:val="none"/>
        </w:rPr>
      </w:pPr>
      <w:r>
        <w:rPr>
          <w:rFonts w:ascii="宋体" w:hAnsi="宋体" w:eastAsia="宋体" w:cs="宋体"/>
          <w:b/>
          <w:color w:val="auto"/>
          <w:sz w:val="24"/>
          <w:szCs w:val="24"/>
          <w:highlight w:val="none"/>
        </w:rPr>
        <w:t>27.合同的签订</w:t>
      </w:r>
    </w:p>
    <w:p w14:paraId="1CAE55AB">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color w:val="auto"/>
          <w:sz w:val="24"/>
          <w:szCs w:val="24"/>
          <w:highlight w:val="none"/>
        </w:rPr>
        <w:t xml:space="preserve">27.1 </w:t>
      </w:r>
      <w:r>
        <w:rPr>
          <w:rFonts w:ascii="宋体" w:hAnsi="宋体" w:eastAsia="宋体" w:cs="宋体"/>
          <w:snapToGrid w:val="0"/>
          <w:color w:val="auto"/>
          <w:kern w:val="0"/>
          <w:sz w:val="24"/>
          <w:szCs w:val="24"/>
          <w:highlight w:val="none"/>
        </w:rPr>
        <w:t>采购人应当自《中标通知书》发出之日起30日内，按照采购文件和中标人投标文件的规定，与中标人签订书面合同。同时，采购代理机构对合同内容进行审查，如发现与采购结果和投标承诺内容不一致的，应予以纠正。并在签订之日起2个工作日内将政府采购合同在浙江政府采购网上公告。</w:t>
      </w:r>
    </w:p>
    <w:p w14:paraId="6719344C">
      <w:pPr>
        <w:adjustRightInd w:val="0"/>
        <w:snapToGrid w:val="0"/>
        <w:spacing w:line="440" w:lineRule="exact"/>
        <w:ind w:firstLine="480" w:firstLineChars="200"/>
        <w:rPr>
          <w:rFonts w:ascii="宋体" w:hAnsi="宋体" w:eastAsia="宋体" w:cs="宋体"/>
          <w:color w:val="auto"/>
          <w:kern w:val="0"/>
          <w:sz w:val="24"/>
          <w:highlight w:val="none"/>
          <w:lang w:val="zh-CN"/>
        </w:rPr>
      </w:pPr>
      <w:r>
        <w:rPr>
          <w:rFonts w:ascii="宋体" w:hAnsi="宋体" w:eastAsia="宋体" w:cs="宋体"/>
          <w:color w:val="auto"/>
          <w:kern w:val="0"/>
          <w:sz w:val="24"/>
          <w:highlight w:val="none"/>
          <w:lang w:val="zh-CN"/>
        </w:rPr>
        <w:t>2</w:t>
      </w:r>
      <w:r>
        <w:rPr>
          <w:rFonts w:ascii="宋体" w:hAnsi="宋体" w:eastAsia="宋体" w:cs="宋体"/>
          <w:color w:val="auto"/>
          <w:kern w:val="0"/>
          <w:sz w:val="24"/>
          <w:highlight w:val="none"/>
        </w:rPr>
        <w:t>7</w:t>
      </w:r>
      <w:r>
        <w:rPr>
          <w:rFonts w:ascii="宋体" w:hAnsi="宋体" w:eastAsia="宋体" w:cs="宋体"/>
          <w:color w:val="auto"/>
          <w:kern w:val="0"/>
          <w:sz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CF823C5">
      <w:pPr>
        <w:adjustRightInd w:val="0"/>
        <w:snapToGrid w:val="0"/>
        <w:spacing w:line="44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27.3 采购文件、中标人的投标文件及投标修改文件、评标过程中有关澄清文件及经投标人法定代表人或授权代表签字确认的询标回复和承诺及中标通知书均作为合同组成部分。</w:t>
      </w:r>
    </w:p>
    <w:p w14:paraId="66812670">
      <w:pPr>
        <w:adjustRightInd w:val="0"/>
        <w:snapToGrid w:val="0"/>
        <w:spacing w:line="440" w:lineRule="exact"/>
        <w:ind w:firstLine="480" w:firstLineChars="200"/>
        <w:jc w:val="left"/>
        <w:rPr>
          <w:rFonts w:ascii="宋体" w:hAnsi="宋体" w:eastAsia="宋体" w:cs="宋体"/>
          <w:color w:val="auto"/>
          <w:highlight w:val="none"/>
        </w:rPr>
      </w:pPr>
      <w:r>
        <w:rPr>
          <w:rFonts w:ascii="宋体" w:hAnsi="宋体" w:eastAsia="宋体" w:cs="宋体"/>
          <w:snapToGrid w:val="0"/>
          <w:color w:val="auto"/>
          <w:kern w:val="0"/>
          <w:sz w:val="24"/>
          <w:szCs w:val="24"/>
          <w:highlight w:val="none"/>
        </w:rPr>
        <w:t>27.4政府采购监督管理部门在处理投诉事项期间，可以视具体情况书面通知采购人暂停采购活动，并延期支付合同款。</w:t>
      </w:r>
    </w:p>
    <w:p w14:paraId="03AC89C8">
      <w:pPr>
        <w:widowControl/>
        <w:adjustRightInd w:val="0"/>
        <w:spacing w:line="440" w:lineRule="exact"/>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27.5如签订合同并生效后，供应商无故拒绝或延期，除按照合同条款处理外，列入不良行为记录一次，并给予通报。</w:t>
      </w:r>
    </w:p>
    <w:p w14:paraId="0D2E7123">
      <w:pPr>
        <w:widowControl/>
        <w:adjustRightInd w:val="0"/>
        <w:spacing w:line="440" w:lineRule="exact"/>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27.6中标或者成交供应商拒绝与采购人签订合同的，采购人可以按照评审报告推荐的中标或者成交候选人名单排序，确定下一候选人为中标或者成交供应商，也可以重新开展政府采购活动。</w:t>
      </w:r>
    </w:p>
    <w:p w14:paraId="49B6F706">
      <w:pPr>
        <w:widowControl/>
        <w:adjustRightInd w:val="0"/>
        <w:spacing w:line="440" w:lineRule="exact"/>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27.7采购合同由采购人与中标供应商根据采购文件、投标文件等内容通过政府采购电子交易平台在线签订，自动备案。</w:t>
      </w:r>
    </w:p>
    <w:p w14:paraId="0B2F7A93">
      <w:pPr>
        <w:widowControl/>
        <w:adjustRightInd w:val="0"/>
        <w:spacing w:line="440" w:lineRule="exact"/>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27.8 政府采购货物和服务项目不得收取质量保证金。政府采购工程以及与工程建设有关的货物、服务，采用招标方式采购的，按国家和省有关规定执行。</w:t>
      </w:r>
    </w:p>
    <w:p w14:paraId="377E0144">
      <w:pPr>
        <w:adjustRightInd w:val="0"/>
        <w:spacing w:line="440" w:lineRule="exact"/>
        <w:ind w:left="479" w:hanging="479" w:hangingChars="199"/>
        <w:rPr>
          <w:rFonts w:ascii="宋体" w:hAnsi="宋体" w:eastAsia="宋体" w:cs="宋体"/>
          <w:b/>
          <w:color w:val="auto"/>
          <w:sz w:val="24"/>
          <w:szCs w:val="24"/>
          <w:highlight w:val="none"/>
        </w:rPr>
      </w:pPr>
      <w:r>
        <w:rPr>
          <w:rFonts w:ascii="宋体" w:hAnsi="宋体" w:eastAsia="宋体" w:cs="宋体"/>
          <w:b/>
          <w:color w:val="auto"/>
          <w:sz w:val="24"/>
          <w:szCs w:val="24"/>
          <w:highlight w:val="none"/>
        </w:rPr>
        <w:t>28.履约保证金</w:t>
      </w:r>
    </w:p>
    <w:p w14:paraId="7803597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具体要求详见投标人须知前附表。</w:t>
      </w:r>
    </w:p>
    <w:p w14:paraId="338BA97B">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八、电子交易活动的中止</w:t>
      </w:r>
    </w:p>
    <w:p w14:paraId="0FF1B4B8">
      <w:pPr>
        <w:adjustRightInd w:val="0"/>
        <w:snapToGrid w:val="0"/>
        <w:spacing w:line="440" w:lineRule="exact"/>
        <w:rPr>
          <w:rFonts w:ascii="宋体" w:hAnsi="宋体" w:eastAsia="宋体" w:cs="宋体"/>
          <w:b/>
          <w:color w:val="auto"/>
          <w:sz w:val="24"/>
          <w:szCs w:val="24"/>
          <w:highlight w:val="none"/>
        </w:rPr>
      </w:pPr>
      <w:r>
        <w:rPr>
          <w:rFonts w:ascii="宋体" w:hAnsi="宋体" w:eastAsia="宋体" w:cs="宋体"/>
          <w:b/>
          <w:bCs/>
          <w:color w:val="auto"/>
          <w:sz w:val="24"/>
          <w:highlight w:val="none"/>
        </w:rPr>
        <w:t>2</w:t>
      </w:r>
      <w:r>
        <w:rPr>
          <w:rFonts w:ascii="宋体" w:hAnsi="宋体" w:eastAsia="宋体" w:cs="宋体"/>
          <w:b/>
          <w:bCs/>
          <w:color w:val="auto"/>
          <w:sz w:val="24"/>
          <w:szCs w:val="24"/>
          <w:highlight w:val="none"/>
        </w:rPr>
        <w:t>9</w:t>
      </w:r>
      <w:r>
        <w:rPr>
          <w:rFonts w:ascii="宋体" w:hAnsi="宋体" w:eastAsia="宋体" w:cs="宋体"/>
          <w:b/>
          <w:color w:val="auto"/>
          <w:sz w:val="24"/>
          <w:szCs w:val="24"/>
          <w:highlight w:val="none"/>
        </w:rPr>
        <w:t>.电子交易活动的中止</w:t>
      </w:r>
    </w:p>
    <w:p w14:paraId="46AEB2F0">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37136E97">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 xml:space="preserve">29.1 电子交易平台发生故障而无法登录访问的； </w:t>
      </w:r>
    </w:p>
    <w:p w14:paraId="7F8662AE">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29.2 电子交易平台应用或数据库出现错误，不能进行正常操作的；</w:t>
      </w:r>
    </w:p>
    <w:p w14:paraId="6184A685">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29.3 电子交易平台发现严重安全漏洞，有潜在泄密危险的；</w:t>
      </w:r>
    </w:p>
    <w:p w14:paraId="38F51927">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 xml:space="preserve">29.4 病毒发作导致不能进行正常操作的； </w:t>
      </w:r>
    </w:p>
    <w:p w14:paraId="2DD2C908">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29.5 其他无法保证电子交易的公平、公正和安全的情况。</w:t>
      </w:r>
    </w:p>
    <w:p w14:paraId="0A7705E9">
      <w:pPr>
        <w:adjustRightInd w:val="0"/>
        <w:snapToGrid w:val="0"/>
        <w:spacing w:line="440" w:lineRule="exact"/>
        <w:rPr>
          <w:rFonts w:ascii="宋体" w:hAnsi="宋体" w:eastAsia="宋体" w:cs="宋体"/>
          <w:color w:val="auto"/>
          <w:sz w:val="24"/>
          <w:szCs w:val="24"/>
          <w:highlight w:val="none"/>
        </w:rPr>
      </w:pPr>
      <w:r>
        <w:rPr>
          <w:rFonts w:ascii="宋体" w:hAnsi="宋体" w:eastAsia="宋体" w:cs="宋体"/>
          <w:b/>
          <w:bCs/>
          <w:color w:val="auto"/>
          <w:sz w:val="24"/>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132A727F">
      <w:pPr>
        <w:pStyle w:val="5"/>
        <w:spacing w:before="120" w:after="120" w:line="440" w:lineRule="exact"/>
        <w:jc w:val="cente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t>九、验收</w:t>
      </w:r>
    </w:p>
    <w:p w14:paraId="5E77241D">
      <w:pPr>
        <w:adjustRightInd w:val="0"/>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30.验收</w:t>
      </w:r>
    </w:p>
    <w:bookmarkEnd w:id="11"/>
    <w:bookmarkEnd w:id="12"/>
    <w:bookmarkEnd w:id="13"/>
    <w:p w14:paraId="1BB14C4C">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C8B854">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30.2采购人可以邀请参加本项目的其他供应商或者第三方机构参与验收。参与验收的供应商或者第三方机构的意见作为验收书的参考资料一并存档。</w:t>
      </w:r>
    </w:p>
    <w:p w14:paraId="5E545B9C">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各方共同签署。验收结果与采购合同约定的资金支付及履约保证金返还条件挂钩。履约验收的各项资料应当存档备查。</w:t>
      </w:r>
    </w:p>
    <w:p w14:paraId="654B5B7E">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30.4采购人原则上应当在履约验收之日起2个工作日内，将履约验收结果在浙江政府采购网上公告。</w:t>
      </w:r>
    </w:p>
    <w:p w14:paraId="1701D93A">
      <w:pPr>
        <w:adjustRightInd w:val="0"/>
        <w:snapToGrid w:val="0"/>
        <w:spacing w:line="44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30.5验收合格的项目，采购人将根据采购合同的约定及时向供应商支付采购资金、退还履约保证金。</w:t>
      </w:r>
    </w:p>
    <w:p w14:paraId="3CF7417D">
      <w:pPr>
        <w:adjustRightInd w:val="0"/>
        <w:snapToGrid w:val="0"/>
        <w:spacing w:line="440" w:lineRule="exact"/>
        <w:ind w:firstLine="480" w:firstLineChars="200"/>
        <w:rPr>
          <w:rFonts w:ascii="宋体" w:hAnsi="宋体" w:eastAsia="宋体" w:cs="宋体"/>
          <w:color w:val="auto"/>
          <w:highlight w:val="none"/>
        </w:rPr>
      </w:pPr>
      <w:r>
        <w:rPr>
          <w:rFonts w:ascii="宋体" w:hAnsi="宋体" w:eastAsia="宋体" w:cs="宋体"/>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9833D2">
      <w:pPr>
        <w:rPr>
          <w:rFonts w:ascii="宋体" w:hAnsi="宋体" w:eastAsia="宋体" w:cs="宋体"/>
          <w:b/>
          <w:color w:val="auto"/>
          <w:sz w:val="36"/>
          <w:highlight w:val="none"/>
        </w:rPr>
      </w:pPr>
      <w:r>
        <w:rPr>
          <w:rFonts w:ascii="宋体" w:hAnsi="宋体" w:eastAsia="宋体" w:cs="宋体"/>
          <w:b/>
          <w:color w:val="auto"/>
          <w:sz w:val="36"/>
          <w:highlight w:val="none"/>
        </w:rPr>
        <w:br w:type="page"/>
      </w:r>
    </w:p>
    <w:p w14:paraId="0E08F036">
      <w:pPr>
        <w:spacing w:line="360" w:lineRule="auto"/>
        <w:jc w:val="center"/>
        <w:outlineLvl w:val="0"/>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第三部分 采购需求</w:t>
      </w:r>
    </w:p>
    <w:p w14:paraId="07F3F0E8">
      <w:pPr>
        <w:spacing w:line="360" w:lineRule="auto"/>
        <w:jc w:val="center"/>
        <w:rPr>
          <w:rFonts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（标注“▲”的技术参数，供应商所报货物必须满足（或正偏离），否则将做无效投标处理。标注“★”的为重要技术参数）</w:t>
      </w:r>
    </w:p>
    <w:p w14:paraId="6E452996">
      <w:pPr>
        <w:spacing w:line="360" w:lineRule="auto"/>
        <w:outlineLvl w:val="1"/>
        <w:rPr>
          <w:rFonts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一、采购清单及参数</w:t>
      </w:r>
    </w:p>
    <w:tbl>
      <w:tblPr>
        <w:tblStyle w:val="2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03"/>
        <w:gridCol w:w="1154"/>
        <w:gridCol w:w="5189"/>
        <w:gridCol w:w="758"/>
        <w:gridCol w:w="522"/>
      </w:tblGrid>
      <w:tr w14:paraId="3393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365AAB9">
            <w:pPr>
              <w:keepNext w:val="0"/>
              <w:keepLines w:val="0"/>
              <w:widowControl/>
              <w:suppressLineNumbers w:val="0"/>
              <w:spacing w:beforeAutospacing="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序号</w:t>
            </w:r>
          </w:p>
        </w:tc>
        <w:tc>
          <w:tcPr>
            <w:tcW w:w="903" w:type="dxa"/>
            <w:vAlign w:val="center"/>
          </w:tcPr>
          <w:p w14:paraId="5EB9E777">
            <w:pPr>
              <w:keepNext w:val="0"/>
              <w:keepLines w:val="0"/>
              <w:widowControl/>
              <w:suppressLineNumbers w:val="0"/>
              <w:jc w:val="center"/>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名称</w:t>
            </w:r>
          </w:p>
        </w:tc>
        <w:tc>
          <w:tcPr>
            <w:tcW w:w="1154" w:type="dxa"/>
            <w:vAlign w:val="center"/>
          </w:tcPr>
          <w:p w14:paraId="68E2BA81">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参考图片</w:t>
            </w:r>
          </w:p>
        </w:tc>
        <w:tc>
          <w:tcPr>
            <w:tcW w:w="5189" w:type="dxa"/>
            <w:vAlign w:val="center"/>
          </w:tcPr>
          <w:p w14:paraId="791EBCB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配置参数</w:t>
            </w:r>
          </w:p>
        </w:tc>
        <w:tc>
          <w:tcPr>
            <w:tcW w:w="758" w:type="dxa"/>
            <w:vAlign w:val="center"/>
          </w:tcPr>
          <w:p w14:paraId="5A477B8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数量</w:t>
            </w:r>
          </w:p>
        </w:tc>
        <w:tc>
          <w:tcPr>
            <w:tcW w:w="522" w:type="dxa"/>
            <w:vAlign w:val="center"/>
          </w:tcPr>
          <w:p w14:paraId="5011597B">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单位</w:t>
            </w:r>
          </w:p>
        </w:tc>
      </w:tr>
      <w:tr w14:paraId="323E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80F5AD8">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E8D81C2">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主题游戏器械</w:t>
            </w:r>
          </w:p>
        </w:tc>
        <w:tc>
          <w:tcPr>
            <w:tcW w:w="1154" w:type="dxa"/>
            <w:vAlign w:val="center"/>
          </w:tcPr>
          <w:p w14:paraId="6AC98D7C">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81025" cy="409575"/>
                  <wp:effectExtent l="0" t="0" r="9525" b="9525"/>
                  <wp:docPr id="42"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descr="IMG_256"/>
                          <pic:cNvPicPr>
                            <a:picLocks noChangeAspect="1"/>
                          </pic:cNvPicPr>
                        </pic:nvPicPr>
                        <pic:blipFill>
                          <a:blip r:embed="rId13"/>
                          <a:stretch>
                            <a:fillRect/>
                          </a:stretch>
                        </pic:blipFill>
                        <pic:spPr>
                          <a:xfrm>
                            <a:off x="0" y="0"/>
                            <a:ext cx="581025" cy="409575"/>
                          </a:xfrm>
                          <a:prstGeom prst="rect">
                            <a:avLst/>
                          </a:prstGeom>
                          <a:noFill/>
                          <a:ln w="9525">
                            <a:noFill/>
                          </a:ln>
                        </pic:spPr>
                      </pic:pic>
                    </a:graphicData>
                  </a:graphic>
                </wp:inline>
              </w:drawing>
            </w:r>
          </w:p>
        </w:tc>
        <w:tc>
          <w:tcPr>
            <w:tcW w:w="5189" w:type="dxa"/>
            <w:shd w:val="clear" w:color="auto" w:fill="auto"/>
            <w:vAlign w:val="center"/>
          </w:tcPr>
          <w:p w14:paraId="066703C8">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主题游戏器械整体尺寸：12000*7500*5100mm，由以下部分组成：</w:t>
            </w:r>
          </w:p>
          <w:p w14:paraId="3F5672B8">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一、主题小屋：规格7800*5000*5100mm；</w:t>
            </w:r>
          </w:p>
          <w:p w14:paraId="2785245C">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1.支撑立柱及小屋框架：采用100*100*3mm镀锌方管经过氩弧焊及CO2气体保护焊（符合GB/T8110-1995要求）的焊接工艺，整体加工成型后进行抛砂处理，表面喷涂户外环保聚酯粉末，抗紫外光能力强，耐腐蚀；</w:t>
            </w:r>
          </w:p>
          <w:p w14:paraId="543753A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镀锌钢管表面平整光滑,无滴瘤、粗糙和锌刺,无起皮,无漏镀,无残留的溶剂渣,锌瘤和锌灰，耐人工气候老化无变色、无粉化、无可见开裂、无泡、无霉点、无锈点、10倍放大镜下无可见剥落符合GB/T1766-2008；GB/T1865-2009标准要求。★提供具有CMA标识并符合要求的检测报告</w:t>
            </w:r>
          </w:p>
          <w:p w14:paraId="5EC4A8B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3.小屋表面及平台面：采用厚度≥25mm巴蒂木经机械加工后人工精心打磨抛光成型用304不锈钢螺丝以及五金件组装而成；</w:t>
            </w:r>
          </w:p>
          <w:p w14:paraId="39C5EFBC">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4.油漆采用环保户外净味耐候木油。户外净味耐候木油的总铅含量、可溶性重金属含量(镉、铬、汞)、苯含量、甲苯与二甲苯(含乙苯)总和含量、挥发性有机化合物(VoC)含量、甲醛含量、卤代烃符合GB18581-2020；GB/T30647-2014；GB/T23990-2009；GB/T23991-2009；GB/T23992-2009；GB/T23993-2009标准要求，★提供具有CMA标识并符合要求的检测报告。</w:t>
            </w:r>
          </w:p>
          <w:p w14:paraId="39836A94">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5.网绳采用直径16mm的船用缆绳，内含六股钢丝绳，强度大，抗磨损，耐腐蚀，室外长达八年以上使用寿命；</w:t>
            </w:r>
          </w:p>
          <w:p w14:paraId="5367E82C">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6.网绳的断裂强力≥50000N、线密度≥250ktex符合GB/T 8834-2016标准要求。捻矩和编绞距达35mm、伸长率达1%。★投标时提供佐证材料证明。</w:t>
            </w:r>
          </w:p>
          <w:p w14:paraId="622059C4">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7.产品中扣件的漆膜硬度≥2h；漆膜耐冲击；中性盐雾连续喷雾18h镀涂层本身耐腐蚀等级及镀涂层对基体的保护等级均10级；抗拉强度≥766MPa；规定塑性延伸强度≥441MPa；断后伸长率≥48.0；密度为7.43g/cm³均符合QB/T3826-1999；QB/T3832-1999；GB/T228.1-2021；GB/T6739-2022；GB/T1732-2020；GB/T3850-2015标准要求，★提供具有CMA标识并符合要求的扣件检测报告。</w:t>
            </w:r>
          </w:p>
          <w:p w14:paraId="45204678">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8.产品脚盘的漆膜硬度≥2h；漆膜耐冲击；中性盐雾连续喷雾18h镀涂层本身耐腐蚀等级及镀涂层对基体的保护等级均10级；抗拉强度≥700MPa；规定塑性延伸强度≥400MPa；断后伸长率≥45.0；密度为7-7.8g/cm³均符合QB/T3826-1999；QB/T3832-1999；GB/T228.1-2021；GB/T6739-2022；GB/T1732-2020；GB/T3850-2015标准要求，★提供具有CMA标识并符合要求的脚盘检测报告。</w:t>
            </w:r>
          </w:p>
          <w:p w14:paraId="702FD16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9.所有螺丝等坚固件均采用304不锈钢防盗防脱落螺丝，长久使用不会存在脱落风险，安全可靠。</w:t>
            </w:r>
          </w:p>
          <w:p w14:paraId="7C83461E">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10.产品符合国家现行标准要求。</w:t>
            </w:r>
          </w:p>
          <w:p w14:paraId="60595B4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二、螺旋滑桶：规格2150*1900*2500mm；</w:t>
            </w:r>
          </w:p>
          <w:p w14:paraId="00EAF02B">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 xml:space="preserve">1.滑桶透明部分是采用高强度PC塑料经过注塑成型，厚度≥3mm；不透明部分采用进口PE塑料经过滚塑成型，厚度≥6mm，强度高，添加抗UV剂，防紫外线能力强，耐候性好，户外使用寿命长达八年以上； </w:t>
            </w:r>
          </w:p>
          <w:p w14:paraId="11B3289D">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2.接平台高度为1500mm;</w:t>
            </w:r>
          </w:p>
          <w:p w14:paraId="08E6A145">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3.支撑立柱：48*48*3mm镀锌圆管经过氩弧焊及CO2气体保护焊（符合GB/T8110-1995要求）的焊接工艺，整体加工成型后进行抛砂处理，表面喷涂户外环保聚酯粉末，抗紫外光能力强，耐腐蚀；</w:t>
            </w:r>
          </w:p>
          <w:p w14:paraId="3C333AA5">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三、直滑桶：规格4000*1150*2600mm；</w:t>
            </w:r>
          </w:p>
          <w:p w14:paraId="1EDEAAEE">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 xml:space="preserve">1.滑桶透明部分是采用高强度PC塑料经过注塑成型，厚度≥3mm；不透明部分采用进口PE塑料经过滚塑成型，厚度≥6mm，强度高，添加抗UV剂，防紫外线能力强，耐候性好，户外使用寿命长达八年以上； </w:t>
            </w:r>
          </w:p>
          <w:p w14:paraId="63FCE8B6">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2.接平台高度为1500mm;</w:t>
            </w:r>
          </w:p>
          <w:p w14:paraId="38529F1B">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3.支撑立柱：48*48*3mm镀锌圆管经过氩弧焊及CO2气体保护焊（符合GB/T8110-1995要求）的焊接工艺，整体加工成型后进行抛砂处理，表面喷涂户外环保聚酯粉末，抗紫外光能力强，耐腐蚀；</w:t>
            </w:r>
          </w:p>
          <w:p w14:paraId="42045410">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四、垂直钻网：规格1450*900*2950mm；</w:t>
            </w:r>
          </w:p>
          <w:p w14:paraId="58236B34">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1.网绳采用直径16mm的网绳，内含一股钢丝绳，外覆变色绵纶编织绳，强度大，抗磨损，耐腐蚀，室外长达八年以上使用寿命；</w:t>
            </w:r>
          </w:p>
          <w:p w14:paraId="062DBA56">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2.框架采用直径38mm,壁厚≥2.5mm镀锌圆管过氩弧焊及CO2气体保护焊（符合GB/T8110-1995要求）的焊接工艺，整体加工成型后进行抛砂处理，表面喷涂户外环保聚酯粉末，抗紫外光能力强，耐腐蚀；</w:t>
            </w:r>
          </w:p>
          <w:p w14:paraId="436E8A9F">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五、攀岩梯：规格1850*1500*2100mm；</w:t>
            </w:r>
          </w:p>
          <w:p w14:paraId="6478C5D9">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1.扶手：采用32*32*2.5mm镀锌圆管经过氩弧焊及CO2气体保护焊（符合GB/T8110-1995要求）的焊接工艺，整体加工成型后进行抛砂处理，表面喷涂户外环保聚酯粉末，抗紫外光能力强，耐腐蚀；</w:t>
            </w:r>
          </w:p>
          <w:p w14:paraId="7E01F262">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2.攀岩面：采用厚度≥25mm巴蒂木经机械加工后人工精心打磨抛光成型用304不锈钢螺丝以及五金件组装而成；</w:t>
            </w:r>
          </w:p>
          <w:p w14:paraId="7AE11576">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3.油漆采用环保户外净味耐候木油。户外净味耐候木油的总铅含量、可溶性重金属含量(镉、铬、汞)、苯含量、甲苯与二甲苯(含乙苯)总和含量、挥发性有机化合物(VoC)含量、甲醛含量、卤代烃符合GB18581-2020；GB/T30647-2014；GB/T23990-2009；GB/T23991-2009；GB/T23992-2009；GB/T23993-2009标准要求。</w:t>
            </w:r>
          </w:p>
          <w:p w14:paraId="4C2DBFB0">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4.攀岩点：采用ABS塑料经过注塑成型，强度高，不易断裂及破损，耐腐蚀，增加抗UV剂，防老化能力强；</w:t>
            </w:r>
          </w:p>
          <w:p w14:paraId="04E51764">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5.所有螺丝等坚固件均采用304不锈钢防盗防脱落螺丝，长久使用不会存在脱落风险，安全可靠。</w:t>
            </w:r>
          </w:p>
          <w:p w14:paraId="07AF0E15">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六、攀爬网：规格1850*1100*2100mm；</w:t>
            </w:r>
          </w:p>
          <w:p w14:paraId="3F9E4985">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1.扶手：采用32*32*2.5mm镀锌圆管经过氩弧焊及CO2气体保护焊（符合GB/T8110-1995要求）的焊接工艺，整体加工成型后进行抛砂处理，表面喷涂户外环保聚酯粉末，抗紫外光能力强，耐腐蚀；</w:t>
            </w:r>
          </w:p>
          <w:p w14:paraId="67E37CD3">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2.网绳采用直径16mm的船用缆绳，内含六股钢丝绳，强度大，抗磨损，耐腐蚀，室外长达八年以上使用寿命；</w:t>
            </w:r>
          </w:p>
          <w:p w14:paraId="28836378">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3.网绳的断裂强力≥58512N、线密度≥257ktex符合GB/T 8834-2016标准要求。捻矩和编绞距达36mm、伸长率达1.1%。</w:t>
            </w:r>
          </w:p>
          <w:p w14:paraId="28147817">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4.产品中扣件的漆膜硬度≥2h；漆膜耐冲击；中性盐雾连续喷雾18h镀涂层本身耐腐蚀等级及镀涂层对基体的保护等级均10级；抗拉强度≥766MPa；规定塑性延伸强度≥441MPa；断后伸长率≥48.0；密度为7.43g/cm³均符合QB/T3826-1999；QB/T3832-1999；GB/T228.1-2021；GB/T6739-2022；GB/T1732-2020；GB/T3850-2015标准要求。</w:t>
            </w:r>
          </w:p>
          <w:p w14:paraId="74140AAD">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5.扣件采用高强度铝合金扣，强度高，耐腐蚀能力强，不易断裂</w:t>
            </w:r>
          </w:p>
          <w:p w14:paraId="1BCFFD3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七、走梯：规格2000*1100*2900mm；</w:t>
            </w:r>
          </w:p>
          <w:p w14:paraId="53B3C456">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1.扶手：采用32*32*2.5mm镀锌圆管经过氩弧焊及CO2气体保护焊（符合GB/T8110-1995要求）的焊接工艺，整体加工成型后进行抛砂处理，表面喷涂户外环保聚酯粉末，抗紫外光能力强，耐腐蚀；</w:t>
            </w:r>
          </w:p>
          <w:p w14:paraId="6E057031">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2.走梯：采用厚度≥25mm巴蒂木经机械加工后人工精心打磨抛光成型用304不锈钢螺丝以及五金件组装而成；</w:t>
            </w:r>
          </w:p>
          <w:p w14:paraId="386F4990">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3.油漆采用环保户外净味耐候木油。户外净味耐候木油的总铅含量、可溶性重金属含量(镉、铬、汞)、苯含量、甲苯与二甲苯(含乙苯)总和含量、挥发性有机化合物(VoC)含量、甲醛含量、卤代烃符合GB18581-2020；GB/T30647-2014；GB/T23990-2009；GB/T23991-2009；GB/T23992-2009；GB/T23993-2009标准要求。</w:t>
            </w:r>
          </w:p>
          <w:p w14:paraId="4A5D580E">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八、传声筒：规格2000*500*2600mm；</w:t>
            </w:r>
          </w:p>
          <w:p w14:paraId="77BBC6F3">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1.采用直径60*60*2.5mm厚镀锌圆管经过氩弧焊及CO2气体保护焊（符合GB/T8110-1995要求）的焊接工艺，整体加工成型后进行抛砂处理，表面喷涂户外环保聚酯粉末，抗紫外光能力强，耐腐蚀；</w:t>
            </w:r>
          </w:p>
          <w:p w14:paraId="29A570E1">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九、方块桥：规格1700*800*1300mm：</w:t>
            </w:r>
          </w:p>
          <w:p w14:paraId="3AC81053">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1.网绳采用直径16mm的网绳，内含一股钢丝绳，外覆变色绵纶编织绳，强度大，抗磨损，耐腐蚀，室外使用寿命长；</w:t>
            </w:r>
          </w:p>
          <w:p w14:paraId="27C995A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方块采用100*100*100mm巴蒂木经机械加工后人工精心打磨抛光成型后油漆采用优质环保漆，无毒无味，经过三次粉刷后，产品表面光滑亮丽。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w:t>
            </w:r>
          </w:p>
          <w:p w14:paraId="6CF154BE">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十、拳击袋：规格250*250*1100mm：</w:t>
            </w:r>
          </w:p>
          <w:p w14:paraId="775875B4">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1.拳击袋内部采用重泡海绵直接压制成型；外表面采用户外专用牛津布缝制成型，防雨防晒，不易破裂，使用安全可靠；</w:t>
            </w:r>
          </w:p>
          <w:p w14:paraId="2127DD95">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十一、吊环组合：单个规格200*30*300mm：</w:t>
            </w:r>
          </w:p>
          <w:p w14:paraId="45A2E5AF">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1.吊环先采用钢材压制作成型，外面再用PVC材料包胶处理，使用手感柔软，握感舒适；单个产品承重力达100KG以上；</w:t>
            </w:r>
          </w:p>
          <w:p w14:paraId="2CDB6AD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十二、秋千：规格600*200*1100mm：</w:t>
            </w:r>
          </w:p>
          <w:p w14:paraId="4748E102">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1.一字秋千座垫采用EVA材质制作成型，最大承载力达到120KG；强度高，耐腐蚀，抗老化能力强：</w:t>
            </w:r>
          </w:p>
          <w:p w14:paraId="31D5906B">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2.链条采用热镀锌链条，外面用PVC包胶处理，握感柔软，舒适，不会卡儿童手指，使用安全可靠；</w:t>
            </w:r>
          </w:p>
        </w:tc>
        <w:tc>
          <w:tcPr>
            <w:tcW w:w="758" w:type="dxa"/>
            <w:vAlign w:val="center"/>
          </w:tcPr>
          <w:p w14:paraId="3B6B56F4">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621D58D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23CC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1B27772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C36242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玩沙组合</w:t>
            </w:r>
          </w:p>
        </w:tc>
        <w:tc>
          <w:tcPr>
            <w:tcW w:w="1154" w:type="dxa"/>
            <w:vAlign w:val="center"/>
          </w:tcPr>
          <w:p w14:paraId="5CAD63E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09575"/>
                  <wp:effectExtent l="0" t="0" r="9525" b="9525"/>
                  <wp:docPr id="43" name="图片 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descr="IMG_257"/>
                          <pic:cNvPicPr>
                            <a:picLocks noChangeAspect="1"/>
                          </pic:cNvPicPr>
                        </pic:nvPicPr>
                        <pic:blipFill>
                          <a:blip r:embed="rId14"/>
                          <a:stretch>
                            <a:fillRect/>
                          </a:stretch>
                        </pic:blipFill>
                        <pic:spPr>
                          <a:xfrm>
                            <a:off x="0" y="0"/>
                            <a:ext cx="581025" cy="409575"/>
                          </a:xfrm>
                          <a:prstGeom prst="rect">
                            <a:avLst/>
                          </a:prstGeom>
                          <a:noFill/>
                          <a:ln w="9525">
                            <a:noFill/>
                          </a:ln>
                        </pic:spPr>
                      </pic:pic>
                    </a:graphicData>
                  </a:graphic>
                </wp:inline>
              </w:drawing>
            </w:r>
          </w:p>
        </w:tc>
        <w:tc>
          <w:tcPr>
            <w:tcW w:w="5189" w:type="dxa"/>
            <w:vAlign w:val="center"/>
          </w:tcPr>
          <w:p w14:paraId="18328A2E">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规格：3800*3000*1800mm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立柱采用100*100mm优质巴蒂木经机械加工后人工精心打磨抛光成型用304不锈钢螺丝以及五金件组装而成，油漆采用优质环保漆，无毒无味，经过三次粉刷后，产品表面光滑亮丽。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2.平台采用厚度≥19mm的高强度PE板材经激光雕刻后再人工打磨，边沿光滑，无毛刺现象；</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3.其它配件均采用3mm厚，优质304不锈钢经冲压后再经焊接成型，表面经打磨后再拉丝处理，边缘光滑无棱角无毛刺，耐腐蚀能力强，牢固可靠，使用寿命长；</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4.产品符合国家现行标准要求。</w:t>
            </w:r>
          </w:p>
        </w:tc>
        <w:tc>
          <w:tcPr>
            <w:tcW w:w="758" w:type="dxa"/>
            <w:vAlign w:val="center"/>
          </w:tcPr>
          <w:p w14:paraId="106E9CB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2C4DE3E1">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645F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B7B30A5">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5EE50D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阿基米德戏水</w:t>
            </w:r>
          </w:p>
        </w:tc>
        <w:tc>
          <w:tcPr>
            <w:tcW w:w="1154" w:type="dxa"/>
            <w:vAlign w:val="center"/>
          </w:tcPr>
          <w:p w14:paraId="0B2D546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19100"/>
                  <wp:effectExtent l="0" t="0" r="9525" b="0"/>
                  <wp:docPr id="44" name="图片 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IMG_258"/>
                          <pic:cNvPicPr>
                            <a:picLocks noChangeAspect="1"/>
                          </pic:cNvPicPr>
                        </pic:nvPicPr>
                        <pic:blipFill>
                          <a:blip r:embed="rId15"/>
                          <a:stretch>
                            <a:fillRect/>
                          </a:stretch>
                        </pic:blipFill>
                        <pic:spPr>
                          <a:xfrm>
                            <a:off x="0" y="0"/>
                            <a:ext cx="581025" cy="419100"/>
                          </a:xfrm>
                          <a:prstGeom prst="rect">
                            <a:avLst/>
                          </a:prstGeom>
                          <a:noFill/>
                          <a:ln w="9525">
                            <a:noFill/>
                          </a:ln>
                        </pic:spPr>
                      </pic:pic>
                    </a:graphicData>
                  </a:graphic>
                </wp:inline>
              </w:drawing>
            </w:r>
          </w:p>
        </w:tc>
        <w:tc>
          <w:tcPr>
            <w:tcW w:w="5189" w:type="dxa"/>
            <w:vAlign w:val="center"/>
          </w:tcPr>
          <w:p w14:paraId="45D1DFA2">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1.规格：2500*700*1600mm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2.材质：采用3mm厚304拉丝不锈钢材料经过弯曲和焊接处理后，表面光滑无锐表面经打磨后再拉丝处理，边缘光滑无棱角无毛刺，保证儿童使用安全可靠；</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3.拉丝不锈钢进行耐腐蚀试验，中性盐雾试验120h,耐腐蚀等级达到10级，符合QB/T3826-1999要求，★提供具有CMA标识并符合要求的检测报告。</w:t>
            </w:r>
          </w:p>
        </w:tc>
        <w:tc>
          <w:tcPr>
            <w:tcW w:w="758" w:type="dxa"/>
            <w:vAlign w:val="center"/>
          </w:tcPr>
          <w:p w14:paraId="3C535247">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3A093A98">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2718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7646915D">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253A502">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阿基米德戏水2</w:t>
            </w:r>
          </w:p>
        </w:tc>
        <w:tc>
          <w:tcPr>
            <w:tcW w:w="1154" w:type="dxa"/>
            <w:vAlign w:val="center"/>
          </w:tcPr>
          <w:p w14:paraId="7B2C67E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4" name="图片 4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0" descr="IMG_259"/>
                          <pic:cNvPicPr>
                            <a:picLocks noChangeAspect="1"/>
                          </pic:cNvPicPr>
                        </pic:nvPicPr>
                        <pic:blipFill>
                          <a:blip r:embed="rId16"/>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3492D66F">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1.规格：600*350*700mm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2.材质：采用3mm厚304拉丝不锈钢材料经过弯曲和焊接处理后，表面光滑无锐表面经打磨后再拉丝处理，边缘光滑无棱角无毛刺，保证儿童使用安全可靠；</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3.拉丝不锈钢进行耐腐蚀试验，中性盐雾试验120h,耐腐蚀等级达到10级，符合QB/T3826-1999要求</w:t>
            </w:r>
          </w:p>
        </w:tc>
        <w:tc>
          <w:tcPr>
            <w:tcW w:w="758" w:type="dxa"/>
            <w:vAlign w:val="center"/>
          </w:tcPr>
          <w:p w14:paraId="5B3FFC8F">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1022DF48">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6AF7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2A3F16A">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0F3E187">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木质拓展1</w:t>
            </w:r>
          </w:p>
        </w:tc>
        <w:tc>
          <w:tcPr>
            <w:tcW w:w="1154" w:type="dxa"/>
            <w:vAlign w:val="center"/>
          </w:tcPr>
          <w:p w14:paraId="4C7B1EE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85775"/>
                  <wp:effectExtent l="0" t="0" r="9525" b="9525"/>
                  <wp:docPr id="5" name="图片 4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descr="IMG_260"/>
                          <pic:cNvPicPr>
                            <a:picLocks noChangeAspect="1"/>
                          </pic:cNvPicPr>
                        </pic:nvPicPr>
                        <pic:blipFill>
                          <a:blip r:embed="rId17"/>
                          <a:stretch>
                            <a:fillRect/>
                          </a:stretch>
                        </pic:blipFill>
                        <pic:spPr>
                          <a:xfrm>
                            <a:off x="0" y="0"/>
                            <a:ext cx="581025" cy="485775"/>
                          </a:xfrm>
                          <a:prstGeom prst="rect">
                            <a:avLst/>
                          </a:prstGeom>
                          <a:noFill/>
                          <a:ln w="9525">
                            <a:noFill/>
                          </a:ln>
                        </pic:spPr>
                      </pic:pic>
                    </a:graphicData>
                  </a:graphic>
                </wp:inline>
              </w:drawing>
            </w:r>
          </w:p>
        </w:tc>
        <w:tc>
          <w:tcPr>
            <w:tcW w:w="5189" w:type="dxa"/>
            <w:vAlign w:val="center"/>
          </w:tcPr>
          <w:p w14:paraId="4E3BD713">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规格：直径140mm，高度900mm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材质：1.木制品采用直径≥140mm的优质巴蒂木经机械加工后人工精心打磨抛光成型用304不锈钢螺丝以及五金件组装而成；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油漆采用优质环保漆，无毒无味，经过三次粉刷后，产品表面光滑亮丽。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w:t>
            </w:r>
          </w:p>
        </w:tc>
        <w:tc>
          <w:tcPr>
            <w:tcW w:w="758" w:type="dxa"/>
            <w:vAlign w:val="center"/>
          </w:tcPr>
          <w:p w14:paraId="4E83CE00">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10</w:t>
            </w:r>
          </w:p>
        </w:tc>
        <w:tc>
          <w:tcPr>
            <w:tcW w:w="522" w:type="dxa"/>
            <w:vAlign w:val="center"/>
          </w:tcPr>
          <w:p w14:paraId="1DD2983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根</w:t>
            </w:r>
          </w:p>
        </w:tc>
      </w:tr>
      <w:tr w14:paraId="4702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254D800">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94E512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木质拓展2</w:t>
            </w:r>
          </w:p>
        </w:tc>
        <w:tc>
          <w:tcPr>
            <w:tcW w:w="1154" w:type="dxa"/>
            <w:vAlign w:val="center"/>
          </w:tcPr>
          <w:p w14:paraId="7A1C9F1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19100"/>
                  <wp:effectExtent l="0" t="0" r="9525" b="0"/>
                  <wp:docPr id="45" name="图片 4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2" descr="IMG_261"/>
                          <pic:cNvPicPr>
                            <a:picLocks noChangeAspect="1"/>
                          </pic:cNvPicPr>
                        </pic:nvPicPr>
                        <pic:blipFill>
                          <a:blip r:embed="rId18"/>
                          <a:stretch>
                            <a:fillRect/>
                          </a:stretch>
                        </pic:blipFill>
                        <pic:spPr>
                          <a:xfrm>
                            <a:off x="0" y="0"/>
                            <a:ext cx="581025" cy="419100"/>
                          </a:xfrm>
                          <a:prstGeom prst="rect">
                            <a:avLst/>
                          </a:prstGeom>
                          <a:noFill/>
                          <a:ln w="9525">
                            <a:noFill/>
                          </a:ln>
                        </pic:spPr>
                      </pic:pic>
                    </a:graphicData>
                  </a:graphic>
                </wp:inline>
              </w:drawing>
            </w:r>
          </w:p>
        </w:tc>
        <w:tc>
          <w:tcPr>
            <w:tcW w:w="5189" w:type="dxa"/>
            <w:vAlign w:val="center"/>
          </w:tcPr>
          <w:p w14:paraId="5B246673">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规格：3300*1000*1300mm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材质：1.木制品采用优质巴蒂木经机械加工后人工精心打磨抛光成型用304不锈钢螺丝以及五金件组装而成；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油漆采用优质环保漆，无毒无味，经过三次粉刷后，产品表面光滑亮丽。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w:t>
            </w:r>
          </w:p>
        </w:tc>
        <w:tc>
          <w:tcPr>
            <w:tcW w:w="758" w:type="dxa"/>
            <w:vAlign w:val="center"/>
          </w:tcPr>
          <w:p w14:paraId="15A89A6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19C3DDF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78E1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FA0A94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647462F">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轮胎</w:t>
            </w:r>
          </w:p>
        </w:tc>
        <w:tc>
          <w:tcPr>
            <w:tcW w:w="1154" w:type="dxa"/>
            <w:vAlign w:val="center"/>
          </w:tcPr>
          <w:p w14:paraId="3AC5A3D3">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81000"/>
                  <wp:effectExtent l="0" t="0" r="9525" b="0"/>
                  <wp:docPr id="7" name="图片 4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3" descr="IMG_262"/>
                          <pic:cNvPicPr>
                            <a:picLocks noChangeAspect="1"/>
                          </pic:cNvPicPr>
                        </pic:nvPicPr>
                        <pic:blipFill>
                          <a:blip r:embed="rId19"/>
                          <a:stretch>
                            <a:fillRect/>
                          </a:stretch>
                        </pic:blipFill>
                        <pic:spPr>
                          <a:xfrm>
                            <a:off x="0" y="0"/>
                            <a:ext cx="581025" cy="381000"/>
                          </a:xfrm>
                          <a:prstGeom prst="rect">
                            <a:avLst/>
                          </a:prstGeom>
                          <a:noFill/>
                          <a:ln w="9525">
                            <a:noFill/>
                          </a:ln>
                        </pic:spPr>
                      </pic:pic>
                    </a:graphicData>
                  </a:graphic>
                </wp:inline>
              </w:drawing>
            </w:r>
          </w:p>
        </w:tc>
        <w:tc>
          <w:tcPr>
            <w:tcW w:w="5189" w:type="dxa"/>
            <w:vAlign w:val="center"/>
          </w:tcPr>
          <w:p w14:paraId="5BD9D80F">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1.规格：直径：500mm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2.材质：采用自然轮胎外喷环保水性油漆，互相之间采用304不锈钢螺丝进行联接；</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3.不锈钢螺丝抗拉强度Rm(MPa)≥839，维氏硬度(HV0.5)≥265，洛氏硬度HRA≥31.6，中性盐雾试验10级均符合GB/T 228.1-2021；GB/T 230.1-2018；GB/T10125-2021标准要求。★提供具有CMA标识并符合要求的检测报告</w:t>
            </w:r>
          </w:p>
        </w:tc>
        <w:tc>
          <w:tcPr>
            <w:tcW w:w="758" w:type="dxa"/>
            <w:vAlign w:val="center"/>
          </w:tcPr>
          <w:p w14:paraId="532D833A">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5</w:t>
            </w:r>
          </w:p>
        </w:tc>
        <w:tc>
          <w:tcPr>
            <w:tcW w:w="522" w:type="dxa"/>
            <w:vAlign w:val="center"/>
          </w:tcPr>
          <w:p w14:paraId="57EEA4D5">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4B0B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744EEA5">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D69AEAA">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滑索</w:t>
            </w:r>
          </w:p>
        </w:tc>
        <w:tc>
          <w:tcPr>
            <w:tcW w:w="1154" w:type="dxa"/>
            <w:vAlign w:val="center"/>
          </w:tcPr>
          <w:p w14:paraId="58DB58FF">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04800"/>
                  <wp:effectExtent l="0" t="0" r="9525" b="0"/>
                  <wp:docPr id="8" name="图片 4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4" descr="IMG_263"/>
                          <pic:cNvPicPr>
                            <a:picLocks noChangeAspect="1"/>
                          </pic:cNvPicPr>
                        </pic:nvPicPr>
                        <pic:blipFill>
                          <a:blip r:embed="rId20"/>
                          <a:stretch>
                            <a:fillRect/>
                          </a:stretch>
                        </pic:blipFill>
                        <pic:spPr>
                          <a:xfrm>
                            <a:off x="0" y="0"/>
                            <a:ext cx="581025" cy="304800"/>
                          </a:xfrm>
                          <a:prstGeom prst="rect">
                            <a:avLst/>
                          </a:prstGeom>
                          <a:noFill/>
                          <a:ln w="9525">
                            <a:noFill/>
                          </a:ln>
                        </pic:spPr>
                      </pic:pic>
                    </a:graphicData>
                  </a:graphic>
                </wp:inline>
              </w:drawing>
            </w:r>
          </w:p>
        </w:tc>
        <w:tc>
          <w:tcPr>
            <w:tcW w:w="5189" w:type="dxa"/>
            <w:vAlign w:val="center"/>
          </w:tcPr>
          <w:p w14:paraId="30F7F017">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规格：9000*1600*2200mm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材质：1.立柱及平台均采用厚度≥26mm进口巴蒂木经机械加工后人工精心打磨抛光成型用304不锈钢螺丝以及五金件组装而成；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提供具有CMA标识并符合要求的检测报告</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3.网绳采用直径10mm的304不锈钢丝绳，强度大，抗磨损，耐腐蚀，室外长达八年以上使用寿命；</w:t>
            </w:r>
          </w:p>
        </w:tc>
        <w:tc>
          <w:tcPr>
            <w:tcW w:w="758" w:type="dxa"/>
            <w:vAlign w:val="center"/>
          </w:tcPr>
          <w:p w14:paraId="2B01F10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37515882">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3453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172D1AF6">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22D5D78B">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梅花桩</w:t>
            </w:r>
          </w:p>
        </w:tc>
        <w:tc>
          <w:tcPr>
            <w:tcW w:w="1154" w:type="dxa"/>
            <w:vAlign w:val="center"/>
          </w:tcPr>
          <w:p w14:paraId="7247AC5D">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00050"/>
                  <wp:effectExtent l="0" t="0" r="9525" b="0"/>
                  <wp:docPr id="46" name="图片 4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IMG_264"/>
                          <pic:cNvPicPr>
                            <a:picLocks noChangeAspect="1"/>
                          </pic:cNvPicPr>
                        </pic:nvPicPr>
                        <pic:blipFill>
                          <a:blip r:embed="rId21"/>
                          <a:stretch>
                            <a:fillRect/>
                          </a:stretch>
                        </pic:blipFill>
                        <pic:spPr>
                          <a:xfrm>
                            <a:off x="0" y="0"/>
                            <a:ext cx="581025" cy="400050"/>
                          </a:xfrm>
                          <a:prstGeom prst="rect">
                            <a:avLst/>
                          </a:prstGeom>
                          <a:noFill/>
                          <a:ln w="9525">
                            <a:noFill/>
                          </a:ln>
                        </pic:spPr>
                      </pic:pic>
                    </a:graphicData>
                  </a:graphic>
                </wp:inline>
              </w:drawing>
            </w:r>
          </w:p>
        </w:tc>
        <w:tc>
          <w:tcPr>
            <w:tcW w:w="5189" w:type="dxa"/>
            <w:vAlign w:val="center"/>
          </w:tcPr>
          <w:p w14:paraId="2A2B0CF3">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规格：直径150-250mm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材质：1.采用优质巴蒂木经机械加工后经打磨抛光无毛刺且表面光滑无棱角；</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油漆采用优质环保漆，无毒无味，经过三次粉刷后，产品表面光滑亮丽。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w:t>
            </w:r>
          </w:p>
        </w:tc>
        <w:tc>
          <w:tcPr>
            <w:tcW w:w="758" w:type="dxa"/>
            <w:vAlign w:val="center"/>
          </w:tcPr>
          <w:p w14:paraId="200AAE2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6</w:t>
            </w:r>
          </w:p>
        </w:tc>
        <w:tc>
          <w:tcPr>
            <w:tcW w:w="522" w:type="dxa"/>
            <w:vAlign w:val="center"/>
          </w:tcPr>
          <w:p w14:paraId="6DE56EC6">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1F9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9CE2CC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A919014">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木质障碍桥</w:t>
            </w:r>
          </w:p>
        </w:tc>
        <w:tc>
          <w:tcPr>
            <w:tcW w:w="1154" w:type="dxa"/>
            <w:vAlign w:val="center"/>
          </w:tcPr>
          <w:p w14:paraId="5E379F60">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81000"/>
                  <wp:effectExtent l="0" t="0" r="9525" b="0"/>
                  <wp:docPr id="47" name="图片 4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IMG_265"/>
                          <pic:cNvPicPr>
                            <a:picLocks noChangeAspect="1"/>
                          </pic:cNvPicPr>
                        </pic:nvPicPr>
                        <pic:blipFill>
                          <a:blip r:embed="rId22"/>
                          <a:stretch>
                            <a:fillRect/>
                          </a:stretch>
                        </pic:blipFill>
                        <pic:spPr>
                          <a:xfrm>
                            <a:off x="0" y="0"/>
                            <a:ext cx="581025" cy="381000"/>
                          </a:xfrm>
                          <a:prstGeom prst="rect">
                            <a:avLst/>
                          </a:prstGeom>
                          <a:noFill/>
                          <a:ln w="9525">
                            <a:noFill/>
                          </a:ln>
                        </pic:spPr>
                      </pic:pic>
                    </a:graphicData>
                  </a:graphic>
                </wp:inline>
              </w:drawing>
            </w:r>
          </w:p>
        </w:tc>
        <w:tc>
          <w:tcPr>
            <w:tcW w:w="5189" w:type="dxa"/>
            <w:vAlign w:val="center"/>
          </w:tcPr>
          <w:p w14:paraId="71D5C752">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规格：2200*800*900mm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材质：1.网绳采用直径16mm的船用缆绳，内含六股钢丝绳，外覆变色绵纶编织绳，强度大，抗磨损，耐腐蚀，室外长达八年以上使用寿命；</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2.木制品采用优质巴蒂木经机械加工后人工精心打磨抛光成型用304不锈钢螺丝以及五金件组装而成；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油漆采用优质环保漆，无毒无味，经过三次粉刷后，产品表面光滑亮丽。油漆耐黄变性（168h）≤0.5、耐水性、耐沸水性、耐划伤性、硬度≥2H、耐磨性（750g/500r）≤0.023g、抗黏连性、VOC含量、总铅(Pb)含量、可溶性重金属含量、乙二醇醚及醚酯总和含量、苯系物总和含量、工业涂料中有害物质限量均符合GB/T23999-2009；GB18581-2020；HJ2537-2014标准要求。</w:t>
            </w:r>
          </w:p>
        </w:tc>
        <w:tc>
          <w:tcPr>
            <w:tcW w:w="758" w:type="dxa"/>
            <w:vAlign w:val="center"/>
          </w:tcPr>
          <w:p w14:paraId="2D158417">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6AA0B37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0ADF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1B61D67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0C29830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单人滑梯</w:t>
            </w:r>
          </w:p>
        </w:tc>
        <w:tc>
          <w:tcPr>
            <w:tcW w:w="1154" w:type="dxa"/>
            <w:vAlign w:val="center"/>
          </w:tcPr>
          <w:p w14:paraId="2B55AE0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52425"/>
                  <wp:effectExtent l="0" t="0" r="9525" b="9525"/>
                  <wp:docPr id="11" name="图片 4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7" descr="IMG_266"/>
                          <pic:cNvPicPr>
                            <a:picLocks noChangeAspect="1"/>
                          </pic:cNvPicPr>
                        </pic:nvPicPr>
                        <pic:blipFill>
                          <a:blip r:embed="rId23"/>
                          <a:stretch>
                            <a:fillRect/>
                          </a:stretch>
                        </pic:blipFill>
                        <pic:spPr>
                          <a:xfrm>
                            <a:off x="0" y="0"/>
                            <a:ext cx="581025" cy="352425"/>
                          </a:xfrm>
                          <a:prstGeom prst="rect">
                            <a:avLst/>
                          </a:prstGeom>
                          <a:noFill/>
                          <a:ln w="9525">
                            <a:noFill/>
                          </a:ln>
                        </pic:spPr>
                      </pic:pic>
                    </a:graphicData>
                  </a:graphic>
                </wp:inline>
              </w:drawing>
            </w:r>
          </w:p>
        </w:tc>
        <w:tc>
          <w:tcPr>
            <w:tcW w:w="5189" w:type="dxa"/>
            <w:vAlign w:val="center"/>
          </w:tcPr>
          <w:p w14:paraId="4DAA51CD">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规格：接1200mm高平台</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材质：采用进口PE塑料经过滚塑成型，厚度≥6mm，强度高，添加抗UV剂，防紫外线能力强，耐候性好，户外使用寿命长达八年以上；</w:t>
            </w:r>
          </w:p>
        </w:tc>
        <w:tc>
          <w:tcPr>
            <w:tcW w:w="758" w:type="dxa"/>
            <w:vAlign w:val="center"/>
          </w:tcPr>
          <w:p w14:paraId="1530D1E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76E1D0E8">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5539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2C8807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04EF265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爬梯</w:t>
            </w:r>
          </w:p>
        </w:tc>
        <w:tc>
          <w:tcPr>
            <w:tcW w:w="1154" w:type="dxa"/>
            <w:vAlign w:val="center"/>
          </w:tcPr>
          <w:p w14:paraId="35E5931C">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09575"/>
                  <wp:effectExtent l="0" t="0" r="9525" b="9525"/>
                  <wp:docPr id="12" name="图片 4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8" descr="IMG_267"/>
                          <pic:cNvPicPr>
                            <a:picLocks noChangeAspect="1"/>
                          </pic:cNvPicPr>
                        </pic:nvPicPr>
                        <pic:blipFill>
                          <a:blip r:embed="rId24"/>
                          <a:stretch>
                            <a:fillRect/>
                          </a:stretch>
                        </pic:blipFill>
                        <pic:spPr>
                          <a:xfrm>
                            <a:off x="0" y="0"/>
                            <a:ext cx="581025" cy="409575"/>
                          </a:xfrm>
                          <a:prstGeom prst="rect">
                            <a:avLst/>
                          </a:prstGeom>
                          <a:noFill/>
                          <a:ln w="9525">
                            <a:noFill/>
                          </a:ln>
                        </pic:spPr>
                      </pic:pic>
                    </a:graphicData>
                  </a:graphic>
                </wp:inline>
              </w:drawing>
            </w:r>
          </w:p>
        </w:tc>
        <w:tc>
          <w:tcPr>
            <w:tcW w:w="5189" w:type="dxa"/>
            <w:vAlign w:val="center"/>
          </w:tcPr>
          <w:p w14:paraId="4032C367">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规格：1300*500mm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支撑边杆：直径35mm镀锌管制作而成。镀锌管的漆膜硬度≥2h；漆膜耐冲击；中性盐雾连续喷雾18h镀涂层本身耐腐蚀等级及镀涂层对基体的保护等级均10级；抗拉强度≥715MPa；规定塑性延伸强度≥400MPa；断后伸长率≥48.0；密度为7.45g/cm³均符合QB/T3832-1999；QB/T3826-1999；GB/T228.1-2021；GB/T6739-2022；GB/T1732-2020；GB/T3850-2015标准要求。提供具有CMA标识并符合要求的检测报告</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2.木制品采用直径25mm的优质巴蒂木经机械加工后人工精心打磨抛光成型用304不锈钢螺丝以及五金件组装而成；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3.油漆采用水性清漆，无毒无味，经过三次粉刷后，产品表面光滑亮丽；</w:t>
            </w:r>
          </w:p>
        </w:tc>
        <w:tc>
          <w:tcPr>
            <w:tcW w:w="758" w:type="dxa"/>
            <w:vAlign w:val="center"/>
          </w:tcPr>
          <w:p w14:paraId="4D943E0A">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2</w:t>
            </w:r>
          </w:p>
        </w:tc>
        <w:tc>
          <w:tcPr>
            <w:tcW w:w="522" w:type="dxa"/>
            <w:vAlign w:val="center"/>
          </w:tcPr>
          <w:p w14:paraId="1F3B51F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37B6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3E2E21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469003E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不锈钢滑桶</w:t>
            </w:r>
          </w:p>
        </w:tc>
        <w:tc>
          <w:tcPr>
            <w:tcW w:w="1154" w:type="dxa"/>
            <w:vAlign w:val="center"/>
          </w:tcPr>
          <w:p w14:paraId="33D8F73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61950"/>
                  <wp:effectExtent l="0" t="0" r="9525" b="0"/>
                  <wp:docPr id="13" name="图片 4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9" descr="IMG_268"/>
                          <pic:cNvPicPr>
                            <a:picLocks noChangeAspect="1"/>
                          </pic:cNvPicPr>
                        </pic:nvPicPr>
                        <pic:blipFill>
                          <a:blip r:embed="rId25"/>
                          <a:stretch>
                            <a:fillRect/>
                          </a:stretch>
                        </pic:blipFill>
                        <pic:spPr>
                          <a:xfrm>
                            <a:off x="0" y="0"/>
                            <a:ext cx="581025" cy="361950"/>
                          </a:xfrm>
                          <a:prstGeom prst="rect">
                            <a:avLst/>
                          </a:prstGeom>
                          <a:noFill/>
                          <a:ln w="9525">
                            <a:noFill/>
                          </a:ln>
                        </pic:spPr>
                      </pic:pic>
                    </a:graphicData>
                  </a:graphic>
                </wp:inline>
              </w:drawing>
            </w:r>
          </w:p>
        </w:tc>
        <w:tc>
          <w:tcPr>
            <w:tcW w:w="5189" w:type="dxa"/>
            <w:vAlign w:val="center"/>
          </w:tcPr>
          <w:p w14:paraId="2E8D32E7">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规格：直径760mm，长度2500mm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材质：采用壁厚≥3mm厚，304不锈钢材料经过激光切割和焊接处理后，表面光滑无锐表面经打磨后再拉丝处理，边缘光滑无棱角无毛刺，保证儿童使用安全可靠；</w:t>
            </w:r>
          </w:p>
        </w:tc>
        <w:tc>
          <w:tcPr>
            <w:tcW w:w="758" w:type="dxa"/>
            <w:vAlign w:val="center"/>
          </w:tcPr>
          <w:p w14:paraId="074BED8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56AA61D7">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30AF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F5B502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9999B2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攀岩点</w:t>
            </w:r>
          </w:p>
        </w:tc>
        <w:tc>
          <w:tcPr>
            <w:tcW w:w="1154" w:type="dxa"/>
            <w:vAlign w:val="center"/>
          </w:tcPr>
          <w:p w14:paraId="7C141A86">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09575"/>
                  <wp:effectExtent l="0" t="0" r="9525" b="9525"/>
                  <wp:docPr id="14" name="图片 5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0" descr="IMG_269"/>
                          <pic:cNvPicPr>
                            <a:picLocks noChangeAspect="1"/>
                          </pic:cNvPicPr>
                        </pic:nvPicPr>
                        <pic:blipFill>
                          <a:blip r:embed="rId26"/>
                          <a:stretch>
                            <a:fillRect/>
                          </a:stretch>
                        </pic:blipFill>
                        <pic:spPr>
                          <a:xfrm>
                            <a:off x="0" y="0"/>
                            <a:ext cx="581025" cy="409575"/>
                          </a:xfrm>
                          <a:prstGeom prst="rect">
                            <a:avLst/>
                          </a:prstGeom>
                          <a:noFill/>
                          <a:ln w="9525">
                            <a:noFill/>
                          </a:ln>
                        </pic:spPr>
                      </pic:pic>
                    </a:graphicData>
                  </a:graphic>
                </wp:inline>
              </w:drawing>
            </w:r>
          </w:p>
        </w:tc>
        <w:tc>
          <w:tcPr>
            <w:tcW w:w="5189" w:type="dxa"/>
            <w:vAlign w:val="center"/>
          </w:tcPr>
          <w:p w14:paraId="3868E234">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规格：单个</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材质：采用ABS工程塑料经过注塑成型，强度高，耐腐蚀能力和防老化能力强，户外使用寿命长达十年以上，使用安全可靠；</w:t>
            </w:r>
          </w:p>
        </w:tc>
        <w:tc>
          <w:tcPr>
            <w:tcW w:w="758" w:type="dxa"/>
            <w:vAlign w:val="center"/>
          </w:tcPr>
          <w:p w14:paraId="6CE8C23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15</w:t>
            </w:r>
          </w:p>
        </w:tc>
        <w:tc>
          <w:tcPr>
            <w:tcW w:w="522" w:type="dxa"/>
            <w:vAlign w:val="center"/>
          </w:tcPr>
          <w:p w14:paraId="0AA3BCE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1335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6EFBDC3">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DDB1DF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骑车障碍1</w:t>
            </w:r>
          </w:p>
        </w:tc>
        <w:tc>
          <w:tcPr>
            <w:tcW w:w="1154" w:type="dxa"/>
            <w:vAlign w:val="center"/>
          </w:tcPr>
          <w:p w14:paraId="232FD7F3">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47675"/>
                  <wp:effectExtent l="0" t="0" r="9525" b="9525"/>
                  <wp:docPr id="15" name="图片 5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1" descr="IMG_270"/>
                          <pic:cNvPicPr>
                            <a:picLocks noChangeAspect="1"/>
                          </pic:cNvPicPr>
                        </pic:nvPicPr>
                        <pic:blipFill>
                          <a:blip r:embed="rId27"/>
                          <a:stretch>
                            <a:fillRect/>
                          </a:stretch>
                        </pic:blipFill>
                        <pic:spPr>
                          <a:xfrm>
                            <a:off x="0" y="0"/>
                            <a:ext cx="581025" cy="447675"/>
                          </a:xfrm>
                          <a:prstGeom prst="rect">
                            <a:avLst/>
                          </a:prstGeom>
                          <a:noFill/>
                          <a:ln w="9525">
                            <a:noFill/>
                          </a:ln>
                        </pic:spPr>
                      </pic:pic>
                    </a:graphicData>
                  </a:graphic>
                </wp:inline>
              </w:drawing>
            </w:r>
          </w:p>
        </w:tc>
        <w:tc>
          <w:tcPr>
            <w:tcW w:w="5189" w:type="dxa"/>
            <w:vAlign w:val="center"/>
          </w:tcPr>
          <w:p w14:paraId="546A6B58">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规格：长：3000mm，宽：800mm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材质：1.木制品采用厚度≥26mm进口巴蒂木经机械加工后人工精心打磨抛光成型用304不锈钢螺丝以及五金件组装而成；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2.油漆采用环保漆，无毒无味，经过三次粉刷后，产品表面光滑亮丽；</w:t>
            </w:r>
          </w:p>
        </w:tc>
        <w:tc>
          <w:tcPr>
            <w:tcW w:w="758" w:type="dxa"/>
            <w:vAlign w:val="center"/>
          </w:tcPr>
          <w:p w14:paraId="0EC16AFF">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3DA4B9E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2FE3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D31E345">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120E3F6">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骑车障碍2</w:t>
            </w:r>
          </w:p>
        </w:tc>
        <w:tc>
          <w:tcPr>
            <w:tcW w:w="1154" w:type="dxa"/>
            <w:vAlign w:val="center"/>
          </w:tcPr>
          <w:p w14:paraId="368E062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438150"/>
                  <wp:effectExtent l="0" t="0" r="9525" b="0"/>
                  <wp:docPr id="16" name="图片 5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2" descr="IMG_271"/>
                          <pic:cNvPicPr>
                            <a:picLocks noChangeAspect="1"/>
                          </pic:cNvPicPr>
                        </pic:nvPicPr>
                        <pic:blipFill>
                          <a:blip r:embed="rId28"/>
                          <a:stretch>
                            <a:fillRect/>
                          </a:stretch>
                        </pic:blipFill>
                        <pic:spPr>
                          <a:xfrm>
                            <a:off x="0" y="0"/>
                            <a:ext cx="581025" cy="438150"/>
                          </a:xfrm>
                          <a:prstGeom prst="rect">
                            <a:avLst/>
                          </a:prstGeom>
                          <a:noFill/>
                          <a:ln w="9525">
                            <a:noFill/>
                          </a:ln>
                        </pic:spPr>
                      </pic:pic>
                    </a:graphicData>
                  </a:graphic>
                </wp:inline>
              </w:drawing>
            </w:r>
          </w:p>
        </w:tc>
        <w:tc>
          <w:tcPr>
            <w:tcW w:w="5189" w:type="dxa"/>
            <w:vAlign w:val="center"/>
          </w:tcPr>
          <w:p w14:paraId="752132AB">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规格：4600*1600*250mm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材质：1.木制品采用厚度≥26mm进口巴蒂木经机械加工后人工精心打磨抛光成型用304不锈钢螺丝以及五金件组装而成；</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2.油漆采用环保漆，无毒无味，经过三次粉刷后，产品表面光滑亮丽；</w:t>
            </w:r>
          </w:p>
        </w:tc>
        <w:tc>
          <w:tcPr>
            <w:tcW w:w="758" w:type="dxa"/>
            <w:vAlign w:val="center"/>
          </w:tcPr>
          <w:p w14:paraId="0310D58B">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3A1405C4">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534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C0CE593">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15D20C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储物柜1</w:t>
            </w:r>
          </w:p>
        </w:tc>
        <w:tc>
          <w:tcPr>
            <w:tcW w:w="1154" w:type="dxa"/>
            <w:vAlign w:val="center"/>
          </w:tcPr>
          <w:p w14:paraId="77666A2E">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61950"/>
                  <wp:effectExtent l="0" t="0" r="9525" b="0"/>
                  <wp:docPr id="17" name="图片 5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3" descr="IMG_272"/>
                          <pic:cNvPicPr>
                            <a:picLocks noChangeAspect="1"/>
                          </pic:cNvPicPr>
                        </pic:nvPicPr>
                        <pic:blipFill>
                          <a:blip r:embed="rId29"/>
                          <a:stretch>
                            <a:fillRect/>
                          </a:stretch>
                        </pic:blipFill>
                        <pic:spPr>
                          <a:xfrm>
                            <a:off x="0" y="0"/>
                            <a:ext cx="581025" cy="361950"/>
                          </a:xfrm>
                          <a:prstGeom prst="rect">
                            <a:avLst/>
                          </a:prstGeom>
                          <a:noFill/>
                          <a:ln w="9525">
                            <a:noFill/>
                          </a:ln>
                        </pic:spPr>
                      </pic:pic>
                    </a:graphicData>
                  </a:graphic>
                </wp:inline>
              </w:drawing>
            </w:r>
          </w:p>
        </w:tc>
        <w:tc>
          <w:tcPr>
            <w:tcW w:w="5189" w:type="dxa"/>
            <w:vAlign w:val="center"/>
          </w:tcPr>
          <w:p w14:paraId="1651749A">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1.规格：4300*900*1500mm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2.材质：15mm厚的芬兰防腐木制作，横档为30*50mm的芬兰防腐木，环保沥青瓦顶，环保防腐专用清漆喷涂。侧板为双层制作。</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芬兰木的耐霉菌性等级0级（包含但不限于绳状青霉、球毛壳霉、出芽短梗霉、黑曲霉等）；培养48h抗菌性能抑菌率&gt;99%（包含但不限于肺炎克雷伯氏菌、金黄色葡萄球菌，白色念珠菌等），木材含水率为11%符合GB/T1741-2020；QB/T4371-2012；GB/T1927.4-2021标准要求。★提供具有CMA标识并符合要求的检测报告</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4.沥青瓦片中可迁移元素锑、砷、钡、镉、铬、铅、汞、硒均未检出符合GB6675.4-2014标准要求。</w:t>
            </w:r>
          </w:p>
        </w:tc>
        <w:tc>
          <w:tcPr>
            <w:tcW w:w="758" w:type="dxa"/>
            <w:vAlign w:val="center"/>
          </w:tcPr>
          <w:p w14:paraId="39FB3860">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19DBA705">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4416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363AE29">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BECA536">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储物柜2</w:t>
            </w:r>
          </w:p>
        </w:tc>
        <w:tc>
          <w:tcPr>
            <w:tcW w:w="1154" w:type="dxa"/>
            <w:vAlign w:val="center"/>
          </w:tcPr>
          <w:p w14:paraId="28E5D40A">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52425"/>
                  <wp:effectExtent l="0" t="0" r="9525" b="9525"/>
                  <wp:docPr id="18" name="图片 54"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4" descr="IMG_273"/>
                          <pic:cNvPicPr>
                            <a:picLocks noChangeAspect="1"/>
                          </pic:cNvPicPr>
                        </pic:nvPicPr>
                        <pic:blipFill>
                          <a:blip r:embed="rId30"/>
                          <a:stretch>
                            <a:fillRect/>
                          </a:stretch>
                        </pic:blipFill>
                        <pic:spPr>
                          <a:xfrm>
                            <a:off x="0" y="0"/>
                            <a:ext cx="581025" cy="352425"/>
                          </a:xfrm>
                          <a:prstGeom prst="rect">
                            <a:avLst/>
                          </a:prstGeom>
                          <a:noFill/>
                          <a:ln w="9525">
                            <a:noFill/>
                          </a:ln>
                        </pic:spPr>
                      </pic:pic>
                    </a:graphicData>
                  </a:graphic>
                </wp:inline>
              </w:drawing>
            </w:r>
          </w:p>
        </w:tc>
        <w:tc>
          <w:tcPr>
            <w:tcW w:w="5189" w:type="dxa"/>
            <w:vAlign w:val="center"/>
          </w:tcPr>
          <w:p w14:paraId="65CF971C">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1.规格：4150*760*1250mm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2.材质：15mm厚的芬兰防腐木制作，横档为30*50mm的芬兰防腐木，环保沥青瓦顶，环保防腐专用清漆喷涂。侧板为双层制作。</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芬兰木的耐霉菌性等级0级（包含但不限于绳状青霉、球毛壳霉、出芽短梗霉、黑曲霉等）；培养48h抗菌性能抑菌率&gt;99%（包含但不限于肺炎克雷伯氏菌、金黄色葡萄球菌，白色念珠菌等），木材含水率为11%符合GB/T1741-2020；QB/T4371-2012；GB/T1927.4-2021标准要求。</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4.沥青瓦片中可迁移元素锑、砷、钡、镉、铬、铅、汞、硒均未检出符合GB6675.4-2014标准要求。</w:t>
            </w:r>
          </w:p>
        </w:tc>
        <w:tc>
          <w:tcPr>
            <w:tcW w:w="758" w:type="dxa"/>
            <w:vAlign w:val="center"/>
          </w:tcPr>
          <w:p w14:paraId="5989E92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64D8AF97">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2537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7C756E5">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A3C0338">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储物柜3</w:t>
            </w:r>
          </w:p>
        </w:tc>
        <w:tc>
          <w:tcPr>
            <w:tcW w:w="1154" w:type="dxa"/>
            <w:vAlign w:val="center"/>
          </w:tcPr>
          <w:p w14:paraId="781A1533">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52425"/>
                  <wp:effectExtent l="0" t="0" r="9525" b="9525"/>
                  <wp:docPr id="19" name="图片 55"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5" descr="IMG_274"/>
                          <pic:cNvPicPr>
                            <a:picLocks noChangeAspect="1"/>
                          </pic:cNvPicPr>
                        </pic:nvPicPr>
                        <pic:blipFill>
                          <a:blip r:embed="rId31"/>
                          <a:stretch>
                            <a:fillRect/>
                          </a:stretch>
                        </pic:blipFill>
                        <pic:spPr>
                          <a:xfrm>
                            <a:off x="0" y="0"/>
                            <a:ext cx="581025" cy="352425"/>
                          </a:xfrm>
                          <a:prstGeom prst="rect">
                            <a:avLst/>
                          </a:prstGeom>
                          <a:noFill/>
                          <a:ln w="9525">
                            <a:noFill/>
                          </a:ln>
                        </pic:spPr>
                      </pic:pic>
                    </a:graphicData>
                  </a:graphic>
                </wp:inline>
              </w:drawing>
            </w:r>
          </w:p>
        </w:tc>
        <w:tc>
          <w:tcPr>
            <w:tcW w:w="5189" w:type="dxa"/>
            <w:vAlign w:val="center"/>
          </w:tcPr>
          <w:p w14:paraId="2429E33F">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1.规格：3150*800*1100mm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2.材质：15mm厚的芬兰防腐木制作，横档为30*50mm的芬兰防腐木，环保沥青瓦顶，环保防腐专用清漆喷涂。侧板为双层制作。</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芬兰木的耐霉菌性等级0级（包含但不限于绳状青霉、球毛壳霉、出芽短梗霉、黑曲霉等）；培养48h抗菌性能抑菌率&gt;99%（包含但不限于肺炎克雷伯氏菌、金黄色葡萄球菌，白色念珠菌等），木材含水率为11%符合GB/T1741-2020；QB/T4371-2012；GB/T1927.4-2021标准要求（投标时提供具有CMA标识并符合要求的检测报告）。</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4.沥青瓦片中可迁移元素锑、砷、钡、镉、铬、铅、汞、硒均未检出符合GB6675.4-2014标准要求。★提供具有CMA标识并符合要求的检测报告</w:t>
            </w:r>
          </w:p>
        </w:tc>
        <w:tc>
          <w:tcPr>
            <w:tcW w:w="758" w:type="dxa"/>
            <w:vAlign w:val="center"/>
          </w:tcPr>
          <w:p w14:paraId="053525A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2D56CB50">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4320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C5DD0A6">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E87EE7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储物柜4</w:t>
            </w:r>
          </w:p>
        </w:tc>
        <w:tc>
          <w:tcPr>
            <w:tcW w:w="1154" w:type="dxa"/>
            <w:vAlign w:val="center"/>
          </w:tcPr>
          <w:p w14:paraId="5DEEE920">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371475"/>
                  <wp:effectExtent l="0" t="0" r="9525" b="9525"/>
                  <wp:docPr id="20" name="图片 56"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6" descr="IMG_275"/>
                          <pic:cNvPicPr>
                            <a:picLocks noChangeAspect="1"/>
                          </pic:cNvPicPr>
                        </pic:nvPicPr>
                        <pic:blipFill>
                          <a:blip r:embed="rId32"/>
                          <a:stretch>
                            <a:fillRect/>
                          </a:stretch>
                        </pic:blipFill>
                        <pic:spPr>
                          <a:xfrm>
                            <a:off x="0" y="0"/>
                            <a:ext cx="581025" cy="371475"/>
                          </a:xfrm>
                          <a:prstGeom prst="rect">
                            <a:avLst/>
                          </a:prstGeom>
                          <a:noFill/>
                          <a:ln w="9525">
                            <a:noFill/>
                          </a:ln>
                        </pic:spPr>
                      </pic:pic>
                    </a:graphicData>
                  </a:graphic>
                </wp:inline>
              </w:drawing>
            </w:r>
          </w:p>
        </w:tc>
        <w:tc>
          <w:tcPr>
            <w:tcW w:w="5189" w:type="dxa"/>
            <w:vAlign w:val="center"/>
          </w:tcPr>
          <w:p w14:paraId="2659D2C9">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规格：3250*1420*2250mm，材质：15mm厚的芬兰防腐木制作，横档为30*50mm的芬兰防腐木，环保沥青瓦顶，环保防腐专用清漆喷涂。侧板为双层制作。芬兰木的耐霉菌性等级0级（包含但不限于绳状青霉、球毛壳霉、出芽短梗霉、黑曲霉等）；培养48h抗菌性能抑菌率&gt;99%（包含但不限于肺炎克雷伯氏菌、金黄色葡萄球菌、白色念珠菌等），木材含水率为11%符合GB/T1741-2020；QB/T4371-2012；GB/T1927.4-2021标准要求。沥青瓦片中可迁移元素锑、砷、钡、镉、铬、铅、汞、硒均未检出符合GB6675.4-2014标准要求。</w:t>
            </w:r>
          </w:p>
        </w:tc>
        <w:tc>
          <w:tcPr>
            <w:tcW w:w="758" w:type="dxa"/>
            <w:vAlign w:val="center"/>
          </w:tcPr>
          <w:p w14:paraId="3EDCE1A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048D3DEF">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0B42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0201767">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6D972E8">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万用小屋</w:t>
            </w:r>
          </w:p>
        </w:tc>
        <w:tc>
          <w:tcPr>
            <w:tcW w:w="1154" w:type="dxa"/>
            <w:vAlign w:val="center"/>
          </w:tcPr>
          <w:p w14:paraId="5FE0A38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71500"/>
                  <wp:effectExtent l="0" t="0" r="9525" b="0"/>
                  <wp:docPr id="21" name="图片 57"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7" descr="IMG_276"/>
                          <pic:cNvPicPr>
                            <a:picLocks noChangeAspect="1"/>
                          </pic:cNvPicPr>
                        </pic:nvPicPr>
                        <pic:blipFill>
                          <a:blip r:embed="rId33"/>
                          <a:stretch>
                            <a:fillRect/>
                          </a:stretch>
                        </pic:blipFill>
                        <pic:spPr>
                          <a:xfrm>
                            <a:off x="0" y="0"/>
                            <a:ext cx="581025" cy="571500"/>
                          </a:xfrm>
                          <a:prstGeom prst="rect">
                            <a:avLst/>
                          </a:prstGeom>
                          <a:noFill/>
                          <a:ln w="9525">
                            <a:noFill/>
                          </a:ln>
                        </pic:spPr>
                      </pic:pic>
                    </a:graphicData>
                  </a:graphic>
                </wp:inline>
              </w:drawing>
            </w:r>
          </w:p>
        </w:tc>
        <w:tc>
          <w:tcPr>
            <w:tcW w:w="5189" w:type="dxa"/>
            <w:vAlign w:val="center"/>
          </w:tcPr>
          <w:p w14:paraId="32531A93">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尺寸：L2290xW1540xH2220mm。立柱采用40mm厚防腐松木，顶板采用15mm厚防腐松木，其它部位采用15mm/23mm厚防腐松木，表面刷涂环保木蜡油两遍，甲醛释放量符合国家标准规范GB/T39600-2021的要求 ，重金属钡、铅、镉、锑、硒、铬、汞、砷等含量符合国家标准规范GB6675-2014的要求。 三面环绕式户外小屋设计，视野开阔，空气流通，适合夏日乘凉休闲，可与其他设备搭配使用，也可单独作为户外休息区、阅读区。可同时容纳多个孩子， 户外同伴交往机会。★提供户外防腐木材符合GB6675.4-2014国家标准规范要求检测报告</w:t>
            </w:r>
          </w:p>
        </w:tc>
        <w:tc>
          <w:tcPr>
            <w:tcW w:w="758" w:type="dxa"/>
            <w:vAlign w:val="center"/>
          </w:tcPr>
          <w:p w14:paraId="3638A274">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033FB40B">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套</w:t>
            </w:r>
          </w:p>
        </w:tc>
      </w:tr>
      <w:tr w14:paraId="51D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F6F19D7">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42044A4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户外长方桌</w:t>
            </w:r>
          </w:p>
        </w:tc>
        <w:tc>
          <w:tcPr>
            <w:tcW w:w="1154" w:type="dxa"/>
            <w:vAlign w:val="center"/>
          </w:tcPr>
          <w:p w14:paraId="367081A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2" name="图片 5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8" descr="IMG_277"/>
                          <pic:cNvPicPr>
                            <a:picLocks noChangeAspect="1"/>
                          </pic:cNvPicPr>
                        </pic:nvPicPr>
                        <pic:blipFill>
                          <a:blip r:embed="rId34"/>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430CFED5">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尺寸：L1200xW720xH550mm。桌面采用防腐松木，表面刷涂环保木蜡油两遍，甲醛释放量符合国家标准规范GB/T39600-2021的要求 ，重金属钡、铅、镉、锑、硒、铬、汞、砷等含量符合国家标准规范GB6675-2014的要求 。抗紫外线PVC防撞条封边，桌脚采用70mm*70mm的防腐松木，各桌脚底部均安装PA/PE塑料脚套，桌面与桌脚连接使用高耐磨PA/PE塑料连接件连接。结构安全稳固，圆角设计，不易倾倒。</w:t>
            </w:r>
          </w:p>
        </w:tc>
        <w:tc>
          <w:tcPr>
            <w:tcW w:w="758" w:type="dxa"/>
            <w:vAlign w:val="center"/>
          </w:tcPr>
          <w:p w14:paraId="4D362F71">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2AF7C6E6">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张</w:t>
            </w:r>
          </w:p>
        </w:tc>
      </w:tr>
      <w:tr w14:paraId="783B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CCB599D">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354EA5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户外长方凳</w:t>
            </w:r>
          </w:p>
        </w:tc>
        <w:tc>
          <w:tcPr>
            <w:tcW w:w="1154" w:type="dxa"/>
            <w:vAlign w:val="center"/>
          </w:tcPr>
          <w:p w14:paraId="0A445D6C">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3" name="图片 59"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9" descr="IMG_278"/>
                          <pic:cNvPicPr>
                            <a:picLocks noChangeAspect="1"/>
                          </pic:cNvPicPr>
                        </pic:nvPicPr>
                        <pic:blipFill>
                          <a:blip r:embed="rId35"/>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6C259F02">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尺寸：800x280x270mm。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凳面采用防腐松木，表面刷涂环保木蜡油两遍，甲醛释放量符合国家标准规范GB/T39600-2021的要求 ，重金属钡、铅、镉、锑、硒、铬、汞、砷等含量符合国家标准规范GB6675-2014的要求 。抗紫外线PVC防撞条封边，凳脚采用60mm*60mm的防腐松木，各凳脚底部均安装PA/PE塑料脚套，凳面与凳脚连接采用高耐磨PA/PE塑料连接件连接。结构安全稳固，圆角设计，不易倾倒。</w:t>
            </w:r>
          </w:p>
        </w:tc>
        <w:tc>
          <w:tcPr>
            <w:tcW w:w="758" w:type="dxa"/>
            <w:vAlign w:val="center"/>
          </w:tcPr>
          <w:p w14:paraId="51A85B30">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2</w:t>
            </w:r>
          </w:p>
        </w:tc>
        <w:tc>
          <w:tcPr>
            <w:tcW w:w="522" w:type="dxa"/>
            <w:vAlign w:val="center"/>
          </w:tcPr>
          <w:p w14:paraId="7784186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张</w:t>
            </w:r>
          </w:p>
        </w:tc>
      </w:tr>
      <w:tr w14:paraId="4579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5892D40">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C0FAF3E">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户外厨房</w:t>
            </w:r>
          </w:p>
        </w:tc>
        <w:tc>
          <w:tcPr>
            <w:tcW w:w="1154" w:type="dxa"/>
            <w:vAlign w:val="center"/>
          </w:tcPr>
          <w:p w14:paraId="407F9E3E">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4" name="图片 60"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0" descr="IMG_279"/>
                          <pic:cNvPicPr>
                            <a:picLocks noChangeAspect="1"/>
                          </pic:cNvPicPr>
                        </pic:nvPicPr>
                        <pic:blipFill>
                          <a:blip r:embed="rId36"/>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3256FE3D">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尺寸：1100×450×1300mm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主体采用22mm厚防腐松木，表面刷涂环保木蜡油两遍，甲醛释放量符合国家标准规范GB/T39600-2021的要求 ，重金属钡、铅、镉、锑、硒、铬、汞、砷等含量符合国家标准规范GB6675-2014的要求。 融合设计，兼具灶台/水池/收纳功能。黑色+木色，色彩搭配亮眼，贴合户外环境。幼儿户外厨房扮演，激发幼儿扮演兴趣。</w:t>
            </w:r>
          </w:p>
        </w:tc>
        <w:tc>
          <w:tcPr>
            <w:tcW w:w="758" w:type="dxa"/>
            <w:vAlign w:val="center"/>
          </w:tcPr>
          <w:p w14:paraId="63C08616">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79436374">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71CB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FF3FFA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050C7B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气象观察站</w:t>
            </w:r>
          </w:p>
        </w:tc>
        <w:tc>
          <w:tcPr>
            <w:tcW w:w="1154" w:type="dxa"/>
            <w:vAlign w:val="center"/>
          </w:tcPr>
          <w:p w14:paraId="101A737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71500"/>
                  <wp:effectExtent l="0" t="0" r="9525" b="0"/>
                  <wp:docPr id="25" name="图片 61"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1" descr="IMG_280"/>
                          <pic:cNvPicPr>
                            <a:picLocks noChangeAspect="1"/>
                          </pic:cNvPicPr>
                        </pic:nvPicPr>
                        <pic:blipFill>
                          <a:blip r:embed="rId37"/>
                          <a:stretch>
                            <a:fillRect/>
                          </a:stretch>
                        </pic:blipFill>
                        <pic:spPr>
                          <a:xfrm>
                            <a:off x="0" y="0"/>
                            <a:ext cx="581025" cy="571500"/>
                          </a:xfrm>
                          <a:prstGeom prst="rect">
                            <a:avLst/>
                          </a:prstGeom>
                          <a:noFill/>
                          <a:ln w="9525">
                            <a:noFill/>
                          </a:ln>
                        </pic:spPr>
                      </pic:pic>
                    </a:graphicData>
                  </a:graphic>
                </wp:inline>
              </w:drawing>
            </w:r>
          </w:p>
        </w:tc>
        <w:tc>
          <w:tcPr>
            <w:tcW w:w="5189" w:type="dxa"/>
            <w:vAlign w:val="center"/>
          </w:tcPr>
          <w:p w14:paraId="738A7961">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整体框架采用防腐木材质（尺寸：870×500×1250mm ）；配备762*586mm黑色雪弗板；上方一根铁件+细纱布做风向标；实木防腐木板甲醛释放量≤0.025mg/m³，符合GB/T 39600-2021标准要求；户外防腐木材可迁移元素（钡＜5mg/kg；铅＜5mg/kg；镉＜5mg/kg；锑＜5mg/kg；硒＜5mg/kg；铬＜5mg/kg；汞＜5mg/kg；砷＜2.5mg/kg）符合GB6675.4-2014要求；属于幼儿自己的气象观察实验站，多种观察。功能集合，玩法多样。风力/天气/水量/风向/养殖，玩转天气现象，玩中学，寓教于乐。充分利用户外环境，开展气象观察，因地制宜进行活动。</w:t>
            </w:r>
          </w:p>
        </w:tc>
        <w:tc>
          <w:tcPr>
            <w:tcW w:w="758" w:type="dxa"/>
            <w:vAlign w:val="center"/>
          </w:tcPr>
          <w:p w14:paraId="3D1E949A">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26278244">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7FDF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DD93875">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12A95B8">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户外冲水画架B</w:t>
            </w:r>
          </w:p>
        </w:tc>
        <w:tc>
          <w:tcPr>
            <w:tcW w:w="1154" w:type="dxa"/>
            <w:vAlign w:val="center"/>
          </w:tcPr>
          <w:p w14:paraId="60C9E3FE">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6" name="图片 62"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2" descr="IMG_281"/>
                          <pic:cNvPicPr>
                            <a:picLocks noChangeAspect="1"/>
                          </pic:cNvPicPr>
                        </pic:nvPicPr>
                        <pic:blipFill>
                          <a:blip r:embed="rId38"/>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12FAA33A">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尺寸：1340x590x1287mm。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框体采用22mm厚防腐松木，局部采用40mm厚防腐松木，甲醛释放量符合国家标准规范GB/T39600-2021的要求 ，表面刷涂环保木蜡油两遍，重金属钡、铅、镉、锑、硒、铬、汞、砷等含量符合国家标准规范GB6675-2014的要求 。内嵌5mm户外透明抗紫外透明PC板。开孔水管采用内径32mm户外PVC材质。接水管采用内径63mmPP塑料制成、蓄水盒为PP材质。整个产品设置有一套完善的循环冲洗装置，通过压水器将水流引到开孔水管中，并顺着透明画板流下至接水管中，并最终流入蓄水盒中，循环使用，方便清洗画板。结构安全稳固，圆角设计，不易倾倒，符合国家标准规范GB6675-2014的要求。可供两人同时进行涂鸦活动。独特引水设计，水可从画架上端流下形成“瀑布”冲刷颜料，充满趣味。收集水槽设计方便清理，收纳空间设计方便操作。★提供产品三视图和爆炸图</w:t>
            </w:r>
          </w:p>
        </w:tc>
        <w:tc>
          <w:tcPr>
            <w:tcW w:w="758" w:type="dxa"/>
            <w:vAlign w:val="center"/>
          </w:tcPr>
          <w:p w14:paraId="2C558A51">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54ECBE02">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5765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C561D70">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AB720C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户外黑板画架</w:t>
            </w:r>
          </w:p>
        </w:tc>
        <w:tc>
          <w:tcPr>
            <w:tcW w:w="1154" w:type="dxa"/>
            <w:vAlign w:val="center"/>
          </w:tcPr>
          <w:p w14:paraId="20A5575E">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7" name="图片 63"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3" descr="IMG_282"/>
                          <pic:cNvPicPr>
                            <a:picLocks noChangeAspect="1"/>
                          </pic:cNvPicPr>
                        </pic:nvPicPr>
                        <pic:blipFill>
                          <a:blip r:embed="rId39"/>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56745C11">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尺寸：1310x70x1140mm。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立柱采用70mm*70mm防腐松木，表面刷涂环保木蜡油两遍，甲醛释放量符合国家标准规范GB/T39600-2021的要求 ，重金属钡、铅、镉、锑、硒、铬、汞、砷等含量符合国家标准规范GB6675-2014的要求。框架采用防腐松木，内嵌8mm户外抗紫外康贝特板，脚套采用PA/PE塑料。</w:t>
            </w:r>
          </w:p>
        </w:tc>
        <w:tc>
          <w:tcPr>
            <w:tcW w:w="758" w:type="dxa"/>
            <w:vAlign w:val="center"/>
          </w:tcPr>
          <w:p w14:paraId="1DA7504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42BF587D">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6580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628AF396">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FCACE60">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户外透明画架</w:t>
            </w:r>
          </w:p>
        </w:tc>
        <w:tc>
          <w:tcPr>
            <w:tcW w:w="1154" w:type="dxa"/>
            <w:vAlign w:val="center"/>
          </w:tcPr>
          <w:p w14:paraId="3D1DF12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8" name="图片 64"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4" descr="IMG_283"/>
                          <pic:cNvPicPr>
                            <a:picLocks noChangeAspect="1"/>
                          </pic:cNvPicPr>
                        </pic:nvPicPr>
                        <pic:blipFill>
                          <a:blip r:embed="rId40"/>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1B97008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尺寸：1310x70x1140mm。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立柱采用70mm*70mm防腐松木，表面刷涂环保木蜡油两遍，甲醛释放量符合国家标准规范GB/T39600-2021的要求，重金属钡、铅、镉、锑、硒、铬、汞、砷等含量符合国家标准规范GB6675-2014的要求。框架采用防腐松木，内嵌5mm户外抗紫外透明PC板，脚套采用PA/PE塑料。提供实木防腐木板甲醛释放量检测报告），重金属钡、铅、镉、锑、硒、铬、汞、砷等含量符合国家标准规范GB6675-2014的要求</w:t>
            </w:r>
          </w:p>
        </w:tc>
        <w:tc>
          <w:tcPr>
            <w:tcW w:w="758" w:type="dxa"/>
            <w:vAlign w:val="center"/>
          </w:tcPr>
          <w:p w14:paraId="1BAF03EC">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2AC73AB9">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1200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D44B4E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4B6A5F3">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三角架（单只）</w:t>
            </w:r>
          </w:p>
        </w:tc>
        <w:tc>
          <w:tcPr>
            <w:tcW w:w="1154" w:type="dxa"/>
            <w:vAlign w:val="center"/>
          </w:tcPr>
          <w:p w14:paraId="67150117">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drawing>
                <wp:inline distT="0" distB="0" distL="114300" distR="114300">
                  <wp:extent cx="581025" cy="581025"/>
                  <wp:effectExtent l="0" t="0" r="9525" b="9525"/>
                  <wp:docPr id="29" name="图片 65"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5" descr="IMG_284"/>
                          <pic:cNvPicPr>
                            <a:picLocks noChangeAspect="1"/>
                          </pic:cNvPicPr>
                        </pic:nvPicPr>
                        <pic:blipFill>
                          <a:blip r:embed="rId41"/>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2A7C55F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尺寸：325×40×560mm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采用40mm厚防腐松木，表面刷涂环保木蜡油两遍，甲醛释放量符合国家标准规范GB/T39600-2021的要求，重金属钡、铅、镉、锑、硒、铬、汞、砷等含量符合国家标准规范GB6675-2014的要求。</w:t>
            </w:r>
          </w:p>
        </w:tc>
        <w:tc>
          <w:tcPr>
            <w:tcW w:w="758" w:type="dxa"/>
            <w:vAlign w:val="center"/>
          </w:tcPr>
          <w:p w14:paraId="2BA6DA1A">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8</w:t>
            </w:r>
          </w:p>
        </w:tc>
        <w:tc>
          <w:tcPr>
            <w:tcW w:w="522" w:type="dxa"/>
            <w:vAlign w:val="center"/>
          </w:tcPr>
          <w:p w14:paraId="43CBB346">
            <w:pPr>
              <w:keepNext w:val="0"/>
              <w:keepLines w:val="0"/>
              <w:widowControl/>
              <w:suppressLineNumbers w:val="0"/>
              <w:jc w:val="center"/>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个</w:t>
            </w:r>
          </w:p>
        </w:tc>
      </w:tr>
      <w:tr w14:paraId="3D84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13907E88">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FFA4CA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rPr>
              <w:t>户外运动探索区</w:t>
            </w:r>
          </w:p>
        </w:tc>
        <w:tc>
          <w:tcPr>
            <w:tcW w:w="1154" w:type="dxa"/>
            <w:vAlign w:val="center"/>
          </w:tcPr>
          <w:p w14:paraId="539CF90E">
            <w:pPr>
              <w:keepNext w:val="0"/>
              <w:keepLines w:val="0"/>
              <w:widowControl/>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drawing>
                <wp:inline distT="0" distB="0" distL="114300" distR="114300">
                  <wp:extent cx="581025" cy="581025"/>
                  <wp:effectExtent l="0" t="0" r="9525" b="9525"/>
                  <wp:docPr id="30" name="图片 66"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6" descr="IMG_285"/>
                          <pic:cNvPicPr>
                            <a:picLocks noChangeAspect="1"/>
                          </pic:cNvPicPr>
                        </pic:nvPicPr>
                        <pic:blipFill>
                          <a:blip r:embed="rId42"/>
                          <a:stretch>
                            <a:fillRect/>
                          </a:stretch>
                        </pic:blipFill>
                        <pic:spPr>
                          <a:xfrm>
                            <a:off x="0" y="0"/>
                            <a:ext cx="581025" cy="581025"/>
                          </a:xfrm>
                          <a:prstGeom prst="rect">
                            <a:avLst/>
                          </a:prstGeom>
                          <a:noFill/>
                          <a:ln w="9525">
                            <a:noFill/>
                          </a:ln>
                        </pic:spPr>
                      </pic:pic>
                    </a:graphicData>
                  </a:graphic>
                </wp:inline>
              </w:drawing>
            </w:r>
          </w:p>
        </w:tc>
        <w:tc>
          <w:tcPr>
            <w:tcW w:w="5189" w:type="dxa"/>
            <w:shd w:val="clear" w:color="auto" w:fill="auto"/>
            <w:vAlign w:val="center"/>
          </w:tcPr>
          <w:p w14:paraId="3B8F79E3">
            <w:pPr>
              <w:keepNext w:val="0"/>
              <w:keepLines w:val="0"/>
              <w:widowControl/>
              <w:suppressLineNumbers w:val="0"/>
              <w:jc w:val="left"/>
              <w:textAlignment w:val="center"/>
              <w:rPr>
                <w:rFonts w:hint="eastAsia" w:ascii="黑体" w:hAnsi="黑体" w:eastAsia="黑体" w:cs="黑体"/>
                <w:i w:val="0"/>
                <w:iCs w:val="0"/>
                <w:color w:val="auto"/>
                <w:kern w:val="2"/>
                <w:sz w:val="21"/>
                <w:szCs w:val="21"/>
                <w:highlight w:val="none"/>
                <w:u w:val="none"/>
                <w:lang w:val="en-US" w:eastAsia="zh-CN" w:bidi="ar-SA"/>
              </w:rPr>
            </w:pPr>
            <w:r>
              <w:rPr>
                <w:rFonts w:hint="eastAsia" w:ascii="黑体" w:hAnsi="黑体" w:eastAsia="黑体" w:cs="黑体"/>
                <w:i w:val="0"/>
                <w:iCs w:val="0"/>
                <w:color w:val="auto"/>
                <w:kern w:val="0"/>
                <w:sz w:val="21"/>
                <w:szCs w:val="21"/>
                <w:highlight w:val="none"/>
                <w:u w:val="none"/>
                <w:lang w:val="en-US" w:eastAsia="zh-CN" w:bidi="ar"/>
              </w:rPr>
              <w:t>1.户外运动探索区-加强版</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户外运动探索区-活动方案：材质：电子文件，数量1件。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大方箱箱体：尺寸：860*860*844mm，材质：防腐木+金属件。数量3件，四根立柱采用50*50mm方形防腐松木，表面涂刷防腐木蜡油两遍，金属支撑件采用φ22mm镀锌圆管银灰色烤漆，双层保护加强防腐蚀性能。重金属钡、铅、镉、锑、硒、铬、汞、砷等含量符合国家标准规范GB6675-2014的要求。立柱顶端采用安全塑料开模，安全无毒，同时保护顶面不被雨水侵蚀，美观又适用。结构安全稳固。箱体内部空间大，大方箱体搭配钻洞面板、门帘面板、投掷面板、爬梯面板、绳网面板及大方箱体平台等组合。幼儿可根据需求自行搭配换取，从而展开钻洞、投掷、攀爬等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大方箱平台顶板（银灰色）：尺寸：856*856*30mm，材质：安全塑料，数量2件，整个平台采用LLDPE塑料开模而成，安全无毒，耐腐蚀、高温经久耐用。平台表面交通主题设计，更具新颖，锻炼幼儿学习能力，搭建能力.平台与大箱体搭配使用，灵活换取，任意搭配。</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大方箱半月形顶板（银灰色）：尺寸：856*856*30mm，材质：安全塑料，数量1件，整个平台采用LLDPE塑料开模而成，安全无毒，耐腐蚀、高温经久耐用。平台表面建筑主题设计，更具新颖，锻炼幼儿学习能力，搭建能力.平台与大箱体搭配使用，灵活换取，任意搭配。</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户外运动探索区-钻洞面板：尺寸：760*740mm，材质：户外防雨皮。数量2件，采用户外环保耐磨防雨皮，面板上下采用毛毡粘合，可灵活、轻松随换随取，面板中间设置圆形洞口，搭配大方箱体使用，作钻洞出入口.</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户外运动探索区-门帘面板：尺寸：760*740mm，材质：户外防雨皮。数量2件，采用户外环保耐磨防雨皮，面板上下采用毛毡粘合，可灵活、轻松随换随取，两片式设计，搭配大方箱体作使用，作门帘出入口。</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投掷面板：尺寸：760*740mm，材质：户外防雨皮。数量1件，采用户外环保耐磨防雨皮，面板上下采用毛毡粘合，可灵活、轻松随换随取，面板上网兜设计，搭配大方箱体使用。可由它加上粘粘球展开投掷活动，锻炼幼儿眼力，瞄准能力</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粘粘球：配置数量：粘粘球*24，尺寸：粘粘球直径约60mm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材质：拉毛布+喷胶棉。数量1件，利用投掷面板上面的网兜，展开投掷活动，锻炼幼儿眼力和瞄准能力。</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爬梯面板：尺寸：756*805*22mm，材质：金属件。数量5件，整体采用φ22mm镀锌圆管，银灰色烤漆，双层保护加强防腐蚀性能。爬梯上部采用金属挂钩浸塑，安全无毒且增加防腐蚀性能。下部采用毛毡形式与大方箱体金属杆连接方式，可灵活换取。搭配大方箱体使用，幼儿可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绳网面板：尺寸：756*805*22mm，材质：金属件。数量2件，整体采用φ22mm镀锌圆管，银灰色烤漆，双层保护加强防腐蚀性能。爬梯上部采用金属挂钩浸塑，安全无毒且增加防腐蚀性能。下部采用毛毡形式与大方箱体金属杆连接方式，可灵活换取。绳网采用16mm钢丝绳，经久耐用。搭配大方箱体使用，幼儿可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小方箱箱体：尺寸：590*590*590mm,材质：防腐木+金属件+户外防雨皮+安全塑料。数量2件，四根立柱采用50*50mm方形防腐松木，表面涂刷防腐木蜡油两遍，金属支撑件采用φ22mm镀锌圆管银灰色烤漆，双层保护加强防腐蚀性能。重金属钡、铅、镉、锑、硒、铬、汞、砷等含量符合国家标准规范GB6675-2014的要求。立柱顶端采用安全塑料开模，安全无毒，同时保护顶面不被雨水侵蚀，美观又适用。整个平台采用LLDPE塑料开模而成，安全无毒，耐腐蚀、高温经久耐用，表面数字三子棋主题，锻炼幼儿学习能力，且可灵活换取。布帘采用户外环保耐磨防雨皮，中间U形开洞设计，幼儿可由此展开钻洞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长木板：尺寸：1800*345*92mm，材质：防腐木。数量4件，整体采用30mm厚防腐松木，表面涂刷防腐木蜡油两遍，重金属钡、铅、镉、锑、硒、铬、汞、砷等含量符合国家标准规范GB6675-2014的要求。底部两端采用黑色圆管扣件加毛毡粘贴方式。换取更轻松，更灵活。可与大方箱体、小方箱体、爬梯面板、三角梯，金属梯等搭配使用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攀岩板：尺寸：1300*345*70mm,厚度尺寸不含抓手和卡件，材质：防腐木+黑色PE板+安全塑料。数量4件，整体采用30mm厚防腐松木，表面涂刷防腐木蜡油两遍，重金属钡、铅、镉、锑、硒、铬、汞、砷等含量符合国家标准规范GB6675-2014的要求。底部两端采用黑色圆管扣件加毛毡粘贴方式。换取更轻松，更灵活。中间采用黑色PE板加安全塑料抓手，增加幼儿攀爬时冒险程度。可与大方箱体、小方箱体、爬梯面板、三角梯，金属梯等搭配使用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双爬梯（大）：尺寸：780*550*1215mm，材质：防腐木+金属件+黑色PE板，数量4件，侧立柱采用30*70mm防腐松木，表面涂刷防腐木蜡油两遍，重金属钡、铅、镉、锑、硒、铬、汞、砷等含量符合国家标准规范GB6675-2014的要求。踏步采用φ22mm镀锌圆管木色烤漆，双层保护加强防腐蚀性能。上平台为黑色PE板，整体采用可折叠设计，方便收纳。侧立柱底部采用LLDPE塑料开模脚套，防潮、防腐蚀。结构稳固，可搭配攀岩板、单梯、绳爬梯、拱形爬梯等使用。从而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双爬梯（中）：尺寸：600*520*575mm，材质：金属架，数量4件，整体采用25mm镀锌圆管木色烤漆，双层保护加强防腐蚀性能。八字形框架设计，使结构更加稳固，可搭配攀岩板、单梯、绳爬梯、拱形爬梯等使用。从而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双爬梯（小）：尺寸：530*360*320mm,材质：金属架。数量2件，整体采用25mm镀锌圆管木色烤漆，双层保护加强防腐蚀性能。八字形框架设计，使结构更加稳固，可搭配攀岩板、单梯、绳爬梯、拱形爬梯等使用。从而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单爬梯（长）：尺寸：1800*345*70mm，材质：防腐木+圆木棒。数量4件，侧边立柱采用30*70mm防腐松木，表面涂刷防腐木蜡油两遍，重金属钡、铅、镉、锑、硒、铬、汞、砷等含量符合国家标准规范GB6675-2014的要求。踏步采用φ27mm圆木棒。两端底部采用黑色塑料扣件加毛毡粘贴方式，换取更灵活。可与大方箱体、小方箱体、爬梯面板、三角梯，金属梯等搭配使用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单爬梯（短）：尺寸：800*345*70mm，材质：防腐木+圆木棒，数量1件，侧边立柱采用30*70mm防腐松木，表面涂刷防腐木蜡油两遍，重金属钡、铅、镉、锑、硒、铬、汞、砷等含量符合国家标准规范GB6675-2014的要求。踏步采用φ27mm圆木棒。两端底部采用黑色塑料扣件加毛毡粘贴方式，换取更灵活。可与大方箱体、小方箱体、爬梯面板、三角梯，金属梯等搭配使用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绳爬梯：尺寸：1300*345*70mm，材质：防腐木+绳索。数量4件，侧边立柱采用30*70mm防腐松木，表面涂刷防腐木蜡油两遍，重金属钡、铅、镉、锑、硒、铬、汞、砷等含量符合国家标准规范GB6675-2014的要求。踏步采用16mm钢丝绳，经久耐用。两端底部采用黑色塑料扣件加毛毡粘贴方式，换取更灵活。可与大方箱体、小方箱体、爬梯面板、三角梯，金属梯等搭配使用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拱形爬梯：尺寸：829*599*345mm，材质：PE板+圆木棒。数量1件，侧边采用18mmPE板安全塑料，不变形、不形裂。踏步采用φ27mm圆木棒。上端开口式设计与大方箱体、小方箱体、爬梯面板、三角梯，搭配，换取灵活。从而展开攀爬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运动探索区-中轮胎：尺寸：φ640*T200mm，材质：安全塑料。数量4件，整体采用塑料开模而成。安全无毒，模拟真实轮胎。内圈台阶式设计，可搭配绳网盖板、乌龟盖板、大轮胎、小轮胎三种轮胎堆叠使用高度一致，水平不倾斜，帮助幼儿感性认知量的守恒。打破传统轮胎功能单一的特点，多款轮胎自由组合，可供幼儿开展投掷、跳跃、平衡、钻爬等游戏活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收纳拖车：尺寸：990*960*145mm(不含钢丝绳)，材质：安全塑料+金属件。整体采用22mm防腐松木，表面涂刷防腐木蜡油两遍，重金属钡、铅、镉、锑、硒、铬、汞、砷等含量符合国家标准规范GB6675-2014的要求。底部采用户外专用不锈钢万向轮，增强防腐蚀性能，不锈钢万向轮，φ16mm户外六股钢丝绳，钢丝绳长度1000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★1.户外运动探索区产品大中小班的电子版玩法手册或产品使用说明书。</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提供投标人或所投产品的制造厂商符合GB6675.1-2014、GB6675.2-2014、GB6675.3-2014、GB6675.4-2014、GB6675.11-2014国家标准规范要求的户外运动探索区产品的检测报告，检测项目不限于：玩具在儿童所处的环境中不得构成危险的燃烧因素、易爆物质、危害物质、可迁移元素（除指画颜料和造型粘土）（钡＜5mg/kg；铅＜5mg/kg；镉＜5mg/kg；锑＜5mg/kg；硒＜5mg/kg；铬＜5mg/kg；汞＜5mg/kg；砷＜2.5mg/kg）、增塑剂（DBP、BBP、DEHP）总含量≤0.1%、可预见合理滥用、材料质量、可触及的金属或玻璃边缘、模塑玩具边缘、可触及的锐利尖端、木制玩具、突出物、GB6675.3-2014一般要求、最大高度、角和边缘、突出部件一般要求、所有突出物、垂直突出物、[攀爬和摆动绳索、链条和缆绳]、外露的开口管子、围栏、[手指挤夹横档梯、台阶梯和楼梯]、头部和颈部挤夹、手指挤夹、自由下落高度大于600mm的活动玩具的稳定性等检测指标，判定合格满足以上要求；</w:t>
            </w:r>
          </w:p>
        </w:tc>
        <w:tc>
          <w:tcPr>
            <w:tcW w:w="758" w:type="dxa"/>
            <w:vAlign w:val="center"/>
          </w:tcPr>
          <w:p w14:paraId="35C992A2">
            <w:pPr>
              <w:keepNext w:val="0"/>
              <w:keepLines w:val="0"/>
              <w:widowControl/>
              <w:suppressLineNumbers w:val="0"/>
              <w:jc w:val="center"/>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w:t>
            </w:r>
          </w:p>
        </w:tc>
        <w:tc>
          <w:tcPr>
            <w:tcW w:w="522" w:type="dxa"/>
            <w:vAlign w:val="center"/>
          </w:tcPr>
          <w:p w14:paraId="42D9A0B4">
            <w:pPr>
              <w:keepNext w:val="0"/>
              <w:keepLines w:val="0"/>
              <w:widowControl/>
              <w:suppressLineNumbers w:val="0"/>
              <w:jc w:val="center"/>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套</w:t>
            </w:r>
          </w:p>
        </w:tc>
      </w:tr>
      <w:tr w14:paraId="2DCE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0F4A343">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0AD30DB3">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户外洞洞吸吸积木组</w:t>
            </w:r>
          </w:p>
        </w:tc>
        <w:tc>
          <w:tcPr>
            <w:tcW w:w="1154" w:type="dxa"/>
            <w:shd w:val="clear" w:color="auto" w:fill="auto"/>
            <w:vAlign w:val="center"/>
          </w:tcPr>
          <w:p w14:paraId="6EE17671">
            <w:pPr>
              <w:jc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619125"/>
                  <wp:effectExtent l="0" t="0" r="9525" b="9525"/>
                  <wp:docPr id="31" name="图片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7" descr="IMG_256"/>
                          <pic:cNvPicPr>
                            <a:picLocks noChangeAspect="1"/>
                          </pic:cNvPicPr>
                        </pic:nvPicPr>
                        <pic:blipFill>
                          <a:blip r:embed="rId43"/>
                          <a:stretch>
                            <a:fillRect/>
                          </a:stretch>
                        </pic:blipFill>
                        <pic:spPr>
                          <a:xfrm>
                            <a:off x="0" y="0"/>
                            <a:ext cx="581025" cy="619125"/>
                          </a:xfrm>
                          <a:prstGeom prst="rect">
                            <a:avLst/>
                          </a:prstGeom>
                          <a:noFill/>
                          <a:ln w="9525">
                            <a:noFill/>
                          </a:ln>
                        </pic:spPr>
                      </pic:pic>
                    </a:graphicData>
                  </a:graphic>
                </wp:inline>
              </w:drawing>
            </w:r>
          </w:p>
        </w:tc>
        <w:tc>
          <w:tcPr>
            <w:tcW w:w="5189" w:type="dxa"/>
            <w:shd w:val="clear" w:color="auto" w:fill="auto"/>
            <w:vAlign w:val="center"/>
          </w:tcPr>
          <w:p w14:paraId="05645453">
            <w:pPr>
              <w:keepNext w:val="0"/>
              <w:keepLines w:val="0"/>
              <w:widowControl/>
              <w:numPr>
                <w:ilvl w:val="0"/>
                <w:numId w:val="0"/>
              </w:numPr>
              <w:suppressLineNumbers w:val="0"/>
              <w:jc w:val="left"/>
              <w:textAlignment w:val="center"/>
              <w:rPr>
                <w:rFonts w:hint="eastAsia" w:ascii="黑体" w:hAnsi="黑体" w:eastAsia="黑体" w:cs="黑体"/>
                <w:i w:val="0"/>
                <w:iCs w:val="0"/>
                <w:color w:val="auto"/>
                <w:kern w:val="0"/>
                <w:sz w:val="21"/>
                <w:szCs w:val="21"/>
                <w:highlight w:val="none"/>
                <w:u w:val="none"/>
                <w:lang w:val="en-US" w:eastAsia="zh-CN" w:bidi="ar"/>
              </w:rPr>
            </w:pPr>
            <w:r>
              <w:rPr>
                <w:rFonts w:hint="eastAsia" w:ascii="黑体" w:hAnsi="黑体" w:eastAsia="黑体" w:cs="黑体"/>
                <w:i w:val="0"/>
                <w:iCs w:val="0"/>
                <w:color w:val="auto"/>
                <w:kern w:val="0"/>
                <w:sz w:val="21"/>
                <w:szCs w:val="21"/>
                <w:highlight w:val="none"/>
                <w:u w:val="none"/>
                <w:lang w:val="en-US" w:eastAsia="zh-CN" w:bidi="ar"/>
              </w:rPr>
              <w:t>1.主体框架采用直径50mm的PVC优质塑料管拼装而成，抗拉强度、规定塑性延伸强度等性能优良，层板采用优质PE板材料，遮雨布采用户外PVC防雨皮制成，防雨性能优良，收纳架整体采用户外专用环保防雨皮包覆，表面耐磨，耐热，强度高，不掉色，整体双层平台设计，产品包含：</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户外洞洞积木组-弹力软管40*640（灰绿色）：尺寸：φ40*640mm，材质：安全塑料，6件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户外洞洞积木组-弹力软管40*640（深米色）：尺寸：φ40*640mm，材质：安全塑料，6件。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户外洞洞积木组-弹力软管40*1120（灰绿色）：尺寸：φ40*1120mm，材质：安全塑料，4件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户外洞洞积木组-弹力软管40*1120（深米色）：尺寸：φ40*1120mm，材质：安全塑料，2件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户外洞洞积木组-弹力软管40*1600（灰绿色）：尺寸：φ40*1600mm，材质：安全塑料，3件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户外洞洞积木组-弹力软管40*1600（深米色）：尺寸：φ40*1600mm，材质：安全塑料，3件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插管积木(五单元)800：尺寸：φ40*800mm，材质：安全塑料，4件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洞洞吸吸积木-正方形孔洞款（灰绿色）：尺寸：320*320*35mm，材质：安全塑料+内含磁铁，38件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洞洞吸吸积木-正方形镂空款（灰绿色）：尺寸：320*320*35mm，材质：安全塑料+内含磁铁，38件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洞洞吸吸积木-等边三角形孔洞款（深米色）：尺寸：276*247*35mm，材质：安全塑料+内含磁铁，18件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洞洞吸吸积木-等边三角形镂空款（深米色）：尺寸：276*247*35mm，材质：安全塑料+内含磁铁，12件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洞洞吸吸积木-等腰梯形孔洞款（深灰色）：尺寸：596*277*35mm，材质：安全塑料+内含磁铁，8件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13.洞洞吸吸积木-五边形孔洞款（褐绿色）：尺寸：507*485*35mm，材质：安全塑料+内含磁铁，4件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户外洞洞积木组-瓢虫（深米色）：尺寸：φ155*63mm，材质：LLDPE，9件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户外洞洞积木组-瓢虫（褐绿色）：尺寸：φ155*63mm，材质：LLDPE，9件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户外洞洞积木组-方形积木（一单元）：尺寸：160*160*160mm；材质：HDPE，16件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户外洞洞积木组-方形积木-土黄色（双单元）：尺寸：320×160×160mm；材质：HDPE，8件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户外洞洞积木组-三角积木（等腰）：尺寸：320×160×320mm；材质：HDPE，4件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户外洞洞积木组-连接件：尺寸：69×59×59mm；材质：PA，40件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户外洞洞积木组-螺丝：尺寸：46×58×58mm；材质：PP，60件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户外洞洞积木组-移动底盘（一单元）-炭灰色：尺寸：380*320mm，材质：安全塑料，8件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户外洞洞积木组-大滚轮底盘（炭灰色）：尺寸：1080*800mm，材质：安全塑料，3件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户外洞洞积木方向盘（棕红色）：尺寸：200×200×80mm；材质：LLDPE，2件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户外洞洞积木组-齿轮（棕红色）：尺寸：170×170mm；材质：HDPE，6件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户外洞洞积木组-齿轮（海军蓝）：尺寸：170×170mm；材质：HDPE，6件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户外洞洞积木组-齿轮（番红色）：尺寸：170×170mm；材质：HDPE，6件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户外洞洞积木组-连接套管把手（深灰色）：尺寸：145×45×50mm；材质：ABS，4件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洞洞吸吸积木-图案面板（司机）：尺寸：260*260mm，材质：安全塑料，1件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洞洞吸吸积木-图案面板（电子操作面板）：尺寸：260*260mm，材质：安全塑料，1件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洞洞吸吸积木-图案面板（机械臂）：尺寸：260*260mm，材质：安全塑料，1件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洞洞吸吸积木-图案面板（工具）：尺寸：260*260mm，材质：安全塑料，1件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洞洞吸吸积木-图案面板（工地）：尺寸：260*260mm，材质：安全塑料，1件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洞洞吸吸积木-图案面板（建筑师）：尺寸：260*260mm，材质：安全塑料，1件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短连接绳160：尺寸：160mm，4件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长连接绳1120：尺寸：1120mm，4件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36.洞洞吸吸积木-正方形窗户面板（深灰色）：尺寸：260*260mm，材质：安全塑料，4件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洞洞吸吸积木-透明正方形面板：尺寸：260*260mm，材质：安全塑料，1件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洞洞吸吸积木-透明正方形面板（红色）：尺寸：260*260mm，材质：安全塑料，1件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洞洞吸吸积木-透明正方形面板（黄色）：尺寸：260*260mm，材质：安全塑料，1件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洞洞吸吸积木-透明正方形面板（蓝色）：尺寸：260*260mm，材质：安全塑料，1件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洞洞吸吸积木-透明三角形面板：尺寸：201*177mm，材质：安全塑料，1件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洞洞吸吸积木-透明三角形面板（红色）：尺寸：201*177mm，材质：安全塑料，1件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洞洞吸吸积木-透明三角形面板（黄色）：尺寸：201*177mm，材质：安全塑料，1件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洞洞吸吸积木-透明三角形面板（蓝色）：尺寸：201*177mm，材质：安全塑料，1件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固定插棒（炭灰色）：尺寸：φ22*57mm，材质：安全塑料，68件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体能圈（橙黄）：尺寸：外径605mm，材质：安全塑料，5件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体能圈（海军蓝）：尺寸：外径605mm，材质：安全塑料，5件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体能圈（果绿）：尺寸：外径605mm，材质：安全塑料，5件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多色发泡球：材质：EVA 塑料 尺寸：单个直径60mm，30件/组，2件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洞洞吸吸积木-大班游戏方案：电子版</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洞洞吸吸积木-中班游戏方案：电子版</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洞洞吸吸积木-小班游戏方案：电子版</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教师指导手册：电子版</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培训服务：产品免费入园培训服务1次/1套</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户外收纳架：尺寸：2120×740×1400mm，材质：材质:PE+PVC+布，1件。</w:t>
            </w:r>
          </w:p>
          <w:p w14:paraId="737485B0">
            <w:pPr>
              <w:keepNext w:val="0"/>
              <w:keepLines w:val="0"/>
              <w:widowControl/>
              <w:numPr>
                <w:ilvl w:val="0"/>
                <w:numId w:val="0"/>
              </w:numPr>
              <w:suppressLineNumbers w:val="0"/>
              <w:jc w:val="left"/>
              <w:textAlignment w:val="center"/>
              <w:rPr>
                <w:rFonts w:hint="eastAsia" w:ascii="黑体" w:hAnsi="黑体" w:eastAsia="黑体" w:cs="黑体"/>
                <w:i w:val="0"/>
                <w:iCs w:val="0"/>
                <w:color w:val="auto"/>
                <w:kern w:val="2"/>
                <w:sz w:val="21"/>
                <w:szCs w:val="21"/>
                <w:highlight w:val="none"/>
                <w:u w:val="none"/>
                <w:lang w:val="en-US" w:eastAsia="zh-CN" w:bidi="ar-SA"/>
              </w:rPr>
            </w:pPr>
            <w:r>
              <w:rPr>
                <w:rFonts w:hint="eastAsia" w:ascii="黑体" w:hAnsi="黑体" w:eastAsia="黑体" w:cs="黑体"/>
                <w:i w:val="0"/>
                <w:iCs w:val="0"/>
                <w:color w:val="auto"/>
                <w:kern w:val="0"/>
                <w:sz w:val="21"/>
                <w:szCs w:val="21"/>
                <w:highlight w:val="none"/>
                <w:u w:val="none"/>
                <w:lang w:val="en-US" w:eastAsia="zh-CN" w:bidi="ar"/>
              </w:rPr>
              <w:t>1.★提供吸吸积木组产品的电子版玩法手册或产品使用说明书；</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提供投标人或所投产品的制造厂商符合GB6675.1-2014、GB6675.2-2014、GB6675.3-2014、GB6675.4-2014国家标准规范要求的洞洞吸吸积木组产品的检测报告，检测项目包括但不限于：玩具、玩具部件及固定玩具的紧固部件；玩具上可触及边缘、突出物、绳索、电线和紧固件的设计和制造；玩具的设计和结构；玩具在设计和制造时应确保：玩具、玩具部件及其可拆卸部件还有预定放置于口中的玩具；玩具在儿童所处的环境中不得构成危险的燃烧因素；易爆物质；危害物质；可迁移元素（除指画颜料和造型粘土）（钡＜5mg/kg；铅＜5mg/kg；镉＜5mg/kg；锑＜5mg/kg；硒＜5mg/kg；铬＜5mg/kg；汞＜5mg/kg；砷＜2.5mg/kg）；增塑剂（DBP、BBP、DEHP）含量≤0.1%；玩具使用说明；玩具警告标识；正常使用；可预见合理滥用；材料质量；可触及的金属或玻璃边缘；模塑玩具边缘；可触及的锐利尖端；突出物；活动部件间的间隙；乘骑玩具及座位的超载要求；带有磁体和磁性部件的所有其他玩具；GB6675.3-2014一般要求等检测指标，判定合格符合以上要求.</w:t>
            </w:r>
          </w:p>
        </w:tc>
        <w:tc>
          <w:tcPr>
            <w:tcW w:w="758" w:type="dxa"/>
            <w:vAlign w:val="center"/>
          </w:tcPr>
          <w:p w14:paraId="70FB217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421FDCD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2437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64B46EB6">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F4AFFF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跑酷运动组合</w:t>
            </w:r>
          </w:p>
        </w:tc>
        <w:tc>
          <w:tcPr>
            <w:tcW w:w="1154" w:type="dxa"/>
            <w:vAlign w:val="center"/>
          </w:tcPr>
          <w:p w14:paraId="15FD54B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66725"/>
                  <wp:effectExtent l="0" t="0" r="9525" b="9525"/>
                  <wp:docPr id="32" name="图片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8" descr="IMG_256"/>
                          <pic:cNvPicPr>
                            <a:picLocks noChangeAspect="1"/>
                          </pic:cNvPicPr>
                        </pic:nvPicPr>
                        <pic:blipFill>
                          <a:blip r:embed="rId44"/>
                          <a:stretch>
                            <a:fillRect/>
                          </a:stretch>
                        </pic:blipFill>
                        <pic:spPr>
                          <a:xfrm>
                            <a:off x="0" y="0"/>
                            <a:ext cx="581025" cy="466725"/>
                          </a:xfrm>
                          <a:prstGeom prst="rect">
                            <a:avLst/>
                          </a:prstGeom>
                          <a:noFill/>
                          <a:ln w="9525">
                            <a:noFill/>
                          </a:ln>
                        </pic:spPr>
                      </pic:pic>
                    </a:graphicData>
                  </a:graphic>
                </wp:inline>
              </w:drawing>
            </w:r>
          </w:p>
        </w:tc>
        <w:tc>
          <w:tcPr>
            <w:tcW w:w="5189" w:type="dxa"/>
            <w:vAlign w:val="center"/>
          </w:tcPr>
          <w:p w14:paraId="17BED8C7">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1.运动器械-主材：（1）半圆墩，6个，300*300*150mm（±10mm），黄、蓝，PVC+EVA；</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（2）平衡木（蓝），4个，600*300*300mm（±10mm），PVC+EVA；</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（3）平衡木（灰），2个，800*300*300mm（±10mm），PVC+EVA；</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（4）三角墩，4个，570*600*570mm（±10mm），黄+灰，PVC+海绵；</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（5）梯形墩，2个，1170*600*600mm（±10mm），蓝+灰，PVC+EPE；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（6）1号跳箱，2个，800*600*100mm（±10mm），灰，PVC+EPE；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（7）2号跳箱，2个，800*600*200mm（±10mm），蓝，PVC+EPE；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（8）3号跳箱，2个，800*600*300mm（±10mm），灰，PVC+EPE；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（9）4号跳箱，2个，800*600*400mm（±10mm），蓝，PVC+EPE；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（10）跳马墩（第1级），1个，800*600*200mm（±10mm），蓝，PVC+XPE+海绵；</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（11）跳马墩（第2级），1个，800*500*200mm（±10mm），灰，PVC+XPE+海绵；</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（12）跳马墩（第3级），1个，800*400*200mm（±10mm），蓝，PVC+XPE+海绵；</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（13）跳马墩（第4级），1个，800*300*200mm（±10mm），灰，PVC+XPE+海绵；</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（14）四折垫，2张，2465*630*50mm（±10mm），蓝+黄，PVC+XPE；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（15）升降单杠，2个，930*1510*1510mm（±10mm），蓝+灰，镀锌钢管；</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2.运动器材-辅材：百变窗，2套，长条带1450*100*30mm（±10mm），短条带800*200*20mm（±10mm），蓝，PVC+EPE；</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1）底座，8个，240*240*200mm，顶部圆台结构可实现多个底座垒搭及与平衡木底座结合使用，同时融合了线型、大圆、小圆三种卡槽，分别可用来拼插敏捷圈、百变条和体能棒,4个侧面均设计有用于连接平衡板的方形卡槽，可创设出多种地形；底部设计有防滑脚垫，保证使用稳定,工程塑料ABS,采用注塑工艺，产品表面粗磨砂效果，可防滑；</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（2）体能棒，16根，长750mm，直径29.8mm，蓝、黄，ABS、PPR；</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（3）敏捷圈，16个，644*501*7mm，黄，PP；</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（4）龟背，8个，398*392*211mm，蓝、黄，PP；</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3.方案材料：《幼儿园户外运动活动整体方案》1册，正16开（185mm*260mm），封面200g铜版纸，覆亚膜，单面四色印刷，内芯80g双胶纸，双面八色印刷；《跑酷运动组合使用手册》小班、中班、大班各1册，正16开（185mm*260mm），封面200g铜版纸，覆亚膜，单面四色印刷，内芯80g双胶纸，双面八色印刷；</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4.收纳材料：钢质收纳架A（含防尘罩）3套；防尘罩尺寸：2115*655*1300mm。600D牛津布，密度38*33，纱支500D*500D；钢质收纳架A：外尺寸2100*650*1365mm，3层；层板尺寸965*608*28mm，壁厚0.5mm。立柱尺寸650*80*1365mm，壁厚1.0mm；横梁尺寸2015*40*130mm，壁厚1.2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★5.产品符合GB6675.1-2014《玩具安全第1部分:基本规范》、GB6675.2-2014《玩具安全第2部分:机械与物理性能》、GB6675.3-2014《玩具安全第3部分;易燃性能》、GB6675.4-2014《玩具安全第4部分:特定元素的迁移》。</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★6.提供产品”底座“在GB/T 22788-2016《玩具及儿童用品材料中总铅含量的测定》的检验报告。</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★7.提供产品”底座“在GB/T 26193-2010《玩具材料中可迁移元素锑、砷、钡、镉、铬、铅、汞、硒的测定 电感耦合等离子体质谱法》检验报告。</w:t>
            </w:r>
          </w:p>
        </w:tc>
        <w:tc>
          <w:tcPr>
            <w:tcW w:w="758" w:type="dxa"/>
            <w:vAlign w:val="center"/>
          </w:tcPr>
          <w:p w14:paraId="2125D71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4A6CB0D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5799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F40B36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8F8050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清水大积木</w:t>
            </w:r>
          </w:p>
        </w:tc>
        <w:tc>
          <w:tcPr>
            <w:tcW w:w="1154" w:type="dxa"/>
            <w:vAlign w:val="center"/>
          </w:tcPr>
          <w:p w14:paraId="4333DF5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71475"/>
                  <wp:effectExtent l="0" t="0" r="9525" b="9525"/>
                  <wp:docPr id="33" name="图片 6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9" descr="IMG_257"/>
                          <pic:cNvPicPr>
                            <a:picLocks noChangeAspect="1"/>
                          </pic:cNvPicPr>
                        </pic:nvPicPr>
                        <pic:blipFill>
                          <a:blip r:embed="rId45"/>
                          <a:stretch>
                            <a:fillRect/>
                          </a:stretch>
                        </pic:blipFill>
                        <pic:spPr>
                          <a:xfrm>
                            <a:off x="0" y="0"/>
                            <a:ext cx="581025" cy="371475"/>
                          </a:xfrm>
                          <a:prstGeom prst="rect">
                            <a:avLst/>
                          </a:prstGeom>
                          <a:noFill/>
                          <a:ln w="9525">
                            <a:noFill/>
                          </a:ln>
                        </pic:spPr>
                      </pic:pic>
                    </a:graphicData>
                  </a:graphic>
                </wp:inline>
              </w:drawing>
            </w:r>
          </w:p>
        </w:tc>
        <w:tc>
          <w:tcPr>
            <w:tcW w:w="5189" w:type="dxa"/>
            <w:vAlign w:val="center"/>
          </w:tcPr>
          <w:p w14:paraId="7D7C668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规格750件，其中正方形：100*100*50mm 100个，100*100*25mm 120个，长方形200*100*50mm 160个，200*100*25mm 180个，400*100*25mm 60个，600*100*25mm 30个，800*100*25mm（带槽）12个，800*100*25mm 12个，半环形500*250*50mm 3个，半圆300*150*50mm 3个，1/4圆形300*150*50mm 6个，三角形200*100*50mm 16个，三角形400*300*50mm 8个，小短圆柱100*50*50mm 16个，小短圆柱200*50*50mm 8个，大短圆柱200*100*100mm 4个，小长圆柱400*50*50mm 4个，大长圆柱400*100*100mm 2个，锥形100*100*150mm 4个，推车600*500*550mm 1个，直梯1500*500*70mm 1个，主体材料优质新西兰松。油漆采用优质水性漆，水性底漆及水性面漆中的甲醛含量、总铅(Pb)含量(限色漆、腻子和醇酸清漆)均符合GB18581-2020标准要求。</w:t>
            </w:r>
          </w:p>
        </w:tc>
        <w:tc>
          <w:tcPr>
            <w:tcW w:w="758" w:type="dxa"/>
            <w:vAlign w:val="center"/>
          </w:tcPr>
          <w:p w14:paraId="3F5FD28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223DF97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7FC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98806BA">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4017CF7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1640片碳化积木</w:t>
            </w:r>
          </w:p>
        </w:tc>
        <w:tc>
          <w:tcPr>
            <w:tcW w:w="1154" w:type="dxa"/>
            <w:vAlign w:val="center"/>
          </w:tcPr>
          <w:p w14:paraId="4DECD19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52425"/>
                  <wp:effectExtent l="0" t="0" r="9525" b="9525"/>
                  <wp:docPr id="34" name="图片 7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0" descr="IMG_258"/>
                          <pic:cNvPicPr>
                            <a:picLocks noChangeAspect="1"/>
                          </pic:cNvPicPr>
                        </pic:nvPicPr>
                        <pic:blipFill>
                          <a:blip r:embed="rId46"/>
                          <a:stretch>
                            <a:fillRect/>
                          </a:stretch>
                        </pic:blipFill>
                        <pic:spPr>
                          <a:xfrm>
                            <a:off x="0" y="0"/>
                            <a:ext cx="581025" cy="352425"/>
                          </a:xfrm>
                          <a:prstGeom prst="rect">
                            <a:avLst/>
                          </a:prstGeom>
                          <a:noFill/>
                          <a:ln w="9525">
                            <a:noFill/>
                          </a:ln>
                        </pic:spPr>
                      </pic:pic>
                    </a:graphicData>
                  </a:graphic>
                </wp:inline>
              </w:drawing>
            </w:r>
          </w:p>
        </w:tc>
        <w:tc>
          <w:tcPr>
            <w:tcW w:w="5189" w:type="dxa"/>
            <w:vAlign w:val="center"/>
          </w:tcPr>
          <w:p w14:paraId="2A5DDDF5">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规格1640件，其中正方形：100*100*50mm 200个，100*100*25mm 240个，长方形200*100*50mm 417个，200*100*25mm 390个，400*100*25mm 120个，600*100*25mm 60个，800*100*25mm（带槽）24个，800*100*25mm 24个，半环形500*250*50mm 6个，半圆300*150*50mm 6个，1/4圆形300*150*50mm 12个，三角形200*100*50mm 32个，三角形400*300*50mm 16个，小短圆柱100*50*50mm 32个，小短圆柱200*50*50mm 16个，大短圆柱200*100*100mm 8个，小长圆柱400*50*50mm 8个，大长圆柱400*100*100mm 4个，锥形100*100*150mm 8个，四分之一圆环400*150*25mm 4个，Y型400*300*25mm 8个，三叉路420*300*25mm 2个，积木推车600*500*550mm 2个，直梯1500*500*70mm 2个，人字梯2490*570*100mm,油漆采用优质水性漆，水性底漆及水性面漆中的甲醛含量、总铅(Pb)含量(限色漆、腻子和醇酸清漆)均符合GB18581-2020标准要求。</w:t>
            </w:r>
          </w:p>
        </w:tc>
        <w:tc>
          <w:tcPr>
            <w:tcW w:w="758" w:type="dxa"/>
            <w:vAlign w:val="center"/>
          </w:tcPr>
          <w:p w14:paraId="1E27671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2A2546F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6819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662AD169">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D8379E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篮球投掷架</w:t>
            </w:r>
          </w:p>
        </w:tc>
        <w:tc>
          <w:tcPr>
            <w:tcW w:w="1154" w:type="dxa"/>
            <w:vAlign w:val="center"/>
          </w:tcPr>
          <w:p w14:paraId="4A9CF42F">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23875"/>
                  <wp:effectExtent l="0" t="0" r="9525" b="9525"/>
                  <wp:docPr id="35" name="图片 7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1" descr="IMG_259"/>
                          <pic:cNvPicPr>
                            <a:picLocks noChangeAspect="1"/>
                          </pic:cNvPicPr>
                        </pic:nvPicPr>
                        <pic:blipFill>
                          <a:blip r:embed="rId47"/>
                          <a:stretch>
                            <a:fillRect/>
                          </a:stretch>
                        </pic:blipFill>
                        <pic:spPr>
                          <a:xfrm>
                            <a:off x="0" y="0"/>
                            <a:ext cx="581025" cy="523875"/>
                          </a:xfrm>
                          <a:prstGeom prst="rect">
                            <a:avLst/>
                          </a:prstGeom>
                          <a:noFill/>
                          <a:ln w="9525">
                            <a:noFill/>
                          </a:ln>
                        </pic:spPr>
                      </pic:pic>
                    </a:graphicData>
                  </a:graphic>
                </wp:inline>
              </w:drawing>
            </w:r>
          </w:p>
        </w:tc>
        <w:tc>
          <w:tcPr>
            <w:tcW w:w="5189" w:type="dxa"/>
            <w:vAlign w:val="center"/>
          </w:tcPr>
          <w:p w14:paraId="0C809340">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1300x800x1700mm。材质：ABS工程塑料+优质镀锌钢管，塑料件：色彩艳丽，抗静电能力强，安全环保，耐候性好。荧光紫外灯老化测试超过2100h，无明显变色、粉化、剥落现象。镀锌管：整体加工后经特殊工艺除锈。表面处理：室外聚脂系（polyesr/TGIC system）树脂粉体涂装烤漆，高温固化，表面光滑，抗紫外线，色彩鲜艳，不易脱落。</w:t>
            </w:r>
          </w:p>
        </w:tc>
        <w:tc>
          <w:tcPr>
            <w:tcW w:w="758" w:type="dxa"/>
            <w:vAlign w:val="center"/>
          </w:tcPr>
          <w:p w14:paraId="3E9B4F4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0936222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7AFB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D23869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A7D331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足球训练架A</w:t>
            </w:r>
          </w:p>
        </w:tc>
        <w:tc>
          <w:tcPr>
            <w:tcW w:w="1154" w:type="dxa"/>
            <w:vAlign w:val="center"/>
          </w:tcPr>
          <w:p w14:paraId="22A6EA2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628650"/>
                  <wp:effectExtent l="0" t="0" r="9525" b="0"/>
                  <wp:docPr id="36" name="图片 7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2" descr="IMG_260"/>
                          <pic:cNvPicPr>
                            <a:picLocks noChangeAspect="1"/>
                          </pic:cNvPicPr>
                        </pic:nvPicPr>
                        <pic:blipFill>
                          <a:blip r:embed="rId48"/>
                          <a:stretch>
                            <a:fillRect/>
                          </a:stretch>
                        </pic:blipFill>
                        <pic:spPr>
                          <a:xfrm>
                            <a:off x="0" y="0"/>
                            <a:ext cx="581025" cy="628650"/>
                          </a:xfrm>
                          <a:prstGeom prst="rect">
                            <a:avLst/>
                          </a:prstGeom>
                          <a:noFill/>
                          <a:ln w="9525">
                            <a:noFill/>
                          </a:ln>
                        </pic:spPr>
                      </pic:pic>
                    </a:graphicData>
                  </a:graphic>
                </wp:inline>
              </w:drawing>
            </w:r>
          </w:p>
        </w:tc>
        <w:tc>
          <w:tcPr>
            <w:tcW w:w="5189" w:type="dxa"/>
            <w:vAlign w:val="center"/>
          </w:tcPr>
          <w:p w14:paraId="72BD231C">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尺寸：1300x800x1700mm材质：ABS工程塑料+优质镀锌钢管，塑料件：色彩艳丽，抗静电能力强，安全环保，耐候性好。荧光紫外灯老化测试超过2100h，无明显变色、粉化、剥落现象。镀锌管：整体加工后经特殊工艺除锈。表面处理：室外聚脂系（polyesr/TGIC system）树脂粉体涂装烤漆，高温固化，表面光滑，抗紫外线，色彩鲜艳，不易脱落。</w:t>
            </w:r>
          </w:p>
        </w:tc>
        <w:tc>
          <w:tcPr>
            <w:tcW w:w="758" w:type="dxa"/>
            <w:vAlign w:val="center"/>
          </w:tcPr>
          <w:p w14:paraId="7512F20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3033D3F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5251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78AB488C">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2BB75B3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阻尼盖收纳车</w:t>
            </w:r>
          </w:p>
        </w:tc>
        <w:tc>
          <w:tcPr>
            <w:tcW w:w="1154" w:type="dxa"/>
            <w:vAlign w:val="center"/>
          </w:tcPr>
          <w:p w14:paraId="7F7C99B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647700"/>
                  <wp:effectExtent l="0" t="0" r="9525" b="0"/>
                  <wp:docPr id="37" name="图片 7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3" descr="IMG_261"/>
                          <pic:cNvPicPr>
                            <a:picLocks noChangeAspect="1"/>
                          </pic:cNvPicPr>
                        </pic:nvPicPr>
                        <pic:blipFill>
                          <a:blip r:embed="rId49"/>
                          <a:stretch>
                            <a:fillRect/>
                          </a:stretch>
                        </pic:blipFill>
                        <pic:spPr>
                          <a:xfrm>
                            <a:off x="0" y="0"/>
                            <a:ext cx="581025" cy="647700"/>
                          </a:xfrm>
                          <a:prstGeom prst="rect">
                            <a:avLst/>
                          </a:prstGeom>
                          <a:noFill/>
                          <a:ln w="9525">
                            <a:noFill/>
                          </a:ln>
                        </pic:spPr>
                      </pic:pic>
                    </a:graphicData>
                  </a:graphic>
                </wp:inline>
              </w:drawing>
            </w:r>
          </w:p>
        </w:tc>
        <w:tc>
          <w:tcPr>
            <w:tcW w:w="5189" w:type="dxa"/>
            <w:vAlign w:val="center"/>
          </w:tcPr>
          <w:p w14:paraId="248DF60F">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规格：1030*600*1030mm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材质：ABS、PVC</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解放双手，不需要再用一只手扶着车盖。球类和其他设备的完美收纳车，可以快速的运输到任何想去的地方。有了足够的空间，可以在车里方便地堆积教玩具。ABS比类似的PVC推车更坚固、更耐用、防开裂和弯曲、防锈。四只轮子均带有刹车以保证稳定性和安全性。可放置30余只4号篮球。盖子角度随意固定。</w:t>
            </w:r>
          </w:p>
        </w:tc>
        <w:tc>
          <w:tcPr>
            <w:tcW w:w="758" w:type="dxa"/>
            <w:vAlign w:val="center"/>
          </w:tcPr>
          <w:p w14:paraId="79C236E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3</w:t>
            </w:r>
          </w:p>
        </w:tc>
        <w:tc>
          <w:tcPr>
            <w:tcW w:w="522" w:type="dxa"/>
            <w:vAlign w:val="center"/>
          </w:tcPr>
          <w:p w14:paraId="476580C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1FF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1F3FA617">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40397FBE">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威力三轮车大号</w:t>
            </w:r>
          </w:p>
        </w:tc>
        <w:tc>
          <w:tcPr>
            <w:tcW w:w="1154" w:type="dxa"/>
            <w:vAlign w:val="center"/>
          </w:tcPr>
          <w:p w14:paraId="2FDCCE3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33375"/>
                  <wp:effectExtent l="0" t="0" r="9525" b="9525"/>
                  <wp:docPr id="38" name="图片 7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4" descr="IMG_262"/>
                          <pic:cNvPicPr>
                            <a:picLocks noChangeAspect="1"/>
                          </pic:cNvPicPr>
                        </pic:nvPicPr>
                        <pic:blipFill>
                          <a:blip r:embed="rId50"/>
                          <a:stretch>
                            <a:fillRect/>
                          </a:stretch>
                        </pic:blipFill>
                        <pic:spPr>
                          <a:xfrm>
                            <a:off x="0" y="0"/>
                            <a:ext cx="581025" cy="333375"/>
                          </a:xfrm>
                          <a:prstGeom prst="rect">
                            <a:avLst/>
                          </a:prstGeom>
                          <a:noFill/>
                          <a:ln w="9525">
                            <a:noFill/>
                          </a:ln>
                        </pic:spPr>
                      </pic:pic>
                    </a:graphicData>
                  </a:graphic>
                </wp:inline>
              </w:drawing>
            </w:r>
          </w:p>
        </w:tc>
        <w:tc>
          <w:tcPr>
            <w:tcW w:w="5189" w:type="dxa"/>
            <w:vAlign w:val="center"/>
          </w:tcPr>
          <w:p w14:paraId="22BEDAC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850x570x630mm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整车镀锌管材质，橡胶轮胎，全部采用304不锈钢螺丝，座垫加宽加大加厚，整车采用至少6个以上的工业轴承。</w:t>
            </w:r>
          </w:p>
        </w:tc>
        <w:tc>
          <w:tcPr>
            <w:tcW w:w="758" w:type="dxa"/>
            <w:vAlign w:val="center"/>
          </w:tcPr>
          <w:p w14:paraId="1717F4A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6</w:t>
            </w:r>
          </w:p>
        </w:tc>
        <w:tc>
          <w:tcPr>
            <w:tcW w:w="522" w:type="dxa"/>
            <w:vAlign w:val="center"/>
          </w:tcPr>
          <w:p w14:paraId="610D317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793C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CCCDE2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60D0A1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威力双人车</w:t>
            </w:r>
          </w:p>
        </w:tc>
        <w:tc>
          <w:tcPr>
            <w:tcW w:w="1154" w:type="dxa"/>
            <w:vAlign w:val="center"/>
          </w:tcPr>
          <w:p w14:paraId="481C4321">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28625"/>
                  <wp:effectExtent l="0" t="0" r="9525" b="9525"/>
                  <wp:docPr id="48" name="图片 7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5" descr="IMG_263"/>
                          <pic:cNvPicPr>
                            <a:picLocks noChangeAspect="1"/>
                          </pic:cNvPicPr>
                        </pic:nvPicPr>
                        <pic:blipFill>
                          <a:blip r:embed="rId51"/>
                          <a:stretch>
                            <a:fillRect/>
                          </a:stretch>
                        </pic:blipFill>
                        <pic:spPr>
                          <a:xfrm>
                            <a:off x="0" y="0"/>
                            <a:ext cx="581025" cy="428625"/>
                          </a:xfrm>
                          <a:prstGeom prst="rect">
                            <a:avLst/>
                          </a:prstGeom>
                          <a:noFill/>
                          <a:ln w="9525">
                            <a:noFill/>
                          </a:ln>
                        </pic:spPr>
                      </pic:pic>
                    </a:graphicData>
                  </a:graphic>
                </wp:inline>
              </w:drawing>
            </w:r>
          </w:p>
        </w:tc>
        <w:tc>
          <w:tcPr>
            <w:tcW w:w="5189" w:type="dxa"/>
            <w:vAlign w:val="center"/>
          </w:tcPr>
          <w:p w14:paraId="14E4E6D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930x530x600mm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整车镀锌管材质，橡胶轮胎，全部采用304不锈钢螺丝，座垫加宽加大加厚，整车采用至少6个以上的工业轴承。</w:t>
            </w:r>
          </w:p>
        </w:tc>
        <w:tc>
          <w:tcPr>
            <w:tcW w:w="758" w:type="dxa"/>
            <w:vAlign w:val="center"/>
          </w:tcPr>
          <w:p w14:paraId="22F4EEC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2</w:t>
            </w:r>
          </w:p>
        </w:tc>
        <w:tc>
          <w:tcPr>
            <w:tcW w:w="522" w:type="dxa"/>
            <w:vAlign w:val="center"/>
          </w:tcPr>
          <w:p w14:paraId="2257A0D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0F3D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D8ED6DF">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25F159A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威力出租车</w:t>
            </w:r>
          </w:p>
        </w:tc>
        <w:tc>
          <w:tcPr>
            <w:tcW w:w="1154" w:type="dxa"/>
            <w:vAlign w:val="center"/>
          </w:tcPr>
          <w:p w14:paraId="46FF6B7E">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61950"/>
                  <wp:effectExtent l="0" t="0" r="9525" b="0"/>
                  <wp:docPr id="49" name="图片 7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6" descr="IMG_264"/>
                          <pic:cNvPicPr>
                            <a:picLocks noChangeAspect="1"/>
                          </pic:cNvPicPr>
                        </pic:nvPicPr>
                        <pic:blipFill>
                          <a:blip r:embed="rId52"/>
                          <a:stretch>
                            <a:fillRect/>
                          </a:stretch>
                        </pic:blipFill>
                        <pic:spPr>
                          <a:xfrm>
                            <a:off x="0" y="0"/>
                            <a:ext cx="581025" cy="361950"/>
                          </a:xfrm>
                          <a:prstGeom prst="rect">
                            <a:avLst/>
                          </a:prstGeom>
                          <a:noFill/>
                          <a:ln w="9525">
                            <a:noFill/>
                          </a:ln>
                        </pic:spPr>
                      </pic:pic>
                    </a:graphicData>
                  </a:graphic>
                </wp:inline>
              </w:drawing>
            </w:r>
          </w:p>
        </w:tc>
        <w:tc>
          <w:tcPr>
            <w:tcW w:w="5189" w:type="dxa"/>
            <w:vAlign w:val="center"/>
          </w:tcPr>
          <w:p w14:paraId="5FDD21E6">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1060x520x660mm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整车镀锌管材质，橡胶轮胎，全部采用304不锈钢螺丝，座垫加宽加大加厚，整车采用至少6个以上的工业轴承。</w:t>
            </w:r>
          </w:p>
        </w:tc>
        <w:tc>
          <w:tcPr>
            <w:tcW w:w="758" w:type="dxa"/>
            <w:vAlign w:val="center"/>
          </w:tcPr>
          <w:p w14:paraId="4E9F5B8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2</w:t>
            </w:r>
          </w:p>
        </w:tc>
        <w:tc>
          <w:tcPr>
            <w:tcW w:w="522" w:type="dxa"/>
            <w:vAlign w:val="center"/>
          </w:tcPr>
          <w:p w14:paraId="7E66C08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77FD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EBF11D0">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3B5ABFE">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威力滑步车</w:t>
            </w:r>
          </w:p>
        </w:tc>
        <w:tc>
          <w:tcPr>
            <w:tcW w:w="1154" w:type="dxa"/>
            <w:vAlign w:val="center"/>
          </w:tcPr>
          <w:p w14:paraId="3327AF4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71500"/>
                  <wp:effectExtent l="0" t="0" r="9525" b="0"/>
                  <wp:docPr id="50" name="图片 7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7" descr="IMG_265"/>
                          <pic:cNvPicPr>
                            <a:picLocks noChangeAspect="1"/>
                          </pic:cNvPicPr>
                        </pic:nvPicPr>
                        <pic:blipFill>
                          <a:blip r:embed="rId53"/>
                          <a:stretch>
                            <a:fillRect/>
                          </a:stretch>
                        </pic:blipFill>
                        <pic:spPr>
                          <a:xfrm>
                            <a:off x="0" y="0"/>
                            <a:ext cx="581025" cy="571500"/>
                          </a:xfrm>
                          <a:prstGeom prst="rect">
                            <a:avLst/>
                          </a:prstGeom>
                          <a:noFill/>
                          <a:ln w="9525">
                            <a:noFill/>
                          </a:ln>
                        </pic:spPr>
                      </pic:pic>
                    </a:graphicData>
                  </a:graphic>
                </wp:inline>
              </w:drawing>
            </w:r>
          </w:p>
        </w:tc>
        <w:tc>
          <w:tcPr>
            <w:tcW w:w="5189" w:type="dxa"/>
            <w:vAlign w:val="center"/>
          </w:tcPr>
          <w:p w14:paraId="40CDDF30">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830x470x660mm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整车镀锌管材质，橡胶轮胎，全部采用304不锈钢螺丝，座垫加宽加大加厚，整车采用至少6个以上的工业轴承。</w:t>
            </w:r>
          </w:p>
        </w:tc>
        <w:tc>
          <w:tcPr>
            <w:tcW w:w="758" w:type="dxa"/>
            <w:vAlign w:val="center"/>
          </w:tcPr>
          <w:p w14:paraId="5F97FFAF">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2</w:t>
            </w:r>
          </w:p>
        </w:tc>
        <w:tc>
          <w:tcPr>
            <w:tcW w:w="522" w:type="dxa"/>
            <w:vAlign w:val="center"/>
          </w:tcPr>
          <w:p w14:paraId="6AAC889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7BDB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E8819B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7DAA6E9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小推车</w:t>
            </w:r>
          </w:p>
        </w:tc>
        <w:tc>
          <w:tcPr>
            <w:tcW w:w="1154" w:type="dxa"/>
            <w:vAlign w:val="center"/>
          </w:tcPr>
          <w:p w14:paraId="7536F68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33375"/>
                  <wp:effectExtent l="0" t="0" r="9525" b="9525"/>
                  <wp:docPr id="51" name="图片 7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8" descr="IMG_266"/>
                          <pic:cNvPicPr>
                            <a:picLocks noChangeAspect="1"/>
                          </pic:cNvPicPr>
                        </pic:nvPicPr>
                        <pic:blipFill>
                          <a:blip r:embed="rId54"/>
                          <a:stretch>
                            <a:fillRect/>
                          </a:stretch>
                        </pic:blipFill>
                        <pic:spPr>
                          <a:xfrm>
                            <a:off x="0" y="0"/>
                            <a:ext cx="581025" cy="333375"/>
                          </a:xfrm>
                          <a:prstGeom prst="rect">
                            <a:avLst/>
                          </a:prstGeom>
                          <a:noFill/>
                          <a:ln w="9525">
                            <a:noFill/>
                          </a:ln>
                        </pic:spPr>
                      </pic:pic>
                    </a:graphicData>
                  </a:graphic>
                </wp:inline>
              </w:drawing>
            </w:r>
          </w:p>
        </w:tc>
        <w:tc>
          <w:tcPr>
            <w:tcW w:w="5189" w:type="dxa"/>
            <w:vAlign w:val="center"/>
          </w:tcPr>
          <w:p w14:paraId="0ACFF3C1">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产品材质：金属、橡胶</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产品尺寸：830x410x400mm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产品配置：独轮车1辆。</w:t>
            </w:r>
          </w:p>
        </w:tc>
        <w:tc>
          <w:tcPr>
            <w:tcW w:w="758" w:type="dxa"/>
            <w:vAlign w:val="center"/>
          </w:tcPr>
          <w:p w14:paraId="508CD88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2</w:t>
            </w:r>
          </w:p>
        </w:tc>
        <w:tc>
          <w:tcPr>
            <w:tcW w:w="522" w:type="dxa"/>
            <w:vAlign w:val="center"/>
          </w:tcPr>
          <w:p w14:paraId="1576CFB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5EE5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68AF0C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A5E18A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单元积木</w:t>
            </w:r>
          </w:p>
        </w:tc>
        <w:tc>
          <w:tcPr>
            <w:tcW w:w="1154" w:type="dxa"/>
            <w:vAlign w:val="center"/>
          </w:tcPr>
          <w:p w14:paraId="2DC162F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81025"/>
                  <wp:effectExtent l="0" t="0" r="9525" b="9525"/>
                  <wp:docPr id="52" name="图片 7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9" descr="IMG_267"/>
                          <pic:cNvPicPr>
                            <a:picLocks noChangeAspect="1"/>
                          </pic:cNvPicPr>
                        </pic:nvPicPr>
                        <pic:blipFill>
                          <a:blip r:embed="rId55"/>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69A26D52">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材质：榉木；包装尺寸：645*275*430mm；产品尺寸：基础方块60×60×60mm、双倍基础方块120×60×60mm、小三角形60×60×60mm、大三角形120×60×60mm、拱形120×60×60mm、圆锥体60×60mm、圆柱体-低6×6cm、圆柱体-中60×120mm、半球体60×30mm、半圆柱体60×60×30mm、长方体1-60×60×30mm件、长方体2-120×60×30mm、长方体3-240×60×30mm、直角三角形120×60×60mm、1/4弧形120×30×15mm、1/4圆形60×60×30mm、四向连接件120×120×30mm、学习图卡200×140mm。内含：基础方块4件、双倍基础方块8件、小三角形4件、大三角形2件、拱形2件、圆锥体1件、圆柱体-低2件、圆柱体-中4件、半球体2件、半圆柱体2件、长方体1-4件、长方体2-8件、长方体3-2件、直角三角形2件、1/4弧形2件、1/4圆形2件、四向连接件1件、学习图卡4件，合计56件。各种立体造型的单元积木光滑耐用，实现建筑师的梦想，通过由易到难搭建不同的主题造型，锻炼幼儿创意搭建能力。</w:t>
            </w:r>
          </w:p>
        </w:tc>
        <w:tc>
          <w:tcPr>
            <w:tcW w:w="758" w:type="dxa"/>
            <w:vAlign w:val="center"/>
          </w:tcPr>
          <w:p w14:paraId="6F438FA1">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14763153">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4557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6527B9A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5852D7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迷你积木</w:t>
            </w:r>
          </w:p>
        </w:tc>
        <w:tc>
          <w:tcPr>
            <w:tcW w:w="1154" w:type="dxa"/>
            <w:vAlign w:val="bottom"/>
          </w:tcPr>
          <w:p w14:paraId="22BF040C">
            <w:pPr>
              <w:jc w:val="center"/>
              <w:rPr>
                <w:rFonts w:hint="eastAsia" w:ascii="黑体" w:hAnsi="黑体" w:eastAsia="黑体" w:cs="黑体"/>
                <w:color w:val="auto"/>
                <w:sz w:val="21"/>
                <w:szCs w:val="21"/>
                <w:highlight w:val="none"/>
                <w:vertAlign w:val="baseline"/>
              </w:rPr>
            </w:pPr>
            <w:r>
              <w:rPr>
                <w:rFonts w:hint="default" w:ascii="黑体" w:hAnsi="黑体" w:eastAsia="黑体" w:cs="黑体"/>
                <w:color w:val="auto"/>
                <w:sz w:val="21"/>
                <w:szCs w:val="21"/>
                <w:highlight w:val="none"/>
                <w:vertAlign w:val="baseline"/>
                <w:lang w:val="en-US" w:eastAsia="zh-CN"/>
              </w:rPr>
              <w:drawing>
                <wp:inline distT="0" distB="0" distL="114300" distR="114300">
                  <wp:extent cx="581025" cy="581025"/>
                  <wp:effectExtent l="0" t="0" r="9525" b="9525"/>
                  <wp:docPr id="53" name="图片 80"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0" descr="IMG_268"/>
                          <pic:cNvPicPr>
                            <a:picLocks noChangeAspect="1"/>
                          </pic:cNvPicPr>
                        </pic:nvPicPr>
                        <pic:blipFill>
                          <a:blip r:embed="rId56"/>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4815E4C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材质：榉木；包装尺寸：355*260*213mm；产品尺寸：基础方块30*30*30mm、双倍基础方块60*30*30mm、小三角形30*30*30mm、大三角形60*30*30mm、拱形60*30*30mm、圆锥体33*30mm、圆柱体30*60mm、半球体33*15mm、半圆柱体36*18*30mm、长方体30*15*30mm、长方体60*15*30mm、长方体120*15*30mm、直角三角形60*30*30mm、1/4弧形60*30*15mm、1/4半园30*30*15mm、四向连接件60*60*15mm、操作卡片200*140mm。内含：基础方块x20、双倍基础方块x24、小三角形x12、大三角形x6、拱形x6、圆锥体x4、圆柱体x12、半球体x4、半圆柱体x6、长方体1x8、长方体2x24、长方体3x12、直角三角形x8、1/4弧形x4、1/4半圆x4、四向连接件x2、操作卡片x4。原木色大小、形状不同的积木，纹理清晰、质地均匀，搭配教学卡，能提高幼儿对形状的认知能力还可以搭建城堡、动物、大桥等各种造型，一物多玩，造型各异，丰富幼儿的创作能力。</w:t>
            </w:r>
          </w:p>
        </w:tc>
        <w:tc>
          <w:tcPr>
            <w:tcW w:w="758" w:type="dxa"/>
            <w:vAlign w:val="center"/>
          </w:tcPr>
          <w:p w14:paraId="23D2B46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6AB779F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66F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7D996B6E">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3B177CB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滚球积木</w:t>
            </w:r>
          </w:p>
        </w:tc>
        <w:tc>
          <w:tcPr>
            <w:tcW w:w="1154" w:type="dxa"/>
            <w:vAlign w:val="center"/>
          </w:tcPr>
          <w:p w14:paraId="350BF87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81025"/>
                  <wp:effectExtent l="0" t="0" r="9525" b="9525"/>
                  <wp:docPr id="54" name="图片 81"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1" descr="IMG_269"/>
                          <pic:cNvPicPr>
                            <a:picLocks noChangeAspect="1"/>
                          </pic:cNvPicPr>
                        </pic:nvPicPr>
                        <pic:blipFill>
                          <a:blip r:embed="rId57"/>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716AD41A">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材质： 榉木，尺寸：方块50mm。内含：内含基础立方体、轨道立方体、滚珠等54件、操作学习卡片3件。百变滑道、跑动的小球，多种玩法，多样拼搭，能锻炼动手创造能力，提高游戏专注度，满足幼儿多元化成长需求有洞和轨道设计的积木，能让幼儿思考小球的滚动方向和路径，培养幼儿空间思维能力和路径规划能力，在潜移默化中提高逻辑推理能力。</w:t>
            </w:r>
          </w:p>
        </w:tc>
        <w:tc>
          <w:tcPr>
            <w:tcW w:w="758" w:type="dxa"/>
            <w:vAlign w:val="center"/>
          </w:tcPr>
          <w:p w14:paraId="523424D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7F7A4EF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2F7E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FAC9EF6">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E2EF6B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建筑大师</w:t>
            </w:r>
          </w:p>
        </w:tc>
        <w:tc>
          <w:tcPr>
            <w:tcW w:w="1154" w:type="dxa"/>
            <w:vAlign w:val="center"/>
          </w:tcPr>
          <w:p w14:paraId="57C133D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81025"/>
                  <wp:effectExtent l="0" t="0" r="9525" b="9525"/>
                  <wp:docPr id="55" name="图片 82"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2" descr="IMG_270"/>
                          <pic:cNvPicPr>
                            <a:picLocks noChangeAspect="1"/>
                          </pic:cNvPicPr>
                        </pic:nvPicPr>
                        <pic:blipFill>
                          <a:blip r:embed="rId58"/>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35E947CC">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材质：榉木，包装尺寸：355*260*213mm，内含：木片*300片。每片木片尺寸为120*24*7mm。</w:t>
            </w:r>
          </w:p>
        </w:tc>
        <w:tc>
          <w:tcPr>
            <w:tcW w:w="758" w:type="dxa"/>
            <w:vAlign w:val="center"/>
          </w:tcPr>
          <w:p w14:paraId="73EF454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w:t>
            </w:r>
          </w:p>
        </w:tc>
        <w:tc>
          <w:tcPr>
            <w:tcW w:w="522" w:type="dxa"/>
            <w:vAlign w:val="center"/>
          </w:tcPr>
          <w:p w14:paraId="7E54E06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4485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6BA2FF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6DDA6F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扣纽扣</w:t>
            </w:r>
          </w:p>
        </w:tc>
        <w:tc>
          <w:tcPr>
            <w:tcW w:w="1154" w:type="dxa"/>
            <w:vAlign w:val="center"/>
          </w:tcPr>
          <w:p w14:paraId="1DBDAA6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38150"/>
                  <wp:effectExtent l="0" t="0" r="9525" b="0"/>
                  <wp:docPr id="56" name="图片 83"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3" descr="IMG_271"/>
                          <pic:cNvPicPr>
                            <a:picLocks noChangeAspect="1"/>
                          </pic:cNvPicPr>
                        </pic:nvPicPr>
                        <pic:blipFill>
                          <a:blip r:embed="rId59"/>
                          <a:stretch>
                            <a:fillRect/>
                          </a:stretch>
                        </pic:blipFill>
                        <pic:spPr>
                          <a:xfrm>
                            <a:off x="0" y="0"/>
                            <a:ext cx="581025" cy="438150"/>
                          </a:xfrm>
                          <a:prstGeom prst="rect">
                            <a:avLst/>
                          </a:prstGeom>
                          <a:noFill/>
                          <a:ln w="9525">
                            <a:noFill/>
                          </a:ln>
                        </pic:spPr>
                      </pic:pic>
                    </a:graphicData>
                  </a:graphic>
                </wp:inline>
              </w:drawing>
            </w:r>
          </w:p>
        </w:tc>
        <w:tc>
          <w:tcPr>
            <w:tcW w:w="5189" w:type="dxa"/>
            <w:vAlign w:val="center"/>
          </w:tcPr>
          <w:p w14:paraId="679DB1E0">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规格：300*195*25mm；材质：榉木。</w:t>
            </w:r>
          </w:p>
        </w:tc>
        <w:tc>
          <w:tcPr>
            <w:tcW w:w="758" w:type="dxa"/>
            <w:vAlign w:val="center"/>
          </w:tcPr>
          <w:p w14:paraId="7654E54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6C63446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303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A2CA429">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0596EE4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颜色配对</w:t>
            </w:r>
          </w:p>
        </w:tc>
        <w:tc>
          <w:tcPr>
            <w:tcW w:w="1154" w:type="dxa"/>
            <w:vAlign w:val="center"/>
          </w:tcPr>
          <w:p w14:paraId="56FE5ED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476250" cy="428625"/>
                  <wp:effectExtent l="0" t="0" r="0" b="9525"/>
                  <wp:docPr id="57" name="图片 84"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4" descr="IMG_272"/>
                          <pic:cNvPicPr>
                            <a:picLocks noChangeAspect="1"/>
                          </pic:cNvPicPr>
                        </pic:nvPicPr>
                        <pic:blipFill>
                          <a:blip r:embed="rId60"/>
                          <a:stretch>
                            <a:fillRect/>
                          </a:stretch>
                        </pic:blipFill>
                        <pic:spPr>
                          <a:xfrm>
                            <a:off x="0" y="0"/>
                            <a:ext cx="476250" cy="428625"/>
                          </a:xfrm>
                          <a:prstGeom prst="rect">
                            <a:avLst/>
                          </a:prstGeom>
                          <a:noFill/>
                          <a:ln w="9525">
                            <a:noFill/>
                          </a:ln>
                        </pic:spPr>
                      </pic:pic>
                    </a:graphicData>
                  </a:graphic>
                </wp:inline>
              </w:drawing>
            </w:r>
          </w:p>
        </w:tc>
        <w:tc>
          <w:tcPr>
            <w:tcW w:w="5189" w:type="dxa"/>
            <w:vAlign w:val="center"/>
          </w:tcPr>
          <w:p w14:paraId="5B6D608F">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规格：340*340mm；材质：榉木、MDF、PS。</w:t>
            </w:r>
          </w:p>
        </w:tc>
        <w:tc>
          <w:tcPr>
            <w:tcW w:w="758" w:type="dxa"/>
            <w:vAlign w:val="center"/>
          </w:tcPr>
          <w:p w14:paraId="0E910D1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085DAD2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0302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662A79F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2ED1B8F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螺丝螺母积木</w:t>
            </w:r>
          </w:p>
        </w:tc>
        <w:tc>
          <w:tcPr>
            <w:tcW w:w="1154" w:type="dxa"/>
            <w:vAlign w:val="center"/>
          </w:tcPr>
          <w:p w14:paraId="4C6BC11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71500" cy="447675"/>
                  <wp:effectExtent l="0" t="0" r="0" b="9525"/>
                  <wp:docPr id="58" name="图片 85"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5" descr="IMG_273"/>
                          <pic:cNvPicPr>
                            <a:picLocks noChangeAspect="1"/>
                          </pic:cNvPicPr>
                        </pic:nvPicPr>
                        <pic:blipFill>
                          <a:blip r:embed="rId61"/>
                          <a:stretch>
                            <a:fillRect/>
                          </a:stretch>
                        </pic:blipFill>
                        <pic:spPr>
                          <a:xfrm>
                            <a:off x="0" y="0"/>
                            <a:ext cx="571500" cy="447675"/>
                          </a:xfrm>
                          <a:prstGeom prst="rect">
                            <a:avLst/>
                          </a:prstGeom>
                          <a:noFill/>
                          <a:ln w="9525">
                            <a:noFill/>
                          </a:ln>
                        </pic:spPr>
                      </pic:pic>
                    </a:graphicData>
                  </a:graphic>
                </wp:inline>
              </w:drawing>
            </w:r>
          </w:p>
        </w:tc>
        <w:tc>
          <w:tcPr>
            <w:tcW w:w="5189" w:type="dxa"/>
            <w:vAlign w:val="center"/>
          </w:tcPr>
          <w:p w14:paraId="2A97FDDE">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规格：160对/盒；材质：ABS。</w:t>
            </w:r>
          </w:p>
        </w:tc>
        <w:tc>
          <w:tcPr>
            <w:tcW w:w="758" w:type="dxa"/>
            <w:vAlign w:val="center"/>
          </w:tcPr>
          <w:p w14:paraId="37C9438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0347360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658F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0248FA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25AAA3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轨道滑滑车</w:t>
            </w:r>
          </w:p>
        </w:tc>
        <w:tc>
          <w:tcPr>
            <w:tcW w:w="1154" w:type="dxa"/>
            <w:vAlign w:val="center"/>
          </w:tcPr>
          <w:p w14:paraId="45C3890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76250"/>
                  <wp:effectExtent l="0" t="0" r="9525" b="0"/>
                  <wp:docPr id="59" name="图片 86"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6" descr="IMG_274"/>
                          <pic:cNvPicPr>
                            <a:picLocks noChangeAspect="1"/>
                          </pic:cNvPicPr>
                        </pic:nvPicPr>
                        <pic:blipFill>
                          <a:blip r:embed="rId62"/>
                          <a:stretch>
                            <a:fillRect/>
                          </a:stretch>
                        </pic:blipFill>
                        <pic:spPr>
                          <a:xfrm>
                            <a:off x="0" y="0"/>
                            <a:ext cx="581025" cy="476250"/>
                          </a:xfrm>
                          <a:prstGeom prst="rect">
                            <a:avLst/>
                          </a:prstGeom>
                          <a:noFill/>
                          <a:ln w="9525">
                            <a:noFill/>
                          </a:ln>
                        </pic:spPr>
                      </pic:pic>
                    </a:graphicData>
                  </a:graphic>
                </wp:inline>
              </w:drawing>
            </w:r>
          </w:p>
        </w:tc>
        <w:tc>
          <w:tcPr>
            <w:tcW w:w="5189" w:type="dxa"/>
            <w:vAlign w:val="center"/>
          </w:tcPr>
          <w:p w14:paraId="3986BCF6">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规格：360*360*110mm；材质：胶合板。</w:t>
            </w:r>
          </w:p>
        </w:tc>
        <w:tc>
          <w:tcPr>
            <w:tcW w:w="758" w:type="dxa"/>
            <w:vAlign w:val="center"/>
          </w:tcPr>
          <w:p w14:paraId="569EA0B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09F0861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1C40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4997C91">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679E4B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大号雪花片</w:t>
            </w:r>
          </w:p>
        </w:tc>
        <w:tc>
          <w:tcPr>
            <w:tcW w:w="1154" w:type="dxa"/>
            <w:vAlign w:val="center"/>
          </w:tcPr>
          <w:p w14:paraId="016E299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38150"/>
                  <wp:effectExtent l="0" t="0" r="9525" b="0"/>
                  <wp:docPr id="60" name="图片 87"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7" descr="IMG_275"/>
                          <pic:cNvPicPr>
                            <a:picLocks noChangeAspect="1"/>
                          </pic:cNvPicPr>
                        </pic:nvPicPr>
                        <pic:blipFill>
                          <a:blip r:embed="rId63"/>
                          <a:stretch>
                            <a:fillRect/>
                          </a:stretch>
                        </pic:blipFill>
                        <pic:spPr>
                          <a:xfrm>
                            <a:off x="0" y="0"/>
                            <a:ext cx="581025" cy="438150"/>
                          </a:xfrm>
                          <a:prstGeom prst="rect">
                            <a:avLst/>
                          </a:prstGeom>
                          <a:noFill/>
                          <a:ln w="9525">
                            <a:noFill/>
                          </a:ln>
                        </pic:spPr>
                      </pic:pic>
                    </a:graphicData>
                  </a:graphic>
                </wp:inline>
              </w:drawing>
            </w:r>
          </w:p>
        </w:tc>
        <w:tc>
          <w:tcPr>
            <w:tcW w:w="5189" w:type="dxa"/>
            <w:vAlign w:val="center"/>
          </w:tcPr>
          <w:p w14:paraId="2B26192F">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规格：1000件/盒；材质：ABS。</w:t>
            </w:r>
          </w:p>
        </w:tc>
        <w:tc>
          <w:tcPr>
            <w:tcW w:w="758" w:type="dxa"/>
            <w:vAlign w:val="center"/>
          </w:tcPr>
          <w:p w14:paraId="2C4641EF">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6268542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6A18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655D82C">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2D59E97">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趣味配对-数字与计数</w:t>
            </w:r>
          </w:p>
        </w:tc>
        <w:tc>
          <w:tcPr>
            <w:tcW w:w="1154" w:type="dxa"/>
            <w:vAlign w:val="center"/>
          </w:tcPr>
          <w:p w14:paraId="3F9F2DEF">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81000"/>
                  <wp:effectExtent l="0" t="0" r="9525" b="0"/>
                  <wp:docPr id="61" name="图片 88"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8" descr="IMG_276"/>
                          <pic:cNvPicPr>
                            <a:picLocks noChangeAspect="1"/>
                          </pic:cNvPicPr>
                        </pic:nvPicPr>
                        <pic:blipFill>
                          <a:blip r:embed="rId64"/>
                          <a:stretch>
                            <a:fillRect/>
                          </a:stretch>
                        </pic:blipFill>
                        <pic:spPr>
                          <a:xfrm>
                            <a:off x="0" y="0"/>
                            <a:ext cx="581025" cy="381000"/>
                          </a:xfrm>
                          <a:prstGeom prst="rect">
                            <a:avLst/>
                          </a:prstGeom>
                          <a:noFill/>
                          <a:ln w="9525">
                            <a:noFill/>
                          </a:ln>
                        </pic:spPr>
                      </pic:pic>
                    </a:graphicData>
                  </a:graphic>
                </wp:inline>
              </w:drawing>
            </w:r>
          </w:p>
        </w:tc>
        <w:tc>
          <w:tcPr>
            <w:tcW w:w="5189" w:type="dxa"/>
            <w:vAlign w:val="center"/>
          </w:tcPr>
          <w:p w14:paraId="7EEDAC42">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规格：204*100*60mm；材质：胶合板。</w:t>
            </w:r>
          </w:p>
        </w:tc>
        <w:tc>
          <w:tcPr>
            <w:tcW w:w="758" w:type="dxa"/>
            <w:vAlign w:val="center"/>
          </w:tcPr>
          <w:p w14:paraId="187D5B5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64E3099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3404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707FF30B">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0F9B33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管道游戏</w:t>
            </w:r>
          </w:p>
        </w:tc>
        <w:tc>
          <w:tcPr>
            <w:tcW w:w="1154" w:type="dxa"/>
            <w:vAlign w:val="center"/>
          </w:tcPr>
          <w:p w14:paraId="13314F31">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85775"/>
                  <wp:effectExtent l="0" t="0" r="9525" b="9525"/>
                  <wp:docPr id="62" name="图片 89"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9" descr="IMG_277"/>
                          <pic:cNvPicPr>
                            <a:picLocks noChangeAspect="1"/>
                          </pic:cNvPicPr>
                        </pic:nvPicPr>
                        <pic:blipFill>
                          <a:blip r:embed="rId65"/>
                          <a:stretch>
                            <a:fillRect/>
                          </a:stretch>
                        </pic:blipFill>
                        <pic:spPr>
                          <a:xfrm>
                            <a:off x="0" y="0"/>
                            <a:ext cx="581025" cy="485775"/>
                          </a:xfrm>
                          <a:prstGeom prst="rect">
                            <a:avLst/>
                          </a:prstGeom>
                          <a:noFill/>
                          <a:ln w="9525">
                            <a:noFill/>
                          </a:ln>
                        </pic:spPr>
                      </pic:pic>
                    </a:graphicData>
                  </a:graphic>
                </wp:inline>
              </w:drawing>
            </w:r>
          </w:p>
        </w:tc>
        <w:tc>
          <w:tcPr>
            <w:tcW w:w="5189" w:type="dxa"/>
            <w:vAlign w:val="center"/>
          </w:tcPr>
          <w:p w14:paraId="46673D64">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规格：147件/盒；材质：ABS。</w:t>
            </w:r>
          </w:p>
        </w:tc>
        <w:tc>
          <w:tcPr>
            <w:tcW w:w="758" w:type="dxa"/>
            <w:vAlign w:val="center"/>
          </w:tcPr>
          <w:p w14:paraId="5D58BB1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5BD6409E">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31F4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B0CDD28">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6106F4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中雪花片积木</w:t>
            </w:r>
          </w:p>
        </w:tc>
        <w:tc>
          <w:tcPr>
            <w:tcW w:w="1154" w:type="dxa"/>
            <w:vAlign w:val="center"/>
          </w:tcPr>
          <w:p w14:paraId="5E08D46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42925" cy="523875"/>
                  <wp:effectExtent l="0" t="0" r="9525" b="9525"/>
                  <wp:docPr id="63" name="图片 90"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0" descr="IMG_278"/>
                          <pic:cNvPicPr>
                            <a:picLocks noChangeAspect="1"/>
                          </pic:cNvPicPr>
                        </pic:nvPicPr>
                        <pic:blipFill>
                          <a:blip r:embed="rId66"/>
                          <a:stretch>
                            <a:fillRect/>
                          </a:stretch>
                        </pic:blipFill>
                        <pic:spPr>
                          <a:xfrm>
                            <a:off x="0" y="0"/>
                            <a:ext cx="542925" cy="523875"/>
                          </a:xfrm>
                          <a:prstGeom prst="rect">
                            <a:avLst/>
                          </a:prstGeom>
                          <a:noFill/>
                          <a:ln w="9525">
                            <a:noFill/>
                          </a:ln>
                        </pic:spPr>
                      </pic:pic>
                    </a:graphicData>
                  </a:graphic>
                </wp:inline>
              </w:drawing>
            </w:r>
          </w:p>
        </w:tc>
        <w:tc>
          <w:tcPr>
            <w:tcW w:w="5189" w:type="dxa"/>
            <w:vAlign w:val="center"/>
          </w:tcPr>
          <w:p w14:paraId="13291F1A">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规格：1800件/盒；材质：ABS。</w:t>
            </w:r>
          </w:p>
        </w:tc>
        <w:tc>
          <w:tcPr>
            <w:tcW w:w="758" w:type="dxa"/>
            <w:vAlign w:val="center"/>
          </w:tcPr>
          <w:p w14:paraId="0162C47E">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2CCF4BCE">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2F83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2689042">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98C627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基础大颗粒</w:t>
            </w:r>
          </w:p>
        </w:tc>
        <w:tc>
          <w:tcPr>
            <w:tcW w:w="1154" w:type="dxa"/>
            <w:vAlign w:val="center"/>
          </w:tcPr>
          <w:p w14:paraId="1013A48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71500" cy="428625"/>
                  <wp:effectExtent l="0" t="0" r="0" b="9525"/>
                  <wp:docPr id="64" name="图片 91"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1" descr="IMG_279"/>
                          <pic:cNvPicPr>
                            <a:picLocks noChangeAspect="1"/>
                          </pic:cNvPicPr>
                        </pic:nvPicPr>
                        <pic:blipFill>
                          <a:blip r:embed="rId67"/>
                          <a:stretch>
                            <a:fillRect/>
                          </a:stretch>
                        </pic:blipFill>
                        <pic:spPr>
                          <a:xfrm>
                            <a:off x="0" y="0"/>
                            <a:ext cx="571500" cy="428625"/>
                          </a:xfrm>
                          <a:prstGeom prst="rect">
                            <a:avLst/>
                          </a:prstGeom>
                          <a:noFill/>
                          <a:ln w="9525">
                            <a:noFill/>
                          </a:ln>
                        </pic:spPr>
                      </pic:pic>
                    </a:graphicData>
                  </a:graphic>
                </wp:inline>
              </w:drawing>
            </w:r>
          </w:p>
        </w:tc>
        <w:tc>
          <w:tcPr>
            <w:tcW w:w="5189" w:type="dxa"/>
            <w:vAlign w:val="center"/>
          </w:tcPr>
          <w:p w14:paraId="7D68A605">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规格：310件/盒；材质：ABS。</w:t>
            </w:r>
          </w:p>
        </w:tc>
        <w:tc>
          <w:tcPr>
            <w:tcW w:w="758" w:type="dxa"/>
            <w:vAlign w:val="center"/>
          </w:tcPr>
          <w:p w14:paraId="1695A64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2EF7E2C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700B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4A46628D">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04B720B1">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糖果游戏</w:t>
            </w:r>
          </w:p>
        </w:tc>
        <w:tc>
          <w:tcPr>
            <w:tcW w:w="1154" w:type="dxa"/>
            <w:vAlign w:val="center"/>
          </w:tcPr>
          <w:p w14:paraId="38F6EFD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466725"/>
                  <wp:effectExtent l="0" t="0" r="9525" b="9525"/>
                  <wp:docPr id="65" name="图片 92"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2" descr="IMG_280"/>
                          <pic:cNvPicPr>
                            <a:picLocks noChangeAspect="1"/>
                          </pic:cNvPicPr>
                        </pic:nvPicPr>
                        <pic:blipFill>
                          <a:blip r:embed="rId68"/>
                          <a:stretch>
                            <a:fillRect/>
                          </a:stretch>
                        </pic:blipFill>
                        <pic:spPr>
                          <a:xfrm>
                            <a:off x="0" y="0"/>
                            <a:ext cx="581025" cy="466725"/>
                          </a:xfrm>
                          <a:prstGeom prst="rect">
                            <a:avLst/>
                          </a:prstGeom>
                          <a:noFill/>
                          <a:ln w="9525">
                            <a:noFill/>
                          </a:ln>
                        </pic:spPr>
                      </pic:pic>
                    </a:graphicData>
                  </a:graphic>
                </wp:inline>
              </w:drawing>
            </w:r>
          </w:p>
        </w:tc>
        <w:tc>
          <w:tcPr>
            <w:tcW w:w="5189" w:type="dxa"/>
            <w:vAlign w:val="center"/>
          </w:tcPr>
          <w:p w14:paraId="01793411">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规格：240*240*65mm；材质：桦木胶合板、蓝色绒布。</w:t>
            </w:r>
          </w:p>
        </w:tc>
        <w:tc>
          <w:tcPr>
            <w:tcW w:w="758" w:type="dxa"/>
            <w:vAlign w:val="center"/>
          </w:tcPr>
          <w:p w14:paraId="5CD17C8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6391748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7016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736215D">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4C728222">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数数乐游戏</w:t>
            </w:r>
          </w:p>
        </w:tc>
        <w:tc>
          <w:tcPr>
            <w:tcW w:w="1154" w:type="dxa"/>
            <w:vAlign w:val="center"/>
          </w:tcPr>
          <w:p w14:paraId="39461E3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42900"/>
                  <wp:effectExtent l="0" t="0" r="9525" b="0"/>
                  <wp:docPr id="66" name="图片 93"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93" descr="IMG_281"/>
                          <pic:cNvPicPr>
                            <a:picLocks noChangeAspect="1"/>
                          </pic:cNvPicPr>
                        </pic:nvPicPr>
                        <pic:blipFill>
                          <a:blip r:embed="rId69"/>
                          <a:stretch>
                            <a:fillRect/>
                          </a:stretch>
                        </pic:blipFill>
                        <pic:spPr>
                          <a:xfrm>
                            <a:off x="0" y="0"/>
                            <a:ext cx="581025" cy="342900"/>
                          </a:xfrm>
                          <a:prstGeom prst="rect">
                            <a:avLst/>
                          </a:prstGeom>
                          <a:noFill/>
                          <a:ln w="9525">
                            <a:noFill/>
                          </a:ln>
                        </pic:spPr>
                      </pic:pic>
                    </a:graphicData>
                  </a:graphic>
                </wp:inline>
              </w:drawing>
            </w:r>
          </w:p>
        </w:tc>
        <w:tc>
          <w:tcPr>
            <w:tcW w:w="5189" w:type="dxa"/>
            <w:vAlign w:val="center"/>
          </w:tcPr>
          <w:p w14:paraId="54EC573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规格：336*226*68mm；材质：桦木胶合板、PS、荷木、HDPE。</w:t>
            </w:r>
          </w:p>
        </w:tc>
        <w:tc>
          <w:tcPr>
            <w:tcW w:w="758" w:type="dxa"/>
            <w:vAlign w:val="center"/>
          </w:tcPr>
          <w:p w14:paraId="16D8F0D1">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593D98B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5CEC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00CC40FF">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965649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面积游戏</w:t>
            </w:r>
          </w:p>
        </w:tc>
        <w:tc>
          <w:tcPr>
            <w:tcW w:w="1154" w:type="dxa"/>
            <w:vAlign w:val="center"/>
          </w:tcPr>
          <w:p w14:paraId="5B45D28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52425"/>
                  <wp:effectExtent l="0" t="0" r="9525" b="9525"/>
                  <wp:docPr id="67" name="图片 94"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4" descr="IMG_282"/>
                          <pic:cNvPicPr>
                            <a:picLocks noChangeAspect="1"/>
                          </pic:cNvPicPr>
                        </pic:nvPicPr>
                        <pic:blipFill>
                          <a:blip r:embed="rId70"/>
                          <a:stretch>
                            <a:fillRect/>
                          </a:stretch>
                        </pic:blipFill>
                        <pic:spPr>
                          <a:xfrm>
                            <a:off x="0" y="0"/>
                            <a:ext cx="581025" cy="352425"/>
                          </a:xfrm>
                          <a:prstGeom prst="rect">
                            <a:avLst/>
                          </a:prstGeom>
                          <a:noFill/>
                          <a:ln w="9525">
                            <a:noFill/>
                          </a:ln>
                        </pic:spPr>
                      </pic:pic>
                    </a:graphicData>
                  </a:graphic>
                </wp:inline>
              </w:drawing>
            </w:r>
          </w:p>
        </w:tc>
        <w:tc>
          <w:tcPr>
            <w:tcW w:w="5189" w:type="dxa"/>
            <w:vAlign w:val="center"/>
          </w:tcPr>
          <w:p w14:paraId="6609AD67">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规格：240*125*68mm；材质：桦木胶合板、PS。</w:t>
            </w:r>
          </w:p>
        </w:tc>
        <w:tc>
          <w:tcPr>
            <w:tcW w:w="758" w:type="dxa"/>
            <w:vAlign w:val="center"/>
          </w:tcPr>
          <w:p w14:paraId="041695D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5EEA131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39C8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76EF22DF">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CE42A0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基础大颗粒</w:t>
            </w:r>
          </w:p>
        </w:tc>
        <w:tc>
          <w:tcPr>
            <w:tcW w:w="1154" w:type="dxa"/>
            <w:vAlign w:val="center"/>
          </w:tcPr>
          <w:p w14:paraId="7C54652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52450" cy="428625"/>
                  <wp:effectExtent l="0" t="0" r="0" b="9525"/>
                  <wp:docPr id="68" name="图片 95"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5" descr="IMG_283"/>
                          <pic:cNvPicPr>
                            <a:picLocks noChangeAspect="1"/>
                          </pic:cNvPicPr>
                        </pic:nvPicPr>
                        <pic:blipFill>
                          <a:blip r:embed="rId71"/>
                          <a:stretch>
                            <a:fillRect/>
                          </a:stretch>
                        </pic:blipFill>
                        <pic:spPr>
                          <a:xfrm>
                            <a:off x="0" y="0"/>
                            <a:ext cx="552450" cy="428625"/>
                          </a:xfrm>
                          <a:prstGeom prst="rect">
                            <a:avLst/>
                          </a:prstGeom>
                          <a:noFill/>
                          <a:ln w="9525">
                            <a:noFill/>
                          </a:ln>
                        </pic:spPr>
                      </pic:pic>
                    </a:graphicData>
                  </a:graphic>
                </wp:inline>
              </w:drawing>
            </w:r>
          </w:p>
        </w:tc>
        <w:tc>
          <w:tcPr>
            <w:tcW w:w="5189" w:type="dxa"/>
            <w:vAlign w:val="center"/>
          </w:tcPr>
          <w:p w14:paraId="48ED8D59">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规格：310件/盒；材质：ABS。</w:t>
            </w:r>
          </w:p>
        </w:tc>
        <w:tc>
          <w:tcPr>
            <w:tcW w:w="758" w:type="dxa"/>
            <w:vAlign w:val="center"/>
          </w:tcPr>
          <w:p w14:paraId="15F64F4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3166DC5A">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70C0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28C34BEC">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451FC556">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小号雪花片</w:t>
            </w:r>
          </w:p>
        </w:tc>
        <w:tc>
          <w:tcPr>
            <w:tcW w:w="1154" w:type="dxa"/>
            <w:vAlign w:val="center"/>
          </w:tcPr>
          <w:p w14:paraId="250C536D">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52425"/>
                  <wp:effectExtent l="0" t="0" r="9525" b="9525"/>
                  <wp:docPr id="69" name="图片 96"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6" descr="IMG_284"/>
                          <pic:cNvPicPr>
                            <a:picLocks noChangeAspect="1"/>
                          </pic:cNvPicPr>
                        </pic:nvPicPr>
                        <pic:blipFill>
                          <a:blip r:embed="rId72"/>
                          <a:stretch>
                            <a:fillRect/>
                          </a:stretch>
                        </pic:blipFill>
                        <pic:spPr>
                          <a:xfrm>
                            <a:off x="0" y="0"/>
                            <a:ext cx="581025" cy="352425"/>
                          </a:xfrm>
                          <a:prstGeom prst="rect">
                            <a:avLst/>
                          </a:prstGeom>
                          <a:noFill/>
                          <a:ln w="9525">
                            <a:noFill/>
                          </a:ln>
                        </pic:spPr>
                      </pic:pic>
                    </a:graphicData>
                  </a:graphic>
                </wp:inline>
              </w:drawing>
            </w:r>
          </w:p>
        </w:tc>
        <w:tc>
          <w:tcPr>
            <w:tcW w:w="5189" w:type="dxa"/>
            <w:vAlign w:val="center"/>
          </w:tcPr>
          <w:p w14:paraId="1EE917E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规格：3500件/盒；材质：PE。</w:t>
            </w:r>
          </w:p>
        </w:tc>
        <w:tc>
          <w:tcPr>
            <w:tcW w:w="758" w:type="dxa"/>
            <w:vAlign w:val="center"/>
          </w:tcPr>
          <w:p w14:paraId="4C7C67D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552CE3F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6F20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3B4F75D">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2A9E8E23">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拼力片</w:t>
            </w:r>
          </w:p>
        </w:tc>
        <w:tc>
          <w:tcPr>
            <w:tcW w:w="1154" w:type="dxa"/>
            <w:vAlign w:val="center"/>
          </w:tcPr>
          <w:p w14:paraId="7ED587AB">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314325"/>
                  <wp:effectExtent l="0" t="0" r="9525" b="9525"/>
                  <wp:docPr id="70" name="图片 97"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7" descr="IMG_285"/>
                          <pic:cNvPicPr>
                            <a:picLocks noChangeAspect="1"/>
                          </pic:cNvPicPr>
                        </pic:nvPicPr>
                        <pic:blipFill>
                          <a:blip r:embed="rId73"/>
                          <a:stretch>
                            <a:fillRect/>
                          </a:stretch>
                        </pic:blipFill>
                        <pic:spPr>
                          <a:xfrm>
                            <a:off x="0" y="0"/>
                            <a:ext cx="581025" cy="314325"/>
                          </a:xfrm>
                          <a:prstGeom prst="rect">
                            <a:avLst/>
                          </a:prstGeom>
                          <a:noFill/>
                          <a:ln w="9525">
                            <a:noFill/>
                          </a:ln>
                        </pic:spPr>
                      </pic:pic>
                    </a:graphicData>
                  </a:graphic>
                </wp:inline>
              </w:drawing>
            </w:r>
          </w:p>
        </w:tc>
        <w:tc>
          <w:tcPr>
            <w:tcW w:w="5189" w:type="dxa"/>
            <w:vAlign w:val="center"/>
          </w:tcPr>
          <w:p w14:paraId="7E69A777">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规格：148件/盒；材质：ABS。</w:t>
            </w:r>
          </w:p>
        </w:tc>
        <w:tc>
          <w:tcPr>
            <w:tcW w:w="758" w:type="dxa"/>
            <w:vAlign w:val="center"/>
          </w:tcPr>
          <w:p w14:paraId="3D9905E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4</w:t>
            </w:r>
          </w:p>
        </w:tc>
        <w:tc>
          <w:tcPr>
            <w:tcW w:w="522" w:type="dxa"/>
            <w:vAlign w:val="center"/>
          </w:tcPr>
          <w:p w14:paraId="59F5D53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3DE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5F1D26B9">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1B703D4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1000片卡普乐</w:t>
            </w:r>
          </w:p>
        </w:tc>
        <w:tc>
          <w:tcPr>
            <w:tcW w:w="1154" w:type="dxa"/>
            <w:vAlign w:val="center"/>
          </w:tcPr>
          <w:p w14:paraId="0CB83D3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52450"/>
                  <wp:effectExtent l="0" t="0" r="9525" b="0"/>
                  <wp:docPr id="71" name="图片 98"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8" descr="IMG_286"/>
                          <pic:cNvPicPr>
                            <a:picLocks noChangeAspect="1"/>
                          </pic:cNvPicPr>
                        </pic:nvPicPr>
                        <pic:blipFill>
                          <a:blip r:embed="rId74"/>
                          <a:stretch>
                            <a:fillRect/>
                          </a:stretch>
                        </pic:blipFill>
                        <pic:spPr>
                          <a:xfrm>
                            <a:off x="0" y="0"/>
                            <a:ext cx="581025" cy="552450"/>
                          </a:xfrm>
                          <a:prstGeom prst="rect">
                            <a:avLst/>
                          </a:prstGeom>
                          <a:noFill/>
                          <a:ln w="9525">
                            <a:noFill/>
                          </a:ln>
                        </pic:spPr>
                      </pic:pic>
                    </a:graphicData>
                  </a:graphic>
                </wp:inline>
              </w:drawing>
            </w:r>
          </w:p>
        </w:tc>
        <w:tc>
          <w:tcPr>
            <w:tcW w:w="5189" w:type="dxa"/>
            <w:vAlign w:val="center"/>
          </w:tcPr>
          <w:p w14:paraId="5E2DDA68">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材质：新西兰松木</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规格：1箱，重12.5kg，11.7*2.34*0.78CM</w:t>
            </w:r>
          </w:p>
        </w:tc>
        <w:tc>
          <w:tcPr>
            <w:tcW w:w="758" w:type="dxa"/>
            <w:vAlign w:val="center"/>
          </w:tcPr>
          <w:p w14:paraId="4A7EC82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12</w:t>
            </w:r>
          </w:p>
        </w:tc>
        <w:tc>
          <w:tcPr>
            <w:tcW w:w="522" w:type="dxa"/>
            <w:vAlign w:val="center"/>
          </w:tcPr>
          <w:p w14:paraId="021220D5">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r w14:paraId="40EF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125134C">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6526B70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拖拉小车</w:t>
            </w:r>
          </w:p>
        </w:tc>
        <w:tc>
          <w:tcPr>
            <w:tcW w:w="1154" w:type="dxa"/>
            <w:vAlign w:val="center"/>
          </w:tcPr>
          <w:p w14:paraId="7B57B0C9">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90550"/>
                  <wp:effectExtent l="0" t="0" r="9525" b="0"/>
                  <wp:docPr id="72" name="图片 99"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9" descr="IMG_287"/>
                          <pic:cNvPicPr>
                            <a:picLocks noChangeAspect="1"/>
                          </pic:cNvPicPr>
                        </pic:nvPicPr>
                        <pic:blipFill>
                          <a:blip r:embed="rId75"/>
                          <a:stretch>
                            <a:fillRect/>
                          </a:stretch>
                        </pic:blipFill>
                        <pic:spPr>
                          <a:xfrm>
                            <a:off x="0" y="0"/>
                            <a:ext cx="581025" cy="590550"/>
                          </a:xfrm>
                          <a:prstGeom prst="rect">
                            <a:avLst/>
                          </a:prstGeom>
                          <a:noFill/>
                          <a:ln w="9525">
                            <a:noFill/>
                          </a:ln>
                        </pic:spPr>
                      </pic:pic>
                    </a:graphicData>
                  </a:graphic>
                </wp:inline>
              </w:drawing>
            </w:r>
          </w:p>
        </w:tc>
        <w:tc>
          <w:tcPr>
            <w:tcW w:w="5189" w:type="dxa"/>
            <w:vAlign w:val="center"/>
          </w:tcPr>
          <w:p w14:paraId="4BFDA8AC">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产品材质：多层实木板制作而成。多层实木板甲醛释放量≤0.014mg/m³（55h),总挥发性有机化合物(TVOC)≤0.25mg/㎡·h(72h)，静曲强度≥46MPa,胶合强度≥1.9MPa，燃烧性能等级达到B1-B级，THR600S≤6.5MJ，FIGRA0.2MJ≤95W/s,LFS&lt;试样边缘,60s内Fs≤108mm,600s内无燃烧滴落物/微粒均符合GB18580-2017;HJ571-2010;GB/T17657-2022的标准要求（投标时提供具有CMA标识并符合要求的检测报告）。</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产品尺寸：300x350x250mm</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产品配置：拖拉小车1辆。</w:t>
            </w:r>
          </w:p>
        </w:tc>
        <w:tc>
          <w:tcPr>
            <w:tcW w:w="758" w:type="dxa"/>
            <w:vAlign w:val="center"/>
          </w:tcPr>
          <w:p w14:paraId="2C7C39B4">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12</w:t>
            </w:r>
          </w:p>
        </w:tc>
        <w:tc>
          <w:tcPr>
            <w:tcW w:w="522" w:type="dxa"/>
            <w:vAlign w:val="center"/>
          </w:tcPr>
          <w:p w14:paraId="3901ED8F">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辆</w:t>
            </w:r>
          </w:p>
        </w:tc>
      </w:tr>
      <w:tr w14:paraId="4CA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14:paraId="3BC1F80A">
            <w:pPr>
              <w:numPr>
                <w:ilvl w:val="0"/>
                <w:numId w:val="2"/>
              </w:numPr>
              <w:tabs>
                <w:tab w:val="clear" w:pos="0"/>
              </w:tabs>
              <w:ind w:left="0" w:leftChars="0" w:firstLine="0" w:firstLineChars="0"/>
              <w:jc w:val="center"/>
              <w:rPr>
                <w:rFonts w:hint="eastAsia" w:ascii="黑体" w:hAnsi="黑体" w:eastAsia="黑体" w:cs="黑体"/>
                <w:color w:val="auto"/>
                <w:sz w:val="21"/>
                <w:szCs w:val="21"/>
                <w:highlight w:val="none"/>
                <w:vertAlign w:val="baseline"/>
                <w:lang w:val="en-US" w:eastAsia="zh-CN"/>
              </w:rPr>
            </w:pPr>
          </w:p>
        </w:tc>
        <w:tc>
          <w:tcPr>
            <w:tcW w:w="903" w:type="dxa"/>
            <w:vAlign w:val="center"/>
          </w:tcPr>
          <w:p w14:paraId="52ADF303">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低结构积木材料</w:t>
            </w:r>
          </w:p>
        </w:tc>
        <w:tc>
          <w:tcPr>
            <w:tcW w:w="1154" w:type="dxa"/>
            <w:vAlign w:val="center"/>
          </w:tcPr>
          <w:p w14:paraId="420A6BF0">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drawing>
                <wp:inline distT="0" distB="0" distL="114300" distR="114300">
                  <wp:extent cx="581025" cy="581025"/>
                  <wp:effectExtent l="0" t="0" r="9525" b="9525"/>
                  <wp:docPr id="73" name="图片 100"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0" descr="IMG_288"/>
                          <pic:cNvPicPr>
                            <a:picLocks noChangeAspect="1"/>
                          </pic:cNvPicPr>
                        </pic:nvPicPr>
                        <pic:blipFill>
                          <a:blip r:embed="rId76"/>
                          <a:stretch>
                            <a:fillRect/>
                          </a:stretch>
                        </pic:blipFill>
                        <pic:spPr>
                          <a:xfrm>
                            <a:off x="0" y="0"/>
                            <a:ext cx="581025" cy="581025"/>
                          </a:xfrm>
                          <a:prstGeom prst="rect">
                            <a:avLst/>
                          </a:prstGeom>
                          <a:noFill/>
                          <a:ln w="9525">
                            <a:noFill/>
                          </a:ln>
                        </pic:spPr>
                      </pic:pic>
                    </a:graphicData>
                  </a:graphic>
                </wp:inline>
              </w:drawing>
            </w:r>
          </w:p>
        </w:tc>
        <w:tc>
          <w:tcPr>
            <w:tcW w:w="5189" w:type="dxa"/>
            <w:vAlign w:val="center"/>
          </w:tcPr>
          <w:p w14:paraId="02A50425">
            <w:pPr>
              <w:keepNext w:val="0"/>
              <w:keepLines w:val="0"/>
              <w:widowControl/>
              <w:suppressLineNumbers w:val="0"/>
              <w:jc w:val="left"/>
              <w:textAlignment w:val="center"/>
              <w:rPr>
                <w:rFonts w:hint="eastAsia" w:ascii="黑体" w:hAnsi="黑体" w:eastAsia="黑体" w:cs="黑体"/>
                <w:color w:val="auto"/>
                <w:sz w:val="21"/>
                <w:szCs w:val="21"/>
                <w:highlight w:val="none"/>
                <w:vertAlign w:val="baseline"/>
              </w:rPr>
            </w:pPr>
            <w:r>
              <w:rPr>
                <w:rFonts w:hint="eastAsia" w:ascii="黑体" w:hAnsi="黑体" w:eastAsia="黑体" w:cs="黑体"/>
                <w:i w:val="0"/>
                <w:iCs w:val="0"/>
                <w:color w:val="auto"/>
                <w:kern w:val="0"/>
                <w:sz w:val="21"/>
                <w:szCs w:val="21"/>
                <w:highlight w:val="none"/>
                <w:u w:val="none"/>
                <w:lang w:val="en-US" w:eastAsia="zh-CN" w:bidi="ar"/>
              </w:rPr>
              <w:t>规格：一套含14种类型低结构积木材料</w:t>
            </w:r>
            <w:r>
              <w:rPr>
                <w:rFonts w:hint="eastAsia" w:ascii="黑体" w:hAnsi="黑体" w:eastAsia="黑体" w:cs="黑体"/>
                <w:i w:val="0"/>
                <w:iCs w:val="0"/>
                <w:color w:val="auto"/>
                <w:kern w:val="0"/>
                <w:sz w:val="21"/>
                <w:szCs w:val="21"/>
                <w:highlight w:val="none"/>
                <w:u w:val="none"/>
                <w:lang w:val="en-US" w:eastAsia="zh-CN" w:bidi="ar"/>
              </w:rPr>
              <w:br w:type="textWrapping"/>
            </w:r>
            <w:r>
              <w:rPr>
                <w:rFonts w:hint="eastAsia" w:ascii="黑体" w:hAnsi="黑体" w:eastAsia="黑体" w:cs="黑体"/>
                <w:i w:val="0"/>
                <w:iCs w:val="0"/>
                <w:color w:val="auto"/>
                <w:kern w:val="0"/>
                <w:sz w:val="21"/>
                <w:szCs w:val="21"/>
                <w:highlight w:val="none"/>
                <w:u w:val="none"/>
                <w:lang w:val="en-US" w:eastAsia="zh-CN" w:bidi="ar"/>
              </w:rPr>
              <w:t>含：1）彩色形状块1箱，木制，装箱尺寸620*370*260mm；2）方条1箱，木制，装箱尺寸620*370*260mm；3）方粒1箱，木制，装箱尺寸620*370*260mm；4）大方粒1箱，木制，装箱尺寸420*320*300mm；5）形状片1箱，木制，装箱尺寸620*370*260mm；6）披萨盘1箱，木制，装箱尺寸620*370*260mm；7）三角块1箱，木制，装箱尺寸620*370*260mm；8）圆片1箱，木制，装箱尺寸620*370*260mm；9）木条1箱，木制，装箱尺寸620*370*260mm；10）圆树1箱，木制，装箱尺寸420*320*300mm；11）尖树1箱，木制，装箱尺寸420*320*300mm；12）算数珠1箱，木制，装箱尺寸420*320*300mm；13）规格木条（230*20*12mm、295*20*12mm、320*25*25mm、335*40*12mm）1箱，14）木制，装箱尺寸420*320*300mm；</w:t>
            </w:r>
          </w:p>
        </w:tc>
        <w:tc>
          <w:tcPr>
            <w:tcW w:w="758" w:type="dxa"/>
            <w:vAlign w:val="center"/>
          </w:tcPr>
          <w:p w14:paraId="0E31A5CC">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3</w:t>
            </w:r>
          </w:p>
        </w:tc>
        <w:tc>
          <w:tcPr>
            <w:tcW w:w="522" w:type="dxa"/>
            <w:vAlign w:val="center"/>
          </w:tcPr>
          <w:p w14:paraId="1FE4EBF8">
            <w:pPr>
              <w:jc w:val="center"/>
              <w:rPr>
                <w:rFonts w:hint="eastAsia" w:ascii="黑体" w:hAnsi="黑体" w:eastAsia="黑体" w:cs="黑体"/>
                <w:color w:val="auto"/>
                <w:sz w:val="21"/>
                <w:szCs w:val="21"/>
                <w:highlight w:val="none"/>
                <w:vertAlign w:val="baseline"/>
              </w:rPr>
            </w:pPr>
            <w:r>
              <w:rPr>
                <w:rFonts w:hint="eastAsia" w:ascii="黑体" w:hAnsi="黑体" w:eastAsia="黑体" w:cs="黑体"/>
                <w:color w:val="auto"/>
                <w:sz w:val="21"/>
                <w:szCs w:val="21"/>
                <w:highlight w:val="none"/>
                <w:vertAlign w:val="baseline"/>
                <w:lang w:val="en-US" w:eastAsia="zh-CN"/>
              </w:rPr>
              <w:t>套</w:t>
            </w:r>
          </w:p>
        </w:tc>
      </w:tr>
    </w:tbl>
    <w:p w14:paraId="057F1C54">
      <w:pPr>
        <w:rPr>
          <w:color w:val="auto"/>
          <w:highlight w:val="none"/>
        </w:rPr>
      </w:pPr>
    </w:p>
    <w:p w14:paraId="4E9EA77C">
      <w:pPr>
        <w:autoSpaceDE w:val="0"/>
        <w:autoSpaceDN w:val="0"/>
        <w:adjustRightInd w:val="0"/>
        <w:spacing w:line="360" w:lineRule="auto"/>
        <w:ind w:firstLine="482" w:firstLineChars="200"/>
        <w:jc w:val="left"/>
        <w:textAlignment w:val="baseline"/>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注：</w:t>
      </w:r>
      <w:r>
        <w:rPr>
          <w:rFonts w:asciiTheme="minorEastAsia" w:hAnsiTheme="minorEastAsia" w:eastAsiaTheme="minorEastAsia" w:cstheme="minorEastAsia"/>
          <w:b/>
          <w:bCs/>
          <w:color w:val="auto"/>
          <w:kern w:val="0"/>
          <w:sz w:val="24"/>
          <w:szCs w:val="24"/>
          <w:highlight w:val="none"/>
        </w:rPr>
        <w:t xml:space="preserve">1.响应性要求：▲条款为实质性条款，不允许负偏离，否则作无效标处理；★条款为重要项，负偏离将导致严重扣分。各产品技术参数描述有要求提供检测报告或截图或其他资料，未提供或缺少提供都将作为负偏离影响技术得分；投标供应商在投标文件中需真实描述投标产品实际响应情况（技术偏离表需准确注明满足情况或负偏离情况）。 </w:t>
      </w:r>
    </w:p>
    <w:p w14:paraId="378C1BE9">
      <w:pPr>
        <w:autoSpaceDE w:val="0"/>
        <w:autoSpaceDN w:val="0"/>
        <w:adjustRightInd w:val="0"/>
        <w:spacing w:line="360" w:lineRule="auto"/>
        <w:ind w:firstLine="482" w:firstLineChars="200"/>
        <w:jc w:val="left"/>
        <w:textAlignment w:val="baseline"/>
        <w:rPr>
          <w:rFonts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2.投标人可参考采购单位推荐的技术参数及配置，也欢迎其他能满足或优于本项目技术需求且性能与所明确要求相当的产品参加投标。</w:t>
      </w:r>
    </w:p>
    <w:p w14:paraId="6F2F74E2">
      <w:pPr>
        <w:autoSpaceDE w:val="0"/>
        <w:autoSpaceDN w:val="0"/>
        <w:adjustRightInd w:val="0"/>
        <w:spacing w:line="360" w:lineRule="auto"/>
        <w:ind w:firstLine="482" w:firstLineChars="200"/>
        <w:jc w:val="left"/>
        <w:textAlignment w:val="baseline"/>
        <w:rPr>
          <w:rFonts w:hint="eastAsia" w:asciiTheme="minorEastAsia" w:hAnsiTheme="minorEastAsia" w:eastAsiaTheme="minorEastAsia" w:cstheme="minorEastAsia"/>
          <w:b/>
          <w:bCs/>
          <w:color w:val="auto"/>
          <w:kern w:val="0"/>
          <w:sz w:val="24"/>
          <w:szCs w:val="24"/>
          <w:highlight w:val="none"/>
          <w:lang w:val="en-US" w:eastAsia="zh-CN"/>
        </w:rPr>
      </w:pPr>
      <w:r>
        <w:rPr>
          <w:rFonts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szCs w:val="24"/>
          <w:highlight w:val="none"/>
          <w:lang w:val="en-US" w:eastAsia="zh-CN"/>
        </w:rPr>
        <w:t>采购清单及技术参数表格所涉及到的</w:t>
      </w:r>
      <w:r>
        <w:rPr>
          <w:rFonts w:hint="eastAsia" w:asciiTheme="minorEastAsia" w:hAnsiTheme="minorEastAsia" w:eastAsiaTheme="minorEastAsia" w:cstheme="minorEastAsia"/>
          <w:b/>
          <w:bCs/>
          <w:color w:val="auto"/>
          <w:kern w:val="0"/>
          <w:sz w:val="24"/>
          <w:szCs w:val="24"/>
          <w:highlight w:val="none"/>
          <w:lang w:val="en-US" w:eastAsia="zh-CN"/>
        </w:rPr>
        <w:t>，必须在投标文件中按要求提供证明材料</w:t>
      </w:r>
    </w:p>
    <w:p w14:paraId="151787A6">
      <w:pPr>
        <w:autoSpaceDE w:val="0"/>
        <w:autoSpaceDN w:val="0"/>
        <w:adjustRightInd w:val="0"/>
        <w:spacing w:line="360" w:lineRule="auto"/>
        <w:ind w:firstLine="482" w:firstLineChars="200"/>
        <w:jc w:val="left"/>
        <w:textAlignment w:val="baseline"/>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4.采购清单中，所涉及到的规格、尺寸允许正常范围内的正偏离。</w:t>
      </w:r>
    </w:p>
    <w:p w14:paraId="42BBA227">
      <w:pPr>
        <w:autoSpaceDE w:val="0"/>
        <w:autoSpaceDN w:val="0"/>
        <w:adjustRightInd w:val="0"/>
        <w:spacing w:line="360" w:lineRule="auto"/>
        <w:jc w:val="left"/>
        <w:textAlignment w:val="baseline"/>
        <w:outlineLvl w:val="1"/>
        <w:rPr>
          <w:rFonts w:asciiTheme="minorEastAsia" w:hAnsiTheme="minorEastAsia" w:eastAsiaTheme="minorEastAsia" w:cstheme="minorEastAsia"/>
          <w:b/>
          <w:bCs/>
          <w:color w:val="auto"/>
          <w:kern w:val="0"/>
          <w:sz w:val="24"/>
          <w:szCs w:val="24"/>
          <w:highlight w:val="none"/>
        </w:rPr>
      </w:pPr>
      <w:r>
        <w:rPr>
          <w:rFonts w:asciiTheme="minorEastAsia" w:hAnsiTheme="minorEastAsia" w:eastAsiaTheme="minorEastAsia" w:cstheme="minorEastAsia"/>
          <w:b/>
          <w:bCs/>
          <w:color w:val="auto"/>
          <w:kern w:val="0"/>
          <w:sz w:val="24"/>
          <w:szCs w:val="24"/>
          <w:highlight w:val="none"/>
        </w:rPr>
        <w:t>二、其他要求：</w:t>
      </w:r>
    </w:p>
    <w:p w14:paraId="0973FE13">
      <w:pPr>
        <w:keepNext w:val="0"/>
        <w:keepLines w:val="0"/>
        <w:pageBreakBefore w:val="0"/>
        <w:kinsoku/>
        <w:wordWrap/>
        <w:overflowPunct/>
        <w:topLinePunct w:val="0"/>
        <w:bidi w:val="0"/>
        <w:spacing w:line="380" w:lineRule="exact"/>
        <w:ind w:firstLine="480" w:firstLineChars="200"/>
        <w:rPr>
          <w:rFonts w:hint="default" w:ascii="宋体" w:hAnsi="宋体" w:eastAsia="宋体" w:cs="Times New Roman"/>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rPr>
        <w:t xml:space="preserve">   </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本次招标内容为完成以上项目的设计、制作、运输、就位安装、验收及售后服务。 </w:t>
      </w:r>
    </w:p>
    <w:p w14:paraId="5CE22810">
      <w:pPr>
        <w:keepNext w:val="0"/>
        <w:keepLines w:val="0"/>
        <w:pageBreakBefore w:val="0"/>
        <w:kinsoku/>
        <w:wordWrap/>
        <w:overflowPunct/>
        <w:topLinePunct w:val="0"/>
        <w:bidi w:val="0"/>
        <w:spacing w:line="380" w:lineRule="exact"/>
        <w:ind w:firstLine="480" w:firstLineChars="20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玩</w:t>
      </w:r>
      <w:r>
        <w:rPr>
          <w:rFonts w:hint="eastAsia" w:ascii="宋体" w:hAnsi="宋体" w:eastAsia="宋体" w:cs="Times New Roman"/>
          <w:color w:val="auto"/>
          <w:sz w:val="24"/>
          <w:szCs w:val="24"/>
          <w:highlight w:val="none"/>
        </w:rPr>
        <w:t>具以绿色环保为基本材料制造。释放有害气体要达到国家标准。</w:t>
      </w:r>
    </w:p>
    <w:p w14:paraId="3DC35AF9">
      <w:pPr>
        <w:keepNext w:val="0"/>
        <w:keepLines w:val="0"/>
        <w:pageBreakBefore w:val="0"/>
        <w:kinsoku/>
        <w:wordWrap/>
        <w:overflowPunct/>
        <w:topLinePunct w:val="0"/>
        <w:bidi w:val="0"/>
        <w:spacing w:line="380" w:lineRule="exact"/>
        <w:ind w:firstLine="480" w:firstLineChars="20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所有的木质家具材料覆面拼贴应严密、平整，无脱胶、鼓泡，无裂纹、压痕和划伤；人造板制成的部件除内部隐蔽处外，均应进行封边处理，封边应严密、平整，不允许脱胶、表面有胶渍。</w:t>
      </w:r>
    </w:p>
    <w:p w14:paraId="1B4BF207">
      <w:pPr>
        <w:keepNext w:val="0"/>
        <w:keepLines w:val="0"/>
        <w:pageBreakBefore w:val="0"/>
        <w:kinsoku/>
        <w:wordWrap/>
        <w:overflowPunct/>
        <w:topLinePunct w:val="0"/>
        <w:bidi w:val="0"/>
        <w:spacing w:line="380" w:lineRule="exact"/>
        <w:ind w:firstLine="480" w:firstLineChars="20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所有</w:t>
      </w:r>
      <w:r>
        <w:rPr>
          <w:rFonts w:hint="eastAsia" w:ascii="宋体" w:hAnsi="宋体" w:eastAsia="宋体" w:cs="Times New Roman"/>
          <w:color w:val="auto"/>
          <w:sz w:val="24"/>
          <w:szCs w:val="24"/>
          <w:highlight w:val="none"/>
          <w:lang w:val="en-US" w:eastAsia="zh-CN"/>
        </w:rPr>
        <w:t>玩具</w:t>
      </w:r>
      <w:r>
        <w:rPr>
          <w:rFonts w:hint="eastAsia" w:ascii="宋体" w:hAnsi="宋体" w:eastAsia="宋体" w:cs="Times New Roman"/>
          <w:color w:val="auto"/>
          <w:sz w:val="24"/>
          <w:szCs w:val="24"/>
          <w:highlight w:val="none"/>
        </w:rPr>
        <w:t>配拆装产品零件结合应牢固严密，活动部位应保证灵活自如、无杂音。采用抽屉连锁的，应保证连锁的各个抽屉都能同时锁住及开启。</w:t>
      </w:r>
    </w:p>
    <w:p w14:paraId="3ED006E0">
      <w:pPr>
        <w:keepNext w:val="0"/>
        <w:keepLines w:val="0"/>
        <w:pageBreakBefore w:val="0"/>
        <w:kinsoku/>
        <w:wordWrap/>
        <w:overflowPunct/>
        <w:topLinePunct w:val="0"/>
        <w:bidi w:val="0"/>
        <w:spacing w:line="380" w:lineRule="exact"/>
        <w:ind w:firstLine="480" w:firstLineChars="20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所有</w:t>
      </w:r>
      <w:r>
        <w:rPr>
          <w:rFonts w:hint="eastAsia" w:ascii="宋体" w:hAnsi="宋体" w:eastAsia="宋体" w:cs="Times New Roman"/>
          <w:color w:val="auto"/>
          <w:sz w:val="24"/>
          <w:szCs w:val="24"/>
          <w:highlight w:val="none"/>
          <w:lang w:val="en-US" w:eastAsia="zh-CN"/>
        </w:rPr>
        <w:t>玩具</w:t>
      </w:r>
      <w:r>
        <w:rPr>
          <w:rFonts w:hint="eastAsia" w:ascii="宋体" w:hAnsi="宋体" w:eastAsia="宋体" w:cs="Times New Roman"/>
          <w:color w:val="auto"/>
          <w:sz w:val="24"/>
          <w:szCs w:val="24"/>
          <w:highlight w:val="none"/>
        </w:rPr>
        <w:t>的油漆应采用优质环保漆，表面光亮平滑，无划痕等。</w:t>
      </w:r>
    </w:p>
    <w:p w14:paraId="6C4CD57A">
      <w:pPr>
        <w:keepNext w:val="0"/>
        <w:keepLines w:val="0"/>
        <w:pageBreakBefore w:val="0"/>
        <w:kinsoku/>
        <w:wordWrap/>
        <w:overflowPunct/>
        <w:topLinePunct w:val="0"/>
        <w:bidi w:val="0"/>
        <w:spacing w:line="3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所有</w:t>
      </w:r>
      <w:r>
        <w:rPr>
          <w:rFonts w:hint="eastAsia" w:ascii="宋体" w:hAnsi="宋体" w:eastAsia="宋体" w:cs="Times New Roman"/>
          <w:color w:val="auto"/>
          <w:sz w:val="24"/>
          <w:szCs w:val="24"/>
          <w:highlight w:val="none"/>
          <w:lang w:val="en-US" w:eastAsia="zh-CN"/>
        </w:rPr>
        <w:t>玩具</w:t>
      </w:r>
      <w:r>
        <w:rPr>
          <w:rFonts w:hint="eastAsia" w:ascii="宋体" w:hAnsi="宋体" w:eastAsia="宋体" w:cs="Times New Roman"/>
          <w:color w:val="auto"/>
          <w:sz w:val="24"/>
          <w:szCs w:val="24"/>
          <w:highlight w:val="none"/>
        </w:rPr>
        <w:t>的五金配件应采用优质配件。大件家具须提供保证正常使用所必需的配件，并在投标文件中列出清单（标明名称、用途、单价、制造厂等项目），其价格应包含在总报价中。同时须保证在保修期满后，</w:t>
      </w:r>
      <w:r>
        <w:rPr>
          <w:rFonts w:hint="eastAsia" w:ascii="宋体" w:hAnsi="宋体" w:eastAsia="宋体" w:cs="Times New Roman"/>
          <w:color w:val="auto"/>
          <w:sz w:val="24"/>
          <w:szCs w:val="24"/>
          <w:highlight w:val="none"/>
          <w:lang w:val="en-US" w:eastAsia="zh-CN"/>
        </w:rPr>
        <w:t>承诺质保期内</w:t>
      </w:r>
      <w:r>
        <w:rPr>
          <w:rFonts w:hint="eastAsia" w:ascii="宋体" w:hAnsi="宋体" w:eastAsia="宋体" w:cs="Times New Roman"/>
          <w:color w:val="auto"/>
          <w:sz w:val="24"/>
          <w:szCs w:val="24"/>
          <w:highlight w:val="none"/>
        </w:rPr>
        <w:t>以优惠价格提供办公家具正常使用所必需的配件等。</w:t>
      </w:r>
    </w:p>
    <w:p w14:paraId="5067A608">
      <w:pPr>
        <w:keepNext w:val="0"/>
        <w:keepLines w:val="0"/>
        <w:pageBreakBefore w:val="0"/>
        <w:kinsoku/>
        <w:wordWrap/>
        <w:overflowPunct/>
        <w:topLinePunct w:val="0"/>
        <w:autoSpaceDE/>
        <w:autoSpaceDN/>
        <w:bidi w:val="0"/>
        <w:snapToGrid/>
        <w:spacing w:line="380" w:lineRule="exact"/>
        <w:ind w:firstLine="56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lang w:val="en-US" w:eastAsia="zh-CN"/>
        </w:rPr>
        <w:t>7.</w:t>
      </w:r>
      <w:r>
        <w:rPr>
          <w:rFonts w:hint="eastAsia" w:ascii="宋体" w:hAnsi="宋体" w:eastAsia="宋体" w:cs="宋体"/>
          <w:bCs/>
          <w:color w:val="auto"/>
          <w:kern w:val="0"/>
          <w:sz w:val="24"/>
          <w:szCs w:val="24"/>
          <w:highlight w:val="none"/>
        </w:rPr>
        <w:t>招标文件技术要求中所</w:t>
      </w:r>
      <w:r>
        <w:rPr>
          <w:rFonts w:hint="eastAsia" w:ascii="宋体" w:hAnsi="宋体" w:eastAsia="宋体" w:cs="宋体"/>
          <w:bCs/>
          <w:color w:val="auto"/>
          <w:kern w:val="0"/>
          <w:sz w:val="24"/>
          <w:szCs w:val="24"/>
          <w:highlight w:val="none"/>
          <w:lang w:eastAsia="zh-CN"/>
        </w:rPr>
        <w:t>未列</w:t>
      </w:r>
      <w:r>
        <w:rPr>
          <w:rFonts w:hint="eastAsia" w:ascii="宋体" w:hAnsi="宋体" w:eastAsia="宋体" w:cs="宋体"/>
          <w:bCs/>
          <w:color w:val="auto"/>
          <w:kern w:val="0"/>
          <w:sz w:val="24"/>
          <w:szCs w:val="24"/>
          <w:highlight w:val="none"/>
        </w:rPr>
        <w:t>示的产品数量为预估值，可能会根据本项目实际实施或施工情况进行必要调整，但投标人不应以此为理由例外要求追加成交单价。</w:t>
      </w:r>
    </w:p>
    <w:p w14:paraId="62EAD527">
      <w:pPr>
        <w:keepNext w:val="0"/>
        <w:keepLines w:val="0"/>
        <w:pageBreakBefore w:val="0"/>
        <w:kinsoku/>
        <w:wordWrap/>
        <w:overflowPunct/>
        <w:topLinePunct w:val="0"/>
        <w:autoSpaceDE/>
        <w:autoSpaceDN/>
        <w:bidi w:val="0"/>
        <w:snapToGrid/>
        <w:spacing w:line="38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采购人在招标文件所列采购清单中，只列主要产品、</w:t>
      </w:r>
      <w:r>
        <w:rPr>
          <w:rFonts w:hint="eastAsia" w:ascii="宋体" w:hAnsi="宋体" w:eastAsia="宋体" w:cs="宋体"/>
          <w:bCs/>
          <w:color w:val="auto"/>
          <w:kern w:val="0"/>
          <w:sz w:val="24"/>
          <w:szCs w:val="24"/>
          <w:highlight w:val="none"/>
          <w:lang w:eastAsia="zh-CN"/>
        </w:rPr>
        <w:t>货物</w:t>
      </w:r>
      <w:r>
        <w:rPr>
          <w:rFonts w:hint="eastAsia" w:ascii="宋体" w:hAnsi="宋体" w:eastAsia="宋体" w:cs="宋体"/>
          <w:bCs/>
          <w:color w:val="auto"/>
          <w:kern w:val="0"/>
          <w:sz w:val="24"/>
          <w:szCs w:val="24"/>
          <w:highlight w:val="none"/>
        </w:rPr>
        <w:t>的名称、数量、技术参数等要求，其他辅助材料、配套等未详细列入，均应包括在相应产品、</w:t>
      </w:r>
      <w:r>
        <w:rPr>
          <w:rFonts w:hint="eastAsia" w:ascii="宋体" w:hAnsi="宋体" w:eastAsia="宋体" w:cs="宋体"/>
          <w:bCs/>
          <w:color w:val="auto"/>
          <w:kern w:val="0"/>
          <w:sz w:val="24"/>
          <w:szCs w:val="24"/>
          <w:highlight w:val="none"/>
          <w:lang w:eastAsia="zh-CN"/>
        </w:rPr>
        <w:t>货物</w:t>
      </w:r>
      <w:r>
        <w:rPr>
          <w:rFonts w:hint="eastAsia" w:ascii="宋体" w:hAnsi="宋体" w:eastAsia="宋体" w:cs="宋体"/>
          <w:bCs/>
          <w:color w:val="auto"/>
          <w:kern w:val="0"/>
          <w:sz w:val="24"/>
          <w:szCs w:val="24"/>
          <w:highlight w:val="none"/>
        </w:rPr>
        <w:t>器材中，投标人在报价时自行考虑。</w:t>
      </w:r>
    </w:p>
    <w:p w14:paraId="37E25565">
      <w:pPr>
        <w:keepNext w:val="0"/>
        <w:keepLines w:val="0"/>
        <w:pageBreakBefore w:val="0"/>
        <w:kinsoku/>
        <w:wordWrap/>
        <w:overflowPunct/>
        <w:topLinePunct w:val="0"/>
        <w:autoSpaceDE/>
        <w:autoSpaceDN/>
        <w:bidi w:val="0"/>
        <w:snapToGrid/>
        <w:spacing w:line="380" w:lineRule="exact"/>
        <w:ind w:firstLine="56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pacing w:val="20"/>
          <w:sz w:val="24"/>
          <w:szCs w:val="24"/>
          <w:highlight w:val="none"/>
          <w:lang w:val="en-US" w:eastAsia="zh-CN"/>
        </w:rPr>
        <w:t>9</w:t>
      </w:r>
      <w:r>
        <w:rPr>
          <w:rFonts w:hint="eastAsia" w:ascii="宋体" w:hAnsi="宋体" w:eastAsia="宋体" w:cs="宋体"/>
          <w:bCs/>
          <w:color w:val="auto"/>
          <w:spacing w:val="20"/>
          <w:sz w:val="24"/>
          <w:szCs w:val="24"/>
          <w:highlight w:val="none"/>
          <w:lang w:eastAsia="zh-CN"/>
        </w:rPr>
        <w:t>.</w:t>
      </w:r>
      <w:r>
        <w:rPr>
          <w:rFonts w:hint="eastAsia" w:ascii="宋体" w:hAnsi="宋体" w:eastAsia="宋体" w:cs="宋体"/>
          <w:bCs/>
          <w:color w:val="auto"/>
          <w:kern w:val="0"/>
          <w:sz w:val="24"/>
          <w:szCs w:val="24"/>
          <w:highlight w:val="none"/>
        </w:rPr>
        <w:t>列入国家生产许可和3C目录的产品在项目实施前必须取得并提供相应说明资料备查。</w:t>
      </w:r>
    </w:p>
    <w:p w14:paraId="2ED7171E">
      <w:pPr>
        <w:keepNext w:val="0"/>
        <w:keepLines w:val="0"/>
        <w:pageBreakBefore w:val="0"/>
        <w:kinsoku/>
        <w:wordWrap/>
        <w:overflowPunct/>
        <w:topLinePunct w:val="0"/>
        <w:bidi w:val="0"/>
        <w:spacing w:line="3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b/>
          <w:bCs/>
          <w:color w:val="auto"/>
          <w:sz w:val="24"/>
          <w:szCs w:val="24"/>
          <w:highlight w:val="none"/>
        </w:rPr>
        <w:t>项目方案及安装调试方案具体在实施前须报经采购人同意后方可执行，中标</w:t>
      </w:r>
      <w:r>
        <w:rPr>
          <w:rFonts w:hint="eastAsia" w:ascii="宋体" w:hAnsi="宋体" w:eastAsia="宋体" w:cs="Times New Roman"/>
          <w:b/>
          <w:bCs/>
          <w:color w:val="auto"/>
          <w:sz w:val="24"/>
          <w:szCs w:val="24"/>
          <w:highlight w:val="none"/>
          <w:lang w:eastAsia="zh-CN"/>
        </w:rPr>
        <w:t>人</w:t>
      </w:r>
      <w:r>
        <w:rPr>
          <w:rFonts w:hint="eastAsia" w:ascii="宋体" w:hAnsi="宋体" w:eastAsia="宋体" w:cs="Times New Roman"/>
          <w:b/>
          <w:bCs/>
          <w:color w:val="auto"/>
          <w:sz w:val="24"/>
          <w:szCs w:val="24"/>
          <w:highlight w:val="none"/>
        </w:rPr>
        <w:t>在生产前必须到采购单位确定要采购</w:t>
      </w:r>
      <w:r>
        <w:rPr>
          <w:rFonts w:hint="eastAsia" w:ascii="宋体" w:hAnsi="宋体" w:eastAsia="宋体" w:cs="Times New Roman"/>
          <w:b/>
          <w:bCs/>
          <w:color w:val="auto"/>
          <w:sz w:val="24"/>
          <w:szCs w:val="24"/>
          <w:highlight w:val="none"/>
          <w:lang w:eastAsia="zh-CN"/>
        </w:rPr>
        <w:t>货物</w:t>
      </w:r>
      <w:r>
        <w:rPr>
          <w:rFonts w:hint="eastAsia" w:ascii="宋体" w:hAnsi="宋体" w:eastAsia="宋体" w:cs="Times New Roman"/>
          <w:b/>
          <w:bCs/>
          <w:color w:val="auto"/>
          <w:sz w:val="24"/>
          <w:szCs w:val="24"/>
          <w:highlight w:val="none"/>
        </w:rPr>
        <w:t>的数量、技术参数等，以免搞错，经采购单位核准后方可组织生产</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否则后果自负。</w:t>
      </w:r>
    </w:p>
    <w:p w14:paraId="79C29C4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80" w:lineRule="exact"/>
        <w:ind w:firstLine="480" w:firstLineChars="200"/>
        <w:textAlignment w:val="auto"/>
        <w:rPr>
          <w:rFonts w:hint="default" w:ascii="Times New Roman" w:hAnsi="Times New Roman" w:eastAsia="宋体" w:cs="Times New Roman"/>
          <w:bCs/>
          <w:color w:val="auto"/>
          <w:kern w:val="0"/>
          <w:sz w:val="24"/>
          <w:szCs w:val="24"/>
          <w:highlight w:val="none"/>
        </w:rPr>
      </w:pPr>
      <w:r>
        <w:rPr>
          <w:rFonts w:hint="eastAsia" w:ascii="宋体" w:hAnsi="宋体" w:eastAsia="宋体" w:cs="Times New Roman"/>
          <w:bCs/>
          <w:color w:val="auto"/>
          <w:sz w:val="24"/>
          <w:szCs w:val="24"/>
          <w:highlight w:val="none"/>
          <w:lang w:val="en-US" w:eastAsia="zh-CN"/>
        </w:rPr>
        <w:t>11.</w:t>
      </w:r>
      <w:r>
        <w:rPr>
          <w:rFonts w:hint="eastAsia" w:ascii="Times New Roman" w:hAnsi="Times New Roman" w:eastAsia="宋体" w:cs="Times New Roman"/>
          <w:bCs/>
          <w:color w:val="auto"/>
          <w:kern w:val="0"/>
          <w:sz w:val="24"/>
          <w:szCs w:val="24"/>
          <w:highlight w:val="none"/>
        </w:rPr>
        <w:t>中标人</w:t>
      </w:r>
      <w:r>
        <w:rPr>
          <w:rFonts w:hint="default" w:ascii="Times New Roman" w:hAnsi="Times New Roman" w:eastAsia="宋体" w:cs="Times New Roman"/>
          <w:bCs/>
          <w:color w:val="auto"/>
          <w:kern w:val="0"/>
          <w:sz w:val="24"/>
          <w:szCs w:val="24"/>
          <w:highlight w:val="none"/>
        </w:rPr>
        <w:t>应保护</w:t>
      </w:r>
      <w:r>
        <w:rPr>
          <w:rFonts w:hint="eastAsia" w:ascii="Times New Roman" w:hAnsi="Times New Roman" w:eastAsia="宋体" w:cs="Times New Roman"/>
          <w:bCs/>
          <w:color w:val="auto"/>
          <w:kern w:val="0"/>
          <w:sz w:val="24"/>
          <w:szCs w:val="24"/>
          <w:highlight w:val="none"/>
        </w:rPr>
        <w:t>采购人</w:t>
      </w:r>
      <w:r>
        <w:rPr>
          <w:rFonts w:hint="default" w:ascii="Times New Roman" w:hAnsi="Times New Roman" w:eastAsia="宋体" w:cs="Times New Roman"/>
          <w:bCs/>
          <w:color w:val="auto"/>
          <w:kern w:val="0"/>
          <w:sz w:val="24"/>
          <w:szCs w:val="24"/>
          <w:highlight w:val="none"/>
        </w:rPr>
        <w:t>在使用该产品、服务或其任何一部分时不受第三方提出侵犯专利权、商标权或工业设计权等知识产权的指控。如果任何第三方提出侵权指控，</w:t>
      </w:r>
      <w:r>
        <w:rPr>
          <w:rFonts w:hint="eastAsia" w:ascii="Times New Roman" w:hAnsi="Times New Roman" w:eastAsia="宋体" w:cs="Times New Roman"/>
          <w:bCs/>
          <w:color w:val="auto"/>
          <w:kern w:val="0"/>
          <w:sz w:val="24"/>
          <w:szCs w:val="24"/>
          <w:highlight w:val="none"/>
        </w:rPr>
        <w:t>中标人</w:t>
      </w:r>
      <w:r>
        <w:rPr>
          <w:rFonts w:hint="default" w:ascii="Times New Roman" w:hAnsi="Times New Roman" w:eastAsia="宋体" w:cs="Times New Roman"/>
          <w:bCs/>
          <w:color w:val="auto"/>
          <w:kern w:val="0"/>
          <w:sz w:val="24"/>
          <w:szCs w:val="24"/>
          <w:highlight w:val="none"/>
        </w:rPr>
        <w:t>须与第三方交涉并承担可能发生的一切法律责任和费用。</w:t>
      </w:r>
    </w:p>
    <w:p w14:paraId="0ABDC88F">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人提供的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必须是全新的原装优质产品（包括所有零部件、元器件、附件、备件），符合相应的国家标准的，并须提供相关产品的产品合格证、产品说明书和安装说明等资料，</w:t>
      </w:r>
      <w:r>
        <w:rPr>
          <w:rFonts w:hint="eastAsia" w:ascii="宋体" w:hAnsi="宋体" w:eastAsia="宋体" w:cs="Times New Roman"/>
          <w:color w:val="auto"/>
          <w:sz w:val="24"/>
          <w:szCs w:val="24"/>
          <w:highlight w:val="none"/>
        </w:rPr>
        <w:t>所有</w:t>
      </w:r>
      <w:r>
        <w:rPr>
          <w:rFonts w:hint="eastAsia" w:ascii="宋体" w:hAnsi="宋体" w:eastAsia="宋体" w:cs="Times New Roman"/>
          <w:color w:val="auto"/>
          <w:sz w:val="24"/>
          <w:szCs w:val="24"/>
          <w:highlight w:val="none"/>
          <w:lang w:eastAsia="zh-CN"/>
        </w:rPr>
        <w:t>货物</w:t>
      </w:r>
      <w:r>
        <w:rPr>
          <w:rFonts w:hint="eastAsia" w:ascii="宋体" w:hAnsi="宋体" w:eastAsia="宋体" w:cs="Times New Roman"/>
          <w:color w:val="auto"/>
          <w:sz w:val="24"/>
          <w:szCs w:val="24"/>
          <w:highlight w:val="none"/>
        </w:rPr>
        <w:t>须原包装到位，需要的</w:t>
      </w:r>
      <w:r>
        <w:rPr>
          <w:rFonts w:hint="eastAsia" w:ascii="宋体" w:hAnsi="宋体" w:eastAsia="宋体" w:cs="Times New Roman"/>
          <w:bCs/>
          <w:color w:val="auto"/>
          <w:sz w:val="24"/>
          <w:szCs w:val="24"/>
          <w:highlight w:val="none"/>
        </w:rPr>
        <w:t>配件必须是原包装到达采购人，</w:t>
      </w:r>
      <w:r>
        <w:rPr>
          <w:rFonts w:hint="eastAsia" w:ascii="宋体" w:hAnsi="宋体" w:eastAsia="宋体" w:cs="宋体"/>
          <w:bCs/>
          <w:color w:val="auto"/>
          <w:kern w:val="0"/>
          <w:sz w:val="24"/>
          <w:szCs w:val="24"/>
          <w:highlight w:val="none"/>
        </w:rPr>
        <w:t>未经</w:t>
      </w:r>
      <w:r>
        <w:rPr>
          <w:rFonts w:hint="eastAsia" w:ascii="宋体" w:hAnsi="宋体" w:eastAsia="宋体" w:cs="Times New Roman"/>
          <w:bCs/>
          <w:color w:val="auto"/>
          <w:sz w:val="24"/>
          <w:szCs w:val="24"/>
          <w:highlight w:val="none"/>
        </w:rPr>
        <w:t>采购人</w:t>
      </w:r>
      <w:r>
        <w:rPr>
          <w:rFonts w:hint="eastAsia" w:ascii="宋体" w:hAnsi="宋体" w:eastAsia="宋体" w:cs="宋体"/>
          <w:bCs/>
          <w:color w:val="auto"/>
          <w:kern w:val="0"/>
          <w:sz w:val="24"/>
          <w:szCs w:val="24"/>
          <w:highlight w:val="none"/>
        </w:rPr>
        <w:t>允许不得私自预先安装。</w:t>
      </w:r>
    </w:p>
    <w:p w14:paraId="225F08D3">
      <w:pPr>
        <w:keepNext w:val="0"/>
        <w:keepLines w:val="0"/>
        <w:pageBreakBefore w:val="0"/>
        <w:kinsoku/>
        <w:wordWrap/>
        <w:overflowPunct/>
        <w:topLinePunct w:val="0"/>
        <w:bidi w:val="0"/>
        <w:snapToGrid w:val="0"/>
        <w:spacing w:line="380" w:lineRule="exact"/>
        <w:ind w:firstLine="480" w:firstLineChars="20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13.</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w:t>
      </w:r>
      <w:r>
        <w:rPr>
          <w:rFonts w:hint="eastAsia" w:ascii="宋体" w:hAnsi="宋体" w:eastAsia="宋体" w:cs="Times New Roman"/>
          <w:color w:val="auto"/>
          <w:sz w:val="24"/>
          <w:szCs w:val="24"/>
          <w:highlight w:val="none"/>
        </w:rPr>
        <w:t>需按本技术规格书、图纸、特殊说明的要求完成家具的设计、生产、运输、安装及售后服务等工作。按工作顺序提交所需的技术资料，所有资料必须符合本技术规格书和图纸的要求。</w:t>
      </w:r>
    </w:p>
    <w:p w14:paraId="19AF5E15">
      <w:pPr>
        <w:keepNext w:val="0"/>
        <w:keepLines w:val="0"/>
        <w:pageBreakBefore w:val="0"/>
        <w:kinsoku/>
        <w:wordWrap/>
        <w:overflowPunct/>
        <w:topLinePunct w:val="0"/>
        <w:bidi w:val="0"/>
        <w:snapToGrid w:val="0"/>
        <w:spacing w:line="380" w:lineRule="exact"/>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提供的家具包括以下工作服务但不仅限于以下：</w:t>
      </w:r>
    </w:p>
    <w:p w14:paraId="2A597416">
      <w:pPr>
        <w:keepNext w:val="0"/>
        <w:keepLines w:val="0"/>
        <w:pageBreakBefore w:val="0"/>
        <w:kinsoku/>
        <w:wordWrap/>
        <w:overflowPunct/>
        <w:topLinePunct w:val="0"/>
        <w:bidi w:val="0"/>
        <w:snapToGrid w:val="0"/>
        <w:spacing w:line="380" w:lineRule="exact"/>
        <w:ind w:firstLine="48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(1)按招标方和设计需要完成的具体设计；</w:t>
      </w:r>
    </w:p>
    <w:p w14:paraId="488D0898">
      <w:pPr>
        <w:keepNext w:val="0"/>
        <w:keepLines w:val="0"/>
        <w:pageBreakBefore w:val="0"/>
        <w:kinsoku/>
        <w:wordWrap/>
        <w:overflowPunct/>
        <w:topLinePunct w:val="0"/>
        <w:bidi w:val="0"/>
        <w:snapToGrid w:val="0"/>
        <w:spacing w:line="380" w:lineRule="exact"/>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(2)按招标方认可的设计方案和材料进行加工、制造、供货；</w:t>
      </w:r>
    </w:p>
    <w:p w14:paraId="243E5BC8">
      <w:pPr>
        <w:keepNext w:val="0"/>
        <w:keepLines w:val="0"/>
        <w:pageBreakBefore w:val="0"/>
        <w:kinsoku/>
        <w:wordWrap/>
        <w:overflowPunct/>
        <w:topLinePunct w:val="0"/>
        <w:bidi w:val="0"/>
        <w:snapToGrid w:val="0"/>
        <w:spacing w:line="380" w:lineRule="exact"/>
        <w:ind w:firstLine="48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(3)运输及装卸：运输至使用单位并安装完毕；</w:t>
      </w:r>
    </w:p>
    <w:p w14:paraId="2B4F80F1">
      <w:pPr>
        <w:keepNext w:val="0"/>
        <w:keepLines w:val="0"/>
        <w:pageBreakBefore w:val="0"/>
        <w:kinsoku/>
        <w:wordWrap/>
        <w:overflowPunct/>
        <w:topLinePunct w:val="0"/>
        <w:bidi w:val="0"/>
        <w:snapToGrid w:val="0"/>
        <w:spacing w:line="380" w:lineRule="exact"/>
        <w:ind w:firstLine="480"/>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这份规格书只是一些原则性要求，并不是详尽的要求，投标方有责任对设计符合技术规范、标准负责。</w:t>
      </w:r>
    </w:p>
    <w:p w14:paraId="17431142">
      <w:pPr>
        <w:keepNext w:val="0"/>
        <w:keepLines w:val="0"/>
        <w:pageBreakBefore w:val="0"/>
        <w:kinsoku/>
        <w:wordWrap/>
        <w:overflowPunct/>
        <w:topLinePunct w:val="0"/>
        <w:bidi w:val="0"/>
        <w:snapToGrid w:val="0"/>
        <w:spacing w:line="3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rPr>
        <w:t>产品标准和规范</w:t>
      </w:r>
    </w:p>
    <w:p w14:paraId="1F837401">
      <w:pPr>
        <w:keepNext w:val="0"/>
        <w:keepLines w:val="0"/>
        <w:pageBreakBefore w:val="0"/>
        <w:kinsoku/>
        <w:wordWrap/>
        <w:overflowPunct/>
        <w:topLinePunct w:val="0"/>
        <w:autoSpaceDE/>
        <w:autoSpaceDN/>
        <w:bidi w:val="0"/>
        <w:snapToGrid w:val="0"/>
        <w:spacing w:line="380" w:lineRule="exact"/>
        <w:ind w:firstLine="48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中国国家标准及其它被普遍认可的行业（部颁、企业）标准，这些标准应为最新标准，投标方应及时提供给招标方。</w:t>
      </w:r>
    </w:p>
    <w:p w14:paraId="131A3F18">
      <w:pPr>
        <w:keepNext w:val="0"/>
        <w:keepLines w:val="0"/>
        <w:pageBreakBefore w:val="0"/>
        <w:kinsoku/>
        <w:wordWrap/>
        <w:overflowPunct/>
        <w:topLinePunct w:val="0"/>
        <w:autoSpaceDE/>
        <w:autoSpaceDN/>
        <w:bidi w:val="0"/>
        <w:snapToGrid w:val="0"/>
        <w:spacing w:line="380" w:lineRule="exact"/>
        <w:ind w:firstLine="480" w:firstLineChars="20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方遵守不仅限于此规格书中的标准时，要求及时解释清楚，获得招标方认可后供方推荐的标准和制造规范等效或适用于此技术规格书，招标方有可能接受。投标方须阐明其替换的标准或其实际使用的标准并提供所推荐的标准和制造规范。</w:t>
      </w:r>
    </w:p>
    <w:p w14:paraId="6986DAED">
      <w:pPr>
        <w:keepNext w:val="0"/>
        <w:keepLines w:val="0"/>
        <w:pageBreakBefore w:val="0"/>
        <w:kinsoku/>
        <w:wordWrap/>
        <w:overflowPunct/>
        <w:topLinePunct w:val="0"/>
        <w:autoSpaceDE/>
        <w:autoSpaceDN/>
        <w:bidi w:val="0"/>
        <w:snapToGrid w:val="0"/>
        <w:spacing w:line="380" w:lineRule="exact"/>
        <w:ind w:firstLine="48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16.</w:t>
      </w:r>
      <w:r>
        <w:rPr>
          <w:rFonts w:hint="eastAsia" w:ascii="宋体" w:hAnsi="宋体" w:eastAsia="宋体" w:cs="Times New Roman"/>
          <w:color w:val="auto"/>
          <w:sz w:val="24"/>
          <w:szCs w:val="24"/>
          <w:highlight w:val="none"/>
        </w:rPr>
        <w:t>投标所需资料</w:t>
      </w:r>
    </w:p>
    <w:p w14:paraId="593CE384">
      <w:pPr>
        <w:keepNext w:val="0"/>
        <w:keepLines w:val="0"/>
        <w:pageBreakBefore w:val="0"/>
        <w:kinsoku/>
        <w:wordWrap/>
        <w:overflowPunct/>
        <w:topLinePunct w:val="0"/>
        <w:autoSpaceDE/>
        <w:autoSpaceDN/>
        <w:bidi w:val="0"/>
        <w:snapToGrid w:val="0"/>
        <w:spacing w:line="380" w:lineRule="exact"/>
        <w:ind w:firstLine="48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下列资料须包含在投标文件中，由</w:t>
      </w:r>
      <w:r>
        <w:rPr>
          <w:rFonts w:hint="eastAsia" w:ascii="宋体" w:hAnsi="宋体" w:eastAsia="宋体" w:cs="Times New Roman"/>
          <w:color w:val="auto"/>
          <w:sz w:val="24"/>
          <w:szCs w:val="24"/>
          <w:highlight w:val="none"/>
          <w:lang w:eastAsia="zh-CN"/>
        </w:rPr>
        <w:t>中标人</w:t>
      </w:r>
      <w:r>
        <w:rPr>
          <w:rFonts w:hint="eastAsia" w:ascii="宋体" w:hAnsi="宋体" w:eastAsia="宋体" w:cs="Times New Roman"/>
          <w:color w:val="auto"/>
          <w:sz w:val="24"/>
          <w:szCs w:val="24"/>
          <w:highlight w:val="none"/>
        </w:rPr>
        <w:t>免费提供。</w:t>
      </w:r>
    </w:p>
    <w:p w14:paraId="1AB1F7D7">
      <w:pPr>
        <w:keepNext w:val="0"/>
        <w:keepLines w:val="0"/>
        <w:pageBreakBefore w:val="0"/>
        <w:kinsoku/>
        <w:wordWrap/>
        <w:overflowPunct/>
        <w:topLinePunct w:val="0"/>
        <w:autoSpaceDE/>
        <w:autoSpaceDN/>
        <w:bidi w:val="0"/>
        <w:snapToGrid w:val="0"/>
        <w:spacing w:line="380" w:lineRule="exact"/>
        <w:ind w:left="120" w:firstLine="36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（1）家具制造许可证或家具制造商资格证明。</w:t>
      </w:r>
    </w:p>
    <w:p w14:paraId="7BDF4EDD">
      <w:pPr>
        <w:keepNext w:val="0"/>
        <w:keepLines w:val="0"/>
        <w:pageBreakBefore w:val="0"/>
        <w:kinsoku/>
        <w:wordWrap/>
        <w:overflowPunct/>
        <w:topLinePunct w:val="0"/>
        <w:autoSpaceDE/>
        <w:autoSpaceDN/>
        <w:bidi w:val="0"/>
        <w:snapToGrid w:val="0"/>
        <w:spacing w:line="380" w:lineRule="exact"/>
        <w:ind w:left="960" w:hanging="960"/>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）办公家具在设计、制造、检验、试验方面的主要标准。</w:t>
      </w:r>
    </w:p>
    <w:p w14:paraId="48F61663">
      <w:pPr>
        <w:keepNext w:val="0"/>
        <w:keepLines w:val="0"/>
        <w:pageBreakBefore w:val="0"/>
        <w:kinsoku/>
        <w:wordWrap/>
        <w:overflowPunct/>
        <w:topLinePunct w:val="0"/>
        <w:autoSpaceDE/>
        <w:autoSpaceDN/>
        <w:bidi w:val="0"/>
        <w:snapToGrid w:val="0"/>
        <w:spacing w:line="380" w:lineRule="exact"/>
        <w:ind w:firstLine="48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）列出按照制造工序和运输要求的桌凳制造期、试验期、交货期。</w:t>
      </w:r>
    </w:p>
    <w:p w14:paraId="3FADDCC1">
      <w:pPr>
        <w:keepNext w:val="0"/>
        <w:keepLines w:val="0"/>
        <w:pageBreakBefore w:val="0"/>
        <w:kinsoku/>
        <w:wordWrap/>
        <w:overflowPunct/>
        <w:topLinePunct w:val="0"/>
        <w:autoSpaceDE/>
        <w:autoSpaceDN/>
        <w:bidi w:val="0"/>
        <w:snapToGrid w:val="0"/>
        <w:spacing w:line="380" w:lineRule="exact"/>
        <w:ind w:firstLine="48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）其他招标文件中需要提供的资料。</w:t>
      </w:r>
    </w:p>
    <w:p w14:paraId="3F6FF640">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17.</w:t>
      </w:r>
      <w:r>
        <w:rPr>
          <w:rFonts w:hint="eastAsia" w:ascii="宋体" w:hAnsi="宋体" w:eastAsia="宋体" w:cs="宋体"/>
          <w:color w:val="auto"/>
          <w:sz w:val="24"/>
          <w:szCs w:val="24"/>
          <w:highlight w:val="none"/>
        </w:rPr>
        <w:t>技术培训：为采购人培训操作技术人员，使其能够熟练掌握系统的安装、操作、维护、维修，并能独立上岗。</w:t>
      </w:r>
    </w:p>
    <w:p w14:paraId="608E2B5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napToGrid/>
        <w:spacing w:line="380" w:lineRule="exact"/>
        <w:ind w:firstLine="480" w:firstLineChars="200"/>
        <w:textAlignment w:val="auto"/>
        <w:rPr>
          <w:rFonts w:hint="default" w:ascii="Times New Roman" w:hAnsi="Times New Roman" w:eastAsia="宋体" w:cs="Times New Roman"/>
          <w:color w:val="auto"/>
          <w:szCs w:val="24"/>
          <w:highlight w:val="none"/>
        </w:rPr>
      </w:pPr>
      <w:r>
        <w:rPr>
          <w:rFonts w:hint="eastAsia" w:ascii="宋体" w:hAnsi="宋体" w:eastAsia="宋体" w:cs="黑体"/>
          <w:bCs/>
          <w:color w:val="auto"/>
          <w:sz w:val="24"/>
          <w:szCs w:val="24"/>
          <w:highlight w:val="none"/>
          <w:lang w:val="en-US" w:eastAsia="zh-CN"/>
        </w:rPr>
        <w:t>18.</w:t>
      </w:r>
      <w:r>
        <w:rPr>
          <w:rFonts w:hint="eastAsia" w:ascii="宋体" w:hAnsi="宋体" w:eastAsia="宋体" w:cs="宋体"/>
          <w:bCs/>
          <w:color w:val="auto"/>
          <w:sz w:val="24"/>
          <w:szCs w:val="24"/>
          <w:highlight w:val="none"/>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highlight w:val="none"/>
        </w:rPr>
        <w:t>。</w:t>
      </w:r>
    </w:p>
    <w:p w14:paraId="3DB27461">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保修期（免费维修期） </w:t>
      </w:r>
    </w:p>
    <w:p w14:paraId="0C1807E8">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保修期从整个项目产品安装调试完毕，并经验收合格之日开始计算。除非采购人另有要求，保修期内的服务均为免费上门服务。 </w:t>
      </w:r>
    </w:p>
    <w:p w14:paraId="4D0FBA48">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质量保证：整体项目免费维护维修</w:t>
      </w:r>
      <w:r>
        <w:rPr>
          <w:rFonts w:hint="eastAsia" w:ascii="宋体" w:hAnsi="宋体" w:eastAsia="宋体" w:cs="宋体"/>
          <w:color w:val="auto"/>
          <w:sz w:val="24"/>
          <w:szCs w:val="24"/>
          <w:highlight w:val="none"/>
          <w:lang w:eastAsia="zh-CN"/>
        </w:rPr>
        <w:t>不少于</w:t>
      </w:r>
      <w:r>
        <w:rPr>
          <w:rFonts w:hint="eastAsia" w:ascii="宋体" w:hAnsi="宋体" w:eastAsia="宋体" w:cs="宋体"/>
          <w:b/>
          <w:bCs/>
          <w:color w:val="auto"/>
          <w:sz w:val="24"/>
          <w:szCs w:val="24"/>
          <w:highlight w:val="none"/>
          <w:lang w:eastAsia="zh-CN"/>
        </w:rPr>
        <w:t>3年</w:t>
      </w:r>
      <w:r>
        <w:rPr>
          <w:rFonts w:hint="eastAsia" w:ascii="宋体" w:hAnsi="宋体" w:eastAsia="宋体" w:cs="宋体"/>
          <w:color w:val="auto"/>
          <w:sz w:val="24"/>
          <w:szCs w:val="24"/>
          <w:highlight w:val="none"/>
        </w:rPr>
        <w:t xml:space="preserve">，具体以投标人投标承诺质保期为准。 </w:t>
      </w:r>
    </w:p>
    <w:p w14:paraId="11090535">
      <w:pPr>
        <w:keepNext w:val="0"/>
        <w:keepLines w:val="0"/>
        <w:pageBreakBefore w:val="0"/>
        <w:kinsoku/>
        <w:wordWrap/>
        <w:overflowPunct/>
        <w:topLinePunct w:val="0"/>
        <w:autoSpaceDE/>
        <w:autoSpaceDN/>
        <w:bidi w:val="0"/>
        <w:spacing w:line="380" w:lineRule="exact"/>
        <w:ind w:firstLine="480" w:firstLineChars="200"/>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安装验收交付使用后的免费质保期内，供方每年主动回访二次以上并提供免费保养</w:t>
      </w:r>
      <w:r>
        <w:rPr>
          <w:rFonts w:hint="eastAsia" w:ascii="Times New Roman" w:hAnsi="Times New Roman" w:eastAsia="宋体" w:cs="Times New Roman"/>
          <w:color w:val="auto"/>
          <w:sz w:val="24"/>
          <w:szCs w:val="24"/>
          <w:highlight w:val="none"/>
        </w:rPr>
        <w:t>。</w:t>
      </w:r>
      <w:r>
        <w:rPr>
          <w:rFonts w:hint="eastAsia" w:ascii="宋体" w:hAnsi="宋体" w:eastAsia="宋体" w:cs="Times New Roman"/>
          <w:color w:val="auto"/>
          <w:sz w:val="24"/>
          <w:szCs w:val="24"/>
          <w:highlight w:val="none"/>
        </w:rPr>
        <w:t>供方对提供的产品提供终身维修保养服务。质保期后的维修所发生的材料费用按供方的出厂价结算。</w:t>
      </w:r>
    </w:p>
    <w:p w14:paraId="7EC8A0A1">
      <w:pPr>
        <w:keepNext w:val="0"/>
        <w:keepLines w:val="0"/>
        <w:pageBreakBefore w:val="0"/>
        <w:kinsoku/>
        <w:wordWrap/>
        <w:overflowPunct/>
        <w:topLinePunct w:val="0"/>
        <w:autoSpaceDE/>
        <w:autoSpaceDN/>
        <w:bidi w:val="0"/>
        <w:spacing w:line="380" w:lineRule="exact"/>
        <w:ind w:firstLine="480" w:firstLineChars="200"/>
        <w:textAlignment w:val="auto"/>
        <w:rPr>
          <w:rFonts w:hint="default"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在保修期内，</w:t>
      </w:r>
      <w:r>
        <w:rPr>
          <w:rFonts w:hint="eastAsia" w:ascii="宋体" w:hAnsi="宋体" w:eastAsia="宋体" w:cs="宋体"/>
          <w:color w:val="auto"/>
          <w:sz w:val="24"/>
          <w:szCs w:val="24"/>
          <w:highlight w:val="none"/>
          <w:lang w:eastAsia="zh-CN"/>
        </w:rPr>
        <w:t>中标人</w:t>
      </w:r>
      <w:r>
        <w:rPr>
          <w:rFonts w:hint="eastAsia" w:ascii="宋体" w:hAnsi="宋体" w:eastAsia="宋体" w:cs="Times New Roman"/>
          <w:color w:val="auto"/>
          <w:sz w:val="24"/>
          <w:szCs w:val="24"/>
          <w:highlight w:val="none"/>
        </w:rPr>
        <w:t>应确保</w:t>
      </w:r>
      <w:r>
        <w:rPr>
          <w:rFonts w:hint="eastAsia" w:ascii="宋体" w:hAnsi="宋体" w:eastAsia="宋体" w:cs="Times New Roman"/>
          <w:color w:val="auto"/>
          <w:sz w:val="24"/>
          <w:szCs w:val="24"/>
          <w:highlight w:val="none"/>
          <w:lang w:eastAsia="zh-CN"/>
        </w:rPr>
        <w:t>货物</w:t>
      </w:r>
      <w:r>
        <w:rPr>
          <w:rFonts w:hint="eastAsia" w:ascii="宋体" w:hAnsi="宋体" w:eastAsia="宋体" w:cs="Times New Roman"/>
          <w:color w:val="auto"/>
          <w:sz w:val="24"/>
          <w:szCs w:val="24"/>
          <w:highlight w:val="none"/>
        </w:rPr>
        <w:t>的正常使用，在接到用户维修要求后应立即作出回应，并在8小时内派员到达买方现场实施维修，零配件在该</w:t>
      </w:r>
      <w:r>
        <w:rPr>
          <w:rFonts w:hint="eastAsia" w:ascii="宋体" w:hAnsi="宋体" w:eastAsia="宋体" w:cs="Times New Roman"/>
          <w:color w:val="auto"/>
          <w:sz w:val="24"/>
          <w:szCs w:val="24"/>
          <w:highlight w:val="none"/>
          <w:lang w:eastAsia="zh-CN"/>
        </w:rPr>
        <w:t>货物</w:t>
      </w:r>
      <w:r>
        <w:rPr>
          <w:rFonts w:hint="eastAsia" w:ascii="宋体" w:hAnsi="宋体" w:eastAsia="宋体" w:cs="Times New Roman"/>
          <w:color w:val="auto"/>
          <w:sz w:val="24"/>
          <w:szCs w:val="24"/>
          <w:highlight w:val="none"/>
        </w:rPr>
        <w:t xml:space="preserve">停产后仍需保证5年的供应。 </w:t>
      </w:r>
    </w:p>
    <w:p w14:paraId="51D575A4">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保修期内，与维修相关的所有费用、安全等由投标人自负。</w:t>
      </w:r>
    </w:p>
    <w:p w14:paraId="6CE1C903">
      <w:pPr>
        <w:keepNext w:val="0"/>
        <w:keepLines w:val="0"/>
        <w:pageBreakBefore w:val="0"/>
        <w:kinsoku/>
        <w:wordWrap/>
        <w:overflowPunct/>
        <w:topLinePunct w:val="0"/>
        <w:autoSpaceDE/>
        <w:autoSpaceDN/>
        <w:bidi w:val="0"/>
        <w:snapToGrid/>
        <w:spacing w:line="38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项目实施要求 </w:t>
      </w:r>
    </w:p>
    <w:p w14:paraId="57307BD6">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投标人须保证</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本次采购所有产品、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 xml:space="preserve">安装调试。 </w:t>
      </w:r>
    </w:p>
    <w:p w14:paraId="454836AB">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项目实施时不得损坏招标人财物，如有损坏需无条件修复原状，否则</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 xml:space="preserve">有权在应付货款中扣除相应损失。项目实施中无条件配合招标人要求的进度。 </w:t>
      </w:r>
    </w:p>
    <w:p w14:paraId="0997E593">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中标人须根据实际情况</w:t>
      </w:r>
      <w:r>
        <w:rPr>
          <w:rFonts w:hint="eastAsia" w:ascii="宋体" w:hAnsi="宋体" w:eastAsia="宋体" w:cs="宋体"/>
          <w:color w:val="auto"/>
          <w:sz w:val="24"/>
          <w:szCs w:val="24"/>
          <w:highlight w:val="none"/>
          <w:lang w:eastAsia="zh-CN"/>
        </w:rPr>
        <w:t>做</w:t>
      </w:r>
      <w:r>
        <w:rPr>
          <w:rFonts w:hint="eastAsia" w:ascii="宋体" w:hAnsi="宋体" w:eastAsia="宋体" w:cs="宋体"/>
          <w:color w:val="auto"/>
          <w:sz w:val="24"/>
          <w:szCs w:val="24"/>
          <w:highlight w:val="none"/>
        </w:rPr>
        <w:t xml:space="preserve">必要的深化设计。项目方案及施工方案具体在实施前须报经采购人同意后方可执行； </w:t>
      </w:r>
    </w:p>
    <w:p w14:paraId="67F1D9D6">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强化安全意识、抓好安全生产，明确安全责任，杜绝事故发生，项目实施中发生安全及人身事故均由投标人负责处理，并承担全部责任和费用。</w:t>
      </w:r>
    </w:p>
    <w:p w14:paraId="34F11A64">
      <w:pPr>
        <w:keepNext w:val="0"/>
        <w:keepLines w:val="0"/>
        <w:pageBreakBefore w:val="0"/>
        <w:widowControl/>
        <w:kinsoku/>
        <w:wordWrap/>
        <w:overflowPunct/>
        <w:topLinePunct w:val="0"/>
        <w:autoSpaceDE/>
        <w:autoSpaceDN/>
        <w:bidi w:val="0"/>
        <w:snapToGrid/>
        <w:spacing w:line="380" w:lineRule="exact"/>
        <w:ind w:firstLine="240" w:firstLineChars="100"/>
        <w:jc w:val="left"/>
        <w:textAlignment w:val="auto"/>
        <w:rPr>
          <w:rFonts w:hint="default" w:ascii="Times New Roman" w:hAnsi="Times New Roman" w:eastAsia="宋体" w:cs="Times New Roman"/>
          <w:color w:val="auto"/>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验收标准及要求</w:t>
      </w:r>
      <w:r>
        <w:rPr>
          <w:rFonts w:hint="eastAsia" w:ascii="宋体" w:hAnsi="宋体" w:eastAsia="宋体" w:cs="宋体"/>
          <w:b/>
          <w:color w:val="auto"/>
          <w:kern w:val="0"/>
          <w:sz w:val="24"/>
          <w:szCs w:val="24"/>
          <w:highlight w:val="none"/>
          <w:lang w:bidi="ar"/>
        </w:rPr>
        <w:t xml:space="preserve"> </w:t>
      </w:r>
    </w:p>
    <w:p w14:paraId="72D43C16">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 xml:space="preserve">组织验收。 </w:t>
      </w:r>
    </w:p>
    <w:p w14:paraId="2775AE12">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验收在材料、</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到齐时，由</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组织人员对材料、</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等投标响应要求进行初次验收，经验收合格中标人方可实施；中标人必须按照招标要求及</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 xml:space="preserve">的要求准备完整的验收材料。验收费用由中标人承担。 </w:t>
      </w:r>
    </w:p>
    <w:p w14:paraId="7F7B46A9">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中标人应提供产品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的有效检验文件，经</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认可后，与合同的性能指标一起作为产品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验收标准，验收中发现产品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达不到验收标准、招标文件或合同规定的性能指标或环保要求，中标人必须无条件立即更换产品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（在中标人整改期间，</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有权使用全部产品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），并负担由此给</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造成的损失，直到验收合格为止，质保金不予支付。</w:t>
      </w:r>
    </w:p>
    <w:p w14:paraId="4618AC9C">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验收中，如</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认为产品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可能达不到验收标准、招标文件或合同规定的性能指标或环保要求的，</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有权随机抽取样品进行破坏性检测试验（由此产生的费用由中标人承担），如检测结果不合格的，由中标人立即无条件更换相关所有不合格的产品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 xml:space="preserve">，并承担由此产生的损失和费用。 </w:t>
      </w:r>
    </w:p>
    <w:p w14:paraId="09FE4FC9">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所有检测、验收费用均包含在投标报价中，由投标人自行考虑。 </w:t>
      </w:r>
    </w:p>
    <w:p w14:paraId="5B549DE6">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最终验收由</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组织专家组进行验收，同时根据具体情况可以邀请主要</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 xml:space="preserve">厂家代表协助采购方进行验收。由于中标人原因超过时间达不到要求的或验收不能过的，中标人须退还已付货款，履约保证金不予退还，赔偿业主损失，并报有关部门处理。 </w:t>
      </w:r>
    </w:p>
    <w:p w14:paraId="7DE74AEE">
      <w:pPr>
        <w:keepNext w:val="0"/>
        <w:keepLines w:val="0"/>
        <w:pageBreakBefore w:val="0"/>
        <w:kinsoku/>
        <w:wordWrap/>
        <w:overflowPunct/>
        <w:topLinePunct w:val="0"/>
        <w:autoSpaceDE/>
        <w:autoSpaceDN/>
        <w:bidi w:val="0"/>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中标人向</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sz w:val="24"/>
          <w:szCs w:val="24"/>
          <w:highlight w:val="none"/>
        </w:rPr>
        <w:t>提供施工过程中形成的图纸、记录、档案资料、产品说明书、原厂家安装手册、技术文件资料、安装、验收报告等原件文档汇集成册（含电子版一套），并按招标人的档案管理要求完成资料归档工作，报送招标单位留存。</w:t>
      </w:r>
    </w:p>
    <w:p w14:paraId="0244E58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4"/>
          <w:sz w:val="24"/>
          <w:szCs w:val="24"/>
          <w:highlight w:val="none"/>
          <w:lang w:val="en-US" w:eastAsia="zh-CN" w:bidi="ar-SA"/>
        </w:rPr>
        <w:t>22.工期：</w:t>
      </w:r>
      <w:r>
        <w:rPr>
          <w:rFonts w:hint="eastAsia" w:ascii="宋体" w:hAnsi="宋体" w:eastAsia="宋体" w:cs="宋体"/>
          <w:b/>
          <w:bCs/>
          <w:color w:val="auto"/>
          <w:kern w:val="2"/>
          <w:sz w:val="24"/>
          <w:szCs w:val="24"/>
          <w:highlight w:val="none"/>
          <w:lang w:val="en-US" w:eastAsia="zh-CN" w:bidi="ar-SA"/>
        </w:rPr>
        <w:t>具备进场条件后30天内完成安装及调试（具体以采购人通知为准），达到可交付标准。</w:t>
      </w:r>
    </w:p>
    <w:p w14:paraId="306E8E6D">
      <w:pPr>
        <w:keepNext w:val="0"/>
        <w:keepLines w:val="0"/>
        <w:pageBreakBefore w:val="0"/>
        <w:widowControl w:val="0"/>
        <w:numPr>
          <w:ilvl w:val="0"/>
          <w:numId w:val="0"/>
        </w:numPr>
        <w:kinsoku/>
        <w:wordWrap/>
        <w:overflowPunct/>
        <w:topLinePunct w:val="0"/>
        <w:autoSpaceDE/>
        <w:autoSpaceDN/>
        <w:bidi w:val="0"/>
        <w:snapToGrid/>
        <w:spacing w:line="3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付款条件：</w:t>
      </w:r>
      <w:r>
        <w:rPr>
          <w:rFonts w:hint="eastAsia" w:ascii="宋体" w:hAnsi="宋体" w:eastAsia="宋体" w:cs="宋体"/>
          <w:b/>
          <w:bCs/>
          <w:color w:val="auto"/>
          <w:sz w:val="24"/>
          <w:szCs w:val="24"/>
          <w:highlight w:val="none"/>
          <w:lang w:eastAsia="zh-CN"/>
        </w:rPr>
        <w:t>合同生效以及具备实施条件后7个工作日内，甲方向乙方支付合同总额的40%作为预付款（在签订合同时，乙方明确表示无需预付款或者主动要求降低预付款比例的，双方协商确定。甲方根据项目特点、乙方诚信等因素，可以要求乙方提交银行、保险公司等金融机构出具的预付款保函或其他担保措施）。经验收合格后凭发票付清余款。</w:t>
      </w:r>
    </w:p>
    <w:p w14:paraId="24B453CC">
      <w:pPr>
        <w:pStyle w:val="29"/>
        <w:rPr>
          <w:rFonts w:hint="eastAsia" w:ascii="宋体" w:hAnsi="宋体" w:eastAsia="宋体" w:cs="宋体"/>
          <w:color w:val="auto"/>
          <w:sz w:val="24"/>
          <w:szCs w:val="24"/>
          <w:highlight w:val="none"/>
          <w:lang w:val="zh-CN" w:eastAsia="zh-CN"/>
        </w:rPr>
      </w:pPr>
    </w:p>
    <w:p w14:paraId="06F31F4D">
      <w:pPr>
        <w:pStyle w:val="29"/>
        <w:rPr>
          <w:rFonts w:hint="eastAsia" w:ascii="宋体" w:hAnsi="宋体" w:eastAsia="宋体" w:cs="宋体"/>
          <w:color w:val="auto"/>
          <w:sz w:val="24"/>
          <w:szCs w:val="24"/>
          <w:highlight w:val="none"/>
          <w:lang w:val="zh-CN" w:eastAsia="zh-CN"/>
        </w:rPr>
      </w:pPr>
    </w:p>
    <w:p w14:paraId="5AE8331A">
      <w:pPr>
        <w:pStyle w:val="29"/>
        <w:rPr>
          <w:rFonts w:hint="eastAsia" w:ascii="宋体" w:hAnsi="宋体" w:eastAsia="宋体" w:cs="宋体"/>
          <w:color w:val="auto"/>
          <w:sz w:val="24"/>
          <w:szCs w:val="24"/>
          <w:highlight w:val="none"/>
          <w:lang w:val="zh-CN" w:eastAsia="zh-CN"/>
        </w:rPr>
      </w:pPr>
    </w:p>
    <w:p w14:paraId="51DB1060">
      <w:pPr>
        <w:pStyle w:val="29"/>
        <w:rPr>
          <w:rFonts w:hint="eastAsia" w:ascii="宋体" w:hAnsi="宋体" w:eastAsia="宋体" w:cs="宋体"/>
          <w:color w:val="auto"/>
          <w:sz w:val="24"/>
          <w:szCs w:val="24"/>
          <w:highlight w:val="none"/>
          <w:lang w:val="zh-CN" w:eastAsia="zh-CN"/>
        </w:rPr>
      </w:pPr>
    </w:p>
    <w:p w14:paraId="7127EB28">
      <w:pPr>
        <w:pStyle w:val="29"/>
        <w:rPr>
          <w:rFonts w:hint="eastAsia" w:ascii="宋体" w:hAnsi="宋体" w:eastAsia="宋体" w:cs="宋体"/>
          <w:color w:val="auto"/>
          <w:sz w:val="24"/>
          <w:szCs w:val="24"/>
          <w:highlight w:val="none"/>
          <w:lang w:val="zh-CN" w:eastAsia="zh-CN"/>
        </w:rPr>
      </w:pPr>
    </w:p>
    <w:p w14:paraId="42B9713E">
      <w:pPr>
        <w:pStyle w:val="29"/>
        <w:rPr>
          <w:rFonts w:hint="eastAsia" w:ascii="宋体" w:hAnsi="宋体" w:eastAsia="宋体" w:cs="宋体"/>
          <w:color w:val="auto"/>
          <w:sz w:val="24"/>
          <w:szCs w:val="24"/>
          <w:highlight w:val="none"/>
          <w:lang w:val="zh-CN" w:eastAsia="zh-CN"/>
        </w:rPr>
      </w:pPr>
    </w:p>
    <w:p w14:paraId="0516150F">
      <w:pPr>
        <w:pStyle w:val="29"/>
        <w:rPr>
          <w:rFonts w:hint="eastAsia" w:ascii="宋体" w:hAnsi="宋体" w:eastAsia="宋体" w:cs="宋体"/>
          <w:color w:val="auto"/>
          <w:sz w:val="24"/>
          <w:szCs w:val="24"/>
          <w:highlight w:val="none"/>
          <w:lang w:val="zh-CN" w:eastAsia="zh-CN"/>
        </w:rPr>
      </w:pPr>
    </w:p>
    <w:p w14:paraId="2C53685F">
      <w:pPr>
        <w:pStyle w:val="29"/>
        <w:rPr>
          <w:rFonts w:hint="eastAsia" w:ascii="宋体" w:hAnsi="宋体" w:eastAsia="宋体" w:cs="宋体"/>
          <w:color w:val="auto"/>
          <w:sz w:val="24"/>
          <w:szCs w:val="24"/>
          <w:highlight w:val="none"/>
          <w:lang w:val="zh-CN" w:eastAsia="zh-CN"/>
        </w:rPr>
      </w:pPr>
    </w:p>
    <w:p w14:paraId="7E87B6C1">
      <w:pPr>
        <w:pStyle w:val="29"/>
        <w:rPr>
          <w:rFonts w:hint="eastAsia" w:ascii="宋体" w:hAnsi="宋体" w:eastAsia="宋体" w:cs="宋体"/>
          <w:color w:val="auto"/>
          <w:sz w:val="24"/>
          <w:szCs w:val="24"/>
          <w:highlight w:val="none"/>
          <w:lang w:val="zh-CN" w:eastAsia="zh-CN"/>
        </w:rPr>
      </w:pPr>
    </w:p>
    <w:p w14:paraId="789E1A37">
      <w:pPr>
        <w:pStyle w:val="29"/>
        <w:rPr>
          <w:rFonts w:hint="eastAsia" w:ascii="宋体" w:hAnsi="宋体" w:eastAsia="宋体" w:cs="宋体"/>
          <w:color w:val="auto"/>
          <w:sz w:val="24"/>
          <w:szCs w:val="24"/>
          <w:highlight w:val="none"/>
          <w:lang w:val="zh-CN" w:eastAsia="zh-CN"/>
        </w:rPr>
      </w:pPr>
    </w:p>
    <w:p w14:paraId="30B8FD48">
      <w:pPr>
        <w:pStyle w:val="29"/>
        <w:rPr>
          <w:rFonts w:hint="eastAsia" w:ascii="宋体" w:hAnsi="宋体" w:eastAsia="宋体" w:cs="宋体"/>
          <w:color w:val="auto"/>
          <w:sz w:val="24"/>
          <w:szCs w:val="24"/>
          <w:highlight w:val="none"/>
          <w:lang w:val="zh-CN" w:eastAsia="zh-CN"/>
        </w:rPr>
      </w:pPr>
    </w:p>
    <w:p w14:paraId="5195A3D7">
      <w:pPr>
        <w:pStyle w:val="29"/>
        <w:rPr>
          <w:rFonts w:hint="eastAsia" w:ascii="宋体" w:hAnsi="宋体" w:eastAsia="宋体" w:cs="宋体"/>
          <w:color w:val="auto"/>
          <w:sz w:val="24"/>
          <w:szCs w:val="24"/>
          <w:highlight w:val="none"/>
          <w:lang w:val="zh-CN" w:eastAsia="zh-CN"/>
        </w:rPr>
      </w:pPr>
    </w:p>
    <w:p w14:paraId="6873E877">
      <w:pPr>
        <w:pStyle w:val="29"/>
        <w:rPr>
          <w:rFonts w:hint="eastAsia" w:ascii="宋体" w:hAnsi="宋体" w:eastAsia="宋体" w:cs="宋体"/>
          <w:color w:val="auto"/>
          <w:sz w:val="24"/>
          <w:szCs w:val="24"/>
          <w:highlight w:val="none"/>
          <w:lang w:val="zh-CN" w:eastAsia="zh-CN"/>
        </w:rPr>
      </w:pPr>
    </w:p>
    <w:p w14:paraId="2BF74962">
      <w:pPr>
        <w:pStyle w:val="29"/>
        <w:rPr>
          <w:rFonts w:hint="eastAsia" w:ascii="宋体" w:hAnsi="宋体" w:eastAsia="宋体" w:cs="宋体"/>
          <w:color w:val="auto"/>
          <w:sz w:val="24"/>
          <w:szCs w:val="24"/>
          <w:highlight w:val="none"/>
          <w:lang w:val="zh-CN" w:eastAsia="zh-CN"/>
        </w:rPr>
      </w:pPr>
    </w:p>
    <w:p w14:paraId="4A435429">
      <w:pPr>
        <w:pStyle w:val="29"/>
        <w:rPr>
          <w:rFonts w:hint="eastAsia" w:ascii="宋体" w:hAnsi="宋体" w:eastAsia="宋体" w:cs="宋体"/>
          <w:color w:val="auto"/>
          <w:sz w:val="24"/>
          <w:szCs w:val="24"/>
          <w:highlight w:val="none"/>
          <w:lang w:val="zh-CN" w:eastAsia="zh-CN"/>
        </w:rPr>
      </w:pPr>
    </w:p>
    <w:p w14:paraId="31F722A7">
      <w:pPr>
        <w:numPr>
          <w:ilvl w:val="0"/>
          <w:numId w:val="3"/>
        </w:numPr>
        <w:kinsoku/>
        <w:spacing w:before="120" w:beforeLines="50" w:after="120" w:afterLines="50" w:line="360" w:lineRule="auto"/>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bl>
      <w:tblPr>
        <w:tblStyle w:val="20"/>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54"/>
        <w:gridCol w:w="7043"/>
        <w:gridCol w:w="592"/>
      </w:tblGrid>
      <w:tr w14:paraId="74EF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blHeader/>
          <w:jc w:val="center"/>
        </w:trPr>
        <w:tc>
          <w:tcPr>
            <w:tcW w:w="520" w:type="dxa"/>
            <w:noWrap w:val="0"/>
            <w:vAlign w:val="center"/>
          </w:tcPr>
          <w:p w14:paraId="3B9DD74A">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54" w:type="dxa"/>
            <w:noWrap w:val="0"/>
            <w:vAlign w:val="center"/>
          </w:tcPr>
          <w:p w14:paraId="7DB45D12">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评分因素</w:t>
            </w:r>
          </w:p>
          <w:p w14:paraId="70A02AD2">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及分值</w:t>
            </w:r>
          </w:p>
        </w:tc>
        <w:tc>
          <w:tcPr>
            <w:tcW w:w="7043" w:type="dxa"/>
            <w:noWrap w:val="0"/>
            <w:vAlign w:val="center"/>
          </w:tcPr>
          <w:p w14:paraId="0FE80AE9">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c>
          <w:tcPr>
            <w:tcW w:w="592" w:type="dxa"/>
            <w:noWrap w:val="0"/>
            <w:vAlign w:val="center"/>
          </w:tcPr>
          <w:p w14:paraId="35B01670">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default" w:ascii="宋体" w:hAnsi="宋体" w:eastAsia="宋体" w:cs="宋体"/>
                <w:color w:val="auto"/>
                <w:kern w:val="0"/>
                <w:sz w:val="21"/>
                <w:szCs w:val="21"/>
                <w:highlight w:val="none"/>
                <w:lang w:val="en-US" w:eastAsia="zh-CN"/>
              </w:rPr>
            </w:pPr>
          </w:p>
        </w:tc>
      </w:tr>
      <w:tr w14:paraId="5E86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20" w:type="dxa"/>
            <w:noWrap w:val="0"/>
            <w:vAlign w:val="center"/>
          </w:tcPr>
          <w:p w14:paraId="7CE631D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54" w:type="dxa"/>
            <w:noWrap w:val="0"/>
            <w:vAlign w:val="center"/>
          </w:tcPr>
          <w:p w14:paraId="16CEDEEC">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240" w:lineRule="auto"/>
              <w:ind w:left="0" w:right="0"/>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企业资信</w:t>
            </w:r>
          </w:p>
          <w:p w14:paraId="49420E8C">
            <w:pPr>
              <w:pStyle w:val="4"/>
              <w:spacing w:line="240" w:lineRule="auto"/>
              <w:rPr>
                <w:rFonts w:hint="default"/>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（3分）</w:t>
            </w:r>
          </w:p>
        </w:tc>
        <w:tc>
          <w:tcPr>
            <w:tcW w:w="7043" w:type="dxa"/>
            <w:noWrap w:val="0"/>
            <w:vAlign w:val="center"/>
          </w:tcPr>
          <w:p w14:paraId="7DCA44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投标人或投标产品生产企业具有有效的：</w:t>
            </w:r>
          </w:p>
          <w:p w14:paraId="2356C0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（1）质量管理体系认证证书且在有效期内的得1分；</w:t>
            </w:r>
          </w:p>
          <w:p w14:paraId="168589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（2）环境管理体系认证证书且在有效期内的得1分；</w:t>
            </w:r>
          </w:p>
          <w:p w14:paraId="13117F2B">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（3）职业健康安全管理体系认证证书且在有效期内的得1分</w:t>
            </w:r>
          </w:p>
          <w:p w14:paraId="6B0417A4">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color w:val="auto"/>
                <w:highlight w:val="none"/>
              </w:rPr>
            </w:pPr>
            <w:r>
              <w:rPr>
                <w:rFonts w:hint="eastAsia" w:ascii="宋体" w:hAnsi="宋体" w:eastAsia="宋体" w:cs="宋体"/>
                <w:b/>
                <w:bCs/>
                <w:color w:val="auto"/>
                <w:kern w:val="0"/>
                <w:sz w:val="21"/>
                <w:szCs w:val="21"/>
                <w:highlight w:val="none"/>
                <w:lang w:val="en-US" w:eastAsia="zh-CN"/>
              </w:rPr>
              <w:t>注:需提供证书的扫描件及国家市场监督管理总局全国认证认可信息公共服务平台查询网页截图，提供不全或网页查询显示未在有效期/无效/暂停等与证书不匹配情形的，相应得分不予计取。</w:t>
            </w:r>
          </w:p>
        </w:tc>
        <w:tc>
          <w:tcPr>
            <w:tcW w:w="592" w:type="dxa"/>
            <w:noWrap w:val="0"/>
            <w:vAlign w:val="center"/>
          </w:tcPr>
          <w:p w14:paraId="44206085">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p w14:paraId="2173C4D6">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p>
        </w:tc>
      </w:tr>
      <w:tr w14:paraId="791F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20" w:type="dxa"/>
            <w:noWrap w:val="0"/>
            <w:vAlign w:val="center"/>
          </w:tcPr>
          <w:p w14:paraId="2FF47022">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54" w:type="dxa"/>
            <w:noWrap w:val="0"/>
            <w:vAlign w:val="center"/>
          </w:tcPr>
          <w:p w14:paraId="5133EC7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p w14:paraId="32A69564">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2分）</w:t>
            </w:r>
          </w:p>
        </w:tc>
        <w:tc>
          <w:tcPr>
            <w:tcW w:w="7043" w:type="dxa"/>
            <w:noWrap w:val="0"/>
            <w:vAlign w:val="center"/>
          </w:tcPr>
          <w:p w14:paraId="111F95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20</w:t>
            </w: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1月1日</w:t>
            </w:r>
            <w:r>
              <w:rPr>
                <w:rFonts w:hint="eastAsia" w:ascii="宋体" w:hAnsi="宋体" w:eastAsia="宋体" w:cs="宋体"/>
                <w:color w:val="auto"/>
                <w:kern w:val="0"/>
                <w:sz w:val="21"/>
                <w:szCs w:val="21"/>
                <w:highlight w:val="none"/>
              </w:rPr>
              <w:t>（以签合同时间为准）</w:t>
            </w:r>
            <w:r>
              <w:rPr>
                <w:rFonts w:hint="eastAsia" w:ascii="宋体" w:hAnsi="宋体" w:eastAsia="宋体" w:cs="宋体"/>
                <w:color w:val="auto"/>
                <w:kern w:val="0"/>
                <w:sz w:val="21"/>
                <w:szCs w:val="21"/>
                <w:highlight w:val="none"/>
                <w:lang w:val="en-US" w:eastAsia="zh-CN"/>
              </w:rPr>
              <w:t>以来</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每提供一个</w:t>
            </w:r>
            <w:r>
              <w:rPr>
                <w:rFonts w:hint="eastAsia" w:ascii="宋体" w:hAnsi="宋体" w:eastAsia="宋体" w:cs="宋体"/>
                <w:color w:val="auto"/>
                <w:kern w:val="0"/>
                <w:sz w:val="21"/>
                <w:szCs w:val="21"/>
                <w:highlight w:val="none"/>
                <w:lang w:val="en-US" w:eastAsia="zh-CN"/>
              </w:rPr>
              <w:t>同类项目</w:t>
            </w:r>
            <w:r>
              <w:rPr>
                <w:rFonts w:hint="eastAsia" w:ascii="宋体" w:hAnsi="宋体" w:eastAsia="宋体" w:cs="宋体"/>
                <w:color w:val="auto"/>
                <w:kern w:val="0"/>
                <w:sz w:val="21"/>
                <w:szCs w:val="21"/>
                <w:highlight w:val="none"/>
              </w:rPr>
              <w:t>业绩案例得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21950270">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w:t>
            </w:r>
            <w:r>
              <w:rPr>
                <w:rFonts w:hint="eastAsia" w:ascii="宋体" w:hAnsi="宋体" w:eastAsia="宋体" w:cs="宋体"/>
                <w:b/>
                <w:bCs/>
                <w:color w:val="auto"/>
                <w:kern w:val="0"/>
                <w:sz w:val="21"/>
                <w:szCs w:val="21"/>
                <w:highlight w:val="none"/>
                <w:lang w:val="en-US" w:eastAsia="zh-CN"/>
              </w:rPr>
              <w:t>需</w:t>
            </w:r>
            <w:r>
              <w:rPr>
                <w:rFonts w:hint="eastAsia" w:ascii="宋体" w:hAnsi="宋体" w:eastAsia="宋体" w:cs="宋体"/>
                <w:b/>
                <w:bCs/>
                <w:color w:val="auto"/>
                <w:kern w:val="0"/>
                <w:sz w:val="21"/>
                <w:szCs w:val="21"/>
                <w:highlight w:val="none"/>
              </w:rPr>
              <w:t>同时提供合同和验收合格资料，未提供或提供不完整的不得分</w:t>
            </w:r>
            <w:r>
              <w:rPr>
                <w:rFonts w:hint="eastAsia" w:ascii="宋体" w:hAnsi="宋体" w:eastAsia="宋体" w:cs="宋体"/>
                <w:color w:val="auto"/>
                <w:kern w:val="0"/>
                <w:sz w:val="21"/>
                <w:szCs w:val="21"/>
                <w:highlight w:val="none"/>
              </w:rPr>
              <w:t>。</w:t>
            </w:r>
          </w:p>
        </w:tc>
        <w:tc>
          <w:tcPr>
            <w:tcW w:w="592" w:type="dxa"/>
            <w:noWrap w:val="0"/>
            <w:vAlign w:val="center"/>
          </w:tcPr>
          <w:p w14:paraId="6934FD8B">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tc>
      </w:tr>
      <w:tr w14:paraId="048C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20" w:type="dxa"/>
            <w:noWrap w:val="0"/>
            <w:vAlign w:val="center"/>
          </w:tcPr>
          <w:p w14:paraId="6EBFF4F2">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54" w:type="dxa"/>
            <w:noWrap w:val="0"/>
            <w:vAlign w:val="center"/>
          </w:tcPr>
          <w:p w14:paraId="2C6FCDEA">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Arial" w:hAnsi="Arial" w:cs="Arial"/>
                <w:bCs/>
                <w:snapToGrid w:val="0"/>
                <w:color w:val="auto"/>
                <w:kern w:val="0"/>
                <w:sz w:val="21"/>
                <w:szCs w:val="21"/>
                <w:highlight w:val="none"/>
                <w:lang w:val="en-US" w:eastAsia="zh-CN"/>
              </w:rPr>
            </w:pPr>
            <w:r>
              <w:rPr>
                <w:rFonts w:hint="eastAsia" w:ascii="Arial" w:hAnsi="Arial" w:cs="Arial"/>
                <w:bCs/>
                <w:snapToGrid w:val="0"/>
                <w:color w:val="auto"/>
                <w:kern w:val="0"/>
                <w:sz w:val="21"/>
                <w:szCs w:val="21"/>
                <w:highlight w:val="none"/>
                <w:lang w:val="en-US" w:eastAsia="zh-CN"/>
              </w:rPr>
              <w:t>中国环境标志产品</w:t>
            </w:r>
          </w:p>
          <w:p w14:paraId="1264D42F">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Arial" w:hAnsi="Arial" w:cs="Arial"/>
                <w:bCs/>
                <w:snapToGrid w:val="0"/>
                <w:color w:val="auto"/>
                <w:kern w:val="0"/>
                <w:sz w:val="21"/>
                <w:szCs w:val="21"/>
                <w:highlight w:val="none"/>
                <w:lang w:val="en-US" w:eastAsia="zh-CN"/>
              </w:rPr>
            </w:pPr>
            <w:r>
              <w:rPr>
                <w:rFonts w:hint="eastAsia" w:cs="Arial"/>
                <w:bCs/>
                <w:snapToGrid w:val="0"/>
                <w:color w:val="auto"/>
                <w:kern w:val="0"/>
                <w:sz w:val="21"/>
                <w:szCs w:val="21"/>
                <w:highlight w:val="none"/>
                <w:lang w:val="en-US" w:eastAsia="zh-CN"/>
              </w:rPr>
              <w:t>（4分）</w:t>
            </w:r>
          </w:p>
        </w:tc>
        <w:tc>
          <w:tcPr>
            <w:tcW w:w="7043" w:type="dxa"/>
            <w:noWrap w:val="0"/>
            <w:vAlign w:val="center"/>
          </w:tcPr>
          <w:p w14:paraId="5BF46F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rightChars="0"/>
              <w:textAlignment w:val="baseline"/>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w:t>
            </w:r>
            <w:r>
              <w:rPr>
                <w:rFonts w:hint="eastAsia" w:ascii="宋体" w:hAnsi="宋体" w:eastAsia="宋体" w:cs="宋体"/>
                <w:b w:val="0"/>
                <w:bCs w:val="0"/>
                <w:color w:val="auto"/>
                <w:kern w:val="2"/>
                <w:sz w:val="21"/>
                <w:szCs w:val="21"/>
                <w:highlight w:val="none"/>
                <w:vertAlign w:val="baseline"/>
                <w:lang w:val="en-US" w:eastAsia="zh-CN" w:bidi="ar-SA"/>
              </w:rPr>
              <w:t>投标人所提供的产品具有中国环境标志产品认证证书的，认证产品或范围表述需与所投产品相类似（如儿童玩具、纯木材玩具、户外游乐设施、户外玩具桌、户外模拟厨房、户外玩具柜等），每提供一类产品的中国环境标志产品认证证书，得1分，最高4分</w:t>
            </w:r>
          </w:p>
          <w:p w14:paraId="4B4E88EA">
            <w:pPr>
              <w:keepNext w:val="0"/>
              <w:keepLines w:val="0"/>
              <w:pageBreakBefore w:val="0"/>
              <w:widowControl/>
              <w:suppressLineNumbers w:val="0"/>
              <w:wordWrap/>
              <w:overflowPunct/>
              <w:topLinePunct w:val="0"/>
              <w:bidi w:val="0"/>
              <w:adjustRightInd w:val="0"/>
              <w:snapToGrid w:val="0"/>
              <w:spacing w:before="0" w:beforeAutospacing="0" w:after="0" w:afterAutospacing="0" w:line="360" w:lineRule="auto"/>
              <w:ind w:left="0" w:right="-508" w:rightChars="-242"/>
              <w:rPr>
                <w:rFonts w:hint="eastAsia" w:ascii="宋体" w:hAnsi="宋体" w:eastAsia="宋体" w:cs="宋体"/>
                <w:b/>
                <w:bCs/>
                <w:snapToGrid w:val="0"/>
                <w:color w:val="auto"/>
                <w:sz w:val="21"/>
                <w:szCs w:val="21"/>
                <w:highlight w:val="no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注：</w:t>
            </w:r>
            <w:r>
              <w:rPr>
                <w:rFonts w:hint="eastAsia" w:ascii="宋体" w:hAnsi="宋体" w:eastAsia="宋体" w:cs="宋体"/>
                <w:b/>
                <w:bCs/>
                <w:color w:val="auto"/>
                <w:sz w:val="21"/>
                <w:szCs w:val="21"/>
                <w:highlight w:val="none"/>
                <w:vertAlign w:val="baseline"/>
                <w:lang w:val="en-US" w:eastAsia="zh-CN"/>
              </w:rPr>
              <w:t>提供有效期内的证书扫描件并加盖公章</w:t>
            </w:r>
            <w:r>
              <w:rPr>
                <w:rFonts w:hint="eastAsia" w:ascii="宋体" w:hAnsi="宋体" w:eastAsia="宋体" w:cs="宋体"/>
                <w:b/>
                <w:bCs/>
                <w:color w:val="auto"/>
                <w:kern w:val="2"/>
                <w:sz w:val="21"/>
                <w:szCs w:val="21"/>
                <w:highlight w:val="none"/>
                <w:vertAlign w:val="baseline"/>
                <w:lang w:val="en-US" w:eastAsia="zh-CN" w:bidi="ar-SA"/>
              </w:rPr>
              <w:t>，未按要求提供的不得分</w:t>
            </w:r>
          </w:p>
        </w:tc>
        <w:tc>
          <w:tcPr>
            <w:tcW w:w="592" w:type="dxa"/>
            <w:noWrap w:val="0"/>
            <w:vAlign w:val="center"/>
          </w:tcPr>
          <w:p w14:paraId="43C26EAF">
            <w:pPr>
              <w:keepNext w:val="0"/>
              <w:keepLines w:val="0"/>
              <w:pageBreakBefore w:val="0"/>
              <w:widowControl/>
              <w:suppressLineNumbers w:val="0"/>
              <w:tabs>
                <w:tab w:val="left" w:pos="54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tc>
      </w:tr>
      <w:tr w14:paraId="17D8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520" w:type="dxa"/>
            <w:noWrap w:val="0"/>
            <w:vAlign w:val="center"/>
          </w:tcPr>
          <w:p w14:paraId="381E1249">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54" w:type="dxa"/>
            <w:noWrap w:val="0"/>
            <w:vAlign w:val="center"/>
          </w:tcPr>
          <w:p w14:paraId="1AA4A73D">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投标货物的性能及技术指标（36分）</w:t>
            </w:r>
          </w:p>
        </w:tc>
        <w:tc>
          <w:tcPr>
            <w:tcW w:w="7043" w:type="dxa"/>
            <w:noWrap w:val="0"/>
            <w:vAlign w:val="center"/>
          </w:tcPr>
          <w:p w14:paraId="206DAA10">
            <w:pPr>
              <w:keepNext w:val="0"/>
              <w:keepLines w:val="0"/>
              <w:pageBreakBefore w:val="0"/>
              <w:kinsoku/>
              <w:wordWrap/>
              <w:overflowPunct/>
              <w:topLinePunct w:val="0"/>
              <w:bidi w:val="0"/>
              <w:spacing w:line="360" w:lineRule="auto"/>
              <w:ind w:firstLine="210" w:firstLineChars="100"/>
              <w:textAlignment w:val="center"/>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lang w:val="en-US" w:eastAsia="zh-CN" w:bidi="ar-SA"/>
              </w:rPr>
              <w:t>投标人针对本项目采购文件“第三部分 招标内容及需求”的“技术参数要求”，完全满足的得 36分：</w:t>
            </w:r>
            <w:r>
              <w:rPr>
                <w:rFonts w:hint="eastAsia" w:ascii="宋体" w:hAnsi="宋体" w:eastAsia="宋体" w:cs="宋体"/>
                <w:color w:val="auto"/>
                <w:sz w:val="21"/>
                <w:szCs w:val="21"/>
                <w:highlight w:val="none"/>
              </w:rPr>
              <w:t>带★参数与招标文件要求有负偏离或者没有按要求提供证明材料的每项扣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分；其它参数与招标文件有负偏离或者没有按要求提供证明材料的每项扣</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分；扣完为止。</w:t>
            </w:r>
          </w:p>
          <w:p w14:paraId="21BE30AC">
            <w:pPr>
              <w:keepNext w:val="0"/>
              <w:keepLines w:val="0"/>
              <w:pageBreakBefore w:val="0"/>
              <w:kinsoku/>
              <w:wordWrap/>
              <w:overflowPunct/>
              <w:topLinePunct w:val="0"/>
              <w:bidi w:val="0"/>
              <w:spacing w:line="360" w:lineRule="auto"/>
              <w:ind w:firstLine="211" w:firstLineChars="100"/>
              <w:textAlignment w:val="center"/>
              <w:rPr>
                <w:rFonts w:hint="eastAsia" w:ascii="宋体" w:hAnsi="宋体" w:eastAsia="宋体" w:cs="宋体"/>
                <w:b/>
                <w:bCs/>
                <w:snapToGrid w:val="0"/>
                <w:color w:val="auto"/>
                <w:sz w:val="21"/>
                <w:szCs w:val="21"/>
                <w:highlight w:val="none"/>
                <w:lang w:val="en-US" w:eastAsia="zh-CN" w:bidi="ar-SA"/>
              </w:rPr>
            </w:pPr>
            <w:r>
              <w:rPr>
                <w:rFonts w:hint="eastAsia" w:ascii="宋体" w:hAnsi="宋体" w:eastAsia="宋体" w:cs="宋体"/>
                <w:b/>
                <w:bCs/>
                <w:snapToGrid w:val="0"/>
                <w:color w:val="auto"/>
                <w:sz w:val="21"/>
                <w:szCs w:val="21"/>
                <w:highlight w:val="none"/>
                <w:lang w:val="en-US" w:eastAsia="zh-CN" w:bidi="ar-SA"/>
              </w:rPr>
              <w:t>注：（</w:t>
            </w:r>
            <w:r>
              <w:rPr>
                <w:rFonts w:hint="eastAsia" w:ascii="宋体" w:hAnsi="宋体" w:eastAsia="宋体" w:cs="宋体"/>
                <w:snapToGrid w:val="0"/>
                <w:color w:val="auto"/>
                <w:sz w:val="21"/>
                <w:szCs w:val="21"/>
                <w:highlight w:val="none"/>
                <w:lang w:val="en-US" w:eastAsia="zh-CN" w:bidi="ar-SA"/>
              </w:rPr>
              <w:t>▲</w:t>
            </w:r>
            <w:r>
              <w:rPr>
                <w:rFonts w:hint="eastAsia" w:ascii="宋体" w:hAnsi="宋体" w:eastAsia="宋体" w:cs="宋体"/>
                <w:b/>
                <w:bCs/>
                <w:snapToGrid w:val="0"/>
                <w:color w:val="auto"/>
                <w:sz w:val="21"/>
                <w:szCs w:val="21"/>
                <w:highlight w:val="none"/>
                <w:lang w:val="en-US" w:eastAsia="zh-CN" w:bidi="ar-SA"/>
              </w:rPr>
              <w:t>条款为实质性条款，不允许负偏离，否则作无效标处理）</w:t>
            </w:r>
          </w:p>
          <w:p w14:paraId="71E3E82C">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center"/>
              <w:rPr>
                <w:rFonts w:hint="eastAsia" w:ascii="宋体" w:hAnsi="宋体" w:eastAsia="宋体" w:cs="宋体"/>
                <w:b/>
                <w:bCs/>
                <w:snapToGrid w:val="0"/>
                <w:color w:val="auto"/>
                <w:sz w:val="21"/>
                <w:szCs w:val="21"/>
                <w:highlight w:val="none"/>
                <w:lang w:val="en-US" w:eastAsia="zh-CN" w:bidi="ar-SA"/>
              </w:rPr>
            </w:pPr>
            <w:r>
              <w:rPr>
                <w:rFonts w:hint="eastAsia" w:ascii="宋体" w:hAnsi="宋体" w:eastAsia="宋体" w:cs="宋体"/>
                <w:b/>
                <w:bCs/>
                <w:snapToGrid w:val="0"/>
                <w:color w:val="auto"/>
                <w:sz w:val="21"/>
                <w:szCs w:val="21"/>
                <w:highlight w:val="none"/>
                <w:lang w:val="en-US" w:eastAsia="zh-CN" w:bidi="ar-SA"/>
              </w:rPr>
              <w:t>1.投标人应对每个指标和要求项的偏离情况做应答，漏视为负偏离，如有偏离，必须在技术偏离表中进行详细对比说明并注明正、负偏离。</w:t>
            </w:r>
          </w:p>
          <w:p w14:paraId="502D894C">
            <w:pPr>
              <w:keepNext w:val="0"/>
              <w:keepLines w:val="0"/>
              <w:pageBreakBefore w:val="0"/>
              <w:widowControl/>
              <w:suppressLineNumbers w:val="0"/>
              <w:wordWrap/>
              <w:overflowPunct/>
              <w:topLinePunct w:val="0"/>
              <w:autoSpaceDE w:val="0"/>
              <w:autoSpaceDN w:val="0"/>
              <w:bidi w:val="0"/>
              <w:adjustRightInd w:val="0"/>
              <w:snapToGrid w:val="0"/>
              <w:spacing w:before="0" w:beforeAutospacing="0" w:after="0" w:afterAutospacing="0" w:line="360" w:lineRule="auto"/>
              <w:ind w:left="0" w:right="0" w:right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snapToGrid w:val="0"/>
                <w:color w:val="auto"/>
                <w:sz w:val="21"/>
                <w:szCs w:val="21"/>
                <w:highlight w:val="none"/>
                <w:lang w:val="en-US" w:eastAsia="zh-CN" w:bidi="ar-SA"/>
              </w:rPr>
              <w:t>2.各产品技术参数描述有要求提供证书或检测报告的，应按要求提供且检测报告均应具有“CMA”标识，否则视为无效报告或未提供；技术参数中有明确功能或数字指标参数的求的应提供厂品说明书或厂品制造商官方网页截图或其他证明材料；其他参数在技术响应表中具体列明偏离、响应情况；未提供或缺少提供都将作为负偏离影响技术得分。</w:t>
            </w:r>
          </w:p>
        </w:tc>
        <w:tc>
          <w:tcPr>
            <w:tcW w:w="592" w:type="dxa"/>
            <w:noWrap w:val="0"/>
            <w:vAlign w:val="center"/>
          </w:tcPr>
          <w:p w14:paraId="2BDA995F">
            <w:pPr>
              <w:keepNext w:val="0"/>
              <w:keepLines w:val="0"/>
              <w:pageBreakBefore w:val="0"/>
              <w:widowControl/>
              <w:suppressLineNumbers w:val="0"/>
              <w:kinsoku/>
              <w:wordWrap/>
              <w:overflowPunct/>
              <w:topLinePunct w:val="0"/>
              <w:bidi w:val="0"/>
              <w:spacing w:before="0" w:beforeAutospacing="0" w:after="0" w:afterAutospacing="0" w:line="336"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r>
              <w:rPr>
                <w:rFonts w:hint="eastAsia" w:ascii="宋体" w:hAnsi="宋体" w:eastAsia="宋体" w:cs="宋体"/>
                <w:color w:val="auto"/>
                <w:kern w:val="2"/>
                <w:sz w:val="21"/>
                <w:szCs w:val="21"/>
                <w:highlight w:val="none"/>
                <w:lang w:val="en-US" w:eastAsia="zh-CN" w:bidi="ar-SA"/>
              </w:rPr>
              <w:t>分</w:t>
            </w:r>
          </w:p>
        </w:tc>
      </w:tr>
      <w:tr w14:paraId="5EFB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520" w:type="dxa"/>
            <w:noWrap w:val="0"/>
            <w:vAlign w:val="center"/>
          </w:tcPr>
          <w:p w14:paraId="014255B0">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154" w:type="dxa"/>
            <w:noWrap w:val="0"/>
            <w:vAlign w:val="center"/>
          </w:tcPr>
          <w:p w14:paraId="51815F64">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实施方案和质量保障方案</w:t>
            </w:r>
          </w:p>
          <w:p w14:paraId="14ED2D1F">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（7分）</w:t>
            </w:r>
          </w:p>
        </w:tc>
        <w:tc>
          <w:tcPr>
            <w:tcW w:w="7043" w:type="dxa"/>
            <w:noWrap w:val="0"/>
            <w:vAlign w:val="center"/>
          </w:tcPr>
          <w:p w14:paraId="2B740FCA">
            <w:pPr>
              <w:keepNext w:val="0"/>
              <w:keepLines w:val="0"/>
              <w:pageBreakBefore w:val="0"/>
              <w:widowControl/>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针对各投标人依据本项目的实施方案和质量保障方案：</w:t>
            </w:r>
          </w:p>
          <w:p w14:paraId="59AA6529">
            <w:pPr>
              <w:keepNext w:val="0"/>
              <w:keepLines w:val="0"/>
              <w:pageBreakBefore w:val="0"/>
              <w:widowControl/>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1、制定的项目实施过程中安装质量、安全等科学性及合理性项目组织实施方案的全面性、科学性（0-5分）</w:t>
            </w:r>
          </w:p>
          <w:p w14:paraId="0335C670">
            <w:pPr>
              <w:pStyle w:val="29"/>
              <w:keepNext w:val="0"/>
              <w:keepLines w:val="0"/>
              <w:pageBreakBefore w:val="0"/>
              <w:suppressLineNumbers w:val="0"/>
              <w:wordWrap/>
              <w:overflowPunct/>
              <w:topLinePunct w:val="0"/>
              <w:bidi w:val="0"/>
              <w:spacing w:before="0" w:beforeAutospacing="0" w:after="0" w:afterAutospacing="0" w:line="360" w:lineRule="auto"/>
              <w:ind w:left="0" w:leftChars="0" w:right="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2、根据备品备件的供应方案及保障措施、故障抢修应急预案和保障措施。（0-2分）</w:t>
            </w:r>
          </w:p>
        </w:tc>
        <w:tc>
          <w:tcPr>
            <w:tcW w:w="592" w:type="dxa"/>
            <w:noWrap w:val="0"/>
            <w:vAlign w:val="center"/>
          </w:tcPr>
          <w:p w14:paraId="5DDB2FA9">
            <w:pPr>
              <w:keepNext w:val="0"/>
              <w:keepLines w:val="0"/>
              <w:pageBreakBefore w:val="0"/>
              <w:widowControl/>
              <w:suppressLineNumbers w:val="0"/>
              <w:kinsoku/>
              <w:wordWrap/>
              <w:overflowPunct/>
              <w:topLinePunct w:val="0"/>
              <w:bidi w:val="0"/>
              <w:spacing w:before="0" w:beforeAutospacing="0" w:after="0" w:afterAutospacing="0" w:line="336"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D0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noWrap w:val="0"/>
            <w:vAlign w:val="center"/>
          </w:tcPr>
          <w:p w14:paraId="30DF07EA">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54" w:type="dxa"/>
            <w:noWrap w:val="0"/>
            <w:vAlign w:val="center"/>
          </w:tcPr>
          <w:p w14:paraId="2B4E2CF1">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现场深化设计方案</w:t>
            </w:r>
          </w:p>
          <w:p w14:paraId="4261A90C">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043" w:type="dxa"/>
            <w:noWrap w:val="0"/>
            <w:vAlign w:val="center"/>
          </w:tcPr>
          <w:p w14:paraId="33CD8D0D">
            <w:pPr>
              <w:pStyle w:val="2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投标人通过招标文件及自行去现场勘察，进行（序号1：主题游戏器械）深化设计方案和图纸设计，专家评委根据投标单位提供的本次采购项目所在幼儿园户外场景的详细设计方案进行横向对比，并综合打分。</w:t>
            </w:r>
          </w:p>
          <w:p w14:paraId="3B1502D2">
            <w:pPr>
              <w:pStyle w:val="2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整体场景规划图及产品效果图（必须根据招标文件提供的主题游戏器械区采购货物清单中规格要求制作规划图及效果图，规划图需各功能区域规划明确，落位合理、设计详细、动线合理，效果图需详细且清晰展示产品整体外观，产品色彩，造型细节。</w:t>
            </w:r>
            <w:r>
              <w:rPr>
                <w:rFonts w:hint="eastAsia" w:ascii="宋体" w:hAnsi="宋体" w:eastAsia="宋体" w:cs="宋体"/>
                <w:color w:val="auto"/>
                <w:sz w:val="21"/>
                <w:szCs w:val="21"/>
                <w:highlight w:val="none"/>
                <w:lang w:val="en-US" w:eastAsia="zh-CN"/>
              </w:rPr>
              <w:t>（0-5分）</w:t>
            </w:r>
          </w:p>
          <w:p w14:paraId="0E0FCC70">
            <w:pPr>
              <w:pStyle w:val="2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产品安装定位施工图及重点产品详细图纸（必须根据招标文件提供的主题游戏器械区采购货物清单规格以及幼儿园实际场地制作详细尺寸定位施工图，包括坐标定位图、设备安装预埋基础图纸，产品安装定位施工图，重点产品的平面图、立面图等，具有较强的合理性和可操作性、图纸内容完整且详细。</w:t>
            </w:r>
            <w:r>
              <w:rPr>
                <w:rFonts w:hint="eastAsia" w:ascii="宋体" w:hAnsi="宋体" w:eastAsia="宋体" w:cs="宋体"/>
                <w:color w:val="auto"/>
                <w:sz w:val="21"/>
                <w:szCs w:val="21"/>
                <w:highlight w:val="none"/>
                <w:lang w:val="en-US" w:eastAsia="zh-CN"/>
              </w:rPr>
              <w:t>（0-5分）</w:t>
            </w:r>
          </w:p>
        </w:tc>
        <w:tc>
          <w:tcPr>
            <w:tcW w:w="592" w:type="dxa"/>
            <w:noWrap w:val="0"/>
            <w:vAlign w:val="center"/>
          </w:tcPr>
          <w:p w14:paraId="0DDF947E">
            <w:pPr>
              <w:keepNext w:val="0"/>
              <w:keepLines w:val="0"/>
              <w:pageBreakBefore w:val="0"/>
              <w:widowControl/>
              <w:suppressLineNumbers w:val="0"/>
              <w:kinsoku/>
              <w:wordWrap/>
              <w:overflowPunct/>
              <w:topLinePunct w:val="0"/>
              <w:bidi w:val="0"/>
              <w:spacing w:before="0" w:beforeAutospacing="0" w:after="0" w:afterAutospacing="0" w:line="336"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20FA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0" w:type="dxa"/>
            <w:noWrap w:val="0"/>
            <w:vAlign w:val="center"/>
          </w:tcPr>
          <w:p w14:paraId="2A7D7B4D">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54" w:type="dxa"/>
            <w:noWrap w:val="0"/>
            <w:vAlign w:val="center"/>
          </w:tcPr>
          <w:p w14:paraId="610F6FE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w:t>
            </w:r>
          </w:p>
          <w:p w14:paraId="73B03DBF">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w:t>
            </w:r>
          </w:p>
          <w:p w14:paraId="0272CBFA">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7043" w:type="dxa"/>
            <w:noWrap w:val="0"/>
            <w:vAlign w:val="center"/>
          </w:tcPr>
          <w:p w14:paraId="179E61F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针对投标人提供的培训内容、培训方式及场次、人员安排、产品使用期间的安全注意事项及应对措施等进行综合评分。（0-2分）</w:t>
            </w:r>
          </w:p>
        </w:tc>
        <w:tc>
          <w:tcPr>
            <w:tcW w:w="592" w:type="dxa"/>
            <w:noWrap w:val="0"/>
            <w:vAlign w:val="center"/>
          </w:tcPr>
          <w:p w14:paraId="358A1268">
            <w:pPr>
              <w:keepNext w:val="0"/>
              <w:keepLines w:val="0"/>
              <w:pageBreakBefore w:val="0"/>
              <w:widowControl/>
              <w:suppressLineNumbers w:val="0"/>
              <w:kinsoku/>
              <w:wordWrap/>
              <w:overflowPunct/>
              <w:topLinePunct w:val="0"/>
              <w:bidi w:val="0"/>
              <w:spacing w:before="0" w:beforeAutospacing="0" w:after="0" w:afterAutospacing="0" w:line="336"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FDF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20" w:type="dxa"/>
            <w:vMerge w:val="restart"/>
            <w:noWrap w:val="0"/>
            <w:vAlign w:val="center"/>
          </w:tcPr>
          <w:p w14:paraId="3A88F4EB">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54" w:type="dxa"/>
            <w:vMerge w:val="restart"/>
            <w:noWrap w:val="0"/>
            <w:vAlign w:val="center"/>
          </w:tcPr>
          <w:p w14:paraId="5ACEA8CD">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售后服务（5分）</w:t>
            </w:r>
          </w:p>
        </w:tc>
        <w:tc>
          <w:tcPr>
            <w:tcW w:w="7043" w:type="dxa"/>
            <w:noWrap w:val="0"/>
            <w:vAlign w:val="center"/>
          </w:tcPr>
          <w:p w14:paraId="7B23E11C">
            <w:pPr>
              <w:pStyle w:val="29"/>
              <w:keepNext w:val="0"/>
              <w:keepLines w:val="0"/>
              <w:pageBreakBefore w:val="0"/>
              <w:suppressLineNumbers w:val="0"/>
              <w:wordWrap/>
              <w:overflowPunct/>
              <w:topLinePunct w:val="0"/>
              <w:bidi w:val="0"/>
              <w:spacing w:before="0" w:beforeAutospacing="0" w:after="0" w:afterAutospacing="0" w:line="360" w:lineRule="auto"/>
              <w:ind w:left="0" w:leftChars="0" w:right="0"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根据投标人（售后服务网点）故障响应时间和到达用户现场时间长短进行打分[需提供相关有效材料（如协作的，则另需提供协议书、电话、维修人员名单等）的扫描件。（0-2分）</w:t>
            </w:r>
            <w:bookmarkStart w:id="34" w:name="_GoBack"/>
            <w:bookmarkEnd w:id="34"/>
          </w:p>
        </w:tc>
        <w:tc>
          <w:tcPr>
            <w:tcW w:w="592" w:type="dxa"/>
            <w:noWrap w:val="0"/>
            <w:vAlign w:val="center"/>
          </w:tcPr>
          <w:p w14:paraId="116349D0">
            <w:pPr>
              <w:pStyle w:val="29"/>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0330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20" w:type="dxa"/>
            <w:vMerge w:val="continue"/>
            <w:noWrap w:val="0"/>
            <w:vAlign w:val="center"/>
          </w:tcPr>
          <w:p w14:paraId="0A56C429">
            <w:pPr>
              <w:pStyle w:val="29"/>
              <w:keepNext w:val="0"/>
              <w:keepLines w:val="0"/>
              <w:pageBreakBefore w:val="0"/>
              <w:suppressLineNumbers w:val="0"/>
              <w:wordWrap/>
              <w:overflowPunct/>
              <w:topLinePunct w:val="0"/>
              <w:bidi w:val="0"/>
              <w:spacing w:before="0" w:beforeAutospacing="0" w:after="0" w:afterAutospacing="0" w:line="360" w:lineRule="auto"/>
              <w:ind w:left="0" w:leftChars="0" w:right="0" w:firstLine="0" w:firstLineChars="0"/>
            </w:pPr>
          </w:p>
        </w:tc>
        <w:tc>
          <w:tcPr>
            <w:tcW w:w="1154" w:type="dxa"/>
            <w:vMerge w:val="continue"/>
            <w:noWrap w:val="0"/>
            <w:vAlign w:val="center"/>
          </w:tcPr>
          <w:p w14:paraId="402A6D22">
            <w:pPr>
              <w:pStyle w:val="29"/>
              <w:keepNext w:val="0"/>
              <w:keepLines w:val="0"/>
              <w:pageBreakBefore w:val="0"/>
              <w:suppressLineNumbers w:val="0"/>
              <w:wordWrap/>
              <w:overflowPunct/>
              <w:topLinePunct w:val="0"/>
              <w:bidi w:val="0"/>
              <w:spacing w:before="0" w:beforeAutospacing="0" w:after="0" w:afterAutospacing="0" w:line="360" w:lineRule="auto"/>
              <w:ind w:left="0" w:leftChars="0" w:right="0" w:firstLine="0" w:firstLineChars="0"/>
            </w:pPr>
          </w:p>
        </w:tc>
        <w:tc>
          <w:tcPr>
            <w:tcW w:w="7043" w:type="dxa"/>
            <w:noWrap w:val="0"/>
            <w:vAlign w:val="center"/>
          </w:tcPr>
          <w:p w14:paraId="7B56C529">
            <w:pPr>
              <w:pStyle w:val="29"/>
              <w:keepNext w:val="0"/>
              <w:keepLines w:val="0"/>
              <w:pageBreakBefore w:val="0"/>
              <w:suppressLineNumbers w:val="0"/>
              <w:wordWrap/>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2、根据投标人承诺的质保期限进行打分，承诺3年基本质保期不得分，每增加一年得1分，最多得3分。（0-3分）</w:t>
            </w:r>
          </w:p>
        </w:tc>
        <w:tc>
          <w:tcPr>
            <w:tcW w:w="592" w:type="dxa"/>
            <w:noWrap w:val="0"/>
            <w:vAlign w:val="center"/>
          </w:tcPr>
          <w:p w14:paraId="79E658C2">
            <w:pPr>
              <w:pStyle w:val="29"/>
              <w:keepNext w:val="0"/>
              <w:keepLines w:val="0"/>
              <w:pageBreakBefore w:val="0"/>
              <w:suppressLineNumbers w:val="0"/>
              <w:wordWrap/>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4FE2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520" w:type="dxa"/>
            <w:noWrap w:val="0"/>
            <w:vAlign w:val="center"/>
          </w:tcPr>
          <w:p w14:paraId="27B08E6A">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154" w:type="dxa"/>
            <w:noWrap w:val="0"/>
            <w:vAlign w:val="center"/>
          </w:tcPr>
          <w:p w14:paraId="32ECE847">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政策分</w:t>
            </w:r>
          </w:p>
          <w:p w14:paraId="38492CBF">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7043" w:type="dxa"/>
            <w:noWrap w:val="0"/>
            <w:vAlign w:val="center"/>
          </w:tcPr>
          <w:p w14:paraId="77A8E43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投标产品属于《节能产品政府采购品目清单》范围（已列入强制要求的除外），且具有国家确定的认证机构出具的、处于有效期之内节能产品认证证书的，得0.5分；</w:t>
            </w:r>
          </w:p>
          <w:p w14:paraId="786D2E7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投标产品属于《环境标志产品政府采购品目清单》范围，且具有国家确定的认证机构出具的、处于有效期之内的环境标志产品认证证书的，得0.5分。</w:t>
            </w:r>
          </w:p>
          <w:p w14:paraId="1695DFCD">
            <w:pPr>
              <w:pStyle w:val="29"/>
              <w:rPr>
                <w:rFonts w:hint="eastAsia"/>
                <w:color w:val="auto"/>
                <w:highlight w:val="none"/>
                <w:lang w:val="en-US" w:eastAsia="zh-CN"/>
              </w:rPr>
            </w:pPr>
          </w:p>
        </w:tc>
        <w:tc>
          <w:tcPr>
            <w:tcW w:w="592" w:type="dxa"/>
            <w:noWrap w:val="0"/>
            <w:vAlign w:val="center"/>
          </w:tcPr>
          <w:p w14:paraId="1EED8374">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E28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520" w:type="dxa"/>
            <w:noWrap w:val="0"/>
            <w:vAlign w:val="center"/>
          </w:tcPr>
          <w:p w14:paraId="04B69053">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54" w:type="dxa"/>
            <w:noWrap w:val="0"/>
            <w:vAlign w:val="center"/>
          </w:tcPr>
          <w:p w14:paraId="475BAA8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报价文件</w:t>
            </w:r>
          </w:p>
          <w:p w14:paraId="74C00C3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评分办法</w:t>
            </w:r>
          </w:p>
          <w:p w14:paraId="23EB522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（30分） </w:t>
            </w:r>
          </w:p>
        </w:tc>
        <w:tc>
          <w:tcPr>
            <w:tcW w:w="7043" w:type="dxa"/>
            <w:noWrap w:val="0"/>
            <w:vAlign w:val="center"/>
          </w:tcPr>
          <w:p w14:paraId="0231B79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615ABA7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443F985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3301D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p>
        </w:tc>
        <w:tc>
          <w:tcPr>
            <w:tcW w:w="592" w:type="dxa"/>
            <w:noWrap w:val="0"/>
            <w:vAlign w:val="center"/>
          </w:tcPr>
          <w:p w14:paraId="2CF430AB">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sz w:val="21"/>
                <w:szCs w:val="21"/>
                <w:highlight w:val="none"/>
                <w:lang w:val="en-US" w:eastAsia="zh-CN"/>
              </w:rPr>
            </w:pPr>
          </w:p>
        </w:tc>
      </w:tr>
    </w:tbl>
    <w:p w14:paraId="167F16E8">
      <w:pPr>
        <w:spacing w:line="360" w:lineRule="auto"/>
        <w:ind w:firstLine="470" w:firstLineChars="196"/>
        <w:rPr>
          <w:rFonts w:hint="eastAsia" w:asciiTheme="minorEastAsia" w:hAnsiTheme="minorEastAsia" w:eastAsiaTheme="minorEastAsia" w:cstheme="minorEastAsia"/>
          <w:color w:val="auto"/>
          <w:kern w:val="0"/>
          <w:sz w:val="24"/>
          <w:szCs w:val="24"/>
          <w:highlight w:val="none"/>
        </w:rPr>
      </w:pPr>
    </w:p>
    <w:p w14:paraId="6D7FA9A2">
      <w:pPr>
        <w:spacing w:line="360" w:lineRule="auto"/>
        <w:ind w:firstLine="470" w:firstLineChars="196"/>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采用综合评分法，总分为100分，其中技术商务分70分、价格分30分二部分，先评技术商务标，再开报价。各投标人的最终得分=技术商务得分+报价得分，投标人按最终得分由高到低顺序排列，最终得分相同的，按投标报价由低到高顺序排列；最终得分且投标报价均相同的，以抽签决定排列先后。排名第一的投标人为第一中标候选人,排名第二的投标人为第二中标候选人。评分过程中采用四舍五入法，评委打分分值保留小数点后1位，统计或计算分值精确到小数点后2位。</w:t>
      </w:r>
    </w:p>
    <w:p w14:paraId="559B8DB5">
      <w:pPr>
        <w:adjustRightInd w:val="0"/>
        <w:snapToGrid w:val="0"/>
        <w:spacing w:line="440" w:lineRule="exact"/>
        <w:outlineLvl w:val="1"/>
        <w:rPr>
          <w:rFonts w:ascii="宋体" w:hAnsi="宋体" w:eastAsia="宋体" w:cs="宋体"/>
          <w:b/>
          <w:color w:val="auto"/>
          <w:sz w:val="28"/>
          <w:szCs w:val="28"/>
          <w:highlight w:val="none"/>
        </w:rPr>
      </w:pPr>
      <w:bookmarkStart w:id="14" w:name="_Toc22739"/>
      <w:bookmarkStart w:id="15" w:name="_Toc8152"/>
      <w:bookmarkStart w:id="16" w:name="_Toc23250"/>
      <w:bookmarkStart w:id="17" w:name="_Toc22601"/>
      <w:bookmarkStart w:id="18" w:name="_Toc27046"/>
      <w:r>
        <w:rPr>
          <w:rFonts w:ascii="宋体" w:hAnsi="宋体" w:eastAsia="宋体" w:cs="宋体"/>
          <w:b/>
          <w:color w:val="auto"/>
          <w:sz w:val="28"/>
          <w:szCs w:val="28"/>
          <w:highlight w:val="none"/>
        </w:rPr>
        <w:t>二、评标组织</w:t>
      </w:r>
      <w:bookmarkEnd w:id="14"/>
      <w:bookmarkEnd w:id="15"/>
      <w:bookmarkEnd w:id="16"/>
      <w:bookmarkEnd w:id="17"/>
      <w:bookmarkEnd w:id="18"/>
    </w:p>
    <w:p w14:paraId="4B983B49">
      <w:pPr>
        <w:spacing w:line="440" w:lineRule="exact"/>
        <w:ind w:firstLine="470" w:firstLineChars="196"/>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标工作由招标采购人负责组织，依法组建由奇数的人员组成的评标委员会，负责对投标文件进行审查、质询、评审等。评标委员会由采购人代表和评审专家组成，成员人数为5人或以上单数，其中评审专家不得少于成员总数的三分之二。</w:t>
      </w:r>
      <w:bookmarkStart w:id="19" w:name="_Toc249760792"/>
      <w:bookmarkStart w:id="20" w:name="_Toc251566663"/>
    </w:p>
    <w:bookmarkEnd w:id="19"/>
    <w:bookmarkEnd w:id="20"/>
    <w:p w14:paraId="2A2733E4">
      <w:pPr>
        <w:spacing w:line="360" w:lineRule="auto"/>
        <w:outlineLvl w:val="1"/>
        <w:rPr>
          <w:rFonts w:asciiTheme="minorEastAsia" w:hAnsiTheme="minorEastAsia" w:eastAsiaTheme="minorEastAsia" w:cstheme="minorEastAsia"/>
          <w:color w:val="auto"/>
          <w:kern w:val="0"/>
          <w:sz w:val="28"/>
          <w:szCs w:val="28"/>
          <w:highlight w:val="none"/>
        </w:rPr>
      </w:pPr>
      <w:r>
        <w:rPr>
          <w:rFonts w:ascii="宋体" w:hAnsi="宋体" w:eastAsia="宋体" w:cs="宋体"/>
          <w:b/>
          <w:color w:val="auto"/>
          <w:sz w:val="28"/>
          <w:szCs w:val="28"/>
          <w:highlight w:val="none"/>
        </w:rPr>
        <w:t>三</w:t>
      </w:r>
      <w:r>
        <w:rPr>
          <w:rFonts w:asciiTheme="minorEastAsia" w:hAnsiTheme="minorEastAsia" w:eastAsiaTheme="minorEastAsia" w:cstheme="minorEastAsia"/>
          <w:b/>
          <w:color w:val="auto"/>
          <w:sz w:val="28"/>
          <w:szCs w:val="28"/>
          <w:highlight w:val="none"/>
        </w:rPr>
        <w:t>、评标标准</w:t>
      </w:r>
    </w:p>
    <w:p w14:paraId="3CFE7989">
      <w:pPr>
        <w:adjustRightInd w:val="0"/>
        <w:spacing w:line="360" w:lineRule="auto"/>
        <w:ind w:firstLine="472" w:firstLineChars="196"/>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t>2.评标标准：</w:t>
      </w:r>
      <w:r>
        <w:rPr>
          <w:rFonts w:asciiTheme="minorEastAsia" w:hAnsiTheme="minorEastAsia" w:eastAsiaTheme="minorEastAsia" w:cstheme="minorEastAsia"/>
          <w:color w:val="auto"/>
          <w:kern w:val="0"/>
          <w:sz w:val="24"/>
          <w:szCs w:val="24"/>
          <w:highlight w:val="none"/>
        </w:rPr>
        <w:t>见评标办法前附表。</w:t>
      </w:r>
    </w:p>
    <w:p w14:paraId="09895018">
      <w:pPr>
        <w:adjustRightInd w:val="0"/>
        <w:spacing w:line="440" w:lineRule="exact"/>
        <w:outlineLvl w:val="1"/>
        <w:rPr>
          <w:rFonts w:ascii="宋体" w:hAnsi="宋体" w:eastAsia="宋体" w:cs="宋体"/>
          <w:b/>
          <w:color w:val="auto"/>
          <w:sz w:val="28"/>
          <w:szCs w:val="28"/>
          <w:highlight w:val="none"/>
        </w:rPr>
      </w:pPr>
      <w:r>
        <w:rPr>
          <w:rFonts w:ascii="宋体" w:hAnsi="宋体" w:eastAsia="宋体" w:cs="宋体"/>
          <w:b/>
          <w:color w:val="auto"/>
          <w:sz w:val="28"/>
          <w:szCs w:val="28"/>
          <w:highlight w:val="none"/>
        </w:rPr>
        <w:t>四、评标程序</w:t>
      </w:r>
    </w:p>
    <w:p w14:paraId="73D25B98">
      <w:pPr>
        <w:adjustRightInd w:val="0"/>
        <w:spacing w:line="440" w:lineRule="exact"/>
        <w:ind w:firstLine="472" w:firstLineChars="196"/>
        <w:rPr>
          <w:rFonts w:ascii="宋体" w:hAnsi="宋体" w:eastAsia="宋体" w:cs="宋体"/>
          <w:color w:val="auto"/>
          <w:kern w:val="0"/>
          <w:sz w:val="24"/>
          <w:szCs w:val="24"/>
          <w:highlight w:val="none"/>
        </w:rPr>
      </w:pPr>
      <w:r>
        <w:rPr>
          <w:rFonts w:ascii="宋体" w:hAnsi="宋体" w:eastAsia="宋体" w:cs="宋体"/>
          <w:b/>
          <w:color w:val="auto"/>
          <w:kern w:val="0"/>
          <w:sz w:val="24"/>
          <w:szCs w:val="24"/>
          <w:highlight w:val="none"/>
        </w:rPr>
        <w:t>4.1 符合性审查。</w:t>
      </w:r>
      <w:r>
        <w:rPr>
          <w:rFonts w:ascii="宋体" w:hAnsi="宋体" w:eastAsia="宋体" w:cs="宋体"/>
          <w:color w:val="auto"/>
          <w:kern w:val="0"/>
          <w:sz w:val="24"/>
          <w:szCs w:val="24"/>
          <w:highlight w:val="none"/>
        </w:rPr>
        <w:t>评标委员会应当对符合资格的投标人的投标文件进行符合性审查，以确定其是否满足采购文件的实质性要求。不满足采购文件的实质性要求的，投标无效，具体详见“5.2投标无效”。</w:t>
      </w:r>
    </w:p>
    <w:p w14:paraId="6810BCDE">
      <w:pPr>
        <w:adjustRightInd w:val="0"/>
        <w:spacing w:line="440" w:lineRule="exact"/>
        <w:ind w:firstLine="472" w:firstLineChars="196"/>
        <w:rPr>
          <w:rFonts w:ascii="宋体" w:hAnsi="宋体" w:eastAsia="宋体" w:cs="宋体"/>
          <w:color w:val="auto"/>
          <w:kern w:val="0"/>
          <w:sz w:val="24"/>
          <w:szCs w:val="24"/>
          <w:highlight w:val="none"/>
        </w:rPr>
      </w:pPr>
      <w:r>
        <w:rPr>
          <w:rFonts w:ascii="宋体" w:hAnsi="宋体" w:eastAsia="宋体" w:cs="宋体"/>
          <w:b/>
          <w:color w:val="auto"/>
          <w:kern w:val="0"/>
          <w:sz w:val="24"/>
          <w:szCs w:val="24"/>
          <w:highlight w:val="none"/>
        </w:rPr>
        <w:t>4.2 比较与评价。</w:t>
      </w:r>
      <w:r>
        <w:rPr>
          <w:rFonts w:ascii="宋体" w:hAnsi="宋体" w:eastAsia="宋体" w:cs="宋体"/>
          <w:color w:val="auto"/>
          <w:kern w:val="0"/>
          <w:sz w:val="24"/>
          <w:szCs w:val="24"/>
          <w:highlight w:val="none"/>
        </w:rPr>
        <w:t>评标委员会应当按照采购文件中规定的评标方法和标准，对符合性审查合格的投标文件进行商务和技术评估，综合比较与评价。不满足采购文件的实质性要求的，投标无效，具体详见“5.2投标无效”。</w:t>
      </w:r>
    </w:p>
    <w:p w14:paraId="652A8B27">
      <w:pPr>
        <w:adjustRightInd w:val="0"/>
        <w:spacing w:line="440" w:lineRule="exact"/>
        <w:ind w:firstLine="472" w:firstLineChars="196"/>
        <w:rPr>
          <w:rFonts w:ascii="宋体" w:hAnsi="宋体" w:eastAsia="宋体" w:cs="宋体"/>
          <w:color w:val="auto"/>
          <w:kern w:val="0"/>
          <w:sz w:val="24"/>
          <w:szCs w:val="24"/>
          <w:highlight w:val="none"/>
        </w:rPr>
      </w:pPr>
      <w:r>
        <w:rPr>
          <w:rFonts w:ascii="宋体" w:hAnsi="宋体" w:eastAsia="宋体" w:cs="宋体"/>
          <w:b/>
          <w:color w:val="auto"/>
          <w:kern w:val="0"/>
          <w:sz w:val="24"/>
          <w:szCs w:val="24"/>
          <w:highlight w:val="none"/>
        </w:rPr>
        <w:t>4.3 汇总商务技术得分。</w:t>
      </w:r>
      <w:r>
        <w:rPr>
          <w:rFonts w:ascii="宋体" w:hAnsi="宋体" w:eastAsia="宋体" w:cs="宋体"/>
          <w:color w:val="auto"/>
          <w:kern w:val="0"/>
          <w:sz w:val="24"/>
          <w:szCs w:val="24"/>
          <w:highlight w:val="none"/>
        </w:rPr>
        <w:t>评标委员会各成员应当独立对每个投标人的商务和技术文件进行评价，汇总各评委打分的算术平均值（小数点后保留二位数），并汇总商务技术得分情况。在统计得分时，如发现某一单项评分超过评分细则规定的分值范围，则该张评分表无效。</w:t>
      </w:r>
    </w:p>
    <w:p w14:paraId="2C2956B3">
      <w:pPr>
        <w:adjustRightInd w:val="0"/>
        <w:spacing w:line="440" w:lineRule="exact"/>
        <w:ind w:firstLine="472" w:firstLineChars="196"/>
        <w:rPr>
          <w:rFonts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t>4.4 报价评审。</w:t>
      </w:r>
    </w:p>
    <w:p w14:paraId="48EFCA59">
      <w:pPr>
        <w:adjustRightInd w:val="0"/>
        <w:spacing w:line="440" w:lineRule="exact"/>
        <w:ind w:firstLine="511" w:firstLineChars="212"/>
        <w:rPr>
          <w:rFonts w:ascii="宋体" w:hAnsi="宋体" w:eastAsia="宋体" w:cs="宋体"/>
          <w:b/>
          <w:bCs/>
          <w:color w:val="auto"/>
          <w:kern w:val="0"/>
          <w:sz w:val="24"/>
          <w:highlight w:val="none"/>
        </w:rPr>
      </w:pPr>
      <w:r>
        <w:rPr>
          <w:rFonts w:ascii="宋体" w:hAnsi="宋体" w:eastAsia="宋体" w:cs="宋体"/>
          <w:b/>
          <w:color w:val="auto"/>
          <w:kern w:val="0"/>
          <w:sz w:val="24"/>
          <w:szCs w:val="24"/>
          <w:highlight w:val="none"/>
        </w:rPr>
        <w:t>4</w:t>
      </w:r>
      <w:r>
        <w:rPr>
          <w:rFonts w:ascii="宋体" w:hAnsi="宋体" w:eastAsia="宋体" w:cs="宋体"/>
          <w:b/>
          <w:bCs/>
          <w:color w:val="auto"/>
          <w:kern w:val="0"/>
          <w:sz w:val="24"/>
          <w:highlight w:val="none"/>
        </w:rPr>
        <w:t>.4.1 投标文件报价出现前后不一致的，按照下列规定修正：</w:t>
      </w:r>
    </w:p>
    <w:p w14:paraId="32329073">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4.4.1.1 投标文件中开标一览表(报价表)内容与投标文件中相应内容不一致的，以开标一览表(报价表)为准;</w:t>
      </w:r>
    </w:p>
    <w:p w14:paraId="58DC56A1">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4.4.1.2 大写金额和小写金额不一致的，以大写金额为准;</w:t>
      </w:r>
    </w:p>
    <w:p w14:paraId="17F449F0">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4.4.1.3 单价金额小数点或者百分比有明显错位的，以开标一览表的总价为准，并修改单价;</w:t>
      </w:r>
    </w:p>
    <w:p w14:paraId="11C541CD">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4.4.1.4 总价金额与按单价汇总金额不一致的，以单价金额计算结果为准。</w:t>
      </w:r>
    </w:p>
    <w:p w14:paraId="5779FF22">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4.4.1.5 同时出现两种以上不一致的，按照4.4.1规定的顺序修正。修正后的报价按照财政部第87号令 《政府采购货物和服务招标投标管理办法》第五十一条第二款的规定经投标人确认后产生约束力。</w:t>
      </w:r>
    </w:p>
    <w:p w14:paraId="7E3D94E3">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4.4.2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B85CAFE">
      <w:pPr>
        <w:adjustRightInd w:val="0"/>
        <w:spacing w:line="440" w:lineRule="exact"/>
        <w:ind w:firstLine="482" w:firstLineChars="200"/>
        <w:rPr>
          <w:rFonts w:ascii="宋体" w:hAnsi="宋体" w:eastAsia="宋体" w:cs="宋体"/>
          <w:color w:val="auto"/>
          <w:kern w:val="0"/>
          <w:sz w:val="24"/>
          <w:szCs w:val="24"/>
          <w:highlight w:val="none"/>
        </w:rPr>
      </w:pPr>
      <w:r>
        <w:rPr>
          <w:rFonts w:ascii="宋体" w:hAnsi="宋体" w:eastAsia="宋体" w:cs="宋体"/>
          <w:b/>
          <w:color w:val="auto"/>
          <w:kern w:val="0"/>
          <w:sz w:val="24"/>
          <w:szCs w:val="24"/>
          <w:highlight w:val="none"/>
        </w:rPr>
        <w:t>4.5 排序与推荐。</w:t>
      </w:r>
      <w:r>
        <w:rPr>
          <w:rFonts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均相同的，以抽签决定排列先后。投标文件满足采购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w:t>
      </w:r>
    </w:p>
    <w:p w14:paraId="76C935EE">
      <w:pPr>
        <w:adjustRightInd w:val="0"/>
        <w:spacing w:line="440" w:lineRule="exact"/>
        <w:ind w:firstLine="480" w:firstLineChars="200"/>
        <w:rPr>
          <w:rFonts w:ascii="宋体" w:hAnsi="宋体" w:eastAsia="宋体" w:cs="宋体"/>
          <w:b/>
          <w:color w:val="auto"/>
          <w:kern w:val="0"/>
          <w:sz w:val="24"/>
          <w:szCs w:val="24"/>
          <w:highlight w:val="none"/>
        </w:rPr>
      </w:pPr>
      <w:r>
        <w:rPr>
          <w:rFonts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26EC7D">
      <w:pPr>
        <w:adjustRightInd w:val="0"/>
        <w:spacing w:line="440" w:lineRule="exact"/>
        <w:ind w:firstLine="472" w:firstLineChars="196"/>
        <w:rPr>
          <w:rFonts w:ascii="宋体" w:hAnsi="宋体" w:eastAsia="宋体" w:cs="宋体"/>
          <w:color w:val="auto"/>
          <w:kern w:val="0"/>
          <w:sz w:val="24"/>
          <w:szCs w:val="24"/>
          <w:highlight w:val="none"/>
        </w:rPr>
      </w:pPr>
      <w:r>
        <w:rPr>
          <w:rFonts w:ascii="宋体" w:hAnsi="宋体" w:eastAsia="宋体" w:cs="宋体"/>
          <w:b/>
          <w:color w:val="auto"/>
          <w:kern w:val="0"/>
          <w:sz w:val="24"/>
          <w:szCs w:val="24"/>
          <w:highlight w:val="none"/>
        </w:rPr>
        <w:t>4.6 编写评标报告。</w:t>
      </w:r>
      <w:r>
        <w:rPr>
          <w:rFonts w:ascii="宋体" w:hAnsi="宋体" w:eastAsia="宋体" w:cs="宋体"/>
          <w:color w:val="auto"/>
          <w:kern w:val="0"/>
          <w:sz w:val="24"/>
          <w:szCs w:val="24"/>
          <w:highlight w:val="none"/>
        </w:rPr>
        <w:t>评标委员会根据全体评标成员签字的原始评标记录和评标结果编写评标报告</w:t>
      </w:r>
      <w:r>
        <w:rPr>
          <w:rFonts w:ascii="宋体" w:hAnsi="宋体" w:eastAsia="宋体" w:cs="宋体"/>
          <w:color w:val="auto"/>
          <w:sz w:val="24"/>
          <w:szCs w:val="24"/>
          <w:highlight w:val="none"/>
        </w:rPr>
        <w:t>并签字确认。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04B4929">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评标报告是评标委员会根据全体评标成员签字的原始评标记录和评标结果编写的报告，其主要内容包括：</w:t>
      </w:r>
    </w:p>
    <w:p w14:paraId="334263E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（1）采购公告刊登的媒体名称、开标日期和地点；</w:t>
      </w:r>
    </w:p>
    <w:p w14:paraId="14FEEBEF">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（2）购买采购文件的投标人名单和评标委员会成员名单；</w:t>
      </w:r>
    </w:p>
    <w:p w14:paraId="12ADFBF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（3）评标方法和标准；</w:t>
      </w:r>
    </w:p>
    <w:p w14:paraId="37A78819">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（4）开标记录和评标情况及说明，包括投标无效投标人名单及原因；</w:t>
      </w:r>
    </w:p>
    <w:p w14:paraId="311CF35C">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（5）评标结果和中标候选人排序。</w:t>
      </w:r>
    </w:p>
    <w:p w14:paraId="3EB0E6D1">
      <w:pPr>
        <w:adjustRightInd w:val="0"/>
        <w:spacing w:line="440" w:lineRule="exact"/>
        <w:outlineLvl w:val="1"/>
        <w:rPr>
          <w:rFonts w:ascii="宋体" w:hAnsi="宋体" w:eastAsia="宋体" w:cs="宋体"/>
          <w:b/>
          <w:color w:val="auto"/>
          <w:sz w:val="28"/>
          <w:szCs w:val="28"/>
          <w:highlight w:val="none"/>
        </w:rPr>
      </w:pPr>
      <w:r>
        <w:rPr>
          <w:rFonts w:ascii="宋体" w:hAnsi="宋体" w:eastAsia="宋体" w:cs="宋体"/>
          <w:b/>
          <w:color w:val="auto"/>
          <w:sz w:val="28"/>
          <w:szCs w:val="28"/>
          <w:highlight w:val="none"/>
        </w:rPr>
        <w:t>五、评标中的其他事项</w:t>
      </w:r>
    </w:p>
    <w:p w14:paraId="2393A3F6">
      <w:pPr>
        <w:adjustRightInd w:val="0"/>
        <w:snapToGrid w:val="0"/>
        <w:spacing w:line="440" w:lineRule="exact"/>
        <w:ind w:firstLine="482" w:firstLineChars="200"/>
        <w:rPr>
          <w:rFonts w:ascii="宋体" w:hAnsi="宋体" w:eastAsia="宋体" w:cs="宋体"/>
          <w:color w:val="auto"/>
          <w:sz w:val="24"/>
          <w:szCs w:val="24"/>
          <w:highlight w:val="none"/>
        </w:rPr>
      </w:pPr>
      <w:r>
        <w:rPr>
          <w:rFonts w:ascii="宋体" w:hAnsi="宋体" w:eastAsia="宋体" w:cs="宋体"/>
          <w:b/>
          <w:color w:val="auto"/>
          <w:kern w:val="0"/>
          <w:sz w:val="24"/>
          <w:szCs w:val="24"/>
          <w:highlight w:val="none"/>
        </w:rPr>
        <w:t>5.1 投标人澄清、说明或者补正。</w:t>
      </w:r>
      <w:r>
        <w:rPr>
          <w:rFonts w:ascii="宋体" w:hAnsi="宋体" w:eastAsia="宋体" w:cs="宋体"/>
          <w:color w:val="auto"/>
          <w:sz w:val="24"/>
          <w:szCs w:val="24"/>
          <w:highlight w:val="none"/>
        </w:rPr>
        <w:t>在评标期间，对</w:t>
      </w:r>
      <w:r>
        <w:rPr>
          <w:rFonts w:ascii="宋体" w:hAnsi="宋体" w:eastAsia="宋体" w:cs="宋体"/>
          <w:color w:val="auto"/>
          <w:kern w:val="0"/>
          <w:sz w:val="24"/>
          <w:szCs w:val="24"/>
          <w:highlight w:val="none"/>
        </w:rPr>
        <w:t>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w:t>
      </w:r>
      <w:r>
        <w:rPr>
          <w:rFonts w:ascii="宋体" w:hAnsi="宋体" w:eastAsia="宋体" w:cs="宋体"/>
          <w:color w:val="auto"/>
          <w:sz w:val="24"/>
          <w:szCs w:val="24"/>
          <w:highlight w:val="none"/>
        </w:rPr>
        <w:t>30分钟</w:t>
      </w:r>
      <w:r>
        <w:rPr>
          <w:rFonts w:ascii="宋体" w:hAnsi="宋体" w:eastAsia="宋体" w:cs="宋体"/>
          <w:color w:val="auto"/>
          <w:kern w:val="0"/>
          <w:sz w:val="24"/>
          <w:szCs w:val="24"/>
          <w:highlight w:val="none"/>
        </w:rPr>
        <w:t>，投标人已经明确表示澄清说明或补正完毕的除外。</w:t>
      </w:r>
      <w:r>
        <w:rPr>
          <w:rFonts w:ascii="宋体" w:hAnsi="宋体" w:eastAsia="宋体" w:cs="宋体"/>
          <w:color w:val="auto"/>
          <w:sz w:val="24"/>
          <w:szCs w:val="24"/>
          <w:highlight w:val="none"/>
        </w:rPr>
        <w:t>逾期答复的，投标人自行承担由此可能导致的对其不利的评审结果，评标委员会按少数服从多数原则对相关内容进行评判。投标人未按采购文件要求派代表参加电子开标会议的，视同认可开标结果，事后不得对开标过程及开标结果提出质疑。</w:t>
      </w:r>
      <w:r>
        <w:rPr>
          <w:rFonts w:ascii="宋体" w:hAnsi="宋体" w:eastAsia="宋体" w:cs="宋体"/>
          <w:color w:val="auto"/>
          <w:kern w:val="0"/>
          <w:sz w:val="24"/>
          <w:szCs w:val="24"/>
          <w:highlight w:val="none"/>
        </w:rPr>
        <w:t>投标人的澄清、说明或者补正不得超出投标文件的范围或者改变投标文件的实质性内容。</w:t>
      </w:r>
    </w:p>
    <w:p w14:paraId="7205EB82">
      <w:pPr>
        <w:adjustRightInd w:val="0"/>
        <w:spacing w:line="440" w:lineRule="exact"/>
        <w:ind w:firstLine="472" w:firstLineChars="196"/>
        <w:rPr>
          <w:rFonts w:ascii="宋体" w:hAnsi="宋体" w:eastAsia="宋体" w:cs="宋体"/>
          <w:color w:val="auto"/>
          <w:sz w:val="24"/>
          <w:szCs w:val="21"/>
          <w:highlight w:val="none"/>
        </w:rPr>
      </w:pPr>
      <w:r>
        <w:rPr>
          <w:rFonts w:ascii="宋体" w:hAnsi="宋体" w:eastAsia="宋体" w:cs="宋体"/>
          <w:b/>
          <w:color w:val="auto"/>
          <w:kern w:val="0"/>
          <w:sz w:val="24"/>
          <w:szCs w:val="24"/>
          <w:highlight w:val="none"/>
        </w:rPr>
        <w:t>5.2投标无效。</w:t>
      </w:r>
      <w:r>
        <w:rPr>
          <w:rFonts w:ascii="宋体" w:hAnsi="宋体" w:eastAsia="宋体" w:cs="宋体"/>
          <w:color w:val="auto"/>
          <w:sz w:val="24"/>
          <w:szCs w:val="21"/>
          <w:highlight w:val="none"/>
        </w:rPr>
        <w:t>有下列情况之一的，投标无效：</w:t>
      </w:r>
    </w:p>
    <w:p w14:paraId="6828BD94">
      <w:pPr>
        <w:adjustRightInd w:val="0"/>
        <w:snapToGri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kern w:val="0"/>
          <w:sz w:val="24"/>
          <w:szCs w:val="24"/>
          <w:highlight w:val="none"/>
        </w:rPr>
        <w:t>投标人不具备采购文件中规定的资格要求的（投标人未提供有效的资格文件的，视为投标人不具备采购文件中规定的资格要求）；</w:t>
      </w:r>
    </w:p>
    <w:p w14:paraId="7DFDD192">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kern w:val="0"/>
          <w:sz w:val="24"/>
          <w:szCs w:val="24"/>
          <w:highlight w:val="none"/>
        </w:rPr>
        <w:t>投标文件未按照采购文件要求签署、盖章的；</w:t>
      </w:r>
    </w:p>
    <w:p w14:paraId="0D5DC31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（3）投标文件中法定代表人授权书所载内容与本项目内容有异的或者法定代表人授权书未按照采购文件要求签署、盖章的；</w:t>
      </w:r>
    </w:p>
    <w:p w14:paraId="6111A59D">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（4）投标文件的实质性内容未使用中文表述、意思表述不明确、前后矛盾或者使用计量单位不符合招标文件要求的（经评标委员会认定并允许其当场更正的笔误除外）；</w:t>
      </w:r>
    </w:p>
    <w:p w14:paraId="7D0B5F9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z w:val="24"/>
          <w:szCs w:val="24"/>
          <w:highlight w:val="none"/>
        </w:rPr>
        <w:sym w:font="Wingdings 2" w:char="00A3"/>
      </w:r>
      <w:r>
        <w:rPr>
          <w:rFonts w:ascii="宋体" w:hAnsi="宋体" w:eastAsia="宋体" w:cs="宋体"/>
          <w:color w:val="auto"/>
          <w:sz w:val="24"/>
          <w:szCs w:val="24"/>
          <w:highlight w:val="none"/>
        </w:rPr>
        <w:t>联合体组成不符合要求或联合体投标未附联合体各方共同投标协议的或联合体各方经专家认定职责分工不明确的。</w:t>
      </w:r>
    </w:p>
    <w:p w14:paraId="385ED862">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（6）服务期、售后服务期等商务条款不能满足招标文件要求的；</w:t>
      </w:r>
    </w:p>
    <w:p w14:paraId="299FE7D1">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kern w:val="0"/>
          <w:sz w:val="24"/>
          <w:szCs w:val="24"/>
          <w:highlight w:val="none"/>
        </w:rPr>
        <w:t>投标文件中承诺的投标有效期少于采购文件中载明的投标有效期的；</w:t>
      </w:r>
    </w:p>
    <w:p w14:paraId="768D09F3">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kern w:val="0"/>
          <w:sz w:val="24"/>
          <w:szCs w:val="24"/>
          <w:highlight w:val="none"/>
        </w:rPr>
        <w:t>采购人拟采购的产品属于政府强制采购的节能产品品目清单范围的，投标人未按采购文件要求提供国家确定的认证机构出具的、处于有效期之内的节能产品认证证书的；</w:t>
      </w:r>
    </w:p>
    <w:p w14:paraId="1BC3A4FE">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kern w:val="0"/>
          <w:sz w:val="24"/>
          <w:szCs w:val="24"/>
          <w:highlight w:val="none"/>
        </w:rPr>
        <w:t>投标文件含有采购人不能接受的附加条件的；</w:t>
      </w:r>
    </w:p>
    <w:p w14:paraId="3B9D6589">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（10）在技术商务标中出现投标报价的；</w:t>
      </w:r>
    </w:p>
    <w:p w14:paraId="204D1AA1">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（11）明显不符合招标文件要求的服务，或者与招标文件中标“▲”的技术指标、主要功能项目发生实质性偏离的；</w:t>
      </w:r>
    </w:p>
    <w:p w14:paraId="49034E81">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（12）允许偏离的技术、性能指标或者辅助功能项目发生负偏离，评委认为偏离整个项目所要达到的主要功能需求的；</w:t>
      </w:r>
    </w:p>
    <w:p w14:paraId="1EE797A9">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（13）投标技术方案不明确，存在一个或一个以上备选（替代）投标方案的；</w:t>
      </w:r>
    </w:p>
    <w:p w14:paraId="35B1FE58">
      <w:pPr>
        <w:adjustRightInd w:val="0"/>
        <w:snapToGri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（14）</w:t>
      </w:r>
      <w:r>
        <w:rPr>
          <w:rFonts w:ascii="宋体" w:hAnsi="宋体" w:eastAsia="宋体" w:cs="宋体"/>
          <w:color w:val="auto"/>
          <w:kern w:val="0"/>
          <w:sz w:val="24"/>
          <w:szCs w:val="24"/>
          <w:highlight w:val="none"/>
        </w:rPr>
        <w:t xml:space="preserve">投标文件出现不是唯一的、有选择性投标报价的; </w:t>
      </w:r>
    </w:p>
    <w:p w14:paraId="0877488B">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（15）</w:t>
      </w:r>
      <w:r>
        <w:rPr>
          <w:rFonts w:ascii="宋体" w:hAnsi="宋体" w:eastAsia="宋体" w:cs="宋体"/>
          <w:color w:val="auto"/>
          <w:kern w:val="0"/>
          <w:sz w:val="24"/>
          <w:szCs w:val="24"/>
          <w:highlight w:val="none"/>
        </w:rPr>
        <w:t>投标报价超过采购文件中规定的预算金额或者最高限价的;</w:t>
      </w:r>
    </w:p>
    <w:p w14:paraId="6326B66A">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（16）投标人的报价明显低于其他通过符合性审查投标人的报价，有可能影响服务质量或者不能诚信履约，且未能按评标委员会要求在合理的时间内提供书面说明及相关证明材料以证明其报价合理性的；</w:t>
      </w:r>
    </w:p>
    <w:p w14:paraId="5F30EA01">
      <w:pPr>
        <w:adjustRightInd w:val="0"/>
        <w:spacing w:line="440" w:lineRule="exact"/>
        <w:ind w:firstLine="508" w:firstLineChars="212"/>
        <w:rPr>
          <w:rFonts w:ascii="宋体" w:hAnsi="宋体" w:eastAsia="宋体" w:cs="宋体"/>
          <w:color w:val="auto"/>
          <w:kern w:val="0"/>
          <w:sz w:val="24"/>
          <w:highlight w:val="none"/>
        </w:rPr>
      </w:pPr>
      <w:r>
        <w:rPr>
          <w:rFonts w:ascii="宋体" w:hAnsi="宋体" w:eastAsia="宋体" w:cs="宋体"/>
          <w:color w:val="auto"/>
          <w:sz w:val="24"/>
          <w:szCs w:val="24"/>
          <w:highlight w:val="none"/>
        </w:rPr>
        <w:t>（17）</w:t>
      </w:r>
      <w:r>
        <w:rPr>
          <w:rFonts w:ascii="宋体" w:hAnsi="宋体" w:eastAsia="宋体" w:cs="宋体"/>
          <w:color w:val="auto"/>
          <w:kern w:val="0"/>
          <w:sz w:val="24"/>
          <w:highlight w:val="none"/>
        </w:rPr>
        <w:t>开标一览表投标报价为零的（包括投标文件中标明：免费或赠予）或其报价（大写）无法按正常书写方式进行报价唱标的或无投标报价的；</w:t>
      </w:r>
    </w:p>
    <w:p w14:paraId="728E1EF9">
      <w:pPr>
        <w:adjustRightInd w:val="0"/>
        <w:spacing w:line="440" w:lineRule="exact"/>
        <w:ind w:firstLine="508" w:firstLineChars="212"/>
        <w:rPr>
          <w:rFonts w:ascii="宋体" w:hAnsi="宋体" w:eastAsia="宋体" w:cs="宋体"/>
          <w:color w:val="auto"/>
          <w:kern w:val="0"/>
          <w:sz w:val="24"/>
          <w:highlight w:val="none"/>
        </w:rPr>
      </w:pPr>
      <w:r>
        <w:rPr>
          <w:rFonts w:ascii="宋体" w:hAnsi="宋体" w:eastAsia="宋体" w:cs="宋体"/>
          <w:color w:val="auto"/>
          <w:sz w:val="24"/>
          <w:szCs w:val="24"/>
          <w:highlight w:val="none"/>
        </w:rPr>
        <w:t>（18）</w:t>
      </w:r>
      <w:r>
        <w:rPr>
          <w:rFonts w:ascii="宋体" w:hAnsi="宋体" w:eastAsia="宋体" w:cs="宋体"/>
          <w:color w:val="auto"/>
          <w:kern w:val="0"/>
          <w:sz w:val="24"/>
          <w:highlight w:val="none"/>
        </w:rPr>
        <w:t>《开标一览表》填写不完整或字迹不能辨认或有漏项的；</w:t>
      </w:r>
    </w:p>
    <w:p w14:paraId="514724E7">
      <w:pPr>
        <w:adjustRightInd w:val="0"/>
        <w:snapToGri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（19）</w:t>
      </w:r>
      <w:r>
        <w:rPr>
          <w:rFonts w:ascii="宋体" w:hAnsi="宋体" w:eastAsia="宋体" w:cs="宋体"/>
          <w:color w:val="auto"/>
          <w:kern w:val="0"/>
          <w:sz w:val="24"/>
          <w:szCs w:val="24"/>
          <w:highlight w:val="none"/>
        </w:rPr>
        <w:t>投标人对根据修正原则修正后的报价不确认的；</w:t>
      </w:r>
    </w:p>
    <w:p w14:paraId="315F81DE">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（20）</w:t>
      </w:r>
      <w:r>
        <w:rPr>
          <w:rFonts w:ascii="宋体" w:hAnsi="宋体" w:eastAsia="宋体" w:cs="宋体"/>
          <w:color w:val="auto"/>
          <w:kern w:val="0"/>
          <w:sz w:val="24"/>
          <w:szCs w:val="24"/>
          <w:highlight w:val="none"/>
        </w:rPr>
        <w:t>投标人提供虚假材料投标的；</w:t>
      </w:r>
    </w:p>
    <w:p w14:paraId="3805F438">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（21）</w:t>
      </w:r>
      <w:r>
        <w:rPr>
          <w:rFonts w:ascii="宋体" w:hAnsi="宋体" w:eastAsia="宋体" w:cs="宋体"/>
          <w:color w:val="auto"/>
          <w:kern w:val="0"/>
          <w:sz w:val="24"/>
          <w:szCs w:val="24"/>
          <w:highlight w:val="none"/>
        </w:rPr>
        <w:t>投标人仅提交备份投标文件，没有在电子交易平台传输递交投标文件的，投标无效；</w:t>
      </w:r>
    </w:p>
    <w:p w14:paraId="5776E8A0">
      <w:pPr>
        <w:adjustRightInd w:val="0"/>
        <w:spacing w:line="440" w:lineRule="exact"/>
        <w:ind w:firstLine="480" w:firstLineChars="200"/>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（22）</w:t>
      </w:r>
      <w:r>
        <w:rPr>
          <w:rFonts w:ascii="宋体" w:hAnsi="宋体" w:eastAsia="宋体" w:cs="宋体"/>
          <w:color w:val="auto"/>
          <w:kern w:val="0"/>
          <w:sz w:val="24"/>
          <w:szCs w:val="24"/>
          <w:highlight w:val="none"/>
        </w:rPr>
        <w:t>投标文件不满足采购文件的其他实质性要求的；</w:t>
      </w:r>
    </w:p>
    <w:p w14:paraId="07C72BA1">
      <w:pPr>
        <w:adjustRightInd w:val="0"/>
        <w:snapToGrid w:val="0"/>
        <w:spacing w:line="440" w:lineRule="exact"/>
        <w:ind w:firstLine="470" w:firstLineChars="196"/>
        <w:rPr>
          <w:rFonts w:ascii="宋体" w:hAnsi="宋体" w:eastAsia="宋体" w:cs="宋体"/>
          <w:color w:val="auto"/>
          <w:sz w:val="24"/>
          <w:szCs w:val="24"/>
          <w:highlight w:val="none"/>
        </w:rPr>
      </w:pPr>
      <w:r>
        <w:rPr>
          <w:rFonts w:ascii="宋体" w:hAnsi="宋体" w:eastAsia="宋体" w:cs="宋体"/>
          <w:color w:val="auto"/>
          <w:sz w:val="24"/>
          <w:szCs w:val="24"/>
          <w:highlight w:val="none"/>
        </w:rPr>
        <w:t>（23）投标人有符合《中华人民共和国政府采购法实施条例》第七十四条所列7种恶意串通行为，和中华人民共和国财政部令第87号《政府采购货物和服务招标投标管理办法》第三十七条所列6种视为投标人串通投标情形的；</w:t>
      </w:r>
    </w:p>
    <w:p w14:paraId="7EE1695F">
      <w:pPr>
        <w:adjustRightInd w:val="0"/>
        <w:snapToGrid w:val="0"/>
        <w:spacing w:line="440" w:lineRule="exact"/>
        <w:ind w:firstLine="470" w:firstLineChars="196"/>
        <w:rPr>
          <w:rFonts w:ascii="宋体" w:hAnsi="宋体" w:eastAsia="宋体" w:cs="宋体"/>
          <w:color w:val="auto"/>
          <w:sz w:val="24"/>
          <w:szCs w:val="24"/>
          <w:highlight w:val="none"/>
        </w:rPr>
      </w:pPr>
      <w:r>
        <w:rPr>
          <w:rFonts w:ascii="宋体" w:hAnsi="宋体" w:eastAsia="宋体" w:cs="宋体"/>
          <w:color w:val="auto"/>
          <w:sz w:val="24"/>
          <w:szCs w:val="24"/>
          <w:highlight w:val="none"/>
        </w:rPr>
        <w:t>（24）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28944FF5">
      <w:pPr>
        <w:adjustRightInd w:val="0"/>
        <w:snapToGrid w:val="0"/>
        <w:spacing w:line="440" w:lineRule="exact"/>
        <w:ind w:firstLine="710" w:firstLineChars="296"/>
        <w:rPr>
          <w:rFonts w:ascii="宋体" w:hAnsi="宋体" w:eastAsia="宋体" w:cs="宋体"/>
          <w:color w:val="auto"/>
          <w:sz w:val="24"/>
          <w:szCs w:val="24"/>
          <w:highlight w:val="none"/>
        </w:rPr>
      </w:pPr>
      <w:r>
        <w:rPr>
          <w:rFonts w:ascii="宋体" w:hAnsi="宋体" w:eastAsia="宋体" w:cs="宋体"/>
          <w:color w:val="auto"/>
          <w:sz w:val="24"/>
          <w:szCs w:val="24"/>
          <w:highlight w:val="none"/>
        </w:rPr>
        <w:t>①不同供应商制作电子投标(响应)文件的计算机网卡MAC地址相同的；</w:t>
      </w:r>
    </w:p>
    <w:p w14:paraId="5CCC39F3">
      <w:pPr>
        <w:adjustRightInd w:val="0"/>
        <w:snapToGrid w:val="0"/>
        <w:spacing w:line="440" w:lineRule="exact"/>
        <w:ind w:firstLine="710" w:firstLineChars="296"/>
        <w:rPr>
          <w:rFonts w:ascii="宋体" w:hAnsi="宋体" w:eastAsia="宋体" w:cs="宋体"/>
          <w:color w:val="auto"/>
          <w:sz w:val="24"/>
          <w:szCs w:val="24"/>
          <w:highlight w:val="none"/>
        </w:rPr>
      </w:pPr>
      <w:r>
        <w:rPr>
          <w:rFonts w:ascii="宋体" w:hAnsi="宋体" w:eastAsia="宋体" w:cs="宋体"/>
          <w:color w:val="auto"/>
          <w:sz w:val="24"/>
          <w:szCs w:val="24"/>
          <w:highlight w:val="none"/>
        </w:rPr>
        <w:t>②不同供应商制作电子投标(响应)文件的计算机硬盘序列号相同的；</w:t>
      </w:r>
    </w:p>
    <w:p w14:paraId="21D81837">
      <w:pPr>
        <w:adjustRightInd w:val="0"/>
        <w:snapToGrid w:val="0"/>
        <w:spacing w:line="440" w:lineRule="exact"/>
        <w:ind w:firstLine="710" w:firstLineChars="296"/>
        <w:rPr>
          <w:rFonts w:ascii="宋体" w:hAnsi="宋体" w:eastAsia="宋体" w:cs="宋体"/>
          <w:color w:val="auto"/>
          <w:sz w:val="24"/>
          <w:szCs w:val="24"/>
          <w:highlight w:val="none"/>
        </w:rPr>
      </w:pPr>
      <w:r>
        <w:rPr>
          <w:rFonts w:ascii="宋体" w:hAnsi="宋体" w:eastAsia="宋体" w:cs="宋体"/>
          <w:color w:val="auto"/>
          <w:sz w:val="24"/>
          <w:szCs w:val="24"/>
          <w:highlight w:val="none"/>
        </w:rPr>
        <w:t>③不同供应商的投标(响应)文件的内容存在两处以上细节错误一致，且无法合理解释的;</w:t>
      </w:r>
    </w:p>
    <w:p w14:paraId="7A25AFE6">
      <w:pPr>
        <w:adjustRightInd w:val="0"/>
        <w:snapToGrid w:val="0"/>
        <w:spacing w:line="440" w:lineRule="exact"/>
        <w:ind w:firstLine="710" w:firstLineChars="296"/>
        <w:rPr>
          <w:rFonts w:ascii="宋体" w:hAnsi="宋体" w:eastAsia="宋体" w:cs="宋体"/>
          <w:color w:val="auto"/>
          <w:sz w:val="24"/>
          <w:szCs w:val="24"/>
          <w:highlight w:val="none"/>
        </w:rPr>
      </w:pPr>
      <w:r>
        <w:rPr>
          <w:rFonts w:ascii="宋体" w:hAnsi="宋体" w:eastAsia="宋体" w:cs="宋体"/>
          <w:color w:val="auto"/>
          <w:sz w:val="24"/>
          <w:szCs w:val="24"/>
          <w:highlight w:val="none"/>
        </w:rPr>
        <w:t>④不同供应商制作电子投标(响应)文件的IP地址相同的。</w:t>
      </w:r>
    </w:p>
    <w:p w14:paraId="12D9F40F">
      <w:pPr>
        <w:adjustRightInd w:val="0"/>
        <w:snapToGrid w:val="0"/>
        <w:spacing w:line="440" w:lineRule="exact"/>
        <w:ind w:firstLine="470" w:firstLineChars="196"/>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（25）</w:t>
      </w:r>
      <w:r>
        <w:rPr>
          <w:rFonts w:ascii="宋体" w:hAnsi="宋体" w:eastAsia="宋体" w:cs="宋体"/>
          <w:color w:val="auto"/>
          <w:kern w:val="0"/>
          <w:sz w:val="24"/>
          <w:szCs w:val="24"/>
          <w:highlight w:val="none"/>
        </w:rPr>
        <w:t>法律法规、规章（适用本市的）及省级以上规范性文件（适用本市的）规定的其他无效情形。</w:t>
      </w:r>
    </w:p>
    <w:p w14:paraId="4E748D55">
      <w:pPr>
        <w:adjustRightInd w:val="0"/>
        <w:snapToGrid w:val="0"/>
        <w:spacing w:line="440" w:lineRule="exact"/>
        <w:ind w:firstLine="472" w:firstLineChars="196"/>
        <w:rPr>
          <w:rFonts w:ascii="宋体" w:hAnsi="宋体" w:eastAsia="宋体" w:cs="宋体"/>
          <w:color w:val="auto"/>
          <w:sz w:val="24"/>
          <w:szCs w:val="24"/>
          <w:highlight w:val="none"/>
        </w:rPr>
      </w:pPr>
      <w:r>
        <w:rPr>
          <w:rFonts w:ascii="宋体" w:hAnsi="宋体" w:eastAsia="宋体" w:cs="宋体"/>
          <w:b/>
          <w:color w:val="auto"/>
          <w:sz w:val="24"/>
          <w:szCs w:val="24"/>
          <w:highlight w:val="none"/>
        </w:rPr>
        <w:t>6.废标。</w:t>
      </w:r>
      <w:r>
        <w:rPr>
          <w:rFonts w:ascii="宋体" w:hAnsi="宋体" w:eastAsia="宋体" w:cs="宋体"/>
          <w:color w:val="auto"/>
          <w:sz w:val="24"/>
          <w:szCs w:val="24"/>
          <w:highlight w:val="none"/>
        </w:rPr>
        <w:t>根据《中华人民共和国政府采购法》第三十六条之规定，在采购中，出现下列情形之一的，应予废标：</w:t>
      </w:r>
    </w:p>
    <w:p w14:paraId="685EE452">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6.1符合专业条件的供应商或者对采购文件作实质响应的供应商不足3家的；</w:t>
      </w:r>
    </w:p>
    <w:p w14:paraId="1B6A13F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6.2出现影响采购公正的违法、违规行为的；</w:t>
      </w:r>
    </w:p>
    <w:p w14:paraId="4F8C3C46">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6.3投标人的报价均超过了采购预算，采购人不能支付的；</w:t>
      </w:r>
    </w:p>
    <w:p w14:paraId="51F131F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6.4因重大变故，采购任务取消的。</w:t>
      </w:r>
    </w:p>
    <w:p w14:paraId="2D164664">
      <w:pPr>
        <w:adjustRightInd w:val="0"/>
        <w:snapToGrid w:val="0"/>
        <w:spacing w:line="440" w:lineRule="exact"/>
        <w:ind w:firstLine="480" w:firstLineChars="200"/>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废标后，采购人应当将废标理由通知所有投标人（在线平台公布均视为通知）并重新组织招标；或者经主管部门批准，采取其他方式组织采购。</w:t>
      </w:r>
    </w:p>
    <w:p w14:paraId="4A97419F">
      <w:pPr>
        <w:adjustRightInd w:val="0"/>
        <w:snapToGrid w:val="0"/>
        <w:spacing w:line="440" w:lineRule="exact"/>
        <w:ind w:firstLine="590" w:firstLineChars="245"/>
        <w:rPr>
          <w:rFonts w:ascii="宋体" w:hAnsi="宋体" w:eastAsia="宋体" w:cs="宋体"/>
          <w:color w:val="auto"/>
          <w:sz w:val="24"/>
          <w:szCs w:val="24"/>
          <w:highlight w:val="none"/>
        </w:rPr>
      </w:pPr>
      <w:r>
        <w:rPr>
          <w:rFonts w:ascii="宋体" w:hAnsi="宋体" w:eastAsia="宋体" w:cs="宋体"/>
          <w:b/>
          <w:color w:val="auto"/>
          <w:sz w:val="24"/>
          <w:szCs w:val="24"/>
          <w:highlight w:val="none"/>
        </w:rPr>
        <w:t>7.修改采购文件，重新组织采购活动。</w:t>
      </w:r>
      <w:r>
        <w:rPr>
          <w:rFonts w:ascii="宋体" w:hAnsi="宋体" w:eastAsia="宋体" w:cs="宋体"/>
          <w:color w:val="auto"/>
          <w:sz w:val="24"/>
          <w:szCs w:val="24"/>
          <w:highlight w:val="none"/>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14:paraId="27BD3BB1">
      <w:pPr>
        <w:adjustRightInd w:val="0"/>
        <w:snapToGrid w:val="0"/>
        <w:spacing w:line="440" w:lineRule="exact"/>
        <w:ind w:firstLine="590" w:firstLineChars="245"/>
        <w:rPr>
          <w:rFonts w:ascii="宋体" w:hAnsi="宋体" w:eastAsia="宋体" w:cs="宋体"/>
          <w:color w:val="auto"/>
          <w:sz w:val="24"/>
          <w:szCs w:val="24"/>
          <w:highlight w:val="none"/>
        </w:rPr>
      </w:pPr>
      <w:r>
        <w:rPr>
          <w:rFonts w:ascii="宋体" w:hAnsi="宋体" w:eastAsia="宋体" w:cs="宋体"/>
          <w:b/>
          <w:color w:val="auto"/>
          <w:kern w:val="0"/>
          <w:sz w:val="24"/>
          <w:szCs w:val="24"/>
          <w:highlight w:val="none"/>
        </w:rPr>
        <w:t>8.重新开展采购。</w:t>
      </w:r>
      <w:r>
        <w:rPr>
          <w:rFonts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21A7C15B">
      <w:pPr>
        <w:adjustRightInd w:val="0"/>
        <w:snapToGrid w:val="0"/>
        <w:spacing w:line="440" w:lineRule="exact"/>
        <w:ind w:firstLine="600" w:firstLineChars="250"/>
        <w:rPr>
          <w:rFonts w:ascii="宋体" w:hAnsi="宋体" w:eastAsia="宋体" w:cs="宋体"/>
          <w:color w:val="auto"/>
          <w:sz w:val="24"/>
          <w:szCs w:val="24"/>
          <w:highlight w:val="none"/>
        </w:rPr>
      </w:pPr>
      <w:r>
        <w:rPr>
          <w:rFonts w:ascii="宋体" w:hAnsi="宋体" w:eastAsia="宋体" w:cs="宋体"/>
          <w:color w:val="auto"/>
          <w:sz w:val="24"/>
          <w:szCs w:val="24"/>
          <w:highlight w:val="none"/>
        </w:rPr>
        <w:t>8.1未确定中标或者中标人的，终止本次政府采购活动，重新开展政府采购活动。</w:t>
      </w:r>
    </w:p>
    <w:p w14:paraId="3BB1818C">
      <w:pPr>
        <w:adjustRightInd w:val="0"/>
        <w:snapToGrid w:val="0"/>
        <w:spacing w:line="440" w:lineRule="exact"/>
        <w:ind w:firstLine="600" w:firstLineChars="250"/>
        <w:rPr>
          <w:rFonts w:ascii="宋体" w:hAnsi="宋体" w:eastAsia="宋体" w:cs="宋体"/>
          <w:color w:val="auto"/>
          <w:sz w:val="24"/>
          <w:szCs w:val="24"/>
          <w:highlight w:val="none"/>
        </w:rPr>
      </w:pPr>
      <w:r>
        <w:rPr>
          <w:rFonts w:ascii="宋体" w:hAnsi="宋体" w:eastAsia="宋体" w:cs="宋体"/>
          <w:color w:val="auto"/>
          <w:sz w:val="24"/>
          <w:szCs w:val="24"/>
          <w:highlight w:val="none"/>
        </w:rPr>
        <w:t>8.2已确定中标或者中标人但尚未签订政府采购合同的，中标或者成交结果无效，从合格的中标或者成交候选人中另行确定中标或者中标人；没有合格的中标或者成交候选人的，重新开展政府采购活动。</w:t>
      </w:r>
    </w:p>
    <w:p w14:paraId="23C3A842">
      <w:pPr>
        <w:adjustRightInd w:val="0"/>
        <w:snapToGrid w:val="0"/>
        <w:spacing w:line="440" w:lineRule="exact"/>
        <w:ind w:firstLine="600" w:firstLineChars="250"/>
        <w:rPr>
          <w:rFonts w:ascii="宋体" w:hAnsi="宋体" w:eastAsia="宋体" w:cs="宋体"/>
          <w:color w:val="auto"/>
          <w:sz w:val="24"/>
          <w:szCs w:val="24"/>
          <w:highlight w:val="none"/>
        </w:rPr>
      </w:pPr>
      <w:r>
        <w:rPr>
          <w:rFonts w:ascii="宋体" w:hAnsi="宋体" w:eastAsia="宋体" w:cs="宋体"/>
          <w:color w:val="auto"/>
          <w:sz w:val="24"/>
          <w:szCs w:val="24"/>
          <w:highlight w:val="none"/>
        </w:rPr>
        <w:t>8.3政府采购合同已签订但尚未履行的，撤销合同，从合格的中标或者成交候选人中另行确定中标或者中标人；没有合格的中标或者成交候选人的，重新开展政府采购活动。</w:t>
      </w:r>
    </w:p>
    <w:p w14:paraId="241AC1FF">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8.4政府采购合同已经履行，给采购人、供应商造成损失的，由责任人承担赔偿责任。</w:t>
      </w:r>
    </w:p>
    <w:p w14:paraId="31911B32">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8.5政府采购当事人有其他违反政府采购法</w:t>
      </w:r>
      <w:r>
        <w:rPr>
          <w:rFonts w:ascii="宋体" w:hAnsi="宋体" w:eastAsia="宋体" w:cs="宋体"/>
          <w:color w:val="auto"/>
          <w:kern w:val="0"/>
          <w:sz w:val="24"/>
          <w:szCs w:val="24"/>
          <w:highlight w:val="none"/>
        </w:rPr>
        <w:t>或者政府采购法实施条例等法律法规规定</w:t>
      </w:r>
      <w:r>
        <w:rPr>
          <w:rFonts w:ascii="宋体" w:hAnsi="宋体" w:eastAsia="宋体" w:cs="宋体"/>
          <w:color w:val="auto"/>
          <w:sz w:val="24"/>
          <w:szCs w:val="24"/>
          <w:highlight w:val="none"/>
        </w:rPr>
        <w:t>的行为，经改正后仍然影响或者可能影响中标、成交结果或者依法被认定为中标、成交无效的，依照7.1-7.4规定处理。</w:t>
      </w:r>
    </w:p>
    <w:p w14:paraId="26CD128D">
      <w:pPr>
        <w:adjustRightInd w:val="0"/>
        <w:snapToGrid w:val="0"/>
        <w:spacing w:line="440" w:lineRule="exact"/>
        <w:outlineLvl w:val="1"/>
        <w:rPr>
          <w:rFonts w:ascii="宋体" w:hAnsi="宋体" w:eastAsia="宋体" w:cs="宋体"/>
          <w:color w:val="auto"/>
          <w:sz w:val="24"/>
          <w:szCs w:val="24"/>
          <w:highlight w:val="none"/>
        </w:rPr>
      </w:pPr>
      <w:r>
        <w:rPr>
          <w:rFonts w:ascii="宋体" w:hAnsi="宋体" w:eastAsia="宋体" w:cs="宋体"/>
          <w:b/>
          <w:color w:val="auto"/>
          <w:sz w:val="28"/>
          <w:szCs w:val="28"/>
          <w:highlight w:val="none"/>
        </w:rPr>
        <w:t>六、评审纪律和要求</w:t>
      </w:r>
    </w:p>
    <w:p w14:paraId="244D6658">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1.评审专家必须公平、公正评审，遵纪守法，客观、廉洁地履行职责。</w:t>
      </w:r>
    </w:p>
    <w:p w14:paraId="485BFD82">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2.评审专家在评审开始前，应关闭并上交随身携带的各种通信工具。</w:t>
      </w:r>
    </w:p>
    <w:p w14:paraId="0C193F4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3.评审专家在评审过程中，未经许可不得中途离开评审现场，不得迟到早退。</w:t>
      </w:r>
    </w:p>
    <w:p w14:paraId="3F9CE1C7">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4.评审专家和工作人员不得透露评审过程中的讨论情况和评审结果。</w:t>
      </w:r>
    </w:p>
    <w:p w14:paraId="008E737A">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评审时，评审专家须按采购文件规定的程序、条件和标准，对投标人投标文件的合规性、完整性和有效性进行审查、比较和评估，其中对投标人的资格条件、主要技术参数、商务报价和其他评审要素等，评审专家应逐项进行审查、比较，不得漏评少评。如发现与采购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3F0BD2C">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6.采购人、采购代理机构不得向评审委员会的评审专家作倾向性、误导性的解释或者说明。</w:t>
      </w:r>
    </w:p>
    <w:p w14:paraId="7596477B">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14120DD">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8.评审专家在评审过程中不得将自己的观点强加给其他评审专家，评审专家应自主发表见解，对评审意见承担个人责任。</w:t>
      </w:r>
    </w:p>
    <w:p w14:paraId="5A967668">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评审结束后，评审委员会应向采购代理机构提交项目评审报告。评审报告是采购人确定中标人的合法依据，评审委员会应当如实、客观地反映评审情况，按采购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9494F7E">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C7B7B33">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11.评审专家应当遵守评审工作纪律，不得泄露评审文件、评审情况和评审中获悉的商业秘密。</w:t>
      </w:r>
    </w:p>
    <w:p w14:paraId="583238FB">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评审委员会在评审过程中发现投标人有行贿、提供虚假材料或者串通等违法行为的，应当及时向财政部门报告。</w:t>
      </w:r>
    </w:p>
    <w:p w14:paraId="19C0CCED">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12.采购文件内容违反国家有关强制性规定的，评审委员会应当停止评审并向采购代理机构说明情况。</w:t>
      </w:r>
    </w:p>
    <w:p w14:paraId="14826E7A">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13.评审专家应当配合采购代理机构答复投标人提出的质疑。</w:t>
      </w:r>
    </w:p>
    <w:p w14:paraId="6AD4F1A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14.评审专家应当配合财政部门的投诉处理工作。</w:t>
      </w:r>
    </w:p>
    <w:p w14:paraId="0647310B">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15.评审专家有如下行为之一的，责令改正，给予警告，可以并处一千元以下的罚款：</w:t>
      </w:r>
    </w:p>
    <w:p w14:paraId="74312E43">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①明知应当回避而未主动回避的；</w:t>
      </w:r>
    </w:p>
    <w:p w14:paraId="1DC8B42E">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②在得知自己为评审专家身份后至评审结束前时段内私下接触投标人的；</w:t>
      </w:r>
    </w:p>
    <w:p w14:paraId="37B51BA8">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③在评审过程中擅离职守，影响评审程序正常进行的；</w:t>
      </w:r>
    </w:p>
    <w:p w14:paraId="39F2D8CB">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④在评审过程有明显不合理或者不正当倾向性的；</w:t>
      </w:r>
    </w:p>
    <w:p w14:paraId="3473B8A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⑤未按采购文件规定的评审方法和标准进行评审的。</w:t>
      </w:r>
    </w:p>
    <w:p w14:paraId="567F3DB3">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⑥上述①至⑤行为影响中标结果的，中标结果无效。</w:t>
      </w:r>
    </w:p>
    <w:p w14:paraId="6A6ED8DC">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16.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9827226">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政府采购评审专家与投标人存在利害关系未回避的，处2万元以上5万元以下的罚款，禁止其参加政府采购评审活动。</w:t>
      </w:r>
    </w:p>
    <w:p w14:paraId="5C61E9CE">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353610C">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政府采购评审专家有上述违法行为的，其评审意见无效，不得获取评审费；有违法所得的，没收违法所得；给他人造成损失的，依法承担民事责任。</w:t>
      </w:r>
    </w:p>
    <w:p w14:paraId="20BEE1B4">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17、在整个评标过程中，投标人企图影响招标结果的任何活动，可能导致其投标失败。如有违法行为，将依法追究其法律责任。</w:t>
      </w:r>
    </w:p>
    <w:p w14:paraId="55E56FC9">
      <w:pPr>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br w:type="page"/>
      </w:r>
    </w:p>
    <w:p w14:paraId="5DFE511A">
      <w:pPr>
        <w:pStyle w:val="2"/>
        <w:ind w:left="0" w:leftChars="0" w:firstLine="0" w:firstLineChars="0"/>
        <w:jc w:val="center"/>
        <w:outlineLvl w:val="0"/>
        <w:rPr>
          <w:rFonts w:asciiTheme="minorEastAsia" w:hAnsiTheme="minorEastAsia" w:eastAsiaTheme="minorEastAsia" w:cstheme="minorEastAsia"/>
          <w:b/>
          <w:color w:val="auto"/>
          <w:kern w:val="2"/>
          <w:sz w:val="36"/>
          <w:highlight w:val="none"/>
        </w:rPr>
      </w:pPr>
      <w:r>
        <w:rPr>
          <w:rFonts w:asciiTheme="minorEastAsia" w:hAnsiTheme="minorEastAsia" w:eastAsiaTheme="minorEastAsia" w:cstheme="minorEastAsia"/>
          <w:b/>
          <w:color w:val="auto"/>
          <w:kern w:val="2"/>
          <w:sz w:val="36"/>
          <w:highlight w:val="none"/>
        </w:rPr>
        <w:t>第五部分 拟签订的合同文本</w:t>
      </w:r>
    </w:p>
    <w:p w14:paraId="007A3F8C">
      <w:pPr>
        <w:pStyle w:val="8"/>
        <w:spacing w:after="0"/>
        <w:jc w:val="center"/>
        <w:rPr>
          <w:rFonts w:ascii="宋体" w:hAnsi="宋体" w:cs="宋体"/>
          <w:b/>
          <w:bCs/>
          <w:color w:val="auto"/>
          <w:spacing w:val="-20"/>
          <w:kern w:val="44"/>
          <w:sz w:val="32"/>
          <w:szCs w:val="32"/>
          <w:highlight w:val="none"/>
        </w:rPr>
      </w:pPr>
    </w:p>
    <w:p w14:paraId="6CE47CF4">
      <w:pPr>
        <w:pStyle w:val="8"/>
        <w:spacing w:after="0"/>
        <w:jc w:val="center"/>
        <w:rPr>
          <w:rFonts w:ascii="宋体" w:hAnsi="宋体" w:eastAsia="宋体" w:cs="宋体"/>
          <w:b/>
          <w:bCs/>
          <w:color w:val="auto"/>
          <w:spacing w:val="-20"/>
          <w:kern w:val="44"/>
          <w:sz w:val="72"/>
          <w:szCs w:val="72"/>
          <w:highlight w:val="none"/>
        </w:rPr>
      </w:pPr>
    </w:p>
    <w:p w14:paraId="149A8518">
      <w:pPr>
        <w:pStyle w:val="8"/>
        <w:spacing w:after="0"/>
        <w:jc w:val="center"/>
        <w:rPr>
          <w:rFonts w:ascii="宋体" w:hAnsi="宋体" w:eastAsia="宋体" w:cs="宋体"/>
          <w:b/>
          <w:bCs/>
          <w:color w:val="auto"/>
          <w:spacing w:val="-20"/>
          <w:kern w:val="44"/>
          <w:sz w:val="72"/>
          <w:szCs w:val="72"/>
          <w:highlight w:val="none"/>
        </w:rPr>
      </w:pPr>
    </w:p>
    <w:p w14:paraId="06F0B0AE">
      <w:pPr>
        <w:pStyle w:val="8"/>
        <w:spacing w:after="0"/>
        <w:jc w:val="center"/>
        <w:rPr>
          <w:rFonts w:ascii="宋体" w:hAnsi="宋体" w:eastAsia="宋体" w:cs="宋体"/>
          <w:b/>
          <w:bCs/>
          <w:color w:val="auto"/>
          <w:spacing w:val="-20"/>
          <w:kern w:val="44"/>
          <w:sz w:val="72"/>
          <w:szCs w:val="72"/>
          <w:highlight w:val="none"/>
        </w:rPr>
      </w:pPr>
      <w:r>
        <w:rPr>
          <w:rFonts w:ascii="宋体" w:hAnsi="宋体" w:eastAsia="宋体" w:cs="宋体"/>
          <w:b/>
          <w:bCs/>
          <w:color w:val="auto"/>
          <w:spacing w:val="-20"/>
          <w:kern w:val="44"/>
          <w:sz w:val="72"/>
          <w:szCs w:val="72"/>
          <w:highlight w:val="none"/>
        </w:rPr>
        <w:t>政府采购货物买卖合同</w:t>
      </w:r>
    </w:p>
    <w:p w14:paraId="5AB6B736">
      <w:pPr>
        <w:rPr>
          <w:rFonts w:ascii="宋体" w:hAnsi="宋体" w:eastAsia="宋体" w:cs="宋体"/>
          <w:b/>
          <w:bCs/>
          <w:color w:val="auto"/>
          <w:spacing w:val="-20"/>
          <w:kern w:val="44"/>
          <w:sz w:val="40"/>
          <w:szCs w:val="40"/>
          <w:highlight w:val="none"/>
        </w:rPr>
      </w:pPr>
    </w:p>
    <w:p w14:paraId="2E9F6EB5">
      <w:pPr>
        <w:rPr>
          <w:rFonts w:ascii="宋体" w:hAnsi="宋体" w:eastAsia="宋体" w:cs="宋体"/>
          <w:b/>
          <w:bCs/>
          <w:color w:val="auto"/>
          <w:spacing w:val="-20"/>
          <w:kern w:val="44"/>
          <w:sz w:val="40"/>
          <w:szCs w:val="40"/>
          <w:highlight w:val="none"/>
        </w:rPr>
      </w:pPr>
    </w:p>
    <w:p w14:paraId="3566D24C">
      <w:pPr>
        <w:rPr>
          <w:rFonts w:ascii="宋体" w:hAnsi="宋体" w:eastAsia="宋体" w:cs="宋体"/>
          <w:b/>
          <w:bCs/>
          <w:color w:val="auto"/>
          <w:spacing w:val="-20"/>
          <w:kern w:val="44"/>
          <w:sz w:val="40"/>
          <w:szCs w:val="40"/>
          <w:highlight w:val="none"/>
        </w:rPr>
      </w:pPr>
    </w:p>
    <w:p w14:paraId="449E7E75">
      <w:pPr>
        <w:rPr>
          <w:rFonts w:ascii="宋体" w:hAnsi="宋体" w:eastAsia="宋体" w:cs="宋体"/>
          <w:b/>
          <w:bCs/>
          <w:color w:val="auto"/>
          <w:spacing w:val="-20"/>
          <w:kern w:val="44"/>
          <w:sz w:val="40"/>
          <w:szCs w:val="40"/>
          <w:highlight w:val="none"/>
        </w:rPr>
      </w:pPr>
    </w:p>
    <w:p w14:paraId="0F6627F9">
      <w:pPr>
        <w:rPr>
          <w:rFonts w:ascii="宋体" w:hAnsi="宋体" w:eastAsia="宋体" w:cs="宋体"/>
          <w:b/>
          <w:bCs/>
          <w:color w:val="auto"/>
          <w:spacing w:val="-20"/>
          <w:kern w:val="44"/>
          <w:sz w:val="40"/>
          <w:szCs w:val="40"/>
          <w:highlight w:val="none"/>
        </w:rPr>
      </w:pPr>
    </w:p>
    <w:p w14:paraId="5D182A49">
      <w:pPr>
        <w:rPr>
          <w:rFonts w:ascii="宋体" w:hAnsi="宋体" w:eastAsia="宋体" w:cs="宋体"/>
          <w:b/>
          <w:bCs/>
          <w:color w:val="auto"/>
          <w:spacing w:val="-20"/>
          <w:kern w:val="44"/>
          <w:sz w:val="40"/>
          <w:szCs w:val="40"/>
          <w:highlight w:val="none"/>
        </w:rPr>
      </w:pPr>
    </w:p>
    <w:p w14:paraId="031B2085">
      <w:pPr>
        <w:rPr>
          <w:rFonts w:ascii="宋体" w:hAnsi="宋体" w:eastAsia="宋体" w:cs="宋体"/>
          <w:b/>
          <w:bCs/>
          <w:color w:val="auto"/>
          <w:spacing w:val="-20"/>
          <w:kern w:val="44"/>
          <w:sz w:val="40"/>
          <w:szCs w:val="40"/>
          <w:highlight w:val="none"/>
        </w:rPr>
      </w:pPr>
    </w:p>
    <w:p w14:paraId="42BB344E">
      <w:pPr>
        <w:rPr>
          <w:rFonts w:ascii="宋体" w:hAnsi="宋体" w:eastAsia="宋体" w:cs="宋体"/>
          <w:b/>
          <w:bCs/>
          <w:color w:val="auto"/>
          <w:spacing w:val="-20"/>
          <w:kern w:val="44"/>
          <w:sz w:val="40"/>
          <w:szCs w:val="40"/>
          <w:highlight w:val="none"/>
        </w:rPr>
      </w:pPr>
    </w:p>
    <w:p w14:paraId="22D271B3">
      <w:pPr>
        <w:spacing w:line="800" w:lineRule="exact"/>
        <w:ind w:firstLine="1680" w:firstLineChars="600"/>
        <w:rPr>
          <w:rFonts w:ascii="宋体" w:hAnsi="宋体" w:eastAsia="宋体" w:cs="宋体"/>
          <w:color w:val="auto"/>
          <w:sz w:val="28"/>
          <w:szCs w:val="28"/>
          <w:highlight w:val="none"/>
        </w:rPr>
      </w:pPr>
      <w:r>
        <w:rPr>
          <w:rFonts w:ascii="宋体" w:hAnsi="宋体" w:eastAsia="宋体" w:cs="宋体"/>
          <w:color w:val="auto"/>
          <w:kern w:val="0"/>
          <w:sz w:val="28"/>
          <w:szCs w:val="28"/>
          <w:highlight w:val="none"/>
        </w:rPr>
        <w:t>项目名称：</w:t>
      </w:r>
      <w:r>
        <w:rPr>
          <w:rFonts w:ascii="宋体" w:hAnsi="宋体" w:eastAsia="宋体" w:cs="宋体"/>
          <w:color w:val="auto"/>
          <w:sz w:val="28"/>
          <w:szCs w:val="28"/>
          <w:highlight w:val="none"/>
          <w:u w:val="single"/>
        </w:rPr>
        <w:t xml:space="preserve">                             </w:t>
      </w:r>
    </w:p>
    <w:p w14:paraId="7E60B6F1">
      <w:pPr>
        <w:spacing w:line="800" w:lineRule="exact"/>
        <w:ind w:firstLine="1680" w:firstLineChars="600"/>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项目编号：</w:t>
      </w:r>
      <w:r>
        <w:rPr>
          <w:rFonts w:ascii="宋体" w:hAnsi="宋体" w:eastAsia="宋体" w:cs="宋体"/>
          <w:color w:val="auto"/>
          <w:sz w:val="28"/>
          <w:szCs w:val="28"/>
          <w:highlight w:val="none"/>
          <w:u w:val="single"/>
        </w:rPr>
        <w:t xml:space="preserve">                             </w:t>
      </w:r>
    </w:p>
    <w:p w14:paraId="5F57305D">
      <w:pPr>
        <w:spacing w:line="800" w:lineRule="exact"/>
        <w:ind w:firstLine="1680" w:firstLineChars="600"/>
        <w:rPr>
          <w:rFonts w:ascii="宋体" w:hAnsi="宋体" w:eastAsia="宋体" w:cs="宋体"/>
          <w:color w:val="auto"/>
          <w:sz w:val="28"/>
          <w:szCs w:val="28"/>
          <w:highlight w:val="none"/>
        </w:rPr>
      </w:pPr>
      <w:r>
        <w:rPr>
          <w:rFonts w:ascii="宋体" w:hAnsi="宋体" w:eastAsia="宋体" w:cs="宋体"/>
          <w:color w:val="auto"/>
          <w:sz w:val="28"/>
          <w:szCs w:val="28"/>
          <w:highlight w:val="none"/>
        </w:rPr>
        <w:t>甲    方：</w:t>
      </w:r>
      <w:r>
        <w:rPr>
          <w:rFonts w:ascii="宋体" w:hAnsi="宋体" w:eastAsia="宋体" w:cs="宋体"/>
          <w:color w:val="auto"/>
          <w:sz w:val="28"/>
          <w:szCs w:val="28"/>
          <w:highlight w:val="none"/>
          <w:u w:val="single"/>
        </w:rPr>
        <w:t xml:space="preserve">                             </w:t>
      </w:r>
    </w:p>
    <w:p w14:paraId="2EE74085">
      <w:pPr>
        <w:spacing w:line="800" w:lineRule="exact"/>
        <w:ind w:firstLine="1680" w:firstLineChars="600"/>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乙    方：</w:t>
      </w:r>
      <w:r>
        <w:rPr>
          <w:rFonts w:ascii="宋体" w:hAnsi="宋体" w:eastAsia="宋体" w:cs="宋体"/>
          <w:color w:val="auto"/>
          <w:sz w:val="28"/>
          <w:szCs w:val="28"/>
          <w:highlight w:val="none"/>
          <w:u w:val="single"/>
        </w:rPr>
        <w:t xml:space="preserve">                             </w:t>
      </w:r>
    </w:p>
    <w:p w14:paraId="78A2F4E5">
      <w:pPr>
        <w:spacing w:line="800" w:lineRule="exact"/>
        <w:ind w:firstLine="1680" w:firstLineChars="600"/>
        <w:rPr>
          <w:rFonts w:ascii="宋体" w:hAnsi="宋体" w:eastAsia="宋体" w:cs="宋体"/>
          <w:color w:val="auto"/>
          <w:sz w:val="28"/>
          <w:szCs w:val="28"/>
          <w:highlight w:val="none"/>
        </w:rPr>
      </w:pPr>
      <w:r>
        <w:rPr>
          <w:rFonts w:ascii="宋体" w:hAnsi="宋体" w:eastAsia="宋体" w:cs="宋体"/>
          <w:color w:val="auto"/>
          <w:sz w:val="28"/>
          <w:szCs w:val="28"/>
          <w:highlight w:val="none"/>
        </w:rPr>
        <w:t>签订时间：</w:t>
      </w:r>
      <w:r>
        <w:rPr>
          <w:rFonts w:ascii="宋体" w:hAnsi="宋体" w:eastAsia="宋体" w:cs="宋体"/>
          <w:color w:val="auto"/>
          <w:sz w:val="28"/>
          <w:szCs w:val="28"/>
          <w:highlight w:val="none"/>
          <w:u w:val="single"/>
        </w:rPr>
        <w:t xml:space="preserve">                             </w:t>
      </w:r>
    </w:p>
    <w:p w14:paraId="1E99F971">
      <w:pPr>
        <w:rPr>
          <w:rFonts w:ascii="宋体" w:hAnsi="宋体" w:eastAsia="宋体" w:cs="宋体"/>
          <w:color w:val="auto"/>
          <w:highlight w:val="none"/>
        </w:rPr>
      </w:pPr>
    </w:p>
    <w:p w14:paraId="14032E75">
      <w:pPr>
        <w:pStyle w:val="5"/>
        <w:adjustRightInd w:val="0"/>
        <w:snapToGrid w:val="0"/>
        <w:spacing w:line="400" w:lineRule="exact"/>
        <w:jc w:val="center"/>
        <w:rPr>
          <w:rFonts w:ascii="宋体" w:hAnsi="宋体" w:eastAsia="宋体" w:cs="宋体"/>
          <w:b w:val="0"/>
          <w:color w:val="auto"/>
          <w:szCs w:val="28"/>
          <w:highlight w:val="none"/>
        </w:rPr>
      </w:pPr>
      <w:r>
        <w:rPr>
          <w:rFonts w:ascii="宋体" w:hAnsi="宋体" w:eastAsia="宋体" w:cs="宋体"/>
          <w:color w:val="auto"/>
          <w:sz w:val="44"/>
          <w:szCs w:val="44"/>
          <w:highlight w:val="none"/>
        </w:rPr>
        <w:br w:type="page"/>
      </w:r>
      <w:bookmarkStart w:id="21" w:name="_Toc22209"/>
      <w:r>
        <w:rPr>
          <w:rFonts w:ascii="宋体" w:hAnsi="宋体" w:eastAsia="宋体" w:cs="宋体"/>
          <w:b w:val="0"/>
          <w:color w:val="auto"/>
          <w:szCs w:val="28"/>
          <w:highlight w:val="none"/>
        </w:rPr>
        <w:t>第一节 政府采购合同协议书</w:t>
      </w:r>
      <w:bookmarkEnd w:id="21"/>
    </w:p>
    <w:p w14:paraId="591A0024">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浦江县教育局</w:t>
      </w:r>
      <w:r>
        <w:rPr>
          <w:rFonts w:ascii="宋体" w:hAnsi="宋体" w:eastAsia="宋体" w:cs="宋体"/>
          <w:color w:val="auto"/>
          <w:sz w:val="24"/>
          <w:szCs w:val="24"/>
          <w:highlight w:val="none"/>
        </w:rPr>
        <w:t>（采购人）</w:t>
      </w:r>
    </w:p>
    <w:p w14:paraId="55844369">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乙方（全称）：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（供应商）</w:t>
      </w:r>
    </w:p>
    <w:p w14:paraId="4E1B0748">
      <w:pPr>
        <w:spacing w:line="400" w:lineRule="exact"/>
        <w:rPr>
          <w:rFonts w:ascii="宋体" w:hAnsi="宋体" w:eastAsia="宋体" w:cs="宋体"/>
          <w:color w:val="auto"/>
          <w:sz w:val="24"/>
          <w:szCs w:val="24"/>
          <w:highlight w:val="none"/>
        </w:rPr>
      </w:pPr>
    </w:p>
    <w:p w14:paraId="7DF343D2">
      <w:pPr>
        <w:pStyle w:val="3"/>
        <w:adjustRightInd w:val="0"/>
        <w:snapToGrid w:val="0"/>
        <w:spacing w:line="400" w:lineRule="exact"/>
        <w:rPr>
          <w:rFonts w:eastAsia="宋体" w:cs="宋体"/>
          <w:color w:val="auto"/>
          <w:szCs w:val="24"/>
          <w:highlight w:val="none"/>
        </w:rPr>
      </w:pPr>
      <w:r>
        <w:rPr>
          <w:rFonts w:eastAsia="宋体" w:cs="宋体"/>
          <w:color w:val="auto"/>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87DDA5A">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项目信息</w:t>
      </w:r>
    </w:p>
    <w:p w14:paraId="0F2EB3B2">
      <w:pPr>
        <w:pStyle w:val="3"/>
        <w:numPr>
          <w:ilvl w:val="0"/>
          <w:numId w:val="5"/>
        </w:numPr>
        <w:adjustRightInd w:val="0"/>
        <w:snapToGrid w:val="0"/>
        <w:spacing w:line="400" w:lineRule="exact"/>
        <w:rPr>
          <w:rFonts w:eastAsia="宋体" w:cs="宋体"/>
          <w:color w:val="auto"/>
          <w:szCs w:val="24"/>
          <w:highlight w:val="none"/>
          <w:u w:val="single"/>
        </w:rPr>
      </w:pPr>
      <w:r>
        <w:rPr>
          <w:rFonts w:eastAsia="宋体" w:cs="宋体"/>
          <w:color w:val="auto"/>
          <w:szCs w:val="24"/>
          <w:highlight w:val="none"/>
        </w:rPr>
        <w:t>采购项目名称：</w:t>
      </w:r>
      <w:r>
        <w:rPr>
          <w:rFonts w:hint="eastAsia" w:eastAsia="宋体" w:cs="宋体"/>
          <w:color w:val="auto"/>
          <w:szCs w:val="24"/>
          <w:highlight w:val="none"/>
          <w:u w:val="single"/>
          <w:lang w:eastAsia="zh-CN"/>
        </w:rPr>
        <w:t xml:space="preserve">浦江县城区幼儿园金狮湖幼儿园建设项目幼儿园玩具  </w:t>
      </w:r>
    </w:p>
    <w:p w14:paraId="0DB07707">
      <w:pPr>
        <w:pStyle w:val="3"/>
        <w:tabs>
          <w:tab w:val="left" w:pos="999"/>
        </w:tabs>
        <w:adjustRightInd w:val="0"/>
        <w:snapToGrid w:val="0"/>
        <w:spacing w:line="400" w:lineRule="exact"/>
        <w:ind w:firstLine="0" w:firstLineChars="0"/>
        <w:rPr>
          <w:rFonts w:hint="default" w:eastAsia="宋体" w:cs="宋体"/>
          <w:color w:val="auto"/>
          <w:szCs w:val="24"/>
          <w:highlight w:val="none"/>
          <w:u w:val="single"/>
          <w:lang w:val="en-US" w:eastAsia="zh-CN"/>
        </w:rPr>
      </w:pPr>
      <w:r>
        <w:rPr>
          <w:rFonts w:eastAsia="宋体" w:cs="宋体"/>
          <w:color w:val="auto"/>
          <w:szCs w:val="24"/>
          <w:highlight w:val="none"/>
        </w:rPr>
        <w:t xml:space="preserve">         采购项目编号：</w:t>
      </w:r>
      <w:r>
        <w:rPr>
          <w:rFonts w:hint="eastAsia" w:eastAsia="宋体" w:cs="宋体"/>
          <w:color w:val="auto"/>
          <w:szCs w:val="24"/>
          <w:highlight w:val="none"/>
          <w:u w:val="single"/>
          <w:lang w:val="en-US" w:eastAsia="zh-CN"/>
        </w:rPr>
        <w:t xml:space="preserve">                 </w:t>
      </w:r>
    </w:p>
    <w:p w14:paraId="3B71A894">
      <w:pPr>
        <w:pStyle w:val="3"/>
        <w:numPr>
          <w:ilvl w:val="0"/>
          <w:numId w:val="5"/>
        </w:numPr>
        <w:adjustRightInd w:val="0"/>
        <w:snapToGrid w:val="0"/>
        <w:spacing w:line="400" w:lineRule="exact"/>
        <w:ind w:left="0" w:leftChars="0" w:firstLine="480" w:firstLineChars="200"/>
        <w:rPr>
          <w:rFonts w:eastAsia="宋体" w:cs="宋体"/>
          <w:color w:val="auto"/>
          <w:szCs w:val="24"/>
          <w:highlight w:val="none"/>
        </w:rPr>
      </w:pPr>
      <w:r>
        <w:rPr>
          <w:rFonts w:eastAsia="宋体" w:cs="宋体"/>
          <w:color w:val="auto"/>
          <w:szCs w:val="24"/>
          <w:highlight w:val="none"/>
        </w:rPr>
        <w:t>采购计划编号：</w:t>
      </w:r>
      <w:r>
        <w:rPr>
          <w:rFonts w:hint="eastAsia" w:eastAsia="宋体" w:cs="宋体"/>
          <w:color w:val="auto"/>
          <w:szCs w:val="24"/>
          <w:highlight w:val="none"/>
          <w:u w:val="single"/>
          <w:lang w:val="en-US" w:eastAsia="zh-CN"/>
        </w:rPr>
        <w:t xml:space="preserve">                  </w:t>
      </w:r>
    </w:p>
    <w:p w14:paraId="4BA6CCF6">
      <w:pPr>
        <w:pStyle w:val="3"/>
        <w:numPr>
          <w:ilvl w:val="0"/>
          <w:numId w:val="0"/>
        </w:numPr>
        <w:adjustRightInd w:val="0"/>
        <w:snapToGrid w:val="0"/>
        <w:spacing w:line="400" w:lineRule="exact"/>
        <w:ind w:leftChars="200"/>
        <w:rPr>
          <w:rFonts w:eastAsia="宋体" w:cs="宋体"/>
          <w:color w:val="auto"/>
          <w:szCs w:val="24"/>
          <w:highlight w:val="none"/>
        </w:rPr>
      </w:pPr>
      <w:r>
        <w:rPr>
          <w:rFonts w:eastAsia="宋体" w:cs="宋体"/>
          <w:color w:val="auto"/>
          <w:szCs w:val="24"/>
          <w:highlight w:val="none"/>
        </w:rPr>
        <w:t>（3）项目内容：</w:t>
      </w:r>
    </w:p>
    <w:p w14:paraId="5911CA4A">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采购标的及数量（台/套</w:t>
      </w:r>
      <w:r>
        <w:rPr>
          <w:rFonts w:ascii="宋体" w:hAnsi="宋体" w:eastAsia="宋体" w:cs="宋体"/>
          <w:color w:val="auto"/>
          <w:sz w:val="24"/>
          <w:szCs w:val="24"/>
          <w:highlight w:val="none"/>
          <w:lang w:val="en"/>
        </w:rPr>
        <w:t>/个/架/组等</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详见投标报价明细表  </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1A8A5951">
      <w:pPr>
        <w:adjustRightInd w:val="0"/>
        <w:snapToGrid w:val="0"/>
        <w:spacing w:line="400" w:lineRule="exact"/>
        <w:ind w:firstLine="480" w:firstLineChars="200"/>
        <w:rPr>
          <w:rFonts w:ascii="宋体" w:hAnsi="宋体" w:eastAsia="宋体" w:cs="宋体"/>
          <w:color w:val="auto"/>
          <w:sz w:val="24"/>
          <w:szCs w:val="24"/>
          <w:highlight w:val="none"/>
          <w:lang w:val="en"/>
        </w:rPr>
      </w:pPr>
      <w:r>
        <w:rPr>
          <w:rFonts w:ascii="宋体" w:hAnsi="宋体" w:eastAsia="宋体" w:cs="宋体"/>
          <w:color w:val="auto"/>
          <w:sz w:val="24"/>
          <w:szCs w:val="24"/>
          <w:highlight w:val="none"/>
        </w:rPr>
        <w:t xml:space="preserve">     品牌：</w:t>
      </w:r>
      <w:r>
        <w:rPr>
          <w:rFonts w:ascii="宋体" w:hAnsi="宋体" w:eastAsia="宋体" w:cs="宋体"/>
          <w:color w:val="auto"/>
          <w:sz w:val="24"/>
          <w:szCs w:val="24"/>
          <w:highlight w:val="none"/>
          <w:u w:val="single"/>
        </w:rPr>
        <w:t xml:space="preserve">详见投标报价明细表 </w:t>
      </w:r>
      <w:r>
        <w:rPr>
          <w:rFonts w:ascii="宋体" w:hAnsi="宋体" w:eastAsia="宋体" w:cs="宋体"/>
          <w:color w:val="auto"/>
          <w:sz w:val="24"/>
          <w:szCs w:val="24"/>
          <w:highlight w:val="none"/>
          <w:lang w:val="en"/>
        </w:rPr>
        <w:t xml:space="preserve">    </w:t>
      </w:r>
      <w:r>
        <w:rPr>
          <w:rFonts w:ascii="宋体" w:hAnsi="宋体" w:eastAsia="宋体" w:cs="宋体"/>
          <w:color w:val="auto"/>
          <w:sz w:val="24"/>
          <w:szCs w:val="24"/>
          <w:highlight w:val="none"/>
        </w:rPr>
        <w:t>规格型号：</w:t>
      </w:r>
      <w:r>
        <w:rPr>
          <w:rFonts w:ascii="宋体" w:hAnsi="宋体" w:eastAsia="宋体" w:cs="宋体"/>
          <w:color w:val="auto"/>
          <w:sz w:val="24"/>
          <w:szCs w:val="24"/>
          <w:highlight w:val="none"/>
          <w:u w:val="single"/>
        </w:rPr>
        <w:t xml:space="preserve"> 详见投标报价明细表</w:t>
      </w:r>
      <w:r>
        <w:rPr>
          <w:rFonts w:ascii="宋体" w:hAnsi="宋体" w:eastAsia="宋体" w:cs="宋体"/>
          <w:color w:val="auto"/>
          <w:sz w:val="24"/>
          <w:szCs w:val="24"/>
          <w:highlight w:val="none"/>
          <w:u w:val="single"/>
          <w:lang w:val="en"/>
        </w:rPr>
        <w:t xml:space="preserve"> </w:t>
      </w:r>
    </w:p>
    <w:p w14:paraId="4891497F">
      <w:pPr>
        <w:adjustRightInd w:val="0"/>
        <w:snapToGrid w:val="0"/>
        <w:spacing w:line="400" w:lineRule="exact"/>
        <w:ind w:firstLine="1080" w:firstLineChars="45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采购标的的技术要求、商务要求具体见投标文件。</w:t>
      </w:r>
    </w:p>
    <w:p w14:paraId="08BD7B83">
      <w:pPr>
        <w:pStyle w:val="32"/>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6837F30E">
      <w:pPr>
        <w:pStyle w:val="32"/>
        <w:snapToGrid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45744F34">
      <w:pPr>
        <w:pStyle w:val="32"/>
        <w:snapToGrid w:val="0"/>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1A0F660B">
      <w:pPr>
        <w:pStyle w:val="32"/>
        <w:snapToGrid w:val="0"/>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FE"/>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5BCA79E7">
      <w:pPr>
        <w:adjustRightInd w:val="0"/>
        <w:snapToGrid w:val="0"/>
        <w:spacing w:line="400" w:lineRule="exact"/>
        <w:ind w:firstLine="1080" w:firstLineChars="450"/>
        <w:rPr>
          <w:rFonts w:ascii="宋体" w:hAnsi="宋体" w:eastAsia="宋体" w:cs="宋体"/>
          <w:color w:val="auto"/>
          <w:sz w:val="24"/>
          <w:szCs w:val="24"/>
          <w:highlight w:val="none"/>
        </w:rPr>
      </w:pPr>
      <w:r>
        <w:rPr>
          <w:rFonts w:ascii="宋体" w:hAnsi="宋体" w:eastAsia="宋体" w:cs="宋体"/>
          <w:color w:val="auto"/>
          <w:sz w:val="24"/>
          <w:szCs w:val="24"/>
          <w:highlight w:val="none"/>
        </w:rPr>
        <w:t>本合同是否为专门面向中小企业的采购合同（中小企业预留合同）：</w:t>
      </w:r>
      <w:r>
        <w:rPr>
          <w:rFonts w:ascii="宋体" w:hAnsi="宋体" w:eastAsia="宋体" w:cs="宋体"/>
          <w:color w:val="auto"/>
          <w:sz w:val="24"/>
          <w:szCs w:val="24"/>
          <w:highlight w:val="none"/>
        </w:rPr>
        <w:sym w:font="Wingdings" w:char="00FE"/>
      </w:r>
      <w:r>
        <w:rPr>
          <w:rFonts w:ascii="宋体" w:hAnsi="宋体" w:eastAsia="宋体" w:cs="宋体"/>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否</w:t>
      </w:r>
    </w:p>
    <w:p w14:paraId="01B37ED2">
      <w:pPr>
        <w:adjustRightInd w:val="0"/>
        <w:snapToGrid w:val="0"/>
        <w:spacing w:line="400" w:lineRule="exact"/>
        <w:ind w:firstLine="1080" w:firstLineChars="450"/>
        <w:rPr>
          <w:rFonts w:ascii="宋体" w:hAnsi="宋体" w:eastAsia="宋体" w:cs="宋体"/>
          <w:color w:val="auto"/>
          <w:sz w:val="24"/>
          <w:szCs w:val="24"/>
          <w:highlight w:val="none"/>
        </w:rPr>
      </w:pPr>
      <w:r>
        <w:rPr>
          <w:rFonts w:ascii="宋体" w:hAnsi="宋体" w:eastAsia="宋体" w:cs="宋体"/>
          <w:color w:val="auto"/>
          <w:sz w:val="24"/>
          <w:szCs w:val="24"/>
          <w:highlight w:val="none"/>
        </w:rPr>
        <w:t>若本项目不专门面向中小企业采购，是否给予小微企业评审优惠：</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否</w:t>
      </w:r>
    </w:p>
    <w:p w14:paraId="5E14E0FB">
      <w:pPr>
        <w:adjustRightInd w:val="0"/>
        <w:snapToGrid w:val="0"/>
        <w:spacing w:line="400" w:lineRule="exact"/>
        <w:ind w:firstLine="1080" w:firstLineChars="450"/>
        <w:rPr>
          <w:rFonts w:ascii="宋体" w:hAnsi="宋体" w:eastAsia="宋体" w:cs="宋体"/>
          <w:color w:val="auto"/>
          <w:sz w:val="24"/>
          <w:szCs w:val="24"/>
          <w:highlight w:val="none"/>
        </w:rPr>
      </w:pPr>
      <w:r>
        <w:rPr>
          <w:rFonts w:ascii="宋体" w:hAnsi="宋体" w:eastAsia="宋体" w:cs="宋体"/>
          <w:color w:val="auto"/>
          <w:sz w:val="24"/>
          <w:szCs w:val="24"/>
          <w:highlight w:val="none"/>
        </w:rPr>
        <w:t>中标（成交）采购标的制造商是否为残疾人福利性单位：</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否</w:t>
      </w:r>
    </w:p>
    <w:p w14:paraId="6207DAD8">
      <w:pPr>
        <w:adjustRightInd w:val="0"/>
        <w:snapToGrid w:val="0"/>
        <w:spacing w:line="400" w:lineRule="exact"/>
        <w:ind w:firstLine="1080" w:firstLineChars="450"/>
        <w:rPr>
          <w:rFonts w:ascii="宋体" w:hAnsi="宋体" w:eastAsia="宋体" w:cs="宋体"/>
          <w:color w:val="auto"/>
          <w:sz w:val="24"/>
          <w:szCs w:val="24"/>
          <w:highlight w:val="none"/>
        </w:rPr>
      </w:pPr>
      <w:r>
        <w:rPr>
          <w:rFonts w:ascii="宋体" w:hAnsi="宋体" w:eastAsia="宋体" w:cs="宋体"/>
          <w:color w:val="auto"/>
          <w:sz w:val="24"/>
          <w:szCs w:val="24"/>
          <w:highlight w:val="none"/>
        </w:rPr>
        <w:t>中标（成交）采购标的制造商是否为监狱企业：</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是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否</w:t>
      </w:r>
    </w:p>
    <w:p w14:paraId="62638342">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en"/>
        </w:rPr>
        <w:t>7</w:t>
      </w:r>
      <w:r>
        <w:rPr>
          <w:rFonts w:ascii="宋体" w:hAnsi="宋体" w:eastAsia="宋体" w:cs="宋体"/>
          <w:color w:val="auto"/>
          <w:sz w:val="24"/>
          <w:szCs w:val="24"/>
          <w:highlight w:val="none"/>
        </w:rPr>
        <w:t>）合同是否分包：</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是       </w:t>
      </w:r>
      <w:r>
        <w:rPr>
          <w:rFonts w:ascii="宋体" w:hAnsi="宋体" w:eastAsia="宋体" w:cs="宋体"/>
          <w:iCs/>
          <w:color w:val="auto"/>
          <w:sz w:val="24"/>
          <w:szCs w:val="24"/>
          <w:highlight w:val="none"/>
        </w:rPr>
        <w:sym w:font="Wingdings" w:char="00FE"/>
      </w:r>
      <w:r>
        <w:rPr>
          <w:rFonts w:ascii="宋体" w:hAnsi="宋体" w:eastAsia="宋体" w:cs="宋体"/>
          <w:iCs/>
          <w:color w:val="auto"/>
          <w:sz w:val="24"/>
          <w:szCs w:val="24"/>
          <w:highlight w:val="none"/>
        </w:rPr>
        <w:t>否</w:t>
      </w:r>
    </w:p>
    <w:p w14:paraId="1EAF5F4F">
      <w:pPr>
        <w:adjustRightInd w:val="0"/>
        <w:snapToGrid w:val="0"/>
        <w:spacing w:line="400" w:lineRule="exact"/>
        <w:ind w:firstLine="960" w:firstLineChars="4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 xml:space="preserve"> 分包主要内容：</w:t>
      </w:r>
      <w:r>
        <w:rPr>
          <w:rFonts w:ascii="宋体" w:hAnsi="宋体" w:eastAsia="宋体" w:cs="宋体"/>
          <w:color w:val="auto"/>
          <w:sz w:val="24"/>
          <w:szCs w:val="24"/>
          <w:highlight w:val="none"/>
          <w:u w:val="single"/>
        </w:rPr>
        <w:t xml:space="preserve">       /      </w:t>
      </w:r>
    </w:p>
    <w:p w14:paraId="48E8157E">
      <w:pPr>
        <w:adjustRightInd w:val="0"/>
        <w:snapToGrid w:val="0"/>
        <w:spacing w:line="400" w:lineRule="exact"/>
        <w:ind w:firstLine="960" w:firstLineChars="4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 xml:space="preserve"> 分包供应商/制造商名称（如供应商和制造商不同，请分别填写）：</w:t>
      </w:r>
      <w:r>
        <w:rPr>
          <w:rFonts w:ascii="宋体" w:hAnsi="宋体" w:eastAsia="宋体" w:cs="宋体"/>
          <w:color w:val="auto"/>
          <w:sz w:val="24"/>
          <w:szCs w:val="24"/>
          <w:highlight w:val="none"/>
          <w:u w:val="single"/>
        </w:rPr>
        <w:t xml:space="preserve">      /      </w:t>
      </w:r>
    </w:p>
    <w:p w14:paraId="0A8D5AAB">
      <w:pPr>
        <w:adjustRightInd w:val="0"/>
        <w:snapToGrid w:val="0"/>
        <w:spacing w:line="400" w:lineRule="exact"/>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分包供应商/制造商类型（如果供应商和制造商不同，只填写制造商类型）：</w:t>
      </w:r>
    </w:p>
    <w:p w14:paraId="6BDC0811">
      <w:pPr>
        <w:adjustRightInd w:val="0"/>
        <w:snapToGrid w:val="0"/>
        <w:spacing w:line="400" w:lineRule="exact"/>
        <w:ind w:firstLine="960" w:firstLineChars="400"/>
        <w:rPr>
          <w:rFonts w:ascii="宋体" w:hAnsi="宋体" w:eastAsia="宋体" w:cs="宋体"/>
          <w:iCs/>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大型企业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中型企业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小微型企业  </w:t>
      </w:r>
    </w:p>
    <w:p w14:paraId="732E6BFC">
      <w:pPr>
        <w:adjustRightInd w:val="0"/>
        <w:snapToGrid w:val="0"/>
        <w:spacing w:line="400" w:lineRule="exact"/>
        <w:ind w:firstLine="960" w:firstLineChars="400"/>
        <w:rPr>
          <w:rFonts w:ascii="宋体" w:hAnsi="宋体" w:eastAsia="宋体" w:cs="宋体"/>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残疾人福利性单位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监狱企业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其他</w:t>
      </w:r>
    </w:p>
    <w:p w14:paraId="56F18D78">
      <w:pPr>
        <w:adjustRightInd w:val="0"/>
        <w:snapToGrid w:val="0"/>
        <w:spacing w:line="400" w:lineRule="exact"/>
        <w:rPr>
          <w:rFonts w:ascii="宋体" w:hAnsi="宋体" w:eastAsia="宋体" w:cs="宋体"/>
          <w:iCs/>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lang w:val="en"/>
        </w:rPr>
        <w:t>8</w:t>
      </w:r>
      <w:r>
        <w:rPr>
          <w:rFonts w:ascii="宋体" w:hAnsi="宋体" w:eastAsia="宋体" w:cs="宋体"/>
          <w:color w:val="auto"/>
          <w:sz w:val="24"/>
          <w:szCs w:val="24"/>
          <w:highlight w:val="none"/>
        </w:rPr>
        <w:t>）中标（成交）供应商是否为外商投资企业：</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是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否</w:t>
      </w:r>
    </w:p>
    <w:p w14:paraId="0BCD163B">
      <w:pPr>
        <w:pStyle w:val="32"/>
        <w:tabs>
          <w:tab w:val="left" w:pos="1340"/>
        </w:tabs>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55DA7C8C">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ascii="宋体" w:hAnsi="宋体" w:eastAsia="宋体" w:cs="宋体"/>
          <w:color w:val="auto"/>
          <w:sz w:val="24"/>
          <w:szCs w:val="24"/>
          <w:highlight w:val="none"/>
          <w:lang w:val="en"/>
        </w:rPr>
        <w:t>9</w:t>
      </w:r>
      <w:r>
        <w:rPr>
          <w:rFonts w:ascii="宋体" w:hAnsi="宋体" w:eastAsia="宋体" w:cs="宋体"/>
          <w:color w:val="auto"/>
          <w:sz w:val="24"/>
          <w:szCs w:val="24"/>
          <w:highlight w:val="none"/>
        </w:rPr>
        <w:t>）是否涉及进口产品：</w:t>
      </w:r>
    </w:p>
    <w:p w14:paraId="39E8D9A8">
      <w:pPr>
        <w:adjustRightInd w:val="0"/>
        <w:snapToGrid w:val="0"/>
        <w:spacing w:line="400" w:lineRule="exact"/>
        <w:ind w:firstLine="960" w:firstLineChars="4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是，《政府采购品目分类目录》底级品目名称：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金额：</w:t>
      </w:r>
      <w:r>
        <w:rPr>
          <w:rFonts w:ascii="宋体" w:hAnsi="宋体" w:eastAsia="宋体" w:cs="宋体"/>
          <w:color w:val="auto"/>
          <w:sz w:val="24"/>
          <w:szCs w:val="24"/>
          <w:highlight w:val="none"/>
          <w:u w:val="single"/>
        </w:rPr>
        <w:t xml:space="preserve">        </w:t>
      </w:r>
    </w:p>
    <w:p w14:paraId="34F2D0DB">
      <w:pPr>
        <w:adjustRightInd w:val="0"/>
        <w:snapToGrid w:val="0"/>
        <w:spacing w:line="400" w:lineRule="exact"/>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国别：</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品牌：</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规格型号：</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62433EB1">
      <w:pPr>
        <w:adjustRightInd w:val="0"/>
        <w:snapToGrid w:val="0"/>
        <w:spacing w:line="400" w:lineRule="exact"/>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sym w:font="Wingdings" w:char="00FE"/>
      </w:r>
      <w:r>
        <w:rPr>
          <w:rFonts w:ascii="宋体" w:hAnsi="宋体" w:eastAsia="宋体" w:cs="宋体"/>
          <w:color w:val="auto"/>
          <w:sz w:val="24"/>
          <w:szCs w:val="24"/>
          <w:highlight w:val="none"/>
        </w:rPr>
        <w:t>否</w:t>
      </w:r>
    </w:p>
    <w:p w14:paraId="48C90409">
      <w:pPr>
        <w:tabs>
          <w:tab w:val="left" w:pos="740"/>
        </w:tabs>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（1</w:t>
      </w:r>
      <w:r>
        <w:rPr>
          <w:rFonts w:ascii="宋体" w:hAnsi="宋体" w:eastAsia="宋体" w:cs="宋体"/>
          <w:color w:val="auto"/>
          <w:sz w:val="24"/>
          <w:szCs w:val="24"/>
          <w:highlight w:val="none"/>
          <w:lang w:val="en"/>
        </w:rPr>
        <w:t>0</w:t>
      </w:r>
      <w:r>
        <w:rPr>
          <w:rFonts w:ascii="宋体" w:hAnsi="宋体" w:eastAsia="宋体" w:cs="宋体"/>
          <w:color w:val="auto"/>
          <w:sz w:val="24"/>
          <w:szCs w:val="24"/>
          <w:highlight w:val="none"/>
        </w:rPr>
        <w:t>）</w:t>
      </w:r>
      <w:r>
        <w:rPr>
          <w:rFonts w:ascii="宋体" w:hAnsi="宋体" w:eastAsia="宋体" w:cs="宋体"/>
          <w:b/>
          <w:bCs/>
          <w:color w:val="auto"/>
          <w:sz w:val="24"/>
          <w:szCs w:val="24"/>
          <w:highlight w:val="none"/>
        </w:rPr>
        <w:t>是否涉及节能产品：</w:t>
      </w:r>
    </w:p>
    <w:p w14:paraId="62ACB126">
      <w:pPr>
        <w:tabs>
          <w:tab w:val="left" w:pos="740"/>
        </w:tabs>
        <w:adjustRightInd w:val="0"/>
        <w:snapToGrid w:val="0"/>
        <w:spacing w:line="400" w:lineRule="exact"/>
        <w:rPr>
          <w:rFonts w:ascii="宋体" w:hAnsi="宋体" w:eastAsia="宋体" w:cs="宋体"/>
          <w:iCs/>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是，《节能产品政府采购品目清单》的底级品目名称：</w:t>
      </w:r>
      <w:r>
        <w:rPr>
          <w:rFonts w:ascii="宋体" w:hAnsi="宋体" w:eastAsia="宋体" w:cs="宋体"/>
          <w:color w:val="auto"/>
          <w:sz w:val="24"/>
          <w:szCs w:val="24"/>
          <w:highlight w:val="none"/>
          <w:u w:val="single"/>
        </w:rPr>
        <w:t xml:space="preserve">         </w:t>
      </w:r>
      <w:r>
        <w:rPr>
          <w:rFonts w:ascii="宋体" w:hAnsi="宋体" w:eastAsia="宋体" w:cs="宋体"/>
          <w:iCs/>
          <w:color w:val="auto"/>
          <w:sz w:val="24"/>
          <w:szCs w:val="24"/>
          <w:highlight w:val="none"/>
        </w:rPr>
        <w:t xml:space="preserve">     </w:t>
      </w:r>
    </w:p>
    <w:p w14:paraId="1614DD84">
      <w:pPr>
        <w:tabs>
          <w:tab w:val="left" w:pos="740"/>
        </w:tabs>
        <w:adjustRightInd w:val="0"/>
        <w:snapToGrid w:val="0"/>
        <w:spacing w:line="400" w:lineRule="exact"/>
        <w:rPr>
          <w:rFonts w:ascii="宋体" w:hAnsi="宋体" w:eastAsia="宋体" w:cs="宋体"/>
          <w:iCs/>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强制采购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优先采购    </w:t>
      </w:r>
    </w:p>
    <w:p w14:paraId="3982DB35">
      <w:pPr>
        <w:tabs>
          <w:tab w:val="left" w:pos="740"/>
        </w:tabs>
        <w:adjustRightInd w:val="0"/>
        <w:snapToGrid w:val="0"/>
        <w:spacing w:line="400" w:lineRule="exact"/>
        <w:rPr>
          <w:rFonts w:ascii="宋体" w:hAnsi="宋体" w:eastAsia="宋体" w:cs="宋体"/>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否</w:t>
      </w:r>
    </w:p>
    <w:p w14:paraId="6C205A51">
      <w:pPr>
        <w:tabs>
          <w:tab w:val="left" w:pos="740"/>
        </w:tabs>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b/>
          <w:bCs/>
          <w:color w:val="auto"/>
          <w:sz w:val="24"/>
          <w:szCs w:val="24"/>
          <w:highlight w:val="none"/>
        </w:rPr>
        <w:t xml:space="preserve"> 是否涉及环境标志产品：</w:t>
      </w:r>
    </w:p>
    <w:p w14:paraId="3035BC01">
      <w:pPr>
        <w:tabs>
          <w:tab w:val="left" w:pos="740"/>
        </w:tabs>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是，《环境标志产品政府采购品目清单》的底级品目名称：</w:t>
      </w:r>
      <w:r>
        <w:rPr>
          <w:rFonts w:ascii="宋体" w:hAnsi="宋体" w:eastAsia="宋体" w:cs="宋体"/>
          <w:color w:val="auto"/>
          <w:sz w:val="24"/>
          <w:szCs w:val="24"/>
          <w:highlight w:val="none"/>
          <w:u w:val="single"/>
        </w:rPr>
        <w:t xml:space="preserve">         </w:t>
      </w:r>
      <w:r>
        <w:rPr>
          <w:rFonts w:ascii="宋体" w:hAnsi="宋体" w:eastAsia="宋体" w:cs="宋体"/>
          <w:iCs/>
          <w:color w:val="auto"/>
          <w:sz w:val="24"/>
          <w:szCs w:val="24"/>
          <w:highlight w:val="none"/>
        </w:rPr>
        <w:t xml:space="preserve"> </w:t>
      </w:r>
    </w:p>
    <w:p w14:paraId="187A3F78">
      <w:pPr>
        <w:tabs>
          <w:tab w:val="left" w:pos="740"/>
        </w:tabs>
        <w:adjustRightInd w:val="0"/>
        <w:snapToGrid w:val="0"/>
        <w:spacing w:line="400" w:lineRule="exact"/>
        <w:rPr>
          <w:rFonts w:ascii="宋体" w:hAnsi="宋体" w:eastAsia="宋体" w:cs="宋体"/>
          <w:iCs/>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强制采购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优先采购    </w:t>
      </w:r>
    </w:p>
    <w:p w14:paraId="24E18E8D">
      <w:pPr>
        <w:tabs>
          <w:tab w:val="left" w:pos="740"/>
        </w:tabs>
        <w:adjustRightInd w:val="0"/>
        <w:snapToGrid w:val="0"/>
        <w:spacing w:line="400" w:lineRule="exact"/>
        <w:rPr>
          <w:rFonts w:ascii="宋体" w:hAnsi="宋体" w:eastAsia="宋体" w:cs="宋体"/>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否</w:t>
      </w:r>
    </w:p>
    <w:p w14:paraId="7C267449">
      <w:pPr>
        <w:pStyle w:val="32"/>
        <w:snapToGrid w:val="0"/>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
          <w:sz w:val="24"/>
          <w:szCs w:val="24"/>
          <w:highlight w:val="none"/>
        </w:rPr>
        <w:t xml:space="preserve">是否涉及绿色产品： </w:t>
      </w:r>
    </w:p>
    <w:p w14:paraId="6A481625">
      <w:pPr>
        <w:pStyle w:val="32"/>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6A866C92">
      <w:pPr>
        <w:tabs>
          <w:tab w:val="left" w:pos="740"/>
        </w:tabs>
        <w:adjustRightInd w:val="0"/>
        <w:snapToGrid w:val="0"/>
        <w:spacing w:line="400" w:lineRule="exact"/>
        <w:rPr>
          <w:rFonts w:ascii="宋体" w:hAnsi="宋体" w:eastAsia="宋体" w:cs="宋体"/>
          <w:iCs/>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强制采购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优先采购    </w:t>
      </w:r>
    </w:p>
    <w:p w14:paraId="420002CB">
      <w:pPr>
        <w:pStyle w:val="32"/>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1577F2DA">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（1</w:t>
      </w:r>
      <w:r>
        <w:rPr>
          <w:rFonts w:ascii="宋体" w:hAnsi="宋体" w:eastAsia="宋体" w:cs="宋体"/>
          <w:color w:val="auto"/>
          <w:sz w:val="24"/>
          <w:szCs w:val="24"/>
          <w:highlight w:val="none"/>
          <w:lang w:val="en"/>
        </w:rPr>
        <w:t>1</w:t>
      </w:r>
      <w:r>
        <w:rPr>
          <w:rFonts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35AC4526">
      <w:pPr>
        <w:adjustRightInd w:val="0"/>
        <w:snapToGrid w:val="0"/>
        <w:spacing w:line="400" w:lineRule="exact"/>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 xml:space="preserve">否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不涉及</w:t>
      </w:r>
    </w:p>
    <w:p w14:paraId="2CE5A63C">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合同金额</w:t>
      </w:r>
    </w:p>
    <w:p w14:paraId="01272710">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（1）合同金额小写：</w:t>
      </w:r>
      <w:r>
        <w:rPr>
          <w:rFonts w:ascii="宋体" w:hAnsi="宋体" w:eastAsia="宋体" w:cs="宋体"/>
          <w:color w:val="auto"/>
          <w:sz w:val="24"/>
          <w:szCs w:val="24"/>
          <w:highlight w:val="none"/>
          <w:u w:val="single"/>
        </w:rPr>
        <w:t xml:space="preserve">                           </w:t>
      </w:r>
    </w:p>
    <w:p w14:paraId="56124D6E">
      <w:pPr>
        <w:adjustRightInd w:val="0"/>
        <w:snapToGrid w:val="0"/>
        <w:spacing w:line="400" w:lineRule="exac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 xml:space="preserve">                 大写：</w:t>
      </w:r>
      <w:r>
        <w:rPr>
          <w:rFonts w:ascii="宋体" w:hAnsi="宋体" w:eastAsia="宋体" w:cs="宋体"/>
          <w:color w:val="auto"/>
          <w:sz w:val="24"/>
          <w:szCs w:val="24"/>
          <w:highlight w:val="none"/>
          <w:u w:val="single"/>
        </w:rPr>
        <w:t xml:space="preserve">                           </w:t>
      </w:r>
    </w:p>
    <w:p w14:paraId="17314CC8">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分包金额（如有）小写：</w:t>
      </w:r>
      <w:r>
        <w:rPr>
          <w:rFonts w:ascii="宋体" w:hAnsi="宋体" w:eastAsia="宋体" w:cs="宋体"/>
          <w:color w:val="auto"/>
          <w:sz w:val="24"/>
          <w:szCs w:val="24"/>
          <w:highlight w:val="none"/>
          <w:u w:val="single"/>
        </w:rPr>
        <w:t xml:space="preserve">         /          </w:t>
      </w:r>
    </w:p>
    <w:p w14:paraId="595B4F19">
      <w:pPr>
        <w:adjustRightInd w:val="0"/>
        <w:snapToGrid w:val="0"/>
        <w:spacing w:line="400" w:lineRule="exac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 xml:space="preserve">                         大写：</w:t>
      </w:r>
      <w:r>
        <w:rPr>
          <w:rFonts w:ascii="宋体" w:hAnsi="宋体" w:eastAsia="宋体" w:cs="宋体"/>
          <w:color w:val="auto"/>
          <w:sz w:val="24"/>
          <w:szCs w:val="24"/>
          <w:highlight w:val="none"/>
          <w:u w:val="single"/>
        </w:rPr>
        <w:t xml:space="preserve">         /          </w:t>
      </w:r>
    </w:p>
    <w:p w14:paraId="1EF66600">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sym w:font="Wingdings 2" w:char="00A3"/>
      </w:r>
      <w:r>
        <w:rPr>
          <w:rFonts w:ascii="宋体" w:hAnsi="宋体" w:eastAsia="宋体" w:cs="宋体"/>
          <w:color w:val="auto"/>
          <w:sz w:val="24"/>
          <w:szCs w:val="24"/>
          <w:highlight w:val="none"/>
        </w:rPr>
        <w:t>注：固定单价合同应填写单价和最高限价）</w:t>
      </w:r>
    </w:p>
    <w:p w14:paraId="6DB3C166">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（2）合同定价方式（采用组合定价方式的，可以勾选多项）：</w:t>
      </w:r>
    </w:p>
    <w:p w14:paraId="240F5720">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iCs/>
          <w:color w:val="auto"/>
          <w:sz w:val="24"/>
          <w:szCs w:val="24"/>
          <w:highlight w:val="none"/>
        </w:rPr>
        <w:t xml:space="preserve">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固定总价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固定单价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固定费率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成本补偿 </w:t>
      </w:r>
      <w:r>
        <w:rPr>
          <w:rFonts w:ascii="宋体" w:hAnsi="宋体" w:eastAsia="宋体" w:cs="宋体"/>
          <w:iCs/>
          <w:color w:val="auto"/>
          <w:sz w:val="24"/>
          <w:szCs w:val="24"/>
          <w:highlight w:val="none"/>
        </w:rPr>
        <w:sym w:font="Wingdings" w:char="00A8"/>
      </w:r>
      <w:r>
        <w:rPr>
          <w:rFonts w:ascii="宋体" w:hAnsi="宋体" w:eastAsia="宋体" w:cs="宋体"/>
          <w:iCs/>
          <w:color w:val="auto"/>
          <w:sz w:val="24"/>
          <w:szCs w:val="24"/>
          <w:highlight w:val="none"/>
        </w:rPr>
        <w:t xml:space="preserve">绩效激励 </w:t>
      </w:r>
      <w:r>
        <w:rPr>
          <w:rFonts w:ascii="宋体" w:hAnsi="宋体" w:eastAsia="宋体" w:cs="宋体"/>
          <w:iCs/>
          <w:color w:val="auto"/>
          <w:sz w:val="24"/>
          <w:szCs w:val="24"/>
          <w:highlight w:val="none"/>
        </w:rPr>
        <w:sym w:font="Wingdings" w:char="00FE"/>
      </w:r>
      <w:r>
        <w:rPr>
          <w:rFonts w:ascii="宋体" w:hAnsi="宋体" w:eastAsia="宋体" w:cs="宋体"/>
          <w:iCs/>
          <w:color w:val="auto"/>
          <w:sz w:val="24"/>
          <w:szCs w:val="24"/>
          <w:highlight w:val="none"/>
        </w:rPr>
        <w:t>其他</w:t>
      </w:r>
      <w:r>
        <w:rPr>
          <w:rFonts w:ascii="宋体" w:hAnsi="宋体" w:eastAsia="宋体" w:cs="宋体"/>
          <w:color w:val="auto"/>
          <w:sz w:val="24"/>
          <w:szCs w:val="24"/>
          <w:highlight w:val="none"/>
          <w:u w:val="single"/>
        </w:rPr>
        <w:t xml:space="preserve"> 本项目采用固定总价包干的方式，即乙方完成合同范围内的全部工作内容的完工价格，并由乙方开具正式发票；如果乙方货物数量或货物明细有减少的，按投标报价情况相应扣减项目结算款。</w:t>
      </w:r>
    </w:p>
    <w:p w14:paraId="7B8E1DD8">
      <w:pPr>
        <w:pStyle w:val="76"/>
        <w:spacing w:line="400" w:lineRule="exact"/>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（3）付款方式（按项目实际勾选填写）：</w:t>
      </w:r>
    </w:p>
    <w:p w14:paraId="6BCEF276">
      <w:pPr>
        <w:snapToGrid w:val="0"/>
        <w:spacing w:before="156" w:beforeLines="50" w:line="400" w:lineRule="exact"/>
        <w:ind w:firstLine="720" w:firstLineChars="300"/>
        <w:rPr>
          <w:rFonts w:hint="eastAsia" w:ascii="宋体" w:hAnsi="宋体" w:eastAsia="宋体" w:cs="宋体"/>
          <w:color w:val="auto"/>
          <w:sz w:val="24"/>
          <w:szCs w:val="24"/>
          <w:highlight w:val="none"/>
          <w:u w:val="single"/>
          <w:lang w:val="zh-CN" w:eastAsia="zh-CN"/>
        </w:rPr>
      </w:pPr>
      <w:r>
        <w:rPr>
          <w:rFonts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无预付款分期</w:t>
      </w:r>
      <w:r>
        <w:rPr>
          <w:rFonts w:ascii="宋体" w:hAnsi="宋体" w:eastAsia="宋体" w:cs="宋体"/>
          <w:color w:val="auto"/>
          <w:sz w:val="24"/>
          <w:szCs w:val="24"/>
          <w:highlight w:val="none"/>
        </w:rPr>
        <w:t>付款：</w:t>
      </w:r>
      <w:r>
        <w:rPr>
          <w:rFonts w:hint="eastAsia" w:ascii="宋体" w:hAnsi="宋体" w:eastAsia="宋体" w:cs="宋体"/>
          <w:color w:val="auto"/>
          <w:sz w:val="24"/>
          <w:szCs w:val="24"/>
          <w:highlight w:val="none"/>
          <w:u w:val="single"/>
          <w:lang w:val="en-US" w:eastAsia="zh-CN"/>
        </w:rPr>
        <w:t>①</w:t>
      </w:r>
      <w:r>
        <w:rPr>
          <w:rFonts w:hint="eastAsia" w:ascii="宋体" w:hAnsi="宋体" w:eastAsia="宋体" w:cs="宋体"/>
          <w:color w:val="auto"/>
          <w:sz w:val="24"/>
          <w:szCs w:val="24"/>
          <w:highlight w:val="none"/>
          <w:u w:val="single"/>
          <w:lang w:val="zh-CN"/>
        </w:rPr>
        <w:t>货物全部到场安装完成且验收合格后支付至合同价的90%;②剩余10%待承诺质保期满无异议后一次性付清</w:t>
      </w:r>
    </w:p>
    <w:p w14:paraId="0110B982">
      <w:pPr>
        <w:snapToGrid w:val="0"/>
        <w:spacing w:before="156" w:beforeLines="50" w:line="400" w:lineRule="exact"/>
        <w:ind w:firstLine="723" w:firstLineChars="300"/>
        <w:rPr>
          <w:rFonts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none"/>
          <w:lang w:val="en-US" w:eastAsia="zh-CN"/>
        </w:rPr>
        <w:t>注：①以上支付具体时间点以财政下拨款到甲方账户后一个月内支付。</w:t>
      </w:r>
    </w:p>
    <w:p w14:paraId="46D2EBD2">
      <w:pPr>
        <w:adjustRightInd w:val="0"/>
        <w:snapToGrid w:val="0"/>
        <w:spacing w:line="400" w:lineRule="exact"/>
        <w:ind w:firstLine="723" w:firstLineChars="300"/>
        <w:rPr>
          <w:rFonts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lang w:val="en-US" w:eastAsia="zh-CN"/>
        </w:rPr>
        <w:t>②</w:t>
      </w:r>
      <w:r>
        <w:rPr>
          <w:rFonts w:ascii="宋体" w:hAnsi="宋体" w:eastAsia="宋体" w:cs="宋体"/>
          <w:b/>
          <w:bCs/>
          <w:color w:val="auto"/>
          <w:sz w:val="24"/>
          <w:szCs w:val="24"/>
          <w:highlight w:val="none"/>
        </w:rPr>
        <w:t>在签订合同时，乙方明确表示无需预付款。</w:t>
      </w:r>
    </w:p>
    <w:p w14:paraId="08807640">
      <w:pPr>
        <w:snapToGrid w:val="0"/>
        <w:spacing w:before="156" w:beforeLines="50" w:line="400" w:lineRule="exact"/>
        <w:ind w:firstLine="720" w:firstLineChars="300"/>
        <w:rPr>
          <w:rFonts w:ascii="宋体" w:hAnsi="宋体" w:eastAsia="宋体" w:cs="宋体"/>
          <w:color w:val="auto"/>
          <w:sz w:val="24"/>
          <w:szCs w:val="24"/>
          <w:highlight w:val="none"/>
          <w:u w:val="single"/>
          <w:lang w:val="zh-CN"/>
        </w:rPr>
      </w:pP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lang w:eastAsia="zh-CN"/>
        </w:rPr>
        <w:t>①</w:t>
      </w:r>
      <w:r>
        <w:rPr>
          <w:rFonts w:ascii="宋体" w:hAnsi="宋体" w:eastAsia="宋体" w:cs="宋体"/>
          <w:color w:val="auto"/>
          <w:sz w:val="24"/>
          <w:szCs w:val="24"/>
          <w:highlight w:val="none"/>
          <w:u w:val="single"/>
          <w:lang w:val="zh-CN"/>
        </w:rPr>
        <w:t>合同生效以及具备实施条件后7个工作日内，甲方向乙方支付合同总额的40%作为预付款；</w:t>
      </w:r>
    </w:p>
    <w:p w14:paraId="3C1FB6FC">
      <w:pPr>
        <w:snapToGrid w:val="0"/>
        <w:spacing w:before="156" w:beforeLines="50" w:line="400" w:lineRule="exact"/>
        <w:ind w:firstLine="720" w:firstLineChars="3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②货物全部到场安装完成且验收合格后支付至合同价的90%;</w:t>
      </w:r>
    </w:p>
    <w:p w14:paraId="08DBAF7A">
      <w:pPr>
        <w:snapToGrid w:val="0"/>
        <w:spacing w:before="156" w:beforeLines="50" w:line="400" w:lineRule="exact"/>
        <w:ind w:firstLine="720" w:firstLineChars="3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zh-CN" w:eastAsia="zh-CN"/>
        </w:rPr>
        <w:t>③</w:t>
      </w:r>
      <w:r>
        <w:rPr>
          <w:rFonts w:hint="eastAsia" w:ascii="宋体" w:hAnsi="宋体" w:eastAsia="宋体" w:cs="宋体"/>
          <w:color w:val="auto"/>
          <w:sz w:val="24"/>
          <w:szCs w:val="24"/>
          <w:highlight w:val="none"/>
          <w:u w:val="single"/>
          <w:lang w:val="zh-CN"/>
        </w:rPr>
        <w:t>剩余10%待承诺质保期满无异议后一次性付清。</w:t>
      </w:r>
    </w:p>
    <w:p w14:paraId="6C97F93F">
      <w:pPr>
        <w:snapToGrid w:val="0"/>
        <w:spacing w:before="156" w:beforeLines="50" w:line="400" w:lineRule="exact"/>
        <w:ind w:firstLine="723" w:firstLineChars="300"/>
        <w:rPr>
          <w:rFonts w:ascii="宋体" w:hAnsi="宋体" w:eastAsia="宋体" w:cs="宋体"/>
          <w:b/>
          <w:bCs/>
          <w:color w:val="auto"/>
          <w:sz w:val="24"/>
          <w:szCs w:val="24"/>
          <w:highlight w:val="none"/>
          <w:u w:val="none"/>
          <w:lang w:val="zh-CN"/>
        </w:rPr>
      </w:pPr>
      <w:r>
        <w:rPr>
          <w:rFonts w:hint="eastAsia" w:ascii="宋体" w:hAnsi="宋体" w:eastAsia="宋体" w:cs="宋体"/>
          <w:b/>
          <w:bCs/>
          <w:color w:val="auto"/>
          <w:sz w:val="24"/>
          <w:szCs w:val="24"/>
          <w:highlight w:val="none"/>
          <w:u w:val="none"/>
          <w:lang w:val="en-US" w:eastAsia="zh-CN"/>
        </w:rPr>
        <w:t>注：以上支付具体时间点以财政下拨款到甲方账户后一个月内支付。</w:t>
      </w:r>
    </w:p>
    <w:p w14:paraId="37822460">
      <w:pPr>
        <w:snapToGrid w:val="0"/>
        <w:spacing w:line="400" w:lineRule="exact"/>
        <w:ind w:left="1200" w:leftChars="342" w:hanging="482" w:hangingChars="200"/>
        <w:rPr>
          <w:rFonts w:ascii="宋体" w:hAnsi="宋体" w:eastAsia="宋体" w:cs="宋体"/>
          <w:b/>
          <w:bCs/>
          <w:color w:val="auto"/>
          <w:sz w:val="24"/>
          <w:szCs w:val="24"/>
          <w:highlight w:val="none"/>
          <w:lang w:val="zh-CN"/>
        </w:rPr>
      </w:pPr>
      <w:r>
        <w:rPr>
          <w:rFonts w:ascii="宋体" w:hAnsi="宋体" w:eastAsia="宋体" w:cs="宋体"/>
          <w:b/>
          <w:bCs/>
          <w:color w:val="auto"/>
          <w:sz w:val="24"/>
          <w:szCs w:val="24"/>
          <w:highlight w:val="none"/>
        </w:rPr>
        <w:sym w:font="Wingdings" w:char="00A8"/>
      </w:r>
      <w:r>
        <w:rPr>
          <w:rFonts w:ascii="宋体" w:hAnsi="宋体" w:eastAsia="宋体" w:cs="宋体"/>
          <w:b/>
          <w:bCs/>
          <w:color w:val="auto"/>
          <w:sz w:val="24"/>
          <w:szCs w:val="24"/>
          <w:highlight w:val="none"/>
          <w:lang w:val="zh-CN"/>
        </w:rPr>
        <w:t>在签订合同时，</w:t>
      </w:r>
      <w:r>
        <w:rPr>
          <w:rFonts w:ascii="宋体" w:hAnsi="宋体" w:eastAsia="宋体" w:cs="宋体"/>
          <w:b/>
          <w:bCs/>
          <w:color w:val="auto"/>
          <w:sz w:val="24"/>
          <w:szCs w:val="24"/>
          <w:highlight w:val="none"/>
        </w:rPr>
        <w:t>乙方明确表示主动要求降低预付款比例的，双方协商确定</w:t>
      </w:r>
      <w:r>
        <w:rPr>
          <w:rFonts w:ascii="宋体" w:hAnsi="宋体" w:eastAsia="宋体" w:cs="宋体"/>
          <w:b/>
          <w:bCs/>
          <w:color w:val="auto"/>
          <w:sz w:val="24"/>
          <w:szCs w:val="24"/>
          <w:highlight w:val="none"/>
          <w:lang w:val="zh-CN"/>
        </w:rPr>
        <w:t>。</w:t>
      </w:r>
    </w:p>
    <w:p w14:paraId="16BA4866">
      <w:pPr>
        <w:snapToGrid w:val="0"/>
        <w:spacing w:line="400" w:lineRule="exact"/>
        <w:ind w:firstLine="723" w:firstLineChars="3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lang w:val="zh-CN"/>
        </w:rPr>
        <w:sym w:font="Wingdings" w:char="00A8"/>
      </w:r>
      <w:r>
        <w:rPr>
          <w:rFonts w:ascii="宋体" w:hAnsi="宋体" w:eastAsia="宋体" w:cs="宋体"/>
          <w:b/>
          <w:bCs/>
          <w:color w:val="auto"/>
          <w:sz w:val="24"/>
          <w:szCs w:val="24"/>
          <w:highlight w:val="none"/>
        </w:rPr>
        <w:t>甲方根据项目特点、乙方诚信等因素，可以要求乙方提交银行、保险公司等</w:t>
      </w:r>
    </w:p>
    <w:p w14:paraId="03783C83">
      <w:pPr>
        <w:snapToGrid w:val="0"/>
        <w:spacing w:line="40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金融机构出具的预付款保函或其他担保措施</w:t>
      </w:r>
      <w:r>
        <w:rPr>
          <w:rFonts w:ascii="宋体" w:hAnsi="宋体" w:eastAsia="宋体" w:cs="宋体"/>
          <w:b/>
          <w:bCs/>
          <w:color w:val="auto"/>
          <w:sz w:val="24"/>
          <w:szCs w:val="24"/>
          <w:highlight w:val="none"/>
          <w:lang w:val="zh-CN"/>
        </w:rPr>
        <w:t>。</w:t>
      </w:r>
    </w:p>
    <w:p w14:paraId="36B61DB2">
      <w:pPr>
        <w:snapToGrid w:val="0"/>
        <w:spacing w:line="400" w:lineRule="exact"/>
        <w:ind w:firstLine="480" w:firstLineChars="200"/>
        <w:rPr>
          <w:rFonts w:ascii="宋体" w:hAnsi="宋体" w:eastAsia="宋体" w:cs="宋体"/>
          <w:b/>
          <w:color w:val="auto"/>
          <w:sz w:val="24"/>
          <w:szCs w:val="24"/>
          <w:highlight w:val="none"/>
        </w:rPr>
      </w:pPr>
      <w:r>
        <w:rPr>
          <w:rStyle w:val="77"/>
          <w:rFonts w:hint="eastAsia" w:ascii="宋体" w:hAnsi="宋体" w:eastAsia="宋体" w:cs="宋体"/>
          <w:color w:val="auto"/>
          <w:szCs w:val="24"/>
          <w:highlight w:val="none"/>
          <w:lang w:val="zh-CN"/>
        </w:rPr>
        <w:t>为支持和促进中小企业发展，进一步发挥政府采购政策功能，浙江省财政厅出台浙财采监〔2020〕3 号文件，企业若有购买保险/保函或者融资意向，可登陆政采云平台融资服务（https://jinrong.zcygov.cn/），查看相应融资政策文件及各相关服务方案，咨询热线95763。</w:t>
      </w:r>
    </w:p>
    <w:p w14:paraId="039E00AC">
      <w:pPr>
        <w:adjustRightInd w:val="0"/>
        <w:snapToGrid w:val="0"/>
        <w:spacing w:line="400" w:lineRule="exact"/>
        <w:ind w:firstLine="720" w:firstLineChars="3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成本补偿：</w:t>
      </w:r>
      <w:r>
        <w:rPr>
          <w:rFonts w:ascii="宋体" w:hAnsi="宋体" w:eastAsia="宋体" w:cs="宋体"/>
          <w:color w:val="auto"/>
          <w:sz w:val="24"/>
          <w:szCs w:val="24"/>
          <w:highlight w:val="none"/>
          <w:u w:val="single"/>
        </w:rPr>
        <w:t xml:space="preserve">      （应明确按照成本补偿方式的支付方式和支付条件）   </w:t>
      </w:r>
    </w:p>
    <w:p w14:paraId="5F8C7324">
      <w:pPr>
        <w:adjustRightInd w:val="0"/>
        <w:snapToGrid w:val="0"/>
        <w:spacing w:line="400" w:lineRule="exact"/>
        <w:ind w:firstLine="720" w:firstLineChars="300"/>
        <w:rPr>
          <w:rFonts w:ascii="宋体" w:hAnsi="宋体" w:eastAsia="宋体" w:cs="宋体"/>
          <w:color w:val="auto"/>
          <w:sz w:val="24"/>
          <w:szCs w:val="24"/>
          <w:highlight w:val="none"/>
        </w:rPr>
      </w:pP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绩效激励：</w:t>
      </w:r>
      <w:r>
        <w:rPr>
          <w:rFonts w:ascii="宋体" w:hAnsi="宋体" w:eastAsia="宋体" w:cs="宋体"/>
          <w:color w:val="auto"/>
          <w:sz w:val="24"/>
          <w:szCs w:val="24"/>
          <w:highlight w:val="none"/>
          <w:u w:val="single"/>
        </w:rPr>
        <w:t xml:space="preserve">      （应明确按照绩效激励方式的支付方式和支付条件）   </w:t>
      </w:r>
    </w:p>
    <w:p w14:paraId="2A2A0FCF">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u w:val="single"/>
        </w:rPr>
      </w:pPr>
      <w:r>
        <w:rPr>
          <w:rFonts w:ascii="宋体" w:hAnsi="宋体" w:eastAsia="宋体" w:cs="宋体"/>
          <w:b/>
          <w:color w:val="auto"/>
          <w:sz w:val="24"/>
          <w:szCs w:val="24"/>
          <w:highlight w:val="none"/>
        </w:rPr>
        <w:t>合同履行</w:t>
      </w:r>
    </w:p>
    <w:p w14:paraId="46CA8CC9">
      <w:pPr>
        <w:widowControl/>
        <w:adjustRightInd w:val="0"/>
        <w:snapToGrid w:val="0"/>
        <w:spacing w:line="380" w:lineRule="atLeas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（1）履约期限：具备实施条件并收到采购人通知后</w:t>
      </w:r>
      <w:r>
        <w:rPr>
          <w:rFonts w:hint="eastAsia" w:ascii="宋体" w:hAnsi="宋体" w:eastAsia="宋体" w:cs="宋体"/>
          <w:color w:val="auto"/>
          <w:sz w:val="24"/>
          <w:szCs w:val="24"/>
          <w:highlight w:val="none"/>
          <w:lang w:val="en-US" w:eastAsia="zh-CN"/>
        </w:rPr>
        <w:t>30</w:t>
      </w:r>
      <w:r>
        <w:rPr>
          <w:rFonts w:ascii="宋体" w:hAnsi="宋体" w:eastAsia="宋体" w:cs="宋体"/>
          <w:color w:val="auto"/>
          <w:sz w:val="24"/>
          <w:szCs w:val="24"/>
          <w:highlight w:val="none"/>
        </w:rPr>
        <w:t>日历天内完成安装调试。</w:t>
      </w:r>
    </w:p>
    <w:p w14:paraId="54D54AF4">
      <w:pPr>
        <w:adjustRightInd w:val="0"/>
        <w:snapToGrid w:val="0"/>
        <w:spacing w:line="400" w:lineRule="exact"/>
        <w:ind w:firstLine="480" w:firstLineChars="200"/>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（2）履约地点</w:t>
      </w:r>
      <w:r>
        <w:rPr>
          <w:rFonts w:ascii="宋体" w:hAnsi="宋体" w:eastAsia="宋体" w:cs="宋体"/>
          <w:bCs/>
          <w:color w:val="auto"/>
          <w:sz w:val="24"/>
          <w:szCs w:val="24"/>
          <w:highlight w:val="none"/>
        </w:rPr>
        <w:t>：</w:t>
      </w:r>
      <w:r>
        <w:rPr>
          <w:rFonts w:ascii="宋体" w:hAnsi="宋体" w:eastAsia="宋体" w:cs="宋体"/>
          <w:color w:val="auto"/>
          <w:sz w:val="24"/>
          <w:szCs w:val="24"/>
          <w:highlight w:val="none"/>
          <w:u w:val="single"/>
        </w:rPr>
        <w:t xml:space="preserve">  甲方指定地点    </w:t>
      </w:r>
    </w:p>
    <w:p w14:paraId="15A94BF5">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bCs/>
          <w:color w:val="auto"/>
          <w:sz w:val="24"/>
          <w:szCs w:val="24"/>
          <w:highlight w:val="none"/>
        </w:rPr>
        <w:t>（3）履约担保：</w:t>
      </w:r>
      <w:r>
        <w:rPr>
          <w:rFonts w:ascii="宋体" w:hAnsi="宋体" w:eastAsia="宋体" w:cs="宋体"/>
          <w:color w:val="auto"/>
          <w:sz w:val="24"/>
          <w:szCs w:val="24"/>
          <w:highlight w:val="none"/>
        </w:rPr>
        <w:t>是否收取履约保证金：</w:t>
      </w:r>
      <w:r>
        <w:rPr>
          <w:rFonts w:ascii="宋体" w:hAnsi="宋体" w:eastAsia="宋体" w:cs="宋体"/>
          <w:color w:val="auto"/>
          <w:sz w:val="24"/>
          <w:szCs w:val="24"/>
          <w:highlight w:val="none"/>
        </w:rPr>
        <w:sym w:font="Wingdings" w:char="00FE"/>
      </w:r>
      <w:r>
        <w:rPr>
          <w:rFonts w:ascii="宋体" w:hAnsi="宋体" w:eastAsia="宋体" w:cs="宋体"/>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color w:val="auto"/>
          <w:sz w:val="24"/>
          <w:szCs w:val="24"/>
          <w:highlight w:val="none"/>
        </w:rPr>
        <w:t>否</w:t>
      </w:r>
    </w:p>
    <w:p w14:paraId="1AD3BD43">
      <w:pPr>
        <w:pStyle w:val="32"/>
        <w:ind w:firstLine="48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可采用现金转账或者金融机构、保险公司、担保机构出具的保函/保险</w:t>
      </w:r>
      <w:r>
        <w:rPr>
          <w:rFonts w:hint="eastAsia" w:ascii="宋体" w:hAnsi="宋体" w:eastAsia="宋体" w:cs="宋体"/>
          <w:bCs/>
          <w:color w:val="auto"/>
          <w:sz w:val="24"/>
          <w:szCs w:val="24"/>
          <w:highlight w:val="none"/>
          <w:u w:val="single"/>
        </w:rPr>
        <w:t xml:space="preserve"> </w:t>
      </w:r>
    </w:p>
    <w:p w14:paraId="48108337">
      <w:pPr>
        <w:pStyle w:val="3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中标价的1%（即  元）         </w:t>
      </w:r>
    </w:p>
    <w:p w14:paraId="3C86A095">
      <w:pPr>
        <w:pStyle w:val="32"/>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履约担保期限：</w:t>
      </w:r>
    </w:p>
    <w:p w14:paraId="13CB5889">
      <w:pPr>
        <w:pStyle w:val="32"/>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sym w:font="Wingdings" w:char="00A8"/>
      </w:r>
      <w:r>
        <w:rPr>
          <w:rFonts w:hint="eastAsia" w:ascii="宋体" w:hAnsi="宋体" w:eastAsia="宋体" w:cs="宋体"/>
          <w:color w:val="auto"/>
          <w:sz w:val="24"/>
          <w:szCs w:val="24"/>
          <w:highlight w:val="none"/>
          <w:u w:val="single"/>
        </w:rPr>
        <w:t>履约担保形式为现金转账（账户另行通知），乙方</w:t>
      </w:r>
      <w:r>
        <w:rPr>
          <w:rFonts w:hint="eastAsia" w:ascii="宋体" w:hAnsi="宋体" w:eastAsia="宋体" w:cs="宋体"/>
          <w:color w:val="auto"/>
          <w:sz w:val="24"/>
          <w:highlight w:val="none"/>
          <w:u w:val="single"/>
        </w:rPr>
        <w:t>在供货时间符合甲方计划供货要求，且质量符合合同约定的条件下，待全部货物到场，安装调试完成并验收合格后</w:t>
      </w:r>
      <w:r>
        <w:rPr>
          <w:rFonts w:hint="eastAsia" w:ascii="宋体" w:hAnsi="宋体" w:eastAsia="宋体" w:cs="宋体"/>
          <w:color w:val="auto"/>
          <w:sz w:val="24"/>
          <w:szCs w:val="24"/>
          <w:highlight w:val="none"/>
          <w:u w:val="single"/>
        </w:rPr>
        <w:t>到</w:t>
      </w:r>
      <w:r>
        <w:rPr>
          <w:rFonts w:hint="eastAsia" w:ascii="宋体" w:hAnsi="宋体" w:eastAsia="宋体" w:cs="宋体"/>
          <w:color w:val="auto"/>
          <w:sz w:val="24"/>
          <w:highlight w:val="none"/>
          <w:u w:val="single"/>
        </w:rPr>
        <w:t>甲方</w:t>
      </w:r>
      <w:r>
        <w:rPr>
          <w:rFonts w:hint="eastAsia" w:ascii="宋体" w:hAnsi="宋体" w:eastAsia="宋体" w:cs="宋体"/>
          <w:color w:val="auto"/>
          <w:sz w:val="24"/>
          <w:szCs w:val="24"/>
          <w:highlight w:val="none"/>
          <w:u w:val="single"/>
        </w:rPr>
        <w:t>处办理退还手续；</w:t>
      </w:r>
    </w:p>
    <w:p w14:paraId="7B104287">
      <w:pPr>
        <w:pStyle w:val="32"/>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sym w:font="Wingdings" w:char="00A8"/>
      </w:r>
      <w:r>
        <w:rPr>
          <w:rFonts w:hint="eastAsia" w:ascii="宋体" w:hAnsi="宋体" w:eastAsia="宋体" w:cs="宋体"/>
          <w:color w:val="auto"/>
          <w:sz w:val="24"/>
          <w:szCs w:val="24"/>
          <w:highlight w:val="none"/>
          <w:u w:val="single"/>
        </w:rPr>
        <w:t>履约担保形式为金融机构、保险公司、担保机构出具的保函/保险（可在政采云平台购买，咨询热线95763）等非现金形式的，应在合同履行期限内保持有效, 如出现逾期，乙方需及时办理续保手续，否则按 1000 元/天收取违约金。若合同履约违约金无法从保函/保险出具单位理赔的，</w:t>
      </w:r>
      <w:r>
        <w:rPr>
          <w:rFonts w:hint="eastAsia" w:ascii="宋体" w:hAnsi="宋体" w:eastAsia="宋体" w:cs="宋体"/>
          <w:color w:val="auto"/>
          <w:sz w:val="24"/>
          <w:highlight w:val="none"/>
          <w:u w:val="single"/>
        </w:rPr>
        <w:t>甲方</w:t>
      </w:r>
      <w:r>
        <w:rPr>
          <w:rFonts w:hint="eastAsia" w:ascii="宋体" w:hAnsi="宋体" w:eastAsia="宋体" w:cs="宋体"/>
          <w:color w:val="auto"/>
          <w:sz w:val="24"/>
          <w:szCs w:val="24"/>
          <w:highlight w:val="none"/>
          <w:u w:val="single"/>
        </w:rPr>
        <w:t>有权从合同款中直接扣除，不足支付时，</w:t>
      </w:r>
      <w:r>
        <w:rPr>
          <w:rFonts w:hint="eastAsia" w:ascii="宋体" w:hAnsi="宋体" w:eastAsia="宋体" w:cs="宋体"/>
          <w:color w:val="auto"/>
          <w:sz w:val="24"/>
          <w:highlight w:val="none"/>
          <w:u w:val="single"/>
        </w:rPr>
        <w:t>甲方</w:t>
      </w:r>
      <w:r>
        <w:rPr>
          <w:rFonts w:hint="eastAsia" w:ascii="宋体" w:hAnsi="宋体" w:eastAsia="宋体" w:cs="宋体"/>
          <w:color w:val="auto"/>
          <w:sz w:val="24"/>
          <w:szCs w:val="24"/>
          <w:highlight w:val="none"/>
          <w:u w:val="single"/>
        </w:rPr>
        <w:t>有权向乙方追缴。</w:t>
      </w:r>
    </w:p>
    <w:p w14:paraId="39D52F2D">
      <w:pPr>
        <w:pStyle w:val="32"/>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427FAE2F">
      <w:pPr>
        <w:adjustRightInd w:val="0"/>
        <w:snapToGrid w:val="0"/>
        <w:spacing w:line="400" w:lineRule="exact"/>
        <w:ind w:firstLine="480" w:firstLineChars="200"/>
        <w:rPr>
          <w:rFonts w:ascii="宋体" w:hAnsi="宋体" w:eastAsia="宋体" w:cs="宋体"/>
          <w:color w:val="auto"/>
          <w:sz w:val="24"/>
          <w:szCs w:val="24"/>
          <w:highlight w:val="none"/>
          <w:u w:val="single"/>
        </w:rPr>
      </w:pPr>
      <w:r>
        <w:rPr>
          <w:rFonts w:ascii="宋体" w:hAnsi="宋体" w:eastAsia="宋体" w:cs="宋体"/>
          <w:bCs/>
          <w:color w:val="auto"/>
          <w:sz w:val="24"/>
          <w:szCs w:val="24"/>
          <w:highlight w:val="none"/>
        </w:rPr>
        <w:t>（5）风险处置措施和替代方案：</w:t>
      </w:r>
      <w:r>
        <w:rPr>
          <w:rFonts w:ascii="宋体" w:hAnsi="宋体" w:eastAsia="宋体" w:cs="宋体"/>
          <w:color w:val="auto"/>
          <w:sz w:val="24"/>
          <w:szCs w:val="24"/>
          <w:highlight w:val="none"/>
          <w:u w:val="single"/>
        </w:rPr>
        <w:t xml:space="preserve">         /                </w:t>
      </w:r>
    </w:p>
    <w:p w14:paraId="374A1CF0">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合同验收</w:t>
      </w:r>
    </w:p>
    <w:p w14:paraId="3144F130">
      <w:pPr>
        <w:numPr>
          <w:ilvl w:val="0"/>
          <w:numId w:val="6"/>
        </w:numPr>
        <w:adjustRightInd w:val="0"/>
        <w:snapToGrid w:val="0"/>
        <w:spacing w:line="40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验收组织方式：</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 xml:space="preserve">自行组织 </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委托第三方组织</w:t>
      </w:r>
    </w:p>
    <w:p w14:paraId="3CE59BA6">
      <w:pPr>
        <w:adjustRightInd w:val="0"/>
        <w:snapToGrid w:val="0"/>
        <w:spacing w:line="400" w:lineRule="exact"/>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lang w:eastAsia="zh-CN"/>
        </w:rPr>
        <w:t>浦江县教育局</w:t>
      </w:r>
    </w:p>
    <w:p w14:paraId="4F9107A5">
      <w:pPr>
        <w:adjustRightInd w:val="0"/>
        <w:snapToGrid w:val="0"/>
        <w:spacing w:line="40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        是否邀请本项目的其他供应商参加验收：</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 xml:space="preserve">是  </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否</w:t>
      </w:r>
    </w:p>
    <w:p w14:paraId="09DF24B4">
      <w:pPr>
        <w:adjustRightInd w:val="0"/>
        <w:snapToGrid w:val="0"/>
        <w:spacing w:line="400" w:lineRule="exact"/>
        <w:ind w:firstLine="960" w:firstLineChars="4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是否邀请专家参加验收：</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否</w:t>
      </w:r>
    </w:p>
    <w:p w14:paraId="508FC61C">
      <w:pPr>
        <w:adjustRightInd w:val="0"/>
        <w:snapToGrid w:val="0"/>
        <w:spacing w:line="400" w:lineRule="exact"/>
        <w:ind w:firstLine="960" w:firstLineChars="4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是否邀请服务对象参加验收：</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 xml:space="preserve">是  </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否</w:t>
      </w:r>
    </w:p>
    <w:p w14:paraId="36B00D45">
      <w:pPr>
        <w:adjustRightInd w:val="0"/>
        <w:snapToGrid w:val="0"/>
        <w:spacing w:line="400" w:lineRule="exact"/>
        <w:ind w:firstLine="960" w:firstLineChars="4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是否邀请第三方检测机构参加验收：</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 xml:space="preserve">是  </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否</w:t>
      </w:r>
    </w:p>
    <w:p w14:paraId="1AF9D587">
      <w:pPr>
        <w:adjustRightInd w:val="0"/>
        <w:snapToGrid w:val="0"/>
        <w:spacing w:line="400" w:lineRule="exact"/>
        <w:ind w:firstLine="960" w:firstLineChars="4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是否进行抽查检测：</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是，抽查比例：</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 xml:space="preserve"> </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否</w:t>
      </w:r>
    </w:p>
    <w:p w14:paraId="7D815E20">
      <w:pPr>
        <w:adjustRightInd w:val="0"/>
        <w:snapToGrid w:val="0"/>
        <w:spacing w:line="400" w:lineRule="exact"/>
        <w:ind w:firstLine="960" w:firstLineChars="400"/>
        <w:rPr>
          <w:rFonts w:ascii="宋体" w:hAnsi="宋体" w:eastAsia="宋体" w:cs="宋体"/>
          <w:bCs/>
          <w:color w:val="auto"/>
          <w:sz w:val="24"/>
          <w:szCs w:val="24"/>
          <w:highlight w:val="none"/>
          <w:u w:val="single"/>
        </w:rPr>
      </w:pPr>
      <w:r>
        <w:rPr>
          <w:rFonts w:ascii="宋体" w:hAnsi="宋体" w:eastAsia="宋体" w:cs="宋体"/>
          <w:bCs/>
          <w:color w:val="auto"/>
          <w:sz w:val="24"/>
          <w:szCs w:val="24"/>
          <w:highlight w:val="none"/>
        </w:rPr>
        <w:t>是否存在破坏性检测：</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是，</w:t>
      </w:r>
      <w:r>
        <w:rPr>
          <w:rFonts w:ascii="宋体" w:hAnsi="宋体" w:eastAsia="宋体" w:cs="宋体"/>
          <w:bCs/>
          <w:color w:val="auto"/>
          <w:sz w:val="24"/>
          <w:szCs w:val="24"/>
          <w:highlight w:val="none"/>
          <w:u w:val="single"/>
        </w:rPr>
        <w:t>（应明确对被破坏的检测产品的处理方式）</w:t>
      </w:r>
    </w:p>
    <w:p w14:paraId="6704F9C5">
      <w:pPr>
        <w:adjustRightInd w:val="0"/>
        <w:snapToGrid w:val="0"/>
        <w:spacing w:line="400" w:lineRule="exact"/>
        <w:ind w:firstLine="960" w:firstLineChars="4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                    </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否</w:t>
      </w:r>
    </w:p>
    <w:p w14:paraId="44EED60E">
      <w:pPr>
        <w:adjustRightInd w:val="0"/>
        <w:snapToGrid w:val="0"/>
        <w:spacing w:line="400" w:lineRule="exact"/>
        <w:ind w:firstLine="960" w:firstLineChars="400"/>
        <w:rPr>
          <w:rFonts w:ascii="宋体" w:hAnsi="宋体" w:eastAsia="宋体" w:cs="宋体"/>
          <w:bCs/>
          <w:color w:val="auto"/>
          <w:sz w:val="24"/>
          <w:szCs w:val="24"/>
          <w:highlight w:val="none"/>
          <w:u w:val="single"/>
        </w:rPr>
      </w:pPr>
      <w:r>
        <w:rPr>
          <w:rFonts w:ascii="宋体" w:hAnsi="宋体" w:eastAsia="宋体" w:cs="宋体"/>
          <w:bCs/>
          <w:color w:val="auto"/>
          <w:sz w:val="24"/>
          <w:szCs w:val="24"/>
          <w:highlight w:val="none"/>
        </w:rPr>
        <w:t>验收组织的其他事项：</w:t>
      </w:r>
      <w:r>
        <w:rPr>
          <w:rFonts w:ascii="宋体" w:hAnsi="宋体" w:eastAsia="宋体" w:cs="宋体"/>
          <w:bCs/>
          <w:color w:val="auto"/>
          <w:sz w:val="24"/>
          <w:szCs w:val="24"/>
          <w:highlight w:val="none"/>
          <w:u w:val="single"/>
        </w:rPr>
        <w:t xml:space="preserve">        /      </w:t>
      </w:r>
    </w:p>
    <w:p w14:paraId="1996A89C">
      <w:pPr>
        <w:adjustRightInd w:val="0"/>
        <w:snapToGrid w:val="0"/>
        <w:spacing w:line="400" w:lineRule="exact"/>
        <w:ind w:firstLine="480" w:firstLineChars="200"/>
        <w:rPr>
          <w:rFonts w:ascii="宋体" w:hAnsi="宋体" w:eastAsia="宋体" w:cs="宋体"/>
          <w:bCs/>
          <w:color w:val="auto"/>
          <w:sz w:val="24"/>
          <w:szCs w:val="24"/>
          <w:highlight w:val="none"/>
          <w:u w:val="single"/>
        </w:rPr>
      </w:pPr>
      <w:r>
        <w:rPr>
          <w:rFonts w:ascii="宋体" w:hAnsi="宋体" w:eastAsia="宋体" w:cs="宋体"/>
          <w:bCs/>
          <w:color w:val="auto"/>
          <w:sz w:val="24"/>
          <w:szCs w:val="24"/>
          <w:highlight w:val="none"/>
        </w:rPr>
        <w:t>（2）履约验收时间：</w:t>
      </w:r>
      <w:r>
        <w:rPr>
          <w:rFonts w:hint="eastAsia" w:ascii="宋体" w:hAnsi="宋体" w:eastAsia="宋体" w:cs="宋体"/>
          <w:color w:val="auto"/>
          <w:sz w:val="24"/>
          <w:szCs w:val="24"/>
          <w:highlight w:val="none"/>
          <w:u w:val="single"/>
          <w:lang w:val="zh-CN" w:eastAsia="zh-CN"/>
        </w:rPr>
        <w:t>试用期半年（经甲方确认安装调试完成之日起算）后，</w:t>
      </w:r>
      <w:r>
        <w:rPr>
          <w:rFonts w:ascii="宋体" w:hAnsi="宋体" w:eastAsia="宋体" w:cs="宋体"/>
          <w:bCs/>
          <w:color w:val="auto"/>
          <w:sz w:val="24"/>
          <w:szCs w:val="24"/>
          <w:highlight w:val="none"/>
          <w:u w:val="single"/>
        </w:rPr>
        <w:t>供应商提出验收申请之日起30日内组织验收。</w:t>
      </w:r>
    </w:p>
    <w:p w14:paraId="43CF3420">
      <w:pPr>
        <w:adjustRightInd w:val="0"/>
        <w:snapToGrid w:val="0"/>
        <w:spacing w:line="40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（3）履约验收方式：</w:t>
      </w:r>
      <w:r>
        <w:rPr>
          <w:rFonts w:ascii="宋体" w:hAnsi="宋体" w:eastAsia="宋体" w:cs="宋体"/>
          <w:color w:val="auto"/>
          <w:sz w:val="24"/>
          <w:szCs w:val="24"/>
          <w:highlight w:val="none"/>
        </w:rPr>
        <w:sym w:font="Wingdings" w:char="00FE"/>
      </w:r>
      <w:r>
        <w:rPr>
          <w:rFonts w:ascii="宋体" w:hAnsi="宋体" w:eastAsia="宋体" w:cs="宋体"/>
          <w:bCs/>
          <w:color w:val="auto"/>
          <w:sz w:val="24"/>
          <w:szCs w:val="24"/>
          <w:highlight w:val="none"/>
        </w:rPr>
        <w:t xml:space="preserve">一次性验收         </w:t>
      </w:r>
    </w:p>
    <w:p w14:paraId="7F0F8617">
      <w:pPr>
        <w:adjustRightInd w:val="0"/>
        <w:snapToGrid w:val="0"/>
        <w:spacing w:line="400" w:lineRule="exac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                       </w:t>
      </w:r>
      <w:r>
        <w:rPr>
          <w:rFonts w:ascii="宋体" w:hAnsi="宋体" w:eastAsia="宋体" w:cs="宋体"/>
          <w:color w:val="auto"/>
          <w:sz w:val="24"/>
          <w:szCs w:val="24"/>
          <w:highlight w:val="none"/>
        </w:rPr>
        <w:sym w:font="Wingdings" w:char="00A8"/>
      </w:r>
      <w:r>
        <w:rPr>
          <w:rFonts w:ascii="宋体" w:hAnsi="宋体" w:eastAsia="宋体" w:cs="宋体"/>
          <w:bCs/>
          <w:color w:val="auto"/>
          <w:sz w:val="24"/>
          <w:szCs w:val="24"/>
          <w:highlight w:val="none"/>
        </w:rPr>
        <w:t>分期/分项验收：</w:t>
      </w:r>
      <w:r>
        <w:rPr>
          <w:rFonts w:ascii="宋体" w:hAnsi="宋体" w:eastAsia="宋体" w:cs="宋体"/>
          <w:bCs/>
          <w:color w:val="auto"/>
          <w:sz w:val="24"/>
          <w:szCs w:val="24"/>
          <w:highlight w:val="none"/>
          <w:u w:val="single"/>
        </w:rPr>
        <w:t xml:space="preserve"> （应明确分期</w:t>
      </w:r>
      <w:r>
        <w:rPr>
          <w:rFonts w:ascii="宋体" w:hAnsi="宋体" w:eastAsia="宋体" w:cs="宋体"/>
          <w:bCs/>
          <w:color w:val="auto"/>
          <w:sz w:val="24"/>
          <w:szCs w:val="24"/>
          <w:highlight w:val="none"/>
          <w:u w:val="single"/>
          <w:lang w:val="en"/>
        </w:rPr>
        <w:t>/分项验收的工作安排</w:t>
      </w:r>
      <w:r>
        <w:rPr>
          <w:rFonts w:ascii="宋体" w:hAnsi="宋体" w:eastAsia="宋体" w:cs="宋体"/>
          <w:bCs/>
          <w:color w:val="auto"/>
          <w:sz w:val="24"/>
          <w:szCs w:val="24"/>
          <w:highlight w:val="none"/>
          <w:u w:val="single"/>
        </w:rPr>
        <w:t xml:space="preserve">）  </w:t>
      </w:r>
    </w:p>
    <w:p w14:paraId="119811BA">
      <w:pPr>
        <w:adjustRightInd w:val="0"/>
        <w:snapToGrid w:val="0"/>
        <w:spacing w:line="400" w:lineRule="exact"/>
        <w:ind w:firstLine="480" w:firstLineChars="20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（4）履约验收程序：</w:t>
      </w:r>
      <w:r>
        <w:rPr>
          <w:rFonts w:ascii="宋体" w:hAnsi="宋体" w:eastAsia="宋体" w:cs="宋体"/>
          <w:bCs/>
          <w:color w:val="auto"/>
          <w:sz w:val="24"/>
          <w:szCs w:val="24"/>
          <w:highlight w:val="none"/>
          <w:u w:val="single"/>
        </w:rPr>
        <w:t>①乙方提供验收资料、②甲方成立验收小组、③验收小组出具验收报告、④处理验收不合格情况（如有），甲方进行复查</w:t>
      </w:r>
      <w:r>
        <w:rPr>
          <w:rFonts w:ascii="宋体" w:hAnsi="宋体" w:eastAsia="宋体" w:cs="宋体"/>
          <w:bCs/>
          <w:color w:val="auto"/>
          <w:sz w:val="24"/>
          <w:szCs w:val="24"/>
          <w:highlight w:val="none"/>
        </w:rPr>
        <w:t xml:space="preserve">。   </w:t>
      </w:r>
    </w:p>
    <w:p w14:paraId="11ECB94E">
      <w:pPr>
        <w:adjustRightInd w:val="0"/>
        <w:snapToGrid w:val="0"/>
        <w:spacing w:line="400" w:lineRule="exact"/>
        <w:ind w:firstLine="480" w:firstLineChars="200"/>
        <w:rPr>
          <w:rFonts w:ascii="宋体" w:hAnsi="宋体" w:eastAsia="宋体" w:cs="宋体"/>
          <w:bCs/>
          <w:color w:val="auto"/>
          <w:sz w:val="24"/>
          <w:szCs w:val="24"/>
          <w:highlight w:val="none"/>
          <w:u w:val="single"/>
        </w:rPr>
      </w:pPr>
      <w:r>
        <w:rPr>
          <w:rFonts w:ascii="宋体" w:hAnsi="宋体" w:eastAsia="宋体" w:cs="宋体"/>
          <w:bCs/>
          <w:color w:val="auto"/>
          <w:sz w:val="24"/>
          <w:szCs w:val="24"/>
          <w:highlight w:val="none"/>
        </w:rPr>
        <w:t>（5）履约验收的内容：</w:t>
      </w:r>
      <w:r>
        <w:rPr>
          <w:rFonts w:ascii="宋体" w:hAnsi="宋体" w:eastAsia="宋体" w:cs="宋体"/>
          <w:bCs/>
          <w:color w:val="auto"/>
          <w:sz w:val="24"/>
          <w:szCs w:val="24"/>
          <w:highlight w:val="none"/>
          <w:u w:val="single"/>
        </w:rPr>
        <w:t xml:space="preserve"> 对每一项需求的技术和商务要求的履约情况进行验收。详见采购文件约定。</w:t>
      </w:r>
    </w:p>
    <w:p w14:paraId="418DA9AC">
      <w:pPr>
        <w:adjustRightInd w:val="0"/>
        <w:snapToGrid w:val="0"/>
        <w:spacing w:line="400" w:lineRule="exact"/>
        <w:ind w:firstLine="480" w:firstLineChars="200"/>
        <w:rPr>
          <w:rFonts w:ascii="宋体" w:hAnsi="宋体" w:eastAsia="宋体" w:cs="宋体"/>
          <w:bCs/>
          <w:color w:val="auto"/>
          <w:sz w:val="24"/>
          <w:szCs w:val="24"/>
          <w:highlight w:val="none"/>
          <w:u w:val="single"/>
        </w:rPr>
      </w:pPr>
      <w:r>
        <w:rPr>
          <w:rFonts w:ascii="宋体" w:hAnsi="宋体" w:eastAsia="宋体" w:cs="宋体"/>
          <w:bCs/>
          <w:color w:val="auto"/>
          <w:sz w:val="24"/>
          <w:szCs w:val="24"/>
          <w:highlight w:val="none"/>
        </w:rPr>
        <w:t>（6）履约验收标准：</w:t>
      </w:r>
      <w:r>
        <w:rPr>
          <w:rFonts w:ascii="宋体" w:hAnsi="宋体" w:eastAsia="宋体" w:cs="宋体"/>
          <w:bCs/>
          <w:color w:val="auto"/>
          <w:sz w:val="24"/>
          <w:szCs w:val="24"/>
          <w:highlight w:val="none"/>
          <w:u w:val="single"/>
        </w:rPr>
        <w:t xml:space="preserve"> 按采购需求约定和乙方投标承诺</w:t>
      </w:r>
      <w:r>
        <w:rPr>
          <w:rFonts w:ascii="宋体" w:hAnsi="宋体" w:eastAsia="宋体" w:cs="宋体"/>
          <w:bCs/>
          <w:color w:val="auto"/>
          <w:sz w:val="24"/>
          <w:szCs w:val="24"/>
          <w:highlight w:val="none"/>
        </w:rPr>
        <w:t xml:space="preserve">。    </w:t>
      </w:r>
    </w:p>
    <w:p w14:paraId="72B2F822">
      <w:pPr>
        <w:pStyle w:val="32"/>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56E62996">
      <w:pPr>
        <w:adjustRightInd w:val="0"/>
        <w:snapToGrid w:val="0"/>
        <w:spacing w:line="400" w:lineRule="exact"/>
        <w:ind w:firstLine="480" w:firstLineChars="200"/>
        <w:rPr>
          <w:rFonts w:ascii="宋体" w:hAnsi="宋体" w:eastAsia="宋体" w:cs="宋体"/>
          <w:bCs/>
          <w:color w:val="auto"/>
          <w:sz w:val="24"/>
          <w:szCs w:val="24"/>
          <w:highlight w:val="none"/>
          <w:u w:val="single"/>
        </w:rPr>
      </w:pPr>
      <w:r>
        <w:rPr>
          <w:rFonts w:ascii="宋体" w:hAnsi="宋体" w:eastAsia="宋体" w:cs="宋体"/>
          <w:bCs/>
          <w:color w:val="auto"/>
          <w:sz w:val="24"/>
          <w:szCs w:val="24"/>
          <w:highlight w:val="none"/>
        </w:rPr>
        <w:t>（8）履约验收其他事项：</w:t>
      </w:r>
      <w:r>
        <w:rPr>
          <w:rFonts w:ascii="宋体" w:hAnsi="宋体" w:eastAsia="宋体" w:cs="宋体"/>
          <w:bCs/>
          <w:color w:val="auto"/>
          <w:sz w:val="24"/>
          <w:szCs w:val="24"/>
          <w:highlight w:val="none"/>
          <w:u w:val="single"/>
        </w:rPr>
        <w:t xml:space="preserve">     /         </w:t>
      </w:r>
    </w:p>
    <w:p w14:paraId="56D6356F">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组成合同的文件</w:t>
      </w:r>
    </w:p>
    <w:p w14:paraId="72CCCA46">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本协议书与下列文件一起构成合同文件，如下述文件之间有任何抵触、矛盾或歧义，应按以下顺序解释：</w:t>
      </w:r>
    </w:p>
    <w:p w14:paraId="3578CF4C">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（1）政府采购合同协议书及其变更、补充协议</w:t>
      </w:r>
    </w:p>
    <w:p w14:paraId="76B577CA">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（2）政府采购合同专用条款</w:t>
      </w:r>
    </w:p>
    <w:p w14:paraId="2AC170C7">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（3）政府采购合同通用条款</w:t>
      </w:r>
    </w:p>
    <w:p w14:paraId="5A104773">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（4）中标（成交）通知书</w:t>
      </w:r>
    </w:p>
    <w:p w14:paraId="3D91F9B8">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（5）投标（响应）文件</w:t>
      </w:r>
    </w:p>
    <w:p w14:paraId="2425D3C0">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（6）采购文件</w:t>
      </w:r>
    </w:p>
    <w:p w14:paraId="5A39204D">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（7）有关技术文件，图纸</w:t>
      </w:r>
    </w:p>
    <w:p w14:paraId="5C99029D">
      <w:pPr>
        <w:pStyle w:val="32"/>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506164D">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合同生效</w:t>
      </w:r>
    </w:p>
    <w:p w14:paraId="05927CF1">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本合同自</w:t>
      </w:r>
      <w:r>
        <w:rPr>
          <w:rFonts w:ascii="宋体" w:hAnsi="宋体" w:eastAsia="宋体" w:cs="宋体"/>
          <w:color w:val="auto"/>
          <w:sz w:val="24"/>
          <w:szCs w:val="24"/>
          <w:highlight w:val="none"/>
          <w:u w:val="single"/>
        </w:rPr>
        <w:t xml:space="preserve">   双方签字、盖章后  </w:t>
      </w:r>
      <w:r>
        <w:rPr>
          <w:rFonts w:ascii="宋体" w:hAnsi="宋体" w:eastAsia="宋体" w:cs="宋体"/>
          <w:color w:val="auto"/>
          <w:sz w:val="24"/>
          <w:szCs w:val="24"/>
          <w:highlight w:val="none"/>
        </w:rPr>
        <w:t>生效。</w:t>
      </w:r>
    </w:p>
    <w:p w14:paraId="5FCFCB7E">
      <w:pPr>
        <w:numPr>
          <w:ilvl w:val="0"/>
          <w:numId w:val="4"/>
        </w:numPr>
        <w:adjustRightInd w:val="0"/>
        <w:snapToGrid w:val="0"/>
        <w:spacing w:line="40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合同份数</w:t>
      </w:r>
    </w:p>
    <w:p w14:paraId="41BE857A">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本合同一式</w:t>
      </w:r>
      <w:r>
        <w:rPr>
          <w:rFonts w:ascii="宋体" w:hAnsi="宋体" w:eastAsia="宋体" w:cs="宋体"/>
          <w:color w:val="auto"/>
          <w:sz w:val="24"/>
          <w:szCs w:val="24"/>
          <w:highlight w:val="none"/>
          <w:u w:val="single"/>
        </w:rPr>
        <w:t xml:space="preserve"> 陆 </w:t>
      </w:r>
      <w:r>
        <w:rPr>
          <w:rFonts w:ascii="宋体" w:hAnsi="宋体" w:eastAsia="宋体" w:cs="宋体"/>
          <w:color w:val="auto"/>
          <w:sz w:val="24"/>
          <w:szCs w:val="24"/>
          <w:highlight w:val="none"/>
        </w:rPr>
        <w:t>份，甲方执</w:t>
      </w:r>
      <w:r>
        <w:rPr>
          <w:rFonts w:ascii="宋体" w:hAnsi="宋体" w:eastAsia="宋体" w:cs="宋体"/>
          <w:color w:val="auto"/>
          <w:sz w:val="24"/>
          <w:szCs w:val="24"/>
          <w:highlight w:val="none"/>
          <w:u w:val="single"/>
        </w:rPr>
        <w:t xml:space="preserve"> 肆 </w:t>
      </w:r>
      <w:r>
        <w:rPr>
          <w:rFonts w:ascii="宋体" w:hAnsi="宋体" w:eastAsia="宋体" w:cs="宋体"/>
          <w:color w:val="auto"/>
          <w:sz w:val="24"/>
          <w:szCs w:val="24"/>
          <w:highlight w:val="none"/>
        </w:rPr>
        <w:t>份，乙方执</w:t>
      </w:r>
      <w:r>
        <w:rPr>
          <w:rFonts w:ascii="宋体" w:hAnsi="宋体" w:eastAsia="宋体" w:cs="宋体"/>
          <w:color w:val="auto"/>
          <w:sz w:val="24"/>
          <w:szCs w:val="24"/>
          <w:highlight w:val="none"/>
          <w:u w:val="single"/>
        </w:rPr>
        <w:t xml:space="preserve"> 贰 </w:t>
      </w:r>
      <w:r>
        <w:rPr>
          <w:rFonts w:ascii="宋体" w:hAnsi="宋体" w:eastAsia="宋体" w:cs="宋体"/>
          <w:color w:val="auto"/>
          <w:sz w:val="24"/>
          <w:szCs w:val="24"/>
          <w:highlight w:val="none"/>
        </w:rPr>
        <w:t>份，均具有同等法律效力。</w:t>
      </w:r>
    </w:p>
    <w:p w14:paraId="451377F4">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合同订立时间：</w:t>
      </w:r>
      <w:r>
        <w:rPr>
          <w:rFonts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5</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日</w:t>
      </w:r>
    </w:p>
    <w:p w14:paraId="16EDB54B">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合同订立地点：</w:t>
      </w:r>
      <w:r>
        <w:rPr>
          <w:rFonts w:ascii="宋体" w:hAnsi="宋体" w:eastAsia="宋体" w:cs="宋体"/>
          <w:color w:val="auto"/>
          <w:sz w:val="24"/>
          <w:szCs w:val="24"/>
          <w:highlight w:val="none"/>
          <w:u w:val="single"/>
        </w:rPr>
        <w:t xml:space="preserve">                           </w:t>
      </w:r>
    </w:p>
    <w:p w14:paraId="3850B612">
      <w:pPr>
        <w:adjustRightInd w:val="0"/>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附件：具体标的及其技术要求和商务要求、联合协议（无）、分包意向协议（无）等。</w:t>
      </w:r>
    </w:p>
    <w:p w14:paraId="5260A9C9">
      <w:pPr>
        <w:rPr>
          <w:rFonts w:ascii="宋体" w:hAnsi="宋体" w:eastAsia="宋体" w:cs="宋体"/>
          <w:color w:val="auto"/>
          <w:highlight w:val="none"/>
        </w:rPr>
      </w:pPr>
    </w:p>
    <w:tbl>
      <w:tblPr>
        <w:tblStyle w:val="20"/>
        <w:tblW w:w="941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20"/>
        <w:gridCol w:w="2704"/>
        <w:gridCol w:w="2218"/>
        <w:gridCol w:w="2373"/>
      </w:tblGrid>
      <w:tr w14:paraId="6E7D81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24" w:type="dxa"/>
            <w:gridSpan w:val="2"/>
            <w:tcBorders>
              <w:bottom w:val="single" w:color="auto" w:sz="2" w:space="0"/>
              <w:right w:val="single" w:color="auto" w:sz="2" w:space="0"/>
            </w:tcBorders>
            <w:vAlign w:val="center"/>
          </w:tcPr>
          <w:p w14:paraId="615E67F9">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甲方（采购人）</w:t>
            </w:r>
          </w:p>
        </w:tc>
        <w:tc>
          <w:tcPr>
            <w:tcW w:w="4591" w:type="dxa"/>
            <w:gridSpan w:val="2"/>
            <w:tcBorders>
              <w:left w:val="single" w:color="auto" w:sz="2" w:space="0"/>
              <w:bottom w:val="single" w:color="auto" w:sz="2" w:space="0"/>
            </w:tcBorders>
            <w:vAlign w:val="center"/>
          </w:tcPr>
          <w:p w14:paraId="7DC7A122">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乙方（供应商）</w:t>
            </w:r>
          </w:p>
        </w:tc>
      </w:tr>
      <w:tr w14:paraId="383545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20" w:type="dxa"/>
            <w:tcBorders>
              <w:top w:val="single" w:color="auto" w:sz="2" w:space="0"/>
              <w:bottom w:val="single" w:color="auto" w:sz="2" w:space="0"/>
              <w:right w:val="single" w:color="auto" w:sz="2" w:space="0"/>
            </w:tcBorders>
            <w:vAlign w:val="center"/>
          </w:tcPr>
          <w:p w14:paraId="5FEB3C45">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单位名称（公章或合同章）</w:t>
            </w:r>
          </w:p>
        </w:tc>
        <w:tc>
          <w:tcPr>
            <w:tcW w:w="2704" w:type="dxa"/>
            <w:tcBorders>
              <w:top w:val="single" w:color="auto" w:sz="2" w:space="0"/>
              <w:left w:val="single" w:color="auto" w:sz="2" w:space="0"/>
              <w:bottom w:val="single" w:color="auto" w:sz="2" w:space="0"/>
              <w:right w:val="single" w:color="auto" w:sz="2" w:space="0"/>
            </w:tcBorders>
            <w:vAlign w:val="center"/>
          </w:tcPr>
          <w:p w14:paraId="5E740632">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241E91EB">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单位名称（公章或合同章）</w:t>
            </w:r>
          </w:p>
        </w:tc>
        <w:tc>
          <w:tcPr>
            <w:tcW w:w="2373" w:type="dxa"/>
            <w:tcBorders>
              <w:top w:val="single" w:color="auto" w:sz="2" w:space="0"/>
              <w:left w:val="single" w:color="auto" w:sz="2" w:space="0"/>
              <w:bottom w:val="single" w:color="auto" w:sz="2" w:space="0"/>
            </w:tcBorders>
            <w:vAlign w:val="center"/>
          </w:tcPr>
          <w:p w14:paraId="43D0B179">
            <w:pPr>
              <w:adjustRightInd w:val="0"/>
              <w:snapToGrid w:val="0"/>
              <w:spacing w:line="400" w:lineRule="exact"/>
              <w:jc w:val="center"/>
              <w:rPr>
                <w:rFonts w:ascii="宋体" w:hAnsi="宋体" w:eastAsia="宋体" w:cs="宋体"/>
                <w:color w:val="auto"/>
                <w:spacing w:val="20"/>
                <w:sz w:val="24"/>
                <w:szCs w:val="24"/>
                <w:highlight w:val="none"/>
              </w:rPr>
            </w:pPr>
          </w:p>
        </w:tc>
      </w:tr>
      <w:tr w14:paraId="3F2709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20" w:type="dxa"/>
            <w:vMerge w:val="restart"/>
            <w:tcBorders>
              <w:top w:val="single" w:color="auto" w:sz="2" w:space="0"/>
              <w:right w:val="single" w:color="auto" w:sz="2" w:space="0"/>
            </w:tcBorders>
            <w:vAlign w:val="center"/>
          </w:tcPr>
          <w:p w14:paraId="6EAF71DB">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w:t>
            </w:r>
          </w:p>
          <w:p w14:paraId="5BAFE02F">
            <w:pPr>
              <w:adjustRightInd w:val="0"/>
              <w:snapToGrid w:val="0"/>
              <w:spacing w:line="400" w:lineRule="exact"/>
              <w:ind w:firstLine="115" w:firstLineChars="48"/>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或其委托代理人（签章）</w:t>
            </w:r>
          </w:p>
        </w:tc>
        <w:tc>
          <w:tcPr>
            <w:tcW w:w="2704" w:type="dxa"/>
            <w:vMerge w:val="restart"/>
            <w:tcBorders>
              <w:top w:val="single" w:color="auto" w:sz="2" w:space="0"/>
              <w:left w:val="single" w:color="auto" w:sz="2" w:space="0"/>
              <w:right w:val="single" w:color="auto" w:sz="2" w:space="0"/>
            </w:tcBorders>
            <w:vAlign w:val="center"/>
          </w:tcPr>
          <w:p w14:paraId="05384E35">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right w:val="single" w:color="auto" w:sz="2" w:space="0"/>
            </w:tcBorders>
            <w:vAlign w:val="center"/>
          </w:tcPr>
          <w:p w14:paraId="5C1D06A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w:t>
            </w:r>
          </w:p>
          <w:p w14:paraId="6094B50A">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或其委托代理人（签章）</w:t>
            </w:r>
          </w:p>
        </w:tc>
        <w:tc>
          <w:tcPr>
            <w:tcW w:w="2373" w:type="dxa"/>
            <w:tcBorders>
              <w:top w:val="single" w:color="auto" w:sz="2" w:space="0"/>
              <w:left w:val="single" w:color="auto" w:sz="2" w:space="0"/>
              <w:bottom w:val="single" w:color="auto" w:sz="2" w:space="0"/>
            </w:tcBorders>
            <w:vAlign w:val="center"/>
          </w:tcPr>
          <w:p w14:paraId="43F23D50">
            <w:pPr>
              <w:adjustRightInd w:val="0"/>
              <w:snapToGrid w:val="0"/>
              <w:spacing w:line="400" w:lineRule="exact"/>
              <w:jc w:val="center"/>
              <w:rPr>
                <w:rFonts w:ascii="宋体" w:hAnsi="宋体" w:eastAsia="宋体" w:cs="宋体"/>
                <w:color w:val="auto"/>
                <w:sz w:val="24"/>
                <w:szCs w:val="24"/>
                <w:highlight w:val="none"/>
              </w:rPr>
            </w:pPr>
          </w:p>
        </w:tc>
      </w:tr>
      <w:tr w14:paraId="4187F5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vMerge w:val="continue"/>
            <w:tcBorders>
              <w:bottom w:val="single" w:color="auto" w:sz="2" w:space="0"/>
              <w:right w:val="single" w:color="auto" w:sz="2" w:space="0"/>
            </w:tcBorders>
            <w:vAlign w:val="center"/>
          </w:tcPr>
          <w:p w14:paraId="57A40209">
            <w:pPr>
              <w:adjustRightInd w:val="0"/>
              <w:snapToGrid w:val="0"/>
              <w:spacing w:line="400" w:lineRule="exact"/>
              <w:jc w:val="center"/>
              <w:rPr>
                <w:rFonts w:ascii="宋体" w:hAnsi="宋体" w:eastAsia="宋体" w:cs="宋体"/>
                <w:color w:val="auto"/>
                <w:sz w:val="24"/>
                <w:szCs w:val="24"/>
                <w:highlight w:val="none"/>
              </w:rPr>
            </w:pPr>
          </w:p>
        </w:tc>
        <w:tc>
          <w:tcPr>
            <w:tcW w:w="2704" w:type="dxa"/>
            <w:vMerge w:val="continue"/>
            <w:tcBorders>
              <w:left w:val="single" w:color="auto" w:sz="2" w:space="0"/>
              <w:bottom w:val="single" w:color="auto" w:sz="2" w:space="0"/>
              <w:right w:val="single" w:color="auto" w:sz="2" w:space="0"/>
            </w:tcBorders>
            <w:vAlign w:val="center"/>
          </w:tcPr>
          <w:p w14:paraId="49EEF640">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6F69CD10">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拥有者性别</w:t>
            </w:r>
          </w:p>
        </w:tc>
        <w:tc>
          <w:tcPr>
            <w:tcW w:w="2373" w:type="dxa"/>
            <w:tcBorders>
              <w:top w:val="single" w:color="auto" w:sz="2" w:space="0"/>
              <w:left w:val="single" w:color="auto" w:sz="2" w:space="0"/>
              <w:bottom w:val="single" w:color="auto" w:sz="2" w:space="0"/>
            </w:tcBorders>
            <w:vAlign w:val="center"/>
          </w:tcPr>
          <w:p w14:paraId="48ECDA85">
            <w:pPr>
              <w:adjustRightInd w:val="0"/>
              <w:snapToGrid w:val="0"/>
              <w:spacing w:line="400" w:lineRule="exact"/>
              <w:jc w:val="center"/>
              <w:rPr>
                <w:rFonts w:ascii="宋体" w:hAnsi="宋体" w:eastAsia="宋体" w:cs="宋体"/>
                <w:color w:val="auto"/>
                <w:spacing w:val="20"/>
                <w:sz w:val="24"/>
                <w:szCs w:val="24"/>
                <w:highlight w:val="none"/>
              </w:rPr>
            </w:pPr>
          </w:p>
        </w:tc>
      </w:tr>
      <w:tr w14:paraId="3CC549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17F3A973">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住  所</w:t>
            </w:r>
          </w:p>
        </w:tc>
        <w:tc>
          <w:tcPr>
            <w:tcW w:w="2704" w:type="dxa"/>
            <w:tcBorders>
              <w:top w:val="single" w:color="auto" w:sz="2" w:space="0"/>
              <w:left w:val="single" w:color="auto" w:sz="2" w:space="0"/>
              <w:bottom w:val="single" w:color="auto" w:sz="2" w:space="0"/>
              <w:right w:val="single" w:color="auto" w:sz="2" w:space="0"/>
            </w:tcBorders>
            <w:vAlign w:val="center"/>
          </w:tcPr>
          <w:p w14:paraId="79B85466">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2F8AD307">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住  所</w:t>
            </w:r>
          </w:p>
        </w:tc>
        <w:tc>
          <w:tcPr>
            <w:tcW w:w="2373" w:type="dxa"/>
            <w:tcBorders>
              <w:top w:val="single" w:color="auto" w:sz="2" w:space="0"/>
              <w:left w:val="single" w:color="auto" w:sz="2" w:space="0"/>
              <w:bottom w:val="single" w:color="auto" w:sz="2" w:space="0"/>
            </w:tcBorders>
            <w:vAlign w:val="center"/>
          </w:tcPr>
          <w:p w14:paraId="7BCE84B0">
            <w:pPr>
              <w:adjustRightInd w:val="0"/>
              <w:snapToGrid w:val="0"/>
              <w:spacing w:line="400" w:lineRule="exact"/>
              <w:jc w:val="center"/>
              <w:rPr>
                <w:rFonts w:ascii="宋体" w:hAnsi="宋体" w:eastAsia="宋体" w:cs="宋体"/>
                <w:color w:val="auto"/>
                <w:spacing w:val="20"/>
                <w:sz w:val="24"/>
                <w:szCs w:val="24"/>
                <w:highlight w:val="none"/>
              </w:rPr>
            </w:pPr>
          </w:p>
        </w:tc>
      </w:tr>
      <w:tr w14:paraId="462FE7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7798EDA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联 系 人</w:t>
            </w:r>
          </w:p>
        </w:tc>
        <w:tc>
          <w:tcPr>
            <w:tcW w:w="2704" w:type="dxa"/>
            <w:tcBorders>
              <w:top w:val="single" w:color="auto" w:sz="2" w:space="0"/>
              <w:left w:val="single" w:color="auto" w:sz="2" w:space="0"/>
              <w:bottom w:val="single" w:color="auto" w:sz="2" w:space="0"/>
              <w:right w:val="single" w:color="auto" w:sz="2" w:space="0"/>
            </w:tcBorders>
            <w:vAlign w:val="center"/>
          </w:tcPr>
          <w:p w14:paraId="40E1F6BC">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37C366D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联 系 人</w:t>
            </w:r>
          </w:p>
        </w:tc>
        <w:tc>
          <w:tcPr>
            <w:tcW w:w="2373" w:type="dxa"/>
            <w:tcBorders>
              <w:top w:val="single" w:color="auto" w:sz="2" w:space="0"/>
              <w:left w:val="single" w:color="auto" w:sz="2" w:space="0"/>
              <w:bottom w:val="single" w:color="auto" w:sz="2" w:space="0"/>
            </w:tcBorders>
            <w:vAlign w:val="center"/>
          </w:tcPr>
          <w:p w14:paraId="5E4CDFBB">
            <w:pPr>
              <w:adjustRightInd w:val="0"/>
              <w:snapToGrid w:val="0"/>
              <w:spacing w:line="400" w:lineRule="exact"/>
              <w:jc w:val="center"/>
              <w:rPr>
                <w:rFonts w:ascii="宋体" w:hAnsi="宋体" w:eastAsia="宋体" w:cs="宋体"/>
                <w:color w:val="auto"/>
                <w:spacing w:val="20"/>
                <w:sz w:val="24"/>
                <w:szCs w:val="24"/>
                <w:highlight w:val="none"/>
              </w:rPr>
            </w:pPr>
          </w:p>
        </w:tc>
      </w:tr>
      <w:tr w14:paraId="739282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36CDCF9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p>
        </w:tc>
        <w:tc>
          <w:tcPr>
            <w:tcW w:w="2704" w:type="dxa"/>
            <w:tcBorders>
              <w:top w:val="single" w:color="auto" w:sz="2" w:space="0"/>
              <w:left w:val="single" w:color="auto" w:sz="2" w:space="0"/>
              <w:bottom w:val="single" w:color="auto" w:sz="2" w:space="0"/>
              <w:right w:val="single" w:color="auto" w:sz="2" w:space="0"/>
            </w:tcBorders>
            <w:vAlign w:val="center"/>
          </w:tcPr>
          <w:p w14:paraId="10A16D8F">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1BF4C60B">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p>
        </w:tc>
        <w:tc>
          <w:tcPr>
            <w:tcW w:w="2373" w:type="dxa"/>
            <w:tcBorders>
              <w:top w:val="single" w:color="auto" w:sz="2" w:space="0"/>
              <w:left w:val="single" w:color="auto" w:sz="2" w:space="0"/>
              <w:bottom w:val="single" w:color="auto" w:sz="2" w:space="0"/>
            </w:tcBorders>
            <w:vAlign w:val="center"/>
          </w:tcPr>
          <w:p w14:paraId="185E453A">
            <w:pPr>
              <w:adjustRightInd w:val="0"/>
              <w:snapToGrid w:val="0"/>
              <w:spacing w:line="400" w:lineRule="exact"/>
              <w:jc w:val="center"/>
              <w:rPr>
                <w:rFonts w:ascii="宋体" w:hAnsi="宋体" w:eastAsia="宋体" w:cs="宋体"/>
                <w:color w:val="auto"/>
                <w:spacing w:val="20"/>
                <w:sz w:val="24"/>
                <w:szCs w:val="24"/>
                <w:highlight w:val="none"/>
              </w:rPr>
            </w:pPr>
          </w:p>
        </w:tc>
      </w:tr>
      <w:tr w14:paraId="4BD51E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56A59728">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通信地址</w:t>
            </w:r>
          </w:p>
        </w:tc>
        <w:tc>
          <w:tcPr>
            <w:tcW w:w="2704" w:type="dxa"/>
            <w:tcBorders>
              <w:top w:val="single" w:color="auto" w:sz="2" w:space="0"/>
              <w:left w:val="single" w:color="auto" w:sz="2" w:space="0"/>
              <w:bottom w:val="single" w:color="auto" w:sz="2" w:space="0"/>
              <w:right w:val="single" w:color="auto" w:sz="2" w:space="0"/>
            </w:tcBorders>
            <w:vAlign w:val="center"/>
          </w:tcPr>
          <w:p w14:paraId="29A4C2F5">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30D7FA49">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通信地址</w:t>
            </w:r>
          </w:p>
        </w:tc>
        <w:tc>
          <w:tcPr>
            <w:tcW w:w="2373" w:type="dxa"/>
            <w:tcBorders>
              <w:top w:val="single" w:color="auto" w:sz="2" w:space="0"/>
              <w:left w:val="single" w:color="auto" w:sz="2" w:space="0"/>
              <w:bottom w:val="single" w:color="auto" w:sz="2" w:space="0"/>
            </w:tcBorders>
            <w:vAlign w:val="center"/>
          </w:tcPr>
          <w:p w14:paraId="68A98EB8">
            <w:pPr>
              <w:adjustRightInd w:val="0"/>
              <w:snapToGrid w:val="0"/>
              <w:spacing w:line="400" w:lineRule="exact"/>
              <w:jc w:val="center"/>
              <w:rPr>
                <w:rFonts w:ascii="宋体" w:hAnsi="宋体" w:eastAsia="宋体" w:cs="宋体"/>
                <w:color w:val="auto"/>
                <w:spacing w:val="20"/>
                <w:sz w:val="24"/>
                <w:szCs w:val="24"/>
                <w:highlight w:val="none"/>
              </w:rPr>
            </w:pPr>
          </w:p>
        </w:tc>
      </w:tr>
      <w:tr w14:paraId="3E7971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4A04F502">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邮政编码</w:t>
            </w:r>
          </w:p>
        </w:tc>
        <w:tc>
          <w:tcPr>
            <w:tcW w:w="2704" w:type="dxa"/>
            <w:tcBorders>
              <w:top w:val="single" w:color="auto" w:sz="2" w:space="0"/>
              <w:left w:val="single" w:color="auto" w:sz="2" w:space="0"/>
              <w:bottom w:val="single" w:color="auto" w:sz="2" w:space="0"/>
              <w:right w:val="single" w:color="auto" w:sz="2" w:space="0"/>
            </w:tcBorders>
            <w:vAlign w:val="center"/>
          </w:tcPr>
          <w:p w14:paraId="3B38247F">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73DCDCA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邮政编码</w:t>
            </w:r>
          </w:p>
        </w:tc>
        <w:tc>
          <w:tcPr>
            <w:tcW w:w="2373" w:type="dxa"/>
            <w:tcBorders>
              <w:top w:val="single" w:color="auto" w:sz="2" w:space="0"/>
              <w:left w:val="single" w:color="auto" w:sz="2" w:space="0"/>
              <w:bottom w:val="single" w:color="auto" w:sz="2" w:space="0"/>
            </w:tcBorders>
            <w:vAlign w:val="center"/>
          </w:tcPr>
          <w:p w14:paraId="7B09B533">
            <w:pPr>
              <w:adjustRightInd w:val="0"/>
              <w:snapToGrid w:val="0"/>
              <w:spacing w:line="400" w:lineRule="exact"/>
              <w:jc w:val="center"/>
              <w:rPr>
                <w:rFonts w:ascii="宋体" w:hAnsi="宋体" w:eastAsia="宋体" w:cs="宋体"/>
                <w:color w:val="auto"/>
                <w:spacing w:val="20"/>
                <w:sz w:val="24"/>
                <w:szCs w:val="24"/>
                <w:highlight w:val="none"/>
              </w:rPr>
            </w:pPr>
          </w:p>
        </w:tc>
      </w:tr>
      <w:tr w14:paraId="7DE708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53F5750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电子邮箱</w:t>
            </w:r>
          </w:p>
        </w:tc>
        <w:tc>
          <w:tcPr>
            <w:tcW w:w="2704" w:type="dxa"/>
            <w:tcBorders>
              <w:top w:val="single" w:color="auto" w:sz="2" w:space="0"/>
              <w:left w:val="single" w:color="auto" w:sz="2" w:space="0"/>
              <w:bottom w:val="single" w:color="auto" w:sz="2" w:space="0"/>
              <w:right w:val="single" w:color="auto" w:sz="2" w:space="0"/>
            </w:tcBorders>
            <w:vAlign w:val="center"/>
          </w:tcPr>
          <w:p w14:paraId="0A973AF4">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66BD58F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电子邮箱</w:t>
            </w:r>
          </w:p>
        </w:tc>
        <w:tc>
          <w:tcPr>
            <w:tcW w:w="2373" w:type="dxa"/>
            <w:tcBorders>
              <w:top w:val="single" w:color="auto" w:sz="2" w:space="0"/>
              <w:left w:val="single" w:color="auto" w:sz="2" w:space="0"/>
              <w:bottom w:val="single" w:color="auto" w:sz="2" w:space="0"/>
            </w:tcBorders>
            <w:vAlign w:val="center"/>
          </w:tcPr>
          <w:p w14:paraId="090AC9A9">
            <w:pPr>
              <w:adjustRightInd w:val="0"/>
              <w:snapToGrid w:val="0"/>
              <w:spacing w:line="400" w:lineRule="exact"/>
              <w:jc w:val="center"/>
              <w:rPr>
                <w:rFonts w:ascii="宋体" w:hAnsi="宋体" w:eastAsia="宋体" w:cs="宋体"/>
                <w:color w:val="auto"/>
                <w:spacing w:val="20"/>
                <w:sz w:val="24"/>
                <w:szCs w:val="24"/>
                <w:highlight w:val="none"/>
              </w:rPr>
            </w:pPr>
          </w:p>
        </w:tc>
      </w:tr>
      <w:tr w14:paraId="3CF7CB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233541E5">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统一社会信用代码</w:t>
            </w:r>
          </w:p>
        </w:tc>
        <w:tc>
          <w:tcPr>
            <w:tcW w:w="2704" w:type="dxa"/>
            <w:tcBorders>
              <w:top w:val="single" w:color="auto" w:sz="2" w:space="0"/>
              <w:left w:val="single" w:color="auto" w:sz="2" w:space="0"/>
              <w:bottom w:val="single" w:color="auto" w:sz="2" w:space="0"/>
              <w:right w:val="single" w:color="auto" w:sz="2" w:space="0"/>
            </w:tcBorders>
            <w:vAlign w:val="center"/>
          </w:tcPr>
          <w:p w14:paraId="4D2DA75C">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6B7A64F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统一社会信用代码</w:t>
            </w:r>
          </w:p>
        </w:tc>
        <w:tc>
          <w:tcPr>
            <w:tcW w:w="2373" w:type="dxa"/>
            <w:tcBorders>
              <w:top w:val="single" w:color="auto" w:sz="2" w:space="0"/>
              <w:left w:val="single" w:color="auto" w:sz="2" w:space="0"/>
              <w:bottom w:val="single" w:color="auto" w:sz="2" w:space="0"/>
            </w:tcBorders>
            <w:vAlign w:val="center"/>
          </w:tcPr>
          <w:p w14:paraId="51802AD3">
            <w:pPr>
              <w:adjustRightInd w:val="0"/>
              <w:snapToGrid w:val="0"/>
              <w:spacing w:line="400" w:lineRule="exact"/>
              <w:jc w:val="center"/>
              <w:rPr>
                <w:rFonts w:ascii="宋体" w:hAnsi="宋体" w:eastAsia="宋体" w:cs="宋体"/>
                <w:color w:val="auto"/>
                <w:spacing w:val="20"/>
                <w:sz w:val="24"/>
                <w:szCs w:val="24"/>
                <w:highlight w:val="none"/>
              </w:rPr>
            </w:pPr>
          </w:p>
        </w:tc>
      </w:tr>
      <w:tr w14:paraId="659334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0943E839">
            <w:pPr>
              <w:adjustRightInd w:val="0"/>
              <w:snapToGrid w:val="0"/>
              <w:spacing w:line="400" w:lineRule="exact"/>
              <w:jc w:val="center"/>
              <w:rPr>
                <w:rFonts w:ascii="宋体" w:hAnsi="宋体" w:eastAsia="宋体" w:cs="宋体"/>
                <w:color w:val="auto"/>
                <w:sz w:val="24"/>
                <w:szCs w:val="24"/>
                <w:highlight w:val="none"/>
              </w:rPr>
            </w:pPr>
          </w:p>
        </w:tc>
        <w:tc>
          <w:tcPr>
            <w:tcW w:w="2704" w:type="dxa"/>
            <w:tcBorders>
              <w:top w:val="single" w:color="auto" w:sz="2" w:space="0"/>
              <w:left w:val="single" w:color="auto" w:sz="2" w:space="0"/>
              <w:bottom w:val="single" w:color="auto" w:sz="2" w:space="0"/>
              <w:right w:val="single" w:color="auto" w:sz="2" w:space="0"/>
            </w:tcBorders>
            <w:vAlign w:val="center"/>
          </w:tcPr>
          <w:p w14:paraId="0D307B19">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17EF1DE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开户名称</w:t>
            </w:r>
          </w:p>
        </w:tc>
        <w:tc>
          <w:tcPr>
            <w:tcW w:w="2373" w:type="dxa"/>
            <w:tcBorders>
              <w:top w:val="single" w:color="auto" w:sz="2" w:space="0"/>
              <w:left w:val="single" w:color="auto" w:sz="2" w:space="0"/>
              <w:bottom w:val="single" w:color="auto" w:sz="2" w:space="0"/>
            </w:tcBorders>
            <w:vAlign w:val="center"/>
          </w:tcPr>
          <w:p w14:paraId="4B5A62F5">
            <w:pPr>
              <w:adjustRightInd w:val="0"/>
              <w:snapToGrid w:val="0"/>
              <w:spacing w:line="400" w:lineRule="exact"/>
              <w:jc w:val="center"/>
              <w:rPr>
                <w:rFonts w:ascii="宋体" w:hAnsi="宋体" w:eastAsia="宋体" w:cs="宋体"/>
                <w:color w:val="auto"/>
                <w:spacing w:val="20"/>
                <w:sz w:val="24"/>
                <w:szCs w:val="24"/>
                <w:highlight w:val="none"/>
              </w:rPr>
            </w:pPr>
          </w:p>
        </w:tc>
      </w:tr>
      <w:tr w14:paraId="6C6BD5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5B524175">
            <w:pPr>
              <w:adjustRightInd w:val="0"/>
              <w:snapToGrid w:val="0"/>
              <w:spacing w:line="400" w:lineRule="exact"/>
              <w:jc w:val="center"/>
              <w:rPr>
                <w:rFonts w:ascii="宋体" w:hAnsi="宋体" w:eastAsia="宋体" w:cs="宋体"/>
                <w:color w:val="auto"/>
                <w:sz w:val="24"/>
                <w:szCs w:val="24"/>
                <w:highlight w:val="none"/>
              </w:rPr>
            </w:pPr>
          </w:p>
        </w:tc>
        <w:tc>
          <w:tcPr>
            <w:tcW w:w="2704" w:type="dxa"/>
            <w:tcBorders>
              <w:top w:val="single" w:color="auto" w:sz="2" w:space="0"/>
              <w:left w:val="single" w:color="auto" w:sz="2" w:space="0"/>
              <w:bottom w:val="single" w:color="auto" w:sz="2" w:space="0"/>
              <w:right w:val="single" w:color="auto" w:sz="2" w:space="0"/>
            </w:tcBorders>
            <w:vAlign w:val="center"/>
          </w:tcPr>
          <w:p w14:paraId="7DA6045C">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65023BF9">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开户银行</w:t>
            </w:r>
          </w:p>
        </w:tc>
        <w:tc>
          <w:tcPr>
            <w:tcW w:w="2373" w:type="dxa"/>
            <w:tcBorders>
              <w:top w:val="single" w:color="auto" w:sz="2" w:space="0"/>
              <w:left w:val="single" w:color="auto" w:sz="2" w:space="0"/>
              <w:bottom w:val="single" w:color="auto" w:sz="2" w:space="0"/>
            </w:tcBorders>
            <w:vAlign w:val="center"/>
          </w:tcPr>
          <w:p w14:paraId="21C3B7B8">
            <w:pPr>
              <w:adjustRightInd w:val="0"/>
              <w:snapToGrid w:val="0"/>
              <w:spacing w:line="400" w:lineRule="exact"/>
              <w:jc w:val="center"/>
              <w:rPr>
                <w:rFonts w:ascii="宋体" w:hAnsi="宋体" w:eastAsia="宋体" w:cs="宋体"/>
                <w:color w:val="auto"/>
                <w:spacing w:val="20"/>
                <w:sz w:val="24"/>
                <w:szCs w:val="24"/>
                <w:highlight w:val="none"/>
              </w:rPr>
            </w:pPr>
          </w:p>
        </w:tc>
      </w:tr>
      <w:tr w14:paraId="3D7519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20" w:type="dxa"/>
            <w:tcBorders>
              <w:top w:val="single" w:color="auto" w:sz="2" w:space="0"/>
              <w:bottom w:val="single" w:color="auto" w:sz="2" w:space="0"/>
              <w:right w:val="single" w:color="auto" w:sz="2" w:space="0"/>
            </w:tcBorders>
            <w:vAlign w:val="center"/>
          </w:tcPr>
          <w:p w14:paraId="7FF4F527">
            <w:pPr>
              <w:adjustRightInd w:val="0"/>
              <w:snapToGrid w:val="0"/>
              <w:spacing w:line="400" w:lineRule="exact"/>
              <w:jc w:val="center"/>
              <w:rPr>
                <w:rFonts w:ascii="宋体" w:hAnsi="宋体" w:eastAsia="宋体" w:cs="宋体"/>
                <w:color w:val="auto"/>
                <w:sz w:val="24"/>
                <w:szCs w:val="24"/>
                <w:highlight w:val="none"/>
              </w:rPr>
            </w:pPr>
          </w:p>
        </w:tc>
        <w:tc>
          <w:tcPr>
            <w:tcW w:w="2704" w:type="dxa"/>
            <w:tcBorders>
              <w:top w:val="single" w:color="auto" w:sz="2" w:space="0"/>
              <w:left w:val="single" w:color="auto" w:sz="2" w:space="0"/>
              <w:bottom w:val="single" w:color="auto" w:sz="2" w:space="0"/>
              <w:right w:val="single" w:color="auto" w:sz="2" w:space="0"/>
            </w:tcBorders>
            <w:vAlign w:val="center"/>
          </w:tcPr>
          <w:p w14:paraId="736DCC7B">
            <w:pPr>
              <w:adjustRightInd w:val="0"/>
              <w:snapToGrid w:val="0"/>
              <w:spacing w:line="400" w:lineRule="exact"/>
              <w:jc w:val="center"/>
              <w:rPr>
                <w:rFonts w:ascii="宋体" w:hAnsi="宋体" w:eastAsia="宋体" w:cs="宋体"/>
                <w:color w:val="auto"/>
                <w:sz w:val="24"/>
                <w:szCs w:val="24"/>
                <w:highlight w:val="none"/>
              </w:rPr>
            </w:pPr>
          </w:p>
        </w:tc>
        <w:tc>
          <w:tcPr>
            <w:tcW w:w="2218" w:type="dxa"/>
            <w:tcBorders>
              <w:top w:val="single" w:color="auto" w:sz="2" w:space="0"/>
              <w:left w:val="single" w:color="auto" w:sz="2" w:space="0"/>
              <w:bottom w:val="single" w:color="auto" w:sz="2" w:space="0"/>
              <w:right w:val="single" w:color="auto" w:sz="2" w:space="0"/>
            </w:tcBorders>
            <w:vAlign w:val="center"/>
          </w:tcPr>
          <w:p w14:paraId="564A7980">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银行账号</w:t>
            </w:r>
          </w:p>
        </w:tc>
        <w:tc>
          <w:tcPr>
            <w:tcW w:w="2373" w:type="dxa"/>
            <w:tcBorders>
              <w:top w:val="single" w:color="auto" w:sz="2" w:space="0"/>
              <w:left w:val="single" w:color="auto" w:sz="2" w:space="0"/>
              <w:bottom w:val="single" w:color="auto" w:sz="2" w:space="0"/>
            </w:tcBorders>
            <w:vAlign w:val="center"/>
          </w:tcPr>
          <w:p w14:paraId="02241638">
            <w:pPr>
              <w:adjustRightInd w:val="0"/>
              <w:snapToGrid w:val="0"/>
              <w:spacing w:line="400" w:lineRule="exact"/>
              <w:jc w:val="center"/>
              <w:rPr>
                <w:rFonts w:ascii="宋体" w:hAnsi="宋体" w:eastAsia="宋体" w:cs="宋体"/>
                <w:color w:val="auto"/>
                <w:spacing w:val="20"/>
                <w:sz w:val="24"/>
                <w:szCs w:val="24"/>
                <w:highlight w:val="none"/>
              </w:rPr>
            </w:pPr>
          </w:p>
        </w:tc>
      </w:tr>
      <w:tr w14:paraId="31EB2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15" w:type="dxa"/>
            <w:gridSpan w:val="4"/>
            <w:tcBorders>
              <w:top w:val="single" w:color="auto" w:sz="2" w:space="0"/>
            </w:tcBorders>
            <w:vAlign w:val="center"/>
          </w:tcPr>
          <w:p w14:paraId="505A04E2">
            <w:pPr>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合同鉴证方:</w:t>
            </w:r>
          </w:p>
          <w:p w14:paraId="287A409F">
            <w:pPr>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法定代表人或主要负责人:</w:t>
            </w:r>
          </w:p>
          <w:p w14:paraId="750DEA87">
            <w:pPr>
              <w:spacing w:line="400" w:lineRule="exact"/>
              <w:rPr>
                <w:rFonts w:ascii="宋体" w:hAnsi="宋体" w:eastAsia="宋体" w:cs="宋体"/>
                <w:color w:val="auto"/>
                <w:spacing w:val="20"/>
                <w:sz w:val="24"/>
                <w:szCs w:val="24"/>
                <w:highlight w:val="none"/>
              </w:rPr>
            </w:pPr>
            <w:r>
              <w:rPr>
                <w:rFonts w:ascii="宋体" w:hAnsi="宋体" w:eastAsia="宋体" w:cs="宋体"/>
                <w:color w:val="auto"/>
                <w:sz w:val="24"/>
                <w:szCs w:val="24"/>
                <w:highlight w:val="none"/>
              </w:rPr>
              <w:t>鉴证日期:</w:t>
            </w:r>
          </w:p>
        </w:tc>
      </w:tr>
    </w:tbl>
    <w:p w14:paraId="24CDD759">
      <w:pPr>
        <w:pStyle w:val="5"/>
        <w:adjustRightInd w:val="0"/>
        <w:snapToGrid w:val="0"/>
        <w:spacing w:before="156" w:beforeLines="50"/>
        <w:jc w:val="center"/>
        <w:rPr>
          <w:rFonts w:ascii="宋体" w:hAnsi="宋体" w:eastAsia="宋体" w:cs="宋体"/>
          <w:color w:val="auto"/>
          <w:szCs w:val="28"/>
          <w:highlight w:val="none"/>
        </w:rPr>
      </w:pPr>
      <w:r>
        <w:rPr>
          <w:rFonts w:ascii="宋体" w:hAnsi="宋体" w:eastAsia="宋体" w:cs="宋体"/>
          <w:color w:val="auto"/>
          <w:sz w:val="21"/>
          <w:szCs w:val="21"/>
          <w:highlight w:val="none"/>
          <w:u w:val="single"/>
        </w:rPr>
        <w:br w:type="page"/>
      </w:r>
      <w:bookmarkStart w:id="22" w:name="_Toc27624"/>
      <w:r>
        <w:rPr>
          <w:rFonts w:ascii="宋体" w:hAnsi="宋体" w:eastAsia="宋体" w:cs="宋体"/>
          <w:b w:val="0"/>
          <w:color w:val="auto"/>
          <w:szCs w:val="28"/>
          <w:highlight w:val="none"/>
        </w:rPr>
        <w:t>第二节 政府采购合同通用条款</w:t>
      </w:r>
      <w:bookmarkEnd w:id="22"/>
    </w:p>
    <w:p w14:paraId="07CB372B">
      <w:pPr>
        <w:tabs>
          <w:tab w:val="left" w:pos="8820"/>
          <w:tab w:val="left" w:pos="9345"/>
          <w:tab w:val="left" w:pos="9765"/>
        </w:tabs>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color w:val="auto"/>
          <w:sz w:val="24"/>
          <w:szCs w:val="24"/>
          <w:highlight w:val="none"/>
        </w:rPr>
        <w:t xml:space="preserve">1. </w:t>
      </w:r>
      <w:r>
        <w:rPr>
          <w:rFonts w:ascii="宋体" w:hAnsi="宋体" w:eastAsia="宋体" w:cs="宋体"/>
          <w:b/>
          <w:bCs/>
          <w:color w:val="auto"/>
          <w:sz w:val="24"/>
          <w:szCs w:val="24"/>
          <w:highlight w:val="none"/>
        </w:rPr>
        <w:t>定义</w:t>
      </w:r>
    </w:p>
    <w:p w14:paraId="1A102B3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1.1合同当事人</w:t>
      </w:r>
    </w:p>
    <w:p w14:paraId="79559D9C">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648C6D52">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7A4AC22B">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（3）其他合同主体是指除采购人和供应商以外，</w:t>
      </w:r>
      <w:r>
        <w:rPr>
          <w:rFonts w:ascii="宋体" w:hAnsi="宋体" w:eastAsia="宋体" w:cs="宋体"/>
          <w:bCs/>
          <w:color w:val="auto"/>
          <w:sz w:val="24"/>
          <w:szCs w:val="24"/>
          <w:highlight w:val="none"/>
        </w:rPr>
        <w:t>依法参与合同缔结或履行，享有权利、承担义务的合同当事人</w:t>
      </w:r>
      <w:r>
        <w:rPr>
          <w:rFonts w:ascii="宋体" w:hAnsi="宋体" w:eastAsia="宋体" w:cs="宋体"/>
          <w:color w:val="auto"/>
          <w:sz w:val="24"/>
          <w:szCs w:val="24"/>
          <w:highlight w:val="none"/>
        </w:rPr>
        <w:t>。</w:t>
      </w:r>
    </w:p>
    <w:p w14:paraId="2107F498">
      <w:pPr>
        <w:tabs>
          <w:tab w:val="left" w:pos="570"/>
          <w:tab w:val="left" w:pos="9240"/>
          <w:tab w:val="left" w:pos="9555"/>
        </w:tabs>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1.2本合同下列术语应解释为：</w:t>
      </w:r>
    </w:p>
    <w:p w14:paraId="493F2031">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（1）“合同”系指</w:t>
      </w:r>
      <w:r>
        <w:rPr>
          <w:rFonts w:ascii="宋体" w:hAnsi="宋体" w:eastAsia="宋体" w:cs="宋体"/>
          <w:bCs/>
          <w:color w:val="auto"/>
          <w:sz w:val="24"/>
          <w:szCs w:val="24"/>
          <w:highlight w:val="none"/>
        </w:rPr>
        <w:t>合同当事人意思表示达成一致的任何协议，包括签署的</w:t>
      </w:r>
      <w:r>
        <w:rPr>
          <w:rFonts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5C2E1C1">
      <w:pPr>
        <w:tabs>
          <w:tab w:val="left" w:pos="570"/>
          <w:tab w:val="left" w:pos="9240"/>
          <w:tab w:val="left" w:pos="9555"/>
        </w:tabs>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（2）“合同价款”系指根据本合同规定乙方在全面履行合同义务后甲方应支付给乙方的价款。</w:t>
      </w:r>
    </w:p>
    <w:p w14:paraId="705B5671">
      <w:pPr>
        <w:tabs>
          <w:tab w:val="left" w:pos="570"/>
          <w:tab w:val="left" w:pos="9240"/>
          <w:tab w:val="left" w:pos="9555"/>
        </w:tabs>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ascii="宋体" w:hAnsi="宋体" w:eastAsia="宋体" w:cs="宋体"/>
          <w:color w:val="auto"/>
          <w:sz w:val="24"/>
          <w:szCs w:val="24"/>
          <w:highlight w:val="none"/>
          <w:lang w:val="en"/>
        </w:rPr>
        <w:t>其他</w:t>
      </w:r>
      <w:r>
        <w:rPr>
          <w:rFonts w:ascii="宋体" w:hAnsi="宋体" w:eastAsia="宋体" w:cs="宋体"/>
          <w:color w:val="auto"/>
          <w:sz w:val="24"/>
          <w:szCs w:val="24"/>
          <w:highlight w:val="none"/>
        </w:rPr>
        <w:t>技术资料和材料等。</w:t>
      </w:r>
    </w:p>
    <w:p w14:paraId="7B102921">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（4）“相关服务”系指根据合同规定，乙方应提供的与货物有关的技术、管理和</w:t>
      </w:r>
      <w:r>
        <w:rPr>
          <w:rFonts w:ascii="宋体" w:hAnsi="宋体" w:eastAsia="宋体" w:cs="宋体"/>
          <w:color w:val="auto"/>
          <w:sz w:val="24"/>
          <w:szCs w:val="24"/>
          <w:highlight w:val="none"/>
          <w:lang w:val="en"/>
        </w:rPr>
        <w:t>其他</w:t>
      </w:r>
      <w:r>
        <w:rPr>
          <w:rFonts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ascii="宋体" w:hAnsi="宋体" w:eastAsia="宋体" w:cs="宋体"/>
          <w:color w:val="auto"/>
          <w:sz w:val="24"/>
          <w:szCs w:val="24"/>
          <w:highlight w:val="none"/>
          <w:lang w:val="en"/>
        </w:rPr>
        <w:t>其他</w:t>
      </w:r>
      <w:r>
        <w:rPr>
          <w:rFonts w:ascii="宋体" w:hAnsi="宋体" w:eastAsia="宋体" w:cs="宋体"/>
          <w:color w:val="auto"/>
          <w:sz w:val="24"/>
          <w:szCs w:val="24"/>
          <w:highlight w:val="none"/>
        </w:rPr>
        <w:t>义务。</w:t>
      </w:r>
    </w:p>
    <w:p w14:paraId="3606CF66">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E4F51FF">
      <w:pPr>
        <w:tabs>
          <w:tab w:val="left" w:pos="570"/>
          <w:tab w:val="left" w:pos="9240"/>
          <w:tab w:val="left" w:pos="9555"/>
        </w:tabs>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w:t>
      </w:r>
    </w:p>
    <w:p w14:paraId="04098A98">
      <w:pPr>
        <w:tabs>
          <w:tab w:val="left" w:pos="570"/>
          <w:tab w:val="left" w:pos="9240"/>
          <w:tab w:val="left" w:pos="9555"/>
        </w:tabs>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（7）其他术语解释，见【</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w:t>
      </w:r>
    </w:p>
    <w:p w14:paraId="7D168C5B">
      <w:pPr>
        <w:numPr>
          <w:ilvl w:val="0"/>
          <w:numId w:val="7"/>
        </w:num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color w:val="auto"/>
          <w:sz w:val="24"/>
          <w:szCs w:val="24"/>
          <w:highlight w:val="none"/>
        </w:rPr>
        <w:t>合同标的及金额</w:t>
      </w:r>
    </w:p>
    <w:p w14:paraId="65138687">
      <w:pPr>
        <w:autoSpaceDE w:val="0"/>
        <w:autoSpaceDN w:val="0"/>
        <w:adjustRightInd w:val="0"/>
        <w:snapToGrid w:val="0"/>
        <w:spacing w:line="400" w:lineRule="exact"/>
        <w:ind w:firstLine="480" w:firstLineChars="200"/>
        <w:jc w:val="left"/>
        <w:rPr>
          <w:rFonts w:ascii="宋体" w:hAnsi="宋体" w:eastAsia="宋体" w:cs="宋体"/>
          <w:b/>
          <w:bCs/>
          <w:i/>
          <w:iCs/>
          <w:color w:val="auto"/>
          <w:sz w:val="24"/>
          <w:szCs w:val="24"/>
          <w:highlight w:val="none"/>
        </w:rPr>
      </w:pPr>
      <w:r>
        <w:rPr>
          <w:rFonts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ascii="宋体" w:hAnsi="宋体" w:eastAsia="宋体" w:cs="宋体"/>
          <w:color w:val="auto"/>
          <w:sz w:val="24"/>
          <w:szCs w:val="24"/>
          <w:highlight w:val="none"/>
          <w:lang w:val="en"/>
        </w:rPr>
        <w:t>其他</w:t>
      </w:r>
      <w:r>
        <w:rPr>
          <w:rFonts w:ascii="宋体" w:hAnsi="宋体" w:eastAsia="宋体" w:cs="宋体"/>
          <w:color w:val="auto"/>
          <w:sz w:val="24"/>
          <w:szCs w:val="24"/>
          <w:highlight w:val="none"/>
        </w:rPr>
        <w:t>任何费用。</w:t>
      </w:r>
    </w:p>
    <w:p w14:paraId="391CD278">
      <w:pPr>
        <w:adjustRightInd w:val="0"/>
        <w:snapToGrid w:val="0"/>
        <w:spacing w:line="400" w:lineRule="exact"/>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3. 履行合同的时间、地点和方式</w:t>
      </w:r>
    </w:p>
    <w:p w14:paraId="21C30EE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 乙方应当在约定的时间、地点，按照约定方式履行合同。</w:t>
      </w:r>
    </w:p>
    <w:p w14:paraId="531E7394">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4. 甲方的权利和义务</w:t>
      </w:r>
    </w:p>
    <w:p w14:paraId="5244C43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32753F5">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06CCB4C6">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4.3 甲方有权要求乙方对缺陷部分予以修复，并按合同约定享有货物保修及其他合同约定的权利。</w:t>
      </w:r>
    </w:p>
    <w:p w14:paraId="763FD071">
      <w:pPr>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4.4 甲方应当按照合同约定及时对交付的货物进行验收，未在</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约定的期限内对乙方履约提出任何异议或者向乙方作出任何说明的，视为验收通过。</w:t>
      </w:r>
    </w:p>
    <w:p w14:paraId="092C67F4">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079CBA82">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4.6 国家法律法规规定及</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约定应由甲方承担的其他义务和责任。</w:t>
      </w:r>
    </w:p>
    <w:p w14:paraId="22ABCFEA">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5. 乙方的权利和义务</w:t>
      </w:r>
    </w:p>
    <w:p w14:paraId="345410CF">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5.1 签署合同后，乙方应确定项目负责人（或项目联系人），负责与本合同有关的事务。</w:t>
      </w:r>
    </w:p>
    <w:p w14:paraId="1815B602">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3F43848">
      <w:pPr>
        <w:pStyle w:val="8"/>
        <w:spacing w:after="0" w:line="400" w:lineRule="exact"/>
        <w:ind w:firstLine="422" w:firstLineChars="176"/>
        <w:rPr>
          <w:rFonts w:ascii="宋体" w:hAnsi="宋体" w:eastAsia="宋体" w:cs="宋体"/>
          <w:color w:val="auto"/>
          <w:sz w:val="24"/>
          <w:szCs w:val="24"/>
          <w:highlight w:val="none"/>
        </w:rPr>
      </w:pPr>
      <w:r>
        <w:rPr>
          <w:rFonts w:ascii="宋体" w:hAnsi="宋体" w:eastAsia="宋体" w:cs="宋体"/>
          <w:color w:val="auto"/>
          <w:sz w:val="24"/>
          <w:szCs w:val="24"/>
          <w:highlight w:val="none"/>
        </w:rPr>
        <w:t>5.3乙方有权根据合同约定向甲方收取合同价款。</w:t>
      </w:r>
    </w:p>
    <w:p w14:paraId="1B1FD58F">
      <w:pPr>
        <w:pStyle w:val="8"/>
        <w:spacing w:after="0" w:line="400" w:lineRule="exact"/>
        <w:ind w:firstLine="422" w:firstLineChars="176"/>
        <w:rPr>
          <w:rFonts w:ascii="宋体" w:hAnsi="宋体" w:eastAsia="宋体" w:cs="宋体"/>
          <w:color w:val="auto"/>
          <w:sz w:val="24"/>
          <w:szCs w:val="24"/>
          <w:highlight w:val="none"/>
        </w:rPr>
      </w:pPr>
      <w:r>
        <w:rPr>
          <w:rFonts w:ascii="宋体" w:hAnsi="宋体" w:eastAsia="宋体" w:cs="宋体"/>
          <w:color w:val="auto"/>
          <w:sz w:val="24"/>
          <w:szCs w:val="24"/>
          <w:highlight w:val="none"/>
        </w:rPr>
        <w:t>5.4国家法律法规规定及</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约定应由乙方承担的其他义务和责任。</w:t>
      </w:r>
    </w:p>
    <w:p w14:paraId="2F5099A7">
      <w:pPr>
        <w:numPr>
          <w:ilvl w:val="0"/>
          <w:numId w:val="8"/>
        </w:num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合同履行</w:t>
      </w:r>
    </w:p>
    <w:p w14:paraId="4223792E">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6.1 甲乙双方应当按照</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约定顺序履行合同义务；如果没有先后顺序的，应当同时履行。</w:t>
      </w:r>
    </w:p>
    <w:p w14:paraId="65ECA78F">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42E50E96">
      <w:pPr>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7. 货物包装、运输、保险和交付要求</w:t>
      </w:r>
    </w:p>
    <w:p w14:paraId="686D7113">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7.1 本合同</w:t>
      </w:r>
      <w:r>
        <w:rPr>
          <w:rFonts w:ascii="宋体" w:hAnsi="宋体" w:eastAsia="宋体" w:cs="宋体"/>
          <w:bCs/>
          <w:color w:val="auto"/>
          <w:sz w:val="24"/>
          <w:szCs w:val="24"/>
          <w:highlight w:val="none"/>
        </w:rPr>
        <w:t>涉及商品包装、快递包装的，</w:t>
      </w:r>
      <w:r>
        <w:rPr>
          <w:rFonts w:ascii="宋体" w:hAnsi="宋体" w:eastAsia="宋体" w:cs="宋体"/>
          <w:color w:val="auto"/>
          <w:sz w:val="24"/>
          <w:szCs w:val="24"/>
          <w:highlight w:val="none"/>
        </w:rPr>
        <w:t>除</w:t>
      </w:r>
      <w:r>
        <w:rPr>
          <w:rFonts w:ascii="宋体" w:hAnsi="宋体" w:eastAsia="宋体" w:cs="宋体"/>
          <w:b/>
          <w:color w:val="auto"/>
          <w:sz w:val="24"/>
          <w:szCs w:val="24"/>
          <w:highlight w:val="none"/>
        </w:rPr>
        <w:t>【政府采购合同专用条款】</w:t>
      </w:r>
      <w:r>
        <w:rPr>
          <w:rFonts w:ascii="宋体" w:hAnsi="宋体" w:eastAsia="宋体" w:cs="宋体"/>
          <w:bCs/>
          <w:color w:val="auto"/>
          <w:sz w:val="24"/>
          <w:szCs w:val="24"/>
          <w:highlight w:val="none"/>
        </w:rPr>
        <w:t>另有约定外，</w:t>
      </w:r>
      <w:r>
        <w:rPr>
          <w:rFonts w:ascii="宋体" w:hAnsi="宋体" w:eastAsia="宋体" w:cs="宋体"/>
          <w:color w:val="auto"/>
          <w:sz w:val="24"/>
          <w:szCs w:val="24"/>
          <w:highlight w:val="none"/>
        </w:rPr>
        <w:t>包装应适应远距离运输、防潮、防震、防锈和防野蛮装卸等要求，确保货物安全无损地运抵</w:t>
      </w:r>
      <w:r>
        <w:rPr>
          <w:rFonts w:ascii="宋体" w:hAnsi="宋体" w:eastAsia="宋体" w:cs="宋体"/>
          <w:b/>
          <w:color w:val="auto"/>
          <w:sz w:val="24"/>
          <w:szCs w:val="24"/>
          <w:highlight w:val="none"/>
        </w:rPr>
        <w:t>【政府采购合同专用条款】</w:t>
      </w:r>
      <w:r>
        <w:rPr>
          <w:rFonts w:ascii="宋体" w:hAnsi="宋体" w:eastAsia="宋体" w:cs="宋体"/>
          <w:bCs/>
          <w:color w:val="auto"/>
          <w:sz w:val="24"/>
          <w:szCs w:val="24"/>
          <w:highlight w:val="none"/>
        </w:rPr>
        <w:t>约定的</w:t>
      </w:r>
      <w:r>
        <w:rPr>
          <w:rFonts w:ascii="宋体" w:hAnsi="宋体" w:eastAsia="宋体" w:cs="宋体"/>
          <w:color w:val="auto"/>
          <w:sz w:val="24"/>
          <w:szCs w:val="24"/>
          <w:highlight w:val="none"/>
        </w:rPr>
        <w:t>指定现场。</w:t>
      </w:r>
    </w:p>
    <w:p w14:paraId="4997C4E9">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7.2 除</w:t>
      </w:r>
      <w:r>
        <w:rPr>
          <w:rFonts w:ascii="宋体" w:hAnsi="宋体" w:eastAsia="宋体" w:cs="宋体"/>
          <w:b/>
          <w:color w:val="auto"/>
          <w:sz w:val="24"/>
          <w:szCs w:val="24"/>
          <w:highlight w:val="none"/>
        </w:rPr>
        <w:t>【政府采购合同专用条款】</w:t>
      </w:r>
      <w:r>
        <w:rPr>
          <w:rFonts w:ascii="宋体" w:hAnsi="宋体" w:eastAsia="宋体" w:cs="宋体"/>
          <w:bCs/>
          <w:color w:val="auto"/>
          <w:sz w:val="24"/>
          <w:szCs w:val="24"/>
          <w:highlight w:val="none"/>
        </w:rPr>
        <w:t>另有约定外，</w:t>
      </w:r>
      <w:r>
        <w:rPr>
          <w:rFonts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5E6A04C5">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7.3 货物保险要求按</w:t>
      </w:r>
      <w:r>
        <w:rPr>
          <w:rFonts w:ascii="宋体" w:hAnsi="宋体" w:eastAsia="宋体" w:cs="宋体"/>
          <w:b/>
          <w:color w:val="auto"/>
          <w:sz w:val="24"/>
          <w:szCs w:val="24"/>
          <w:highlight w:val="none"/>
        </w:rPr>
        <w:t>【政府采购合同专用条款】</w:t>
      </w:r>
      <w:r>
        <w:rPr>
          <w:rFonts w:ascii="宋体" w:hAnsi="宋体" w:eastAsia="宋体" w:cs="宋体"/>
          <w:bCs/>
          <w:color w:val="auto"/>
          <w:sz w:val="24"/>
          <w:szCs w:val="24"/>
          <w:highlight w:val="none"/>
        </w:rPr>
        <w:t>规定执行</w:t>
      </w:r>
      <w:r>
        <w:rPr>
          <w:rFonts w:ascii="宋体" w:hAnsi="宋体" w:eastAsia="宋体" w:cs="宋体"/>
          <w:color w:val="auto"/>
          <w:sz w:val="24"/>
          <w:szCs w:val="24"/>
          <w:highlight w:val="none"/>
        </w:rPr>
        <w:t>。</w:t>
      </w:r>
    </w:p>
    <w:p w14:paraId="2445E983">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91C084E">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7.5 乙方在运输到达之前应提前通知甲方，并提示货物运输装卸的注意事项，甲方配合乙方做好货物的接收工作。</w:t>
      </w:r>
    </w:p>
    <w:p w14:paraId="33775747">
      <w:pPr>
        <w:pStyle w:val="32"/>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045C0874">
      <w:pPr>
        <w:adjustRightInd w:val="0"/>
        <w:snapToGrid w:val="0"/>
        <w:spacing w:line="400" w:lineRule="exact"/>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8. 质量标准和保证</w:t>
      </w:r>
    </w:p>
    <w:p w14:paraId="59BCEC75">
      <w:pPr>
        <w:pStyle w:val="9"/>
        <w:adjustRightInd w:val="0"/>
        <w:snapToGrid w:val="0"/>
        <w:spacing w:line="400" w:lineRule="exact"/>
        <w:ind w:firstLine="480" w:firstLineChars="200"/>
        <w:jc w:val="left"/>
        <w:rPr>
          <w:rFonts w:hAnsi="宋体" w:cs="宋体"/>
          <w:b/>
          <w:color w:val="auto"/>
          <w:sz w:val="24"/>
          <w:szCs w:val="24"/>
          <w:highlight w:val="none"/>
        </w:rPr>
      </w:pPr>
      <w:r>
        <w:rPr>
          <w:rFonts w:hAnsi="宋体" w:cs="宋体"/>
          <w:color w:val="auto"/>
          <w:sz w:val="24"/>
          <w:szCs w:val="24"/>
          <w:highlight w:val="none"/>
        </w:rPr>
        <w:t>8.1 质量标准</w:t>
      </w:r>
    </w:p>
    <w:p w14:paraId="3FC825B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C5A9AF7">
      <w:pPr>
        <w:pStyle w:val="9"/>
        <w:adjustRightInd w:val="0"/>
        <w:snapToGrid w:val="0"/>
        <w:spacing w:line="400" w:lineRule="exact"/>
        <w:ind w:firstLine="480" w:firstLineChars="200"/>
        <w:jc w:val="left"/>
        <w:rPr>
          <w:rFonts w:hAnsi="宋体" w:cs="宋体"/>
          <w:color w:val="auto"/>
          <w:sz w:val="24"/>
          <w:szCs w:val="24"/>
          <w:highlight w:val="none"/>
        </w:rPr>
      </w:pPr>
      <w:r>
        <w:rPr>
          <w:rFonts w:hAnsi="宋体" w:cs="宋体"/>
          <w:color w:val="auto"/>
          <w:sz w:val="24"/>
          <w:szCs w:val="24"/>
          <w:highlight w:val="none"/>
        </w:rPr>
        <w:t>（2）采用中华人民共和国法定计量单位。</w:t>
      </w:r>
    </w:p>
    <w:p w14:paraId="3AF7E141">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（3）乙方所提供的货物应符合国家有关安全、环保、卫生的规定。</w:t>
      </w:r>
    </w:p>
    <w:p w14:paraId="52894744">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777FCE92">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8.2 保证</w:t>
      </w:r>
    </w:p>
    <w:p w14:paraId="7D24B331">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eastAsia="宋体" w:cs="宋体"/>
          <w:b/>
          <w:color w:val="auto"/>
          <w:sz w:val="24"/>
          <w:szCs w:val="24"/>
          <w:highlight w:val="none"/>
        </w:rPr>
        <w:t>【政府采购合同专用条款】</w:t>
      </w:r>
      <w:r>
        <w:rPr>
          <w:rFonts w:ascii="宋体" w:hAnsi="宋体" w:eastAsia="宋体" w:cs="宋体"/>
          <w:color w:val="auto"/>
          <w:sz w:val="24"/>
          <w:szCs w:val="24"/>
          <w:highlight w:val="none"/>
        </w:rPr>
        <w:t>规定或乙方书面承诺（两者以较长的为准）的质量保证期内，本保证保持有效。</w:t>
      </w:r>
    </w:p>
    <w:p w14:paraId="03FB5E42">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（2）在质量保证期内所发现的缺陷，甲方应尽快以书面形式通知乙方。</w:t>
      </w:r>
    </w:p>
    <w:p w14:paraId="5D5BBC67">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（3）乙方收到通知后，应在</w:t>
      </w:r>
      <w:r>
        <w:rPr>
          <w:rFonts w:ascii="宋体" w:hAnsi="宋体" w:eastAsia="宋体" w:cs="宋体"/>
          <w:b/>
          <w:color w:val="auto"/>
          <w:sz w:val="24"/>
          <w:szCs w:val="24"/>
          <w:highlight w:val="none"/>
        </w:rPr>
        <w:t>【政府采购合同专用条款】</w:t>
      </w:r>
      <w:r>
        <w:rPr>
          <w:rFonts w:ascii="宋体" w:hAnsi="宋体" w:eastAsia="宋体" w:cs="宋体"/>
          <w:color w:val="auto"/>
          <w:sz w:val="24"/>
          <w:szCs w:val="24"/>
          <w:highlight w:val="none"/>
        </w:rPr>
        <w:t>规定的响应时间内以合理的速度免费维修或更换有缺陷的货物或部件。</w:t>
      </w:r>
    </w:p>
    <w:p w14:paraId="23579EA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36D267B">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3D6A2C07">
      <w:pPr>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9. 权利瑕疵担保</w:t>
      </w:r>
    </w:p>
    <w:p w14:paraId="2D27DF63">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9.1 乙方保证对其出售的货物享有合法的权利。</w:t>
      </w:r>
    </w:p>
    <w:p w14:paraId="6DB1A072">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9.2 乙方保证在交付的货物上不存在抵押权等担保物权。</w:t>
      </w:r>
    </w:p>
    <w:p w14:paraId="52651A31">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9.3 如甲方使用上述货物构成对第三人侵权的，则由乙方承担全部责任。</w:t>
      </w:r>
    </w:p>
    <w:p w14:paraId="0BAAAF7B">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10. 知识产权保护</w:t>
      </w:r>
    </w:p>
    <w:p w14:paraId="2E1AC7D1">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23" w:name="_Hlk163047038"/>
      <w:r>
        <w:rPr>
          <w:rFonts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23"/>
      <w:r>
        <w:rPr>
          <w:rFonts w:ascii="宋体" w:hAnsi="宋体" w:eastAsia="宋体" w:cs="宋体"/>
          <w:color w:val="auto"/>
          <w:sz w:val="24"/>
          <w:szCs w:val="24"/>
          <w:highlight w:val="none"/>
        </w:rPr>
        <w:t>。</w:t>
      </w:r>
    </w:p>
    <w:p w14:paraId="5470775D">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11. 保密义务</w:t>
      </w:r>
    </w:p>
    <w:p w14:paraId="79A00DD6">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中约定。</w:t>
      </w:r>
    </w:p>
    <w:p w14:paraId="0C3FCFE5">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12. 合同价款支付</w:t>
      </w:r>
    </w:p>
    <w:p w14:paraId="07172F21">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12.1 合同价款支付按照国库集中支付制度及财政管理相关规定执行。</w:t>
      </w:r>
    </w:p>
    <w:p w14:paraId="1F77BB8A">
      <w:pPr>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】中约定。</w:t>
      </w:r>
    </w:p>
    <w:p w14:paraId="4F625999">
      <w:pPr>
        <w:pStyle w:val="8"/>
        <w:spacing w:after="0" w:line="400" w:lineRule="exac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13. 履约保证金</w:t>
      </w:r>
    </w:p>
    <w:p w14:paraId="0B1432D4">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13.1 乙方应当以支票、汇票、本票或者金融机构、担保机构出具的保函等非现金形式提交。</w:t>
      </w:r>
    </w:p>
    <w:p w14:paraId="20EEA63D">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13.2 如果乙方出现</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7E6C46FA">
      <w:pPr>
        <w:spacing w:line="400" w:lineRule="exact"/>
        <w:ind w:firstLine="420"/>
        <w:rPr>
          <w:rFonts w:ascii="宋体" w:hAnsi="宋体" w:eastAsia="宋体" w:cs="宋体"/>
          <w:color w:val="auto"/>
          <w:sz w:val="24"/>
          <w:szCs w:val="24"/>
          <w:highlight w:val="none"/>
        </w:rPr>
      </w:pPr>
      <w:r>
        <w:rPr>
          <w:rFonts w:ascii="宋体" w:hAnsi="宋体" w:eastAsia="宋体" w:cs="宋体"/>
          <w:color w:val="auto"/>
          <w:sz w:val="24"/>
          <w:szCs w:val="24"/>
          <w:highlight w:val="none"/>
        </w:rPr>
        <w:t>13.3 甲方在项目通过验收后按照</w:t>
      </w:r>
      <w:r>
        <w:rPr>
          <w:rFonts w:ascii="宋体" w:hAnsi="宋体" w:eastAsia="宋体" w:cs="宋体"/>
          <w:b/>
          <w:color w:val="auto"/>
          <w:sz w:val="24"/>
          <w:szCs w:val="24"/>
          <w:highlight w:val="none"/>
        </w:rPr>
        <w:t>【政府采购合同专用条款】</w:t>
      </w:r>
      <w:r>
        <w:rPr>
          <w:rFonts w:ascii="宋体" w:hAnsi="宋体" w:eastAsia="宋体" w:cs="宋体"/>
          <w:color w:val="auto"/>
          <w:sz w:val="24"/>
          <w:szCs w:val="24"/>
          <w:highlight w:val="none"/>
        </w:rPr>
        <w:t>规定的时间内将履约保证金退还乙方；逾期退还的，乙方可要求甲方支付违约金，违约金按照</w:t>
      </w:r>
      <w:r>
        <w:rPr>
          <w:rFonts w:ascii="宋体" w:hAnsi="宋体" w:eastAsia="宋体" w:cs="宋体"/>
          <w:b/>
          <w:color w:val="auto"/>
          <w:sz w:val="24"/>
          <w:szCs w:val="24"/>
          <w:highlight w:val="none"/>
        </w:rPr>
        <w:t>【政府采购合同专用条款】</w:t>
      </w:r>
      <w:r>
        <w:rPr>
          <w:rFonts w:ascii="宋体" w:hAnsi="宋体" w:eastAsia="宋体" w:cs="宋体"/>
          <w:color w:val="auto"/>
          <w:sz w:val="24"/>
          <w:szCs w:val="24"/>
          <w:highlight w:val="none"/>
        </w:rPr>
        <w:t>规定支付。</w:t>
      </w:r>
    </w:p>
    <w:p w14:paraId="1AEBD657">
      <w:pPr>
        <w:autoSpaceDE w:val="0"/>
        <w:autoSpaceDN w:val="0"/>
        <w:adjustRightInd w:val="0"/>
        <w:snapToGrid w:val="0"/>
        <w:spacing w:line="400" w:lineRule="exact"/>
        <w:jc w:val="left"/>
        <w:rPr>
          <w:rFonts w:ascii="宋体" w:hAnsi="宋体" w:eastAsia="宋体" w:cs="宋体"/>
          <w:b/>
          <w:color w:val="auto"/>
          <w:sz w:val="24"/>
          <w:szCs w:val="24"/>
          <w:highlight w:val="none"/>
        </w:rPr>
      </w:pPr>
      <w:r>
        <w:rPr>
          <w:rFonts w:ascii="宋体" w:hAnsi="宋体" w:eastAsia="宋体" w:cs="宋体"/>
          <w:b/>
          <w:bCs/>
          <w:color w:val="auto"/>
          <w:sz w:val="24"/>
          <w:szCs w:val="24"/>
          <w:highlight w:val="none"/>
        </w:rPr>
        <w:t xml:space="preserve">14. </w:t>
      </w:r>
      <w:r>
        <w:rPr>
          <w:rFonts w:ascii="宋体" w:hAnsi="宋体" w:eastAsia="宋体" w:cs="宋体"/>
          <w:b/>
          <w:color w:val="auto"/>
          <w:sz w:val="24"/>
          <w:szCs w:val="24"/>
          <w:highlight w:val="none"/>
        </w:rPr>
        <w:t>售后服务</w:t>
      </w:r>
    </w:p>
    <w:p w14:paraId="648A8246">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14.1 除项目不涉及或采购活动中明确约定无须承担外，乙方还应提供下列服务：</w:t>
      </w:r>
    </w:p>
    <w:p w14:paraId="30B499E3">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（1）货物的现场移动、安装、调试、启动监督及技术支持；</w:t>
      </w:r>
    </w:p>
    <w:p w14:paraId="1B8066DE">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（2）提供货物组装和维修所需的专用工具和辅助材料；</w:t>
      </w:r>
    </w:p>
    <w:p w14:paraId="27F71E7A">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（3）在</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4E590144">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（4）在制造商所在地或指定现场就货物的安装、启动、运营、维护、废弃处置等对甲方操作人员进行培训；</w:t>
      </w:r>
    </w:p>
    <w:p w14:paraId="47926A77">
      <w:pPr>
        <w:pStyle w:val="3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70B2C2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b/>
          <w:color w:val="auto"/>
          <w:sz w:val="24"/>
          <w:szCs w:val="24"/>
          <w:highlight w:val="none"/>
        </w:rPr>
        <w:t>【政府采购合同专用条款】</w:t>
      </w:r>
      <w:r>
        <w:rPr>
          <w:rFonts w:ascii="宋体" w:hAnsi="宋体" w:eastAsia="宋体" w:cs="宋体"/>
          <w:color w:val="auto"/>
          <w:sz w:val="24"/>
          <w:szCs w:val="24"/>
          <w:highlight w:val="none"/>
        </w:rPr>
        <w:t>规定由乙方提供的其他服务。</w:t>
      </w:r>
    </w:p>
    <w:p w14:paraId="62A899BF">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14.2 乙方提供的售后服务的费用已包含在合同价款中，甲方不再另行支付。</w:t>
      </w:r>
    </w:p>
    <w:p w14:paraId="791F1138">
      <w:pPr>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15. 违约责任</w:t>
      </w:r>
    </w:p>
    <w:p w14:paraId="37E49392">
      <w:pPr>
        <w:adjustRightInd w:val="0"/>
        <w:snapToGrid w:val="0"/>
        <w:spacing w:line="400" w:lineRule="exact"/>
        <w:ind w:firstLine="480" w:firstLineChars="200"/>
        <w:jc w:val="lef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15.1质量瑕疵的违约责任</w:t>
      </w:r>
    </w:p>
    <w:p w14:paraId="56FE163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乙方提供的产品不符合合同约定的质量标准或存在产品质量缺陷，甲方有权要求乙方根据</w:t>
      </w:r>
      <w:r>
        <w:rPr>
          <w:rFonts w:ascii="宋体" w:hAnsi="宋体" w:eastAsia="宋体" w:cs="宋体"/>
          <w:b/>
          <w:color w:val="auto"/>
          <w:sz w:val="24"/>
          <w:szCs w:val="24"/>
          <w:highlight w:val="none"/>
        </w:rPr>
        <w:t>【政府采购合同专用条款】</w:t>
      </w:r>
      <w:r>
        <w:rPr>
          <w:rFonts w:ascii="宋体" w:hAnsi="宋体" w:eastAsia="宋体" w:cs="宋体"/>
          <w:bCs/>
          <w:color w:val="auto"/>
          <w:sz w:val="24"/>
          <w:szCs w:val="24"/>
          <w:highlight w:val="none"/>
        </w:rPr>
        <w:t>要求</w:t>
      </w:r>
      <w:r>
        <w:rPr>
          <w:rFonts w:ascii="宋体" w:hAnsi="宋体" w:eastAsia="宋体" w:cs="宋体"/>
          <w:color w:val="auto"/>
          <w:sz w:val="24"/>
          <w:szCs w:val="24"/>
          <w:highlight w:val="none"/>
        </w:rPr>
        <w:t>及时修理、重作、更换，并承担由此给甲方造成的损失。</w:t>
      </w:r>
    </w:p>
    <w:p w14:paraId="6CA61A95">
      <w:pPr>
        <w:autoSpaceDE w:val="0"/>
        <w:autoSpaceDN w:val="0"/>
        <w:adjustRightInd w:val="0"/>
        <w:snapToGrid w:val="0"/>
        <w:spacing w:line="400" w:lineRule="exact"/>
        <w:ind w:firstLine="480" w:firstLineChars="200"/>
        <w:jc w:val="lef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15.2 迟延交货的违约责任</w:t>
      </w:r>
    </w:p>
    <w:p w14:paraId="3B56BC97">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98DCD71">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ascii="宋体" w:hAnsi="宋体" w:eastAsia="宋体" w:cs="宋体"/>
          <w:b/>
          <w:color w:val="auto"/>
          <w:sz w:val="24"/>
          <w:szCs w:val="24"/>
          <w:highlight w:val="none"/>
        </w:rPr>
        <w:t>【政府采购合同专用条款】</w:t>
      </w:r>
      <w:r>
        <w:rPr>
          <w:rFonts w:ascii="宋体" w:hAnsi="宋体" w:eastAsia="宋体" w:cs="宋体"/>
          <w:color w:val="auto"/>
          <w:sz w:val="24"/>
          <w:szCs w:val="24"/>
          <w:highlight w:val="none"/>
        </w:rPr>
        <w:t>规定执行。如果涉及公共利益，且赔偿金额无法弥补公共利益损失，甲方可要求继续履行或者采取其他补救措施。</w:t>
      </w:r>
    </w:p>
    <w:p w14:paraId="200F20B3">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15.3 迟延支付的违约责任</w:t>
      </w:r>
    </w:p>
    <w:p w14:paraId="7F6632CA">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甲方存在迟延支付乙方合同款项的，应当承担</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规定的逾期付款利息。</w:t>
      </w:r>
    </w:p>
    <w:p w14:paraId="0EB75F54">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bCs/>
          <w:color w:val="auto"/>
          <w:sz w:val="24"/>
          <w:szCs w:val="24"/>
          <w:highlight w:val="none"/>
        </w:rPr>
        <w:t>15.4其他违约责任根据项目实际需要按</w:t>
      </w:r>
      <w:r>
        <w:rPr>
          <w:rFonts w:ascii="宋体" w:hAnsi="宋体" w:eastAsia="宋体" w:cs="宋体"/>
          <w:b/>
          <w:bCs/>
          <w:color w:val="auto"/>
          <w:sz w:val="24"/>
          <w:szCs w:val="24"/>
          <w:highlight w:val="none"/>
        </w:rPr>
        <w:t>【政府采购合同专用条款】</w:t>
      </w:r>
      <w:r>
        <w:rPr>
          <w:rFonts w:ascii="宋体" w:hAnsi="宋体" w:eastAsia="宋体" w:cs="宋体"/>
          <w:color w:val="auto"/>
          <w:sz w:val="24"/>
          <w:szCs w:val="24"/>
          <w:highlight w:val="none"/>
        </w:rPr>
        <w:t>规定执行。</w:t>
      </w:r>
    </w:p>
    <w:p w14:paraId="2BD0DB61">
      <w:pPr>
        <w:numPr>
          <w:ilvl w:val="0"/>
          <w:numId w:val="9"/>
        </w:numPr>
        <w:autoSpaceDE w:val="0"/>
        <w:autoSpaceDN w:val="0"/>
        <w:adjustRightInd w:val="0"/>
        <w:snapToGrid w:val="0"/>
        <w:spacing w:line="400" w:lineRule="exact"/>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合同变更、中止与终止</w:t>
      </w:r>
    </w:p>
    <w:p w14:paraId="067CE51E">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16.1合同的变更</w:t>
      </w:r>
    </w:p>
    <w:p w14:paraId="006E7151">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7FDD37E">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16.2合同的中止</w:t>
      </w:r>
    </w:p>
    <w:p w14:paraId="4FA762EA">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（1）合同履行过程中因供应商就采购文件、采购过程或结果提起投诉的，甲方认为有必要的，可以中止合同的履行。</w:t>
      </w:r>
    </w:p>
    <w:p w14:paraId="638A7DB0">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304C6D1">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94C1FC2">
      <w:pPr>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（4）甲方不得以行政区划调整、政府换届、机构或者职能调整以及相关责任人更替为由中止合同。</w:t>
      </w:r>
    </w:p>
    <w:p w14:paraId="786B3B87">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16.3合同的终止</w:t>
      </w:r>
    </w:p>
    <w:p w14:paraId="44D7932B">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（1）合同因有效期限届满而终止；</w:t>
      </w:r>
    </w:p>
    <w:p w14:paraId="1D35AC78">
      <w:pPr>
        <w:snapToGrid w:val="0"/>
        <w:spacing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（2）乙方未按合同约定履行，构成根本性违约的，甲方有权终止合同，并追究乙方的违约责任。</w:t>
      </w:r>
    </w:p>
    <w:p w14:paraId="2F2634E3">
      <w:pPr>
        <w:pStyle w:val="32"/>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67C7B244">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730ED7AE">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17. 合同分包</w:t>
      </w:r>
    </w:p>
    <w:p w14:paraId="1B752D84">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795FEBCE">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6FE62948">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18. 不可抗力</w:t>
      </w:r>
    </w:p>
    <w:p w14:paraId="6BCA9B47">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18.1 不可抗力是指合同双方不能预见、不能避免且不能克服的客观情况。</w:t>
      </w:r>
    </w:p>
    <w:p w14:paraId="56B3D0D4">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4B5F2D5B">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D5BDBD2">
      <w:pPr>
        <w:autoSpaceDE w:val="0"/>
        <w:autoSpaceDN w:val="0"/>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19. 解决争议的方法</w:t>
      </w:r>
    </w:p>
    <w:p w14:paraId="680CC002">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C2EF9D2">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132D91C">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56BFEF9F">
      <w:pPr>
        <w:autoSpaceDE w:val="0"/>
        <w:autoSpaceDN w:val="0"/>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b/>
          <w:color w:val="auto"/>
          <w:sz w:val="24"/>
          <w:szCs w:val="24"/>
          <w:highlight w:val="none"/>
        </w:rPr>
        <w:t>20. 政府采购政策</w:t>
      </w:r>
    </w:p>
    <w:p w14:paraId="1C58888C">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20.1 </w:t>
      </w:r>
      <w:r>
        <w:rPr>
          <w:rFonts w:ascii="宋体" w:hAnsi="宋体" w:eastAsia="宋体" w:cs="宋体"/>
          <w:color w:val="auto"/>
          <w:sz w:val="24"/>
          <w:szCs w:val="24"/>
          <w:highlight w:val="none"/>
          <w:lang w:val="en-GB"/>
        </w:rPr>
        <w:t>本合同应当按照规定执行政府采购政策。</w:t>
      </w:r>
    </w:p>
    <w:p w14:paraId="0B7B17EA">
      <w:pPr>
        <w:autoSpaceDE w:val="0"/>
        <w:autoSpaceDN w:val="0"/>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20.2 本合同依法执行政府采购政策的方式和内容，属于合同履约验收的范围。甲乙双方</w:t>
      </w:r>
      <w:r>
        <w:rPr>
          <w:rFonts w:ascii="宋体" w:hAnsi="宋体" w:eastAsia="宋体" w:cs="宋体"/>
          <w:color w:val="auto"/>
          <w:sz w:val="24"/>
          <w:szCs w:val="24"/>
          <w:highlight w:val="none"/>
          <w:lang w:val="en-GB"/>
        </w:rPr>
        <w:t>未按规定要求执行政府采购政策造成损失的</w:t>
      </w:r>
      <w:r>
        <w:rPr>
          <w:rFonts w:ascii="宋体" w:hAnsi="宋体" w:eastAsia="宋体" w:cs="宋体"/>
          <w:color w:val="auto"/>
          <w:sz w:val="24"/>
          <w:szCs w:val="24"/>
          <w:highlight w:val="none"/>
        </w:rPr>
        <w:t>，有过错的一方应当承担赔偿责任，双方都有过错的，各自承担相应的责任。</w:t>
      </w:r>
    </w:p>
    <w:p w14:paraId="0C511034">
      <w:pPr>
        <w:pStyle w:val="8"/>
        <w:spacing w:after="0" w:line="4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E7441B">
      <w:pPr>
        <w:autoSpaceDE w:val="0"/>
        <w:autoSpaceDN w:val="0"/>
        <w:adjustRightInd w:val="0"/>
        <w:snapToGrid w:val="0"/>
        <w:spacing w:line="400" w:lineRule="exact"/>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21. 法律适用</w:t>
      </w:r>
    </w:p>
    <w:p w14:paraId="6F2C6F89">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6BFCFA9">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578E47A8">
      <w:pPr>
        <w:autoSpaceDE w:val="0"/>
        <w:autoSpaceDN w:val="0"/>
        <w:adjustRightInd w:val="0"/>
        <w:snapToGrid w:val="0"/>
        <w:spacing w:line="400" w:lineRule="exact"/>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22. 通知</w:t>
      </w:r>
    </w:p>
    <w:p w14:paraId="085FD9E4">
      <w:pPr>
        <w:pStyle w:val="32"/>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6036BBD8">
      <w:pPr>
        <w:pStyle w:val="32"/>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2ED13A44">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2BB512A7">
      <w:pPr>
        <w:adjustRightInd w:val="0"/>
        <w:snapToGrid w:val="0"/>
        <w:spacing w:line="4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22.4通知以送达之日或通知书中规定的生效之日起生效，两者中以较迟之日为准。</w:t>
      </w:r>
    </w:p>
    <w:p w14:paraId="5C99633D">
      <w:pPr>
        <w:numPr>
          <w:ilvl w:val="0"/>
          <w:numId w:val="10"/>
        </w:numPr>
        <w:adjustRightInd w:val="0"/>
        <w:snapToGrid w:val="0"/>
        <w:spacing w:line="400" w:lineRule="exact"/>
        <w:jc w:val="lef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合同未尽事项</w:t>
      </w:r>
    </w:p>
    <w:p w14:paraId="0380FB72">
      <w:pPr>
        <w:adjustRightInd w:val="0"/>
        <w:snapToGrid w:val="0"/>
        <w:spacing w:line="400" w:lineRule="exact"/>
        <w:ind w:firstLine="480" w:firstLineChars="200"/>
        <w:jc w:val="lef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23.1合同未尽事项见</w:t>
      </w:r>
      <w:r>
        <w:rPr>
          <w:rFonts w:ascii="宋体" w:hAnsi="宋体" w:eastAsia="宋体" w:cs="宋体"/>
          <w:b/>
          <w:color w:val="auto"/>
          <w:sz w:val="24"/>
          <w:szCs w:val="24"/>
          <w:highlight w:val="none"/>
        </w:rPr>
        <w:t>【政府采购合同专用条款】</w:t>
      </w:r>
      <w:r>
        <w:rPr>
          <w:rFonts w:ascii="宋体" w:hAnsi="宋体" w:eastAsia="宋体" w:cs="宋体"/>
          <w:bCs/>
          <w:color w:val="auto"/>
          <w:sz w:val="24"/>
          <w:szCs w:val="24"/>
          <w:highlight w:val="none"/>
        </w:rPr>
        <w:t>。</w:t>
      </w:r>
    </w:p>
    <w:p w14:paraId="063B078E">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bCs/>
          <w:color w:val="auto"/>
          <w:sz w:val="24"/>
          <w:szCs w:val="24"/>
          <w:highlight w:val="none"/>
        </w:rPr>
        <w:t xml:space="preserve">    23.2 合同附件与合同正文具有同等的法律效力。</w:t>
      </w:r>
      <w:bookmarkStart w:id="24" w:name="_Toc20313"/>
    </w:p>
    <w:p w14:paraId="219D7C79">
      <w:pPr>
        <w:adjustRightInd w:val="0"/>
        <w:snapToGrid w:val="0"/>
        <w:jc w:val="center"/>
        <w:rPr>
          <w:rFonts w:ascii="宋体" w:hAnsi="宋体" w:eastAsia="宋体" w:cs="宋体"/>
          <w:color w:val="auto"/>
          <w:sz w:val="28"/>
          <w:szCs w:val="28"/>
          <w:highlight w:val="none"/>
        </w:rPr>
      </w:pPr>
      <w:r>
        <w:rPr>
          <w:rFonts w:ascii="宋体" w:hAnsi="宋体" w:eastAsia="宋体" w:cs="宋体"/>
          <w:color w:val="auto"/>
          <w:sz w:val="28"/>
          <w:szCs w:val="28"/>
          <w:highlight w:val="none"/>
        </w:rPr>
        <w:br w:type="page"/>
      </w:r>
      <w:r>
        <w:rPr>
          <w:rFonts w:ascii="宋体" w:hAnsi="宋体" w:eastAsia="宋体" w:cs="宋体"/>
          <w:color w:val="auto"/>
          <w:sz w:val="28"/>
          <w:szCs w:val="28"/>
          <w:highlight w:val="none"/>
        </w:rPr>
        <w:t>第三节 政府采购合同专用条款</w:t>
      </w:r>
      <w:bookmarkEnd w:id="24"/>
    </w:p>
    <w:tbl>
      <w:tblPr>
        <w:tblStyle w:val="20"/>
        <w:tblW w:w="941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7"/>
        <w:gridCol w:w="1975"/>
        <w:gridCol w:w="5583"/>
      </w:tblGrid>
      <w:tr w14:paraId="26635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857" w:type="dxa"/>
            <w:vAlign w:val="center"/>
          </w:tcPr>
          <w:p w14:paraId="31BCF60A">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3937AD6F">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第1.2（6）项</w:t>
            </w:r>
          </w:p>
        </w:tc>
        <w:tc>
          <w:tcPr>
            <w:tcW w:w="1975" w:type="dxa"/>
            <w:vAlign w:val="center"/>
          </w:tcPr>
          <w:p w14:paraId="28053FF6">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联合体具体要求</w:t>
            </w:r>
          </w:p>
        </w:tc>
        <w:tc>
          <w:tcPr>
            <w:tcW w:w="5583" w:type="dxa"/>
            <w:vAlign w:val="center"/>
          </w:tcPr>
          <w:p w14:paraId="6C738287">
            <w:pPr>
              <w:tabs>
                <w:tab w:val="left" w:pos="570"/>
                <w:tab w:val="left" w:pos="9240"/>
                <w:tab w:val="left" w:pos="9555"/>
              </w:tabs>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r>
      <w:tr w14:paraId="2995A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57" w:type="dxa"/>
            <w:vAlign w:val="center"/>
          </w:tcPr>
          <w:p w14:paraId="4D120C30">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486A664D">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第1.2（7）项</w:t>
            </w:r>
          </w:p>
        </w:tc>
        <w:tc>
          <w:tcPr>
            <w:tcW w:w="1975" w:type="dxa"/>
            <w:vAlign w:val="center"/>
          </w:tcPr>
          <w:p w14:paraId="34E38226">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其他术语解释</w:t>
            </w:r>
          </w:p>
        </w:tc>
        <w:tc>
          <w:tcPr>
            <w:tcW w:w="5583" w:type="dxa"/>
            <w:vAlign w:val="center"/>
          </w:tcPr>
          <w:p w14:paraId="1704AE0B">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r>
      <w:tr w14:paraId="72575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1857" w:type="dxa"/>
            <w:vAlign w:val="center"/>
          </w:tcPr>
          <w:p w14:paraId="6CF540DD">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17C64FF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第4.4款</w:t>
            </w:r>
          </w:p>
        </w:tc>
        <w:tc>
          <w:tcPr>
            <w:tcW w:w="1975" w:type="dxa"/>
            <w:vAlign w:val="center"/>
          </w:tcPr>
          <w:p w14:paraId="2DF60C3F">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履约验收中甲方提出异议或作出说明的期限</w:t>
            </w:r>
          </w:p>
        </w:tc>
        <w:tc>
          <w:tcPr>
            <w:tcW w:w="5583" w:type="dxa"/>
            <w:vAlign w:val="center"/>
          </w:tcPr>
          <w:p w14:paraId="5340A719">
            <w:pPr>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到货后10天内</w:t>
            </w:r>
          </w:p>
        </w:tc>
      </w:tr>
      <w:tr w14:paraId="193CD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857" w:type="dxa"/>
            <w:vAlign w:val="center"/>
          </w:tcPr>
          <w:p w14:paraId="1CD4D85E">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2C7D5E6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第4.6款</w:t>
            </w:r>
          </w:p>
        </w:tc>
        <w:tc>
          <w:tcPr>
            <w:tcW w:w="1975" w:type="dxa"/>
            <w:vAlign w:val="center"/>
          </w:tcPr>
          <w:p w14:paraId="609B3722">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约定甲方承担的其他义务和责任</w:t>
            </w:r>
          </w:p>
        </w:tc>
        <w:tc>
          <w:tcPr>
            <w:tcW w:w="5583" w:type="dxa"/>
            <w:vAlign w:val="center"/>
          </w:tcPr>
          <w:p w14:paraId="3D9F0984">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r>
      <w:tr w14:paraId="5428BC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1857" w:type="dxa"/>
            <w:vAlign w:val="center"/>
          </w:tcPr>
          <w:p w14:paraId="4D41500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5DA79234">
            <w:pPr>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第5.4款</w:t>
            </w:r>
          </w:p>
        </w:tc>
        <w:tc>
          <w:tcPr>
            <w:tcW w:w="1975" w:type="dxa"/>
            <w:vAlign w:val="center"/>
          </w:tcPr>
          <w:p w14:paraId="00A0AC30">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约定乙方承担的其他义务和责任</w:t>
            </w:r>
          </w:p>
        </w:tc>
        <w:tc>
          <w:tcPr>
            <w:tcW w:w="5583" w:type="dxa"/>
            <w:vAlign w:val="center"/>
          </w:tcPr>
          <w:p w14:paraId="2EFA5201">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乙方设备设施下单前，应先提供设备设施的样品（或电子图册或小样）交甲方审核。</w:t>
            </w:r>
          </w:p>
        </w:tc>
      </w:tr>
      <w:tr w14:paraId="4CB35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8" w:hRule="atLeast"/>
        </w:trPr>
        <w:tc>
          <w:tcPr>
            <w:tcW w:w="1857" w:type="dxa"/>
            <w:vAlign w:val="center"/>
          </w:tcPr>
          <w:p w14:paraId="39D121DC">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270CD3EF">
            <w:pPr>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第6.1款</w:t>
            </w:r>
          </w:p>
        </w:tc>
        <w:tc>
          <w:tcPr>
            <w:tcW w:w="1975" w:type="dxa"/>
            <w:vAlign w:val="center"/>
          </w:tcPr>
          <w:p w14:paraId="322B3797">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履行合同义务的顺序</w:t>
            </w:r>
          </w:p>
        </w:tc>
        <w:tc>
          <w:tcPr>
            <w:tcW w:w="5583" w:type="dxa"/>
            <w:vAlign w:val="center"/>
          </w:tcPr>
          <w:p w14:paraId="3F00656F">
            <w:pPr>
              <w:pStyle w:val="75"/>
              <w:spacing w:line="400" w:lineRule="exact"/>
              <w:rPr>
                <w:color w:val="auto"/>
                <w:sz w:val="24"/>
                <w:szCs w:val="24"/>
                <w:highlight w:val="none"/>
                <w:lang w:eastAsia="zh-CN"/>
              </w:rPr>
            </w:pPr>
            <w:r>
              <w:rPr>
                <w:color w:val="auto"/>
                <w:sz w:val="24"/>
                <w:szCs w:val="24"/>
                <w:highlight w:val="none"/>
                <w:lang w:eastAsia="zh-CN"/>
              </w:rPr>
              <w:t>(1)政府采购合同协议书及其变更、补充协议</w:t>
            </w:r>
          </w:p>
          <w:p w14:paraId="0D403B67">
            <w:pPr>
              <w:pStyle w:val="75"/>
              <w:spacing w:line="400" w:lineRule="exact"/>
              <w:rPr>
                <w:color w:val="auto"/>
                <w:sz w:val="24"/>
                <w:szCs w:val="24"/>
                <w:highlight w:val="none"/>
                <w:lang w:eastAsia="zh-CN"/>
              </w:rPr>
            </w:pPr>
            <w:r>
              <w:rPr>
                <w:color w:val="auto"/>
                <w:sz w:val="24"/>
                <w:szCs w:val="24"/>
                <w:highlight w:val="none"/>
                <w:lang w:eastAsia="zh-CN"/>
              </w:rPr>
              <w:t>(2)政府采购合同专用条款</w:t>
            </w:r>
          </w:p>
          <w:p w14:paraId="74339D5B">
            <w:pPr>
              <w:pStyle w:val="75"/>
              <w:spacing w:line="400" w:lineRule="exact"/>
              <w:rPr>
                <w:color w:val="auto"/>
                <w:sz w:val="24"/>
                <w:szCs w:val="24"/>
                <w:highlight w:val="none"/>
                <w:lang w:eastAsia="zh-CN"/>
              </w:rPr>
            </w:pPr>
            <w:r>
              <w:rPr>
                <w:color w:val="auto"/>
                <w:sz w:val="24"/>
                <w:szCs w:val="24"/>
                <w:highlight w:val="none"/>
                <w:lang w:eastAsia="zh-CN"/>
              </w:rPr>
              <w:t>(3)政府采购合同通用条款</w:t>
            </w:r>
          </w:p>
          <w:p w14:paraId="7B289C13">
            <w:pPr>
              <w:pStyle w:val="75"/>
              <w:spacing w:line="400" w:lineRule="exact"/>
              <w:rPr>
                <w:color w:val="auto"/>
                <w:sz w:val="24"/>
                <w:szCs w:val="24"/>
                <w:highlight w:val="none"/>
                <w:lang w:eastAsia="zh-CN"/>
              </w:rPr>
            </w:pPr>
            <w:r>
              <w:rPr>
                <w:color w:val="auto"/>
                <w:spacing w:val="1"/>
                <w:sz w:val="24"/>
                <w:szCs w:val="24"/>
                <w:highlight w:val="none"/>
                <w:lang w:eastAsia="zh-CN"/>
              </w:rPr>
              <w:t>(4)中标(成交)通知书</w:t>
            </w:r>
          </w:p>
          <w:p w14:paraId="5FF87405">
            <w:pPr>
              <w:pStyle w:val="75"/>
              <w:spacing w:line="400" w:lineRule="exact"/>
              <w:rPr>
                <w:color w:val="auto"/>
                <w:sz w:val="24"/>
                <w:szCs w:val="24"/>
                <w:highlight w:val="none"/>
                <w:lang w:eastAsia="zh-CN"/>
              </w:rPr>
            </w:pPr>
            <w:r>
              <w:rPr>
                <w:color w:val="auto"/>
                <w:sz w:val="24"/>
                <w:szCs w:val="24"/>
                <w:highlight w:val="none"/>
                <w:lang w:eastAsia="zh-CN"/>
              </w:rPr>
              <w:t>(5)投标(响应)文件</w:t>
            </w:r>
          </w:p>
          <w:p w14:paraId="5987CC0A">
            <w:pPr>
              <w:pStyle w:val="75"/>
              <w:spacing w:line="400" w:lineRule="exact"/>
              <w:rPr>
                <w:color w:val="auto"/>
                <w:sz w:val="24"/>
                <w:szCs w:val="24"/>
                <w:highlight w:val="none"/>
                <w:lang w:eastAsia="zh-CN"/>
              </w:rPr>
            </w:pPr>
            <w:r>
              <w:rPr>
                <w:color w:val="auto"/>
                <w:spacing w:val="1"/>
                <w:sz w:val="24"/>
                <w:szCs w:val="24"/>
                <w:highlight w:val="none"/>
                <w:lang w:eastAsia="zh-CN"/>
              </w:rPr>
              <w:t>(6)采购文件</w:t>
            </w:r>
          </w:p>
          <w:p w14:paraId="49AB8EDF">
            <w:pPr>
              <w:pStyle w:val="75"/>
              <w:spacing w:line="400" w:lineRule="exact"/>
              <w:rPr>
                <w:color w:val="auto"/>
                <w:sz w:val="24"/>
                <w:szCs w:val="24"/>
                <w:highlight w:val="none"/>
                <w:lang w:eastAsia="zh-CN"/>
              </w:rPr>
            </w:pPr>
            <w:r>
              <w:rPr>
                <w:color w:val="auto"/>
                <w:spacing w:val="3"/>
                <w:sz w:val="24"/>
                <w:szCs w:val="24"/>
                <w:highlight w:val="none"/>
                <w:lang w:eastAsia="zh-CN"/>
              </w:rPr>
              <w:t>(7)有关技术文件、图纸(如有)</w:t>
            </w:r>
          </w:p>
          <w:p w14:paraId="5594E8C9">
            <w:pPr>
              <w:pStyle w:val="75"/>
              <w:spacing w:line="400" w:lineRule="exact"/>
              <w:rPr>
                <w:color w:val="auto"/>
                <w:sz w:val="24"/>
                <w:szCs w:val="24"/>
                <w:highlight w:val="none"/>
                <w:lang w:eastAsia="zh-CN"/>
              </w:rPr>
            </w:pPr>
            <w:r>
              <w:rPr>
                <w:color w:val="auto"/>
                <w:spacing w:val="3"/>
                <w:sz w:val="24"/>
                <w:szCs w:val="24"/>
                <w:highlight w:val="none"/>
                <w:lang w:eastAsia="zh-CN"/>
              </w:rPr>
              <w:t>(8)国家法律、行政法规和规章制度规定或合同约定的作为合同组成部分的其他文件。</w:t>
            </w:r>
          </w:p>
        </w:tc>
      </w:tr>
      <w:tr w14:paraId="518324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57" w:type="dxa"/>
            <w:vMerge w:val="restart"/>
            <w:vAlign w:val="center"/>
          </w:tcPr>
          <w:p w14:paraId="171643B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4C301792">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第7.1款</w:t>
            </w:r>
          </w:p>
        </w:tc>
        <w:tc>
          <w:tcPr>
            <w:tcW w:w="1975" w:type="dxa"/>
            <w:vAlign w:val="center"/>
          </w:tcPr>
          <w:p w14:paraId="6C052B4E">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包装特殊要求</w:t>
            </w:r>
          </w:p>
        </w:tc>
        <w:tc>
          <w:tcPr>
            <w:tcW w:w="5583" w:type="dxa"/>
            <w:vAlign w:val="center"/>
          </w:tcPr>
          <w:p w14:paraId="1D5B456D">
            <w:pPr>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符合国家现行规定、要求</w:t>
            </w:r>
          </w:p>
        </w:tc>
      </w:tr>
      <w:tr w14:paraId="052CA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1857" w:type="dxa"/>
            <w:vMerge w:val="continue"/>
            <w:vAlign w:val="center"/>
          </w:tcPr>
          <w:p w14:paraId="2F130AFD">
            <w:pPr>
              <w:adjustRightInd w:val="0"/>
              <w:snapToGrid w:val="0"/>
              <w:spacing w:line="400" w:lineRule="exact"/>
              <w:jc w:val="center"/>
              <w:rPr>
                <w:rFonts w:ascii="宋体" w:hAnsi="宋体" w:eastAsia="宋体" w:cs="宋体"/>
                <w:color w:val="auto"/>
                <w:sz w:val="24"/>
                <w:szCs w:val="24"/>
                <w:highlight w:val="none"/>
              </w:rPr>
            </w:pPr>
          </w:p>
        </w:tc>
        <w:tc>
          <w:tcPr>
            <w:tcW w:w="1975" w:type="dxa"/>
            <w:vAlign w:val="center"/>
          </w:tcPr>
          <w:p w14:paraId="08994DED">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指定现场</w:t>
            </w:r>
          </w:p>
        </w:tc>
        <w:tc>
          <w:tcPr>
            <w:tcW w:w="5583" w:type="dxa"/>
            <w:vAlign w:val="center"/>
          </w:tcPr>
          <w:p w14:paraId="7C4F318B">
            <w:pPr>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以甲方通知为准</w:t>
            </w:r>
          </w:p>
        </w:tc>
      </w:tr>
      <w:tr w14:paraId="4E13C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1857" w:type="dxa"/>
            <w:vAlign w:val="center"/>
          </w:tcPr>
          <w:p w14:paraId="1D1E97F3">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39B7F8FB">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第7.2款</w:t>
            </w:r>
          </w:p>
        </w:tc>
        <w:tc>
          <w:tcPr>
            <w:tcW w:w="1975" w:type="dxa"/>
            <w:vAlign w:val="center"/>
          </w:tcPr>
          <w:p w14:paraId="61D77565">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运输特殊要求</w:t>
            </w:r>
          </w:p>
        </w:tc>
        <w:tc>
          <w:tcPr>
            <w:tcW w:w="5583" w:type="dxa"/>
            <w:vAlign w:val="center"/>
          </w:tcPr>
          <w:p w14:paraId="21BF9715">
            <w:pPr>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详见采购文件“第三部分招标内容及需求”规定</w:t>
            </w:r>
          </w:p>
        </w:tc>
      </w:tr>
      <w:tr w14:paraId="17D0B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57" w:type="dxa"/>
            <w:vAlign w:val="center"/>
          </w:tcPr>
          <w:p w14:paraId="691E915E">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54BBC466">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第7.3款</w:t>
            </w:r>
          </w:p>
        </w:tc>
        <w:tc>
          <w:tcPr>
            <w:tcW w:w="1975" w:type="dxa"/>
            <w:vAlign w:val="center"/>
          </w:tcPr>
          <w:p w14:paraId="426A638F">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保险要求</w:t>
            </w:r>
          </w:p>
        </w:tc>
        <w:tc>
          <w:tcPr>
            <w:tcW w:w="5583" w:type="dxa"/>
            <w:vAlign w:val="center"/>
          </w:tcPr>
          <w:p w14:paraId="067A2B03">
            <w:pPr>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按国家现行规定、要求</w:t>
            </w:r>
          </w:p>
        </w:tc>
      </w:tr>
      <w:tr w14:paraId="4A5321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57" w:type="dxa"/>
            <w:vAlign w:val="center"/>
          </w:tcPr>
          <w:p w14:paraId="3E43C857">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4969900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第8.2（1）项</w:t>
            </w:r>
          </w:p>
        </w:tc>
        <w:tc>
          <w:tcPr>
            <w:tcW w:w="1975" w:type="dxa"/>
            <w:vAlign w:val="center"/>
          </w:tcPr>
          <w:p w14:paraId="71C6BE32">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质量保证期</w:t>
            </w:r>
          </w:p>
        </w:tc>
        <w:tc>
          <w:tcPr>
            <w:tcW w:w="5583" w:type="dxa"/>
            <w:vAlign w:val="center"/>
          </w:tcPr>
          <w:p w14:paraId="707B6EB6">
            <w:pPr>
              <w:autoSpaceDE w:val="0"/>
              <w:autoSpaceDN w:val="0"/>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整体项目免费维护维修</w:t>
            </w:r>
            <w:r>
              <w:rPr>
                <w:rFonts w:hint="eastAsia" w:ascii="宋体" w:hAnsi="宋体" w:eastAsia="宋体" w:cs="宋体"/>
                <w:color w:val="auto"/>
                <w:sz w:val="24"/>
                <w:szCs w:val="24"/>
                <w:highlight w:val="none"/>
                <w:lang w:eastAsia="zh-CN"/>
              </w:rPr>
              <w:t>不少于3年</w:t>
            </w:r>
            <w:r>
              <w:rPr>
                <w:rFonts w:hint="eastAsia" w:ascii="宋体" w:hAnsi="宋体" w:eastAsia="宋体" w:cs="宋体"/>
                <w:color w:val="auto"/>
                <w:sz w:val="24"/>
                <w:szCs w:val="24"/>
                <w:highlight w:val="none"/>
              </w:rPr>
              <w:t>，具体以投标人投标承诺质保期为准。</w:t>
            </w:r>
          </w:p>
        </w:tc>
      </w:tr>
      <w:tr w14:paraId="77613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4" w:hRule="atLeast"/>
        </w:trPr>
        <w:tc>
          <w:tcPr>
            <w:tcW w:w="1857" w:type="dxa"/>
            <w:vAlign w:val="center"/>
          </w:tcPr>
          <w:p w14:paraId="72331617">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2CE36A7D">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第8.2（3）项</w:t>
            </w:r>
          </w:p>
        </w:tc>
        <w:tc>
          <w:tcPr>
            <w:tcW w:w="1975" w:type="dxa"/>
            <w:vAlign w:val="center"/>
          </w:tcPr>
          <w:p w14:paraId="2B791A3F">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货物质量缺陷</w:t>
            </w:r>
          </w:p>
          <w:p w14:paraId="5FF0BEBF">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响应时间</w:t>
            </w:r>
          </w:p>
        </w:tc>
        <w:tc>
          <w:tcPr>
            <w:tcW w:w="5583" w:type="dxa"/>
            <w:vAlign w:val="center"/>
          </w:tcPr>
          <w:p w14:paraId="31D299C0">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p>
        </w:tc>
      </w:tr>
      <w:tr w14:paraId="17E09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857" w:type="dxa"/>
            <w:vAlign w:val="center"/>
          </w:tcPr>
          <w:p w14:paraId="67ACB0B5">
            <w:pPr>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6703EF96">
            <w:pPr>
              <w:pStyle w:val="32"/>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975" w:type="dxa"/>
            <w:vAlign w:val="center"/>
          </w:tcPr>
          <w:p w14:paraId="1D0B338C">
            <w:pPr>
              <w:adjustRightInd w:val="0"/>
              <w:snapToGrid w:val="0"/>
              <w:spacing w:line="40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其他应当保密的信息</w:t>
            </w:r>
          </w:p>
        </w:tc>
        <w:tc>
          <w:tcPr>
            <w:tcW w:w="5583" w:type="dxa"/>
            <w:vAlign w:val="center"/>
          </w:tcPr>
          <w:p w14:paraId="51C54478">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r>
      <w:tr w14:paraId="3F78B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857" w:type="dxa"/>
            <w:vAlign w:val="center"/>
          </w:tcPr>
          <w:p w14:paraId="1EC57950">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18CBBF3E">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第12.2款</w:t>
            </w:r>
          </w:p>
        </w:tc>
        <w:tc>
          <w:tcPr>
            <w:tcW w:w="1975" w:type="dxa"/>
            <w:vAlign w:val="center"/>
          </w:tcPr>
          <w:p w14:paraId="5B746472">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合同价款支付时间</w:t>
            </w:r>
          </w:p>
        </w:tc>
        <w:tc>
          <w:tcPr>
            <w:tcW w:w="5583" w:type="dxa"/>
            <w:vAlign w:val="center"/>
          </w:tcPr>
          <w:p w14:paraId="1B3E48BA">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p>
        </w:tc>
      </w:tr>
      <w:tr w14:paraId="3A4ED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57" w:type="dxa"/>
            <w:vAlign w:val="center"/>
          </w:tcPr>
          <w:p w14:paraId="15F189EE">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6E4532AB">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第13.2款</w:t>
            </w:r>
          </w:p>
        </w:tc>
        <w:tc>
          <w:tcPr>
            <w:tcW w:w="1975" w:type="dxa"/>
            <w:vAlign w:val="center"/>
          </w:tcPr>
          <w:p w14:paraId="6FB5C7B3">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履约保证金不予退还的情形</w:t>
            </w:r>
          </w:p>
        </w:tc>
        <w:tc>
          <w:tcPr>
            <w:tcW w:w="5583" w:type="dxa"/>
            <w:vAlign w:val="center"/>
          </w:tcPr>
          <w:p w14:paraId="2BBB085A">
            <w:pPr>
              <w:numPr>
                <w:ilvl w:val="0"/>
                <w:numId w:val="11"/>
              </w:num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乙方提供不合格货物且经通知不整改或整改后仍不合格的；</w:t>
            </w:r>
          </w:p>
          <w:p w14:paraId="413C34F2">
            <w:pPr>
              <w:numPr>
                <w:ilvl w:val="0"/>
                <w:numId w:val="11"/>
              </w:num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无故暂停履行合同或擅自终止合同；</w:t>
            </w:r>
          </w:p>
          <w:p w14:paraId="3DC7EFFF">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3.最终验收不合格的。</w:t>
            </w:r>
          </w:p>
        </w:tc>
      </w:tr>
      <w:tr w14:paraId="732C1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1857" w:type="dxa"/>
            <w:vAlign w:val="center"/>
          </w:tcPr>
          <w:p w14:paraId="7DF86252">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3CE0CC51">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第13.3款</w:t>
            </w:r>
          </w:p>
        </w:tc>
        <w:tc>
          <w:tcPr>
            <w:tcW w:w="1975" w:type="dxa"/>
            <w:vAlign w:val="center"/>
          </w:tcPr>
          <w:p w14:paraId="170B01E4">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履约保证金退还时间及逾期退还的违约金</w:t>
            </w:r>
          </w:p>
        </w:tc>
        <w:tc>
          <w:tcPr>
            <w:tcW w:w="5583" w:type="dxa"/>
            <w:vAlign w:val="center"/>
          </w:tcPr>
          <w:p w14:paraId="1C543FBA">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履约保证金退还时间：乙方在供货时间符合甲方计划供货要求，且质量符合合同约定的条件下，待全部货物到场，安装调试完成并验收合格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待承诺质保期满无异议</w:t>
            </w:r>
            <w:r>
              <w:rPr>
                <w:rFonts w:ascii="宋体" w:hAnsi="宋体" w:eastAsia="宋体" w:cs="宋体"/>
                <w:color w:val="auto"/>
                <w:sz w:val="24"/>
                <w:szCs w:val="24"/>
                <w:highlight w:val="none"/>
              </w:rPr>
              <w:t>后到甲方处办理退还手续</w:t>
            </w:r>
          </w:p>
          <w:p w14:paraId="671D8960">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逾期退还的违约金：/</w:t>
            </w:r>
          </w:p>
        </w:tc>
      </w:tr>
      <w:tr w14:paraId="0E55B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57" w:type="dxa"/>
            <w:vAlign w:val="center"/>
          </w:tcPr>
          <w:p w14:paraId="7E07D015">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0CC6BE3A">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第14.1（3）项</w:t>
            </w:r>
          </w:p>
        </w:tc>
        <w:tc>
          <w:tcPr>
            <w:tcW w:w="1975" w:type="dxa"/>
            <w:vAlign w:val="center"/>
          </w:tcPr>
          <w:p w14:paraId="3F7C6FA4">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运行监督、维修期限</w:t>
            </w:r>
          </w:p>
        </w:tc>
        <w:tc>
          <w:tcPr>
            <w:tcW w:w="5583" w:type="dxa"/>
            <w:vAlign w:val="center"/>
          </w:tcPr>
          <w:p w14:paraId="23D3C5BD">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年</w:t>
            </w:r>
          </w:p>
        </w:tc>
      </w:tr>
      <w:tr w14:paraId="1635C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57" w:type="dxa"/>
            <w:vAlign w:val="center"/>
          </w:tcPr>
          <w:p w14:paraId="0881FE20">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7DFED415">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第14.1（5）项</w:t>
            </w:r>
          </w:p>
        </w:tc>
        <w:tc>
          <w:tcPr>
            <w:tcW w:w="1975" w:type="dxa"/>
            <w:vAlign w:val="center"/>
          </w:tcPr>
          <w:p w14:paraId="341B2E41">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货物回收的约定</w:t>
            </w:r>
          </w:p>
        </w:tc>
        <w:tc>
          <w:tcPr>
            <w:tcW w:w="5583" w:type="dxa"/>
            <w:vAlign w:val="center"/>
          </w:tcPr>
          <w:p w14:paraId="11CA3A93">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r>
      <w:tr w14:paraId="4C59B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57" w:type="dxa"/>
            <w:vAlign w:val="center"/>
          </w:tcPr>
          <w:p w14:paraId="2915C482">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43206BC5">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第14.1（6）项</w:t>
            </w:r>
          </w:p>
        </w:tc>
        <w:tc>
          <w:tcPr>
            <w:tcW w:w="1975" w:type="dxa"/>
            <w:vAlign w:val="center"/>
          </w:tcPr>
          <w:p w14:paraId="4DD3356A">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乙方提供的其他服务</w:t>
            </w:r>
          </w:p>
        </w:tc>
        <w:tc>
          <w:tcPr>
            <w:tcW w:w="5583" w:type="dxa"/>
            <w:vAlign w:val="center"/>
          </w:tcPr>
          <w:p w14:paraId="3AB4FCF9">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按采购文件及投标文件</w:t>
            </w:r>
          </w:p>
        </w:tc>
      </w:tr>
      <w:tr w14:paraId="01A0EA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857" w:type="dxa"/>
            <w:vAlign w:val="center"/>
          </w:tcPr>
          <w:p w14:paraId="28011B4D">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4D812553">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第15.1款</w:t>
            </w:r>
          </w:p>
        </w:tc>
        <w:tc>
          <w:tcPr>
            <w:tcW w:w="1975" w:type="dxa"/>
            <w:vAlign w:val="center"/>
          </w:tcPr>
          <w:p w14:paraId="6E81BE83">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修理、重作、更换相关具体规定</w:t>
            </w:r>
          </w:p>
        </w:tc>
        <w:tc>
          <w:tcPr>
            <w:tcW w:w="5583" w:type="dxa"/>
            <w:vAlign w:val="center"/>
          </w:tcPr>
          <w:p w14:paraId="02768DDF">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1.甲方有权根据权威质量检测部门出具的检验报告向乙方提出索赔。</w:t>
            </w:r>
          </w:p>
          <w:p w14:paraId="192D553E">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2.在质量保证期内，如果乙方对缺陷产品负有责任而甲方提出索赔，乙方应按照甲方同意的下列一种或多种方式解决索赔事宜，并且甲方可以收取乙方合同总价2%的违约金：</w:t>
            </w:r>
          </w:p>
          <w:p w14:paraId="7B2BEBF6">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(1)乙方退货并将货款退还给甲方，由此发生的一切费用和损失由乙方承担。</w:t>
            </w:r>
          </w:p>
          <w:p w14:paraId="5F08354D">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(2)根据货物的质量状况以及甲方所遭受的损失，经过双方商定降低货物的价格。</w:t>
            </w:r>
          </w:p>
          <w:p w14:paraId="58F1AB67">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4A4985DA">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5C396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57" w:type="dxa"/>
            <w:vAlign w:val="center"/>
          </w:tcPr>
          <w:p w14:paraId="15538582">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403594FC">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第15.2（2）项</w:t>
            </w:r>
          </w:p>
        </w:tc>
        <w:tc>
          <w:tcPr>
            <w:tcW w:w="1975" w:type="dxa"/>
            <w:vAlign w:val="center"/>
          </w:tcPr>
          <w:p w14:paraId="62A154D5">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迟延交货赔偿费</w:t>
            </w:r>
          </w:p>
        </w:tc>
        <w:tc>
          <w:tcPr>
            <w:tcW w:w="5583" w:type="dxa"/>
            <w:vAlign w:val="center"/>
          </w:tcPr>
          <w:p w14:paraId="62406A42">
            <w:pPr>
              <w:adjustRightInd w:val="0"/>
              <w:snapToGrid w:val="0"/>
              <w:spacing w:line="400" w:lineRule="exact"/>
              <w:jc w:val="left"/>
              <w:rPr>
                <w:rFonts w:ascii="宋体" w:hAnsi="宋体" w:eastAsia="宋体" w:cs="宋体"/>
                <w:b/>
                <w:bCs/>
                <w:color w:val="auto"/>
                <w:sz w:val="24"/>
                <w:szCs w:val="24"/>
                <w:highlight w:val="none"/>
                <w:u w:val="single"/>
              </w:rPr>
            </w:pPr>
            <w:r>
              <w:rPr>
                <w:rFonts w:ascii="宋体" w:hAnsi="宋体" w:eastAsia="宋体" w:cs="宋体"/>
                <w:color w:val="auto"/>
                <w:sz w:val="24"/>
                <w:szCs w:val="24"/>
                <w:highlight w:val="none"/>
              </w:rPr>
              <w:t>因乙方原因延迟完工的，每延迟1天，扣罚500元。</w:t>
            </w:r>
          </w:p>
        </w:tc>
      </w:tr>
      <w:tr w14:paraId="306EB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57" w:type="dxa"/>
            <w:vAlign w:val="center"/>
          </w:tcPr>
          <w:p w14:paraId="2070CBA1">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2240931E">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第15.3款</w:t>
            </w:r>
          </w:p>
        </w:tc>
        <w:tc>
          <w:tcPr>
            <w:tcW w:w="1975" w:type="dxa"/>
            <w:vAlign w:val="center"/>
          </w:tcPr>
          <w:p w14:paraId="22589F25">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逾期付款利息</w:t>
            </w:r>
          </w:p>
        </w:tc>
        <w:tc>
          <w:tcPr>
            <w:tcW w:w="5583" w:type="dxa"/>
            <w:vAlign w:val="center"/>
          </w:tcPr>
          <w:p w14:paraId="3CDE1F97">
            <w:pPr>
              <w:adjustRightInd w:val="0"/>
              <w:snapToGrid w:val="0"/>
              <w:spacing w:line="400" w:lineRule="exact"/>
              <w:jc w:val="lef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w:t>
            </w:r>
          </w:p>
        </w:tc>
      </w:tr>
      <w:tr w14:paraId="26406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857" w:type="dxa"/>
            <w:tcBorders>
              <w:bottom w:val="single" w:color="auto" w:sz="2" w:space="0"/>
              <w:right w:val="single" w:color="auto" w:sz="2" w:space="0"/>
            </w:tcBorders>
            <w:vAlign w:val="center"/>
          </w:tcPr>
          <w:p w14:paraId="21CF5A17">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2ABFED7D">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第15.4款</w:t>
            </w:r>
          </w:p>
        </w:tc>
        <w:tc>
          <w:tcPr>
            <w:tcW w:w="1975" w:type="dxa"/>
            <w:tcBorders>
              <w:left w:val="single" w:color="auto" w:sz="2" w:space="0"/>
              <w:bottom w:val="single" w:color="auto" w:sz="2" w:space="0"/>
              <w:right w:val="single" w:color="auto" w:sz="2" w:space="0"/>
            </w:tcBorders>
            <w:vAlign w:val="center"/>
          </w:tcPr>
          <w:p w14:paraId="200692AE">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其他违约责任</w:t>
            </w:r>
          </w:p>
        </w:tc>
        <w:tc>
          <w:tcPr>
            <w:tcW w:w="5583" w:type="dxa"/>
            <w:tcBorders>
              <w:left w:val="single" w:color="auto" w:sz="2" w:space="0"/>
              <w:bottom w:val="single" w:color="auto" w:sz="2" w:space="0"/>
            </w:tcBorders>
            <w:vAlign w:val="center"/>
          </w:tcPr>
          <w:p w14:paraId="3735CE84">
            <w:pPr>
              <w:adjustRightInd w:val="0"/>
              <w:snapToGrid w:val="0"/>
              <w:spacing w:line="400" w:lineRule="exact"/>
              <w:jc w:val="lef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按采购文件及投标文件</w:t>
            </w:r>
          </w:p>
        </w:tc>
      </w:tr>
      <w:tr w14:paraId="29A17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1857" w:type="dxa"/>
            <w:tcBorders>
              <w:top w:val="single" w:color="auto" w:sz="2" w:space="0"/>
              <w:right w:val="single" w:color="auto" w:sz="2" w:space="0"/>
            </w:tcBorders>
            <w:vAlign w:val="center"/>
          </w:tcPr>
          <w:p w14:paraId="0F7D583C">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56AEB928">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第19.2款</w:t>
            </w:r>
          </w:p>
        </w:tc>
        <w:tc>
          <w:tcPr>
            <w:tcW w:w="1975" w:type="dxa"/>
            <w:tcBorders>
              <w:top w:val="single" w:color="auto" w:sz="2" w:space="0"/>
              <w:left w:val="single" w:color="auto" w:sz="2" w:space="0"/>
              <w:right w:val="single" w:color="auto" w:sz="2" w:space="0"/>
            </w:tcBorders>
            <w:vAlign w:val="center"/>
          </w:tcPr>
          <w:p w14:paraId="080218B0">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解决争议的方法</w:t>
            </w:r>
          </w:p>
        </w:tc>
        <w:tc>
          <w:tcPr>
            <w:tcW w:w="5583" w:type="dxa"/>
            <w:tcBorders>
              <w:top w:val="single" w:color="auto" w:sz="2" w:space="0"/>
              <w:left w:val="single" w:color="auto" w:sz="2" w:space="0"/>
            </w:tcBorders>
            <w:vAlign w:val="center"/>
          </w:tcPr>
          <w:p w14:paraId="5379D3A8">
            <w:pPr>
              <w:autoSpaceDE w:val="0"/>
              <w:autoSpaceDN w:val="0"/>
              <w:adjustRightInd w:val="0"/>
              <w:snapToGrid w:val="0"/>
              <w:spacing w:line="400" w:lineRule="exact"/>
              <w:jc w:val="left"/>
              <w:rPr>
                <w:rFonts w:ascii="宋体" w:hAnsi="宋体" w:eastAsia="宋体" w:cs="宋体"/>
                <w:iCs/>
                <w:color w:val="auto"/>
                <w:sz w:val="24"/>
                <w:szCs w:val="24"/>
                <w:highlight w:val="none"/>
              </w:rPr>
            </w:pPr>
            <w:r>
              <w:rPr>
                <w:rFonts w:ascii="宋体" w:hAnsi="宋体" w:eastAsia="宋体" w:cs="宋体"/>
                <w:iCs/>
                <w:color w:val="auto"/>
                <w:sz w:val="24"/>
                <w:szCs w:val="24"/>
                <w:highlight w:val="none"/>
              </w:rPr>
              <w:t>因本合同及合同有关事项发生的争议，按下列第</w:t>
            </w:r>
            <w:r>
              <w:rPr>
                <w:rFonts w:ascii="宋体" w:hAnsi="宋体" w:eastAsia="宋体" w:cs="宋体"/>
                <w:iCs/>
                <w:color w:val="auto"/>
                <w:sz w:val="24"/>
                <w:szCs w:val="24"/>
                <w:highlight w:val="none"/>
                <w:u w:val="single"/>
              </w:rPr>
              <w:t xml:space="preserve"> （2）  </w:t>
            </w:r>
            <w:r>
              <w:rPr>
                <w:rFonts w:ascii="宋体" w:hAnsi="宋体" w:eastAsia="宋体" w:cs="宋体"/>
                <w:iCs/>
                <w:color w:val="auto"/>
                <w:sz w:val="24"/>
                <w:szCs w:val="24"/>
                <w:highlight w:val="none"/>
              </w:rPr>
              <w:t>种方式解决：</w:t>
            </w:r>
          </w:p>
          <w:p w14:paraId="03B9A4F5">
            <w:pPr>
              <w:autoSpaceDE w:val="0"/>
              <w:autoSpaceDN w:val="0"/>
              <w:adjustRightInd w:val="0"/>
              <w:snapToGrid w:val="0"/>
              <w:spacing w:line="400" w:lineRule="exact"/>
              <w:jc w:val="left"/>
              <w:rPr>
                <w:rFonts w:ascii="宋体" w:hAnsi="宋体" w:eastAsia="宋体" w:cs="宋体"/>
                <w:iCs/>
                <w:color w:val="auto"/>
                <w:sz w:val="24"/>
                <w:szCs w:val="24"/>
                <w:highlight w:val="none"/>
              </w:rPr>
            </w:pPr>
            <w:r>
              <w:rPr>
                <w:rFonts w:ascii="宋体" w:hAnsi="宋体" w:eastAsia="宋体" w:cs="宋体"/>
                <w:iCs/>
                <w:color w:val="auto"/>
                <w:sz w:val="24"/>
                <w:szCs w:val="24"/>
                <w:highlight w:val="none"/>
              </w:rPr>
              <w:t>（1）向</w:t>
            </w:r>
            <w:r>
              <w:rPr>
                <w:rFonts w:ascii="宋体" w:hAnsi="宋体" w:eastAsia="宋体" w:cs="宋体"/>
                <w:iCs/>
                <w:color w:val="auto"/>
                <w:sz w:val="24"/>
                <w:szCs w:val="24"/>
                <w:highlight w:val="none"/>
                <w:u w:val="single"/>
              </w:rPr>
              <w:t xml:space="preserve">                    </w:t>
            </w:r>
            <w:r>
              <w:rPr>
                <w:rFonts w:ascii="宋体" w:hAnsi="宋体" w:eastAsia="宋体" w:cs="宋体"/>
                <w:iCs/>
                <w:color w:val="auto"/>
                <w:sz w:val="24"/>
                <w:szCs w:val="24"/>
                <w:highlight w:val="none"/>
              </w:rPr>
              <w:t>仲裁委员会申请仲裁，仲裁地点为</w:t>
            </w:r>
            <w:r>
              <w:rPr>
                <w:rFonts w:ascii="宋体" w:hAnsi="宋体" w:eastAsia="宋体" w:cs="宋体"/>
                <w:iCs/>
                <w:color w:val="auto"/>
                <w:sz w:val="24"/>
                <w:szCs w:val="24"/>
                <w:highlight w:val="none"/>
                <w:u w:val="single"/>
              </w:rPr>
              <w:t xml:space="preserve">           </w:t>
            </w:r>
            <w:r>
              <w:rPr>
                <w:rFonts w:ascii="宋体" w:hAnsi="宋体" w:eastAsia="宋体" w:cs="宋体"/>
                <w:iCs/>
                <w:color w:val="auto"/>
                <w:sz w:val="24"/>
                <w:szCs w:val="24"/>
                <w:highlight w:val="none"/>
              </w:rPr>
              <w:t>；</w:t>
            </w:r>
          </w:p>
          <w:p w14:paraId="03FA0514">
            <w:pPr>
              <w:adjustRightInd w:val="0"/>
              <w:snapToGrid w:val="0"/>
              <w:spacing w:line="400" w:lineRule="exact"/>
              <w:jc w:val="left"/>
              <w:rPr>
                <w:rFonts w:ascii="宋体" w:hAnsi="宋体" w:eastAsia="宋体" w:cs="宋体"/>
                <w:color w:val="auto"/>
                <w:sz w:val="24"/>
                <w:szCs w:val="24"/>
                <w:highlight w:val="none"/>
                <w:u w:val="single"/>
              </w:rPr>
            </w:pPr>
            <w:r>
              <w:rPr>
                <w:rFonts w:ascii="宋体" w:hAnsi="宋体" w:eastAsia="宋体" w:cs="宋体"/>
                <w:iCs/>
                <w:color w:val="auto"/>
                <w:sz w:val="24"/>
                <w:szCs w:val="24"/>
                <w:highlight w:val="none"/>
              </w:rPr>
              <w:t>（2）向</w:t>
            </w:r>
            <w:r>
              <w:rPr>
                <w:rFonts w:ascii="宋体" w:hAnsi="宋体" w:eastAsia="宋体" w:cs="宋体"/>
                <w:iCs/>
                <w:color w:val="auto"/>
                <w:sz w:val="24"/>
                <w:szCs w:val="24"/>
                <w:highlight w:val="none"/>
                <w:u w:val="single"/>
              </w:rPr>
              <w:t xml:space="preserve"> 浦江县 </w:t>
            </w:r>
            <w:r>
              <w:rPr>
                <w:rFonts w:ascii="宋体" w:hAnsi="宋体" w:eastAsia="宋体" w:cs="宋体"/>
                <w:iCs/>
                <w:color w:val="auto"/>
                <w:sz w:val="24"/>
                <w:szCs w:val="24"/>
                <w:highlight w:val="none"/>
              </w:rPr>
              <w:t>人民法院起诉。</w:t>
            </w:r>
          </w:p>
        </w:tc>
      </w:tr>
      <w:tr w14:paraId="3709D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857" w:type="dxa"/>
            <w:vAlign w:val="center"/>
          </w:tcPr>
          <w:p w14:paraId="32F790D4">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第二节</w:t>
            </w:r>
          </w:p>
          <w:p w14:paraId="5E7BDDD8">
            <w:pPr>
              <w:adjustRightInd w:val="0"/>
              <w:snapToGrid w:val="0"/>
              <w:spacing w:line="40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第23.1款</w:t>
            </w:r>
          </w:p>
        </w:tc>
        <w:tc>
          <w:tcPr>
            <w:tcW w:w="1975" w:type="dxa"/>
            <w:vAlign w:val="center"/>
          </w:tcPr>
          <w:p w14:paraId="50FA9696">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bCs/>
                <w:color w:val="auto"/>
                <w:sz w:val="24"/>
                <w:szCs w:val="24"/>
                <w:highlight w:val="none"/>
              </w:rPr>
              <w:t>其他专用条款</w:t>
            </w:r>
          </w:p>
        </w:tc>
        <w:tc>
          <w:tcPr>
            <w:tcW w:w="5583" w:type="dxa"/>
            <w:vAlign w:val="center"/>
          </w:tcPr>
          <w:p w14:paraId="386FE0A5">
            <w:pPr>
              <w:adjustRightInd w:val="0"/>
              <w:snapToGrid w:val="0"/>
              <w:spacing w:line="4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r>
    </w:tbl>
    <w:p w14:paraId="10DD73BB">
      <w:pPr>
        <w:rPr>
          <w:rFonts w:ascii="宋体" w:hAnsi="宋体" w:eastAsia="宋体" w:cs="宋体"/>
          <w:color w:val="auto"/>
          <w:highlight w:val="none"/>
        </w:rPr>
      </w:pPr>
    </w:p>
    <w:p w14:paraId="1AAD95FE">
      <w:pPr>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105FE893">
      <w:pPr>
        <w:jc w:val="center"/>
        <w:outlineLvl w:val="0"/>
        <w:rPr>
          <w:rFonts w:asciiTheme="minorEastAsia" w:hAnsiTheme="minorEastAsia" w:eastAsiaTheme="minorEastAsia" w:cstheme="minorEastAsia"/>
          <w:b/>
          <w:color w:val="auto"/>
          <w:sz w:val="36"/>
          <w:highlight w:val="none"/>
        </w:rPr>
      </w:pPr>
      <w:r>
        <w:rPr>
          <w:rFonts w:asciiTheme="minorEastAsia" w:hAnsiTheme="minorEastAsia" w:eastAsiaTheme="minorEastAsia" w:cstheme="minorEastAsia"/>
          <w:b/>
          <w:color w:val="auto"/>
          <w:sz w:val="36"/>
          <w:highlight w:val="none"/>
        </w:rPr>
        <w:t>第六部分 应提交的有关格式范例</w:t>
      </w:r>
    </w:p>
    <w:p w14:paraId="4A6A04D3">
      <w:pPr>
        <w:spacing w:line="48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说明：</w:t>
      </w:r>
    </w:p>
    <w:p w14:paraId="6048000C">
      <w:pPr>
        <w:spacing w:line="48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1.投标文件由供应商根据招标文件要求参照附件格式编制。</w:t>
      </w:r>
    </w:p>
    <w:p w14:paraId="4536ADB1">
      <w:pPr>
        <w:spacing w:line="48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2.供应商根据实际情况填写。</w:t>
      </w:r>
    </w:p>
    <w:p w14:paraId="5DB23744">
      <w:pPr>
        <w:spacing w:line="48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3.招标文件中没有参考格式的，供应商自行编制。</w:t>
      </w:r>
    </w:p>
    <w:p w14:paraId="18FF0EFC">
      <w:pPr>
        <w:pStyle w:val="2"/>
        <w:ind w:left="0" w:leftChars="0" w:firstLine="0" w:firstLineChars="0"/>
        <w:rPr>
          <w:rFonts w:asciiTheme="minorEastAsia" w:hAnsiTheme="minorEastAsia" w:eastAsiaTheme="minorEastAsia" w:cstheme="minorEastAsia"/>
          <w:b/>
          <w:color w:val="auto"/>
          <w:kern w:val="2"/>
          <w:sz w:val="36"/>
          <w:highlight w:val="none"/>
        </w:rPr>
      </w:pPr>
    </w:p>
    <w:p w14:paraId="0BEEA6E0">
      <w:pPr>
        <w:pStyle w:val="2"/>
        <w:ind w:left="0" w:leftChars="0" w:firstLine="0" w:firstLineChars="0"/>
        <w:rPr>
          <w:rFonts w:asciiTheme="minorEastAsia" w:hAnsiTheme="minorEastAsia" w:eastAsiaTheme="minorEastAsia" w:cstheme="minorEastAsia"/>
          <w:b/>
          <w:color w:val="auto"/>
          <w:kern w:val="2"/>
          <w:sz w:val="36"/>
          <w:highlight w:val="none"/>
        </w:rPr>
      </w:pPr>
    </w:p>
    <w:p w14:paraId="5D84A43C">
      <w:pPr>
        <w:rPr>
          <w:rFonts w:asciiTheme="minorEastAsia" w:hAnsiTheme="minorEastAsia" w:eastAsiaTheme="minorEastAsia" w:cstheme="minorEastAsia"/>
          <w:b/>
          <w:color w:val="auto"/>
          <w:sz w:val="36"/>
          <w:highlight w:val="none"/>
        </w:rPr>
      </w:pPr>
    </w:p>
    <w:p w14:paraId="449D68DD">
      <w:pPr>
        <w:pStyle w:val="2"/>
        <w:ind w:firstLine="723"/>
        <w:rPr>
          <w:rFonts w:asciiTheme="minorEastAsia" w:hAnsiTheme="minorEastAsia" w:eastAsiaTheme="minorEastAsia" w:cstheme="minorEastAsia"/>
          <w:b/>
          <w:color w:val="auto"/>
          <w:kern w:val="2"/>
          <w:sz w:val="36"/>
          <w:highlight w:val="none"/>
        </w:rPr>
      </w:pPr>
    </w:p>
    <w:p w14:paraId="65CCC2AB">
      <w:pPr>
        <w:rPr>
          <w:rFonts w:asciiTheme="minorEastAsia" w:hAnsiTheme="minorEastAsia" w:eastAsiaTheme="minorEastAsia" w:cstheme="minorEastAsia"/>
          <w:b/>
          <w:color w:val="auto"/>
          <w:sz w:val="36"/>
          <w:highlight w:val="none"/>
        </w:rPr>
      </w:pPr>
    </w:p>
    <w:p w14:paraId="7B5518E5">
      <w:pPr>
        <w:pStyle w:val="2"/>
        <w:ind w:firstLine="723"/>
        <w:rPr>
          <w:rFonts w:asciiTheme="minorEastAsia" w:hAnsiTheme="minorEastAsia" w:eastAsiaTheme="minorEastAsia" w:cstheme="minorEastAsia"/>
          <w:b/>
          <w:color w:val="auto"/>
          <w:kern w:val="2"/>
          <w:sz w:val="36"/>
          <w:highlight w:val="none"/>
        </w:rPr>
      </w:pPr>
    </w:p>
    <w:p w14:paraId="0AA91649">
      <w:pPr>
        <w:rPr>
          <w:rFonts w:asciiTheme="minorEastAsia" w:hAnsiTheme="minorEastAsia" w:eastAsiaTheme="minorEastAsia" w:cstheme="minorEastAsia"/>
          <w:b/>
          <w:color w:val="auto"/>
          <w:sz w:val="36"/>
          <w:highlight w:val="none"/>
        </w:rPr>
      </w:pPr>
    </w:p>
    <w:p w14:paraId="13C8A332">
      <w:pPr>
        <w:pStyle w:val="2"/>
        <w:ind w:firstLine="723"/>
        <w:rPr>
          <w:rFonts w:asciiTheme="minorEastAsia" w:hAnsiTheme="minorEastAsia" w:eastAsiaTheme="minorEastAsia" w:cstheme="minorEastAsia"/>
          <w:b/>
          <w:color w:val="auto"/>
          <w:kern w:val="2"/>
          <w:sz w:val="36"/>
          <w:highlight w:val="none"/>
        </w:rPr>
      </w:pPr>
    </w:p>
    <w:p w14:paraId="1329833E">
      <w:pPr>
        <w:rPr>
          <w:rFonts w:asciiTheme="minorEastAsia" w:hAnsiTheme="minorEastAsia" w:eastAsiaTheme="minorEastAsia" w:cstheme="minorEastAsia"/>
          <w:b/>
          <w:color w:val="auto"/>
          <w:sz w:val="36"/>
          <w:highlight w:val="none"/>
        </w:rPr>
      </w:pPr>
    </w:p>
    <w:p w14:paraId="3A9C9F57">
      <w:pPr>
        <w:pStyle w:val="2"/>
        <w:ind w:firstLine="723"/>
        <w:rPr>
          <w:rFonts w:asciiTheme="minorEastAsia" w:hAnsiTheme="minorEastAsia" w:eastAsiaTheme="minorEastAsia" w:cstheme="minorEastAsia"/>
          <w:b/>
          <w:color w:val="auto"/>
          <w:kern w:val="2"/>
          <w:sz w:val="36"/>
          <w:highlight w:val="none"/>
        </w:rPr>
      </w:pPr>
    </w:p>
    <w:p w14:paraId="2599A0D4">
      <w:pPr>
        <w:rPr>
          <w:rFonts w:asciiTheme="minorEastAsia" w:hAnsiTheme="minorEastAsia" w:eastAsiaTheme="minorEastAsia" w:cstheme="minorEastAsia"/>
          <w:b/>
          <w:color w:val="auto"/>
          <w:sz w:val="36"/>
          <w:highlight w:val="none"/>
        </w:rPr>
      </w:pPr>
    </w:p>
    <w:p w14:paraId="11BB9ECA">
      <w:pPr>
        <w:spacing w:line="240" w:lineRule="auto"/>
        <w:rPr>
          <w:rFonts w:asciiTheme="minorEastAsia" w:hAnsiTheme="minorEastAsia" w:eastAsiaTheme="minorEastAsia" w:cstheme="minorEastAsia"/>
          <w:b/>
          <w:color w:val="auto"/>
          <w:sz w:val="28"/>
          <w:szCs w:val="28"/>
          <w:highlight w:val="none"/>
        </w:rPr>
      </w:pPr>
    </w:p>
    <w:p w14:paraId="65C76094">
      <w:pPr>
        <w:spacing w:line="240" w:lineRule="auto"/>
        <w:rPr>
          <w:rFonts w:asciiTheme="minorEastAsia" w:hAnsiTheme="minorEastAsia" w:eastAsiaTheme="minorEastAsia" w:cstheme="minorEastAsia"/>
          <w:b/>
          <w:color w:val="auto"/>
          <w:sz w:val="28"/>
          <w:szCs w:val="28"/>
          <w:highlight w:val="none"/>
        </w:rPr>
      </w:pPr>
    </w:p>
    <w:p w14:paraId="2CD10C9F">
      <w:pPr>
        <w:spacing w:line="240" w:lineRule="auto"/>
        <w:rPr>
          <w:rFonts w:ascii="宋体" w:hAnsi="宋体" w:eastAsia="宋体" w:cs="宋体"/>
          <w:b/>
          <w:color w:val="auto"/>
          <w:sz w:val="28"/>
          <w:szCs w:val="28"/>
          <w:highlight w:val="none"/>
        </w:rPr>
      </w:pPr>
    </w:p>
    <w:p w14:paraId="6ADDF717">
      <w:pPr>
        <w:rPr>
          <w:rFonts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605D2A8F">
      <w:pPr>
        <w:spacing w:line="240" w:lineRule="auto"/>
        <w:outlineLvl w:val="1"/>
        <w:rPr>
          <w:rFonts w:ascii="宋体" w:hAnsi="宋体" w:eastAsia="宋体" w:cs="宋体"/>
          <w:b/>
          <w:color w:val="auto"/>
          <w:sz w:val="28"/>
          <w:szCs w:val="28"/>
          <w:highlight w:val="none"/>
        </w:rPr>
      </w:pPr>
      <w:r>
        <w:rPr>
          <w:rFonts w:ascii="宋体" w:hAnsi="宋体" w:eastAsia="宋体" w:cs="宋体"/>
          <w:b/>
          <w:color w:val="auto"/>
          <w:sz w:val="28"/>
          <w:szCs w:val="28"/>
          <w:highlight w:val="none"/>
        </w:rPr>
        <w:t>一、资格文件封面格式</w:t>
      </w:r>
    </w:p>
    <w:p w14:paraId="71369DDE">
      <w:pPr>
        <w:spacing w:line="240" w:lineRule="auto"/>
        <w:rPr>
          <w:rFonts w:ascii="宋体" w:hAnsi="宋体" w:eastAsia="宋体" w:cs="宋体"/>
          <w:b/>
          <w:bCs/>
          <w:color w:val="auto"/>
          <w:sz w:val="40"/>
          <w:szCs w:val="40"/>
          <w:highlight w:val="none"/>
        </w:rPr>
      </w:pPr>
    </w:p>
    <w:p w14:paraId="57533965">
      <w:pPr>
        <w:spacing w:line="240" w:lineRule="auto"/>
        <w:jc w:val="center"/>
        <w:rPr>
          <w:rFonts w:ascii="宋体" w:hAnsi="宋体" w:eastAsia="宋体" w:cs="宋体"/>
          <w:b/>
          <w:bCs/>
          <w:color w:val="auto"/>
          <w:sz w:val="40"/>
          <w:szCs w:val="40"/>
          <w:highlight w:val="none"/>
        </w:rPr>
      </w:pPr>
    </w:p>
    <w:p w14:paraId="2ECDB953">
      <w:pPr>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40"/>
          <w:szCs w:val="40"/>
          <w:highlight w:val="none"/>
          <w:lang w:eastAsia="zh-CN"/>
        </w:rPr>
        <w:t xml:space="preserve">浦江县城区幼儿园金狮湖幼儿园建设项目幼儿园玩具  </w:t>
      </w:r>
    </w:p>
    <w:p w14:paraId="254B72A1">
      <w:pPr>
        <w:spacing w:line="360" w:lineRule="auto"/>
        <w:jc w:val="center"/>
        <w:rPr>
          <w:rFonts w:ascii="宋体" w:hAnsi="宋体" w:eastAsia="宋体" w:cs="宋体"/>
          <w:color w:val="auto"/>
          <w:spacing w:val="40"/>
          <w:w w:val="90"/>
          <w:sz w:val="96"/>
          <w:szCs w:val="96"/>
          <w:highlight w:val="none"/>
          <w:lang w:bidi="th-TH"/>
        </w:rPr>
      </w:pPr>
    </w:p>
    <w:p w14:paraId="5A795D48">
      <w:pPr>
        <w:spacing w:line="360" w:lineRule="auto"/>
        <w:jc w:val="center"/>
        <w:rPr>
          <w:rFonts w:ascii="宋体" w:hAnsi="宋体" w:eastAsia="宋体" w:cs="宋体"/>
          <w:color w:val="auto"/>
          <w:spacing w:val="40"/>
          <w:w w:val="90"/>
          <w:sz w:val="96"/>
          <w:szCs w:val="96"/>
          <w:highlight w:val="none"/>
          <w:lang w:bidi="th-TH"/>
        </w:rPr>
      </w:pPr>
      <w:r>
        <w:rPr>
          <w:rFonts w:ascii="宋体" w:hAnsi="宋体" w:eastAsia="宋体" w:cs="宋体"/>
          <w:color w:val="auto"/>
          <w:spacing w:val="40"/>
          <w:w w:val="90"/>
          <w:sz w:val="96"/>
          <w:szCs w:val="96"/>
          <w:highlight w:val="none"/>
          <w:lang w:bidi="th-TH"/>
        </w:rPr>
        <w:t>投 标 文 件</w:t>
      </w:r>
    </w:p>
    <w:p w14:paraId="7CFC8857">
      <w:pPr>
        <w:spacing w:line="240" w:lineRule="auto"/>
        <w:jc w:val="center"/>
        <w:rPr>
          <w:rFonts w:ascii="宋体" w:hAnsi="宋体" w:eastAsia="宋体" w:cs="宋体"/>
          <w:b/>
          <w:bCs/>
          <w:color w:val="auto"/>
          <w:sz w:val="36"/>
          <w:szCs w:val="36"/>
          <w:highlight w:val="none"/>
        </w:rPr>
      </w:pPr>
      <w:r>
        <w:rPr>
          <w:rFonts w:ascii="宋体" w:hAnsi="宋体" w:eastAsia="宋体" w:cs="宋体"/>
          <w:b/>
          <w:bCs/>
          <w:color w:val="auto"/>
          <w:sz w:val="36"/>
          <w:szCs w:val="36"/>
          <w:highlight w:val="none"/>
        </w:rPr>
        <w:t>（资格文件）</w:t>
      </w:r>
    </w:p>
    <w:p w14:paraId="7F07751A">
      <w:pPr>
        <w:spacing w:line="240" w:lineRule="auto"/>
        <w:ind w:firstLine="2811" w:firstLineChars="1000"/>
        <w:jc w:val="both"/>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t>项目编号：</w:t>
      </w:r>
    </w:p>
    <w:p w14:paraId="5C245E41">
      <w:pPr>
        <w:spacing w:line="240" w:lineRule="auto"/>
        <w:jc w:val="center"/>
        <w:rPr>
          <w:rFonts w:ascii="宋体" w:hAnsi="宋体" w:eastAsia="宋体" w:cs="宋体"/>
          <w:b/>
          <w:bCs/>
          <w:color w:val="auto"/>
          <w:sz w:val="28"/>
          <w:szCs w:val="28"/>
          <w:highlight w:val="none"/>
        </w:rPr>
      </w:pPr>
    </w:p>
    <w:p w14:paraId="7A40CE88">
      <w:pPr>
        <w:autoSpaceDE w:val="0"/>
        <w:autoSpaceDN w:val="0"/>
        <w:adjustRightInd w:val="0"/>
        <w:spacing w:line="360" w:lineRule="auto"/>
        <w:rPr>
          <w:rFonts w:ascii="宋体" w:hAnsi="宋体" w:eastAsia="宋体" w:cs="宋体"/>
          <w:b/>
          <w:color w:val="auto"/>
          <w:sz w:val="32"/>
          <w:szCs w:val="32"/>
          <w:highlight w:val="none"/>
        </w:rPr>
      </w:pPr>
    </w:p>
    <w:p w14:paraId="23403F54">
      <w:pPr>
        <w:autoSpaceDE w:val="0"/>
        <w:autoSpaceDN w:val="0"/>
        <w:adjustRightInd w:val="0"/>
        <w:spacing w:line="360" w:lineRule="auto"/>
        <w:rPr>
          <w:rFonts w:ascii="宋体" w:hAnsi="宋体" w:eastAsia="宋体" w:cs="宋体"/>
          <w:b/>
          <w:color w:val="auto"/>
          <w:sz w:val="32"/>
          <w:szCs w:val="32"/>
          <w:highlight w:val="none"/>
        </w:rPr>
      </w:pPr>
    </w:p>
    <w:p w14:paraId="72CA402C">
      <w:pPr>
        <w:autoSpaceDE w:val="0"/>
        <w:autoSpaceDN w:val="0"/>
        <w:adjustRightInd w:val="0"/>
        <w:spacing w:line="360" w:lineRule="auto"/>
        <w:rPr>
          <w:rFonts w:ascii="宋体" w:hAnsi="宋体" w:eastAsia="宋体" w:cs="宋体"/>
          <w:b/>
          <w:color w:val="auto"/>
          <w:sz w:val="32"/>
          <w:szCs w:val="32"/>
          <w:highlight w:val="none"/>
        </w:rPr>
      </w:pPr>
    </w:p>
    <w:p w14:paraId="540CBCD6">
      <w:pPr>
        <w:autoSpaceDE w:val="0"/>
        <w:autoSpaceDN w:val="0"/>
        <w:adjustRightInd w:val="0"/>
        <w:spacing w:line="360" w:lineRule="auto"/>
        <w:rPr>
          <w:rFonts w:ascii="宋体" w:hAnsi="宋体" w:eastAsia="宋体" w:cs="宋体"/>
          <w:b/>
          <w:color w:val="auto"/>
          <w:sz w:val="32"/>
          <w:szCs w:val="32"/>
          <w:highlight w:val="none"/>
        </w:rPr>
      </w:pPr>
    </w:p>
    <w:p w14:paraId="07B54A78">
      <w:pPr>
        <w:autoSpaceDE w:val="0"/>
        <w:autoSpaceDN w:val="0"/>
        <w:adjustRightInd w:val="0"/>
        <w:spacing w:line="360" w:lineRule="auto"/>
        <w:rPr>
          <w:rFonts w:ascii="宋体" w:hAnsi="宋体" w:eastAsia="宋体" w:cs="宋体"/>
          <w:b/>
          <w:color w:val="auto"/>
          <w:sz w:val="32"/>
          <w:szCs w:val="32"/>
          <w:highlight w:val="none"/>
        </w:rPr>
      </w:pPr>
      <w:r>
        <w:rPr>
          <w:rFonts w:ascii="宋体" w:hAnsi="宋体" w:eastAsia="宋体" w:cs="宋体"/>
          <w:b/>
          <w:color w:val="auto"/>
          <w:sz w:val="32"/>
          <w:szCs w:val="32"/>
          <w:highlight w:val="none"/>
        </w:rPr>
        <w:t>投标人名称（电子签章）：</w:t>
      </w:r>
      <w:r>
        <w:rPr>
          <w:rFonts w:ascii="宋体" w:hAnsi="宋体" w:eastAsia="宋体" w:cs="宋体"/>
          <w:b/>
          <w:color w:val="auto"/>
          <w:sz w:val="32"/>
          <w:szCs w:val="32"/>
          <w:highlight w:val="none"/>
          <w:u w:val="single"/>
        </w:rPr>
        <w:t xml:space="preserve">                             </w:t>
      </w:r>
    </w:p>
    <w:p w14:paraId="50F68036">
      <w:pPr>
        <w:autoSpaceDE w:val="0"/>
        <w:autoSpaceDN w:val="0"/>
        <w:adjustRightInd w:val="0"/>
        <w:spacing w:line="360" w:lineRule="auto"/>
        <w:rPr>
          <w:rFonts w:ascii="宋体" w:hAnsi="宋体" w:eastAsia="宋体" w:cs="宋体"/>
          <w:b/>
          <w:color w:val="auto"/>
          <w:sz w:val="32"/>
          <w:szCs w:val="32"/>
          <w:highlight w:val="none"/>
        </w:rPr>
      </w:pPr>
    </w:p>
    <w:p w14:paraId="1BA16E50">
      <w:pPr>
        <w:autoSpaceDE w:val="0"/>
        <w:autoSpaceDN w:val="0"/>
        <w:adjustRightInd w:val="0"/>
        <w:spacing w:line="360" w:lineRule="auto"/>
        <w:rPr>
          <w:rFonts w:ascii="宋体" w:hAnsi="宋体" w:eastAsia="宋体" w:cs="宋体"/>
          <w:b/>
          <w:color w:val="auto"/>
          <w:sz w:val="32"/>
          <w:szCs w:val="32"/>
          <w:highlight w:val="none"/>
        </w:rPr>
      </w:pPr>
      <w:r>
        <w:rPr>
          <w:rFonts w:ascii="宋体" w:hAnsi="宋体" w:eastAsia="宋体" w:cs="宋体"/>
          <w:b/>
          <w:color w:val="auto"/>
          <w:sz w:val="32"/>
          <w:szCs w:val="32"/>
          <w:highlight w:val="none"/>
        </w:rPr>
        <w:t xml:space="preserve">法定代表人或授权代表(签字或盖章)： </w:t>
      </w:r>
      <w:r>
        <w:rPr>
          <w:rFonts w:ascii="宋体" w:hAnsi="宋体" w:eastAsia="宋体" w:cs="宋体"/>
          <w:b/>
          <w:color w:val="auto"/>
          <w:sz w:val="32"/>
          <w:szCs w:val="32"/>
          <w:highlight w:val="none"/>
          <w:u w:val="single"/>
        </w:rPr>
        <w:t xml:space="preserve">                  </w:t>
      </w:r>
    </w:p>
    <w:p w14:paraId="1B11AC9C">
      <w:pPr>
        <w:autoSpaceDE w:val="0"/>
        <w:autoSpaceDN w:val="0"/>
        <w:adjustRightInd w:val="0"/>
        <w:spacing w:line="360" w:lineRule="auto"/>
        <w:rPr>
          <w:rFonts w:ascii="宋体" w:hAnsi="宋体" w:eastAsia="宋体" w:cs="宋体"/>
          <w:b/>
          <w:color w:val="auto"/>
          <w:sz w:val="32"/>
          <w:szCs w:val="32"/>
          <w:highlight w:val="none"/>
        </w:rPr>
      </w:pPr>
    </w:p>
    <w:p w14:paraId="1017A355">
      <w:pPr>
        <w:autoSpaceDE w:val="0"/>
        <w:autoSpaceDN w:val="0"/>
        <w:adjustRightInd w:val="0"/>
        <w:spacing w:line="360" w:lineRule="auto"/>
        <w:jc w:val="center"/>
        <w:rPr>
          <w:rFonts w:ascii="宋体" w:hAnsi="宋体" w:eastAsia="宋体" w:cs="宋体"/>
          <w:b/>
          <w:snapToGrid w:val="0"/>
          <w:color w:val="auto"/>
          <w:kern w:val="0"/>
          <w:sz w:val="32"/>
          <w:szCs w:val="32"/>
          <w:highlight w:val="none"/>
        </w:rPr>
      </w:pPr>
      <w:r>
        <w:rPr>
          <w:rFonts w:ascii="宋体" w:hAnsi="宋体" w:eastAsia="宋体" w:cs="宋体"/>
          <w:b/>
          <w:color w:val="auto"/>
          <w:sz w:val="32"/>
          <w:szCs w:val="32"/>
          <w:highlight w:val="none"/>
        </w:rPr>
        <w:t>时间：    年   月   日</w:t>
      </w:r>
    </w:p>
    <w:p w14:paraId="75E1B25E">
      <w:pPr>
        <w:rPr>
          <w:rFonts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br w:type="page"/>
      </w:r>
    </w:p>
    <w:p w14:paraId="6E84ACB8">
      <w:pPr>
        <w:tabs>
          <w:tab w:val="left" w:pos="720"/>
        </w:tabs>
        <w:adjustRightInd w:val="0"/>
        <w:snapToGrid w:val="0"/>
        <w:spacing w:line="336" w:lineRule="auto"/>
        <w:jc w:val="center"/>
        <w:outlineLvl w:val="2"/>
        <w:rPr>
          <w:rFonts w:ascii="宋体" w:hAnsi="宋体" w:eastAsia="宋体" w:cs="宋体"/>
          <w:b/>
          <w:snapToGrid w:val="0"/>
          <w:color w:val="auto"/>
          <w:kern w:val="0"/>
          <w:sz w:val="32"/>
          <w:szCs w:val="32"/>
          <w:highlight w:val="none"/>
        </w:rPr>
      </w:pPr>
      <w:r>
        <w:rPr>
          <w:rFonts w:ascii="宋体" w:hAnsi="宋体" w:eastAsia="宋体" w:cs="宋体"/>
          <w:b/>
          <w:snapToGrid w:val="0"/>
          <w:color w:val="auto"/>
          <w:kern w:val="0"/>
          <w:sz w:val="32"/>
          <w:szCs w:val="32"/>
          <w:highlight w:val="none"/>
        </w:rPr>
        <w:t>资格文件目录</w:t>
      </w:r>
    </w:p>
    <w:p w14:paraId="72E2F053">
      <w:pPr>
        <w:spacing w:line="420" w:lineRule="exact"/>
        <w:ind w:firstLine="422" w:firstLineChars="200"/>
        <w:rPr>
          <w:rFonts w:ascii="宋体" w:hAnsi="宋体" w:eastAsia="宋体" w:cs="宋体"/>
          <w:b/>
          <w:bCs/>
          <w:color w:val="auto"/>
          <w:szCs w:val="24"/>
          <w:highlight w:val="none"/>
        </w:rPr>
      </w:pPr>
      <w:r>
        <w:rPr>
          <w:rFonts w:ascii="宋体" w:hAnsi="宋体" w:eastAsia="宋体" w:cs="宋体"/>
          <w:b/>
          <w:bCs/>
          <w:color w:val="auto"/>
          <w:szCs w:val="24"/>
          <w:highlight w:val="none"/>
        </w:rPr>
        <w:t>1.投标声明书（格式附后）</w:t>
      </w:r>
    </w:p>
    <w:p w14:paraId="072A8622">
      <w:pPr>
        <w:spacing w:line="420" w:lineRule="exact"/>
        <w:ind w:firstLine="422" w:firstLineChars="200"/>
        <w:rPr>
          <w:rFonts w:ascii="宋体" w:hAnsi="宋体" w:eastAsia="宋体" w:cs="宋体"/>
          <w:b/>
          <w:bCs/>
          <w:color w:val="auto"/>
          <w:szCs w:val="24"/>
          <w:highlight w:val="none"/>
        </w:rPr>
      </w:pPr>
      <w:r>
        <w:rPr>
          <w:rFonts w:ascii="宋体" w:hAnsi="宋体" w:eastAsia="宋体" w:cs="宋体"/>
          <w:b/>
          <w:bCs/>
          <w:color w:val="auto"/>
          <w:szCs w:val="24"/>
          <w:highlight w:val="none"/>
        </w:rPr>
        <w:t>2.资格承诺函（格式附后）</w:t>
      </w:r>
    </w:p>
    <w:p w14:paraId="05688213">
      <w:pPr>
        <w:spacing w:line="420" w:lineRule="exact"/>
        <w:ind w:firstLine="422" w:firstLineChars="200"/>
        <w:rPr>
          <w:rFonts w:ascii="宋体" w:hAnsi="宋体" w:eastAsia="宋体" w:cs="宋体"/>
          <w:b/>
          <w:bCs/>
          <w:color w:val="auto"/>
          <w:sz w:val="30"/>
          <w:szCs w:val="24"/>
          <w:highlight w:val="none"/>
        </w:rPr>
      </w:pPr>
      <w:r>
        <w:rPr>
          <w:rFonts w:ascii="宋体" w:hAnsi="宋体" w:eastAsia="宋体" w:cs="宋体"/>
          <w:b/>
          <w:bCs/>
          <w:color w:val="auto"/>
          <w:szCs w:val="24"/>
          <w:highlight w:val="none"/>
        </w:rPr>
        <w:t>3.具有独立承担民事责任能力的说明材料：</w:t>
      </w:r>
    </w:p>
    <w:p w14:paraId="1552BD77">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投标人须在投标文件中出具符合以下情况的说明材料复印件（五选一）：</w:t>
      </w:r>
    </w:p>
    <w:p w14:paraId="223B384D">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①如投标人是企业（包括合伙企业），提供在工商部门注册的有效“企业法人营业执照”或“营业执照”；</w:t>
      </w:r>
    </w:p>
    <w:p w14:paraId="54EBB30B">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②如投标人是事业单位，提供有效的“事业单位法人证书”；</w:t>
      </w:r>
    </w:p>
    <w:p w14:paraId="71409B5D">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③如投标人是非企业专业服务机构的，提供执业许可证等说明文件；</w:t>
      </w:r>
    </w:p>
    <w:p w14:paraId="56952DFA">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④如投标人是个体工商户，提供有效的“个体工商户营业执照”；</w:t>
      </w:r>
    </w:p>
    <w:p w14:paraId="3411BEF1">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⑤如投标人是自然人，提供有效的自然人身份说明（居民身份证正反面或公安机关出具的临时居民身份证正反面或港澳台胞证或护照）。</w:t>
      </w:r>
    </w:p>
    <w:p w14:paraId="27D6E557">
      <w:pPr>
        <w:spacing w:line="420" w:lineRule="exact"/>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A290083">
      <w:pPr>
        <w:spacing w:line="420" w:lineRule="exact"/>
        <w:ind w:firstLine="420" w:firstLineChars="200"/>
        <w:rPr>
          <w:rFonts w:ascii="宋体" w:hAnsi="宋体" w:eastAsia="宋体" w:cs="宋体"/>
          <w:color w:val="auto"/>
          <w:szCs w:val="21"/>
          <w:highlight w:val="none"/>
          <w:u w:val="single"/>
        </w:rPr>
      </w:pPr>
      <w:r>
        <w:rPr>
          <w:rFonts w:ascii="宋体" w:hAnsi="宋体" w:eastAsia="宋体" w:cs="宋体"/>
          <w:color w:val="auto"/>
          <w:szCs w:val="21"/>
          <w:highlight w:val="none"/>
          <w:u w:val="single"/>
        </w:rPr>
        <w:t>接受联合体投标的项目，投标供应商为联合体的，联合体各方均须提供。</w:t>
      </w:r>
    </w:p>
    <w:p w14:paraId="2CBA8A4F">
      <w:pPr>
        <w:adjustRightInd w:val="0"/>
        <w:snapToGrid w:val="0"/>
        <w:spacing w:line="420" w:lineRule="exact"/>
        <w:ind w:firstLine="422" w:firstLineChars="200"/>
        <w:rPr>
          <w:rFonts w:hint="eastAsia" w:ascii="宋体" w:hAnsi="宋体" w:eastAsia="宋体" w:cs="宋体"/>
          <w:b/>
          <w:bCs/>
          <w:snapToGrid w:val="0"/>
          <w:color w:val="auto"/>
          <w:kern w:val="28"/>
          <w:szCs w:val="21"/>
          <w:highlight w:val="none"/>
        </w:rPr>
      </w:pPr>
      <w:r>
        <w:rPr>
          <w:rFonts w:ascii="宋体" w:hAnsi="宋体" w:eastAsia="宋体" w:cs="宋体"/>
          <w:b/>
          <w:bCs/>
          <w:color w:val="auto"/>
          <w:szCs w:val="24"/>
          <w:highlight w:val="none"/>
        </w:rPr>
        <w:t>4.落实政府采购政策需满足的资格要求：</w:t>
      </w:r>
      <w:r>
        <w:rPr>
          <w:rFonts w:hint="eastAsia" w:ascii="宋体" w:hAnsi="宋体" w:eastAsia="宋体" w:cs="宋体"/>
          <w:b/>
          <w:bCs/>
          <w:snapToGrid w:val="0"/>
          <w:color w:val="auto"/>
          <w:kern w:val="28"/>
          <w:szCs w:val="21"/>
          <w:highlight w:val="none"/>
        </w:rPr>
        <w:t>本项目专门面向中小企业采购，货物全部由符合政策要求的中小企业制造。本项目属于预留份额专门面向中小企业采购的项目，根据《关于印发中小企业划型标准规定的通知》（工信部联企业〔2011〕300 号）规定，本项目采购标的对应的中小企业划分标准所属行业为（二）工业。）</w:t>
      </w:r>
    </w:p>
    <w:p w14:paraId="5A851342">
      <w:pPr>
        <w:adjustRightInd w:val="0"/>
        <w:snapToGrid w:val="0"/>
        <w:spacing w:line="420" w:lineRule="exact"/>
        <w:ind w:firstLine="422" w:firstLineChars="200"/>
        <w:rPr>
          <w:rFonts w:hint="eastAsia" w:ascii="宋体" w:hAnsi="宋体" w:eastAsia="宋体" w:cs="宋体"/>
          <w:b/>
          <w:bCs/>
          <w:snapToGrid w:val="0"/>
          <w:color w:val="auto"/>
          <w:kern w:val="28"/>
          <w:szCs w:val="21"/>
          <w:highlight w:val="none"/>
        </w:rPr>
      </w:pPr>
      <w:r>
        <w:rPr>
          <w:rFonts w:hint="eastAsia" w:ascii="宋体" w:hAnsi="宋体" w:eastAsia="宋体" w:cs="宋体"/>
          <w:b/>
          <w:bCs/>
          <w:snapToGrid w:val="0"/>
          <w:color w:val="auto"/>
          <w:kern w:val="28"/>
          <w:szCs w:val="21"/>
          <w:highlight w:val="none"/>
        </w:rPr>
        <w:t>投标人须在投标文件中出具符合以下情况的说明材料复印件（三选一）：</w:t>
      </w:r>
    </w:p>
    <w:p w14:paraId="6EA9610F">
      <w:pPr>
        <w:adjustRightInd w:val="0"/>
        <w:snapToGrid w:val="0"/>
        <w:spacing w:line="420" w:lineRule="exact"/>
        <w:ind w:firstLine="420" w:firstLineChars="200"/>
        <w:rPr>
          <w:rFonts w:hint="eastAsia" w:ascii="宋体" w:hAnsi="宋体" w:eastAsia="宋体" w:cs="宋体"/>
          <w:b w:val="0"/>
          <w:bCs w:val="0"/>
          <w:snapToGrid w:val="0"/>
          <w:color w:val="auto"/>
          <w:kern w:val="28"/>
          <w:szCs w:val="21"/>
          <w:highlight w:val="none"/>
        </w:rPr>
      </w:pPr>
      <w:r>
        <w:rPr>
          <w:rFonts w:hint="eastAsia" w:ascii="宋体" w:hAnsi="宋体" w:eastAsia="宋体" w:cs="宋体"/>
          <w:b w:val="0"/>
          <w:bCs w:val="0"/>
          <w:snapToGrid w:val="0"/>
          <w:color w:val="auto"/>
          <w:kern w:val="28"/>
          <w:szCs w:val="21"/>
          <w:highlight w:val="none"/>
        </w:rPr>
        <w:t>①投标人为中小企业的，投标文件中提供《中小企业声明函》（格式附后）；</w:t>
      </w:r>
    </w:p>
    <w:p w14:paraId="30EF7648">
      <w:pPr>
        <w:adjustRightInd w:val="0"/>
        <w:snapToGrid w:val="0"/>
        <w:spacing w:line="420" w:lineRule="exact"/>
        <w:ind w:firstLine="420" w:firstLineChars="200"/>
        <w:rPr>
          <w:rFonts w:hint="eastAsia" w:ascii="宋体" w:hAnsi="宋体" w:eastAsia="宋体" w:cs="宋体"/>
          <w:b w:val="0"/>
          <w:bCs w:val="0"/>
          <w:snapToGrid w:val="0"/>
          <w:color w:val="auto"/>
          <w:kern w:val="28"/>
          <w:szCs w:val="21"/>
          <w:highlight w:val="none"/>
        </w:rPr>
      </w:pPr>
      <w:r>
        <w:rPr>
          <w:rFonts w:hint="eastAsia" w:ascii="宋体" w:hAnsi="宋体" w:eastAsia="宋体" w:cs="宋体"/>
          <w:b w:val="0"/>
          <w:bCs w:val="0"/>
          <w:snapToGrid w:val="0"/>
          <w:color w:val="auto"/>
          <w:kern w:val="28"/>
          <w:szCs w:val="21"/>
          <w:highlight w:val="none"/>
        </w:rPr>
        <w:t>②投标人为残疾人福利单位的，在投标文件中提供《残疾人福利性单位声明函》（格式附后）；</w:t>
      </w:r>
    </w:p>
    <w:p w14:paraId="159E5BE5">
      <w:pPr>
        <w:spacing w:line="360" w:lineRule="exact"/>
        <w:ind w:firstLine="420" w:firstLineChars="200"/>
        <w:rPr>
          <w:rFonts w:ascii="宋体" w:hAnsi="宋体" w:eastAsia="宋体" w:cs="宋体"/>
          <w:b w:val="0"/>
          <w:bCs w:val="0"/>
          <w:color w:val="auto"/>
          <w:szCs w:val="21"/>
          <w:highlight w:val="none"/>
        </w:rPr>
      </w:pPr>
      <w:r>
        <w:rPr>
          <w:rFonts w:hint="eastAsia" w:ascii="宋体" w:hAnsi="宋体" w:eastAsia="宋体" w:cs="宋体"/>
          <w:b w:val="0"/>
          <w:bCs w:val="0"/>
          <w:snapToGrid w:val="0"/>
          <w:color w:val="auto"/>
          <w:kern w:val="28"/>
          <w:szCs w:val="21"/>
          <w:highlight w:val="none"/>
        </w:rPr>
        <w:t xml:space="preserve">③投标人为监狱企业的，在投标文件中提供由省级以上监狱管理局、戒毒管理局（含新疆生产建设兵团）出具的属于监狱企业的说明文件（格式自拟）。 </w:t>
      </w:r>
    </w:p>
    <w:p w14:paraId="773815C3">
      <w:pPr>
        <w:spacing w:line="360" w:lineRule="exact"/>
        <w:ind w:firstLine="422" w:firstLineChars="200"/>
        <w:rPr>
          <w:rFonts w:ascii="宋体" w:hAnsi="宋体" w:eastAsia="宋体" w:cs="宋体"/>
          <w:b/>
          <w:bCs/>
          <w:color w:val="auto"/>
          <w:szCs w:val="21"/>
          <w:highlight w:val="none"/>
        </w:rPr>
      </w:pPr>
    </w:p>
    <w:p w14:paraId="3DA7D52C">
      <w:pPr>
        <w:spacing w:line="360" w:lineRule="exact"/>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6AA9D239">
      <w:pPr>
        <w:spacing w:line="420" w:lineRule="atLeast"/>
        <w:ind w:firstLine="482" w:firstLineChars="200"/>
        <w:rPr>
          <w:rFonts w:ascii="宋体" w:hAnsi="宋体" w:eastAsia="宋体" w:cs="宋体"/>
          <w:b/>
          <w:bCs/>
          <w:color w:val="auto"/>
          <w:sz w:val="24"/>
          <w:szCs w:val="24"/>
          <w:highlight w:val="none"/>
          <w:u w:val="single"/>
        </w:rPr>
      </w:pPr>
    </w:p>
    <w:p w14:paraId="0FF2BB5D">
      <w:pPr>
        <w:spacing w:line="420" w:lineRule="atLeast"/>
        <w:jc w:val="center"/>
        <w:rPr>
          <w:rFonts w:ascii="宋体" w:hAnsi="宋体" w:eastAsia="宋体" w:cs="宋体"/>
          <w:b/>
          <w:color w:val="auto"/>
          <w:sz w:val="24"/>
          <w:szCs w:val="24"/>
          <w:highlight w:val="none"/>
        </w:rPr>
      </w:pPr>
      <w:r>
        <w:rPr>
          <w:rFonts w:ascii="宋体" w:hAnsi="宋体" w:eastAsia="宋体" w:cs="宋体"/>
          <w:b/>
          <w:bCs/>
          <w:color w:val="auto"/>
          <w:sz w:val="24"/>
          <w:szCs w:val="24"/>
          <w:highlight w:val="none"/>
          <w:u w:val="single"/>
        </w:rPr>
        <w:t>附后无格式部分由投标人根据采购文件规定自行编制</w:t>
      </w:r>
    </w:p>
    <w:p w14:paraId="6E0A8C6A">
      <w:pPr>
        <w:snapToGrid w:val="0"/>
        <w:spacing w:before="50" w:after="156" w:afterLines="50"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25B9B01A">
      <w:pPr>
        <w:spacing w:line="420" w:lineRule="atLeast"/>
        <w:rPr>
          <w:rFonts w:ascii="宋体" w:hAnsi="宋体" w:eastAsia="宋体" w:cs="宋体"/>
          <w:b/>
          <w:bCs/>
          <w:color w:val="auto"/>
          <w:sz w:val="30"/>
          <w:szCs w:val="24"/>
          <w:highlight w:val="none"/>
        </w:rPr>
      </w:pPr>
      <w:r>
        <w:rPr>
          <w:rFonts w:ascii="宋体" w:hAnsi="宋体" w:eastAsia="宋体" w:cs="宋体"/>
          <w:b/>
          <w:color w:val="auto"/>
          <w:sz w:val="24"/>
          <w:szCs w:val="24"/>
          <w:highlight w:val="none"/>
        </w:rPr>
        <w:t>1.投标声明书格式</w:t>
      </w:r>
      <w:r>
        <w:rPr>
          <w:rFonts w:ascii="宋体" w:hAnsi="宋体" w:eastAsia="宋体" w:cs="宋体"/>
          <w:color w:val="auto"/>
          <w:sz w:val="24"/>
          <w:szCs w:val="24"/>
          <w:highlight w:val="none"/>
        </w:rPr>
        <w:t>：</w:t>
      </w:r>
    </w:p>
    <w:p w14:paraId="5FA59702">
      <w:pPr>
        <w:snapToGrid w:val="0"/>
        <w:spacing w:before="156" w:beforeLines="50" w:after="50" w:line="240" w:lineRule="auto"/>
        <w:jc w:val="center"/>
        <w:rPr>
          <w:rFonts w:ascii="宋体" w:hAnsi="宋体" w:eastAsia="宋体" w:cs="宋体"/>
          <w:b/>
          <w:bCs/>
          <w:color w:val="auto"/>
          <w:sz w:val="24"/>
          <w:highlight w:val="none"/>
        </w:rPr>
      </w:pPr>
      <w:r>
        <w:rPr>
          <w:rFonts w:ascii="宋体" w:hAnsi="宋体" w:eastAsia="宋体" w:cs="宋体"/>
          <w:b/>
          <w:bCs/>
          <w:color w:val="auto"/>
          <w:sz w:val="30"/>
          <w:szCs w:val="24"/>
          <w:highlight w:val="none"/>
        </w:rPr>
        <w:t>投标声明书</w:t>
      </w:r>
    </w:p>
    <w:p w14:paraId="6E9EFF17">
      <w:pPr>
        <w:snapToGrid w:val="0"/>
        <w:spacing w:line="430" w:lineRule="exact"/>
        <w:rPr>
          <w:rFonts w:ascii="宋体" w:hAnsi="宋体" w:eastAsia="宋体" w:cs="宋体"/>
          <w:color w:val="auto"/>
          <w:sz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（采购单位名称）：</w:t>
      </w:r>
    </w:p>
    <w:p w14:paraId="64AD0D9D">
      <w:pPr>
        <w:snapToGrid w:val="0"/>
        <w:spacing w:line="430" w:lineRule="exact"/>
        <w:ind w:firstLine="720" w:firstLineChars="300"/>
        <w:rPr>
          <w:rFonts w:ascii="宋体" w:hAnsi="宋体" w:eastAsia="宋体" w:cs="宋体"/>
          <w:color w:val="auto"/>
          <w:sz w:val="24"/>
          <w:highlight w:val="none"/>
        </w:rPr>
      </w:pP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（投标人名称）系中华人民共和国合法企业，经营地址</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p>
    <w:p w14:paraId="5DF02E67">
      <w:pPr>
        <w:snapToGrid w:val="0"/>
        <w:spacing w:line="430" w:lineRule="exact"/>
        <w:ind w:firstLine="645"/>
        <w:rPr>
          <w:rFonts w:ascii="宋体" w:hAnsi="宋体" w:eastAsia="宋体" w:cs="宋体"/>
          <w:color w:val="auto"/>
          <w:sz w:val="24"/>
          <w:highlight w:val="none"/>
        </w:rPr>
      </w:pPr>
      <w:r>
        <w:rPr>
          <w:rFonts w:ascii="宋体" w:hAnsi="宋体" w:eastAsia="宋体" w:cs="宋体"/>
          <w:color w:val="auto"/>
          <w:sz w:val="24"/>
          <w:szCs w:val="24"/>
          <w:highlight w:val="none"/>
        </w:rPr>
        <w:t>我</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（姓名）系</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（投标人名称）的法定代表人，我方愿意参加贵方组织的</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项目的投标，为便于贵方公正、择优地确定中标人及其投标产品和服务，我方就本次投标有关事项郑重声明如下：</w:t>
      </w:r>
    </w:p>
    <w:p w14:paraId="6231149C">
      <w:pPr>
        <w:spacing w:line="43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highlight w:val="none"/>
        </w:rPr>
        <w:t>1.我方向贵方提交的所有投标文件、资料都是准确的和真实的。若未中标，我单位同意采购人免费采用我单位全部或部分方案。</w:t>
      </w:r>
    </w:p>
    <w:p w14:paraId="0FF093CB">
      <w:pPr>
        <w:snapToGrid w:val="0"/>
        <w:spacing w:line="430" w:lineRule="exact"/>
        <w:ind w:firstLine="480" w:firstLineChars="200"/>
        <w:rPr>
          <w:rFonts w:ascii="宋体" w:hAnsi="宋体" w:eastAsia="宋体" w:cs="宋体"/>
          <w:color w:val="auto"/>
          <w:sz w:val="24"/>
          <w:highlight w:val="none"/>
        </w:rPr>
      </w:pPr>
      <w:r>
        <w:rPr>
          <w:rFonts w:ascii="宋体" w:hAnsi="宋体" w:eastAsia="宋体" w:cs="宋体"/>
          <w:color w:val="auto"/>
          <w:sz w:val="24"/>
          <w:szCs w:val="24"/>
          <w:highlight w:val="none"/>
        </w:rPr>
        <w:t>2. 我们承诺，与为采购人采购本次招标的服务进行编制规范和其他文件所委托的咨询公司或其附属机构无任何直接或间接的关联。</w:t>
      </w:r>
    </w:p>
    <w:p w14:paraId="1B629489">
      <w:pPr>
        <w:snapToGrid w:val="0"/>
        <w:spacing w:line="430" w:lineRule="exact"/>
        <w:ind w:firstLine="480" w:firstLineChars="200"/>
        <w:rPr>
          <w:rFonts w:ascii="宋体" w:hAnsi="宋体" w:eastAsia="宋体" w:cs="宋体"/>
          <w:color w:val="auto"/>
          <w:sz w:val="24"/>
          <w:highlight w:val="none"/>
        </w:rPr>
      </w:pPr>
      <w:r>
        <w:rPr>
          <w:rFonts w:ascii="宋体" w:hAnsi="宋体" w:eastAsia="宋体" w:cs="宋体"/>
          <w:color w:val="auto"/>
          <w:sz w:val="24"/>
          <w:szCs w:val="24"/>
          <w:highlight w:val="none"/>
        </w:rPr>
        <w:t>3.我方此次向贵方提供的服务名称为：</w:t>
      </w:r>
      <w:r>
        <w:rPr>
          <w:rFonts w:ascii="宋体" w:hAnsi="宋体" w:eastAsia="宋体" w:cs="宋体"/>
          <w:color w:val="auto"/>
          <w:sz w:val="24"/>
          <w:szCs w:val="24"/>
          <w:highlight w:val="none"/>
          <w:u w:val="single"/>
        </w:rPr>
        <w:t xml:space="preserve">  </w:t>
      </w:r>
      <w:r>
        <w:rPr>
          <w:rFonts w:ascii="宋体" w:hAnsi="宋体" w:eastAsia="宋体" w:cs="宋体"/>
          <w:bCs/>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，该服务我方有能力完成。</w:t>
      </w:r>
    </w:p>
    <w:p w14:paraId="2FE911AE">
      <w:pPr>
        <w:snapToGrid w:val="0"/>
        <w:spacing w:line="430" w:lineRule="exact"/>
        <w:ind w:firstLine="480" w:firstLineChars="200"/>
        <w:rPr>
          <w:rFonts w:ascii="宋体" w:hAnsi="宋体" w:eastAsia="宋体" w:cs="宋体"/>
          <w:color w:val="auto"/>
          <w:sz w:val="24"/>
          <w:highlight w:val="none"/>
          <w:u w:val="single"/>
        </w:rPr>
      </w:pPr>
      <w:r>
        <w:rPr>
          <w:rFonts w:ascii="宋体" w:hAnsi="宋体" w:eastAsia="宋体" w:cs="宋体"/>
          <w:color w:val="auto"/>
          <w:sz w:val="24"/>
          <w:szCs w:val="24"/>
          <w:highlight w:val="none"/>
        </w:rPr>
        <w:t>4.我方诚意提请贵方关注：近期有关服务的组织、人员、能力、售后服务等方面的重大决策和事项有：</w:t>
      </w:r>
      <w:r>
        <w:rPr>
          <w:rFonts w:ascii="宋体" w:hAnsi="宋体" w:eastAsia="宋体" w:cs="宋体"/>
          <w:color w:val="auto"/>
          <w:sz w:val="24"/>
          <w:szCs w:val="24"/>
          <w:highlight w:val="none"/>
          <w:u w:val="single"/>
        </w:rPr>
        <w:t>　　　　　　　　　　　　　　　　　　　　　　　　　</w:t>
      </w:r>
    </w:p>
    <w:p w14:paraId="1B5805BF">
      <w:pPr>
        <w:snapToGrid w:val="0"/>
        <w:spacing w:line="430" w:lineRule="exact"/>
        <w:ind w:firstLine="464" w:firstLineChars="200"/>
        <w:rPr>
          <w:rFonts w:ascii="宋体" w:hAnsi="宋体" w:eastAsia="宋体" w:cs="宋体"/>
          <w:color w:val="auto"/>
          <w:spacing w:val="-4"/>
          <w:sz w:val="24"/>
          <w:highlight w:val="none"/>
          <w:u w:val="single"/>
        </w:rPr>
      </w:pPr>
      <w:r>
        <w:rPr>
          <w:rFonts w:ascii="宋体" w:hAnsi="宋体" w:eastAsia="宋体" w:cs="宋体"/>
          <w:color w:val="auto"/>
          <w:spacing w:val="-4"/>
          <w:sz w:val="24"/>
          <w:highlight w:val="none"/>
        </w:rPr>
        <w:t>5.我方及由本人担任法定代表人的其他机构最近三年内被通报或者被处罚的违法行为有：</w:t>
      </w:r>
      <w:r>
        <w:rPr>
          <w:rFonts w:ascii="宋体" w:hAnsi="宋体" w:eastAsia="宋体" w:cs="宋体"/>
          <w:color w:val="auto"/>
          <w:spacing w:val="-4"/>
          <w:sz w:val="24"/>
          <w:highlight w:val="none"/>
          <w:u w:val="single"/>
        </w:rPr>
        <w:t>　　　　　　　　　　　　　　　　　　　　　　　　　　　</w:t>
      </w:r>
    </w:p>
    <w:p w14:paraId="1AE13972">
      <w:pPr>
        <w:spacing w:line="43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highlight w:val="none"/>
        </w:rPr>
        <w:t>6.</w:t>
      </w:r>
      <w:r>
        <w:rPr>
          <w:rFonts w:ascii="宋体" w:hAnsi="宋体" w:eastAsia="宋体" w:cs="宋体"/>
          <w:color w:val="auto"/>
          <w:spacing w:val="-4"/>
          <w:sz w:val="24"/>
          <w:szCs w:val="24"/>
          <w:highlight w:val="none"/>
        </w:rPr>
        <w:t>我们已详细审查全部采购文件及有关的澄清、修改文件（若有的话），我们完全理解并同意放弃对这方面提出任何异议的权利。保证遵守采购文件有关条款规定。</w:t>
      </w:r>
    </w:p>
    <w:p w14:paraId="4D6581B6">
      <w:pPr>
        <w:spacing w:line="43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highlight w:val="none"/>
        </w:rPr>
        <w:t>7.</w:t>
      </w:r>
      <w:r>
        <w:rPr>
          <w:rFonts w:ascii="宋体" w:hAnsi="宋体" w:eastAsia="宋体" w:cs="宋体"/>
          <w:color w:val="auto"/>
          <w:spacing w:val="-4"/>
          <w:sz w:val="24"/>
          <w:szCs w:val="24"/>
          <w:highlight w:val="none"/>
        </w:rPr>
        <w:t xml:space="preserve"> 保证在中标后忠实地执行与采购人所签署的合同，并承担合同规定的责任义务。保证在中标后按照采购文件的规定支付采购代理服务费。承诺按采购人要求做好保密工作。</w:t>
      </w:r>
    </w:p>
    <w:p w14:paraId="4A2DFEE7">
      <w:pPr>
        <w:spacing w:line="43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highlight w:val="none"/>
        </w:rPr>
        <w:t>8.</w:t>
      </w:r>
      <w:r>
        <w:rPr>
          <w:rFonts w:ascii="宋体" w:hAnsi="宋体" w:eastAsia="宋体" w:cs="宋体"/>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highlight w:val="none"/>
        </w:rPr>
        <w:t>并在人员、设备、技术、资金、售后服务等方面具有相应的服务能力</w:t>
      </w:r>
      <w:r>
        <w:rPr>
          <w:rFonts w:ascii="宋体" w:hAnsi="宋体" w:eastAsia="宋体" w:cs="宋体"/>
          <w:color w:val="auto"/>
          <w:spacing w:val="-4"/>
          <w:sz w:val="24"/>
          <w:szCs w:val="24"/>
          <w:highlight w:val="none"/>
        </w:rPr>
        <w:t>。我公司</w:t>
      </w:r>
      <w:r>
        <w:rPr>
          <w:rFonts w:ascii="宋体" w:hAnsi="宋体" w:eastAsia="宋体" w:cs="宋体"/>
          <w:color w:val="auto"/>
          <w:spacing w:val="-4"/>
          <w:sz w:val="24"/>
          <w:highlight w:val="none"/>
        </w:rPr>
        <w:t>未被列入失信被执行人名单、重大税收违法失信主体、政府采购严重违法失信行为记录名单。</w:t>
      </w:r>
    </w:p>
    <w:p w14:paraId="6198D150">
      <w:pPr>
        <w:snapToGrid w:val="0"/>
        <w:spacing w:line="43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9.以上事项如有虚假或隐瞒，我方愿意承担一切后果，并不再寻求任何旨在减轻或免除法律责任的辩解。</w:t>
      </w:r>
    </w:p>
    <w:p w14:paraId="3EA2CB65">
      <w:pPr>
        <w:snapToGrid w:val="0"/>
        <w:spacing w:line="430" w:lineRule="exact"/>
        <w:ind w:firstLine="200"/>
        <w:rPr>
          <w:rFonts w:ascii="宋体" w:hAnsi="宋体" w:eastAsia="宋体" w:cs="宋体"/>
          <w:color w:val="auto"/>
          <w:sz w:val="24"/>
          <w:highlight w:val="none"/>
          <w:u w:val="single"/>
        </w:rPr>
      </w:pPr>
      <w:r>
        <w:rPr>
          <w:rFonts w:ascii="宋体" w:hAnsi="宋体" w:eastAsia="宋体" w:cs="宋体"/>
          <w:color w:val="auto"/>
          <w:sz w:val="24"/>
          <w:szCs w:val="24"/>
          <w:highlight w:val="none"/>
        </w:rPr>
        <w:t>法定代表人（签名或盖章）：</w:t>
      </w:r>
      <w:r>
        <w:rPr>
          <w:rFonts w:ascii="宋体" w:hAnsi="宋体" w:eastAsia="宋体" w:cs="宋体"/>
          <w:color w:val="auto"/>
          <w:sz w:val="24"/>
          <w:szCs w:val="24"/>
          <w:highlight w:val="none"/>
          <w:u w:val="single"/>
        </w:rPr>
        <w:t xml:space="preserve">             </w:t>
      </w:r>
    </w:p>
    <w:p w14:paraId="0661B9A9">
      <w:pPr>
        <w:snapToGrid w:val="0"/>
        <w:spacing w:line="430" w:lineRule="exact"/>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6E1C454F">
      <w:pPr>
        <w:snapToGrid w:val="0"/>
        <w:spacing w:line="430" w:lineRule="exact"/>
        <w:jc w:val="left"/>
        <w:rPr>
          <w:rFonts w:ascii="宋体" w:hAnsi="宋体" w:eastAsia="宋体" w:cs="宋体"/>
          <w:color w:val="auto"/>
          <w:sz w:val="24"/>
          <w:highlight w:val="none"/>
        </w:rPr>
      </w:pPr>
      <w:r>
        <w:rPr>
          <w:rFonts w:ascii="宋体" w:hAnsi="宋体" w:eastAsia="宋体" w:cs="宋体"/>
          <w:color w:val="auto"/>
          <w:sz w:val="24"/>
          <w:szCs w:val="24"/>
          <w:highlight w:val="none"/>
        </w:rPr>
        <w:t xml:space="preserve">  </w:t>
      </w: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4D9BDB63">
      <w:pP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F3C502F">
      <w:pPr>
        <w:snapToGrid w:val="0"/>
        <w:spacing w:before="50" w:after="156" w:afterLines="50" w:line="360" w:lineRule="auto"/>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资格承诺函格式：</w:t>
      </w:r>
    </w:p>
    <w:p w14:paraId="77DD1880">
      <w:pPr>
        <w:snapToGrid w:val="0"/>
        <w:spacing w:before="156" w:beforeLines="50" w:after="50" w:line="240" w:lineRule="auto"/>
        <w:jc w:val="center"/>
        <w:rPr>
          <w:rFonts w:ascii="宋体" w:hAnsi="宋体" w:eastAsia="宋体" w:cs="宋体"/>
          <w:b/>
          <w:bCs/>
          <w:color w:val="auto"/>
          <w:sz w:val="30"/>
          <w:szCs w:val="24"/>
          <w:highlight w:val="none"/>
        </w:rPr>
      </w:pPr>
      <w:r>
        <w:rPr>
          <w:rFonts w:ascii="宋体" w:hAnsi="宋体" w:eastAsia="宋体" w:cs="宋体"/>
          <w:b/>
          <w:bCs/>
          <w:color w:val="auto"/>
          <w:sz w:val="30"/>
          <w:szCs w:val="24"/>
          <w:highlight w:val="none"/>
        </w:rPr>
        <w:t>资格承诺函</w:t>
      </w:r>
    </w:p>
    <w:p w14:paraId="7801E966">
      <w:pPr>
        <w:tabs>
          <w:tab w:val="left" w:pos="0"/>
        </w:tabs>
        <w:snapToGrid w:val="0"/>
        <w:spacing w:line="360" w:lineRule="auto"/>
        <w:ind w:firstLine="240" w:firstLineChars="100"/>
        <w:rPr>
          <w:rFonts w:ascii="宋体" w:hAnsi="宋体" w:eastAsia="宋体" w:cs="宋体"/>
          <w:color w:val="auto"/>
          <w:kern w:val="0"/>
          <w:sz w:val="24"/>
          <w:szCs w:val="24"/>
          <w:highlight w:val="none"/>
          <w:u w:val="single"/>
        </w:rPr>
      </w:pPr>
    </w:p>
    <w:p w14:paraId="7C63D47A">
      <w:pPr>
        <w:tabs>
          <w:tab w:val="left" w:pos="0"/>
        </w:tabs>
        <w:snapToGrid w:val="0"/>
        <w:spacing w:line="440" w:lineRule="exact"/>
        <w:ind w:firstLine="240" w:firstLineChars="1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u w:val="single"/>
        </w:rPr>
        <w:t xml:space="preserve">                 （采购人）、（采购代理机构）</w:t>
      </w:r>
      <w:r>
        <w:rPr>
          <w:rFonts w:ascii="宋体" w:hAnsi="宋体" w:eastAsia="宋体" w:cs="宋体"/>
          <w:color w:val="auto"/>
          <w:kern w:val="0"/>
          <w:sz w:val="24"/>
          <w:szCs w:val="24"/>
          <w:highlight w:val="none"/>
        </w:rPr>
        <w:t>：</w:t>
      </w:r>
    </w:p>
    <w:p w14:paraId="1CDB5837">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我方参与</w:t>
      </w:r>
      <w:r>
        <w:rPr>
          <w:rFonts w:hint="eastAsia" w:ascii="宋体" w:hAnsi="宋体" w:eastAsia="宋体" w:cs="宋体"/>
          <w:color w:val="auto"/>
          <w:kern w:val="0"/>
          <w:sz w:val="24"/>
          <w:szCs w:val="24"/>
          <w:highlight w:val="none"/>
          <w:u w:val="single"/>
          <w:lang w:eastAsia="zh-CN"/>
        </w:rPr>
        <w:t xml:space="preserve">浦江县城区幼儿园金狮湖幼儿园建设项目幼儿园玩具  </w:t>
      </w:r>
      <w:r>
        <w:rPr>
          <w:rFonts w:ascii="宋体" w:hAnsi="宋体" w:eastAsia="宋体" w:cs="宋体"/>
          <w:color w:val="auto"/>
          <w:kern w:val="0"/>
          <w:sz w:val="24"/>
          <w:szCs w:val="24"/>
          <w:highlight w:val="none"/>
        </w:rPr>
        <w:t>（项目名称）（项目编号：</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color w:val="auto"/>
          <w:kern w:val="0"/>
          <w:sz w:val="24"/>
          <w:szCs w:val="24"/>
          <w:highlight w:val="none"/>
        </w:rPr>
        <w:t>）政府采购活动，郑重承诺：</w:t>
      </w:r>
    </w:p>
    <w:p w14:paraId="25D3EE41">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（一）具备《中华人民共和国政府采购法》第二十二条第一款规定的条件：</w:t>
      </w:r>
    </w:p>
    <w:p w14:paraId="4E67F6E6">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1.具有独立承担民事责任的能力；</w:t>
      </w:r>
    </w:p>
    <w:p w14:paraId="0577B3BE">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2.具有良好的商业信誉和健全的财务会计制度； </w:t>
      </w:r>
    </w:p>
    <w:p w14:paraId="5C373FDC">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3.具有履行合同所必需的设备和专业技术能力；</w:t>
      </w:r>
    </w:p>
    <w:p w14:paraId="4E99D1D5">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4.有依法缴纳税收和社会保障资金的良好记录；</w:t>
      </w:r>
    </w:p>
    <w:p w14:paraId="7E13BC54">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5.参加政府采购活动前三年内，在经营活动中没有重大违法记录；</w:t>
      </w:r>
    </w:p>
    <w:p w14:paraId="562CEE8E">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6.具有法律、行政法规规定的其他条件。</w:t>
      </w:r>
    </w:p>
    <w:p w14:paraId="14C8AA29">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（二）未被信用中国（www.creditchina.gov.cn)、中国政府采购网（www.ccgp.gov.cn）列入失信被执行人、重大税收违法失信主体、政府采购严重违法失信行为记录名单。</w:t>
      </w:r>
    </w:p>
    <w:p w14:paraId="7134A1EF">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（三）不存在以下情况：</w:t>
      </w:r>
    </w:p>
    <w:p w14:paraId="0B355320">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1.单位负责人</w:t>
      </w:r>
      <w:r>
        <w:rPr>
          <w:rFonts w:ascii="宋体" w:hAnsi="宋体" w:eastAsia="宋体" w:cs="宋体"/>
          <w:color w:val="auto"/>
          <w:sz w:val="24"/>
          <w:highlight w:val="none"/>
        </w:rPr>
        <w:t>（指法定代表人或者法律、行政法规规定代表单位行使职权的主要负责人）</w:t>
      </w:r>
      <w:r>
        <w:rPr>
          <w:rFonts w:ascii="宋体" w:hAnsi="宋体" w:eastAsia="宋体" w:cs="宋体"/>
          <w:color w:val="auto"/>
          <w:kern w:val="0"/>
          <w:sz w:val="24"/>
          <w:szCs w:val="24"/>
          <w:highlight w:val="none"/>
        </w:rPr>
        <w:t>为同一人或者存在直接控股、管理关系的不同供应商参加同一合同项下的政府采购活动的；</w:t>
      </w:r>
    </w:p>
    <w:p w14:paraId="17C2AB80">
      <w:pPr>
        <w:tabs>
          <w:tab w:val="left" w:pos="0"/>
        </w:tabs>
        <w:snapToGrid w:val="0"/>
        <w:spacing w:line="440" w:lineRule="exact"/>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2.为采购项目提供整体设计、规范编制或者项目管理、监理、检测等服务后再参加该采购项目的其他采购活动的</w:t>
      </w:r>
      <w:r>
        <w:rPr>
          <w:rFonts w:ascii="宋体" w:hAnsi="宋体" w:eastAsia="宋体" w:cs="宋体"/>
          <w:color w:val="auto"/>
          <w:sz w:val="24"/>
          <w:highlight w:val="none"/>
        </w:rPr>
        <w:t>（不包括为该项目提供整体设计、规范编制或者项目管理、监理、检测等服务）</w:t>
      </w:r>
      <w:r>
        <w:rPr>
          <w:rFonts w:ascii="宋体" w:hAnsi="宋体" w:eastAsia="宋体" w:cs="宋体"/>
          <w:color w:val="auto"/>
          <w:kern w:val="0"/>
          <w:sz w:val="24"/>
          <w:szCs w:val="24"/>
          <w:highlight w:val="none"/>
        </w:rPr>
        <w:t>。</w:t>
      </w:r>
    </w:p>
    <w:p w14:paraId="2239FBCF">
      <w:pPr>
        <w:spacing w:line="440" w:lineRule="exact"/>
        <w:ind w:firstLine="422" w:firstLineChars="200"/>
        <w:rPr>
          <w:rFonts w:ascii="宋体" w:hAnsi="宋体" w:eastAsia="宋体" w:cs="宋体"/>
          <w:b/>
          <w:color w:val="auto"/>
          <w:kern w:val="0"/>
          <w:szCs w:val="24"/>
          <w:highlight w:val="none"/>
        </w:rPr>
      </w:pPr>
      <w:r>
        <w:rPr>
          <w:rFonts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257DF16B">
      <w:pPr>
        <w:spacing w:line="440" w:lineRule="exact"/>
        <w:ind w:firstLine="420" w:firstLineChars="200"/>
        <w:rPr>
          <w:rFonts w:ascii="宋体" w:hAnsi="宋体" w:eastAsia="宋体" w:cs="宋体"/>
          <w:color w:val="auto"/>
          <w:szCs w:val="24"/>
          <w:highlight w:val="none"/>
        </w:rPr>
      </w:pPr>
      <w:r>
        <w:rPr>
          <w:rFonts w:ascii="宋体" w:hAnsi="宋体" w:eastAsia="宋体" w:cs="宋体"/>
          <w:color w:val="auto"/>
          <w:kern w:val="0"/>
          <w:szCs w:val="24"/>
          <w:highlight w:val="none"/>
        </w:rPr>
        <w:t>特此承诺！</w:t>
      </w:r>
    </w:p>
    <w:p w14:paraId="6BA358B4">
      <w:pPr>
        <w:spacing w:line="440" w:lineRule="exact"/>
        <w:ind w:firstLine="420" w:firstLineChars="200"/>
        <w:rPr>
          <w:rFonts w:ascii="宋体" w:hAnsi="宋体" w:eastAsia="宋体" w:cs="宋体"/>
          <w:color w:val="auto"/>
          <w:kern w:val="0"/>
          <w:szCs w:val="24"/>
          <w:highlight w:val="none"/>
        </w:rPr>
      </w:pPr>
      <w:r>
        <w:rPr>
          <w:rFonts w:ascii="宋体" w:hAnsi="宋体" w:eastAsia="宋体" w:cs="宋体"/>
          <w:color w:val="auto"/>
          <w:szCs w:val="24"/>
          <w:highlight w:val="none"/>
        </w:rPr>
        <w:t>投标人名称（电子签章）：</w:t>
      </w:r>
      <w:r>
        <w:rPr>
          <w:rFonts w:ascii="宋体" w:hAnsi="宋体" w:eastAsia="宋体" w:cs="宋体"/>
          <w:color w:val="auto"/>
          <w:kern w:val="0"/>
          <w:szCs w:val="24"/>
          <w:highlight w:val="none"/>
        </w:rPr>
        <w:t>__________________________________</w:t>
      </w:r>
    </w:p>
    <w:p w14:paraId="748EF27D">
      <w:pPr>
        <w:spacing w:line="440" w:lineRule="exact"/>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日期：________年____月____日</w:t>
      </w:r>
    </w:p>
    <w:p w14:paraId="2AF9A46A">
      <w:pPr>
        <w:tabs>
          <w:tab w:val="left" w:pos="0"/>
        </w:tabs>
        <w:snapToGrid w:val="0"/>
        <w:spacing w:line="360" w:lineRule="auto"/>
        <w:ind w:firstLine="480"/>
        <w:rPr>
          <w:rFonts w:ascii="宋体" w:hAnsi="宋体" w:eastAsia="宋体" w:cs="宋体"/>
          <w:b/>
          <w:color w:val="auto"/>
          <w:kern w:val="0"/>
          <w:szCs w:val="24"/>
          <w:highlight w:val="none"/>
        </w:rPr>
      </w:pPr>
    </w:p>
    <w:p w14:paraId="46254BDA">
      <w:pPr>
        <w:tabs>
          <w:tab w:val="left" w:pos="0"/>
        </w:tabs>
        <w:snapToGrid w:val="0"/>
        <w:spacing w:line="360" w:lineRule="auto"/>
        <w:ind w:firstLine="480"/>
        <w:rPr>
          <w:rFonts w:ascii="宋体" w:hAnsi="宋体" w:eastAsia="宋体" w:cs="宋体"/>
          <w:b/>
          <w:color w:val="auto"/>
          <w:kern w:val="0"/>
          <w:szCs w:val="24"/>
          <w:highlight w:val="none"/>
        </w:rPr>
      </w:pPr>
      <w:r>
        <w:rPr>
          <w:rFonts w:ascii="宋体" w:hAnsi="宋体" w:eastAsia="宋体" w:cs="宋体"/>
          <w:b/>
          <w:color w:val="auto"/>
          <w:kern w:val="0"/>
          <w:szCs w:val="24"/>
          <w:highlight w:val="none"/>
        </w:rPr>
        <w:t>编制说明：</w:t>
      </w:r>
      <w:r>
        <w:rPr>
          <w:rFonts w:ascii="宋体" w:hAnsi="宋体" w:eastAsia="宋体" w:cs="宋体"/>
          <w:b/>
          <w:color w:val="auto"/>
          <w:kern w:val="0"/>
          <w:szCs w:val="24"/>
          <w:highlight w:val="none"/>
          <w:u w:val="single"/>
        </w:rPr>
        <w:t>接受联合体投标的项目，投标供应商为联合体的，联合体各方均须提供本承诺函，否则投标无效。</w:t>
      </w:r>
    </w:p>
    <w:p w14:paraId="1FDBBFC4">
      <w:pP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4C588650">
      <w:pPr>
        <w:jc w:val="center"/>
        <w:rPr>
          <w:rFonts w:ascii="宋体" w:hAnsi="宋体" w:eastAsia="宋体" w:cs="宋体"/>
          <w:b/>
          <w:color w:val="auto"/>
          <w:sz w:val="32"/>
          <w:szCs w:val="32"/>
          <w:highlight w:val="none"/>
        </w:rPr>
      </w:pPr>
      <w:r>
        <w:rPr>
          <w:rFonts w:ascii="宋体" w:hAnsi="宋体" w:eastAsia="宋体" w:cs="宋体"/>
          <w:b/>
          <w:color w:val="auto"/>
          <w:sz w:val="32"/>
          <w:szCs w:val="32"/>
          <w:highlight w:val="none"/>
        </w:rPr>
        <w:sym w:font="Wingdings 2" w:char="00A3"/>
      </w:r>
      <w:r>
        <w:rPr>
          <w:rFonts w:ascii="宋体" w:hAnsi="宋体" w:eastAsia="宋体" w:cs="宋体"/>
          <w:b/>
          <w:color w:val="auto"/>
          <w:sz w:val="32"/>
          <w:szCs w:val="32"/>
          <w:highlight w:val="none"/>
        </w:rPr>
        <w:t>联合体协议书（参考格式）</w:t>
      </w:r>
    </w:p>
    <w:p w14:paraId="7B25892B">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u w:val="single"/>
        </w:rPr>
        <w:t>（联合体所有成员名称）</w:t>
      </w:r>
      <w:r>
        <w:rPr>
          <w:rFonts w:ascii="宋体" w:hAnsi="宋体" w:eastAsia="宋体" w:cs="宋体"/>
          <w:color w:val="auto"/>
          <w:kern w:val="0"/>
          <w:sz w:val="24"/>
          <w:szCs w:val="24"/>
          <w:highlight w:val="none"/>
        </w:rPr>
        <w:t>自愿</w:t>
      </w:r>
      <w:r>
        <w:rPr>
          <w:rFonts w:ascii="宋体" w:hAnsi="宋体" w:eastAsia="宋体" w:cs="宋体"/>
          <w:color w:val="auto"/>
          <w:kern w:val="0"/>
          <w:sz w:val="24"/>
          <w:szCs w:val="24"/>
          <w:highlight w:val="none"/>
          <w:lang w:val="zh-CN"/>
        </w:rPr>
        <w:t>组成一个联合体，以一个投标人的身份</w:t>
      </w:r>
      <w:r>
        <w:rPr>
          <w:rFonts w:ascii="宋体" w:hAnsi="宋体" w:eastAsia="宋体" w:cs="宋体"/>
          <w:color w:val="auto"/>
          <w:kern w:val="0"/>
          <w:sz w:val="24"/>
          <w:szCs w:val="24"/>
          <w:highlight w:val="none"/>
        </w:rPr>
        <w:t>参加</w:t>
      </w:r>
      <w:r>
        <w:rPr>
          <w:rFonts w:ascii="宋体" w:hAnsi="宋体" w:eastAsia="宋体" w:cs="宋体"/>
          <w:color w:val="auto"/>
          <w:sz w:val="24"/>
          <w:szCs w:val="24"/>
          <w:highlight w:val="none"/>
        </w:rPr>
        <w:t>（项目名称）【招标编号：（采购编号）】</w:t>
      </w:r>
      <w:r>
        <w:rPr>
          <w:rFonts w:ascii="宋体" w:hAnsi="宋体" w:eastAsia="宋体" w:cs="宋体"/>
          <w:color w:val="auto"/>
          <w:kern w:val="0"/>
          <w:sz w:val="24"/>
          <w:szCs w:val="24"/>
          <w:highlight w:val="none"/>
          <w:lang w:val="zh-CN"/>
        </w:rPr>
        <w:t xml:space="preserve">投标。 </w:t>
      </w:r>
    </w:p>
    <w:p w14:paraId="6A0C3C37">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一、各方一致决定，</w:t>
      </w:r>
      <w:r>
        <w:rPr>
          <w:rFonts w:ascii="宋体" w:hAnsi="宋体" w:eastAsia="宋体" w:cs="宋体"/>
          <w:color w:val="auto"/>
          <w:kern w:val="0"/>
          <w:sz w:val="24"/>
          <w:szCs w:val="24"/>
          <w:highlight w:val="none"/>
          <w:u w:val="single"/>
        </w:rPr>
        <w:t>（某联合体成员名称）</w:t>
      </w:r>
      <w:r>
        <w:rPr>
          <w:rFonts w:ascii="宋体" w:hAnsi="宋体" w:eastAsia="宋体" w:cs="宋体"/>
          <w:color w:val="auto"/>
          <w:kern w:val="0"/>
          <w:sz w:val="24"/>
          <w:szCs w:val="24"/>
          <w:highlight w:val="none"/>
        </w:rPr>
        <w:t>为联合体</w:t>
      </w:r>
      <w:r>
        <w:rPr>
          <w:rFonts w:ascii="宋体" w:hAnsi="宋体" w:eastAsia="宋体" w:cs="宋体"/>
          <w:color w:val="auto"/>
          <w:kern w:val="0"/>
          <w:sz w:val="24"/>
          <w:szCs w:val="24"/>
          <w:highlight w:val="none"/>
          <w:lang w:val="zh-CN"/>
        </w:rPr>
        <w:t>牵头人</w:t>
      </w:r>
      <w:r>
        <w:rPr>
          <w:rFonts w:ascii="宋体" w:hAnsi="宋体" w:eastAsia="宋体" w:cs="宋体"/>
          <w:color w:val="auto"/>
          <w:sz w:val="24"/>
          <w:szCs w:val="24"/>
          <w:highlight w:val="none"/>
        </w:rPr>
        <w:t>，代表所有联合体成员负责投标和合同实施阶段的主办、协调工作</w:t>
      </w:r>
      <w:r>
        <w:rPr>
          <w:rFonts w:ascii="宋体" w:hAnsi="宋体" w:eastAsia="宋体" w:cs="宋体"/>
          <w:color w:val="auto"/>
          <w:kern w:val="0"/>
          <w:sz w:val="24"/>
          <w:szCs w:val="24"/>
          <w:highlight w:val="none"/>
          <w:lang w:val="zh-CN"/>
        </w:rPr>
        <w:t>。</w:t>
      </w:r>
    </w:p>
    <w:p w14:paraId="726F0516">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二、</w:t>
      </w:r>
      <w:r>
        <w:rPr>
          <w:rFonts w:ascii="宋体" w:hAnsi="宋体" w:eastAsia="宋体" w:cs="宋体"/>
          <w:color w:val="auto"/>
          <w:sz w:val="24"/>
          <w:szCs w:val="24"/>
          <w:highlight w:val="none"/>
        </w:rPr>
        <w:t>所有联合体成员各方签署授权书，授权书载明的</w:t>
      </w:r>
      <w:r>
        <w:rPr>
          <w:rFonts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2823078B">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三、本次联合投标中，分工如下：</w:t>
      </w:r>
      <w:r>
        <w:rPr>
          <w:rFonts w:ascii="宋体" w:hAnsi="宋体" w:eastAsia="宋体" w:cs="宋体"/>
          <w:color w:val="auto"/>
          <w:kern w:val="0"/>
          <w:sz w:val="24"/>
          <w:szCs w:val="24"/>
          <w:highlight w:val="none"/>
          <w:u w:val="single"/>
        </w:rPr>
        <w:t>（联合体其中一方成员名称）</w:t>
      </w:r>
      <w:r>
        <w:rPr>
          <w:rFonts w:ascii="宋体" w:hAnsi="宋体" w:eastAsia="宋体" w:cs="宋体"/>
          <w:color w:val="auto"/>
          <w:kern w:val="0"/>
          <w:sz w:val="24"/>
          <w:szCs w:val="24"/>
          <w:highlight w:val="none"/>
          <w:lang w:val="zh-CN"/>
        </w:rPr>
        <w:t>承担的工作和义务为：</w:t>
      </w:r>
      <w:r>
        <w:rPr>
          <w:rFonts w:ascii="宋体" w:hAnsi="宋体" w:eastAsia="宋体" w:cs="宋体"/>
          <w:color w:val="auto"/>
          <w:sz w:val="24"/>
          <w:szCs w:val="24"/>
          <w:highlight w:val="none"/>
          <w:u w:val="single"/>
        </w:rPr>
        <w:t xml:space="preserve">             </w:t>
      </w:r>
      <w:r>
        <w:rPr>
          <w:rFonts w:ascii="宋体" w:hAnsi="宋体" w:eastAsia="宋体" w:cs="宋体"/>
          <w:color w:val="auto"/>
          <w:kern w:val="0"/>
          <w:sz w:val="24"/>
          <w:szCs w:val="24"/>
          <w:highlight w:val="none"/>
          <w:lang w:val="zh-CN"/>
        </w:rPr>
        <w:t>；</w:t>
      </w:r>
      <w:r>
        <w:rPr>
          <w:rFonts w:ascii="宋体" w:hAnsi="宋体" w:eastAsia="宋体" w:cs="宋体"/>
          <w:color w:val="auto"/>
          <w:kern w:val="0"/>
          <w:sz w:val="24"/>
          <w:szCs w:val="24"/>
          <w:highlight w:val="none"/>
          <w:u w:val="single"/>
        </w:rPr>
        <w:t>（联合体其中一方成员名称）</w:t>
      </w:r>
      <w:r>
        <w:rPr>
          <w:rFonts w:ascii="宋体" w:hAnsi="宋体" w:eastAsia="宋体" w:cs="宋体"/>
          <w:color w:val="auto"/>
          <w:kern w:val="0"/>
          <w:sz w:val="24"/>
          <w:szCs w:val="24"/>
          <w:highlight w:val="none"/>
          <w:lang w:val="zh-CN"/>
        </w:rPr>
        <w:t>承担的工作和义务为：</w:t>
      </w:r>
      <w:r>
        <w:rPr>
          <w:rFonts w:ascii="宋体" w:hAnsi="宋体" w:eastAsia="宋体" w:cs="宋体"/>
          <w:color w:val="auto"/>
          <w:sz w:val="24"/>
          <w:szCs w:val="24"/>
          <w:highlight w:val="none"/>
          <w:u w:val="single"/>
        </w:rPr>
        <w:t xml:space="preserve">            </w:t>
      </w:r>
      <w:r>
        <w:rPr>
          <w:rFonts w:ascii="宋体" w:hAnsi="宋体" w:eastAsia="宋体" w:cs="宋体"/>
          <w:color w:val="auto"/>
          <w:kern w:val="0"/>
          <w:sz w:val="24"/>
          <w:szCs w:val="24"/>
          <w:highlight w:val="none"/>
          <w:lang w:val="zh-CN"/>
        </w:rPr>
        <w:t xml:space="preserve"> ；……。</w:t>
      </w:r>
    </w:p>
    <w:p w14:paraId="62E51E5C">
      <w:pPr>
        <w:snapToGrid w:val="0"/>
        <w:spacing w:line="360" w:lineRule="auto"/>
        <w:ind w:firstLine="576"/>
        <w:rPr>
          <w:rFonts w:ascii="宋体" w:hAnsi="宋体" w:eastAsia="宋体" w:cs="宋体"/>
          <w:b/>
          <w:color w:val="auto"/>
          <w:kern w:val="0"/>
          <w:sz w:val="24"/>
          <w:szCs w:val="24"/>
          <w:highlight w:val="none"/>
          <w:lang w:val="zh-CN"/>
        </w:rPr>
      </w:pPr>
      <w:r>
        <w:rPr>
          <w:rFonts w:ascii="宋体" w:hAnsi="宋体" w:eastAsia="宋体" w:cs="宋体"/>
          <w:b/>
          <w:color w:val="auto"/>
          <w:kern w:val="0"/>
          <w:sz w:val="24"/>
          <w:szCs w:val="24"/>
          <w:highlight w:val="none"/>
          <w:lang w:val="zh-CN"/>
        </w:rPr>
        <w:t>四、招标人支付联合体各成员单位合同费用的比例约定：联合体牵头单位</w:t>
      </w:r>
      <w:r>
        <w:rPr>
          <w:rFonts w:ascii="宋体" w:hAnsi="宋体" w:eastAsia="宋体" w:cs="宋体"/>
          <w:b/>
          <w:color w:val="auto"/>
          <w:sz w:val="24"/>
          <w:szCs w:val="24"/>
          <w:highlight w:val="none"/>
          <w:u w:val="single"/>
        </w:rPr>
        <w:t xml:space="preserve">    </w:t>
      </w:r>
      <w:r>
        <w:rPr>
          <w:rFonts w:ascii="宋体" w:hAnsi="宋体" w:eastAsia="宋体" w:cs="宋体"/>
          <w:b/>
          <w:color w:val="auto"/>
          <w:kern w:val="0"/>
          <w:sz w:val="24"/>
          <w:szCs w:val="24"/>
          <w:highlight w:val="none"/>
        </w:rPr>
        <w:t>%；联合体成员单位</w:t>
      </w:r>
      <w:r>
        <w:rPr>
          <w:rFonts w:ascii="宋体" w:hAnsi="宋体" w:eastAsia="宋体" w:cs="宋体"/>
          <w:b/>
          <w:color w:val="auto"/>
          <w:kern w:val="0"/>
          <w:sz w:val="24"/>
          <w:szCs w:val="24"/>
          <w:highlight w:val="none"/>
          <w:lang w:val="zh-CN"/>
        </w:rPr>
        <w:t>：</w:t>
      </w:r>
      <w:r>
        <w:rPr>
          <w:rFonts w:ascii="宋体" w:hAnsi="宋体" w:eastAsia="宋体" w:cs="宋体"/>
          <w:b/>
          <w:color w:val="auto"/>
          <w:sz w:val="24"/>
          <w:szCs w:val="24"/>
          <w:highlight w:val="none"/>
          <w:u w:val="single"/>
        </w:rPr>
        <w:t xml:space="preserve">    </w:t>
      </w:r>
      <w:r>
        <w:rPr>
          <w:rFonts w:ascii="宋体" w:hAnsi="宋体" w:eastAsia="宋体" w:cs="宋体"/>
          <w:b/>
          <w:color w:val="auto"/>
          <w:sz w:val="24"/>
          <w:szCs w:val="24"/>
          <w:highlight w:val="none"/>
        </w:rPr>
        <w:t>%</w:t>
      </w:r>
      <w:r>
        <w:rPr>
          <w:rFonts w:ascii="宋体" w:hAnsi="宋体" w:eastAsia="宋体" w:cs="宋体"/>
          <w:b/>
          <w:color w:val="auto"/>
          <w:kern w:val="0"/>
          <w:sz w:val="24"/>
          <w:szCs w:val="24"/>
          <w:highlight w:val="none"/>
          <w:lang w:val="zh-CN"/>
        </w:rPr>
        <w:t>。</w:t>
      </w:r>
    </w:p>
    <w:p w14:paraId="0ACA987A">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五、</w:t>
      </w:r>
      <w:r>
        <w:rPr>
          <w:rFonts w:ascii="宋体" w:hAnsi="宋体" w:eastAsia="宋体" w:cs="宋体"/>
          <w:color w:val="auto"/>
          <w:sz w:val="24"/>
          <w:szCs w:val="24"/>
          <w:highlight w:val="none"/>
        </w:rPr>
        <w:t>中小企业合同金额达到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%，小微企业合同金额达到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r>
        <w:rPr>
          <w:rFonts w:ascii="宋体" w:hAnsi="宋体" w:eastAsia="宋体" w:cs="宋体"/>
          <w:color w:val="auto"/>
          <w:kern w:val="0"/>
          <w:sz w:val="24"/>
          <w:szCs w:val="24"/>
          <w:highlight w:val="none"/>
          <w:lang w:val="zh-CN"/>
        </w:rPr>
        <w:t>。</w:t>
      </w:r>
    </w:p>
    <w:p w14:paraId="194826C3">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六、如果中标，</w:t>
      </w:r>
      <w:r>
        <w:rPr>
          <w:rFonts w:ascii="宋体" w:hAnsi="宋体" w:eastAsia="宋体" w:cs="宋体"/>
          <w:color w:val="auto"/>
          <w:sz w:val="24"/>
          <w:szCs w:val="24"/>
          <w:highlight w:val="none"/>
        </w:rPr>
        <w:t>联合体各成员方共同与采购人签订合同，并就采购合同约定的事项对采购人承担连带责任。</w:t>
      </w:r>
    </w:p>
    <w:p w14:paraId="0003C14A">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七、有关本次联合投标的其他事宜：</w:t>
      </w:r>
    </w:p>
    <w:p w14:paraId="2B1ADB12">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40531B4E">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4F4B57DD">
      <w:pPr>
        <w:snapToGrid w:val="0"/>
        <w:spacing w:line="360" w:lineRule="auto"/>
        <w:ind w:firstLine="576"/>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1876973F">
      <w:pPr>
        <w:snapToGrid w:val="0"/>
        <w:spacing w:line="360" w:lineRule="auto"/>
        <w:ind w:firstLine="5040" w:firstLineChars="2100"/>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联合体成员名称(签名/公章)：</w:t>
      </w:r>
    </w:p>
    <w:p w14:paraId="18951D30">
      <w:pPr>
        <w:snapToGrid w:val="0"/>
        <w:spacing w:line="360" w:lineRule="auto"/>
        <w:ind w:firstLine="5040" w:firstLineChars="2100"/>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联合体成员名称(签名/公章)：</w:t>
      </w:r>
    </w:p>
    <w:p w14:paraId="2B8D70FD">
      <w:pPr>
        <w:snapToGrid w:val="0"/>
        <w:spacing w:line="360" w:lineRule="auto"/>
        <w:ind w:firstLine="5760" w:firstLineChars="2400"/>
        <w:rPr>
          <w:rFonts w:ascii="宋体" w:hAnsi="宋体" w:eastAsia="宋体" w:cs="宋体"/>
          <w:color w:val="auto"/>
          <w:sz w:val="24"/>
          <w:szCs w:val="24"/>
          <w:highlight w:val="none"/>
        </w:rPr>
      </w:pPr>
      <w:r>
        <w:rPr>
          <w:rFonts w:ascii="宋体" w:hAnsi="宋体" w:eastAsia="宋体" w:cs="宋体"/>
          <w:color w:val="auto"/>
          <w:kern w:val="0"/>
          <w:sz w:val="24"/>
          <w:szCs w:val="24"/>
          <w:highlight w:val="none"/>
          <w:lang w:val="zh-CN"/>
        </w:rPr>
        <w:t>……</w:t>
      </w:r>
    </w:p>
    <w:p w14:paraId="6C345660">
      <w:pPr>
        <w:snapToGrid w:val="0"/>
        <w:spacing w:line="360" w:lineRule="auto"/>
        <w:rPr>
          <w:rFonts w:ascii="宋体" w:hAnsi="宋体" w:eastAsia="宋体" w:cs="宋体"/>
          <w:color w:val="auto"/>
          <w:kern w:val="0"/>
          <w:sz w:val="24"/>
          <w:szCs w:val="24"/>
          <w:highlight w:val="none"/>
          <w:lang w:val="zh-CN"/>
        </w:rPr>
      </w:pPr>
      <w:r>
        <w:rPr>
          <w:rFonts w:ascii="宋体" w:hAnsi="宋体" w:eastAsia="宋体" w:cs="宋体"/>
          <w:color w:val="auto"/>
          <w:kern w:val="0"/>
          <w:sz w:val="24"/>
          <w:szCs w:val="24"/>
          <w:highlight w:val="none"/>
          <w:lang w:val="zh-CN"/>
        </w:rPr>
        <w:t xml:space="preserve">                                               日期：  年  月   日</w:t>
      </w:r>
    </w:p>
    <w:p w14:paraId="2EE2911E">
      <w:pPr>
        <w:widowControl/>
        <w:spacing w:line="240" w:lineRule="auto"/>
        <w:jc w:val="left"/>
        <w:rPr>
          <w:rFonts w:ascii="宋体" w:hAnsi="宋体" w:eastAsia="宋体" w:cs="宋体"/>
          <w:b/>
          <w:bCs/>
          <w:color w:val="auto"/>
          <w:sz w:val="24"/>
          <w:szCs w:val="24"/>
          <w:highlight w:val="none"/>
        </w:rPr>
      </w:pPr>
    </w:p>
    <w:p w14:paraId="6DFB2985">
      <w:pPr>
        <w:pStyle w:val="2"/>
        <w:rPr>
          <w:rFonts w:ascii="宋体" w:hAnsi="宋体" w:eastAsia="宋体" w:cs="宋体"/>
          <w:b/>
          <w:bCs/>
          <w:color w:val="auto"/>
          <w:sz w:val="24"/>
          <w:szCs w:val="24"/>
          <w:highlight w:val="none"/>
        </w:rPr>
      </w:pPr>
    </w:p>
    <w:p w14:paraId="283FD0AB">
      <w:pPr>
        <w:pStyle w:val="2"/>
        <w:rPr>
          <w:rFonts w:ascii="宋体" w:hAnsi="宋体" w:eastAsia="宋体" w:cs="宋体"/>
          <w:b/>
          <w:bCs/>
          <w:color w:val="auto"/>
          <w:sz w:val="24"/>
          <w:szCs w:val="24"/>
          <w:highlight w:val="none"/>
        </w:rPr>
      </w:pPr>
    </w:p>
    <w:p w14:paraId="74E49F8F">
      <w:pPr>
        <w:rPr>
          <w:rFonts w:ascii="宋体" w:hAnsi="宋体" w:eastAsia="宋体" w:cs="宋体"/>
          <w:b/>
          <w:szCs w:val="24"/>
        </w:rPr>
      </w:pPr>
      <w:r>
        <w:rPr>
          <w:rFonts w:hint="eastAsia" w:ascii="宋体" w:hAnsi="宋体" w:eastAsia="宋体" w:cs="宋体"/>
          <w:b/>
          <w:szCs w:val="24"/>
        </w:rPr>
        <w:t>中小企业声明函格式：</w:t>
      </w:r>
    </w:p>
    <w:p w14:paraId="1E23D547">
      <w:pPr>
        <w:autoSpaceDE w:val="0"/>
        <w:autoSpaceDN w:val="0"/>
        <w:adjustRightInd w:val="0"/>
        <w:spacing w:before="312" w:beforeLines="100" w:after="312" w:afterLines="100" w:line="360" w:lineRule="auto"/>
        <w:jc w:val="center"/>
        <w:rPr>
          <w:rFonts w:ascii="宋体" w:hAnsi="宋体" w:eastAsia="宋体" w:cs="宋体"/>
          <w:kern w:val="0"/>
          <w:sz w:val="30"/>
          <w:szCs w:val="30"/>
        </w:rPr>
      </w:pPr>
      <w:r>
        <w:rPr>
          <w:rFonts w:hint="eastAsia" w:ascii="宋体" w:hAnsi="宋体" w:eastAsia="宋体" w:cs="宋体"/>
          <w:b/>
          <w:kern w:val="0"/>
          <w:sz w:val="30"/>
          <w:szCs w:val="30"/>
        </w:rPr>
        <w:t>中小企业声明函（货物</w:t>
      </w:r>
      <w:r>
        <w:rPr>
          <w:rFonts w:hint="eastAsia" w:ascii="宋体" w:hAnsi="宋体" w:eastAsia="宋体" w:cs="宋体"/>
          <w:b/>
          <w:bCs/>
          <w:kern w:val="0"/>
          <w:sz w:val="30"/>
          <w:szCs w:val="30"/>
        </w:rPr>
        <w:t>）</w:t>
      </w:r>
    </w:p>
    <w:p w14:paraId="2D409B21">
      <w:pPr>
        <w:autoSpaceDE w:val="0"/>
        <w:autoSpaceDN w:val="0"/>
        <w:adjustRightInd w:val="0"/>
        <w:spacing w:line="440" w:lineRule="exact"/>
        <w:ind w:right="159" w:firstLine="642"/>
        <w:jc w:val="left"/>
        <w:rPr>
          <w:rFonts w:ascii="宋体" w:hAnsi="宋体" w:eastAsia="宋体" w:cs="宋体"/>
          <w:b/>
          <w:bCs/>
          <w:kern w:val="0"/>
          <w:szCs w:val="24"/>
          <w:u w:val="single"/>
        </w:rPr>
      </w:pPr>
      <w:r>
        <w:rPr>
          <w:rFonts w:hint="eastAsia" w:ascii="宋体" w:hAnsi="宋体" w:eastAsia="宋体" w:cs="宋体"/>
          <w:kern w:val="0"/>
          <w:szCs w:val="24"/>
        </w:rPr>
        <w:t>本公司（联合体）郑重声明，根据《政府采购促进中小企业发展管理办法》（财库 ﹝2020﹞46号）的规定，本公司（联合体）参加</w:t>
      </w:r>
      <w:r>
        <w:rPr>
          <w:rFonts w:hint="eastAsia" w:ascii="宋体" w:hAnsi="宋体" w:eastAsia="宋体" w:cs="宋体"/>
          <w:b/>
          <w:bCs/>
          <w:kern w:val="0"/>
          <w:szCs w:val="24"/>
          <w:u w:val="single"/>
          <w:lang w:eastAsia="zh-CN"/>
        </w:rPr>
        <w:t>浦江县教育局</w:t>
      </w:r>
      <w:r>
        <w:rPr>
          <w:rFonts w:hint="eastAsia" w:ascii="宋体" w:hAnsi="宋体" w:eastAsia="宋体" w:cs="宋体"/>
          <w:kern w:val="0"/>
          <w:szCs w:val="24"/>
          <w:u w:val="single"/>
        </w:rPr>
        <w:t>（单位名称）</w:t>
      </w:r>
      <w:r>
        <w:rPr>
          <w:rFonts w:hint="eastAsia" w:ascii="宋体" w:hAnsi="宋体" w:eastAsia="宋体" w:cs="宋体"/>
          <w:kern w:val="0"/>
          <w:szCs w:val="24"/>
        </w:rPr>
        <w:t>的</w:t>
      </w:r>
    </w:p>
    <w:p w14:paraId="069EDA33">
      <w:pPr>
        <w:autoSpaceDE w:val="0"/>
        <w:autoSpaceDN w:val="0"/>
        <w:adjustRightInd w:val="0"/>
        <w:spacing w:line="440" w:lineRule="exact"/>
        <w:ind w:right="159"/>
        <w:jc w:val="left"/>
        <w:rPr>
          <w:rFonts w:ascii="宋体" w:hAnsi="宋体" w:eastAsia="宋体" w:cs="宋体"/>
          <w:kern w:val="0"/>
          <w:szCs w:val="24"/>
        </w:rPr>
      </w:pPr>
      <w:r>
        <w:rPr>
          <w:rFonts w:hint="eastAsia" w:ascii="宋体" w:hAnsi="宋体" w:eastAsia="宋体" w:cs="宋体"/>
          <w:b/>
          <w:bCs/>
          <w:kern w:val="0"/>
          <w:szCs w:val="24"/>
          <w:u w:val="single"/>
          <w:lang w:eastAsia="zh-CN"/>
        </w:rPr>
        <w:t>浦江县城区幼儿园金狮湖幼儿园建设项目幼儿园玩具</w:t>
      </w:r>
      <w:r>
        <w:rPr>
          <w:rFonts w:hint="eastAsia" w:ascii="宋体" w:hAnsi="宋体" w:eastAsia="宋体" w:cs="宋体"/>
          <w:kern w:val="0"/>
          <w:szCs w:val="24"/>
          <w:u w:val="single"/>
        </w:rPr>
        <w:t>（项目名称）</w:t>
      </w:r>
      <w:r>
        <w:rPr>
          <w:rFonts w:hint="eastAsia" w:ascii="宋体" w:hAnsi="宋体" w:eastAsia="宋体" w:cs="宋体"/>
          <w:kern w:val="0"/>
          <w:szCs w:val="24"/>
        </w:rPr>
        <w:t xml:space="preserve">采购活动，提供的货物全部由符合政策要求的中小企业制造。相关企业（含联合体中的中小企业、签订分包意向协议的中小企业）的具体情况如下： </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2372"/>
        <w:gridCol w:w="683"/>
        <w:gridCol w:w="869"/>
        <w:gridCol w:w="1102"/>
        <w:gridCol w:w="1148"/>
        <w:gridCol w:w="1147"/>
        <w:gridCol w:w="1507"/>
      </w:tblGrid>
      <w:tr w14:paraId="5CAC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8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0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设备名称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F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所属行业</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2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制造商名称</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5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从业人员数量（人）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7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营业收入（万元）</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9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资产总额（万元）</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0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属于类型（可选填：中型企业、小型企业、微型企业）</w:t>
            </w:r>
          </w:p>
        </w:tc>
      </w:tr>
      <w:tr w14:paraId="41A0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5866FE8">
            <w:pPr>
              <w:pStyle w:val="75"/>
              <w:spacing w:before="115" w:line="271" w:lineRule="exact"/>
              <w:ind w:left="295" w:leftChars="0"/>
              <w:rPr>
                <w:rFonts w:hint="eastAsia" w:ascii="宋体" w:hAnsi="宋体" w:eastAsia="宋体" w:cs="宋体"/>
                <w:color w:val="auto"/>
                <w:kern w:val="2"/>
                <w:sz w:val="20"/>
                <w:szCs w:val="20"/>
                <w:highlight w:val="none"/>
                <w:lang w:val="en-US" w:eastAsia="en-US" w:bidi="ar-SA"/>
              </w:rPr>
            </w:pPr>
            <w:r>
              <w:rPr>
                <w:color w:val="auto"/>
                <w:position w:val="1"/>
                <w:sz w:val="20"/>
                <w:szCs w:val="20"/>
                <w:highlight w:val="none"/>
              </w:rPr>
              <w:t>1</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22F04963">
            <w:pPr>
              <w:pStyle w:val="75"/>
              <w:spacing w:before="115" w:line="228" w:lineRule="auto"/>
              <w:ind w:left="114"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rPr>
              <w:t>主题游戏器械</w:t>
            </w:r>
          </w:p>
        </w:tc>
        <w:tc>
          <w:tcPr>
            <w:tcW w:w="357" w:type="pct"/>
            <w:vMerge w:val="restart"/>
            <w:tcBorders>
              <w:top w:val="single" w:color="000000" w:sz="4" w:space="0"/>
              <w:left w:val="single" w:color="000000" w:sz="4" w:space="0"/>
              <w:right w:val="single" w:color="000000" w:sz="4" w:space="0"/>
            </w:tcBorders>
            <w:shd w:val="clear" w:color="auto" w:fill="auto"/>
            <w:vAlign w:val="center"/>
          </w:tcPr>
          <w:p w14:paraId="40E4B99E">
            <w:pPr>
              <w:jc w:val="left"/>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工业（不允许修改行业属性）</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4F4D">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CCB2">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14CF">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5375">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E605">
            <w:pPr>
              <w:jc w:val="center"/>
              <w:rPr>
                <w:rFonts w:hint="eastAsia" w:asciiTheme="minorEastAsia" w:hAnsiTheme="minorEastAsia" w:eastAsiaTheme="minorEastAsia" w:cstheme="minorEastAsia"/>
                <w:i w:val="0"/>
                <w:iCs w:val="0"/>
                <w:color w:val="auto"/>
                <w:sz w:val="24"/>
                <w:szCs w:val="24"/>
                <w:highlight w:val="none"/>
                <w:u w:val="none"/>
              </w:rPr>
            </w:pPr>
          </w:p>
        </w:tc>
      </w:tr>
      <w:tr w14:paraId="097E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C48B8C">
            <w:pPr>
              <w:pStyle w:val="75"/>
              <w:spacing w:before="116" w:line="271" w:lineRule="exact"/>
              <w:ind w:left="282" w:leftChars="0"/>
              <w:rPr>
                <w:rFonts w:hint="eastAsia" w:ascii="宋体" w:hAnsi="宋体" w:eastAsia="宋体" w:cs="宋体"/>
                <w:color w:val="auto"/>
                <w:kern w:val="2"/>
                <w:sz w:val="20"/>
                <w:szCs w:val="20"/>
                <w:highlight w:val="none"/>
                <w:lang w:val="en-US" w:eastAsia="en-US" w:bidi="ar-SA"/>
              </w:rPr>
            </w:pPr>
            <w:r>
              <w:rPr>
                <w:color w:val="auto"/>
                <w:position w:val="1"/>
                <w:sz w:val="20"/>
                <w:szCs w:val="20"/>
                <w:highlight w:val="none"/>
              </w:rPr>
              <w:t>2</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4F18A1DA">
            <w:pPr>
              <w:pStyle w:val="75"/>
              <w:spacing w:before="116" w:line="228" w:lineRule="auto"/>
              <w:ind w:left="135"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rPr>
              <w:t>玩沙组合</w:t>
            </w:r>
          </w:p>
        </w:tc>
        <w:tc>
          <w:tcPr>
            <w:tcW w:w="357" w:type="pct"/>
            <w:vMerge w:val="continue"/>
            <w:tcBorders>
              <w:left w:val="single" w:color="000000" w:sz="4" w:space="0"/>
              <w:right w:val="single" w:color="000000" w:sz="4" w:space="0"/>
            </w:tcBorders>
            <w:shd w:val="clear" w:color="auto" w:fill="auto"/>
            <w:vAlign w:val="center"/>
          </w:tcPr>
          <w:p w14:paraId="1A7C96F5">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592F">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3726">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4E08">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6B1B">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BB8C">
            <w:pPr>
              <w:jc w:val="center"/>
              <w:rPr>
                <w:rFonts w:hint="eastAsia" w:asciiTheme="minorEastAsia" w:hAnsiTheme="minorEastAsia" w:eastAsiaTheme="minorEastAsia" w:cstheme="minorEastAsia"/>
                <w:i w:val="0"/>
                <w:iCs w:val="0"/>
                <w:color w:val="auto"/>
                <w:sz w:val="24"/>
                <w:szCs w:val="24"/>
                <w:highlight w:val="none"/>
                <w:u w:val="none"/>
              </w:rPr>
            </w:pPr>
          </w:p>
        </w:tc>
      </w:tr>
      <w:tr w14:paraId="2CD0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A9D4277">
            <w:pPr>
              <w:pStyle w:val="75"/>
              <w:spacing w:before="116" w:line="269" w:lineRule="exact"/>
              <w:ind w:left="284" w:leftChars="0"/>
              <w:rPr>
                <w:rFonts w:hint="eastAsia" w:ascii="宋体" w:hAnsi="宋体" w:eastAsia="宋体" w:cs="宋体"/>
                <w:color w:val="auto"/>
                <w:kern w:val="2"/>
                <w:sz w:val="20"/>
                <w:szCs w:val="20"/>
                <w:highlight w:val="none"/>
                <w:lang w:val="en-US" w:eastAsia="en-US" w:bidi="ar-SA"/>
              </w:rPr>
            </w:pPr>
            <w:r>
              <w:rPr>
                <w:color w:val="auto"/>
                <w:position w:val="1"/>
                <w:sz w:val="20"/>
                <w:szCs w:val="20"/>
                <w:highlight w:val="none"/>
              </w:rPr>
              <w:t>3</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08750D27">
            <w:pPr>
              <w:pStyle w:val="75"/>
              <w:spacing w:before="114" w:line="228" w:lineRule="auto"/>
              <w:ind w:left="112"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rPr>
              <w:t>阿基米德戏水</w:t>
            </w:r>
          </w:p>
        </w:tc>
        <w:tc>
          <w:tcPr>
            <w:tcW w:w="357" w:type="pct"/>
            <w:vMerge w:val="continue"/>
            <w:tcBorders>
              <w:left w:val="single" w:color="000000" w:sz="4" w:space="0"/>
              <w:right w:val="single" w:color="000000" w:sz="4" w:space="0"/>
            </w:tcBorders>
            <w:shd w:val="clear" w:color="auto" w:fill="auto"/>
            <w:vAlign w:val="center"/>
          </w:tcPr>
          <w:p w14:paraId="74BB2567">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7251">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9147">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6CC">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3C5D">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088A">
            <w:pPr>
              <w:jc w:val="center"/>
              <w:rPr>
                <w:rFonts w:hint="eastAsia" w:asciiTheme="minorEastAsia" w:hAnsiTheme="minorEastAsia" w:eastAsiaTheme="minorEastAsia" w:cstheme="minorEastAsia"/>
                <w:i w:val="0"/>
                <w:iCs w:val="0"/>
                <w:color w:val="auto"/>
                <w:sz w:val="24"/>
                <w:szCs w:val="24"/>
                <w:highlight w:val="none"/>
                <w:u w:val="none"/>
              </w:rPr>
            </w:pPr>
          </w:p>
        </w:tc>
      </w:tr>
      <w:tr w14:paraId="7DAC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6AC37B8">
            <w:pPr>
              <w:pStyle w:val="75"/>
              <w:spacing w:before="115" w:line="271" w:lineRule="exact"/>
              <w:ind w:left="279" w:leftChars="0"/>
              <w:rPr>
                <w:rFonts w:hint="eastAsia" w:ascii="宋体" w:hAnsi="宋体" w:eastAsia="宋体" w:cs="宋体"/>
                <w:color w:val="auto"/>
                <w:kern w:val="2"/>
                <w:sz w:val="20"/>
                <w:szCs w:val="20"/>
                <w:highlight w:val="none"/>
                <w:lang w:val="en-US" w:eastAsia="en-US" w:bidi="ar-SA"/>
              </w:rPr>
            </w:pPr>
            <w:r>
              <w:rPr>
                <w:color w:val="auto"/>
                <w:position w:val="1"/>
                <w:sz w:val="20"/>
                <w:szCs w:val="20"/>
                <w:highlight w:val="none"/>
              </w:rPr>
              <w:t>4</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700EDA66">
            <w:pPr>
              <w:pStyle w:val="75"/>
              <w:spacing w:before="116" w:line="228" w:lineRule="auto"/>
              <w:ind w:left="113"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lang w:val="en-US" w:eastAsia="zh-CN"/>
              </w:rPr>
              <w:t>阿基米德戏水2</w:t>
            </w:r>
          </w:p>
        </w:tc>
        <w:tc>
          <w:tcPr>
            <w:tcW w:w="357" w:type="pct"/>
            <w:vMerge w:val="continue"/>
            <w:tcBorders>
              <w:left w:val="single" w:color="000000" w:sz="4" w:space="0"/>
              <w:right w:val="single" w:color="000000" w:sz="4" w:space="0"/>
            </w:tcBorders>
            <w:shd w:val="clear" w:color="auto" w:fill="auto"/>
            <w:vAlign w:val="center"/>
          </w:tcPr>
          <w:p w14:paraId="6F5107EF">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30FA">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3B5F">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5D70">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DCF4">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23A1">
            <w:pPr>
              <w:jc w:val="center"/>
              <w:rPr>
                <w:rFonts w:hint="eastAsia" w:asciiTheme="minorEastAsia" w:hAnsiTheme="minorEastAsia" w:eastAsiaTheme="minorEastAsia" w:cstheme="minorEastAsia"/>
                <w:i w:val="0"/>
                <w:iCs w:val="0"/>
                <w:color w:val="auto"/>
                <w:sz w:val="24"/>
                <w:szCs w:val="24"/>
                <w:highlight w:val="none"/>
                <w:u w:val="none"/>
              </w:rPr>
            </w:pPr>
          </w:p>
        </w:tc>
      </w:tr>
      <w:tr w14:paraId="3496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3F27582C">
            <w:pPr>
              <w:pStyle w:val="75"/>
              <w:spacing w:before="116" w:line="269" w:lineRule="exact"/>
              <w:ind w:left="284" w:leftChars="0"/>
              <w:rPr>
                <w:rFonts w:hint="eastAsia" w:ascii="宋体" w:hAnsi="宋体" w:eastAsia="宋体" w:cs="宋体"/>
                <w:color w:val="auto"/>
                <w:kern w:val="2"/>
                <w:sz w:val="20"/>
                <w:szCs w:val="20"/>
                <w:highlight w:val="none"/>
                <w:lang w:val="en-US" w:eastAsia="en-US" w:bidi="ar-SA"/>
              </w:rPr>
            </w:pPr>
            <w:r>
              <w:rPr>
                <w:color w:val="auto"/>
                <w:position w:val="1"/>
                <w:sz w:val="20"/>
                <w:szCs w:val="20"/>
                <w:highlight w:val="none"/>
              </w:rPr>
              <w:t>5</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73E98A90">
            <w:pPr>
              <w:pStyle w:val="75"/>
              <w:spacing w:before="117" w:line="228" w:lineRule="auto"/>
              <w:ind w:left="112"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rPr>
              <w:t>木质拓展1</w:t>
            </w:r>
          </w:p>
        </w:tc>
        <w:tc>
          <w:tcPr>
            <w:tcW w:w="357" w:type="pct"/>
            <w:vMerge w:val="continue"/>
            <w:tcBorders>
              <w:left w:val="single" w:color="000000" w:sz="4" w:space="0"/>
              <w:right w:val="single" w:color="000000" w:sz="4" w:space="0"/>
            </w:tcBorders>
            <w:shd w:val="clear" w:color="auto" w:fill="auto"/>
            <w:vAlign w:val="center"/>
          </w:tcPr>
          <w:p w14:paraId="5EEAF60E">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2881E">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BC39">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AEA9">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EE1F">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D0B9">
            <w:pPr>
              <w:jc w:val="center"/>
              <w:rPr>
                <w:rFonts w:hint="eastAsia" w:asciiTheme="minorEastAsia" w:hAnsiTheme="minorEastAsia" w:eastAsiaTheme="minorEastAsia" w:cstheme="minorEastAsia"/>
                <w:i w:val="0"/>
                <w:iCs w:val="0"/>
                <w:color w:val="auto"/>
                <w:sz w:val="24"/>
                <w:szCs w:val="24"/>
                <w:highlight w:val="none"/>
                <w:u w:val="none"/>
              </w:rPr>
            </w:pPr>
          </w:p>
        </w:tc>
      </w:tr>
      <w:tr w14:paraId="2766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4F35F62">
            <w:pPr>
              <w:pStyle w:val="75"/>
              <w:spacing w:before="293" w:line="83" w:lineRule="exact"/>
              <w:ind w:left="182" w:leftChars="0"/>
              <w:rPr>
                <w:rFonts w:hint="eastAsia" w:ascii="宋体" w:hAnsi="宋体" w:eastAsia="宋体" w:cs="宋体"/>
                <w:color w:val="auto"/>
                <w:kern w:val="2"/>
                <w:sz w:val="20"/>
                <w:szCs w:val="20"/>
                <w:highlight w:val="none"/>
                <w:lang w:val="en-US" w:eastAsia="en-US" w:bidi="ar-SA"/>
              </w:rPr>
            </w:pPr>
            <w:r>
              <w:rPr>
                <w:color w:val="auto"/>
                <w:spacing w:val="3"/>
                <w:position w:val="1"/>
                <w:sz w:val="20"/>
                <w:szCs w:val="20"/>
                <w:highlight w:val="none"/>
              </w:rPr>
              <w:t>...</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74651613">
            <w:pPr>
              <w:pStyle w:val="75"/>
              <w:spacing w:before="293" w:line="83" w:lineRule="exact"/>
              <w:ind w:left="954" w:leftChars="0"/>
              <w:rPr>
                <w:rFonts w:hint="eastAsia" w:ascii="宋体" w:hAnsi="宋体" w:eastAsia="宋体" w:cs="宋体"/>
                <w:color w:val="auto"/>
                <w:kern w:val="2"/>
                <w:sz w:val="20"/>
                <w:szCs w:val="20"/>
                <w:highlight w:val="none"/>
                <w:lang w:val="en-US" w:eastAsia="en-US" w:bidi="ar-SA"/>
              </w:rPr>
            </w:pPr>
            <w:r>
              <w:rPr>
                <w:color w:val="auto"/>
                <w:spacing w:val="3"/>
                <w:position w:val="1"/>
                <w:sz w:val="20"/>
                <w:szCs w:val="20"/>
                <w:highlight w:val="none"/>
              </w:rPr>
              <w:t>...</w:t>
            </w:r>
          </w:p>
        </w:tc>
        <w:tc>
          <w:tcPr>
            <w:tcW w:w="357" w:type="pct"/>
            <w:vMerge w:val="continue"/>
            <w:tcBorders>
              <w:left w:val="single" w:color="000000" w:sz="4" w:space="0"/>
              <w:right w:val="single" w:color="000000" w:sz="4" w:space="0"/>
            </w:tcBorders>
            <w:shd w:val="clear" w:color="auto" w:fill="auto"/>
            <w:vAlign w:val="center"/>
          </w:tcPr>
          <w:p w14:paraId="615F344A">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D843">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BDF2">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0B3D">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2E08">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4A27">
            <w:pPr>
              <w:jc w:val="center"/>
              <w:rPr>
                <w:rFonts w:hint="eastAsia" w:asciiTheme="minorEastAsia" w:hAnsiTheme="minorEastAsia" w:eastAsiaTheme="minorEastAsia" w:cstheme="minorEastAsia"/>
                <w:i w:val="0"/>
                <w:iCs w:val="0"/>
                <w:color w:val="auto"/>
                <w:sz w:val="24"/>
                <w:szCs w:val="24"/>
                <w:highlight w:val="none"/>
                <w:u w:val="none"/>
              </w:rPr>
            </w:pPr>
          </w:p>
        </w:tc>
      </w:tr>
      <w:tr w14:paraId="54B1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5C64D5A8">
            <w:pPr>
              <w:pStyle w:val="75"/>
              <w:spacing w:before="272" w:line="84" w:lineRule="exact"/>
              <w:ind w:left="182" w:leftChars="0"/>
              <w:rPr>
                <w:rFonts w:hint="eastAsia" w:ascii="宋体" w:hAnsi="宋体" w:eastAsia="宋体" w:cs="宋体"/>
                <w:color w:val="auto"/>
                <w:kern w:val="2"/>
                <w:sz w:val="20"/>
                <w:szCs w:val="20"/>
                <w:highlight w:val="none"/>
                <w:lang w:val="en-US" w:eastAsia="en-US" w:bidi="ar-SA"/>
              </w:rPr>
            </w:pPr>
            <w:r>
              <w:rPr>
                <w:color w:val="auto"/>
                <w:spacing w:val="3"/>
                <w:position w:val="1"/>
                <w:sz w:val="20"/>
                <w:szCs w:val="20"/>
                <w:highlight w:val="none"/>
              </w:rPr>
              <w:t>...</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1B2F1BB2">
            <w:pPr>
              <w:pStyle w:val="75"/>
              <w:spacing w:before="272" w:line="84" w:lineRule="exact"/>
              <w:ind w:left="954" w:leftChars="0"/>
              <w:rPr>
                <w:rFonts w:hint="eastAsia" w:ascii="宋体" w:hAnsi="宋体" w:eastAsia="宋体" w:cs="宋体"/>
                <w:color w:val="auto"/>
                <w:kern w:val="2"/>
                <w:sz w:val="20"/>
                <w:szCs w:val="20"/>
                <w:highlight w:val="none"/>
                <w:lang w:val="en-US" w:eastAsia="en-US" w:bidi="ar-SA"/>
              </w:rPr>
            </w:pPr>
            <w:r>
              <w:rPr>
                <w:color w:val="auto"/>
                <w:spacing w:val="3"/>
                <w:position w:val="1"/>
                <w:sz w:val="20"/>
                <w:szCs w:val="20"/>
                <w:highlight w:val="none"/>
              </w:rPr>
              <w:t>...</w:t>
            </w:r>
          </w:p>
        </w:tc>
        <w:tc>
          <w:tcPr>
            <w:tcW w:w="357" w:type="pct"/>
            <w:vMerge w:val="continue"/>
            <w:tcBorders>
              <w:left w:val="single" w:color="000000" w:sz="4" w:space="0"/>
              <w:right w:val="single" w:color="000000" w:sz="4" w:space="0"/>
            </w:tcBorders>
            <w:shd w:val="clear" w:color="auto" w:fill="auto"/>
            <w:vAlign w:val="center"/>
          </w:tcPr>
          <w:p w14:paraId="0E20582D">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4C8B">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177D">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1FED">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706E">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7217">
            <w:pPr>
              <w:jc w:val="center"/>
              <w:rPr>
                <w:rFonts w:hint="eastAsia" w:asciiTheme="minorEastAsia" w:hAnsiTheme="minorEastAsia" w:eastAsiaTheme="minorEastAsia" w:cstheme="minorEastAsia"/>
                <w:i w:val="0"/>
                <w:iCs w:val="0"/>
                <w:color w:val="auto"/>
                <w:sz w:val="24"/>
                <w:szCs w:val="24"/>
                <w:highlight w:val="none"/>
                <w:u w:val="none"/>
              </w:rPr>
            </w:pPr>
          </w:p>
        </w:tc>
      </w:tr>
      <w:tr w14:paraId="3082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052D76A">
            <w:pPr>
              <w:pStyle w:val="75"/>
              <w:spacing w:before="118" w:line="269" w:lineRule="exact"/>
              <w:ind w:left="192" w:leftChars="0"/>
              <w:rPr>
                <w:rFonts w:hint="eastAsia" w:ascii="宋体" w:hAnsi="宋体" w:eastAsia="宋体" w:cs="宋体"/>
                <w:color w:val="auto"/>
                <w:kern w:val="2"/>
                <w:sz w:val="20"/>
                <w:szCs w:val="20"/>
                <w:highlight w:val="none"/>
                <w:lang w:val="en-US" w:eastAsia="zh-CN" w:bidi="ar-SA"/>
              </w:rPr>
            </w:pPr>
            <w:r>
              <w:rPr>
                <w:rFonts w:hint="eastAsia"/>
                <w:color w:val="auto"/>
                <w:sz w:val="20"/>
                <w:szCs w:val="20"/>
                <w:highlight w:val="none"/>
                <w:lang w:val="en-US" w:eastAsia="zh-CN"/>
              </w:rPr>
              <w:t>62</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4CECDA93">
            <w:pPr>
              <w:pStyle w:val="75"/>
              <w:spacing w:before="118" w:line="228" w:lineRule="auto"/>
              <w:ind w:left="126"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rPr>
              <w:t>1000片卡普乐</w:t>
            </w:r>
          </w:p>
        </w:tc>
        <w:tc>
          <w:tcPr>
            <w:tcW w:w="357" w:type="pct"/>
            <w:vMerge w:val="continue"/>
            <w:tcBorders>
              <w:left w:val="single" w:color="000000" w:sz="4" w:space="0"/>
              <w:right w:val="single" w:color="000000" w:sz="4" w:space="0"/>
            </w:tcBorders>
            <w:shd w:val="clear" w:color="auto" w:fill="auto"/>
            <w:vAlign w:val="center"/>
          </w:tcPr>
          <w:p w14:paraId="515DEF0A">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2166">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3701">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18E3">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82D5">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223B">
            <w:pPr>
              <w:jc w:val="center"/>
              <w:rPr>
                <w:rFonts w:hint="eastAsia" w:asciiTheme="minorEastAsia" w:hAnsiTheme="minorEastAsia" w:eastAsiaTheme="minorEastAsia" w:cstheme="minorEastAsia"/>
                <w:i w:val="0"/>
                <w:iCs w:val="0"/>
                <w:color w:val="auto"/>
                <w:sz w:val="24"/>
                <w:szCs w:val="24"/>
                <w:highlight w:val="none"/>
                <w:u w:val="none"/>
              </w:rPr>
            </w:pPr>
          </w:p>
        </w:tc>
      </w:tr>
      <w:tr w14:paraId="1DF8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7BA0110">
            <w:pPr>
              <w:pStyle w:val="75"/>
              <w:spacing w:before="118" w:line="269" w:lineRule="exact"/>
              <w:ind w:left="192" w:leftChars="0"/>
              <w:rPr>
                <w:rFonts w:hint="eastAsia" w:ascii="宋体" w:hAnsi="宋体" w:eastAsia="宋体" w:cs="宋体"/>
                <w:color w:val="auto"/>
                <w:kern w:val="2"/>
                <w:sz w:val="20"/>
                <w:szCs w:val="20"/>
                <w:highlight w:val="none"/>
                <w:lang w:val="en-US" w:eastAsia="zh-CN" w:bidi="ar-SA"/>
              </w:rPr>
            </w:pPr>
            <w:r>
              <w:rPr>
                <w:rFonts w:hint="eastAsia"/>
                <w:color w:val="auto"/>
                <w:spacing w:val="-3"/>
                <w:position w:val="1"/>
                <w:sz w:val="20"/>
                <w:szCs w:val="20"/>
                <w:highlight w:val="none"/>
                <w:lang w:val="en-US" w:eastAsia="zh-CN"/>
              </w:rPr>
              <w:t>63</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top"/>
          </w:tcPr>
          <w:p w14:paraId="1E7710ED">
            <w:pPr>
              <w:pStyle w:val="75"/>
              <w:spacing w:before="118" w:line="228" w:lineRule="auto"/>
              <w:ind w:left="126" w:leftChars="0"/>
              <w:rPr>
                <w:rFonts w:hint="eastAsia" w:ascii="宋体" w:hAnsi="宋体" w:eastAsia="宋体" w:cs="宋体"/>
                <w:color w:val="auto"/>
                <w:kern w:val="2"/>
                <w:sz w:val="20"/>
                <w:szCs w:val="20"/>
                <w:highlight w:val="none"/>
                <w:lang w:val="en-US" w:eastAsia="en-US" w:bidi="ar-SA"/>
              </w:rPr>
            </w:pPr>
            <w:r>
              <w:rPr>
                <w:rFonts w:hint="eastAsia"/>
                <w:color w:val="auto"/>
                <w:sz w:val="20"/>
                <w:szCs w:val="20"/>
                <w:highlight w:val="none"/>
                <w:lang w:val="en-US" w:eastAsia="zh-CN"/>
              </w:rPr>
              <w:t>拖拉小车</w:t>
            </w:r>
          </w:p>
        </w:tc>
        <w:tc>
          <w:tcPr>
            <w:tcW w:w="357" w:type="pct"/>
            <w:vMerge w:val="continue"/>
            <w:tcBorders>
              <w:left w:val="single" w:color="000000" w:sz="4" w:space="0"/>
              <w:right w:val="single" w:color="000000" w:sz="4" w:space="0"/>
            </w:tcBorders>
            <w:shd w:val="clear" w:color="auto" w:fill="auto"/>
            <w:vAlign w:val="center"/>
          </w:tcPr>
          <w:p w14:paraId="247250EB">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18B4">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BC60">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E91E">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C64A">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D133">
            <w:pPr>
              <w:jc w:val="center"/>
              <w:rPr>
                <w:rFonts w:hint="eastAsia" w:asciiTheme="minorEastAsia" w:hAnsiTheme="minorEastAsia" w:eastAsiaTheme="minorEastAsia" w:cstheme="minorEastAsia"/>
                <w:i w:val="0"/>
                <w:iCs w:val="0"/>
                <w:color w:val="auto"/>
                <w:sz w:val="24"/>
                <w:szCs w:val="24"/>
                <w:highlight w:val="none"/>
                <w:u w:val="none"/>
              </w:rPr>
            </w:pPr>
          </w:p>
        </w:tc>
      </w:tr>
      <w:tr w14:paraId="0BCC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341EA79">
            <w:pPr>
              <w:pStyle w:val="75"/>
              <w:spacing w:before="118" w:line="270" w:lineRule="exact"/>
              <w:ind w:left="192" w:leftChars="0"/>
              <w:rPr>
                <w:rFonts w:hint="eastAsia" w:ascii="宋体" w:hAnsi="宋体" w:eastAsia="宋体" w:cs="宋体"/>
                <w:color w:val="auto"/>
                <w:kern w:val="2"/>
                <w:sz w:val="20"/>
                <w:szCs w:val="20"/>
                <w:highlight w:val="none"/>
                <w:lang w:val="en-US" w:eastAsia="zh-CN" w:bidi="ar-SA"/>
              </w:rPr>
            </w:pPr>
            <w:r>
              <w:rPr>
                <w:rFonts w:hint="eastAsia"/>
                <w:color w:val="auto"/>
                <w:spacing w:val="-3"/>
                <w:position w:val="1"/>
                <w:sz w:val="20"/>
                <w:szCs w:val="20"/>
                <w:highlight w:val="none"/>
                <w:lang w:val="en-US" w:eastAsia="zh-CN"/>
              </w:rPr>
              <w:t>64</w:t>
            </w:r>
          </w:p>
        </w:tc>
        <w:tc>
          <w:tcPr>
            <w:tcW w:w="1241" w:type="pct"/>
            <w:tcBorders>
              <w:top w:val="single" w:color="000000" w:sz="4" w:space="0"/>
              <w:left w:val="single" w:color="000000" w:sz="4" w:space="0"/>
              <w:bottom w:val="single" w:color="000000" w:sz="4" w:space="0"/>
              <w:right w:val="single" w:color="auto" w:sz="4" w:space="0"/>
            </w:tcBorders>
            <w:shd w:val="clear" w:color="auto" w:fill="auto"/>
            <w:vAlign w:val="top"/>
          </w:tcPr>
          <w:p w14:paraId="50181F0E">
            <w:pPr>
              <w:pStyle w:val="75"/>
              <w:spacing w:before="119" w:line="228" w:lineRule="auto"/>
              <w:ind w:left="126" w:leftChars="0"/>
              <w:rPr>
                <w:rFonts w:hint="eastAsia" w:ascii="宋体" w:hAnsi="宋体" w:eastAsia="宋体" w:cs="宋体"/>
                <w:color w:val="auto"/>
                <w:kern w:val="2"/>
                <w:sz w:val="20"/>
                <w:szCs w:val="20"/>
                <w:highlight w:val="none"/>
                <w:lang w:val="en-US" w:eastAsia="en-US" w:bidi="ar-SA"/>
              </w:rPr>
            </w:pPr>
            <w:r>
              <w:rPr>
                <w:rFonts w:hint="eastAsia" w:asciiTheme="minorEastAsia" w:hAnsiTheme="minorEastAsia" w:eastAsiaTheme="minorEastAsia" w:cstheme="minorEastAsia"/>
                <w:color w:val="auto"/>
                <w:sz w:val="21"/>
                <w:szCs w:val="21"/>
                <w:highlight w:val="none"/>
                <w:vertAlign w:val="baseline"/>
                <w:lang w:val="en-US" w:eastAsia="zh-CN"/>
              </w:rPr>
              <w:t>低结构积木材料</w:t>
            </w:r>
          </w:p>
        </w:tc>
        <w:tc>
          <w:tcPr>
            <w:tcW w:w="357" w:type="pct"/>
            <w:vMerge w:val="continue"/>
            <w:tcBorders>
              <w:left w:val="single" w:color="auto" w:sz="4" w:space="0"/>
              <w:bottom w:val="single" w:color="auto" w:sz="4" w:space="0"/>
              <w:right w:val="single" w:color="000000" w:sz="4" w:space="0"/>
            </w:tcBorders>
            <w:shd w:val="clear" w:color="auto" w:fill="auto"/>
            <w:vAlign w:val="center"/>
          </w:tcPr>
          <w:p w14:paraId="7793D248">
            <w:pPr>
              <w:jc w:val="left"/>
              <w:rPr>
                <w:rFonts w:hint="eastAsia" w:asciiTheme="minorEastAsia" w:hAnsiTheme="minorEastAsia" w:eastAsiaTheme="minorEastAsia" w:cstheme="minorEastAsia"/>
                <w:i w:val="0"/>
                <w:iCs w:val="0"/>
                <w:color w:val="auto"/>
                <w:sz w:val="24"/>
                <w:szCs w:val="24"/>
                <w:highlight w:val="none"/>
                <w:u w:val="none"/>
              </w:rPr>
            </w:pPr>
          </w:p>
        </w:tc>
        <w:tc>
          <w:tcPr>
            <w:tcW w:w="454" w:type="pct"/>
            <w:tcBorders>
              <w:top w:val="single" w:color="000000" w:sz="4" w:space="0"/>
              <w:left w:val="single" w:color="000000" w:sz="4" w:space="0"/>
              <w:bottom w:val="single" w:color="auto" w:sz="4" w:space="0"/>
              <w:right w:val="single" w:color="000000" w:sz="4" w:space="0"/>
            </w:tcBorders>
            <w:shd w:val="clear" w:color="auto" w:fill="auto"/>
            <w:vAlign w:val="center"/>
          </w:tcPr>
          <w:p w14:paraId="7A5D9744">
            <w:pPr>
              <w:jc w:val="left"/>
              <w:rPr>
                <w:rFonts w:hint="eastAsia" w:asciiTheme="minorEastAsia" w:hAnsiTheme="minorEastAsia" w:eastAsiaTheme="minorEastAsia" w:cstheme="minorEastAsia"/>
                <w:i w:val="0"/>
                <w:iCs w:val="0"/>
                <w:color w:val="auto"/>
                <w:sz w:val="24"/>
                <w:szCs w:val="24"/>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25FD">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2C8C">
            <w:pPr>
              <w:jc w:val="center"/>
              <w:rPr>
                <w:rFonts w:hint="eastAsia" w:asciiTheme="minorEastAsia" w:hAnsiTheme="minorEastAsia" w:eastAsiaTheme="minorEastAsia" w:cstheme="minorEastAsia"/>
                <w:i w:val="0"/>
                <w:iCs w:val="0"/>
                <w:color w:val="auto"/>
                <w:sz w:val="24"/>
                <w:szCs w:val="24"/>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A5D6">
            <w:pPr>
              <w:jc w:val="center"/>
              <w:rPr>
                <w:rFonts w:hint="eastAsia" w:asciiTheme="minorEastAsia" w:hAnsiTheme="minorEastAsia" w:eastAsiaTheme="minorEastAsia" w:cstheme="minorEastAsia"/>
                <w:i w:val="0"/>
                <w:iCs w:val="0"/>
                <w:color w:val="auto"/>
                <w:sz w:val="24"/>
                <w:szCs w:val="24"/>
                <w:highlight w:val="none"/>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EFF0">
            <w:pPr>
              <w:jc w:val="center"/>
              <w:rPr>
                <w:rFonts w:hint="eastAsia" w:asciiTheme="minorEastAsia" w:hAnsiTheme="minorEastAsia" w:eastAsiaTheme="minorEastAsia" w:cstheme="minorEastAsia"/>
                <w:i w:val="0"/>
                <w:iCs w:val="0"/>
                <w:color w:val="auto"/>
                <w:sz w:val="24"/>
                <w:szCs w:val="24"/>
                <w:highlight w:val="none"/>
                <w:u w:val="none"/>
              </w:rPr>
            </w:pPr>
          </w:p>
        </w:tc>
      </w:tr>
    </w:tbl>
    <w:p w14:paraId="4A60D4B0">
      <w:pPr>
        <w:autoSpaceDE w:val="0"/>
        <w:autoSpaceDN w:val="0"/>
        <w:adjustRightInd w:val="0"/>
        <w:spacing w:line="360" w:lineRule="auto"/>
        <w:ind w:right="157" w:firstLine="420" w:firstLineChars="200"/>
        <w:jc w:val="left"/>
        <w:rPr>
          <w:rFonts w:ascii="宋体" w:hAnsi="宋体" w:eastAsia="宋体" w:cs="宋体"/>
          <w:kern w:val="0"/>
          <w:szCs w:val="24"/>
        </w:rPr>
      </w:pPr>
      <w:r>
        <w:rPr>
          <w:rFonts w:hint="eastAsia" w:ascii="宋体" w:hAnsi="宋体" w:eastAsia="宋体" w:cs="宋体"/>
          <w:kern w:val="0"/>
          <w:szCs w:val="24"/>
        </w:rPr>
        <w:t>以上企业，不属于大企业的分支机构，不存在控股股东为大企业的情形，也不存在与大企业的负责人为同一人的情形。</w:t>
      </w:r>
    </w:p>
    <w:p w14:paraId="3963AA4F">
      <w:pPr>
        <w:autoSpaceDE w:val="0"/>
        <w:autoSpaceDN w:val="0"/>
        <w:adjustRightInd w:val="0"/>
        <w:spacing w:line="360" w:lineRule="auto"/>
        <w:ind w:firstLine="420" w:firstLineChars="200"/>
        <w:jc w:val="left"/>
        <w:rPr>
          <w:rFonts w:ascii="宋体" w:hAnsi="宋体" w:eastAsia="宋体" w:cs="宋体"/>
          <w:kern w:val="0"/>
          <w:szCs w:val="24"/>
        </w:rPr>
      </w:pPr>
      <w:r>
        <w:rPr>
          <w:rFonts w:hint="eastAsia" w:ascii="宋体" w:hAnsi="宋体" w:eastAsia="宋体" w:cs="宋体"/>
          <w:kern w:val="0"/>
          <w:szCs w:val="24"/>
        </w:rPr>
        <w:t>本企业对上述声明内容的真实性负责。如有虚假，将依法承担相应责任。</w:t>
      </w:r>
    </w:p>
    <w:p w14:paraId="1907BDF3">
      <w:pPr>
        <w:autoSpaceDE w:val="0"/>
        <w:autoSpaceDN w:val="0"/>
        <w:adjustRightInd w:val="0"/>
        <w:spacing w:line="360" w:lineRule="auto"/>
        <w:ind w:firstLine="420" w:firstLineChars="200"/>
        <w:jc w:val="left"/>
        <w:rPr>
          <w:rFonts w:ascii="宋体" w:hAnsi="宋体" w:eastAsia="宋体" w:cs="宋体"/>
          <w:kern w:val="0"/>
          <w:szCs w:val="24"/>
        </w:rPr>
      </w:pPr>
    </w:p>
    <w:p w14:paraId="7D67A6E6">
      <w:pPr>
        <w:autoSpaceDE w:val="0"/>
        <w:autoSpaceDN w:val="0"/>
        <w:adjustRightInd w:val="0"/>
        <w:spacing w:line="360" w:lineRule="auto"/>
        <w:ind w:firstLine="420" w:firstLineChars="200"/>
        <w:jc w:val="left"/>
        <w:rPr>
          <w:rFonts w:ascii="宋体" w:hAnsi="宋体" w:eastAsia="宋体" w:cs="宋体"/>
          <w:kern w:val="0"/>
          <w:szCs w:val="24"/>
        </w:rPr>
      </w:pPr>
      <w:r>
        <w:rPr>
          <w:rFonts w:hint="eastAsia" w:ascii="宋体" w:hAnsi="宋体" w:eastAsia="宋体" w:cs="宋体"/>
          <w:kern w:val="0"/>
          <w:szCs w:val="24"/>
        </w:rPr>
        <w:t>投标人名称（电子签章）：</w:t>
      </w:r>
    </w:p>
    <w:p w14:paraId="089023B5">
      <w:pPr>
        <w:autoSpaceDE w:val="0"/>
        <w:autoSpaceDN w:val="0"/>
        <w:adjustRightInd w:val="0"/>
        <w:spacing w:line="360" w:lineRule="auto"/>
        <w:ind w:firstLine="420" w:firstLineChars="200"/>
        <w:jc w:val="left"/>
        <w:rPr>
          <w:rFonts w:ascii="宋体" w:hAnsi="宋体" w:eastAsia="宋体" w:cs="宋体"/>
          <w:b/>
          <w:szCs w:val="24"/>
        </w:rPr>
      </w:pPr>
      <w:r>
        <w:rPr>
          <w:rFonts w:hint="eastAsia" w:ascii="宋体" w:hAnsi="宋体" w:eastAsia="宋体" w:cs="宋体"/>
          <w:kern w:val="0"/>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5F2B692D">
      <w:pPr>
        <w:spacing w:line="240" w:lineRule="auto"/>
        <w:ind w:firstLine="422" w:firstLineChars="200"/>
        <w:rPr>
          <w:rFonts w:ascii="宋体" w:hAnsi="宋体" w:eastAsia="宋体" w:cs="宋体"/>
          <w:b/>
          <w:bCs/>
          <w:sz w:val="21"/>
          <w:szCs w:val="21"/>
          <w:lang w:val="zh-TW" w:eastAsia="zh-TW" w:bidi="zh-TW"/>
        </w:rPr>
      </w:pPr>
    </w:p>
    <w:p w14:paraId="07562D62">
      <w:pPr>
        <w:spacing w:line="240" w:lineRule="auto"/>
        <w:ind w:firstLine="422" w:firstLineChars="200"/>
        <w:rPr>
          <w:rFonts w:ascii="宋体" w:hAnsi="宋体" w:eastAsia="宋体" w:cs="宋体"/>
          <w:sz w:val="21"/>
          <w:szCs w:val="21"/>
          <w:lang w:val="zh-TW" w:eastAsia="zh-TW" w:bidi="zh-TW"/>
        </w:rPr>
      </w:pPr>
      <w:r>
        <w:rPr>
          <w:rFonts w:hint="eastAsia" w:ascii="宋体" w:hAnsi="宋体" w:eastAsia="宋体" w:cs="宋体"/>
          <w:b/>
          <w:bCs/>
          <w:sz w:val="21"/>
          <w:szCs w:val="21"/>
          <w:lang w:val="zh-TW" w:eastAsia="zh-TW" w:bidi="zh-TW"/>
        </w:rPr>
        <w:t>填写要求：</w:t>
      </w:r>
      <w:r>
        <w:rPr>
          <w:rFonts w:hint="eastAsia" w:ascii="宋体" w:hAnsi="宋体" w:eastAsia="宋体" w:cs="宋体"/>
          <w:sz w:val="21"/>
          <w:szCs w:val="21"/>
          <w:lang w:val="zh-TW" w:eastAsia="zh-TW" w:bidi="zh-TW"/>
        </w:rPr>
        <w:t>① “采购文件中明确的所属行业”依据</w:t>
      </w:r>
      <w:r>
        <w:rPr>
          <w:rFonts w:hint="eastAsia" w:ascii="宋体" w:hAnsi="宋体" w:eastAsia="宋体" w:cs="宋体"/>
          <w:sz w:val="21"/>
          <w:szCs w:val="21"/>
          <w:lang w:val="zh-TW" w:bidi="zh-TW"/>
        </w:rPr>
        <w:t>采购</w:t>
      </w:r>
      <w:r>
        <w:rPr>
          <w:rFonts w:hint="eastAsia" w:ascii="宋体" w:hAnsi="宋体" w:eastAsia="宋体" w:cs="宋体"/>
          <w:sz w:val="21"/>
          <w:szCs w:val="21"/>
          <w:lang w:val="zh-TW" w:eastAsia="zh-TW" w:bidi="zh-TW"/>
        </w:rPr>
        <w:t>文件</w:t>
      </w:r>
      <w:r>
        <w:rPr>
          <w:rFonts w:hint="eastAsia" w:ascii="宋体" w:hAnsi="宋体" w:eastAsia="宋体" w:cs="宋体"/>
          <w:sz w:val="21"/>
          <w:szCs w:val="21"/>
          <w:lang w:val="zh-TW" w:bidi="zh-TW"/>
        </w:rPr>
        <w:t>资格要求中</w:t>
      </w:r>
      <w:r>
        <w:rPr>
          <w:rFonts w:hint="eastAsia" w:ascii="宋体" w:hAnsi="宋体" w:eastAsia="宋体" w:cs="宋体"/>
          <w:sz w:val="21"/>
          <w:szCs w:val="21"/>
          <w:lang w:val="zh-TW" w:eastAsia="zh-TW" w:bidi="zh-TW"/>
        </w:rPr>
        <w:t>“本项目明确的所属行业类别”填写，</w:t>
      </w:r>
      <w:r>
        <w:rPr>
          <w:rFonts w:hint="eastAsia" w:ascii="宋体" w:hAnsi="宋体" w:eastAsia="宋体" w:cs="宋体"/>
          <w:b/>
          <w:bCs/>
          <w:sz w:val="21"/>
          <w:szCs w:val="21"/>
          <w:lang w:val="zh-TW" w:eastAsia="zh-TW" w:bidi="zh-TW"/>
        </w:rPr>
        <w:t>不得缺漏</w:t>
      </w:r>
      <w:r>
        <w:rPr>
          <w:rFonts w:hint="eastAsia" w:ascii="宋体" w:hAnsi="宋体" w:eastAsia="宋体" w:cs="宋体"/>
          <w:sz w:val="21"/>
          <w:szCs w:val="21"/>
          <w:lang w:val="zh-TW" w:eastAsia="zh-TW" w:bidi="zh-TW"/>
        </w:rPr>
        <w:t>；</w:t>
      </w:r>
    </w:p>
    <w:p w14:paraId="68499AA4">
      <w:pPr>
        <w:spacing w:line="240" w:lineRule="auto"/>
        <w:ind w:firstLine="420" w:firstLineChars="200"/>
        <w:rPr>
          <w:rFonts w:ascii="宋体" w:hAnsi="宋体" w:eastAsia="宋体" w:cs="宋体"/>
          <w:sz w:val="21"/>
          <w:szCs w:val="21"/>
          <w:lang w:val="zh-TW" w:eastAsia="zh-TW" w:bidi="zh-TW"/>
        </w:rPr>
      </w:pPr>
      <w:r>
        <w:rPr>
          <w:rFonts w:hint="eastAsia" w:ascii="宋体" w:hAnsi="宋体" w:eastAsia="宋体" w:cs="宋体"/>
          <w:sz w:val="21"/>
          <w:szCs w:val="21"/>
          <w:lang w:val="zh-TW" w:eastAsia="zh-TW" w:bidi="zh-TW"/>
        </w:rPr>
        <w:t>②</w:t>
      </w:r>
      <w:r>
        <w:rPr>
          <w:rFonts w:hint="eastAsia" w:ascii="宋体" w:hAnsi="宋体" w:eastAsia="宋体" w:cs="宋体"/>
          <w:b/>
          <w:bCs/>
          <w:sz w:val="21"/>
          <w:szCs w:val="21"/>
          <w:lang w:val="zh-TW" w:eastAsia="zh-TW" w:bidi="zh-TW"/>
        </w:rPr>
        <w:t>从业人员、营业收入、资产总额填报上一年度数据，无上一年度数据的新成立企业可不填报</w:t>
      </w:r>
      <w:r>
        <w:rPr>
          <w:rFonts w:hint="eastAsia" w:ascii="宋体" w:hAnsi="宋体" w:eastAsia="宋体" w:cs="宋体"/>
          <w:sz w:val="21"/>
          <w:szCs w:val="21"/>
          <w:lang w:val="zh-TW" w:eastAsia="zh-TW" w:bidi="zh-TW"/>
        </w:rPr>
        <w:t>；</w:t>
      </w:r>
    </w:p>
    <w:p w14:paraId="42CC9108">
      <w:pPr>
        <w:spacing w:line="240" w:lineRule="auto"/>
        <w:ind w:firstLine="420" w:firstLineChars="200"/>
        <w:rPr>
          <w:rFonts w:ascii="宋体" w:hAnsi="宋体" w:eastAsia="宋体" w:cs="宋体"/>
          <w:sz w:val="21"/>
          <w:szCs w:val="21"/>
          <w:lang w:val="zh-TW" w:eastAsia="zh-TW" w:bidi="zh-TW"/>
        </w:rPr>
      </w:pPr>
      <w:r>
        <w:rPr>
          <w:rFonts w:hint="eastAsia" w:ascii="宋体" w:hAnsi="宋体" w:eastAsia="宋体" w:cs="宋体"/>
          <w:sz w:val="21"/>
          <w:szCs w:val="21"/>
          <w:lang w:val="zh-TW" w:eastAsia="zh-TW" w:bidi="zh-TW"/>
        </w:rPr>
        <w:t>③中型企业、小型企业、微型企业等3种企业类型，结合以上数据，依据《中小企业划型标准规定》（</w:t>
      </w:r>
      <w:r>
        <w:rPr>
          <w:rFonts w:hint="eastAsia" w:ascii="宋体" w:hAnsi="宋体" w:eastAsia="宋体" w:cs="宋体"/>
          <w:b/>
          <w:bCs/>
          <w:sz w:val="21"/>
          <w:szCs w:val="21"/>
          <w:lang w:val="zh-TW" w:eastAsia="zh-TW" w:bidi="zh-TW"/>
        </w:rPr>
        <w:t>工信部联企业〔2011〕300号</w:t>
      </w:r>
      <w:r>
        <w:rPr>
          <w:rFonts w:hint="eastAsia" w:ascii="宋体" w:hAnsi="宋体" w:eastAsia="宋体" w:cs="宋体"/>
          <w:sz w:val="21"/>
          <w:szCs w:val="21"/>
          <w:lang w:val="zh-TW" w:bidi="zh-TW"/>
        </w:rPr>
        <w:t>）</w:t>
      </w:r>
      <w:r>
        <w:rPr>
          <w:rFonts w:hint="eastAsia" w:ascii="宋体" w:hAnsi="宋体" w:eastAsia="宋体" w:cs="宋体"/>
          <w:sz w:val="21"/>
          <w:szCs w:val="21"/>
          <w:lang w:bidi="zh-TW"/>
        </w:rPr>
        <w:t>中的“</w:t>
      </w:r>
      <w:r>
        <w:rPr>
          <w:rFonts w:hint="eastAsia" w:ascii="宋体" w:hAnsi="宋体" w:eastAsia="宋体" w:cs="宋体"/>
          <w:b/>
          <w:bCs/>
          <w:sz w:val="21"/>
          <w:szCs w:val="21"/>
          <w:lang w:bidi="zh-TW"/>
        </w:rPr>
        <w:t>（二）工业。</w:t>
      </w:r>
      <w:r>
        <w:rPr>
          <w:rFonts w:hint="eastAsia" w:ascii="宋体" w:hAnsi="宋体" w:eastAsia="宋体" w:cs="宋体"/>
          <w:sz w:val="21"/>
          <w:szCs w:val="21"/>
          <w:lang w:bidi="zh-TW"/>
        </w:rPr>
        <w:t>从业人员1000人以下或营业收入40000万元以下的为中小微型企业。其中，从业人员300人及以上，且营业收入2000万元及以上的为</w:t>
      </w:r>
      <w:r>
        <w:rPr>
          <w:rFonts w:hint="eastAsia" w:ascii="宋体" w:hAnsi="宋体" w:eastAsia="宋体" w:cs="宋体"/>
          <w:b/>
          <w:bCs/>
          <w:sz w:val="21"/>
          <w:szCs w:val="21"/>
          <w:lang w:bidi="zh-TW"/>
        </w:rPr>
        <w:t>中型企业</w:t>
      </w:r>
      <w:r>
        <w:rPr>
          <w:rFonts w:hint="eastAsia" w:ascii="宋体" w:hAnsi="宋体" w:eastAsia="宋体" w:cs="宋体"/>
          <w:sz w:val="21"/>
          <w:szCs w:val="21"/>
          <w:lang w:bidi="zh-TW"/>
        </w:rPr>
        <w:t>；从业人员20人及以上，且营业收入300万元及以上的为</w:t>
      </w:r>
      <w:r>
        <w:rPr>
          <w:rFonts w:hint="eastAsia" w:ascii="宋体" w:hAnsi="宋体" w:eastAsia="宋体" w:cs="宋体"/>
          <w:b/>
          <w:bCs/>
          <w:sz w:val="21"/>
          <w:szCs w:val="21"/>
          <w:lang w:bidi="zh-TW"/>
        </w:rPr>
        <w:t>小型企业</w:t>
      </w:r>
      <w:r>
        <w:rPr>
          <w:rFonts w:hint="eastAsia" w:ascii="宋体" w:hAnsi="宋体" w:eastAsia="宋体" w:cs="宋体"/>
          <w:sz w:val="21"/>
          <w:szCs w:val="21"/>
          <w:lang w:bidi="zh-TW"/>
        </w:rPr>
        <w:t>；从业人员20人以下或营业收入300万元以下的为</w:t>
      </w:r>
      <w:r>
        <w:rPr>
          <w:rFonts w:hint="eastAsia" w:ascii="宋体" w:hAnsi="宋体" w:eastAsia="宋体" w:cs="宋体"/>
          <w:b/>
          <w:bCs/>
          <w:sz w:val="21"/>
          <w:szCs w:val="21"/>
          <w:lang w:bidi="zh-TW"/>
        </w:rPr>
        <w:t>微型企业</w:t>
      </w:r>
      <w:r>
        <w:rPr>
          <w:rFonts w:hint="eastAsia" w:ascii="宋体" w:hAnsi="宋体" w:eastAsia="宋体" w:cs="宋体"/>
          <w:sz w:val="21"/>
          <w:szCs w:val="21"/>
          <w:lang w:bidi="zh-TW"/>
        </w:rPr>
        <w:t>。”</w:t>
      </w:r>
      <w:r>
        <w:rPr>
          <w:rFonts w:hint="eastAsia" w:ascii="宋体" w:hAnsi="宋体" w:eastAsia="宋体" w:cs="宋体"/>
          <w:sz w:val="21"/>
          <w:szCs w:val="21"/>
          <w:lang w:val="zh-TW" w:eastAsia="zh-TW" w:bidi="zh-TW"/>
        </w:rPr>
        <w:t>确定；</w:t>
      </w:r>
    </w:p>
    <w:p w14:paraId="101119B1">
      <w:pPr>
        <w:widowControl/>
        <w:ind w:firstLine="420" w:firstLineChars="200"/>
        <w:jc w:val="left"/>
        <w:rPr>
          <w:rFonts w:hint="eastAsia" w:ascii="宋体" w:hAnsi="宋体" w:eastAsia="宋体" w:cs="宋体"/>
          <w:color w:val="000000"/>
          <w:kern w:val="0"/>
          <w:sz w:val="21"/>
          <w:szCs w:val="21"/>
          <w:lang w:val="zh-TW" w:eastAsia="zh-TW" w:bidi="ar"/>
        </w:rPr>
      </w:pPr>
      <w:r>
        <w:rPr>
          <w:rFonts w:hint="eastAsia" w:ascii="宋体" w:hAnsi="宋体" w:eastAsia="宋体" w:cs="宋体"/>
          <w:color w:val="000000"/>
          <w:kern w:val="0"/>
          <w:sz w:val="21"/>
          <w:szCs w:val="21"/>
          <w:lang w:val="zh-TW" w:eastAsia="zh-TW" w:bidi="ar"/>
        </w:rPr>
        <w:t>④</w:t>
      </w:r>
      <w:r>
        <w:rPr>
          <w:rFonts w:hint="eastAsia" w:ascii="宋体" w:hAnsi="宋体" w:eastAsia="宋体" w:cs="宋体"/>
          <w:color w:val="000000"/>
          <w:kern w:val="0"/>
          <w:sz w:val="21"/>
          <w:szCs w:val="21"/>
          <w:lang w:val="zh-TW" w:bidi="ar"/>
        </w:rPr>
        <w:t>供应商</w:t>
      </w:r>
      <w:r>
        <w:rPr>
          <w:rFonts w:hint="eastAsia" w:ascii="宋体" w:hAnsi="宋体" w:eastAsia="宋体" w:cs="宋体"/>
          <w:color w:val="000000"/>
          <w:kern w:val="0"/>
          <w:sz w:val="21"/>
          <w:szCs w:val="21"/>
          <w:lang w:val="zh-TW" w:eastAsia="zh-TW" w:bidi="ar"/>
        </w:rPr>
        <w:t>提供的《中小企业声明函》与实际情况不符的或者未按以上要求填写的，不享受中小企业扶持政策。声明内容不实的，属于提供虚假材料谋取中标、成交的，依法承担法律责任。</w:t>
      </w:r>
    </w:p>
    <w:p w14:paraId="7A4E55D8">
      <w:pPr>
        <w:widowControl/>
        <w:ind w:firstLine="420" w:firstLineChars="200"/>
        <w:jc w:val="left"/>
        <w:rPr>
          <w:sz w:val="21"/>
          <w:szCs w:val="21"/>
        </w:rPr>
      </w:pPr>
      <w:r>
        <w:rPr>
          <w:rFonts w:hint="eastAsia" w:ascii="宋体" w:hAnsi="宋体" w:eastAsia="宋体" w:cs="宋体"/>
          <w:color w:val="000000"/>
          <w:kern w:val="0"/>
          <w:sz w:val="21"/>
          <w:szCs w:val="21"/>
          <w:lang w:bidi="ar"/>
        </w:rPr>
        <w:t>⑤ 根据财库【2020】46号文件第四条：在政府采购活动中，供应商提供的货物、工程或者服务符合下列情形的，享受本办法规定的中小企业扶持政策：（一）在货物采购项目中，货物由中小企业制造，即货物由中小企业生产且使用该中小企业商号或者注册商标（</w:t>
      </w:r>
      <w:r>
        <w:rPr>
          <w:rFonts w:hint="eastAsia" w:ascii="宋体" w:hAnsi="宋体" w:eastAsia="宋体" w:cs="宋体"/>
          <w:b/>
          <w:bCs/>
          <w:color w:val="000000"/>
          <w:kern w:val="0"/>
          <w:sz w:val="21"/>
          <w:szCs w:val="21"/>
          <w:lang w:bidi="ar"/>
        </w:rPr>
        <w:t>即《中小企业申明函》中的所填制造商，不允许贴牌和代加工行为</w:t>
      </w:r>
      <w:r>
        <w:rPr>
          <w:rFonts w:hint="eastAsia" w:ascii="宋体" w:hAnsi="宋体" w:eastAsia="宋体" w:cs="宋体"/>
          <w:color w:val="000000"/>
          <w:kern w:val="0"/>
          <w:sz w:val="21"/>
          <w:szCs w:val="21"/>
          <w:lang w:bidi="ar"/>
        </w:rPr>
        <w:t xml:space="preserve">）；...... </w:t>
      </w:r>
    </w:p>
    <w:p w14:paraId="08B412B3">
      <w:pPr>
        <w:widowControl/>
        <w:ind w:firstLine="420" w:firstLineChars="200"/>
        <w:jc w:val="left"/>
        <w:rPr>
          <w:sz w:val="21"/>
          <w:szCs w:val="21"/>
        </w:rPr>
      </w:pPr>
      <w:r>
        <w:rPr>
          <w:rFonts w:hint="eastAsia" w:ascii="宋体" w:hAnsi="宋体" w:eastAsia="宋体" w:cs="宋体"/>
          <w:color w:val="000000"/>
          <w:kern w:val="0"/>
          <w:sz w:val="21"/>
          <w:szCs w:val="21"/>
          <w:lang w:bidi="ar"/>
        </w:rPr>
        <w:t xml:space="preserve">在货物采购项目中，供应商提供的货物既有中小企业制造货物，也有大型企业制造货物的，不 </w:t>
      </w:r>
    </w:p>
    <w:p w14:paraId="597193EA">
      <w:pPr>
        <w:widowControl/>
        <w:jc w:val="left"/>
        <w:rPr>
          <w:sz w:val="21"/>
          <w:szCs w:val="21"/>
        </w:rPr>
      </w:pPr>
      <w:r>
        <w:rPr>
          <w:rFonts w:hint="eastAsia" w:ascii="宋体" w:hAnsi="宋体" w:eastAsia="宋体" w:cs="宋体"/>
          <w:color w:val="000000"/>
          <w:kern w:val="0"/>
          <w:sz w:val="21"/>
          <w:szCs w:val="21"/>
          <w:lang w:bidi="ar"/>
        </w:rPr>
        <w:t xml:space="preserve">享受本办法规定的中小企业扶持政策。 </w:t>
      </w:r>
    </w:p>
    <w:p w14:paraId="55C4321E">
      <w:pPr>
        <w:widowControl/>
        <w:ind w:firstLine="420" w:firstLineChars="200"/>
        <w:jc w:val="left"/>
        <w:rPr>
          <w:sz w:val="21"/>
          <w:szCs w:val="21"/>
        </w:rPr>
      </w:pPr>
      <w:r>
        <w:rPr>
          <w:rFonts w:hint="eastAsia" w:ascii="宋体" w:hAnsi="宋体" w:eastAsia="宋体" w:cs="宋体"/>
          <w:color w:val="000000"/>
          <w:kern w:val="0"/>
          <w:sz w:val="21"/>
          <w:szCs w:val="21"/>
          <w:lang w:bidi="ar"/>
        </w:rPr>
        <w:t xml:space="preserve">以联合体形式参加政府采购活动，联合体各方均为中小企业的，联合体视同中小企业。其中， </w:t>
      </w:r>
    </w:p>
    <w:p w14:paraId="264E481A">
      <w:pPr>
        <w:widowControl/>
        <w:jc w:val="left"/>
        <w:rPr>
          <w:sz w:val="21"/>
          <w:szCs w:val="21"/>
        </w:rPr>
      </w:pPr>
      <w:r>
        <w:rPr>
          <w:rFonts w:hint="eastAsia" w:ascii="宋体" w:hAnsi="宋体" w:eastAsia="宋体" w:cs="宋体"/>
          <w:color w:val="000000"/>
          <w:kern w:val="0"/>
          <w:sz w:val="21"/>
          <w:szCs w:val="21"/>
          <w:lang w:bidi="ar"/>
        </w:rPr>
        <w:t>联合体各方均为小微企业的，联合体视同小微企业。</w:t>
      </w:r>
    </w:p>
    <w:p w14:paraId="5F41DB28">
      <w:pPr>
        <w:snapToGrid w:val="0"/>
        <w:spacing w:before="156" w:beforeLines="50" w:after="50" w:line="240" w:lineRule="auto"/>
        <w:rPr>
          <w:rFonts w:ascii="宋体" w:hAnsi="宋体" w:eastAsia="宋体" w:cs="宋体"/>
          <w:b/>
          <w:szCs w:val="24"/>
        </w:rPr>
      </w:pPr>
    </w:p>
    <w:p w14:paraId="055FC3A1">
      <w:pPr>
        <w:rPr>
          <w:rFonts w:ascii="宋体" w:hAnsi="宋体" w:eastAsia="宋体" w:cs="宋体"/>
          <w:b/>
          <w:szCs w:val="24"/>
        </w:rPr>
      </w:pPr>
      <w:r>
        <w:rPr>
          <w:rFonts w:hint="eastAsia" w:ascii="宋体" w:hAnsi="宋体" w:eastAsia="宋体" w:cs="宋体"/>
          <w:b/>
          <w:szCs w:val="24"/>
        </w:rPr>
        <w:br w:type="page"/>
      </w:r>
    </w:p>
    <w:p w14:paraId="21A05E58">
      <w:pPr>
        <w:snapToGrid w:val="0"/>
        <w:spacing w:before="156" w:beforeLines="50" w:after="50" w:line="240" w:lineRule="auto"/>
        <w:rPr>
          <w:rFonts w:ascii="宋体" w:hAnsi="宋体" w:eastAsia="宋体" w:cs="宋体"/>
          <w:b/>
          <w:szCs w:val="24"/>
        </w:rPr>
      </w:pPr>
      <w:r>
        <w:rPr>
          <w:rFonts w:hint="eastAsia" w:ascii="宋体" w:hAnsi="宋体" w:eastAsia="宋体" w:cs="宋体"/>
          <w:b/>
          <w:szCs w:val="24"/>
        </w:rPr>
        <w:t>残疾人福利性单位声明函格式：</w:t>
      </w:r>
    </w:p>
    <w:p w14:paraId="408ECE7C">
      <w:pPr>
        <w:spacing w:line="240" w:lineRule="auto"/>
        <w:jc w:val="center"/>
        <w:rPr>
          <w:rFonts w:ascii="宋体" w:hAnsi="宋体" w:eastAsia="宋体" w:cs="宋体"/>
          <w:b/>
          <w:bCs/>
          <w:sz w:val="30"/>
          <w:szCs w:val="30"/>
        </w:rPr>
      </w:pPr>
      <w:r>
        <w:rPr>
          <w:rFonts w:hint="eastAsia" w:ascii="宋体" w:hAnsi="宋体" w:eastAsia="宋体" w:cs="宋体"/>
          <w:b/>
          <w:bCs/>
          <w:sz w:val="30"/>
          <w:szCs w:val="30"/>
        </w:rPr>
        <w:t>残疾人福利性单位声明函（如是）</w:t>
      </w:r>
    </w:p>
    <w:p w14:paraId="2C08C4C9">
      <w:pPr>
        <w:widowControl/>
        <w:spacing w:before="100" w:beforeAutospacing="1" w:after="100" w:afterAutospacing="1" w:line="480" w:lineRule="auto"/>
        <w:ind w:firstLine="315" w:firstLineChars="150"/>
        <w:jc w:val="left"/>
        <w:rPr>
          <w:rFonts w:ascii="宋体" w:hAnsi="宋体" w:eastAsia="宋体" w:cs="宋体"/>
          <w:szCs w:val="24"/>
        </w:rPr>
      </w:pPr>
      <w:r>
        <w:rPr>
          <w:rFonts w:hint="eastAsia" w:ascii="宋体" w:hAnsi="宋体" w:eastAsia="宋体" w:cs="宋体"/>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Cs w:val="24"/>
          <w:u w:val="single"/>
        </w:rPr>
        <w:t xml:space="preserve">          </w:t>
      </w:r>
      <w:r>
        <w:rPr>
          <w:rFonts w:hint="eastAsia" w:ascii="宋体" w:hAnsi="宋体" w:eastAsia="宋体" w:cs="宋体"/>
          <w:szCs w:val="24"/>
        </w:rPr>
        <w:t xml:space="preserve">单位 </w:t>
      </w:r>
      <w:r>
        <w:rPr>
          <w:rFonts w:hint="eastAsia" w:ascii="宋体" w:hAnsi="宋体" w:eastAsia="宋体" w:cs="宋体"/>
          <w:szCs w:val="24"/>
          <w:u w:val="single"/>
        </w:rPr>
        <w:t xml:space="preserve"> 项目名称  </w:t>
      </w:r>
      <w:r>
        <w:rPr>
          <w:rFonts w:hint="eastAsia" w:ascii="宋体" w:hAnsi="宋体" w:eastAsia="宋体" w:cs="宋体"/>
          <w:szCs w:val="24"/>
        </w:rPr>
        <w:t>（项目编号    ）采购活动提供本单位制造的货物（由本单位承担工程/提供服务），或者提供其他残疾人福利性单位制造的货物（不包括使用非残疾人福利性单位注册商标的货物）。</w:t>
      </w:r>
    </w:p>
    <w:p w14:paraId="4B3CC757">
      <w:pPr>
        <w:widowControl/>
        <w:spacing w:before="100" w:beforeAutospacing="1" w:after="100" w:afterAutospacing="1" w:line="480" w:lineRule="auto"/>
        <w:ind w:firstLine="315" w:firstLineChars="150"/>
        <w:jc w:val="left"/>
        <w:rPr>
          <w:rFonts w:ascii="宋体" w:hAnsi="宋体" w:eastAsia="宋体" w:cs="宋体"/>
          <w:szCs w:val="24"/>
        </w:rPr>
      </w:pPr>
      <w:r>
        <w:rPr>
          <w:rFonts w:hint="eastAsia" w:ascii="宋体" w:hAnsi="宋体" w:eastAsia="宋体" w:cs="宋体"/>
          <w:szCs w:val="24"/>
        </w:rPr>
        <w:t>本单位对上述声明的真实性负责。如有虚假，将依法承担相应责任。</w:t>
      </w:r>
    </w:p>
    <w:p w14:paraId="52A91E72">
      <w:pPr>
        <w:widowControl/>
        <w:spacing w:before="100" w:beforeAutospacing="1" w:after="100" w:afterAutospacing="1" w:line="480" w:lineRule="auto"/>
        <w:ind w:firstLine="210" w:firstLineChars="100"/>
        <w:jc w:val="left"/>
        <w:rPr>
          <w:rFonts w:ascii="宋体" w:hAnsi="宋体" w:eastAsia="宋体" w:cs="宋体"/>
          <w:szCs w:val="24"/>
        </w:rPr>
      </w:pPr>
      <w:r>
        <w:rPr>
          <w:rFonts w:hint="eastAsia" w:ascii="宋体" w:hAnsi="宋体" w:eastAsia="宋体" w:cs="宋体"/>
          <w:szCs w:val="24"/>
        </w:rPr>
        <w:t xml:space="preserve">投标人名称（电子签章）： </w:t>
      </w:r>
    </w:p>
    <w:p w14:paraId="2A3336E3">
      <w:pPr>
        <w:adjustRightInd w:val="0"/>
        <w:spacing w:line="360" w:lineRule="auto"/>
        <w:jc w:val="left"/>
        <w:rPr>
          <w:rFonts w:ascii="宋体" w:hAnsi="宋体" w:eastAsia="宋体" w:cs="宋体"/>
          <w:snapToGrid w:val="0"/>
          <w:kern w:val="0"/>
          <w:szCs w:val="24"/>
        </w:rPr>
      </w:pPr>
      <w:r>
        <w:rPr>
          <w:rFonts w:hint="eastAsia" w:ascii="宋体" w:hAnsi="宋体" w:eastAsia="宋体" w:cs="宋体"/>
          <w:snapToGrid w:val="0"/>
          <w:kern w:val="0"/>
          <w:szCs w:val="24"/>
        </w:rPr>
        <w:t>日期：</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年</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月</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日</w:t>
      </w:r>
    </w:p>
    <w:p w14:paraId="4ECFB9AD">
      <w:pPr>
        <w:pStyle w:val="30"/>
        <w:spacing w:line="360" w:lineRule="auto"/>
        <w:rPr>
          <w:rFonts w:ascii="宋体" w:hAnsi="宋体" w:eastAsia="宋体" w:cs="宋体"/>
          <w:color w:val="auto"/>
        </w:rPr>
      </w:pPr>
    </w:p>
    <w:p w14:paraId="0750F608">
      <w:pPr>
        <w:widowControl/>
        <w:jc w:val="left"/>
        <w:rPr>
          <w:szCs w:val="24"/>
        </w:rPr>
      </w:pPr>
      <w:r>
        <w:rPr>
          <w:rFonts w:hint="eastAsia" w:ascii="宋体" w:hAnsi="宋体" w:eastAsia="宋体" w:cs="宋体"/>
          <w:b/>
          <w:bCs/>
          <w:color w:val="000000"/>
          <w:kern w:val="0"/>
          <w:szCs w:val="24"/>
          <w:lang w:bidi="ar"/>
        </w:rPr>
        <w:t>注：投标人为残疾人福利性单位时须满足财库[2017]141号文件第一条的规定同时提供“残疾人福利性单位声明函”。</w:t>
      </w:r>
    </w:p>
    <w:p w14:paraId="0728F32C">
      <w:pPr>
        <w:spacing w:line="360" w:lineRule="auto"/>
        <w:jc w:val="right"/>
        <w:rPr>
          <w:rFonts w:ascii="宋体" w:hAnsi="宋体" w:eastAsia="宋体" w:cs="宋体"/>
          <w:szCs w:val="24"/>
        </w:rPr>
      </w:pPr>
    </w:p>
    <w:p w14:paraId="1A69C349">
      <w:pPr>
        <w:spacing w:line="360" w:lineRule="auto"/>
        <w:jc w:val="left"/>
        <w:rPr>
          <w:rFonts w:ascii="宋体" w:hAnsi="宋体" w:eastAsia="宋体" w:cs="宋体"/>
          <w:b/>
          <w:bCs/>
          <w:spacing w:val="-4"/>
          <w:szCs w:val="24"/>
        </w:rPr>
      </w:pPr>
    </w:p>
    <w:p w14:paraId="1D5A5744">
      <w:pPr>
        <w:spacing w:line="360" w:lineRule="auto"/>
        <w:jc w:val="left"/>
        <w:rPr>
          <w:rFonts w:ascii="宋体" w:hAnsi="宋体" w:eastAsia="宋体" w:cs="宋体"/>
          <w:b/>
          <w:bCs/>
          <w:spacing w:val="-4"/>
          <w:szCs w:val="24"/>
        </w:rPr>
      </w:pPr>
    </w:p>
    <w:p w14:paraId="6DF8EB98">
      <w:pPr>
        <w:spacing w:line="360" w:lineRule="auto"/>
        <w:jc w:val="left"/>
        <w:rPr>
          <w:rFonts w:ascii="宋体" w:hAnsi="宋体" w:eastAsia="宋体" w:cs="宋体"/>
          <w:b/>
          <w:bCs/>
          <w:spacing w:val="-4"/>
          <w:szCs w:val="24"/>
        </w:rPr>
      </w:pPr>
    </w:p>
    <w:p w14:paraId="31DA9885">
      <w:pPr>
        <w:spacing w:line="240" w:lineRule="auto"/>
        <w:rPr>
          <w:rFonts w:hint="eastAsia" w:ascii="宋体" w:hAnsi="宋体" w:eastAsia="宋体" w:cs="宋体"/>
          <w:b/>
          <w:bCs/>
          <w:spacing w:val="-4"/>
          <w:szCs w:val="24"/>
        </w:rPr>
      </w:pPr>
    </w:p>
    <w:p w14:paraId="1F4E9767">
      <w:pPr>
        <w:spacing w:line="240" w:lineRule="auto"/>
        <w:rPr>
          <w:rFonts w:hint="eastAsia" w:ascii="宋体" w:hAnsi="宋体" w:eastAsia="宋体" w:cs="宋体"/>
          <w:b/>
          <w:bCs/>
          <w:spacing w:val="-4"/>
          <w:szCs w:val="24"/>
        </w:rPr>
      </w:pPr>
    </w:p>
    <w:p w14:paraId="261914F3">
      <w:pPr>
        <w:spacing w:line="240" w:lineRule="auto"/>
        <w:rPr>
          <w:rFonts w:hint="eastAsia" w:ascii="宋体" w:hAnsi="宋体" w:eastAsia="宋体" w:cs="宋体"/>
          <w:b/>
          <w:bCs/>
          <w:spacing w:val="-4"/>
          <w:szCs w:val="24"/>
        </w:rPr>
      </w:pPr>
    </w:p>
    <w:p w14:paraId="64905E6A">
      <w:pPr>
        <w:spacing w:line="240" w:lineRule="auto"/>
        <w:rPr>
          <w:rFonts w:hint="eastAsia" w:ascii="宋体" w:hAnsi="宋体" w:eastAsia="宋体" w:cs="宋体"/>
          <w:b/>
          <w:bCs/>
          <w:spacing w:val="-4"/>
          <w:szCs w:val="24"/>
        </w:rPr>
      </w:pPr>
    </w:p>
    <w:p w14:paraId="6724375E">
      <w:pPr>
        <w:spacing w:line="240" w:lineRule="auto"/>
        <w:rPr>
          <w:rFonts w:hint="eastAsia" w:ascii="宋体" w:hAnsi="宋体" w:eastAsia="宋体" w:cs="宋体"/>
          <w:b/>
          <w:bCs/>
          <w:spacing w:val="-4"/>
          <w:szCs w:val="24"/>
        </w:rPr>
      </w:pPr>
    </w:p>
    <w:p w14:paraId="4E91CAC3">
      <w:pPr>
        <w:spacing w:line="240" w:lineRule="auto"/>
        <w:rPr>
          <w:rFonts w:hint="eastAsia" w:ascii="宋体" w:hAnsi="宋体" w:eastAsia="宋体" w:cs="宋体"/>
          <w:b/>
          <w:bCs/>
          <w:spacing w:val="-4"/>
          <w:szCs w:val="24"/>
        </w:rPr>
      </w:pPr>
    </w:p>
    <w:p w14:paraId="3C25CADA">
      <w:pPr>
        <w:spacing w:line="240" w:lineRule="auto"/>
        <w:rPr>
          <w:rFonts w:hint="eastAsia" w:ascii="宋体" w:hAnsi="宋体" w:eastAsia="宋体" w:cs="宋体"/>
          <w:b/>
          <w:bCs/>
          <w:spacing w:val="-4"/>
          <w:szCs w:val="24"/>
        </w:rPr>
      </w:pPr>
    </w:p>
    <w:p w14:paraId="22145972">
      <w:pPr>
        <w:spacing w:line="240" w:lineRule="auto"/>
        <w:rPr>
          <w:rFonts w:hint="eastAsia" w:ascii="宋体" w:hAnsi="宋体" w:eastAsia="宋体" w:cs="宋体"/>
          <w:b/>
          <w:bCs/>
          <w:spacing w:val="-4"/>
          <w:szCs w:val="24"/>
        </w:rPr>
      </w:pPr>
    </w:p>
    <w:p w14:paraId="3FDE6588">
      <w:pPr>
        <w:spacing w:line="240" w:lineRule="auto"/>
        <w:rPr>
          <w:rFonts w:hint="eastAsia" w:ascii="宋体" w:hAnsi="宋体" w:eastAsia="宋体" w:cs="宋体"/>
          <w:b/>
          <w:bCs/>
          <w:spacing w:val="-4"/>
          <w:szCs w:val="24"/>
        </w:rPr>
      </w:pPr>
    </w:p>
    <w:p w14:paraId="5B87FD2E">
      <w:pPr>
        <w:spacing w:line="240" w:lineRule="auto"/>
        <w:rPr>
          <w:rFonts w:hint="eastAsia" w:ascii="宋体" w:hAnsi="宋体" w:eastAsia="宋体" w:cs="宋体"/>
          <w:b/>
          <w:bCs/>
          <w:spacing w:val="-4"/>
          <w:szCs w:val="24"/>
        </w:rPr>
      </w:pPr>
    </w:p>
    <w:p w14:paraId="218A09D1">
      <w:pPr>
        <w:spacing w:line="240" w:lineRule="auto"/>
        <w:rPr>
          <w:rFonts w:hint="eastAsia" w:ascii="宋体" w:hAnsi="宋体" w:eastAsia="宋体" w:cs="宋体"/>
          <w:b/>
          <w:bCs/>
          <w:spacing w:val="-4"/>
          <w:szCs w:val="24"/>
        </w:rPr>
      </w:pPr>
    </w:p>
    <w:p w14:paraId="4569032B">
      <w:pPr>
        <w:spacing w:line="240" w:lineRule="auto"/>
        <w:rPr>
          <w:rFonts w:hint="eastAsia" w:ascii="宋体" w:hAnsi="宋体" w:eastAsia="宋体" w:cs="宋体"/>
          <w:b/>
          <w:bCs/>
          <w:spacing w:val="-4"/>
          <w:szCs w:val="24"/>
        </w:rPr>
      </w:pPr>
    </w:p>
    <w:p w14:paraId="7A6AD1BF">
      <w:pPr>
        <w:spacing w:line="240" w:lineRule="auto"/>
        <w:rPr>
          <w:rFonts w:hint="eastAsia" w:ascii="宋体" w:hAnsi="宋体" w:eastAsia="宋体" w:cs="宋体"/>
          <w:b/>
          <w:bCs/>
          <w:spacing w:val="-4"/>
          <w:szCs w:val="24"/>
        </w:rPr>
      </w:pPr>
    </w:p>
    <w:p w14:paraId="052AB8B8">
      <w:pPr>
        <w:spacing w:line="240" w:lineRule="auto"/>
        <w:rPr>
          <w:rFonts w:hint="eastAsia" w:ascii="宋体" w:hAnsi="宋体" w:eastAsia="宋体" w:cs="宋体"/>
          <w:b/>
          <w:bCs/>
          <w:spacing w:val="-4"/>
          <w:szCs w:val="24"/>
        </w:rPr>
      </w:pPr>
    </w:p>
    <w:p w14:paraId="32DAA117">
      <w:pPr>
        <w:spacing w:line="240" w:lineRule="auto"/>
        <w:rPr>
          <w:rFonts w:ascii="宋体" w:hAnsi="宋体" w:eastAsia="宋体" w:cs="宋体"/>
          <w:szCs w:val="24"/>
        </w:rPr>
      </w:pPr>
      <w:r>
        <w:rPr>
          <w:rFonts w:hint="eastAsia" w:ascii="宋体" w:hAnsi="宋体" w:eastAsia="宋体" w:cs="宋体"/>
          <w:b/>
          <w:bCs/>
          <w:spacing w:val="-4"/>
          <w:szCs w:val="24"/>
        </w:rPr>
        <w:t>监狱企业声明文件：</w:t>
      </w:r>
    </w:p>
    <w:p w14:paraId="0E151C37">
      <w:pPr>
        <w:spacing w:line="360" w:lineRule="auto"/>
        <w:ind w:right="-58"/>
        <w:jc w:val="left"/>
        <w:rPr>
          <w:rFonts w:ascii="宋体" w:hAnsi="宋体" w:eastAsia="宋体" w:cs="宋体"/>
          <w:b/>
          <w:spacing w:val="20"/>
        </w:rPr>
      </w:pPr>
    </w:p>
    <w:p w14:paraId="53B46ED2">
      <w:pPr>
        <w:widowControl/>
        <w:jc w:val="left"/>
        <w:rPr>
          <w:rFonts w:hint="eastAsia" w:ascii="宋体" w:hAnsi="宋体" w:eastAsia="宋体" w:cs="宋体"/>
          <w:color w:val="000000"/>
          <w:kern w:val="0"/>
          <w:sz w:val="31"/>
          <w:szCs w:val="31"/>
          <w:lang w:bidi="ar"/>
        </w:rPr>
      </w:pPr>
    </w:p>
    <w:p w14:paraId="56528770">
      <w:pPr>
        <w:widowControl/>
        <w:jc w:val="left"/>
        <w:rPr>
          <w:rFonts w:hint="eastAsia" w:ascii="宋体" w:hAnsi="宋体" w:eastAsia="宋体" w:cs="宋体"/>
          <w:color w:val="000000"/>
          <w:kern w:val="0"/>
          <w:sz w:val="31"/>
          <w:szCs w:val="31"/>
          <w:lang w:bidi="ar"/>
        </w:rPr>
      </w:pPr>
    </w:p>
    <w:p w14:paraId="43B169A6">
      <w:pPr>
        <w:widowControl/>
        <w:jc w:val="center"/>
      </w:pPr>
      <w:r>
        <w:rPr>
          <w:rFonts w:hint="eastAsia" w:ascii="宋体" w:hAnsi="宋体" w:eastAsia="宋体" w:cs="宋体"/>
          <w:color w:val="000000"/>
          <w:kern w:val="0"/>
          <w:sz w:val="31"/>
          <w:szCs w:val="31"/>
          <w:lang w:bidi="ar"/>
        </w:rPr>
        <w:t>省级以上监狱管理局、戒毒管理局（含新疆生产建设兵团）出具</w:t>
      </w:r>
    </w:p>
    <w:p w14:paraId="1FA4ED7C">
      <w:pPr>
        <w:widowControl/>
        <w:jc w:val="center"/>
      </w:pPr>
      <w:r>
        <w:rPr>
          <w:rFonts w:hint="eastAsia" w:ascii="宋体" w:hAnsi="宋体" w:eastAsia="宋体" w:cs="宋体"/>
          <w:color w:val="000000"/>
          <w:kern w:val="0"/>
          <w:sz w:val="31"/>
          <w:szCs w:val="31"/>
          <w:lang w:bidi="ar"/>
        </w:rPr>
        <w:t>的属于监狱企业的证明文件（格式自拟）</w:t>
      </w:r>
    </w:p>
    <w:p w14:paraId="2DFB9DB6">
      <w:pPr>
        <w:autoSpaceDE w:val="0"/>
        <w:autoSpaceDN w:val="0"/>
        <w:adjustRightInd w:val="0"/>
        <w:spacing w:after="120" w:line="240" w:lineRule="auto"/>
        <w:ind w:left="420" w:leftChars="200" w:firstLine="560" w:firstLineChars="200"/>
        <w:textAlignment w:val="baseline"/>
        <w:rPr>
          <w:rFonts w:eastAsia="宋体"/>
          <w:color w:val="000000"/>
          <w:kern w:val="0"/>
          <w:sz w:val="28"/>
        </w:rPr>
      </w:pPr>
    </w:p>
    <w:p w14:paraId="506F885E">
      <w:pPr>
        <w:widowControl/>
        <w:spacing w:line="240" w:lineRule="auto"/>
        <w:jc w:val="left"/>
        <w:rPr>
          <w:rFonts w:ascii="宋体" w:hAnsi="宋体" w:eastAsia="宋体" w:cs="宋体"/>
          <w:b/>
          <w:bCs/>
          <w:color w:val="000000"/>
          <w:szCs w:val="24"/>
        </w:rPr>
      </w:pPr>
    </w:p>
    <w:p w14:paraId="46295687">
      <w:pPr>
        <w:widowControl/>
        <w:jc w:val="left"/>
      </w:pPr>
      <w:r>
        <w:rPr>
          <w:rFonts w:hint="eastAsia" w:ascii="宋体" w:hAnsi="宋体" w:eastAsia="宋体" w:cs="宋体"/>
          <w:b/>
          <w:bCs/>
          <w:color w:val="000000"/>
          <w:kern w:val="0"/>
          <w:sz w:val="28"/>
          <w:szCs w:val="28"/>
          <w:lang w:bidi="ar"/>
        </w:rPr>
        <w:t>注：投标人为属于监狱企业时需提供。</w:t>
      </w:r>
    </w:p>
    <w:p w14:paraId="7E1A65D6">
      <w:pPr>
        <w:pStyle w:val="2"/>
        <w:rPr>
          <w:rFonts w:ascii="宋体" w:hAnsi="宋体" w:eastAsia="宋体" w:cs="宋体"/>
          <w:b/>
          <w:bCs/>
          <w:color w:val="auto"/>
          <w:sz w:val="24"/>
          <w:szCs w:val="24"/>
          <w:highlight w:val="none"/>
        </w:rPr>
      </w:pPr>
      <w:r>
        <w:rPr>
          <w:rFonts w:hint="eastAsia" w:ascii="宋体" w:hAnsi="宋体" w:eastAsia="宋体" w:cs="宋体"/>
          <w:b/>
          <w:color w:val="000000"/>
          <w:sz w:val="28"/>
          <w:szCs w:val="28"/>
        </w:rPr>
        <w:br w:type="page"/>
      </w:r>
    </w:p>
    <w:p w14:paraId="44E609A2">
      <w:pPr>
        <w:widowControl/>
        <w:spacing w:line="240" w:lineRule="auto"/>
        <w:jc w:val="left"/>
        <w:rPr>
          <w:rFonts w:ascii="宋体" w:hAnsi="宋体" w:eastAsia="宋体" w:cs="宋体"/>
          <w:b/>
          <w:bCs/>
          <w:color w:val="auto"/>
          <w:sz w:val="24"/>
          <w:szCs w:val="24"/>
          <w:highlight w:val="none"/>
        </w:rPr>
      </w:pPr>
    </w:p>
    <w:p w14:paraId="480C6E9B">
      <w:pPr>
        <w:widowControl/>
        <w:spacing w:line="240" w:lineRule="auto"/>
        <w:jc w:val="left"/>
        <w:rPr>
          <w:rFonts w:ascii="宋体" w:hAnsi="宋体" w:eastAsia="宋体" w:cs="宋体"/>
          <w:b/>
          <w:bCs/>
          <w:color w:val="auto"/>
          <w:sz w:val="24"/>
          <w:szCs w:val="24"/>
          <w:highlight w:val="none"/>
        </w:rPr>
      </w:pPr>
    </w:p>
    <w:p w14:paraId="1FFC1996">
      <w:pPr>
        <w:spacing w:line="240" w:lineRule="auto"/>
        <w:outlineLvl w:val="1"/>
        <w:rPr>
          <w:rFonts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二、商务技术文件封面格式</w:t>
      </w:r>
    </w:p>
    <w:p w14:paraId="256E4AD6">
      <w:pPr>
        <w:spacing w:line="240" w:lineRule="auto"/>
        <w:rPr>
          <w:rFonts w:asciiTheme="minorEastAsia" w:hAnsiTheme="minorEastAsia" w:eastAsiaTheme="minorEastAsia" w:cstheme="minorEastAsia"/>
          <w:b/>
          <w:bCs/>
          <w:color w:val="auto"/>
          <w:sz w:val="40"/>
          <w:szCs w:val="40"/>
          <w:highlight w:val="none"/>
        </w:rPr>
      </w:pPr>
    </w:p>
    <w:p w14:paraId="1339C830">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 xml:space="preserve">浦江县城区幼儿园金狮湖幼儿园建设项目幼儿园玩具  </w:t>
      </w:r>
    </w:p>
    <w:p w14:paraId="2AC1A81D">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625B2FBC">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5F4318E9">
      <w:pPr>
        <w:spacing w:line="240" w:lineRule="auto"/>
        <w:jc w:val="center"/>
        <w:rPr>
          <w:rFonts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（商务技术文件）</w:t>
      </w:r>
    </w:p>
    <w:p w14:paraId="505BE2AE">
      <w:pPr>
        <w:spacing w:line="240" w:lineRule="auto"/>
        <w:ind w:firstLine="2811" w:firstLineChars="1000"/>
        <w:jc w:val="both"/>
        <w:rPr>
          <w:rFonts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p>
    <w:p w14:paraId="701420A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F36632A">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48725A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FBDAC3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A8403A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58D29D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338BB0F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111D27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法定代表人或授权代表(签字或盖章)： </w:t>
      </w:r>
      <w:r>
        <w:rPr>
          <w:rFonts w:asciiTheme="minorEastAsia" w:hAnsiTheme="minorEastAsia" w:eastAsiaTheme="minorEastAsia" w:cstheme="minorEastAsia"/>
          <w:b/>
          <w:color w:val="auto"/>
          <w:sz w:val="32"/>
          <w:szCs w:val="32"/>
          <w:highlight w:val="none"/>
          <w:u w:val="single"/>
        </w:rPr>
        <w:t xml:space="preserve">                  </w:t>
      </w:r>
    </w:p>
    <w:p w14:paraId="73C4296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F6C318F">
      <w:pPr>
        <w:autoSpaceDE w:val="0"/>
        <w:autoSpaceDN w:val="0"/>
        <w:adjustRightInd w:val="0"/>
        <w:spacing w:line="360" w:lineRule="auto"/>
        <w:jc w:val="center"/>
        <w:rPr>
          <w:rFonts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6C5660AB">
      <w:pPr>
        <w:tabs>
          <w:tab w:val="left" w:pos="720"/>
        </w:tabs>
        <w:adjustRightInd w:val="0"/>
        <w:snapToGrid w:val="0"/>
        <w:spacing w:line="360" w:lineRule="auto"/>
        <w:ind w:left="420"/>
        <w:jc w:val="center"/>
        <w:rPr>
          <w:rFonts w:ascii="宋体" w:hAnsi="宋体" w:eastAsia="宋体" w:cs="宋体"/>
          <w:b/>
          <w:snapToGrid w:val="0"/>
          <w:color w:val="auto"/>
          <w:kern w:val="0"/>
          <w:sz w:val="32"/>
          <w:szCs w:val="32"/>
          <w:highlight w:val="none"/>
        </w:rPr>
      </w:pPr>
    </w:p>
    <w:p w14:paraId="6D5698BE">
      <w:pPr>
        <w:tabs>
          <w:tab w:val="left" w:pos="720"/>
        </w:tabs>
        <w:adjustRightInd w:val="0"/>
        <w:snapToGrid w:val="0"/>
        <w:spacing w:line="360" w:lineRule="auto"/>
        <w:ind w:left="420"/>
        <w:jc w:val="center"/>
        <w:rPr>
          <w:rFonts w:ascii="宋体" w:hAnsi="宋体" w:eastAsia="宋体" w:cs="宋体"/>
          <w:b/>
          <w:snapToGrid w:val="0"/>
          <w:color w:val="auto"/>
          <w:kern w:val="0"/>
          <w:sz w:val="32"/>
          <w:szCs w:val="32"/>
          <w:highlight w:val="none"/>
        </w:rPr>
      </w:pPr>
    </w:p>
    <w:p w14:paraId="2A5686BF">
      <w:pPr>
        <w:tabs>
          <w:tab w:val="left" w:pos="720"/>
        </w:tabs>
        <w:adjustRightInd w:val="0"/>
        <w:snapToGrid w:val="0"/>
        <w:spacing w:line="360" w:lineRule="auto"/>
        <w:ind w:left="420"/>
        <w:jc w:val="center"/>
        <w:rPr>
          <w:rFonts w:ascii="宋体" w:hAnsi="宋体" w:eastAsia="宋体" w:cs="宋体"/>
          <w:b/>
          <w:snapToGrid w:val="0"/>
          <w:color w:val="auto"/>
          <w:kern w:val="0"/>
          <w:sz w:val="32"/>
          <w:szCs w:val="32"/>
          <w:highlight w:val="none"/>
        </w:rPr>
      </w:pPr>
    </w:p>
    <w:p w14:paraId="794DEF6F">
      <w:pPr>
        <w:tabs>
          <w:tab w:val="left" w:pos="720"/>
        </w:tabs>
        <w:adjustRightInd w:val="0"/>
        <w:snapToGrid w:val="0"/>
        <w:spacing w:line="360" w:lineRule="auto"/>
        <w:ind w:left="420"/>
        <w:jc w:val="center"/>
        <w:rPr>
          <w:rFonts w:ascii="宋体" w:hAnsi="宋体" w:eastAsia="宋体" w:cs="宋体"/>
          <w:color w:val="auto"/>
          <w:sz w:val="24"/>
          <w:szCs w:val="24"/>
          <w:highlight w:val="none"/>
        </w:rPr>
      </w:pPr>
      <w:r>
        <w:rPr>
          <w:rFonts w:ascii="宋体" w:hAnsi="宋体" w:eastAsia="宋体" w:cs="宋体"/>
          <w:b/>
          <w:snapToGrid w:val="0"/>
          <w:color w:val="auto"/>
          <w:kern w:val="0"/>
          <w:sz w:val="32"/>
          <w:szCs w:val="32"/>
          <w:highlight w:val="none"/>
        </w:rPr>
        <w:t>商务技术文件目录</w:t>
      </w:r>
    </w:p>
    <w:p w14:paraId="6D0518EA">
      <w:pPr>
        <w:spacing w:before="78" w:line="219" w:lineRule="auto"/>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1.投标人基本情况表（格式见附件）——————</w:t>
      </w:r>
      <w:r>
        <w:rPr>
          <w:rFonts w:ascii="宋体" w:hAnsi="宋体" w:eastAsia="宋体" w:cs="宋体"/>
          <w:color w:val="auto"/>
          <w:spacing w:val="-2"/>
          <w:sz w:val="24"/>
          <w:szCs w:val="24"/>
          <w:highlight w:val="none"/>
        </w:rPr>
        <w:t>—页码</w:t>
      </w:r>
    </w:p>
    <w:p w14:paraId="65612661">
      <w:pPr>
        <w:spacing w:before="183" w:line="219" w:lineRule="auto"/>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2.法定代表人资格说明书和法定代表人授权委托书</w:t>
      </w:r>
      <w:r>
        <w:rPr>
          <w:rFonts w:ascii="宋体" w:hAnsi="宋体" w:eastAsia="宋体" w:cs="宋体"/>
          <w:color w:val="auto"/>
          <w:spacing w:val="-1"/>
          <w:sz w:val="24"/>
          <w:szCs w:val="24"/>
          <w:highlight w:val="none"/>
        </w:rPr>
        <w:t>（格式见附件）—————页码</w:t>
      </w:r>
    </w:p>
    <w:p w14:paraId="5D0864A1">
      <w:pPr>
        <w:spacing w:before="183" w:line="219" w:lineRule="auto"/>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3.商务响应表（格式见附件）———————页码</w:t>
      </w:r>
    </w:p>
    <w:p w14:paraId="33E251A5">
      <w:pPr>
        <w:spacing w:before="183" w:line="219" w:lineRule="auto"/>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4.技术响应表（格式见附件）———————页码</w:t>
      </w:r>
    </w:p>
    <w:p w14:paraId="4B5F64A7">
      <w:pPr>
        <w:spacing w:before="183" w:line="219" w:lineRule="auto"/>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5.产品配置清单表（格式见附件）———————页码</w:t>
      </w:r>
    </w:p>
    <w:p w14:paraId="3A7229EC">
      <w:pPr>
        <w:spacing w:before="183" w:line="219" w:lineRule="auto"/>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6.商务技术分自评表（格式见附件）———————页码</w:t>
      </w:r>
    </w:p>
    <w:p w14:paraId="5AD4B2CE">
      <w:pPr>
        <w:spacing w:line="360" w:lineRule="auto"/>
        <w:ind w:firstLine="420" w:firstLineChars="175"/>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ascii="宋体" w:hAnsi="宋体" w:eastAsia="宋体" w:cs="宋体"/>
          <w:color w:val="auto"/>
          <w:sz w:val="24"/>
          <w:szCs w:val="22"/>
          <w:highlight w:val="none"/>
        </w:rPr>
        <w:t>.1企业</w:t>
      </w:r>
      <w:r>
        <w:rPr>
          <w:rFonts w:hint="eastAsia" w:ascii="宋体" w:hAnsi="宋体" w:eastAsia="宋体" w:cs="宋体"/>
          <w:color w:val="auto"/>
          <w:sz w:val="24"/>
          <w:szCs w:val="22"/>
          <w:highlight w:val="none"/>
          <w:lang w:val="en-US" w:eastAsia="zh-CN"/>
        </w:rPr>
        <w:t>资信</w:t>
      </w:r>
      <w:r>
        <w:rPr>
          <w:rFonts w:ascii="宋体" w:hAnsi="宋体" w:eastAsia="宋体" w:cs="宋体"/>
          <w:color w:val="auto"/>
          <w:sz w:val="24"/>
          <w:szCs w:val="22"/>
          <w:highlight w:val="none"/>
        </w:rPr>
        <w:t>———————页码</w:t>
      </w:r>
    </w:p>
    <w:p w14:paraId="2CDC7722">
      <w:pPr>
        <w:spacing w:line="360" w:lineRule="auto"/>
        <w:ind w:firstLine="420" w:firstLineChars="175"/>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ascii="宋体" w:hAnsi="宋体" w:eastAsia="宋体" w:cs="宋体"/>
          <w:color w:val="auto"/>
          <w:sz w:val="24"/>
          <w:szCs w:val="22"/>
          <w:highlight w:val="none"/>
        </w:rPr>
        <w:t>.2业绩———————页码</w:t>
      </w:r>
    </w:p>
    <w:p w14:paraId="717DB49F">
      <w:pPr>
        <w:spacing w:line="360" w:lineRule="auto"/>
        <w:ind w:firstLine="480" w:firstLineChars="200"/>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6.3</w:t>
      </w:r>
      <w:bookmarkStart w:id="25" w:name="OLE_LINK22"/>
      <w:r>
        <w:rPr>
          <w:rFonts w:hint="eastAsia" w:ascii="宋体" w:hAnsi="宋体" w:eastAsia="宋体" w:cs="宋体"/>
          <w:bCs/>
          <w:color w:val="auto"/>
          <w:sz w:val="24"/>
          <w:highlight w:val="none"/>
          <w:lang w:eastAsia="zh-CN"/>
        </w:rPr>
        <w:t>中国环境标志产品</w:t>
      </w:r>
      <w:r>
        <w:rPr>
          <w:rFonts w:ascii="宋体" w:hAnsi="宋体" w:eastAsia="宋体" w:cs="宋体"/>
          <w:color w:val="auto"/>
          <w:sz w:val="24"/>
          <w:szCs w:val="22"/>
          <w:highlight w:val="none"/>
        </w:rPr>
        <w:t>———————页码</w:t>
      </w:r>
      <w:bookmarkEnd w:id="25"/>
    </w:p>
    <w:p w14:paraId="21AF10C2">
      <w:pPr>
        <w:spacing w:line="360" w:lineRule="auto"/>
        <w:ind w:firstLine="420" w:firstLineChars="175"/>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6.4</w:t>
      </w:r>
      <w:r>
        <w:rPr>
          <w:rFonts w:hint="eastAsia" w:ascii="宋体" w:hAnsi="宋体" w:eastAsia="宋体" w:cs="宋体"/>
          <w:bCs/>
          <w:color w:val="auto"/>
          <w:sz w:val="24"/>
          <w:highlight w:val="none"/>
          <w:lang w:val="en-US" w:eastAsia="zh-CN"/>
        </w:rPr>
        <w:t>投标货物的性能及技术指标</w:t>
      </w:r>
      <w:r>
        <w:rPr>
          <w:rFonts w:ascii="宋体" w:hAnsi="宋体" w:eastAsia="宋体" w:cs="宋体"/>
          <w:color w:val="auto"/>
          <w:sz w:val="24"/>
          <w:szCs w:val="22"/>
          <w:highlight w:val="none"/>
        </w:rPr>
        <w:t>———————页码</w:t>
      </w:r>
    </w:p>
    <w:p w14:paraId="542299D9">
      <w:pPr>
        <w:spacing w:line="360" w:lineRule="auto"/>
        <w:ind w:firstLine="420" w:firstLineChars="175"/>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6.5</w:t>
      </w:r>
      <w:r>
        <w:rPr>
          <w:rFonts w:hint="eastAsia" w:ascii="宋体" w:hAnsi="宋体" w:eastAsia="宋体" w:cs="宋体"/>
          <w:bCs/>
          <w:color w:val="auto"/>
          <w:sz w:val="24"/>
          <w:highlight w:val="none"/>
          <w:lang w:val="en-US" w:eastAsia="zh-CN"/>
        </w:rPr>
        <w:t>实施方案和质量保障方案</w:t>
      </w:r>
      <w:r>
        <w:rPr>
          <w:rFonts w:ascii="宋体" w:hAnsi="宋体" w:eastAsia="宋体" w:cs="宋体"/>
          <w:color w:val="auto"/>
          <w:sz w:val="24"/>
          <w:szCs w:val="22"/>
          <w:highlight w:val="none"/>
        </w:rPr>
        <w:t>———————页码</w:t>
      </w:r>
    </w:p>
    <w:p w14:paraId="4E74FC96">
      <w:pPr>
        <w:spacing w:line="360" w:lineRule="auto"/>
        <w:ind w:firstLine="420" w:firstLineChars="175"/>
        <w:rPr>
          <w:rFonts w:ascii="宋体" w:hAnsi="宋体" w:eastAsia="宋体" w:cs="宋体"/>
          <w:color w:val="auto"/>
          <w:sz w:val="24"/>
          <w:szCs w:val="22"/>
          <w:highlight w:val="none"/>
        </w:rPr>
      </w:pPr>
      <w:bookmarkStart w:id="26" w:name="OLE_LINK21"/>
      <w:r>
        <w:rPr>
          <w:rFonts w:hint="eastAsia" w:ascii="宋体" w:hAnsi="宋体" w:eastAsia="宋体" w:cs="宋体"/>
          <w:color w:val="auto"/>
          <w:sz w:val="24"/>
          <w:szCs w:val="22"/>
          <w:highlight w:val="none"/>
          <w:lang w:val="en-US" w:eastAsia="zh-CN"/>
        </w:rPr>
        <w:t>6.6</w:t>
      </w:r>
      <w:r>
        <w:rPr>
          <w:rFonts w:hint="eastAsia" w:ascii="宋体" w:hAnsi="宋体" w:eastAsia="宋体" w:cs="宋体"/>
          <w:bCs/>
          <w:color w:val="auto"/>
          <w:sz w:val="24"/>
          <w:highlight w:val="none"/>
          <w:lang w:val="en-US" w:eastAsia="zh-CN"/>
        </w:rPr>
        <w:t>现场深化设计方案</w:t>
      </w:r>
      <w:r>
        <w:rPr>
          <w:rFonts w:ascii="宋体" w:hAnsi="宋体" w:eastAsia="宋体" w:cs="宋体"/>
          <w:color w:val="auto"/>
          <w:sz w:val="24"/>
          <w:szCs w:val="22"/>
          <w:highlight w:val="none"/>
        </w:rPr>
        <w:t>———————页码</w:t>
      </w:r>
    </w:p>
    <w:bookmarkEnd w:id="26"/>
    <w:p w14:paraId="790AEFC3">
      <w:pPr>
        <w:spacing w:line="360" w:lineRule="auto"/>
        <w:ind w:firstLine="420" w:firstLineChars="175"/>
        <w:rPr>
          <w:rFonts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6.7</w:t>
      </w:r>
      <w:r>
        <w:rPr>
          <w:rFonts w:hint="eastAsia" w:ascii="宋体" w:hAnsi="宋体" w:eastAsia="宋体" w:cs="宋体"/>
          <w:bCs/>
          <w:color w:val="auto"/>
          <w:sz w:val="24"/>
          <w:highlight w:val="none"/>
          <w:lang w:eastAsia="zh-CN"/>
        </w:rPr>
        <w:t>培训方案</w:t>
      </w:r>
      <w:r>
        <w:rPr>
          <w:rFonts w:ascii="宋体" w:hAnsi="宋体" w:eastAsia="宋体" w:cs="宋体"/>
          <w:color w:val="auto"/>
          <w:sz w:val="24"/>
          <w:szCs w:val="22"/>
          <w:highlight w:val="none"/>
        </w:rPr>
        <w:t>———————页码</w:t>
      </w:r>
    </w:p>
    <w:p w14:paraId="3284520A">
      <w:pPr>
        <w:tabs>
          <w:tab w:val="left" w:pos="912"/>
        </w:tabs>
        <w:spacing w:line="360" w:lineRule="auto"/>
        <w:ind w:firstLine="420" w:firstLineChars="175"/>
        <w:rPr>
          <w:rFonts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6.8</w:t>
      </w:r>
      <w:r>
        <w:rPr>
          <w:rFonts w:hint="eastAsia" w:ascii="宋体" w:hAnsi="宋体" w:eastAsia="宋体" w:cs="宋体"/>
          <w:bCs/>
          <w:color w:val="auto"/>
          <w:sz w:val="24"/>
          <w:highlight w:val="none"/>
          <w:lang w:val="en-US" w:eastAsia="zh-CN"/>
        </w:rPr>
        <w:t>售后服务方案</w:t>
      </w:r>
      <w:r>
        <w:rPr>
          <w:rFonts w:ascii="宋体" w:hAnsi="宋体" w:eastAsia="宋体" w:cs="宋体"/>
          <w:color w:val="auto"/>
          <w:sz w:val="24"/>
          <w:szCs w:val="22"/>
          <w:highlight w:val="none"/>
        </w:rPr>
        <w:t>———————页码</w:t>
      </w:r>
    </w:p>
    <w:p w14:paraId="3B198EE2">
      <w:pPr>
        <w:tabs>
          <w:tab w:val="left" w:pos="912"/>
        </w:tabs>
        <w:spacing w:line="360" w:lineRule="auto"/>
        <w:ind w:firstLine="420" w:firstLineChars="175"/>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6.9政策分</w:t>
      </w:r>
      <w:r>
        <w:rPr>
          <w:rFonts w:ascii="宋体" w:hAnsi="宋体" w:eastAsia="宋体" w:cs="宋体"/>
          <w:color w:val="auto"/>
          <w:sz w:val="24"/>
          <w:szCs w:val="22"/>
          <w:highlight w:val="none"/>
        </w:rPr>
        <w:t>———————页码</w:t>
      </w:r>
    </w:p>
    <w:p w14:paraId="339D13E9">
      <w:pPr>
        <w:spacing w:line="360" w:lineRule="auto"/>
        <w:rPr>
          <w:rFonts w:ascii="宋体" w:hAnsi="宋体" w:eastAsia="宋体" w:cs="宋体"/>
          <w:color w:val="auto"/>
          <w:sz w:val="24"/>
          <w:szCs w:val="32"/>
          <w:highlight w:val="none"/>
        </w:rPr>
      </w:pPr>
      <w:r>
        <w:rPr>
          <w:rFonts w:hint="eastAsia" w:ascii="宋体" w:hAnsi="宋体" w:eastAsia="宋体" w:cs="宋体"/>
          <w:color w:val="auto"/>
          <w:sz w:val="24"/>
          <w:szCs w:val="22"/>
          <w:highlight w:val="none"/>
          <w:lang w:val="en-US" w:eastAsia="zh-CN"/>
        </w:rPr>
        <w:t>7</w:t>
      </w:r>
      <w:r>
        <w:rPr>
          <w:rFonts w:ascii="宋体" w:hAnsi="宋体" w:eastAsia="宋体" w:cs="宋体"/>
          <w:color w:val="auto"/>
          <w:sz w:val="24"/>
          <w:szCs w:val="22"/>
          <w:highlight w:val="none"/>
        </w:rPr>
        <w:t>.投标人需要说明的其他资料（对照相应项</w:t>
      </w:r>
      <w:r>
        <w:rPr>
          <w:rFonts w:ascii="宋体" w:hAnsi="宋体" w:eastAsia="宋体" w:cs="宋体"/>
          <w:color w:val="auto"/>
          <w:sz w:val="24"/>
          <w:szCs w:val="32"/>
          <w:highlight w:val="none"/>
        </w:rPr>
        <w:t>目评分标准，由投标人自行考虑）———————页码。</w:t>
      </w:r>
    </w:p>
    <w:p w14:paraId="2C11A617">
      <w:pPr>
        <w:spacing w:line="440" w:lineRule="exact"/>
        <w:rPr>
          <w:rFonts w:ascii="宋体" w:hAnsi="宋体" w:eastAsia="宋体" w:cs="宋体"/>
          <w:b/>
          <w:color w:val="auto"/>
          <w:sz w:val="24"/>
          <w:szCs w:val="24"/>
          <w:highlight w:val="none"/>
        </w:rPr>
      </w:pPr>
      <w:r>
        <w:rPr>
          <w:rFonts w:ascii="宋体" w:hAnsi="宋体" w:eastAsia="宋体" w:cs="宋体"/>
          <w:b/>
          <w:color w:val="auto"/>
          <w:sz w:val="24"/>
          <w:szCs w:val="24"/>
          <w:highlight w:val="none"/>
        </w:rPr>
        <w:t>注：1.投标人根据商务技术分评分细则附“商务技术分自评表”【格式见附件】</w:t>
      </w:r>
    </w:p>
    <w:p w14:paraId="3C1D8F08">
      <w:pPr>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2.商务技术文件的文字部分及其他未提供格式部分由各投标人根据采购文件要求、评分标准要求自行设置。</w:t>
      </w:r>
    </w:p>
    <w:p w14:paraId="5504F51B">
      <w:pPr>
        <w:spacing w:line="440" w:lineRule="exact"/>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3.投标人应确保资料的真实、有效，一经查实存在弄虚作假行为的，作否决投标处理，同时对其不良行为予以记录，并纳入统一的信用信息平台。 </w:t>
      </w:r>
    </w:p>
    <w:p w14:paraId="3A3BE66C">
      <w:pPr>
        <w:snapToGrid w:val="0"/>
        <w:spacing w:line="440" w:lineRule="exact"/>
        <w:rPr>
          <w:rFonts w:ascii="宋体" w:hAnsi="宋体" w:eastAsia="宋体" w:cs="宋体"/>
          <w:color w:val="auto"/>
          <w:sz w:val="24"/>
          <w:szCs w:val="24"/>
          <w:highlight w:val="none"/>
        </w:rPr>
      </w:pPr>
      <w:r>
        <w:rPr>
          <w:rFonts w:ascii="宋体" w:hAnsi="宋体" w:eastAsia="宋体" w:cs="宋体"/>
          <w:b/>
          <w:color w:val="auto"/>
          <w:sz w:val="24"/>
          <w:szCs w:val="24"/>
          <w:highlight w:val="none"/>
        </w:rPr>
        <w:t xml:space="preserve">   </w:t>
      </w:r>
      <w:r>
        <w:rPr>
          <w:rFonts w:ascii="宋体" w:hAnsi="宋体" w:eastAsia="宋体" w:cs="宋体"/>
          <w:b/>
          <w:color w:val="auto"/>
          <w:sz w:val="24"/>
          <w:szCs w:val="24"/>
          <w:highlight w:val="none"/>
        </w:rPr>
        <w:sym w:font="Wingdings 2" w:char="00A3"/>
      </w:r>
      <w:r>
        <w:rPr>
          <w:rFonts w:ascii="宋体" w:hAnsi="宋体" w:eastAsia="宋体" w:cs="宋体"/>
          <w:b/>
          <w:color w:val="auto"/>
          <w:sz w:val="24"/>
          <w:szCs w:val="24"/>
          <w:highlight w:val="none"/>
        </w:rPr>
        <w:t>4.组成联合体参与投标的，牵头人或联合体成员单位具备相应资信或业绩条件的，均予以计分。</w:t>
      </w:r>
    </w:p>
    <w:p w14:paraId="2703A05E">
      <w:pPr>
        <w:snapToGrid w:val="0"/>
        <w:spacing w:before="50" w:after="156" w:afterLines="50" w:line="360" w:lineRule="auto"/>
        <w:jc w:val="left"/>
        <w:rPr>
          <w:rFonts w:ascii="宋体" w:hAnsi="宋体" w:eastAsia="宋体" w:cs="宋体"/>
          <w:b/>
          <w:color w:val="auto"/>
          <w:sz w:val="24"/>
          <w:szCs w:val="24"/>
          <w:highlight w:val="none"/>
        </w:rPr>
      </w:pPr>
      <w:bookmarkStart w:id="27" w:name="_Toc110393361"/>
      <w:bookmarkStart w:id="28" w:name="_Toc483379796"/>
      <w:bookmarkStart w:id="29" w:name="_Toc488936100"/>
      <w:bookmarkStart w:id="30" w:name="_Toc225223761"/>
      <w:bookmarkStart w:id="31" w:name="_Toc479927873"/>
      <w:bookmarkStart w:id="32" w:name="_Toc14746861"/>
      <w:r>
        <w:rPr>
          <w:rFonts w:ascii="宋体" w:hAnsi="宋体" w:eastAsia="宋体" w:cs="宋体"/>
          <w:b/>
          <w:color w:val="auto"/>
          <w:sz w:val="24"/>
          <w:szCs w:val="24"/>
          <w:highlight w:val="none"/>
        </w:rPr>
        <w:br w:type="page"/>
      </w:r>
      <w:r>
        <w:rPr>
          <w:rFonts w:ascii="宋体" w:hAnsi="宋体" w:eastAsia="宋体" w:cs="宋体"/>
          <w:b/>
          <w:color w:val="auto"/>
          <w:sz w:val="24"/>
          <w:szCs w:val="24"/>
          <w:highlight w:val="none"/>
        </w:rPr>
        <w:t>1.投标人基本情况表格式：</w:t>
      </w:r>
    </w:p>
    <w:p w14:paraId="512BF589">
      <w:pPr>
        <w:snapToGrid w:val="0"/>
        <w:spacing w:before="156" w:beforeLines="50" w:after="50" w:line="240" w:lineRule="auto"/>
        <w:jc w:val="center"/>
        <w:rPr>
          <w:rFonts w:ascii="宋体" w:hAnsi="宋体" w:eastAsia="宋体" w:cs="宋体"/>
          <w:b/>
          <w:bCs/>
          <w:color w:val="auto"/>
          <w:sz w:val="30"/>
          <w:szCs w:val="24"/>
          <w:highlight w:val="none"/>
        </w:rPr>
      </w:pPr>
      <w:r>
        <w:rPr>
          <w:rFonts w:ascii="宋体" w:hAnsi="宋体" w:eastAsia="宋体" w:cs="宋体"/>
          <w:b/>
          <w:bCs/>
          <w:color w:val="auto"/>
          <w:sz w:val="30"/>
          <w:szCs w:val="24"/>
          <w:highlight w:val="none"/>
        </w:rPr>
        <w:t>投标人基本情况表</w:t>
      </w:r>
      <w:bookmarkEnd w:id="27"/>
      <w:bookmarkEnd w:id="28"/>
      <w:bookmarkEnd w:id="29"/>
      <w:bookmarkEnd w:id="30"/>
      <w:bookmarkEnd w:id="31"/>
      <w:bookmarkEnd w:id="32"/>
    </w:p>
    <w:tbl>
      <w:tblPr>
        <w:tblStyle w:val="20"/>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24D8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E777C3D">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单位名称</w:t>
            </w:r>
          </w:p>
        </w:tc>
        <w:tc>
          <w:tcPr>
            <w:tcW w:w="2763" w:type="dxa"/>
            <w:gridSpan w:val="3"/>
            <w:vAlign w:val="center"/>
          </w:tcPr>
          <w:p w14:paraId="68E5E01D">
            <w:pPr>
              <w:spacing w:line="360" w:lineRule="auto"/>
              <w:jc w:val="center"/>
              <w:rPr>
                <w:rFonts w:ascii="宋体" w:hAnsi="宋体" w:eastAsia="宋体" w:cs="宋体"/>
                <w:color w:val="auto"/>
                <w:sz w:val="24"/>
                <w:szCs w:val="24"/>
                <w:highlight w:val="none"/>
              </w:rPr>
            </w:pPr>
          </w:p>
        </w:tc>
        <w:tc>
          <w:tcPr>
            <w:tcW w:w="2368" w:type="dxa"/>
            <w:vAlign w:val="center"/>
          </w:tcPr>
          <w:p w14:paraId="55D39BF7">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组织机构代码</w:t>
            </w:r>
          </w:p>
        </w:tc>
        <w:tc>
          <w:tcPr>
            <w:tcW w:w="2322" w:type="dxa"/>
            <w:vAlign w:val="center"/>
          </w:tcPr>
          <w:p w14:paraId="32132DFF">
            <w:pPr>
              <w:spacing w:line="360" w:lineRule="auto"/>
              <w:jc w:val="center"/>
              <w:rPr>
                <w:rFonts w:ascii="宋体" w:hAnsi="宋体" w:eastAsia="宋体" w:cs="宋体"/>
                <w:color w:val="auto"/>
                <w:sz w:val="24"/>
                <w:szCs w:val="24"/>
                <w:highlight w:val="none"/>
              </w:rPr>
            </w:pPr>
          </w:p>
        </w:tc>
      </w:tr>
      <w:tr w14:paraId="464D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F2316F">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注册地址</w:t>
            </w:r>
          </w:p>
        </w:tc>
        <w:tc>
          <w:tcPr>
            <w:tcW w:w="2763" w:type="dxa"/>
            <w:gridSpan w:val="3"/>
            <w:vAlign w:val="center"/>
          </w:tcPr>
          <w:p w14:paraId="1E5F1E4F">
            <w:pPr>
              <w:spacing w:line="360" w:lineRule="auto"/>
              <w:jc w:val="center"/>
              <w:rPr>
                <w:rFonts w:ascii="宋体" w:hAnsi="宋体" w:eastAsia="宋体" w:cs="宋体"/>
                <w:color w:val="auto"/>
                <w:sz w:val="24"/>
                <w:szCs w:val="24"/>
                <w:highlight w:val="none"/>
              </w:rPr>
            </w:pPr>
          </w:p>
        </w:tc>
        <w:tc>
          <w:tcPr>
            <w:tcW w:w="2368" w:type="dxa"/>
            <w:vAlign w:val="center"/>
          </w:tcPr>
          <w:p w14:paraId="421A6BE7">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注册登记号</w:t>
            </w:r>
          </w:p>
        </w:tc>
        <w:tc>
          <w:tcPr>
            <w:tcW w:w="2322" w:type="dxa"/>
            <w:vAlign w:val="center"/>
          </w:tcPr>
          <w:p w14:paraId="0AAA6765">
            <w:pPr>
              <w:spacing w:line="360" w:lineRule="auto"/>
              <w:jc w:val="center"/>
              <w:rPr>
                <w:rFonts w:ascii="宋体" w:hAnsi="宋体" w:eastAsia="宋体" w:cs="宋体"/>
                <w:color w:val="auto"/>
                <w:sz w:val="24"/>
                <w:szCs w:val="24"/>
                <w:highlight w:val="none"/>
              </w:rPr>
            </w:pPr>
          </w:p>
        </w:tc>
      </w:tr>
      <w:tr w14:paraId="03BB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D6DB8EC">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经营地址</w:t>
            </w:r>
          </w:p>
        </w:tc>
        <w:tc>
          <w:tcPr>
            <w:tcW w:w="2763" w:type="dxa"/>
            <w:gridSpan w:val="3"/>
            <w:vAlign w:val="center"/>
          </w:tcPr>
          <w:p w14:paraId="155C0A68">
            <w:pPr>
              <w:spacing w:line="360" w:lineRule="auto"/>
              <w:jc w:val="center"/>
              <w:rPr>
                <w:rFonts w:ascii="宋体" w:hAnsi="宋体" w:eastAsia="宋体" w:cs="宋体"/>
                <w:color w:val="auto"/>
                <w:sz w:val="24"/>
                <w:szCs w:val="24"/>
                <w:highlight w:val="none"/>
              </w:rPr>
            </w:pPr>
          </w:p>
        </w:tc>
        <w:tc>
          <w:tcPr>
            <w:tcW w:w="2368" w:type="dxa"/>
            <w:vAlign w:val="center"/>
          </w:tcPr>
          <w:p w14:paraId="0707F500">
            <w:pPr>
              <w:spacing w:line="360" w:lineRule="auto"/>
              <w:jc w:val="center"/>
              <w:rPr>
                <w:rFonts w:ascii="宋体" w:hAnsi="宋体" w:eastAsia="宋体" w:cs="宋体"/>
                <w:color w:val="auto"/>
                <w:spacing w:val="30"/>
                <w:sz w:val="24"/>
                <w:szCs w:val="24"/>
                <w:highlight w:val="none"/>
              </w:rPr>
            </w:pPr>
            <w:r>
              <w:rPr>
                <w:rFonts w:ascii="宋体" w:hAnsi="宋体" w:eastAsia="宋体" w:cs="宋体"/>
                <w:color w:val="auto"/>
                <w:sz w:val="24"/>
                <w:szCs w:val="24"/>
                <w:highlight w:val="none"/>
              </w:rPr>
              <w:t>税务登记证号</w:t>
            </w:r>
          </w:p>
        </w:tc>
        <w:tc>
          <w:tcPr>
            <w:tcW w:w="2322" w:type="dxa"/>
            <w:vAlign w:val="center"/>
          </w:tcPr>
          <w:p w14:paraId="574EC3D6">
            <w:pPr>
              <w:spacing w:line="360" w:lineRule="auto"/>
              <w:jc w:val="center"/>
              <w:rPr>
                <w:rFonts w:ascii="宋体" w:hAnsi="宋体" w:eastAsia="宋体" w:cs="宋体"/>
                <w:color w:val="auto"/>
                <w:sz w:val="24"/>
                <w:szCs w:val="24"/>
                <w:highlight w:val="none"/>
              </w:rPr>
            </w:pPr>
          </w:p>
        </w:tc>
      </w:tr>
      <w:tr w14:paraId="3025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5471E3F">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单位性质</w:t>
            </w:r>
          </w:p>
        </w:tc>
        <w:tc>
          <w:tcPr>
            <w:tcW w:w="2763" w:type="dxa"/>
            <w:gridSpan w:val="3"/>
            <w:vAlign w:val="center"/>
          </w:tcPr>
          <w:p w14:paraId="24604B8D">
            <w:pPr>
              <w:spacing w:line="360" w:lineRule="auto"/>
              <w:ind w:left="2160" w:hanging="480"/>
              <w:jc w:val="center"/>
              <w:rPr>
                <w:rFonts w:ascii="宋体" w:hAnsi="宋体" w:eastAsia="宋体" w:cs="宋体"/>
                <w:color w:val="auto"/>
                <w:sz w:val="24"/>
                <w:szCs w:val="24"/>
                <w:highlight w:val="none"/>
              </w:rPr>
            </w:pPr>
          </w:p>
        </w:tc>
        <w:tc>
          <w:tcPr>
            <w:tcW w:w="2368" w:type="dxa"/>
            <w:vAlign w:val="center"/>
          </w:tcPr>
          <w:p w14:paraId="1D3F32F2">
            <w:pPr>
              <w:spacing w:line="360" w:lineRule="auto"/>
              <w:jc w:val="center"/>
              <w:rPr>
                <w:rFonts w:ascii="宋体" w:hAnsi="宋体" w:eastAsia="宋体" w:cs="宋体"/>
                <w:color w:val="auto"/>
                <w:spacing w:val="34"/>
                <w:sz w:val="24"/>
                <w:szCs w:val="24"/>
                <w:highlight w:val="none"/>
              </w:rPr>
            </w:pPr>
            <w:r>
              <w:rPr>
                <w:rFonts w:ascii="宋体" w:hAnsi="宋体" w:eastAsia="宋体" w:cs="宋体"/>
                <w:color w:val="auto"/>
                <w:spacing w:val="34"/>
                <w:sz w:val="24"/>
                <w:szCs w:val="24"/>
                <w:highlight w:val="none"/>
              </w:rPr>
              <w:t>注册资本</w:t>
            </w:r>
          </w:p>
        </w:tc>
        <w:tc>
          <w:tcPr>
            <w:tcW w:w="2322" w:type="dxa"/>
            <w:vAlign w:val="center"/>
          </w:tcPr>
          <w:p w14:paraId="1C9235C6">
            <w:pPr>
              <w:spacing w:line="360" w:lineRule="auto"/>
              <w:jc w:val="center"/>
              <w:rPr>
                <w:rFonts w:ascii="宋体" w:hAnsi="宋体" w:eastAsia="宋体" w:cs="宋体"/>
                <w:color w:val="auto"/>
                <w:sz w:val="24"/>
                <w:szCs w:val="24"/>
                <w:highlight w:val="none"/>
              </w:rPr>
            </w:pPr>
          </w:p>
        </w:tc>
      </w:tr>
      <w:tr w14:paraId="0039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FA41AA7">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经营范围</w:t>
            </w:r>
          </w:p>
        </w:tc>
        <w:tc>
          <w:tcPr>
            <w:tcW w:w="2763" w:type="dxa"/>
            <w:gridSpan w:val="3"/>
            <w:vAlign w:val="center"/>
          </w:tcPr>
          <w:p w14:paraId="459F39B5">
            <w:pPr>
              <w:spacing w:line="360" w:lineRule="auto"/>
              <w:jc w:val="center"/>
              <w:rPr>
                <w:rFonts w:ascii="宋体" w:hAnsi="宋体" w:eastAsia="宋体" w:cs="宋体"/>
                <w:color w:val="auto"/>
                <w:sz w:val="24"/>
                <w:szCs w:val="24"/>
                <w:highlight w:val="none"/>
              </w:rPr>
            </w:pPr>
          </w:p>
        </w:tc>
        <w:tc>
          <w:tcPr>
            <w:tcW w:w="2368" w:type="dxa"/>
            <w:vAlign w:val="center"/>
          </w:tcPr>
          <w:p w14:paraId="0875A1B5">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营业期限</w:t>
            </w:r>
          </w:p>
        </w:tc>
        <w:tc>
          <w:tcPr>
            <w:tcW w:w="2322" w:type="dxa"/>
            <w:vAlign w:val="center"/>
          </w:tcPr>
          <w:p w14:paraId="23C96523">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年 月-  年 月</w:t>
            </w:r>
          </w:p>
        </w:tc>
      </w:tr>
      <w:tr w14:paraId="3D21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0E281B1">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资质情况</w:t>
            </w:r>
          </w:p>
        </w:tc>
        <w:tc>
          <w:tcPr>
            <w:tcW w:w="7453" w:type="dxa"/>
            <w:gridSpan w:val="5"/>
            <w:vAlign w:val="center"/>
          </w:tcPr>
          <w:p w14:paraId="4C964D53">
            <w:pPr>
              <w:spacing w:line="360" w:lineRule="auto"/>
              <w:jc w:val="center"/>
              <w:rPr>
                <w:rFonts w:ascii="宋体" w:hAnsi="宋体" w:eastAsia="宋体" w:cs="宋体"/>
                <w:color w:val="auto"/>
                <w:sz w:val="24"/>
                <w:szCs w:val="24"/>
                <w:highlight w:val="none"/>
              </w:rPr>
            </w:pPr>
          </w:p>
        </w:tc>
      </w:tr>
      <w:tr w14:paraId="4107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25B61B1">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员工数量</w:t>
            </w:r>
          </w:p>
        </w:tc>
        <w:tc>
          <w:tcPr>
            <w:tcW w:w="7453" w:type="dxa"/>
            <w:gridSpan w:val="5"/>
            <w:vAlign w:val="center"/>
          </w:tcPr>
          <w:p w14:paraId="46BFA41C">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共</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人，其中，高级职称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人，中级职称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w:t>
            </w:r>
          </w:p>
        </w:tc>
      </w:tr>
      <w:tr w14:paraId="4E74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ABAF9F8">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p>
        </w:tc>
        <w:tc>
          <w:tcPr>
            <w:tcW w:w="2763" w:type="dxa"/>
            <w:gridSpan w:val="3"/>
            <w:vAlign w:val="center"/>
          </w:tcPr>
          <w:p w14:paraId="52149029">
            <w:pPr>
              <w:spacing w:line="360" w:lineRule="auto"/>
              <w:jc w:val="center"/>
              <w:rPr>
                <w:rFonts w:ascii="宋体" w:hAnsi="宋体" w:eastAsia="宋体" w:cs="宋体"/>
                <w:color w:val="auto"/>
                <w:sz w:val="24"/>
                <w:szCs w:val="24"/>
                <w:highlight w:val="none"/>
              </w:rPr>
            </w:pPr>
          </w:p>
        </w:tc>
        <w:tc>
          <w:tcPr>
            <w:tcW w:w="2368" w:type="dxa"/>
            <w:vAlign w:val="center"/>
          </w:tcPr>
          <w:p w14:paraId="79EB5267">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传真</w:t>
            </w:r>
          </w:p>
        </w:tc>
        <w:tc>
          <w:tcPr>
            <w:tcW w:w="2322" w:type="dxa"/>
            <w:vAlign w:val="center"/>
          </w:tcPr>
          <w:p w14:paraId="53C52DA2">
            <w:pPr>
              <w:spacing w:line="360" w:lineRule="auto"/>
              <w:jc w:val="center"/>
              <w:rPr>
                <w:rFonts w:ascii="宋体" w:hAnsi="宋体" w:eastAsia="宋体" w:cs="宋体"/>
                <w:color w:val="auto"/>
                <w:sz w:val="24"/>
                <w:szCs w:val="24"/>
                <w:highlight w:val="none"/>
              </w:rPr>
            </w:pPr>
          </w:p>
        </w:tc>
      </w:tr>
      <w:tr w14:paraId="110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63DADF14">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主要业绩</w:t>
            </w:r>
          </w:p>
        </w:tc>
        <w:tc>
          <w:tcPr>
            <w:tcW w:w="7453" w:type="dxa"/>
            <w:gridSpan w:val="5"/>
            <w:vAlign w:val="center"/>
          </w:tcPr>
          <w:p w14:paraId="5EACDD27">
            <w:pPr>
              <w:spacing w:line="360" w:lineRule="auto"/>
              <w:rPr>
                <w:rFonts w:ascii="宋体" w:hAnsi="宋体" w:eastAsia="宋体" w:cs="宋体"/>
                <w:color w:val="auto"/>
                <w:sz w:val="24"/>
                <w:szCs w:val="24"/>
                <w:highlight w:val="none"/>
              </w:rPr>
            </w:pPr>
          </w:p>
          <w:p w14:paraId="28AD07AC">
            <w:pPr>
              <w:spacing w:line="360" w:lineRule="auto"/>
              <w:rPr>
                <w:rFonts w:ascii="宋体" w:hAnsi="宋体" w:eastAsia="宋体" w:cs="宋体"/>
                <w:color w:val="auto"/>
                <w:sz w:val="24"/>
                <w:szCs w:val="24"/>
                <w:highlight w:val="none"/>
              </w:rPr>
            </w:pPr>
          </w:p>
        </w:tc>
      </w:tr>
      <w:tr w14:paraId="6DAE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17F002F8">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法 定 代 表 人 基 本 情 况</w:t>
            </w:r>
          </w:p>
        </w:tc>
      </w:tr>
      <w:tr w14:paraId="0DA9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FF936B0">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姓  名</w:t>
            </w:r>
          </w:p>
        </w:tc>
        <w:tc>
          <w:tcPr>
            <w:tcW w:w="2763" w:type="dxa"/>
            <w:gridSpan w:val="3"/>
            <w:vAlign w:val="center"/>
          </w:tcPr>
          <w:p w14:paraId="76B3F90B">
            <w:pPr>
              <w:spacing w:line="360" w:lineRule="auto"/>
              <w:jc w:val="center"/>
              <w:rPr>
                <w:rFonts w:ascii="宋体" w:hAnsi="宋体" w:eastAsia="宋体" w:cs="宋体"/>
                <w:color w:val="auto"/>
                <w:sz w:val="24"/>
                <w:szCs w:val="24"/>
                <w:highlight w:val="none"/>
              </w:rPr>
            </w:pPr>
          </w:p>
        </w:tc>
        <w:tc>
          <w:tcPr>
            <w:tcW w:w="2368" w:type="dxa"/>
            <w:vAlign w:val="center"/>
          </w:tcPr>
          <w:p w14:paraId="7166058B">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身份证号码</w:t>
            </w:r>
          </w:p>
        </w:tc>
        <w:tc>
          <w:tcPr>
            <w:tcW w:w="2322" w:type="dxa"/>
            <w:vAlign w:val="center"/>
          </w:tcPr>
          <w:p w14:paraId="71EF8AB9">
            <w:pPr>
              <w:spacing w:line="360" w:lineRule="auto"/>
              <w:jc w:val="center"/>
              <w:rPr>
                <w:rFonts w:ascii="宋体" w:hAnsi="宋体" w:eastAsia="宋体" w:cs="宋体"/>
                <w:color w:val="auto"/>
                <w:sz w:val="24"/>
                <w:szCs w:val="24"/>
                <w:highlight w:val="none"/>
              </w:rPr>
            </w:pPr>
          </w:p>
        </w:tc>
      </w:tr>
      <w:tr w14:paraId="154D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4DDC4B9">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职  务</w:t>
            </w:r>
          </w:p>
        </w:tc>
        <w:tc>
          <w:tcPr>
            <w:tcW w:w="923" w:type="dxa"/>
            <w:vAlign w:val="center"/>
          </w:tcPr>
          <w:p w14:paraId="0AD0D0DD">
            <w:pPr>
              <w:spacing w:line="360" w:lineRule="auto"/>
              <w:jc w:val="center"/>
              <w:rPr>
                <w:rFonts w:ascii="宋体" w:hAnsi="宋体" w:eastAsia="宋体" w:cs="宋体"/>
                <w:color w:val="auto"/>
                <w:sz w:val="24"/>
                <w:szCs w:val="24"/>
                <w:highlight w:val="none"/>
              </w:rPr>
            </w:pPr>
          </w:p>
        </w:tc>
        <w:tc>
          <w:tcPr>
            <w:tcW w:w="1070" w:type="dxa"/>
            <w:vAlign w:val="center"/>
          </w:tcPr>
          <w:p w14:paraId="07E97818">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职   称</w:t>
            </w:r>
          </w:p>
        </w:tc>
        <w:tc>
          <w:tcPr>
            <w:tcW w:w="770" w:type="dxa"/>
            <w:vAlign w:val="center"/>
          </w:tcPr>
          <w:p w14:paraId="22B0E0FA">
            <w:pPr>
              <w:spacing w:line="360" w:lineRule="auto"/>
              <w:jc w:val="center"/>
              <w:rPr>
                <w:rFonts w:ascii="宋体" w:hAnsi="宋体" w:eastAsia="宋体" w:cs="宋体"/>
                <w:color w:val="auto"/>
                <w:sz w:val="24"/>
                <w:szCs w:val="24"/>
                <w:highlight w:val="none"/>
              </w:rPr>
            </w:pPr>
          </w:p>
        </w:tc>
        <w:tc>
          <w:tcPr>
            <w:tcW w:w="2368" w:type="dxa"/>
            <w:vAlign w:val="center"/>
          </w:tcPr>
          <w:p w14:paraId="76B38965">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学    历</w:t>
            </w:r>
          </w:p>
        </w:tc>
        <w:tc>
          <w:tcPr>
            <w:tcW w:w="2322" w:type="dxa"/>
            <w:vAlign w:val="center"/>
          </w:tcPr>
          <w:p w14:paraId="60AAD8D5">
            <w:pPr>
              <w:spacing w:line="360" w:lineRule="auto"/>
              <w:jc w:val="center"/>
              <w:rPr>
                <w:rFonts w:ascii="宋体" w:hAnsi="宋体" w:eastAsia="宋体" w:cs="宋体"/>
                <w:color w:val="auto"/>
                <w:sz w:val="24"/>
                <w:szCs w:val="24"/>
                <w:highlight w:val="none"/>
              </w:rPr>
            </w:pPr>
          </w:p>
        </w:tc>
      </w:tr>
      <w:tr w14:paraId="620F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0D04C64">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bl>
    <w:p w14:paraId="08984AE5">
      <w:pPr>
        <w:spacing w:line="360" w:lineRule="auto"/>
        <w:rPr>
          <w:rFonts w:ascii="宋体" w:hAnsi="宋体" w:eastAsia="宋体" w:cs="宋体"/>
          <w:b/>
          <w:color w:val="auto"/>
          <w:sz w:val="24"/>
          <w:szCs w:val="24"/>
          <w:highlight w:val="none"/>
        </w:rPr>
      </w:pPr>
      <w:r>
        <w:rPr>
          <w:rFonts w:ascii="宋体" w:hAnsi="宋体" w:eastAsia="宋体" w:cs="宋体"/>
          <w:color w:val="auto"/>
          <w:szCs w:val="21"/>
          <w:highlight w:val="none"/>
        </w:rPr>
        <w:t xml:space="preserve"> </w:t>
      </w:r>
      <w:r>
        <w:rPr>
          <w:rFonts w:ascii="宋体" w:hAnsi="宋体" w:eastAsia="宋体" w:cs="宋体"/>
          <w:color w:val="auto"/>
          <w:sz w:val="24"/>
          <w:szCs w:val="24"/>
          <w:highlight w:val="none"/>
        </w:rPr>
        <w:t xml:space="preserve"> </w:t>
      </w:r>
      <w:r>
        <w:rPr>
          <w:rFonts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557DF68D">
      <w:pPr>
        <w:spacing w:line="240" w:lineRule="auto"/>
        <w:rPr>
          <w:rFonts w:ascii="宋体" w:hAnsi="宋体" w:eastAsia="宋体" w:cs="宋体"/>
          <w:b/>
          <w:color w:val="auto"/>
          <w:sz w:val="24"/>
          <w:szCs w:val="24"/>
          <w:highlight w:val="none"/>
        </w:rPr>
      </w:pPr>
    </w:p>
    <w:p w14:paraId="5C686460">
      <w:pPr>
        <w:spacing w:line="240" w:lineRule="auto"/>
        <w:rPr>
          <w:rFonts w:ascii="宋体" w:hAnsi="宋体" w:eastAsia="宋体" w:cs="宋体"/>
          <w:b/>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p>
    <w:p w14:paraId="2BDF98F5">
      <w:pPr>
        <w:spacing w:line="240" w:lineRule="auto"/>
        <w:rPr>
          <w:rFonts w:ascii="宋体" w:hAnsi="宋体" w:eastAsia="宋体" w:cs="宋体"/>
          <w:b/>
          <w:color w:val="auto"/>
          <w:sz w:val="24"/>
          <w:szCs w:val="24"/>
          <w:highlight w:val="none"/>
        </w:rPr>
      </w:pPr>
      <w:r>
        <w:rPr>
          <w:rFonts w:ascii="宋体" w:hAnsi="宋体" w:eastAsia="宋体" w:cs="宋体"/>
          <w:bCs/>
          <w:color w:val="auto"/>
          <w:sz w:val="24"/>
          <w:szCs w:val="24"/>
          <w:highlight w:val="none"/>
        </w:rPr>
        <w:t xml:space="preserve">法定代表人或授权代表（签字或盖章）:___________ </w:t>
      </w:r>
      <w:r>
        <w:rPr>
          <w:rFonts w:ascii="宋体" w:hAnsi="宋体" w:eastAsia="宋体" w:cs="宋体"/>
          <w:b/>
          <w:color w:val="auto"/>
          <w:sz w:val="24"/>
          <w:szCs w:val="24"/>
          <w:highlight w:val="none"/>
        </w:rPr>
        <w:t xml:space="preserve">             </w:t>
      </w:r>
    </w:p>
    <w:p w14:paraId="3BFBBFED">
      <w:pPr>
        <w:snapToGrid w:val="0"/>
        <w:spacing w:before="50" w:after="156" w:afterLines="50" w:line="360" w:lineRule="auto"/>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43FEC788">
      <w:pPr>
        <w:snapToGrid w:val="0"/>
        <w:spacing w:before="50" w:after="156" w:afterLines="50" w:line="360" w:lineRule="auto"/>
        <w:jc w:val="left"/>
        <w:rPr>
          <w:rFonts w:ascii="宋体" w:hAnsi="宋体" w:eastAsia="宋体" w:cs="宋体"/>
          <w:b/>
          <w:color w:val="auto"/>
          <w:sz w:val="24"/>
          <w:szCs w:val="24"/>
          <w:highlight w:val="none"/>
        </w:rPr>
      </w:pPr>
    </w:p>
    <w:p w14:paraId="20397D7B">
      <w:pPr>
        <w:snapToGrid w:val="0"/>
        <w:spacing w:before="50" w:after="156" w:afterLines="50" w:line="360" w:lineRule="auto"/>
        <w:jc w:val="left"/>
        <w:rPr>
          <w:rFonts w:ascii="宋体" w:hAnsi="宋体" w:eastAsia="宋体" w:cs="宋体"/>
          <w:b/>
          <w:bCs/>
          <w:snapToGrid w:val="0"/>
          <w:color w:val="auto"/>
          <w:kern w:val="0"/>
          <w:sz w:val="28"/>
          <w:szCs w:val="28"/>
          <w:highlight w:val="none"/>
        </w:rPr>
      </w:pPr>
      <w:r>
        <w:rPr>
          <w:rFonts w:ascii="宋体" w:hAnsi="宋体" w:eastAsia="宋体" w:cs="宋体"/>
          <w:b/>
          <w:color w:val="auto"/>
          <w:sz w:val="24"/>
          <w:szCs w:val="24"/>
          <w:highlight w:val="none"/>
        </w:rPr>
        <w:t>2.1法定代表人资格说明书格式：</w:t>
      </w:r>
    </w:p>
    <w:p w14:paraId="588F9FB0">
      <w:pPr>
        <w:spacing w:line="240" w:lineRule="auto"/>
        <w:jc w:val="center"/>
        <w:rPr>
          <w:rFonts w:ascii="宋体" w:hAnsi="宋体" w:eastAsia="宋体" w:cs="宋体"/>
          <w:b/>
          <w:bCs/>
          <w:snapToGrid w:val="0"/>
          <w:color w:val="auto"/>
          <w:kern w:val="0"/>
          <w:sz w:val="30"/>
          <w:szCs w:val="30"/>
          <w:highlight w:val="none"/>
        </w:rPr>
      </w:pPr>
      <w:r>
        <w:rPr>
          <w:rFonts w:ascii="宋体" w:hAnsi="宋体" w:eastAsia="宋体" w:cs="宋体"/>
          <w:b/>
          <w:bCs/>
          <w:snapToGrid w:val="0"/>
          <w:color w:val="auto"/>
          <w:kern w:val="0"/>
          <w:sz w:val="30"/>
          <w:szCs w:val="30"/>
          <w:highlight w:val="none"/>
        </w:rPr>
        <w:t>法定代表人资格说明书</w:t>
      </w:r>
    </w:p>
    <w:p w14:paraId="18EE1222">
      <w:pPr>
        <w:adjustRightInd w:val="0"/>
        <w:spacing w:line="600" w:lineRule="exact"/>
        <w:ind w:firstLine="490"/>
        <w:jc w:val="left"/>
        <w:rPr>
          <w:rFonts w:ascii="宋体" w:hAnsi="宋体" w:eastAsia="宋体" w:cs="宋体"/>
          <w:b/>
          <w:bCs/>
          <w:snapToGrid w:val="0"/>
          <w:color w:val="auto"/>
          <w:kern w:val="0"/>
          <w:sz w:val="36"/>
          <w:highlight w:val="none"/>
        </w:rPr>
      </w:pPr>
    </w:p>
    <w:p w14:paraId="003A6B1C">
      <w:pPr>
        <w:adjustRightInd w:val="0"/>
        <w:spacing w:line="600" w:lineRule="exact"/>
        <w:ind w:firstLine="480" w:firstLineChars="20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u w:val="single"/>
        </w:rPr>
        <w:t xml:space="preserve">                （姓名）</w:t>
      </w:r>
      <w:r>
        <w:rPr>
          <w:rFonts w:ascii="宋体" w:hAnsi="宋体" w:eastAsia="宋体" w:cs="宋体"/>
          <w:snapToGrid w:val="0"/>
          <w:color w:val="auto"/>
          <w:kern w:val="0"/>
          <w:sz w:val="24"/>
          <w:szCs w:val="24"/>
          <w:highlight w:val="none"/>
        </w:rPr>
        <w:t>系</w:t>
      </w:r>
      <w:r>
        <w:rPr>
          <w:rFonts w:ascii="宋体" w:hAnsi="宋体" w:eastAsia="宋体" w:cs="宋体"/>
          <w:snapToGrid w:val="0"/>
          <w:color w:val="auto"/>
          <w:kern w:val="0"/>
          <w:sz w:val="24"/>
          <w:szCs w:val="24"/>
          <w:highlight w:val="none"/>
          <w:u w:val="single"/>
        </w:rPr>
        <w:t xml:space="preserve">                （投标人名称）</w:t>
      </w:r>
      <w:r>
        <w:rPr>
          <w:rFonts w:ascii="宋体" w:hAnsi="宋体" w:eastAsia="宋体" w:cs="宋体"/>
          <w:snapToGrid w:val="0"/>
          <w:color w:val="auto"/>
          <w:kern w:val="0"/>
          <w:sz w:val="24"/>
          <w:szCs w:val="24"/>
          <w:highlight w:val="none"/>
        </w:rPr>
        <w:t>的法定代表人。身份证号：</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w:t>
      </w:r>
    </w:p>
    <w:p w14:paraId="5C2BD2F5">
      <w:pPr>
        <w:adjustRightInd w:val="0"/>
        <w:spacing w:line="600" w:lineRule="exact"/>
        <w:ind w:firstLine="49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特此说明</w:t>
      </w:r>
    </w:p>
    <w:p w14:paraId="1848ED48">
      <w:pPr>
        <w:adjustRightInd w:val="0"/>
        <w:spacing w:line="600" w:lineRule="exact"/>
        <w:ind w:firstLine="490"/>
        <w:jc w:val="left"/>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p>
    <w:p w14:paraId="40C390B7">
      <w:pPr>
        <w:adjustRightInd w:val="0"/>
        <w:spacing w:line="600" w:lineRule="exact"/>
        <w:ind w:firstLine="490"/>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299380BE">
      <w:pPr>
        <w:adjustRightInd w:val="0"/>
        <w:spacing w:line="360" w:lineRule="auto"/>
        <w:rPr>
          <w:rFonts w:ascii="宋体" w:hAnsi="宋体" w:eastAsia="宋体" w:cs="宋体"/>
          <w:snapToGrid w:val="0"/>
          <w:color w:val="auto"/>
          <w:kern w:val="0"/>
          <w:sz w:val="24"/>
          <w:szCs w:val="24"/>
          <w:highlight w:val="none"/>
        </w:rPr>
      </w:pPr>
    </w:p>
    <w:p w14:paraId="1ABEBEB6">
      <w:pPr>
        <w:adjustRightInd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注：须附法定代表人身份证扫描件（正反面）</w:t>
      </w:r>
    </w:p>
    <w:p w14:paraId="22A6FCBF">
      <w:pPr>
        <w:adjustRightInd w:val="0"/>
        <w:spacing w:line="360" w:lineRule="auto"/>
        <w:rPr>
          <w:rFonts w:ascii="宋体" w:hAnsi="宋体" w:eastAsia="宋体" w:cs="宋体"/>
          <w:snapToGrid w:val="0"/>
          <w:color w:val="auto"/>
          <w:kern w:val="0"/>
          <w:szCs w:val="21"/>
          <w:highlight w:val="none"/>
        </w:rPr>
      </w:pPr>
    </w:p>
    <w:p w14:paraId="7B3B00CD">
      <w:pPr>
        <w:snapToGrid w:val="0"/>
        <w:spacing w:before="156" w:beforeLines="50" w:after="50" w:line="240" w:lineRule="auto"/>
        <w:rPr>
          <w:rFonts w:ascii="宋体" w:hAnsi="宋体" w:eastAsia="宋体" w:cs="宋体"/>
          <w:color w:val="auto"/>
          <w:sz w:val="24"/>
          <w:szCs w:val="24"/>
          <w:highlight w:val="none"/>
        </w:rPr>
      </w:pPr>
    </w:p>
    <w:p w14:paraId="219ABB60">
      <w:pPr>
        <w:spacing w:line="240" w:lineRule="auto"/>
        <w:rPr>
          <w:rFonts w:ascii="宋体" w:hAnsi="宋体" w:eastAsia="宋体" w:cs="宋体"/>
          <w:color w:val="auto"/>
          <w:sz w:val="24"/>
          <w:szCs w:val="24"/>
          <w:highlight w:val="none"/>
        </w:rPr>
      </w:pPr>
    </w:p>
    <w:p w14:paraId="481311F0">
      <w:pPr>
        <w:spacing w:line="240" w:lineRule="auto"/>
        <w:ind w:firstLine="420"/>
        <w:rPr>
          <w:rFonts w:ascii="宋体" w:hAnsi="宋体" w:eastAsia="宋体" w:cs="宋体"/>
          <w:color w:val="auto"/>
          <w:highlight w:val="none"/>
        </w:rPr>
      </w:pPr>
    </w:p>
    <w:p w14:paraId="1EA409A5">
      <w:pPr>
        <w:spacing w:line="240" w:lineRule="auto"/>
        <w:rPr>
          <w:rFonts w:ascii="宋体" w:hAnsi="宋体" w:eastAsia="宋体" w:cs="宋体"/>
          <w:color w:val="auto"/>
          <w:sz w:val="24"/>
          <w:szCs w:val="24"/>
          <w:highlight w:val="none"/>
        </w:rPr>
      </w:pPr>
    </w:p>
    <w:p w14:paraId="1612B02C">
      <w:pPr>
        <w:spacing w:line="240" w:lineRule="auto"/>
        <w:ind w:firstLine="420"/>
        <w:rPr>
          <w:rFonts w:ascii="宋体" w:hAnsi="宋体" w:eastAsia="宋体" w:cs="宋体"/>
          <w:color w:val="auto"/>
          <w:sz w:val="24"/>
          <w:highlight w:val="none"/>
        </w:rPr>
      </w:pPr>
    </w:p>
    <w:p w14:paraId="65FD486C">
      <w:pPr>
        <w:spacing w:line="200" w:lineRule="exact"/>
        <w:ind w:firstLine="301"/>
        <w:rPr>
          <w:rFonts w:ascii="宋体" w:hAnsi="宋体" w:eastAsia="宋体" w:cs="宋体"/>
          <w:color w:val="auto"/>
          <w:spacing w:val="-4"/>
          <w:sz w:val="18"/>
          <w:highlight w:val="none"/>
        </w:rPr>
      </w:pPr>
    </w:p>
    <w:p w14:paraId="40D0392A">
      <w:pPr>
        <w:spacing w:line="240" w:lineRule="auto"/>
        <w:rPr>
          <w:rFonts w:ascii="宋体" w:hAnsi="宋体" w:eastAsia="宋体" w:cs="宋体"/>
          <w:color w:val="auto"/>
          <w:sz w:val="24"/>
          <w:szCs w:val="24"/>
          <w:highlight w:val="none"/>
        </w:rPr>
      </w:pPr>
    </w:p>
    <w:p w14:paraId="0F2DE99C">
      <w:pPr>
        <w:spacing w:line="240" w:lineRule="auto"/>
        <w:rPr>
          <w:rFonts w:ascii="宋体" w:hAnsi="宋体" w:eastAsia="宋体" w:cs="宋体"/>
          <w:color w:val="auto"/>
          <w:sz w:val="24"/>
          <w:szCs w:val="24"/>
          <w:highlight w:val="none"/>
        </w:rPr>
      </w:pPr>
    </w:p>
    <w:p w14:paraId="6F67C7FB">
      <w:pPr>
        <w:spacing w:line="240" w:lineRule="auto"/>
        <w:rPr>
          <w:rFonts w:ascii="宋体" w:hAnsi="宋体" w:eastAsia="宋体" w:cs="宋体"/>
          <w:color w:val="auto"/>
          <w:sz w:val="24"/>
          <w:szCs w:val="24"/>
          <w:highlight w:val="none"/>
        </w:rPr>
      </w:pPr>
    </w:p>
    <w:p w14:paraId="7B6FDEDE">
      <w:pPr>
        <w:spacing w:line="240" w:lineRule="auto"/>
        <w:rPr>
          <w:rFonts w:ascii="宋体" w:hAnsi="宋体" w:eastAsia="宋体" w:cs="宋体"/>
          <w:color w:val="auto"/>
          <w:sz w:val="24"/>
          <w:szCs w:val="24"/>
          <w:highlight w:val="none"/>
        </w:rPr>
      </w:pPr>
    </w:p>
    <w:p w14:paraId="0DC5E011">
      <w:pPr>
        <w:spacing w:line="360" w:lineRule="auto"/>
        <w:jc w:val="center"/>
        <w:rPr>
          <w:rFonts w:ascii="宋体" w:hAnsi="宋体" w:eastAsia="宋体" w:cs="宋体"/>
          <w:b/>
          <w:bCs/>
          <w:color w:val="auto"/>
          <w:sz w:val="30"/>
          <w:szCs w:val="30"/>
          <w:highlight w:val="none"/>
        </w:rPr>
      </w:pPr>
    </w:p>
    <w:p w14:paraId="7B319190">
      <w:pPr>
        <w:spacing w:line="360" w:lineRule="auto"/>
        <w:jc w:val="center"/>
        <w:rPr>
          <w:rFonts w:ascii="宋体" w:hAnsi="宋体" w:eastAsia="宋体" w:cs="宋体"/>
          <w:b/>
          <w:bCs/>
          <w:color w:val="auto"/>
          <w:sz w:val="30"/>
          <w:szCs w:val="30"/>
          <w:highlight w:val="none"/>
        </w:rPr>
      </w:pPr>
    </w:p>
    <w:p w14:paraId="37AA33A7">
      <w:pPr>
        <w:spacing w:line="360" w:lineRule="auto"/>
        <w:jc w:val="center"/>
        <w:rPr>
          <w:rFonts w:ascii="宋体" w:hAnsi="宋体" w:eastAsia="宋体" w:cs="宋体"/>
          <w:b/>
          <w:bCs/>
          <w:color w:val="auto"/>
          <w:sz w:val="30"/>
          <w:szCs w:val="30"/>
          <w:highlight w:val="none"/>
        </w:rPr>
      </w:pPr>
    </w:p>
    <w:p w14:paraId="178C6EB4">
      <w:pPr>
        <w:spacing w:line="360" w:lineRule="auto"/>
        <w:jc w:val="center"/>
        <w:rPr>
          <w:rFonts w:ascii="宋体" w:hAnsi="宋体" w:eastAsia="宋体" w:cs="宋体"/>
          <w:b/>
          <w:bCs/>
          <w:color w:val="auto"/>
          <w:sz w:val="30"/>
          <w:szCs w:val="30"/>
          <w:highlight w:val="none"/>
        </w:rPr>
      </w:pPr>
    </w:p>
    <w:p w14:paraId="017FAB7D">
      <w:pPr>
        <w:spacing w:line="360" w:lineRule="auto"/>
        <w:rPr>
          <w:rFonts w:ascii="宋体" w:hAnsi="宋体" w:eastAsia="宋体" w:cs="宋体"/>
          <w:b/>
          <w:bCs/>
          <w:color w:val="auto"/>
          <w:sz w:val="30"/>
          <w:szCs w:val="30"/>
          <w:highlight w:val="none"/>
        </w:rPr>
      </w:pPr>
    </w:p>
    <w:p w14:paraId="19E28173">
      <w:pPr>
        <w:snapToGrid w:val="0"/>
        <w:spacing w:before="50" w:after="156" w:afterLines="50" w:line="360" w:lineRule="auto"/>
        <w:jc w:val="left"/>
        <w:rPr>
          <w:rFonts w:ascii="宋体" w:hAnsi="宋体" w:eastAsia="宋体" w:cs="宋体"/>
          <w:b/>
          <w:color w:val="auto"/>
          <w:sz w:val="24"/>
          <w:szCs w:val="24"/>
          <w:highlight w:val="none"/>
        </w:rPr>
      </w:pPr>
    </w:p>
    <w:p w14:paraId="218CE49C">
      <w:pP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352AECC2">
      <w:pPr>
        <w:snapToGrid w:val="0"/>
        <w:spacing w:before="50" w:after="156" w:afterLines="50" w:line="360" w:lineRule="auto"/>
        <w:jc w:val="left"/>
        <w:rPr>
          <w:rFonts w:ascii="宋体" w:hAnsi="宋体" w:eastAsia="宋体" w:cs="宋体"/>
          <w:b/>
          <w:bCs/>
          <w:color w:val="auto"/>
          <w:sz w:val="30"/>
          <w:szCs w:val="30"/>
          <w:highlight w:val="none"/>
        </w:rPr>
      </w:pPr>
      <w:r>
        <w:rPr>
          <w:rFonts w:ascii="宋体" w:hAnsi="宋体" w:eastAsia="宋体" w:cs="宋体"/>
          <w:b/>
          <w:color w:val="auto"/>
          <w:sz w:val="24"/>
          <w:szCs w:val="24"/>
          <w:highlight w:val="none"/>
        </w:rPr>
        <w:t>2.2法定代表人授权委托书格式：</w:t>
      </w:r>
    </w:p>
    <w:p w14:paraId="4AC99386">
      <w:pPr>
        <w:spacing w:line="360" w:lineRule="auto"/>
        <w:jc w:val="center"/>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法定代表人授权委托书</w:t>
      </w:r>
    </w:p>
    <w:p w14:paraId="322D50FD">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（采购单位）：</w:t>
      </w:r>
    </w:p>
    <w:p w14:paraId="0F88B8DA">
      <w:pPr>
        <w:snapToGrid w:val="0"/>
        <w:spacing w:before="156" w:beforeLines="50" w:after="50" w:line="360" w:lineRule="auto"/>
        <w:ind w:firstLine="720" w:firstLineChars="300"/>
        <w:rPr>
          <w:rFonts w:ascii="宋体" w:hAnsi="宋体" w:eastAsia="宋体" w:cs="宋体"/>
          <w:color w:val="auto"/>
          <w:sz w:val="24"/>
          <w:szCs w:val="24"/>
          <w:highlight w:val="none"/>
        </w:rPr>
      </w:pPr>
      <w:r>
        <w:rPr>
          <w:rFonts w:ascii="宋体" w:hAnsi="宋体" w:eastAsia="宋体" w:cs="宋体"/>
          <w:color w:val="auto"/>
          <w:sz w:val="24"/>
          <w:szCs w:val="24"/>
          <w:highlight w:val="none"/>
        </w:rPr>
        <w:t>我</w:t>
      </w:r>
      <w:r>
        <w:rPr>
          <w:rFonts w:ascii="宋体" w:hAnsi="宋体" w:eastAsia="宋体" w:cs="宋体"/>
          <w:color w:val="auto"/>
          <w:sz w:val="24"/>
          <w:szCs w:val="24"/>
          <w:highlight w:val="none"/>
          <w:u w:val="single"/>
        </w:rPr>
        <w:t xml:space="preserve">       （姓名）</w:t>
      </w:r>
      <w:r>
        <w:rPr>
          <w:rFonts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（投标人名称）</w:t>
      </w:r>
      <w:r>
        <w:rPr>
          <w:rFonts w:ascii="宋体" w:hAnsi="宋体" w:eastAsia="宋体" w:cs="宋体"/>
          <w:color w:val="auto"/>
          <w:sz w:val="24"/>
          <w:szCs w:val="24"/>
          <w:highlight w:val="none"/>
        </w:rPr>
        <w:t>的法定代表人，现授权委托本单位在职职工</w:t>
      </w:r>
      <w:r>
        <w:rPr>
          <w:rFonts w:ascii="宋体" w:hAnsi="宋体" w:eastAsia="宋体" w:cs="宋体"/>
          <w:color w:val="auto"/>
          <w:sz w:val="24"/>
          <w:szCs w:val="24"/>
          <w:highlight w:val="none"/>
          <w:u w:val="single"/>
        </w:rPr>
        <w:t xml:space="preserve">          （姓名）</w:t>
      </w:r>
      <w:r>
        <w:rPr>
          <w:rFonts w:ascii="宋体" w:hAnsi="宋体" w:eastAsia="宋体" w:cs="宋体"/>
          <w:color w:val="auto"/>
          <w:sz w:val="24"/>
          <w:szCs w:val="24"/>
          <w:highlight w:val="none"/>
        </w:rPr>
        <w:t>为授权代表，以我方的名义参加项目编号：</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项目名称</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0B284CDA">
      <w:pPr>
        <w:snapToGrid w:val="0"/>
        <w:spacing w:before="156" w:beforeLines="50" w:after="50"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24190FE1">
      <w:pPr>
        <w:snapToGrid w:val="0"/>
        <w:spacing w:before="156" w:beforeLines="50" w:after="50"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授权代表无转委托权，特此委托。</w:t>
      </w:r>
    </w:p>
    <w:p w14:paraId="7082E58E">
      <w:pPr>
        <w:snapToGrid w:val="0"/>
        <w:spacing w:before="156" w:beforeLines="50" w:after="50" w:line="360" w:lineRule="auto"/>
        <w:ind w:firstLine="480"/>
        <w:rPr>
          <w:rFonts w:ascii="宋体" w:hAnsi="宋体" w:eastAsia="宋体" w:cs="宋体"/>
          <w:color w:val="auto"/>
          <w:sz w:val="24"/>
          <w:szCs w:val="24"/>
          <w:highlight w:val="none"/>
        </w:rPr>
      </w:pPr>
    </w:p>
    <w:p w14:paraId="68AD68FA">
      <w:pPr>
        <w:snapToGrid w:val="0"/>
        <w:spacing w:before="156" w:beforeLines="50" w:after="50" w:line="360" w:lineRule="auto"/>
        <w:rPr>
          <w:rFonts w:ascii="宋体" w:hAnsi="宋体" w:eastAsia="宋体" w:cs="宋体"/>
          <w:color w:val="auto"/>
          <w:sz w:val="24"/>
          <w:szCs w:val="24"/>
          <w:highlight w:val="none"/>
        </w:rPr>
      </w:pPr>
    </w:p>
    <w:p w14:paraId="5FA12A57">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授权代表（签字或盖章）：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职务：</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44E23E8C">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授权代表身份证号码：</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36864CC3">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法定代表人（签字或盖章）：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职务：</w:t>
      </w:r>
      <w:r>
        <w:rPr>
          <w:rFonts w:ascii="宋体" w:hAnsi="宋体" w:eastAsia="宋体" w:cs="宋体"/>
          <w:color w:val="auto"/>
          <w:sz w:val="24"/>
          <w:szCs w:val="24"/>
          <w:highlight w:val="none"/>
          <w:u w:val="single"/>
        </w:rPr>
        <w:t xml:space="preserve">              </w:t>
      </w:r>
    </w:p>
    <w:p w14:paraId="593BAEC1">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法定代表人身份证号码：</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61ABFAC0">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1DBF9362">
      <w:pPr>
        <w:snapToGrid w:val="0"/>
        <w:spacing w:before="156" w:beforeLines="50" w:after="50" w:line="360" w:lineRule="auto"/>
        <w:ind w:firstLine="4920" w:firstLineChars="2050"/>
        <w:rPr>
          <w:rFonts w:ascii="宋体" w:hAnsi="宋体" w:eastAsia="宋体" w:cs="宋体"/>
          <w:color w:val="auto"/>
          <w:sz w:val="24"/>
          <w:szCs w:val="24"/>
          <w:highlight w:val="none"/>
        </w:rPr>
      </w:pPr>
    </w:p>
    <w:p w14:paraId="5985E533">
      <w:pPr>
        <w:snapToGrid w:val="0"/>
        <w:spacing w:before="156" w:beforeLines="50" w:after="5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00B6C420">
      <w:pPr>
        <w:snapToGrid w:val="0"/>
        <w:spacing w:before="156" w:beforeLines="50" w:after="50" w:line="360" w:lineRule="auto"/>
        <w:rPr>
          <w:rFonts w:ascii="宋体" w:hAnsi="宋体" w:eastAsia="宋体" w:cs="宋体"/>
          <w:color w:val="auto"/>
          <w:sz w:val="24"/>
          <w:szCs w:val="24"/>
          <w:highlight w:val="none"/>
          <w:u w:val="singl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7E8EB6FE">
      <w:pPr>
        <w:spacing w:line="360" w:lineRule="auto"/>
        <w:rPr>
          <w:rFonts w:ascii="宋体" w:hAnsi="宋体" w:eastAsia="宋体" w:cs="宋体"/>
          <w:color w:val="auto"/>
          <w:sz w:val="24"/>
          <w:szCs w:val="24"/>
          <w:highlight w:val="none"/>
        </w:rPr>
      </w:pPr>
    </w:p>
    <w:p w14:paraId="440F3765">
      <w:pPr>
        <w:spacing w:line="360" w:lineRule="auto"/>
        <w:jc w:val="center"/>
        <w:rPr>
          <w:rFonts w:ascii="宋体" w:hAnsi="宋体" w:eastAsia="宋体" w:cs="宋体"/>
          <w:color w:val="auto"/>
          <w:sz w:val="24"/>
          <w:szCs w:val="24"/>
          <w:highlight w:val="none"/>
        </w:rPr>
      </w:pPr>
    </w:p>
    <w:p w14:paraId="16CCEC25">
      <w:pPr>
        <w:spacing w:line="360" w:lineRule="auto"/>
        <w:rPr>
          <w:rFonts w:ascii="宋体" w:hAnsi="宋体" w:eastAsia="宋体" w:cs="宋体"/>
          <w:color w:val="auto"/>
          <w:sz w:val="24"/>
          <w:szCs w:val="24"/>
          <w:highlight w:val="none"/>
        </w:rPr>
      </w:pPr>
      <w:r>
        <w:rPr>
          <w:rFonts w:ascii="宋体" w:hAnsi="宋体" w:eastAsia="宋体" w:cs="宋体"/>
          <w:b/>
          <w:color w:val="auto"/>
          <w:sz w:val="24"/>
          <w:szCs w:val="24"/>
          <w:highlight w:val="none"/>
        </w:rPr>
        <w:t>注：1.须附授权代表身份证扫描件（正反面）</w:t>
      </w:r>
    </w:p>
    <w:p w14:paraId="4E8C01BC">
      <w:pPr>
        <w:snapToGrid w:val="0"/>
        <w:spacing w:before="50" w:after="156" w:afterLines="50" w:line="360" w:lineRule="auto"/>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2.如法定代表人参加投标的，可不填写本表。</w:t>
      </w:r>
    </w:p>
    <w:p w14:paraId="6C2B6F46">
      <w:pPr>
        <w:snapToGrid w:val="0"/>
        <w:spacing w:before="50" w:after="156" w:afterLines="50" w:line="360" w:lineRule="auto"/>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3.商务响应表格式：</w:t>
      </w:r>
    </w:p>
    <w:p w14:paraId="5958B26F">
      <w:pPr>
        <w:spacing w:line="360" w:lineRule="auto"/>
        <w:jc w:val="center"/>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商务响应表</w:t>
      </w:r>
    </w:p>
    <w:tbl>
      <w:tblPr>
        <w:tblStyle w:val="20"/>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9828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3AC23CA4">
            <w:pPr>
              <w:snapToGrid w:val="0"/>
              <w:spacing w:before="156" w:beforeLines="50"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489D4422">
            <w:pPr>
              <w:snapToGrid w:val="0"/>
              <w:spacing w:before="156" w:beforeLines="50"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544B9D0C">
            <w:pPr>
              <w:snapToGrid w:val="0"/>
              <w:spacing w:before="156" w:beforeLines="50"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73D4C73F">
            <w:pPr>
              <w:snapToGrid w:val="0"/>
              <w:spacing w:before="156" w:beforeLines="50"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44ECBFB0">
            <w:pPr>
              <w:snapToGrid w:val="0"/>
              <w:spacing w:before="156" w:beforeLines="50"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投标人的承诺或说明</w:t>
            </w:r>
          </w:p>
        </w:tc>
      </w:tr>
      <w:tr w14:paraId="57EBE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893" w:type="dxa"/>
            <w:tcBorders>
              <w:top w:val="single" w:color="auto" w:sz="4" w:space="0"/>
              <w:left w:val="single" w:color="auto" w:sz="4" w:space="0"/>
              <w:bottom w:val="single" w:color="auto" w:sz="4" w:space="0"/>
              <w:right w:val="single" w:color="auto" w:sz="4" w:space="0"/>
            </w:tcBorders>
            <w:vAlign w:val="center"/>
          </w:tcPr>
          <w:p w14:paraId="2FF0F08E">
            <w:pPr>
              <w:spacing w:line="240" w:lineRule="auto"/>
              <w:jc w:val="center"/>
              <w:rPr>
                <w:rFonts w:ascii="宋体" w:hAnsi="宋体" w:eastAsia="宋体" w:cs="宋体"/>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494953AC">
            <w:pPr>
              <w:snapToGrid w:val="0"/>
              <w:spacing w:before="156" w:beforeLines="50"/>
              <w:rPr>
                <w:rFonts w:ascii="宋体" w:hAnsi="宋体" w:eastAsia="宋体" w:cs="宋体"/>
                <w:color w:val="auto"/>
                <w:szCs w:val="21"/>
                <w:highlight w:val="none"/>
              </w:rPr>
            </w:pPr>
            <w:r>
              <w:rPr>
                <w:rFonts w:ascii="宋体" w:hAnsi="宋体" w:eastAsia="宋体" w:cs="宋体"/>
                <w:color w:val="auto"/>
                <w:highlight w:val="none"/>
              </w:rPr>
              <w:t>服务期</w:t>
            </w:r>
          </w:p>
        </w:tc>
        <w:tc>
          <w:tcPr>
            <w:tcW w:w="1956" w:type="dxa"/>
            <w:tcBorders>
              <w:top w:val="single" w:color="auto" w:sz="4" w:space="0"/>
              <w:left w:val="single" w:color="auto" w:sz="4" w:space="0"/>
              <w:bottom w:val="single" w:color="auto" w:sz="4" w:space="0"/>
              <w:right w:val="single" w:color="auto" w:sz="4" w:space="0"/>
            </w:tcBorders>
          </w:tcPr>
          <w:p w14:paraId="1D1BD064">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4F165D2D">
            <w:pPr>
              <w:snapToGrid w:val="0"/>
              <w:spacing w:before="156" w:beforeLines="50" w:line="240" w:lineRule="auto"/>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280160D0">
            <w:pPr>
              <w:snapToGrid w:val="0"/>
              <w:spacing w:before="156" w:beforeLines="50" w:line="240" w:lineRule="auto"/>
              <w:rPr>
                <w:rFonts w:ascii="宋体" w:hAnsi="宋体" w:eastAsia="宋体" w:cs="宋体"/>
                <w:color w:val="auto"/>
                <w:sz w:val="24"/>
                <w:highlight w:val="none"/>
              </w:rPr>
            </w:pPr>
          </w:p>
        </w:tc>
      </w:tr>
      <w:tr w14:paraId="3C4C4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93" w:type="dxa"/>
            <w:tcBorders>
              <w:top w:val="single" w:color="auto" w:sz="4" w:space="0"/>
              <w:left w:val="single" w:color="auto" w:sz="4" w:space="0"/>
              <w:bottom w:val="single" w:color="auto" w:sz="4" w:space="0"/>
              <w:right w:val="single" w:color="auto" w:sz="4" w:space="0"/>
            </w:tcBorders>
            <w:vAlign w:val="center"/>
          </w:tcPr>
          <w:p w14:paraId="0F1A3A1C">
            <w:pPr>
              <w:spacing w:line="240" w:lineRule="auto"/>
              <w:jc w:val="center"/>
              <w:rPr>
                <w:rFonts w:ascii="宋体" w:hAnsi="宋体" w:eastAsia="宋体" w:cs="宋体"/>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7C341085">
            <w:pPr>
              <w:snapToGrid w:val="0"/>
              <w:spacing w:before="156" w:beforeLines="50"/>
              <w:rPr>
                <w:rFonts w:ascii="宋体" w:hAnsi="宋体" w:eastAsia="宋体" w:cs="宋体"/>
                <w:color w:val="auto"/>
                <w:szCs w:val="21"/>
                <w:highlight w:val="none"/>
              </w:rPr>
            </w:pPr>
            <w:r>
              <w:rPr>
                <w:rFonts w:ascii="宋体" w:hAnsi="宋体" w:eastAsia="宋体" w:cs="宋体"/>
                <w:color w:val="auto"/>
                <w:highlight w:val="none"/>
              </w:rPr>
              <w:t>付款条件</w:t>
            </w:r>
          </w:p>
        </w:tc>
        <w:tc>
          <w:tcPr>
            <w:tcW w:w="1956" w:type="dxa"/>
            <w:tcBorders>
              <w:top w:val="single" w:color="auto" w:sz="4" w:space="0"/>
              <w:left w:val="single" w:color="auto" w:sz="4" w:space="0"/>
              <w:bottom w:val="single" w:color="auto" w:sz="4" w:space="0"/>
              <w:right w:val="single" w:color="auto" w:sz="4" w:space="0"/>
            </w:tcBorders>
          </w:tcPr>
          <w:p w14:paraId="746AC20A">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3EA2E00F">
            <w:pPr>
              <w:snapToGrid w:val="0"/>
              <w:spacing w:before="156" w:beforeLines="50" w:line="240" w:lineRule="auto"/>
              <w:ind w:left="43"/>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097A84FB">
            <w:pPr>
              <w:snapToGrid w:val="0"/>
              <w:spacing w:before="156" w:beforeLines="50" w:line="240" w:lineRule="auto"/>
              <w:ind w:left="43"/>
              <w:rPr>
                <w:rFonts w:ascii="宋体" w:hAnsi="宋体" w:eastAsia="宋体" w:cs="宋体"/>
                <w:color w:val="auto"/>
                <w:sz w:val="24"/>
                <w:highlight w:val="none"/>
              </w:rPr>
            </w:pPr>
          </w:p>
        </w:tc>
      </w:tr>
      <w:tr w14:paraId="28FD1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3" w:type="dxa"/>
            <w:tcBorders>
              <w:top w:val="single" w:color="auto" w:sz="4" w:space="0"/>
              <w:left w:val="single" w:color="auto" w:sz="4" w:space="0"/>
              <w:bottom w:val="single" w:color="auto" w:sz="4" w:space="0"/>
              <w:right w:val="single" w:color="auto" w:sz="4" w:space="0"/>
            </w:tcBorders>
            <w:vAlign w:val="center"/>
          </w:tcPr>
          <w:p w14:paraId="55A7F0EB">
            <w:pPr>
              <w:spacing w:line="240" w:lineRule="auto"/>
              <w:jc w:val="center"/>
              <w:rPr>
                <w:rFonts w:ascii="宋体" w:hAnsi="宋体" w:eastAsia="宋体" w:cs="宋体"/>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26D249AE">
            <w:pPr>
              <w:snapToGrid w:val="0"/>
              <w:spacing w:before="156" w:beforeLines="50"/>
              <w:rPr>
                <w:rFonts w:ascii="宋体" w:hAnsi="宋体" w:eastAsia="宋体" w:cs="宋体"/>
                <w:color w:val="auto"/>
                <w:szCs w:val="21"/>
                <w:highlight w:val="none"/>
              </w:rPr>
            </w:pPr>
            <w:r>
              <w:rPr>
                <w:rFonts w:ascii="宋体" w:hAnsi="宋体" w:cs="宋体"/>
                <w:color w:val="auto"/>
                <w:highlight w:val="none"/>
              </w:rPr>
              <w:t>…</w:t>
            </w:r>
          </w:p>
        </w:tc>
        <w:tc>
          <w:tcPr>
            <w:tcW w:w="1956" w:type="dxa"/>
            <w:tcBorders>
              <w:top w:val="single" w:color="auto" w:sz="4" w:space="0"/>
              <w:left w:val="single" w:color="auto" w:sz="4" w:space="0"/>
              <w:bottom w:val="single" w:color="auto" w:sz="4" w:space="0"/>
              <w:right w:val="single" w:color="auto" w:sz="4" w:space="0"/>
            </w:tcBorders>
          </w:tcPr>
          <w:p w14:paraId="6C6157AC">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6D6D5BEA">
            <w:pPr>
              <w:snapToGrid w:val="0"/>
              <w:spacing w:before="156" w:beforeLines="50" w:line="240" w:lineRule="auto"/>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176C18B8">
            <w:pPr>
              <w:snapToGrid w:val="0"/>
              <w:spacing w:before="156" w:beforeLines="50" w:line="240" w:lineRule="auto"/>
              <w:rPr>
                <w:rFonts w:ascii="宋体" w:hAnsi="宋体" w:eastAsia="宋体" w:cs="宋体"/>
                <w:color w:val="auto"/>
                <w:sz w:val="24"/>
                <w:highlight w:val="none"/>
              </w:rPr>
            </w:pPr>
          </w:p>
        </w:tc>
      </w:tr>
      <w:tr w14:paraId="0DB4A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104D3814">
            <w:pPr>
              <w:spacing w:line="240" w:lineRule="auto"/>
              <w:jc w:val="center"/>
              <w:rPr>
                <w:rFonts w:ascii="宋体" w:hAnsi="宋体" w:eastAsia="宋体" w:cs="宋体"/>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7D6D2244">
            <w:pPr>
              <w:spacing w:line="240" w:lineRule="auto"/>
              <w:rPr>
                <w:rFonts w:ascii="宋体" w:hAnsi="宋体" w:eastAsia="宋体" w:cs="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5EC88416">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4D8023B9">
            <w:pPr>
              <w:snapToGrid w:val="0"/>
              <w:spacing w:before="156" w:beforeLines="50" w:line="240" w:lineRule="auto"/>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47E740FB">
            <w:pPr>
              <w:snapToGrid w:val="0"/>
              <w:spacing w:before="156" w:beforeLines="50" w:line="240" w:lineRule="auto"/>
              <w:rPr>
                <w:rFonts w:ascii="宋体" w:hAnsi="宋体" w:eastAsia="宋体" w:cs="宋体"/>
                <w:color w:val="auto"/>
                <w:sz w:val="24"/>
                <w:highlight w:val="none"/>
              </w:rPr>
            </w:pPr>
          </w:p>
        </w:tc>
      </w:tr>
      <w:tr w14:paraId="73E7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67C47F86">
            <w:pPr>
              <w:spacing w:line="240" w:lineRule="auto"/>
              <w:jc w:val="center"/>
              <w:rPr>
                <w:rFonts w:ascii="宋体" w:hAnsi="宋体" w:eastAsia="宋体" w:cs="宋体"/>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785D254C">
            <w:pPr>
              <w:spacing w:line="240" w:lineRule="auto"/>
              <w:rPr>
                <w:rFonts w:ascii="宋体" w:hAnsi="宋体" w:eastAsia="宋体" w:cs="宋体"/>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286CCAD9">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70AEB295">
            <w:pPr>
              <w:snapToGrid w:val="0"/>
              <w:spacing w:before="156" w:beforeLines="50" w:line="240" w:lineRule="auto"/>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7905F077">
            <w:pPr>
              <w:snapToGrid w:val="0"/>
              <w:spacing w:before="156" w:beforeLines="50" w:line="240" w:lineRule="auto"/>
              <w:rPr>
                <w:rFonts w:ascii="宋体" w:hAnsi="宋体" w:eastAsia="宋体" w:cs="宋体"/>
                <w:color w:val="auto"/>
                <w:sz w:val="24"/>
                <w:highlight w:val="none"/>
              </w:rPr>
            </w:pPr>
          </w:p>
        </w:tc>
      </w:tr>
      <w:tr w14:paraId="1C012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14:paraId="01DC38A9">
            <w:pPr>
              <w:spacing w:line="240" w:lineRule="auto"/>
              <w:jc w:val="center"/>
              <w:rPr>
                <w:rFonts w:ascii="宋体" w:hAnsi="宋体" w:eastAsia="宋体" w:cs="宋体"/>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78765979">
            <w:pPr>
              <w:spacing w:line="240" w:lineRule="auto"/>
              <w:rPr>
                <w:rFonts w:ascii="宋体" w:hAnsi="宋体" w:eastAsia="宋体" w:cs="宋体"/>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tcPr>
          <w:p w14:paraId="6F536BFF">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6E62FBE9">
            <w:pPr>
              <w:snapToGrid w:val="0"/>
              <w:spacing w:before="156" w:beforeLines="50" w:line="240" w:lineRule="auto"/>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66671799">
            <w:pPr>
              <w:snapToGrid w:val="0"/>
              <w:spacing w:before="156" w:beforeLines="50" w:line="240" w:lineRule="auto"/>
              <w:rPr>
                <w:rFonts w:ascii="宋体" w:hAnsi="宋体" w:eastAsia="宋体" w:cs="宋体"/>
                <w:color w:val="auto"/>
                <w:sz w:val="24"/>
                <w:highlight w:val="none"/>
              </w:rPr>
            </w:pPr>
          </w:p>
        </w:tc>
      </w:tr>
      <w:tr w14:paraId="716FC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14:paraId="74868467">
            <w:pPr>
              <w:spacing w:line="240" w:lineRule="auto"/>
              <w:jc w:val="center"/>
              <w:rPr>
                <w:rFonts w:ascii="宋体" w:hAnsi="宋体" w:eastAsia="宋体" w:cs="宋体"/>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vAlign w:val="center"/>
          </w:tcPr>
          <w:p w14:paraId="679248A5">
            <w:pPr>
              <w:spacing w:line="240" w:lineRule="auto"/>
              <w:rPr>
                <w:rFonts w:ascii="宋体" w:hAnsi="宋体" w:eastAsia="宋体" w:cs="宋体"/>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tcPr>
          <w:p w14:paraId="71F9CB10">
            <w:pPr>
              <w:snapToGrid w:val="0"/>
              <w:spacing w:before="156" w:beforeLines="50" w:line="240" w:lineRule="auto"/>
              <w:rPr>
                <w:rFonts w:ascii="宋体" w:hAnsi="宋体" w:eastAsia="宋体" w:cs="宋体"/>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16F01EF3">
            <w:pPr>
              <w:snapToGrid w:val="0"/>
              <w:spacing w:before="156" w:beforeLines="50" w:line="240" w:lineRule="auto"/>
              <w:rPr>
                <w:rFonts w:ascii="宋体" w:hAnsi="宋体" w:eastAsia="宋体" w:cs="宋体"/>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14E006C1">
            <w:pPr>
              <w:snapToGrid w:val="0"/>
              <w:spacing w:before="156" w:beforeLines="50" w:line="240" w:lineRule="auto"/>
              <w:rPr>
                <w:rFonts w:ascii="宋体" w:hAnsi="宋体" w:eastAsia="宋体" w:cs="宋体"/>
                <w:color w:val="auto"/>
                <w:sz w:val="24"/>
                <w:highlight w:val="none"/>
              </w:rPr>
            </w:pPr>
          </w:p>
        </w:tc>
      </w:tr>
    </w:tbl>
    <w:p w14:paraId="697C8809">
      <w:pPr>
        <w:snapToGrid w:val="0"/>
        <w:spacing w:before="156" w:beforeLines="50" w:line="240" w:lineRule="auto"/>
        <w:rPr>
          <w:rFonts w:ascii="宋体" w:hAnsi="宋体" w:eastAsia="宋体" w:cs="宋体"/>
          <w:color w:val="auto"/>
          <w:sz w:val="24"/>
          <w:highlight w:val="none"/>
        </w:rPr>
      </w:pPr>
      <w:r>
        <w:rPr>
          <w:rFonts w:ascii="宋体" w:hAnsi="宋体" w:eastAsia="宋体" w:cs="宋体"/>
          <w:color w:val="auto"/>
          <w:sz w:val="24"/>
          <w:highlight w:val="none"/>
        </w:rPr>
        <w:t>注：如不填写，采购人将视为 “无偏离”。</w:t>
      </w:r>
    </w:p>
    <w:p w14:paraId="697B9E8E">
      <w:pPr>
        <w:snapToGrid w:val="0"/>
        <w:spacing w:line="360" w:lineRule="auto"/>
        <w:ind w:firstLine="4478" w:firstLineChars="1866"/>
        <w:jc w:val="right"/>
        <w:rPr>
          <w:rFonts w:ascii="宋体" w:hAnsi="宋体" w:eastAsia="宋体" w:cs="宋体"/>
          <w:snapToGrid w:val="0"/>
          <w:color w:val="auto"/>
          <w:sz w:val="24"/>
          <w:szCs w:val="24"/>
          <w:highlight w:val="none"/>
        </w:rPr>
      </w:pPr>
    </w:p>
    <w:p w14:paraId="467E8CE5">
      <w:pPr>
        <w:snapToGrid w:val="0"/>
        <w:spacing w:line="360" w:lineRule="auto"/>
        <w:rPr>
          <w:rFonts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投标人名称（电子签章）：</w:t>
      </w:r>
      <w:r>
        <w:rPr>
          <w:rFonts w:ascii="宋体" w:hAnsi="宋体" w:eastAsia="宋体" w:cs="宋体"/>
          <w:snapToGrid w:val="0"/>
          <w:color w:val="auto"/>
          <w:sz w:val="24"/>
          <w:szCs w:val="24"/>
          <w:highlight w:val="none"/>
          <w:u w:val="single"/>
        </w:rPr>
        <w:t xml:space="preserve">                      </w:t>
      </w:r>
    </w:p>
    <w:p w14:paraId="7FF008D3">
      <w:pPr>
        <w:snapToGrid w:val="0"/>
        <w:spacing w:line="360" w:lineRule="auto"/>
        <w:rPr>
          <w:rFonts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 xml:space="preserve">法定代表人或授权代表（签字或盖章）:___________                                   </w:t>
      </w:r>
    </w:p>
    <w:p w14:paraId="368F8C7A">
      <w:pPr>
        <w:adjustRightInd w:val="0"/>
        <w:spacing w:line="360" w:lineRule="auto"/>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3C0CE7AE">
      <w:pPr>
        <w:spacing w:line="240" w:lineRule="auto"/>
        <w:rPr>
          <w:rFonts w:ascii="宋体" w:hAnsi="宋体" w:eastAsia="宋体" w:cs="宋体"/>
          <w:color w:val="auto"/>
          <w:sz w:val="32"/>
          <w:highlight w:val="none"/>
        </w:rPr>
      </w:pPr>
      <w:r>
        <w:rPr>
          <w:rFonts w:ascii="宋体" w:hAnsi="宋体" w:eastAsia="宋体" w:cs="宋体"/>
          <w:snapToGrid w:val="0"/>
          <w:color w:val="auto"/>
          <w:sz w:val="24"/>
          <w:szCs w:val="24"/>
          <w:highlight w:val="none"/>
        </w:rPr>
        <w:t xml:space="preserve">                                    </w:t>
      </w:r>
    </w:p>
    <w:p w14:paraId="5620E35D">
      <w:pPr>
        <w:adjustRightInd w:val="0"/>
        <w:spacing w:line="318" w:lineRule="atLeast"/>
        <w:ind w:left="369" w:firstLine="369"/>
        <w:textAlignment w:val="baseline"/>
        <w:rPr>
          <w:rFonts w:ascii="宋体" w:hAnsi="宋体" w:eastAsia="宋体" w:cs="宋体"/>
          <w:color w:val="auto"/>
          <w:sz w:val="32"/>
          <w:highlight w:val="none"/>
        </w:rPr>
      </w:pPr>
    </w:p>
    <w:p w14:paraId="46BF48DE">
      <w:pPr>
        <w:snapToGrid w:val="0"/>
        <w:spacing w:before="156" w:beforeLines="50" w:after="50" w:line="240" w:lineRule="auto"/>
        <w:rPr>
          <w:rFonts w:ascii="宋体" w:hAnsi="宋体" w:eastAsia="宋体" w:cs="宋体"/>
          <w:b/>
          <w:color w:val="auto"/>
          <w:sz w:val="24"/>
          <w:szCs w:val="24"/>
          <w:highlight w:val="none"/>
        </w:rPr>
      </w:pPr>
    </w:p>
    <w:p w14:paraId="335B3D92">
      <w:pPr>
        <w:snapToGrid w:val="0"/>
        <w:spacing w:before="156" w:beforeLines="50" w:after="50" w:line="240" w:lineRule="auto"/>
        <w:rPr>
          <w:rFonts w:ascii="宋体" w:hAnsi="宋体" w:eastAsia="宋体" w:cs="宋体"/>
          <w:b/>
          <w:color w:val="auto"/>
          <w:sz w:val="24"/>
          <w:szCs w:val="24"/>
          <w:highlight w:val="none"/>
        </w:rPr>
      </w:pPr>
    </w:p>
    <w:p w14:paraId="4E55EA79">
      <w:pPr>
        <w:snapToGrid w:val="0"/>
        <w:spacing w:before="156" w:beforeLines="50" w:after="50" w:line="240" w:lineRule="auto"/>
        <w:rPr>
          <w:rFonts w:ascii="宋体" w:hAnsi="宋体" w:eastAsia="宋体" w:cs="宋体"/>
          <w:b/>
          <w:color w:val="auto"/>
          <w:sz w:val="24"/>
          <w:szCs w:val="24"/>
          <w:highlight w:val="none"/>
        </w:rPr>
      </w:pPr>
    </w:p>
    <w:p w14:paraId="5110F507">
      <w:pPr>
        <w:snapToGrid w:val="0"/>
        <w:spacing w:before="156" w:beforeLines="50" w:after="50" w:line="240" w:lineRule="auto"/>
        <w:rPr>
          <w:rFonts w:ascii="宋体" w:hAnsi="宋体" w:eastAsia="宋体" w:cs="宋体"/>
          <w:b/>
          <w:color w:val="auto"/>
          <w:sz w:val="24"/>
          <w:szCs w:val="24"/>
          <w:highlight w:val="none"/>
        </w:rPr>
      </w:pPr>
    </w:p>
    <w:p w14:paraId="1294FBEA">
      <w:pPr>
        <w:snapToGrid w:val="0"/>
        <w:spacing w:before="156" w:beforeLines="50" w:after="50" w:line="240" w:lineRule="auto"/>
        <w:rPr>
          <w:rFonts w:ascii="宋体" w:hAnsi="宋体" w:eastAsia="宋体" w:cs="宋体"/>
          <w:b/>
          <w:color w:val="auto"/>
          <w:sz w:val="24"/>
          <w:szCs w:val="24"/>
          <w:highlight w:val="none"/>
        </w:rPr>
      </w:pPr>
    </w:p>
    <w:p w14:paraId="789108D6">
      <w:pPr>
        <w:snapToGrid w:val="0"/>
        <w:spacing w:before="156" w:beforeLines="50" w:after="50" w:line="240" w:lineRule="auto"/>
        <w:rPr>
          <w:rFonts w:ascii="宋体" w:hAnsi="宋体" w:eastAsia="宋体" w:cs="宋体"/>
          <w:b/>
          <w:color w:val="auto"/>
          <w:sz w:val="24"/>
          <w:szCs w:val="24"/>
          <w:highlight w:val="none"/>
        </w:rPr>
      </w:pPr>
      <w:r>
        <w:rPr>
          <w:rFonts w:ascii="宋体" w:hAnsi="宋体" w:eastAsia="宋体" w:cs="宋体"/>
          <w:b/>
          <w:color w:val="auto"/>
          <w:sz w:val="24"/>
          <w:szCs w:val="24"/>
          <w:highlight w:val="none"/>
        </w:rPr>
        <w:t>4.技术响应表格式：</w:t>
      </w:r>
    </w:p>
    <w:p w14:paraId="6F0CE8DC">
      <w:pPr>
        <w:spacing w:line="360" w:lineRule="auto"/>
        <w:jc w:val="center"/>
        <w:rPr>
          <w:rFonts w:ascii="宋体" w:hAnsi="宋体" w:eastAsia="宋体" w:cs="宋体"/>
          <w:color w:val="auto"/>
          <w:sz w:val="24"/>
          <w:highlight w:val="none"/>
        </w:rPr>
      </w:pPr>
      <w:r>
        <w:rPr>
          <w:rFonts w:ascii="宋体" w:hAnsi="宋体" w:eastAsia="宋体" w:cs="宋体"/>
          <w:b/>
          <w:bCs/>
          <w:color w:val="auto"/>
          <w:sz w:val="30"/>
          <w:szCs w:val="30"/>
          <w:highlight w:val="none"/>
        </w:rPr>
        <w:t xml:space="preserve"> 技术响应表</w:t>
      </w:r>
    </w:p>
    <w:tbl>
      <w:tblPr>
        <w:tblStyle w:val="20"/>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740FA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5D4E2825">
            <w:pPr>
              <w:snapToGrid w:val="0"/>
              <w:spacing w:before="295" w:after="295" w:line="240" w:lineRule="auto"/>
              <w:jc w:val="center"/>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1A6706C2">
            <w:pPr>
              <w:snapToGrid w:val="0"/>
              <w:spacing w:before="295" w:after="295" w:line="240" w:lineRule="auto"/>
              <w:jc w:val="center"/>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7D7B08DB">
            <w:pPr>
              <w:snapToGrid w:val="0"/>
              <w:spacing w:before="295" w:after="295" w:line="240" w:lineRule="auto"/>
              <w:jc w:val="center"/>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偏离情况</w:t>
            </w:r>
          </w:p>
        </w:tc>
      </w:tr>
      <w:tr w14:paraId="416B0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1742A306">
            <w:pPr>
              <w:snapToGrid w:val="0"/>
              <w:spacing w:before="295" w:after="295" w:line="240" w:lineRule="auto"/>
              <w:ind w:firstLine="240" w:firstLineChars="100"/>
              <w:jc w:val="center"/>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7274E7E1">
            <w:pPr>
              <w:snapToGrid w:val="0"/>
              <w:spacing w:before="295" w:after="295" w:line="240" w:lineRule="auto"/>
              <w:ind w:firstLine="240" w:firstLineChars="100"/>
              <w:jc w:val="center"/>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09F0A69E">
            <w:pPr>
              <w:snapToGrid w:val="0"/>
              <w:spacing w:before="295" w:after="295" w:line="240" w:lineRule="auto"/>
              <w:jc w:val="center"/>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7034A2E2">
            <w:pPr>
              <w:snapToGrid w:val="0"/>
              <w:spacing w:before="295" w:after="295" w:line="240" w:lineRule="auto"/>
              <w:jc w:val="center"/>
              <w:outlineLvl w:val="0"/>
              <w:rPr>
                <w:rFonts w:ascii="宋体" w:hAnsi="宋体" w:eastAsia="宋体" w:cs="宋体"/>
                <w:color w:val="auto"/>
                <w:sz w:val="24"/>
                <w:szCs w:val="21"/>
                <w:highlight w:val="none"/>
              </w:rPr>
            </w:pPr>
            <w:r>
              <w:rPr>
                <w:rFonts w:ascii="宋体" w:hAnsi="宋体" w:eastAsia="宋体" w:cs="宋体"/>
                <w:color w:val="auto"/>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2E59ADBE">
            <w:pPr>
              <w:widowControl/>
              <w:spacing w:line="240" w:lineRule="auto"/>
              <w:jc w:val="left"/>
              <w:rPr>
                <w:rFonts w:ascii="宋体" w:hAnsi="宋体" w:eastAsia="宋体" w:cs="宋体"/>
                <w:color w:val="auto"/>
                <w:sz w:val="24"/>
                <w:szCs w:val="21"/>
                <w:highlight w:val="none"/>
              </w:rPr>
            </w:pPr>
          </w:p>
        </w:tc>
      </w:tr>
      <w:tr w14:paraId="1AB67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2C74546">
            <w:pPr>
              <w:snapToGrid w:val="0"/>
              <w:spacing w:before="295" w:after="295" w:line="240" w:lineRule="auto"/>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71B96C50">
            <w:pPr>
              <w:snapToGrid w:val="0"/>
              <w:spacing w:before="295" w:after="295" w:line="240" w:lineRule="auto"/>
              <w:outlineLvl w:val="0"/>
              <w:rPr>
                <w:rFonts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717D29C1">
            <w:pPr>
              <w:snapToGrid w:val="0"/>
              <w:spacing w:before="295" w:after="295" w:line="240" w:lineRule="auto"/>
              <w:outlineLvl w:val="0"/>
              <w:rPr>
                <w:rFonts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69B7B225">
            <w:pPr>
              <w:snapToGrid w:val="0"/>
              <w:spacing w:before="295" w:after="295" w:line="240" w:lineRule="auto"/>
              <w:outlineLvl w:val="0"/>
              <w:rPr>
                <w:rFonts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473A17F9">
            <w:pPr>
              <w:snapToGrid w:val="0"/>
              <w:spacing w:before="295" w:after="295" w:line="240" w:lineRule="auto"/>
              <w:outlineLvl w:val="0"/>
              <w:rPr>
                <w:rFonts w:ascii="宋体" w:hAnsi="宋体" w:eastAsia="宋体" w:cs="宋体"/>
                <w:color w:val="auto"/>
                <w:sz w:val="24"/>
                <w:szCs w:val="24"/>
                <w:highlight w:val="none"/>
              </w:rPr>
            </w:pPr>
          </w:p>
        </w:tc>
      </w:tr>
      <w:tr w14:paraId="4B8AC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6652AFB8">
            <w:pPr>
              <w:widowControl/>
              <w:spacing w:line="240" w:lineRule="auto"/>
              <w:rPr>
                <w:rFonts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D2C1F88">
            <w:pPr>
              <w:snapToGrid w:val="0"/>
              <w:spacing w:before="295" w:after="295" w:line="240" w:lineRule="auto"/>
              <w:outlineLvl w:val="0"/>
              <w:rPr>
                <w:rFonts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70C25748">
            <w:pPr>
              <w:snapToGrid w:val="0"/>
              <w:spacing w:before="295" w:after="295" w:line="240" w:lineRule="auto"/>
              <w:outlineLvl w:val="0"/>
              <w:rPr>
                <w:rFonts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6A9B4BCE">
            <w:pPr>
              <w:snapToGrid w:val="0"/>
              <w:spacing w:before="295" w:after="295" w:line="240" w:lineRule="auto"/>
              <w:outlineLvl w:val="0"/>
              <w:rPr>
                <w:rFonts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2B81858">
            <w:pPr>
              <w:snapToGrid w:val="0"/>
              <w:spacing w:before="295" w:after="295" w:line="240" w:lineRule="auto"/>
              <w:outlineLvl w:val="0"/>
              <w:rPr>
                <w:rFonts w:ascii="宋体" w:hAnsi="宋体" w:eastAsia="宋体" w:cs="宋体"/>
                <w:color w:val="auto"/>
                <w:sz w:val="24"/>
                <w:szCs w:val="21"/>
                <w:highlight w:val="none"/>
              </w:rPr>
            </w:pPr>
          </w:p>
        </w:tc>
      </w:tr>
      <w:tr w14:paraId="1AA86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25201509">
            <w:pPr>
              <w:widowControl/>
              <w:spacing w:line="240" w:lineRule="auto"/>
              <w:rPr>
                <w:rFonts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AD3D262">
            <w:pPr>
              <w:snapToGrid w:val="0"/>
              <w:spacing w:before="295" w:after="295" w:line="240" w:lineRule="auto"/>
              <w:rPr>
                <w:rFonts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0B3AEAD2">
            <w:pPr>
              <w:snapToGrid w:val="0"/>
              <w:spacing w:before="295" w:after="295" w:line="240" w:lineRule="auto"/>
              <w:rPr>
                <w:rFonts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6E4F3F5F">
            <w:pPr>
              <w:snapToGrid w:val="0"/>
              <w:spacing w:before="295" w:after="295" w:line="240" w:lineRule="auto"/>
              <w:rPr>
                <w:rFonts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13F0B7B">
            <w:pPr>
              <w:snapToGrid w:val="0"/>
              <w:spacing w:before="295" w:after="295" w:line="240" w:lineRule="auto"/>
              <w:rPr>
                <w:rFonts w:ascii="宋体" w:hAnsi="宋体" w:eastAsia="宋体" w:cs="宋体"/>
                <w:color w:val="auto"/>
                <w:sz w:val="24"/>
                <w:szCs w:val="21"/>
                <w:highlight w:val="none"/>
              </w:rPr>
            </w:pPr>
          </w:p>
        </w:tc>
      </w:tr>
      <w:tr w14:paraId="6259E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916C006">
            <w:pPr>
              <w:widowControl/>
              <w:spacing w:line="240" w:lineRule="auto"/>
              <w:rPr>
                <w:rFonts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8D18531">
            <w:pPr>
              <w:snapToGrid w:val="0"/>
              <w:spacing w:before="295" w:after="295" w:line="240" w:lineRule="auto"/>
              <w:outlineLvl w:val="0"/>
              <w:rPr>
                <w:rFonts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68EF6890">
            <w:pPr>
              <w:snapToGrid w:val="0"/>
              <w:spacing w:before="295" w:after="295" w:line="240" w:lineRule="auto"/>
              <w:outlineLvl w:val="0"/>
              <w:rPr>
                <w:rFonts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438B4C41">
            <w:pPr>
              <w:snapToGrid w:val="0"/>
              <w:spacing w:before="295" w:after="295" w:line="240" w:lineRule="auto"/>
              <w:outlineLvl w:val="0"/>
              <w:rPr>
                <w:rFonts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1F941B0">
            <w:pPr>
              <w:snapToGrid w:val="0"/>
              <w:spacing w:before="295" w:after="295" w:line="240" w:lineRule="auto"/>
              <w:outlineLvl w:val="0"/>
              <w:rPr>
                <w:rFonts w:ascii="宋体" w:hAnsi="宋体" w:eastAsia="宋体" w:cs="宋体"/>
                <w:color w:val="auto"/>
                <w:sz w:val="24"/>
                <w:szCs w:val="21"/>
                <w:highlight w:val="none"/>
              </w:rPr>
            </w:pPr>
          </w:p>
        </w:tc>
      </w:tr>
      <w:tr w14:paraId="6C2AF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2D492E2E">
            <w:pPr>
              <w:snapToGrid w:val="0"/>
              <w:spacing w:before="295" w:after="295" w:line="240" w:lineRule="auto"/>
              <w:outlineLvl w:val="0"/>
              <w:rPr>
                <w:rFonts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B7D6364">
            <w:pPr>
              <w:snapToGrid w:val="0"/>
              <w:spacing w:before="295" w:after="295" w:line="240" w:lineRule="auto"/>
              <w:outlineLvl w:val="0"/>
              <w:rPr>
                <w:rFonts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445AD483">
            <w:pPr>
              <w:snapToGrid w:val="0"/>
              <w:spacing w:before="295" w:after="295" w:line="240" w:lineRule="auto"/>
              <w:outlineLvl w:val="0"/>
              <w:rPr>
                <w:rFonts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6B976FB1">
            <w:pPr>
              <w:snapToGrid w:val="0"/>
              <w:spacing w:before="295" w:after="295" w:line="240" w:lineRule="auto"/>
              <w:outlineLvl w:val="0"/>
              <w:rPr>
                <w:rFonts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BA4CBCB">
            <w:pPr>
              <w:snapToGrid w:val="0"/>
              <w:spacing w:before="295" w:after="295" w:line="240" w:lineRule="auto"/>
              <w:outlineLvl w:val="0"/>
              <w:rPr>
                <w:rFonts w:ascii="宋体" w:hAnsi="宋体" w:eastAsia="宋体" w:cs="宋体"/>
                <w:color w:val="auto"/>
                <w:sz w:val="24"/>
                <w:szCs w:val="21"/>
                <w:highlight w:val="none"/>
              </w:rPr>
            </w:pPr>
          </w:p>
        </w:tc>
      </w:tr>
      <w:tr w14:paraId="78AEB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46C0DE2B">
            <w:pPr>
              <w:snapToGrid w:val="0"/>
              <w:spacing w:before="295" w:after="295" w:line="240" w:lineRule="auto"/>
              <w:outlineLvl w:val="0"/>
              <w:rPr>
                <w:rFonts w:ascii="宋体" w:hAnsi="宋体" w:eastAsia="宋体" w:cs="宋体"/>
                <w:color w:val="auto"/>
                <w:sz w:val="24"/>
                <w:szCs w:val="21"/>
                <w:highlight w:val="none"/>
              </w:rPr>
            </w:pPr>
            <w:r>
              <w:rPr>
                <w:rFonts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7017EE29">
            <w:pPr>
              <w:snapToGrid w:val="0"/>
              <w:spacing w:before="295" w:after="295" w:line="240" w:lineRule="auto"/>
              <w:outlineLvl w:val="0"/>
              <w:rPr>
                <w:rFonts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6118933A">
            <w:pPr>
              <w:snapToGrid w:val="0"/>
              <w:spacing w:before="295" w:after="295" w:line="240" w:lineRule="auto"/>
              <w:outlineLvl w:val="0"/>
              <w:rPr>
                <w:rFonts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06D50D7D">
            <w:pPr>
              <w:snapToGrid w:val="0"/>
              <w:spacing w:before="295" w:after="295" w:line="240" w:lineRule="auto"/>
              <w:outlineLvl w:val="0"/>
              <w:rPr>
                <w:rFonts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367319BA">
            <w:pPr>
              <w:snapToGrid w:val="0"/>
              <w:spacing w:before="295" w:after="295" w:line="240" w:lineRule="auto"/>
              <w:outlineLvl w:val="0"/>
              <w:rPr>
                <w:rFonts w:ascii="宋体" w:hAnsi="宋体" w:eastAsia="宋体" w:cs="宋体"/>
                <w:color w:val="auto"/>
                <w:sz w:val="24"/>
                <w:szCs w:val="24"/>
                <w:highlight w:val="none"/>
              </w:rPr>
            </w:pPr>
          </w:p>
        </w:tc>
      </w:tr>
    </w:tbl>
    <w:p w14:paraId="621247C4">
      <w:pPr>
        <w:snapToGrid w:val="0"/>
        <w:spacing w:before="50" w:after="50" w:line="360" w:lineRule="auto"/>
        <w:rPr>
          <w:rFonts w:ascii="宋体" w:hAnsi="宋体" w:eastAsia="宋体" w:cs="宋体"/>
          <w:color w:val="auto"/>
          <w:sz w:val="24"/>
          <w:szCs w:val="24"/>
          <w:highlight w:val="none"/>
        </w:rPr>
      </w:pPr>
      <w:r>
        <w:rPr>
          <w:rFonts w:ascii="宋体" w:hAnsi="宋体" w:eastAsia="宋体" w:cs="宋体"/>
          <w:color w:val="auto"/>
          <w:szCs w:val="24"/>
          <w:highlight w:val="none"/>
        </w:rPr>
        <w:t>注：</w:t>
      </w:r>
      <w:r>
        <w:rPr>
          <w:rFonts w:ascii="宋体" w:hAnsi="宋体" w:eastAsia="宋体" w:cs="宋体"/>
          <w:color w:val="auto"/>
          <w:sz w:val="24"/>
          <w:szCs w:val="24"/>
          <w:highlight w:val="none"/>
        </w:rPr>
        <w:t>1.列明招标文件的产品设备要求与投标文件对应响应，并说明偏离状况；</w:t>
      </w:r>
    </w:p>
    <w:p w14:paraId="725824B5">
      <w:pPr>
        <w:snapToGrid w:val="0"/>
        <w:spacing w:before="50" w:after="50" w:line="360" w:lineRule="auto"/>
        <w:ind w:left="210"/>
        <w:rPr>
          <w:rFonts w:ascii="宋体" w:hAnsi="宋体" w:eastAsia="宋体" w:cs="宋体"/>
          <w:color w:val="auto"/>
          <w:sz w:val="24"/>
          <w:szCs w:val="24"/>
          <w:highlight w:val="none"/>
        </w:rPr>
      </w:pPr>
      <w:r>
        <w:rPr>
          <w:rFonts w:ascii="宋体" w:hAnsi="宋体" w:eastAsia="宋体" w:cs="宋体"/>
          <w:color w:val="auto"/>
          <w:sz w:val="24"/>
          <w:szCs w:val="24"/>
          <w:highlight w:val="none"/>
        </w:rPr>
        <w:t>2.无偏离应在本表空白处醒目地注明“无偏离”的字样。</w:t>
      </w:r>
    </w:p>
    <w:p w14:paraId="3A853348">
      <w:pPr>
        <w:snapToGrid w:val="0"/>
        <w:spacing w:before="50" w:after="50" w:line="360" w:lineRule="auto"/>
        <w:ind w:left="210"/>
        <w:rPr>
          <w:rFonts w:ascii="宋体" w:hAnsi="宋体" w:eastAsia="宋体" w:cs="宋体"/>
          <w:color w:val="auto"/>
          <w:sz w:val="24"/>
          <w:szCs w:val="24"/>
          <w:highlight w:val="none"/>
        </w:rPr>
      </w:pPr>
      <w:r>
        <w:rPr>
          <w:rFonts w:ascii="宋体" w:hAnsi="宋体" w:eastAsia="宋体" w:cs="宋体"/>
          <w:color w:val="auto"/>
          <w:sz w:val="24"/>
          <w:szCs w:val="24"/>
          <w:highlight w:val="none"/>
        </w:rPr>
        <w:t>3.如不填写，采购人将视为 “无偏离”。</w:t>
      </w:r>
    </w:p>
    <w:p w14:paraId="230D30FE">
      <w:pPr>
        <w:snapToGrid w:val="0"/>
        <w:spacing w:line="360" w:lineRule="auto"/>
        <w:rPr>
          <w:rFonts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投标人名称（电子签章）：</w:t>
      </w:r>
      <w:r>
        <w:rPr>
          <w:rFonts w:ascii="宋体" w:hAnsi="宋体" w:eastAsia="宋体" w:cs="宋体"/>
          <w:snapToGrid w:val="0"/>
          <w:color w:val="auto"/>
          <w:sz w:val="24"/>
          <w:szCs w:val="24"/>
          <w:highlight w:val="none"/>
          <w:u w:val="single"/>
        </w:rPr>
        <w:t xml:space="preserve">                      </w:t>
      </w:r>
    </w:p>
    <w:p w14:paraId="4C1D3FF6">
      <w:pPr>
        <w:snapToGrid w:val="0"/>
        <w:spacing w:line="360" w:lineRule="auto"/>
        <w:rPr>
          <w:rFonts w:ascii="宋体" w:hAnsi="宋体" w:eastAsia="宋体" w:cs="宋体"/>
          <w:snapToGrid w:val="0"/>
          <w:color w:val="auto"/>
          <w:sz w:val="24"/>
          <w:szCs w:val="24"/>
          <w:highlight w:val="none"/>
          <w:u w:val="single"/>
        </w:rPr>
      </w:pPr>
      <w:r>
        <w:rPr>
          <w:rFonts w:ascii="宋体" w:hAnsi="宋体" w:eastAsia="宋体" w:cs="宋体"/>
          <w:snapToGrid w:val="0"/>
          <w:color w:val="auto"/>
          <w:sz w:val="24"/>
          <w:szCs w:val="24"/>
          <w:highlight w:val="none"/>
        </w:rPr>
        <w:t xml:space="preserve">法定代表人或授权代表（签字或盖章）:___________                                   </w:t>
      </w:r>
    </w:p>
    <w:p w14:paraId="192BA958">
      <w:pPr>
        <w:adjustRightInd w:val="0"/>
        <w:spacing w:line="360" w:lineRule="auto"/>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3B0C5ACD">
      <w:pPr>
        <w:spacing w:line="360" w:lineRule="auto"/>
        <w:rPr>
          <w:rFonts w:ascii="宋体" w:hAnsi="宋体" w:eastAsia="宋体" w:cs="宋体"/>
          <w:b/>
          <w:bCs/>
          <w:color w:val="auto"/>
          <w:kern w:val="0"/>
          <w:sz w:val="24"/>
          <w:szCs w:val="24"/>
          <w:highlight w:val="none"/>
        </w:rPr>
      </w:pPr>
    </w:p>
    <w:p w14:paraId="64044F66">
      <w:pPr>
        <w:rPr>
          <w:rFonts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br w:type="page"/>
      </w:r>
    </w:p>
    <w:p w14:paraId="58FC156D">
      <w:pPr>
        <w:spacing w:before="78" w:line="220" w:lineRule="auto"/>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5.</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产品配置清单表</w:t>
      </w:r>
    </w:p>
    <w:p w14:paraId="45A4E9F3">
      <w:pPr>
        <w:spacing w:before="98" w:line="220" w:lineRule="auto"/>
        <w:ind w:firstLine="3132" w:firstLineChars="1300"/>
        <w:rPr>
          <w:rFonts w:ascii="宋体" w:hAnsi="宋体" w:eastAsia="宋体" w:cs="宋体"/>
          <w:b/>
          <w:bCs/>
          <w:color w:val="auto"/>
          <w:spacing w:val="-4"/>
          <w:sz w:val="30"/>
          <w:szCs w:val="30"/>
          <w:highlight w:val="none"/>
        </w:rPr>
      </w:pPr>
      <w:r>
        <w:rPr>
          <w:rFonts w:hint="eastAsia" w:ascii="宋体" w:hAnsi="宋体" w:eastAsia="宋体" w:cs="宋体"/>
          <w:b/>
          <w:color w:val="auto"/>
          <w:sz w:val="24"/>
          <w:szCs w:val="24"/>
          <w:highlight w:val="none"/>
          <w:lang w:val="en-US" w:eastAsia="zh-CN"/>
        </w:rPr>
        <w:t xml:space="preserve">   </w:t>
      </w:r>
      <w:r>
        <w:rPr>
          <w:rFonts w:ascii="宋体" w:hAnsi="宋体" w:eastAsia="宋体" w:cs="宋体"/>
          <w:b/>
          <w:bCs/>
          <w:color w:val="auto"/>
          <w:spacing w:val="-4"/>
          <w:sz w:val="30"/>
          <w:szCs w:val="30"/>
          <w:highlight w:val="none"/>
        </w:rPr>
        <w:t>产品配置清单表</w:t>
      </w:r>
    </w:p>
    <w:tbl>
      <w:tblPr>
        <w:tblStyle w:val="131"/>
        <w:tblpPr w:leftFromText="180" w:rightFromText="180" w:vertAnchor="text" w:horzAnchor="page" w:tblpX="1121" w:tblpY="455"/>
        <w:tblOverlap w:val="never"/>
        <w:tblW w:w="9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1423"/>
        <w:gridCol w:w="707"/>
        <w:gridCol w:w="1047"/>
        <w:gridCol w:w="2150"/>
        <w:gridCol w:w="1306"/>
        <w:gridCol w:w="1288"/>
        <w:gridCol w:w="1093"/>
      </w:tblGrid>
      <w:tr w14:paraId="075A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60" w:type="dxa"/>
            <w:tcBorders>
              <w:top w:val="single" w:color="000000" w:sz="2" w:space="0"/>
              <w:left w:val="single" w:color="000000" w:sz="2" w:space="0"/>
            </w:tcBorders>
            <w:textDirection w:val="tbRlV"/>
            <w:vAlign w:val="top"/>
          </w:tcPr>
          <w:p w14:paraId="3FDFC35D">
            <w:pPr>
              <w:pStyle w:val="75"/>
              <w:spacing w:before="165" w:line="214" w:lineRule="auto"/>
              <w:ind w:left="113"/>
              <w:rPr>
                <w:color w:val="auto"/>
                <w:sz w:val="20"/>
                <w:szCs w:val="20"/>
                <w:highlight w:val="none"/>
              </w:rPr>
            </w:pPr>
            <w:r>
              <w:rPr>
                <w:color w:val="auto"/>
                <w:spacing w:val="7"/>
                <w:sz w:val="20"/>
                <w:szCs w:val="20"/>
                <w:highlight w:val="none"/>
              </w:rPr>
              <w:t>编 号</w:t>
            </w:r>
          </w:p>
        </w:tc>
        <w:tc>
          <w:tcPr>
            <w:tcW w:w="1423" w:type="dxa"/>
            <w:tcBorders>
              <w:top w:val="single" w:color="000000" w:sz="2" w:space="0"/>
            </w:tcBorders>
            <w:vAlign w:val="top"/>
          </w:tcPr>
          <w:p w14:paraId="5985EA86">
            <w:pPr>
              <w:pStyle w:val="75"/>
              <w:spacing w:before="114" w:line="228" w:lineRule="auto"/>
              <w:ind w:left="111"/>
              <w:rPr>
                <w:color w:val="auto"/>
                <w:sz w:val="20"/>
                <w:szCs w:val="20"/>
                <w:highlight w:val="none"/>
              </w:rPr>
            </w:pPr>
            <w:r>
              <w:rPr>
                <w:color w:val="auto"/>
                <w:spacing w:val="6"/>
                <w:sz w:val="20"/>
                <w:szCs w:val="20"/>
                <w:highlight w:val="none"/>
              </w:rPr>
              <w:t>设备（产品）</w:t>
            </w:r>
          </w:p>
          <w:p w14:paraId="76C8C5EA">
            <w:pPr>
              <w:pStyle w:val="75"/>
              <w:spacing w:before="64" w:line="231" w:lineRule="auto"/>
              <w:ind w:left="504"/>
              <w:rPr>
                <w:color w:val="auto"/>
                <w:sz w:val="20"/>
                <w:szCs w:val="20"/>
                <w:highlight w:val="none"/>
              </w:rPr>
            </w:pPr>
            <w:r>
              <w:rPr>
                <w:color w:val="auto"/>
                <w:spacing w:val="3"/>
                <w:sz w:val="20"/>
                <w:szCs w:val="20"/>
                <w:highlight w:val="none"/>
              </w:rPr>
              <w:t>名称</w:t>
            </w:r>
          </w:p>
        </w:tc>
        <w:tc>
          <w:tcPr>
            <w:tcW w:w="707" w:type="dxa"/>
            <w:tcBorders>
              <w:top w:val="single" w:color="000000" w:sz="2" w:space="0"/>
            </w:tcBorders>
            <w:vAlign w:val="top"/>
          </w:tcPr>
          <w:p w14:paraId="6D7E3833">
            <w:pPr>
              <w:pStyle w:val="75"/>
              <w:spacing w:before="269" w:line="229" w:lineRule="auto"/>
              <w:ind w:left="146"/>
              <w:rPr>
                <w:color w:val="auto"/>
                <w:sz w:val="20"/>
                <w:szCs w:val="20"/>
                <w:highlight w:val="none"/>
              </w:rPr>
            </w:pPr>
            <w:r>
              <w:rPr>
                <w:color w:val="auto"/>
                <w:spacing w:val="3"/>
                <w:sz w:val="20"/>
                <w:szCs w:val="20"/>
                <w:highlight w:val="none"/>
              </w:rPr>
              <w:t>单位</w:t>
            </w:r>
          </w:p>
        </w:tc>
        <w:tc>
          <w:tcPr>
            <w:tcW w:w="1047" w:type="dxa"/>
            <w:tcBorders>
              <w:top w:val="single" w:color="000000" w:sz="2" w:space="0"/>
              <w:right w:val="single" w:color="000000" w:sz="2" w:space="0"/>
            </w:tcBorders>
            <w:vAlign w:val="top"/>
          </w:tcPr>
          <w:p w14:paraId="0B597A7A">
            <w:pPr>
              <w:pStyle w:val="75"/>
              <w:spacing w:before="270" w:line="228" w:lineRule="auto"/>
              <w:ind w:left="317"/>
              <w:rPr>
                <w:color w:val="auto"/>
                <w:sz w:val="20"/>
                <w:szCs w:val="20"/>
                <w:highlight w:val="none"/>
              </w:rPr>
            </w:pPr>
            <w:r>
              <w:rPr>
                <w:color w:val="auto"/>
                <w:spacing w:val="3"/>
                <w:sz w:val="20"/>
                <w:szCs w:val="20"/>
                <w:highlight w:val="none"/>
              </w:rPr>
              <w:t>数量</w:t>
            </w:r>
          </w:p>
        </w:tc>
        <w:tc>
          <w:tcPr>
            <w:tcW w:w="2150" w:type="dxa"/>
            <w:tcBorders>
              <w:top w:val="single" w:color="000000" w:sz="2" w:space="0"/>
              <w:left w:val="single" w:color="000000" w:sz="2" w:space="0"/>
              <w:right w:val="single" w:color="000000" w:sz="2" w:space="0"/>
            </w:tcBorders>
            <w:vAlign w:val="top"/>
          </w:tcPr>
          <w:p w14:paraId="1A1AE3C1">
            <w:pPr>
              <w:pStyle w:val="75"/>
              <w:spacing w:before="270" w:line="228" w:lineRule="auto"/>
              <w:ind w:left="135"/>
              <w:rPr>
                <w:color w:val="auto"/>
                <w:sz w:val="20"/>
                <w:szCs w:val="20"/>
                <w:highlight w:val="none"/>
              </w:rPr>
            </w:pPr>
            <w:r>
              <w:rPr>
                <w:color w:val="auto"/>
                <w:spacing w:val="8"/>
                <w:sz w:val="20"/>
                <w:szCs w:val="20"/>
                <w:highlight w:val="none"/>
              </w:rPr>
              <w:t>配置及技术参数说明</w:t>
            </w:r>
          </w:p>
        </w:tc>
        <w:tc>
          <w:tcPr>
            <w:tcW w:w="1306" w:type="dxa"/>
            <w:tcBorders>
              <w:top w:val="single" w:color="000000" w:sz="2" w:space="0"/>
              <w:left w:val="single" w:color="000000" w:sz="2" w:space="0"/>
              <w:right w:val="single" w:color="000000" w:sz="2" w:space="0"/>
            </w:tcBorders>
            <w:vAlign w:val="top"/>
          </w:tcPr>
          <w:p w14:paraId="0978B689">
            <w:pPr>
              <w:pStyle w:val="75"/>
              <w:spacing w:before="270" w:line="228" w:lineRule="auto"/>
              <w:ind w:left="150"/>
              <w:rPr>
                <w:color w:val="auto"/>
                <w:sz w:val="20"/>
                <w:szCs w:val="20"/>
                <w:highlight w:val="none"/>
              </w:rPr>
            </w:pPr>
            <w:r>
              <w:rPr>
                <w:color w:val="auto"/>
                <w:spacing w:val="4"/>
                <w:sz w:val="20"/>
                <w:szCs w:val="20"/>
                <w:highlight w:val="none"/>
              </w:rPr>
              <w:t>品牌、型号</w:t>
            </w:r>
          </w:p>
        </w:tc>
        <w:tc>
          <w:tcPr>
            <w:tcW w:w="1288" w:type="dxa"/>
            <w:tcBorders>
              <w:top w:val="single" w:color="000000" w:sz="2" w:space="0"/>
              <w:left w:val="single" w:color="000000" w:sz="2" w:space="0"/>
              <w:right w:val="single" w:color="000000" w:sz="2" w:space="0"/>
            </w:tcBorders>
            <w:vAlign w:val="top"/>
          </w:tcPr>
          <w:p w14:paraId="24B2AB31">
            <w:pPr>
              <w:pStyle w:val="75"/>
              <w:spacing w:before="269" w:line="229" w:lineRule="auto"/>
              <w:ind w:left="126"/>
              <w:rPr>
                <w:color w:val="auto"/>
                <w:sz w:val="20"/>
                <w:szCs w:val="20"/>
                <w:highlight w:val="none"/>
              </w:rPr>
            </w:pPr>
            <w:r>
              <w:rPr>
                <w:color w:val="auto"/>
                <w:spacing w:val="7"/>
                <w:sz w:val="20"/>
                <w:szCs w:val="20"/>
                <w:highlight w:val="none"/>
              </w:rPr>
              <w:t>制造商名称</w:t>
            </w:r>
          </w:p>
        </w:tc>
        <w:tc>
          <w:tcPr>
            <w:tcW w:w="1093" w:type="dxa"/>
            <w:tcBorders>
              <w:top w:val="single" w:color="000000" w:sz="2" w:space="0"/>
              <w:left w:val="single" w:color="000000" w:sz="2" w:space="0"/>
              <w:right w:val="single" w:color="000000" w:sz="2" w:space="0"/>
            </w:tcBorders>
            <w:vAlign w:val="top"/>
          </w:tcPr>
          <w:p w14:paraId="38C2AA23">
            <w:pPr>
              <w:pStyle w:val="75"/>
              <w:spacing w:before="269" w:line="230" w:lineRule="auto"/>
              <w:ind w:left="340"/>
              <w:rPr>
                <w:color w:val="auto"/>
                <w:sz w:val="20"/>
                <w:szCs w:val="20"/>
                <w:highlight w:val="none"/>
              </w:rPr>
            </w:pPr>
            <w:r>
              <w:rPr>
                <w:color w:val="auto"/>
                <w:spacing w:val="3"/>
                <w:sz w:val="20"/>
                <w:szCs w:val="20"/>
                <w:highlight w:val="none"/>
              </w:rPr>
              <w:t>备注</w:t>
            </w:r>
          </w:p>
        </w:tc>
      </w:tr>
      <w:tr w14:paraId="538EA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58C67A27">
            <w:pPr>
              <w:pStyle w:val="75"/>
              <w:spacing w:before="125" w:line="271" w:lineRule="exact"/>
              <w:ind w:left="252"/>
              <w:rPr>
                <w:color w:val="auto"/>
                <w:sz w:val="20"/>
                <w:szCs w:val="20"/>
                <w:highlight w:val="none"/>
              </w:rPr>
            </w:pPr>
            <w:r>
              <w:rPr>
                <w:color w:val="auto"/>
                <w:position w:val="1"/>
                <w:sz w:val="20"/>
                <w:szCs w:val="20"/>
                <w:highlight w:val="none"/>
              </w:rPr>
              <w:t>1</w:t>
            </w:r>
          </w:p>
        </w:tc>
        <w:tc>
          <w:tcPr>
            <w:tcW w:w="1423" w:type="dxa"/>
            <w:vAlign w:val="top"/>
          </w:tcPr>
          <w:p w14:paraId="730D035E">
            <w:pPr>
              <w:rPr>
                <w:rFonts w:ascii="Arial"/>
                <w:color w:val="auto"/>
                <w:sz w:val="21"/>
                <w:highlight w:val="none"/>
              </w:rPr>
            </w:pPr>
          </w:p>
        </w:tc>
        <w:tc>
          <w:tcPr>
            <w:tcW w:w="707" w:type="dxa"/>
            <w:vAlign w:val="top"/>
          </w:tcPr>
          <w:p w14:paraId="0903754D">
            <w:pPr>
              <w:rPr>
                <w:rFonts w:ascii="Arial"/>
                <w:color w:val="auto"/>
                <w:sz w:val="21"/>
                <w:highlight w:val="none"/>
              </w:rPr>
            </w:pPr>
          </w:p>
        </w:tc>
        <w:tc>
          <w:tcPr>
            <w:tcW w:w="1047" w:type="dxa"/>
            <w:tcBorders>
              <w:right w:val="single" w:color="000000" w:sz="2" w:space="0"/>
            </w:tcBorders>
            <w:vAlign w:val="top"/>
          </w:tcPr>
          <w:p w14:paraId="0856AD2F">
            <w:pPr>
              <w:rPr>
                <w:rFonts w:ascii="Arial"/>
                <w:color w:val="auto"/>
                <w:sz w:val="21"/>
                <w:highlight w:val="none"/>
              </w:rPr>
            </w:pPr>
          </w:p>
        </w:tc>
        <w:tc>
          <w:tcPr>
            <w:tcW w:w="2150" w:type="dxa"/>
            <w:tcBorders>
              <w:left w:val="single" w:color="000000" w:sz="2" w:space="0"/>
              <w:right w:val="single" w:color="000000" w:sz="2" w:space="0"/>
            </w:tcBorders>
            <w:vAlign w:val="top"/>
          </w:tcPr>
          <w:p w14:paraId="301CF37F">
            <w:pPr>
              <w:rPr>
                <w:rFonts w:ascii="Arial"/>
                <w:color w:val="auto"/>
                <w:sz w:val="21"/>
                <w:highlight w:val="none"/>
              </w:rPr>
            </w:pPr>
          </w:p>
        </w:tc>
        <w:tc>
          <w:tcPr>
            <w:tcW w:w="1306" w:type="dxa"/>
            <w:tcBorders>
              <w:left w:val="single" w:color="000000" w:sz="2" w:space="0"/>
              <w:right w:val="single" w:color="000000" w:sz="2" w:space="0"/>
            </w:tcBorders>
            <w:vAlign w:val="top"/>
          </w:tcPr>
          <w:p w14:paraId="5111DCCA">
            <w:pPr>
              <w:rPr>
                <w:rFonts w:ascii="Arial"/>
                <w:color w:val="auto"/>
                <w:sz w:val="21"/>
                <w:highlight w:val="none"/>
              </w:rPr>
            </w:pPr>
          </w:p>
        </w:tc>
        <w:tc>
          <w:tcPr>
            <w:tcW w:w="1288" w:type="dxa"/>
            <w:tcBorders>
              <w:left w:val="single" w:color="000000" w:sz="2" w:space="0"/>
              <w:right w:val="single" w:color="000000" w:sz="2" w:space="0"/>
            </w:tcBorders>
            <w:vAlign w:val="top"/>
          </w:tcPr>
          <w:p w14:paraId="047FFF8A">
            <w:pPr>
              <w:rPr>
                <w:rFonts w:ascii="Arial"/>
                <w:color w:val="auto"/>
                <w:sz w:val="21"/>
                <w:highlight w:val="none"/>
              </w:rPr>
            </w:pPr>
          </w:p>
        </w:tc>
        <w:tc>
          <w:tcPr>
            <w:tcW w:w="1093" w:type="dxa"/>
            <w:tcBorders>
              <w:left w:val="single" w:color="000000" w:sz="2" w:space="0"/>
              <w:right w:val="single" w:color="000000" w:sz="2" w:space="0"/>
            </w:tcBorders>
            <w:vAlign w:val="top"/>
          </w:tcPr>
          <w:p w14:paraId="41AA055D">
            <w:pPr>
              <w:rPr>
                <w:rFonts w:ascii="Arial"/>
                <w:color w:val="auto"/>
                <w:sz w:val="21"/>
                <w:highlight w:val="none"/>
              </w:rPr>
            </w:pPr>
          </w:p>
        </w:tc>
      </w:tr>
      <w:tr w14:paraId="06326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6062FBDD">
            <w:pPr>
              <w:pStyle w:val="75"/>
              <w:spacing w:before="126" w:line="271" w:lineRule="exact"/>
              <w:ind w:left="239"/>
              <w:rPr>
                <w:color w:val="auto"/>
                <w:sz w:val="20"/>
                <w:szCs w:val="20"/>
                <w:highlight w:val="none"/>
              </w:rPr>
            </w:pPr>
            <w:r>
              <w:rPr>
                <w:color w:val="auto"/>
                <w:position w:val="1"/>
                <w:sz w:val="20"/>
                <w:szCs w:val="20"/>
                <w:highlight w:val="none"/>
              </w:rPr>
              <w:t>2</w:t>
            </w:r>
          </w:p>
        </w:tc>
        <w:tc>
          <w:tcPr>
            <w:tcW w:w="1423" w:type="dxa"/>
            <w:vAlign w:val="top"/>
          </w:tcPr>
          <w:p w14:paraId="25D9C337">
            <w:pPr>
              <w:rPr>
                <w:rFonts w:ascii="Arial"/>
                <w:color w:val="auto"/>
                <w:sz w:val="21"/>
                <w:highlight w:val="none"/>
              </w:rPr>
            </w:pPr>
          </w:p>
        </w:tc>
        <w:tc>
          <w:tcPr>
            <w:tcW w:w="707" w:type="dxa"/>
            <w:vAlign w:val="top"/>
          </w:tcPr>
          <w:p w14:paraId="309E191C">
            <w:pPr>
              <w:rPr>
                <w:rFonts w:ascii="Arial"/>
                <w:color w:val="auto"/>
                <w:sz w:val="21"/>
                <w:highlight w:val="none"/>
              </w:rPr>
            </w:pPr>
          </w:p>
        </w:tc>
        <w:tc>
          <w:tcPr>
            <w:tcW w:w="1047" w:type="dxa"/>
            <w:tcBorders>
              <w:right w:val="single" w:color="000000" w:sz="2" w:space="0"/>
            </w:tcBorders>
            <w:vAlign w:val="top"/>
          </w:tcPr>
          <w:p w14:paraId="1A44B127">
            <w:pPr>
              <w:rPr>
                <w:rFonts w:ascii="Arial"/>
                <w:color w:val="auto"/>
                <w:sz w:val="21"/>
                <w:highlight w:val="none"/>
              </w:rPr>
            </w:pPr>
          </w:p>
        </w:tc>
        <w:tc>
          <w:tcPr>
            <w:tcW w:w="2150" w:type="dxa"/>
            <w:tcBorders>
              <w:left w:val="single" w:color="000000" w:sz="2" w:space="0"/>
              <w:right w:val="single" w:color="000000" w:sz="2" w:space="0"/>
            </w:tcBorders>
            <w:vAlign w:val="top"/>
          </w:tcPr>
          <w:p w14:paraId="6FBF3A49">
            <w:pPr>
              <w:rPr>
                <w:rFonts w:ascii="Arial"/>
                <w:color w:val="auto"/>
                <w:sz w:val="21"/>
                <w:highlight w:val="none"/>
              </w:rPr>
            </w:pPr>
          </w:p>
        </w:tc>
        <w:tc>
          <w:tcPr>
            <w:tcW w:w="1306" w:type="dxa"/>
            <w:tcBorders>
              <w:left w:val="single" w:color="000000" w:sz="2" w:space="0"/>
              <w:right w:val="single" w:color="000000" w:sz="2" w:space="0"/>
            </w:tcBorders>
            <w:vAlign w:val="top"/>
          </w:tcPr>
          <w:p w14:paraId="7D63A006">
            <w:pPr>
              <w:rPr>
                <w:rFonts w:ascii="Arial"/>
                <w:color w:val="auto"/>
                <w:sz w:val="21"/>
                <w:highlight w:val="none"/>
              </w:rPr>
            </w:pPr>
          </w:p>
        </w:tc>
        <w:tc>
          <w:tcPr>
            <w:tcW w:w="1288" w:type="dxa"/>
            <w:tcBorders>
              <w:left w:val="single" w:color="000000" w:sz="2" w:space="0"/>
              <w:right w:val="single" w:color="000000" w:sz="2" w:space="0"/>
            </w:tcBorders>
            <w:vAlign w:val="top"/>
          </w:tcPr>
          <w:p w14:paraId="27BD3571">
            <w:pPr>
              <w:rPr>
                <w:rFonts w:ascii="Arial"/>
                <w:color w:val="auto"/>
                <w:sz w:val="21"/>
                <w:highlight w:val="none"/>
              </w:rPr>
            </w:pPr>
          </w:p>
        </w:tc>
        <w:tc>
          <w:tcPr>
            <w:tcW w:w="1093" w:type="dxa"/>
            <w:tcBorders>
              <w:left w:val="single" w:color="000000" w:sz="2" w:space="0"/>
              <w:right w:val="single" w:color="000000" w:sz="2" w:space="0"/>
            </w:tcBorders>
            <w:vAlign w:val="top"/>
          </w:tcPr>
          <w:p w14:paraId="64138A06">
            <w:pPr>
              <w:rPr>
                <w:rFonts w:ascii="Arial"/>
                <w:color w:val="auto"/>
                <w:sz w:val="21"/>
                <w:highlight w:val="none"/>
              </w:rPr>
            </w:pPr>
          </w:p>
        </w:tc>
      </w:tr>
      <w:tr w14:paraId="101E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0" w:type="dxa"/>
            <w:tcBorders>
              <w:left w:val="single" w:color="000000" w:sz="2" w:space="0"/>
            </w:tcBorders>
            <w:vAlign w:val="top"/>
          </w:tcPr>
          <w:p w14:paraId="4FA7570D">
            <w:pPr>
              <w:pStyle w:val="75"/>
              <w:spacing w:before="127" w:line="269" w:lineRule="exact"/>
              <w:ind w:left="240"/>
              <w:rPr>
                <w:color w:val="auto"/>
                <w:sz w:val="20"/>
                <w:szCs w:val="20"/>
                <w:highlight w:val="none"/>
              </w:rPr>
            </w:pPr>
            <w:r>
              <w:rPr>
                <w:color w:val="auto"/>
                <w:position w:val="1"/>
                <w:sz w:val="20"/>
                <w:szCs w:val="20"/>
                <w:highlight w:val="none"/>
              </w:rPr>
              <w:t>3</w:t>
            </w:r>
          </w:p>
        </w:tc>
        <w:tc>
          <w:tcPr>
            <w:tcW w:w="1423" w:type="dxa"/>
            <w:vAlign w:val="top"/>
          </w:tcPr>
          <w:p w14:paraId="13CD1967">
            <w:pPr>
              <w:rPr>
                <w:rFonts w:ascii="Arial"/>
                <w:color w:val="auto"/>
                <w:sz w:val="21"/>
                <w:highlight w:val="none"/>
              </w:rPr>
            </w:pPr>
          </w:p>
        </w:tc>
        <w:tc>
          <w:tcPr>
            <w:tcW w:w="707" w:type="dxa"/>
            <w:vAlign w:val="top"/>
          </w:tcPr>
          <w:p w14:paraId="2CB6A8CC">
            <w:pPr>
              <w:rPr>
                <w:rFonts w:ascii="Arial"/>
                <w:color w:val="auto"/>
                <w:sz w:val="21"/>
                <w:highlight w:val="none"/>
              </w:rPr>
            </w:pPr>
          </w:p>
        </w:tc>
        <w:tc>
          <w:tcPr>
            <w:tcW w:w="1047" w:type="dxa"/>
            <w:tcBorders>
              <w:right w:val="single" w:color="000000" w:sz="2" w:space="0"/>
            </w:tcBorders>
            <w:vAlign w:val="top"/>
          </w:tcPr>
          <w:p w14:paraId="79F6F013">
            <w:pPr>
              <w:rPr>
                <w:rFonts w:ascii="Arial"/>
                <w:color w:val="auto"/>
                <w:sz w:val="21"/>
                <w:highlight w:val="none"/>
              </w:rPr>
            </w:pPr>
          </w:p>
        </w:tc>
        <w:tc>
          <w:tcPr>
            <w:tcW w:w="2150" w:type="dxa"/>
            <w:tcBorders>
              <w:left w:val="single" w:color="000000" w:sz="2" w:space="0"/>
              <w:right w:val="single" w:color="000000" w:sz="2" w:space="0"/>
            </w:tcBorders>
            <w:vAlign w:val="top"/>
          </w:tcPr>
          <w:p w14:paraId="0004F10D">
            <w:pPr>
              <w:rPr>
                <w:rFonts w:ascii="Arial"/>
                <w:color w:val="auto"/>
                <w:sz w:val="21"/>
                <w:highlight w:val="none"/>
              </w:rPr>
            </w:pPr>
          </w:p>
        </w:tc>
        <w:tc>
          <w:tcPr>
            <w:tcW w:w="1306" w:type="dxa"/>
            <w:tcBorders>
              <w:left w:val="single" w:color="000000" w:sz="2" w:space="0"/>
              <w:right w:val="single" w:color="000000" w:sz="2" w:space="0"/>
            </w:tcBorders>
            <w:vAlign w:val="top"/>
          </w:tcPr>
          <w:p w14:paraId="71EB54CE">
            <w:pPr>
              <w:rPr>
                <w:rFonts w:ascii="Arial"/>
                <w:color w:val="auto"/>
                <w:sz w:val="21"/>
                <w:highlight w:val="none"/>
              </w:rPr>
            </w:pPr>
          </w:p>
        </w:tc>
        <w:tc>
          <w:tcPr>
            <w:tcW w:w="1288" w:type="dxa"/>
            <w:tcBorders>
              <w:left w:val="single" w:color="000000" w:sz="2" w:space="0"/>
              <w:right w:val="single" w:color="000000" w:sz="2" w:space="0"/>
            </w:tcBorders>
            <w:vAlign w:val="top"/>
          </w:tcPr>
          <w:p w14:paraId="201DE391">
            <w:pPr>
              <w:rPr>
                <w:rFonts w:ascii="Arial"/>
                <w:color w:val="auto"/>
                <w:sz w:val="21"/>
                <w:highlight w:val="none"/>
              </w:rPr>
            </w:pPr>
          </w:p>
        </w:tc>
        <w:tc>
          <w:tcPr>
            <w:tcW w:w="1093" w:type="dxa"/>
            <w:tcBorders>
              <w:left w:val="single" w:color="000000" w:sz="2" w:space="0"/>
              <w:right w:val="single" w:color="000000" w:sz="2" w:space="0"/>
            </w:tcBorders>
            <w:vAlign w:val="top"/>
          </w:tcPr>
          <w:p w14:paraId="4FAD4866">
            <w:pPr>
              <w:rPr>
                <w:rFonts w:ascii="Arial"/>
                <w:color w:val="auto"/>
                <w:sz w:val="21"/>
                <w:highlight w:val="none"/>
              </w:rPr>
            </w:pPr>
          </w:p>
        </w:tc>
      </w:tr>
      <w:tr w14:paraId="46790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7CF0827C">
            <w:pPr>
              <w:pStyle w:val="75"/>
              <w:spacing w:before="126" w:line="271" w:lineRule="exact"/>
              <w:ind w:left="235"/>
              <w:rPr>
                <w:color w:val="auto"/>
                <w:sz w:val="20"/>
                <w:szCs w:val="20"/>
                <w:highlight w:val="none"/>
              </w:rPr>
            </w:pPr>
            <w:r>
              <w:rPr>
                <w:color w:val="auto"/>
                <w:position w:val="1"/>
                <w:sz w:val="20"/>
                <w:szCs w:val="20"/>
                <w:highlight w:val="none"/>
              </w:rPr>
              <w:t>4</w:t>
            </w:r>
          </w:p>
        </w:tc>
        <w:tc>
          <w:tcPr>
            <w:tcW w:w="1423" w:type="dxa"/>
            <w:vAlign w:val="top"/>
          </w:tcPr>
          <w:p w14:paraId="25B68990">
            <w:pPr>
              <w:rPr>
                <w:rFonts w:ascii="Arial"/>
                <w:color w:val="auto"/>
                <w:sz w:val="21"/>
                <w:highlight w:val="none"/>
              </w:rPr>
            </w:pPr>
          </w:p>
        </w:tc>
        <w:tc>
          <w:tcPr>
            <w:tcW w:w="707" w:type="dxa"/>
            <w:vAlign w:val="top"/>
          </w:tcPr>
          <w:p w14:paraId="386C2AAB">
            <w:pPr>
              <w:rPr>
                <w:rFonts w:ascii="Arial"/>
                <w:color w:val="auto"/>
                <w:sz w:val="21"/>
                <w:highlight w:val="none"/>
              </w:rPr>
            </w:pPr>
          </w:p>
        </w:tc>
        <w:tc>
          <w:tcPr>
            <w:tcW w:w="1047" w:type="dxa"/>
            <w:tcBorders>
              <w:right w:val="single" w:color="000000" w:sz="2" w:space="0"/>
            </w:tcBorders>
            <w:vAlign w:val="top"/>
          </w:tcPr>
          <w:p w14:paraId="4C4326B9">
            <w:pPr>
              <w:rPr>
                <w:rFonts w:ascii="Arial"/>
                <w:color w:val="auto"/>
                <w:sz w:val="21"/>
                <w:highlight w:val="none"/>
              </w:rPr>
            </w:pPr>
          </w:p>
        </w:tc>
        <w:tc>
          <w:tcPr>
            <w:tcW w:w="2150" w:type="dxa"/>
            <w:tcBorders>
              <w:left w:val="single" w:color="000000" w:sz="2" w:space="0"/>
              <w:right w:val="single" w:color="000000" w:sz="2" w:space="0"/>
            </w:tcBorders>
            <w:vAlign w:val="top"/>
          </w:tcPr>
          <w:p w14:paraId="6F30426A">
            <w:pPr>
              <w:rPr>
                <w:rFonts w:ascii="Arial"/>
                <w:color w:val="auto"/>
                <w:sz w:val="21"/>
                <w:highlight w:val="none"/>
              </w:rPr>
            </w:pPr>
          </w:p>
        </w:tc>
        <w:tc>
          <w:tcPr>
            <w:tcW w:w="1306" w:type="dxa"/>
            <w:tcBorders>
              <w:left w:val="single" w:color="000000" w:sz="2" w:space="0"/>
              <w:right w:val="single" w:color="000000" w:sz="2" w:space="0"/>
            </w:tcBorders>
            <w:vAlign w:val="top"/>
          </w:tcPr>
          <w:p w14:paraId="21BCBDC8">
            <w:pPr>
              <w:rPr>
                <w:rFonts w:ascii="Arial"/>
                <w:color w:val="auto"/>
                <w:sz w:val="21"/>
                <w:highlight w:val="none"/>
              </w:rPr>
            </w:pPr>
          </w:p>
        </w:tc>
        <w:tc>
          <w:tcPr>
            <w:tcW w:w="1288" w:type="dxa"/>
            <w:tcBorders>
              <w:left w:val="single" w:color="000000" w:sz="2" w:space="0"/>
              <w:right w:val="single" w:color="000000" w:sz="2" w:space="0"/>
            </w:tcBorders>
            <w:vAlign w:val="top"/>
          </w:tcPr>
          <w:p w14:paraId="38784663">
            <w:pPr>
              <w:rPr>
                <w:rFonts w:ascii="Arial"/>
                <w:color w:val="auto"/>
                <w:sz w:val="21"/>
                <w:highlight w:val="none"/>
              </w:rPr>
            </w:pPr>
          </w:p>
        </w:tc>
        <w:tc>
          <w:tcPr>
            <w:tcW w:w="1093" w:type="dxa"/>
            <w:tcBorders>
              <w:left w:val="single" w:color="000000" w:sz="2" w:space="0"/>
              <w:right w:val="single" w:color="000000" w:sz="2" w:space="0"/>
            </w:tcBorders>
            <w:vAlign w:val="top"/>
          </w:tcPr>
          <w:p w14:paraId="0A6D54BF">
            <w:pPr>
              <w:rPr>
                <w:rFonts w:ascii="Arial"/>
                <w:color w:val="auto"/>
                <w:sz w:val="21"/>
                <w:highlight w:val="none"/>
              </w:rPr>
            </w:pPr>
          </w:p>
        </w:tc>
      </w:tr>
      <w:tr w14:paraId="2F6AA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0" w:type="dxa"/>
            <w:tcBorders>
              <w:left w:val="single" w:color="000000" w:sz="2" w:space="0"/>
            </w:tcBorders>
            <w:vAlign w:val="top"/>
          </w:tcPr>
          <w:p w14:paraId="0C67545C">
            <w:pPr>
              <w:pStyle w:val="75"/>
              <w:spacing w:before="127" w:line="269" w:lineRule="exact"/>
              <w:ind w:left="240"/>
              <w:rPr>
                <w:color w:val="auto"/>
                <w:sz w:val="20"/>
                <w:szCs w:val="20"/>
                <w:highlight w:val="none"/>
              </w:rPr>
            </w:pPr>
            <w:r>
              <w:rPr>
                <w:color w:val="auto"/>
                <w:position w:val="1"/>
                <w:sz w:val="20"/>
                <w:szCs w:val="20"/>
                <w:highlight w:val="none"/>
              </w:rPr>
              <w:t>5</w:t>
            </w:r>
          </w:p>
        </w:tc>
        <w:tc>
          <w:tcPr>
            <w:tcW w:w="1423" w:type="dxa"/>
            <w:vAlign w:val="top"/>
          </w:tcPr>
          <w:p w14:paraId="7C8D0695">
            <w:pPr>
              <w:rPr>
                <w:rFonts w:ascii="Arial"/>
                <w:color w:val="auto"/>
                <w:sz w:val="21"/>
                <w:highlight w:val="none"/>
              </w:rPr>
            </w:pPr>
          </w:p>
        </w:tc>
        <w:tc>
          <w:tcPr>
            <w:tcW w:w="707" w:type="dxa"/>
            <w:vAlign w:val="top"/>
          </w:tcPr>
          <w:p w14:paraId="67918399">
            <w:pPr>
              <w:rPr>
                <w:rFonts w:ascii="Arial"/>
                <w:color w:val="auto"/>
                <w:sz w:val="21"/>
                <w:highlight w:val="none"/>
              </w:rPr>
            </w:pPr>
          </w:p>
        </w:tc>
        <w:tc>
          <w:tcPr>
            <w:tcW w:w="1047" w:type="dxa"/>
            <w:tcBorders>
              <w:right w:val="single" w:color="000000" w:sz="2" w:space="0"/>
            </w:tcBorders>
            <w:vAlign w:val="top"/>
          </w:tcPr>
          <w:p w14:paraId="1CBD0DD6">
            <w:pPr>
              <w:rPr>
                <w:rFonts w:ascii="Arial"/>
                <w:color w:val="auto"/>
                <w:sz w:val="21"/>
                <w:highlight w:val="none"/>
              </w:rPr>
            </w:pPr>
          </w:p>
        </w:tc>
        <w:tc>
          <w:tcPr>
            <w:tcW w:w="2150" w:type="dxa"/>
            <w:tcBorders>
              <w:left w:val="single" w:color="000000" w:sz="2" w:space="0"/>
              <w:right w:val="single" w:color="000000" w:sz="2" w:space="0"/>
            </w:tcBorders>
            <w:vAlign w:val="top"/>
          </w:tcPr>
          <w:p w14:paraId="6865E374">
            <w:pPr>
              <w:rPr>
                <w:rFonts w:ascii="Arial"/>
                <w:color w:val="auto"/>
                <w:sz w:val="21"/>
                <w:highlight w:val="none"/>
              </w:rPr>
            </w:pPr>
          </w:p>
        </w:tc>
        <w:tc>
          <w:tcPr>
            <w:tcW w:w="1306" w:type="dxa"/>
            <w:tcBorders>
              <w:left w:val="single" w:color="000000" w:sz="2" w:space="0"/>
              <w:right w:val="single" w:color="000000" w:sz="2" w:space="0"/>
            </w:tcBorders>
            <w:vAlign w:val="top"/>
          </w:tcPr>
          <w:p w14:paraId="7AF68BD7">
            <w:pPr>
              <w:rPr>
                <w:rFonts w:ascii="Arial"/>
                <w:color w:val="auto"/>
                <w:sz w:val="21"/>
                <w:highlight w:val="none"/>
              </w:rPr>
            </w:pPr>
          </w:p>
        </w:tc>
        <w:tc>
          <w:tcPr>
            <w:tcW w:w="1288" w:type="dxa"/>
            <w:tcBorders>
              <w:left w:val="single" w:color="000000" w:sz="2" w:space="0"/>
              <w:right w:val="single" w:color="000000" w:sz="2" w:space="0"/>
            </w:tcBorders>
            <w:vAlign w:val="top"/>
          </w:tcPr>
          <w:p w14:paraId="302D61C7">
            <w:pPr>
              <w:rPr>
                <w:rFonts w:ascii="Arial"/>
                <w:color w:val="auto"/>
                <w:sz w:val="21"/>
                <w:highlight w:val="none"/>
              </w:rPr>
            </w:pPr>
          </w:p>
        </w:tc>
        <w:tc>
          <w:tcPr>
            <w:tcW w:w="1093" w:type="dxa"/>
            <w:tcBorders>
              <w:left w:val="single" w:color="000000" w:sz="2" w:space="0"/>
              <w:right w:val="single" w:color="000000" w:sz="2" w:space="0"/>
            </w:tcBorders>
            <w:vAlign w:val="top"/>
          </w:tcPr>
          <w:p w14:paraId="5C3FE969">
            <w:pPr>
              <w:rPr>
                <w:rFonts w:ascii="Arial"/>
                <w:color w:val="auto"/>
                <w:sz w:val="21"/>
                <w:highlight w:val="none"/>
              </w:rPr>
            </w:pPr>
          </w:p>
        </w:tc>
      </w:tr>
      <w:tr w14:paraId="4DA97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51D45337">
            <w:pPr>
              <w:pStyle w:val="75"/>
              <w:spacing w:before="129" w:line="269" w:lineRule="exact"/>
              <w:ind w:left="238"/>
              <w:rPr>
                <w:color w:val="auto"/>
                <w:sz w:val="20"/>
                <w:szCs w:val="20"/>
                <w:highlight w:val="none"/>
              </w:rPr>
            </w:pPr>
            <w:r>
              <w:rPr>
                <w:color w:val="auto"/>
                <w:position w:val="1"/>
                <w:sz w:val="20"/>
                <w:szCs w:val="20"/>
                <w:highlight w:val="none"/>
              </w:rPr>
              <w:t>6</w:t>
            </w:r>
          </w:p>
        </w:tc>
        <w:tc>
          <w:tcPr>
            <w:tcW w:w="1423" w:type="dxa"/>
            <w:vAlign w:val="top"/>
          </w:tcPr>
          <w:p w14:paraId="0701A527">
            <w:pPr>
              <w:rPr>
                <w:rFonts w:ascii="Arial"/>
                <w:color w:val="auto"/>
                <w:sz w:val="21"/>
                <w:highlight w:val="none"/>
              </w:rPr>
            </w:pPr>
          </w:p>
        </w:tc>
        <w:tc>
          <w:tcPr>
            <w:tcW w:w="707" w:type="dxa"/>
            <w:vAlign w:val="top"/>
          </w:tcPr>
          <w:p w14:paraId="69E137C9">
            <w:pPr>
              <w:rPr>
                <w:rFonts w:ascii="Arial"/>
                <w:color w:val="auto"/>
                <w:sz w:val="21"/>
                <w:highlight w:val="none"/>
              </w:rPr>
            </w:pPr>
          </w:p>
        </w:tc>
        <w:tc>
          <w:tcPr>
            <w:tcW w:w="1047" w:type="dxa"/>
            <w:tcBorders>
              <w:right w:val="single" w:color="000000" w:sz="2" w:space="0"/>
            </w:tcBorders>
            <w:vAlign w:val="top"/>
          </w:tcPr>
          <w:p w14:paraId="306678B8">
            <w:pPr>
              <w:rPr>
                <w:rFonts w:ascii="Arial"/>
                <w:color w:val="auto"/>
                <w:sz w:val="21"/>
                <w:highlight w:val="none"/>
              </w:rPr>
            </w:pPr>
          </w:p>
        </w:tc>
        <w:tc>
          <w:tcPr>
            <w:tcW w:w="2150" w:type="dxa"/>
            <w:tcBorders>
              <w:left w:val="single" w:color="000000" w:sz="2" w:space="0"/>
              <w:right w:val="single" w:color="000000" w:sz="2" w:space="0"/>
            </w:tcBorders>
            <w:vAlign w:val="top"/>
          </w:tcPr>
          <w:p w14:paraId="76C86330">
            <w:pPr>
              <w:rPr>
                <w:rFonts w:ascii="Arial"/>
                <w:color w:val="auto"/>
                <w:sz w:val="21"/>
                <w:highlight w:val="none"/>
              </w:rPr>
            </w:pPr>
          </w:p>
        </w:tc>
        <w:tc>
          <w:tcPr>
            <w:tcW w:w="1306" w:type="dxa"/>
            <w:tcBorders>
              <w:left w:val="single" w:color="000000" w:sz="2" w:space="0"/>
              <w:right w:val="single" w:color="000000" w:sz="2" w:space="0"/>
            </w:tcBorders>
            <w:vAlign w:val="top"/>
          </w:tcPr>
          <w:p w14:paraId="61A3C050">
            <w:pPr>
              <w:rPr>
                <w:rFonts w:ascii="Arial"/>
                <w:color w:val="auto"/>
                <w:sz w:val="21"/>
                <w:highlight w:val="none"/>
              </w:rPr>
            </w:pPr>
          </w:p>
        </w:tc>
        <w:tc>
          <w:tcPr>
            <w:tcW w:w="1288" w:type="dxa"/>
            <w:tcBorders>
              <w:left w:val="single" w:color="000000" w:sz="2" w:space="0"/>
              <w:right w:val="single" w:color="000000" w:sz="2" w:space="0"/>
            </w:tcBorders>
            <w:vAlign w:val="top"/>
          </w:tcPr>
          <w:p w14:paraId="5450796B">
            <w:pPr>
              <w:rPr>
                <w:rFonts w:ascii="Arial"/>
                <w:color w:val="auto"/>
                <w:sz w:val="21"/>
                <w:highlight w:val="none"/>
              </w:rPr>
            </w:pPr>
          </w:p>
        </w:tc>
        <w:tc>
          <w:tcPr>
            <w:tcW w:w="1093" w:type="dxa"/>
            <w:tcBorders>
              <w:left w:val="single" w:color="000000" w:sz="2" w:space="0"/>
              <w:right w:val="single" w:color="000000" w:sz="2" w:space="0"/>
            </w:tcBorders>
            <w:vAlign w:val="top"/>
          </w:tcPr>
          <w:p w14:paraId="2B11BEB0">
            <w:pPr>
              <w:rPr>
                <w:rFonts w:ascii="Arial"/>
                <w:color w:val="auto"/>
                <w:sz w:val="21"/>
                <w:highlight w:val="none"/>
              </w:rPr>
            </w:pPr>
          </w:p>
        </w:tc>
      </w:tr>
      <w:tr w14:paraId="09F0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471A1A46">
            <w:pPr>
              <w:pStyle w:val="75"/>
              <w:spacing w:before="127" w:line="269" w:lineRule="exact"/>
              <w:ind w:left="241"/>
              <w:rPr>
                <w:color w:val="auto"/>
                <w:sz w:val="20"/>
                <w:szCs w:val="20"/>
                <w:highlight w:val="none"/>
              </w:rPr>
            </w:pPr>
            <w:r>
              <w:rPr>
                <w:color w:val="auto"/>
                <w:position w:val="1"/>
                <w:sz w:val="20"/>
                <w:szCs w:val="20"/>
                <w:highlight w:val="none"/>
              </w:rPr>
              <w:t>7</w:t>
            </w:r>
          </w:p>
        </w:tc>
        <w:tc>
          <w:tcPr>
            <w:tcW w:w="1423" w:type="dxa"/>
            <w:vAlign w:val="top"/>
          </w:tcPr>
          <w:p w14:paraId="669E6AB6">
            <w:pPr>
              <w:rPr>
                <w:rFonts w:ascii="Arial"/>
                <w:color w:val="auto"/>
                <w:sz w:val="21"/>
                <w:highlight w:val="none"/>
              </w:rPr>
            </w:pPr>
          </w:p>
        </w:tc>
        <w:tc>
          <w:tcPr>
            <w:tcW w:w="707" w:type="dxa"/>
            <w:vAlign w:val="top"/>
          </w:tcPr>
          <w:p w14:paraId="41D299BF">
            <w:pPr>
              <w:rPr>
                <w:rFonts w:ascii="Arial"/>
                <w:color w:val="auto"/>
                <w:sz w:val="21"/>
                <w:highlight w:val="none"/>
              </w:rPr>
            </w:pPr>
          </w:p>
        </w:tc>
        <w:tc>
          <w:tcPr>
            <w:tcW w:w="1047" w:type="dxa"/>
            <w:tcBorders>
              <w:right w:val="single" w:color="000000" w:sz="2" w:space="0"/>
            </w:tcBorders>
            <w:vAlign w:val="top"/>
          </w:tcPr>
          <w:p w14:paraId="15F3FAAE">
            <w:pPr>
              <w:rPr>
                <w:rFonts w:ascii="Arial"/>
                <w:color w:val="auto"/>
                <w:sz w:val="21"/>
                <w:highlight w:val="none"/>
              </w:rPr>
            </w:pPr>
          </w:p>
        </w:tc>
        <w:tc>
          <w:tcPr>
            <w:tcW w:w="2150" w:type="dxa"/>
            <w:tcBorders>
              <w:left w:val="single" w:color="000000" w:sz="2" w:space="0"/>
              <w:right w:val="single" w:color="000000" w:sz="2" w:space="0"/>
            </w:tcBorders>
            <w:vAlign w:val="top"/>
          </w:tcPr>
          <w:p w14:paraId="7E8DB474">
            <w:pPr>
              <w:rPr>
                <w:rFonts w:ascii="Arial"/>
                <w:color w:val="auto"/>
                <w:sz w:val="21"/>
                <w:highlight w:val="none"/>
              </w:rPr>
            </w:pPr>
          </w:p>
        </w:tc>
        <w:tc>
          <w:tcPr>
            <w:tcW w:w="1306" w:type="dxa"/>
            <w:tcBorders>
              <w:left w:val="single" w:color="000000" w:sz="2" w:space="0"/>
              <w:right w:val="single" w:color="000000" w:sz="2" w:space="0"/>
            </w:tcBorders>
            <w:vAlign w:val="top"/>
          </w:tcPr>
          <w:p w14:paraId="52A1D6D8">
            <w:pPr>
              <w:rPr>
                <w:rFonts w:ascii="Arial"/>
                <w:color w:val="auto"/>
                <w:sz w:val="21"/>
                <w:highlight w:val="none"/>
              </w:rPr>
            </w:pPr>
          </w:p>
        </w:tc>
        <w:tc>
          <w:tcPr>
            <w:tcW w:w="1288" w:type="dxa"/>
            <w:tcBorders>
              <w:left w:val="single" w:color="000000" w:sz="2" w:space="0"/>
              <w:right w:val="single" w:color="000000" w:sz="2" w:space="0"/>
            </w:tcBorders>
            <w:vAlign w:val="top"/>
          </w:tcPr>
          <w:p w14:paraId="02E925FA">
            <w:pPr>
              <w:rPr>
                <w:rFonts w:ascii="Arial"/>
                <w:color w:val="auto"/>
                <w:sz w:val="21"/>
                <w:highlight w:val="none"/>
              </w:rPr>
            </w:pPr>
          </w:p>
        </w:tc>
        <w:tc>
          <w:tcPr>
            <w:tcW w:w="1093" w:type="dxa"/>
            <w:tcBorders>
              <w:left w:val="single" w:color="000000" w:sz="2" w:space="0"/>
              <w:right w:val="single" w:color="000000" w:sz="2" w:space="0"/>
            </w:tcBorders>
            <w:vAlign w:val="top"/>
          </w:tcPr>
          <w:p w14:paraId="3B3B7C1D">
            <w:pPr>
              <w:rPr>
                <w:rFonts w:ascii="Arial"/>
                <w:color w:val="auto"/>
                <w:sz w:val="21"/>
                <w:highlight w:val="none"/>
              </w:rPr>
            </w:pPr>
          </w:p>
        </w:tc>
      </w:tr>
      <w:tr w14:paraId="0572A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60" w:type="dxa"/>
            <w:tcBorders>
              <w:left w:val="single" w:color="000000" w:sz="2" w:space="0"/>
            </w:tcBorders>
            <w:vAlign w:val="top"/>
          </w:tcPr>
          <w:p w14:paraId="42A38F19">
            <w:pPr>
              <w:pStyle w:val="75"/>
              <w:spacing w:before="128" w:line="269" w:lineRule="exact"/>
              <w:ind w:left="237"/>
              <w:rPr>
                <w:color w:val="auto"/>
                <w:sz w:val="20"/>
                <w:szCs w:val="20"/>
                <w:highlight w:val="none"/>
              </w:rPr>
            </w:pPr>
            <w:r>
              <w:rPr>
                <w:color w:val="auto"/>
                <w:position w:val="1"/>
                <w:sz w:val="20"/>
                <w:szCs w:val="20"/>
                <w:highlight w:val="none"/>
              </w:rPr>
              <w:t>8</w:t>
            </w:r>
          </w:p>
        </w:tc>
        <w:tc>
          <w:tcPr>
            <w:tcW w:w="1423" w:type="dxa"/>
            <w:vAlign w:val="top"/>
          </w:tcPr>
          <w:p w14:paraId="1B65CDD2">
            <w:pPr>
              <w:rPr>
                <w:rFonts w:ascii="Arial"/>
                <w:color w:val="auto"/>
                <w:sz w:val="21"/>
                <w:highlight w:val="none"/>
              </w:rPr>
            </w:pPr>
          </w:p>
        </w:tc>
        <w:tc>
          <w:tcPr>
            <w:tcW w:w="707" w:type="dxa"/>
            <w:vAlign w:val="top"/>
          </w:tcPr>
          <w:p w14:paraId="4BB346F3">
            <w:pPr>
              <w:rPr>
                <w:rFonts w:ascii="Arial"/>
                <w:color w:val="auto"/>
                <w:sz w:val="21"/>
                <w:highlight w:val="none"/>
              </w:rPr>
            </w:pPr>
          </w:p>
        </w:tc>
        <w:tc>
          <w:tcPr>
            <w:tcW w:w="1047" w:type="dxa"/>
            <w:tcBorders>
              <w:right w:val="single" w:color="000000" w:sz="2" w:space="0"/>
            </w:tcBorders>
            <w:vAlign w:val="top"/>
          </w:tcPr>
          <w:p w14:paraId="799D12A0">
            <w:pPr>
              <w:rPr>
                <w:rFonts w:ascii="Arial"/>
                <w:color w:val="auto"/>
                <w:sz w:val="21"/>
                <w:highlight w:val="none"/>
              </w:rPr>
            </w:pPr>
          </w:p>
        </w:tc>
        <w:tc>
          <w:tcPr>
            <w:tcW w:w="2150" w:type="dxa"/>
            <w:tcBorders>
              <w:left w:val="single" w:color="000000" w:sz="2" w:space="0"/>
              <w:right w:val="single" w:color="000000" w:sz="2" w:space="0"/>
            </w:tcBorders>
            <w:vAlign w:val="top"/>
          </w:tcPr>
          <w:p w14:paraId="2BE802A5">
            <w:pPr>
              <w:rPr>
                <w:rFonts w:ascii="Arial"/>
                <w:color w:val="auto"/>
                <w:sz w:val="21"/>
                <w:highlight w:val="none"/>
              </w:rPr>
            </w:pPr>
          </w:p>
        </w:tc>
        <w:tc>
          <w:tcPr>
            <w:tcW w:w="1306" w:type="dxa"/>
            <w:tcBorders>
              <w:left w:val="single" w:color="000000" w:sz="2" w:space="0"/>
              <w:right w:val="single" w:color="000000" w:sz="2" w:space="0"/>
            </w:tcBorders>
            <w:vAlign w:val="top"/>
          </w:tcPr>
          <w:p w14:paraId="110A34FE">
            <w:pPr>
              <w:rPr>
                <w:rFonts w:ascii="Arial"/>
                <w:color w:val="auto"/>
                <w:sz w:val="21"/>
                <w:highlight w:val="none"/>
              </w:rPr>
            </w:pPr>
          </w:p>
        </w:tc>
        <w:tc>
          <w:tcPr>
            <w:tcW w:w="1288" w:type="dxa"/>
            <w:tcBorders>
              <w:left w:val="single" w:color="000000" w:sz="2" w:space="0"/>
              <w:right w:val="single" w:color="000000" w:sz="2" w:space="0"/>
            </w:tcBorders>
            <w:vAlign w:val="top"/>
          </w:tcPr>
          <w:p w14:paraId="0420BE38">
            <w:pPr>
              <w:rPr>
                <w:rFonts w:ascii="Arial"/>
                <w:color w:val="auto"/>
                <w:sz w:val="21"/>
                <w:highlight w:val="none"/>
              </w:rPr>
            </w:pPr>
          </w:p>
        </w:tc>
        <w:tc>
          <w:tcPr>
            <w:tcW w:w="1093" w:type="dxa"/>
            <w:tcBorders>
              <w:left w:val="single" w:color="000000" w:sz="2" w:space="0"/>
              <w:right w:val="single" w:color="000000" w:sz="2" w:space="0"/>
            </w:tcBorders>
            <w:vAlign w:val="top"/>
          </w:tcPr>
          <w:p w14:paraId="31E1122E">
            <w:pPr>
              <w:rPr>
                <w:rFonts w:ascii="Arial"/>
                <w:color w:val="auto"/>
                <w:sz w:val="21"/>
                <w:highlight w:val="none"/>
              </w:rPr>
            </w:pPr>
          </w:p>
        </w:tc>
      </w:tr>
      <w:tr w14:paraId="2E425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6E2EE524">
            <w:pPr>
              <w:pStyle w:val="75"/>
              <w:spacing w:before="130" w:line="269" w:lineRule="exact"/>
              <w:ind w:left="237"/>
              <w:rPr>
                <w:color w:val="auto"/>
                <w:sz w:val="20"/>
                <w:szCs w:val="20"/>
                <w:highlight w:val="none"/>
              </w:rPr>
            </w:pPr>
            <w:r>
              <w:rPr>
                <w:color w:val="auto"/>
                <w:position w:val="1"/>
                <w:sz w:val="20"/>
                <w:szCs w:val="20"/>
                <w:highlight w:val="none"/>
              </w:rPr>
              <w:t>9</w:t>
            </w:r>
          </w:p>
        </w:tc>
        <w:tc>
          <w:tcPr>
            <w:tcW w:w="1423" w:type="dxa"/>
            <w:vAlign w:val="top"/>
          </w:tcPr>
          <w:p w14:paraId="5C186F63">
            <w:pPr>
              <w:rPr>
                <w:rFonts w:ascii="Arial"/>
                <w:color w:val="auto"/>
                <w:sz w:val="21"/>
                <w:highlight w:val="none"/>
              </w:rPr>
            </w:pPr>
          </w:p>
        </w:tc>
        <w:tc>
          <w:tcPr>
            <w:tcW w:w="707" w:type="dxa"/>
            <w:vAlign w:val="top"/>
          </w:tcPr>
          <w:p w14:paraId="50237FE9">
            <w:pPr>
              <w:rPr>
                <w:rFonts w:ascii="Arial"/>
                <w:color w:val="auto"/>
                <w:sz w:val="21"/>
                <w:highlight w:val="none"/>
              </w:rPr>
            </w:pPr>
          </w:p>
        </w:tc>
        <w:tc>
          <w:tcPr>
            <w:tcW w:w="1047" w:type="dxa"/>
            <w:tcBorders>
              <w:right w:val="single" w:color="000000" w:sz="2" w:space="0"/>
            </w:tcBorders>
            <w:vAlign w:val="top"/>
          </w:tcPr>
          <w:p w14:paraId="34B018BF">
            <w:pPr>
              <w:rPr>
                <w:rFonts w:ascii="Arial"/>
                <w:color w:val="auto"/>
                <w:sz w:val="21"/>
                <w:highlight w:val="none"/>
              </w:rPr>
            </w:pPr>
          </w:p>
        </w:tc>
        <w:tc>
          <w:tcPr>
            <w:tcW w:w="2150" w:type="dxa"/>
            <w:tcBorders>
              <w:left w:val="single" w:color="000000" w:sz="2" w:space="0"/>
              <w:right w:val="single" w:color="000000" w:sz="2" w:space="0"/>
            </w:tcBorders>
            <w:vAlign w:val="top"/>
          </w:tcPr>
          <w:p w14:paraId="3C20B288">
            <w:pPr>
              <w:rPr>
                <w:rFonts w:ascii="Arial"/>
                <w:color w:val="auto"/>
                <w:sz w:val="21"/>
                <w:highlight w:val="none"/>
              </w:rPr>
            </w:pPr>
          </w:p>
        </w:tc>
        <w:tc>
          <w:tcPr>
            <w:tcW w:w="1306" w:type="dxa"/>
            <w:tcBorders>
              <w:left w:val="single" w:color="000000" w:sz="2" w:space="0"/>
              <w:right w:val="single" w:color="000000" w:sz="2" w:space="0"/>
            </w:tcBorders>
            <w:vAlign w:val="top"/>
          </w:tcPr>
          <w:p w14:paraId="0D974507">
            <w:pPr>
              <w:rPr>
                <w:rFonts w:ascii="Arial"/>
                <w:color w:val="auto"/>
                <w:sz w:val="21"/>
                <w:highlight w:val="none"/>
              </w:rPr>
            </w:pPr>
          </w:p>
        </w:tc>
        <w:tc>
          <w:tcPr>
            <w:tcW w:w="1288" w:type="dxa"/>
            <w:tcBorders>
              <w:left w:val="single" w:color="000000" w:sz="2" w:space="0"/>
              <w:right w:val="single" w:color="000000" w:sz="2" w:space="0"/>
            </w:tcBorders>
            <w:vAlign w:val="top"/>
          </w:tcPr>
          <w:p w14:paraId="5B69AA98">
            <w:pPr>
              <w:rPr>
                <w:rFonts w:ascii="Arial"/>
                <w:color w:val="auto"/>
                <w:sz w:val="21"/>
                <w:highlight w:val="none"/>
              </w:rPr>
            </w:pPr>
          </w:p>
        </w:tc>
        <w:tc>
          <w:tcPr>
            <w:tcW w:w="1093" w:type="dxa"/>
            <w:tcBorders>
              <w:left w:val="single" w:color="000000" w:sz="2" w:space="0"/>
              <w:right w:val="single" w:color="000000" w:sz="2" w:space="0"/>
            </w:tcBorders>
            <w:vAlign w:val="top"/>
          </w:tcPr>
          <w:p w14:paraId="5ECCDFD3">
            <w:pPr>
              <w:rPr>
                <w:rFonts w:ascii="Arial"/>
                <w:color w:val="auto"/>
                <w:sz w:val="21"/>
                <w:highlight w:val="none"/>
              </w:rPr>
            </w:pPr>
          </w:p>
        </w:tc>
      </w:tr>
      <w:tr w14:paraId="1DDD0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14592384">
            <w:pPr>
              <w:pStyle w:val="75"/>
              <w:spacing w:before="128" w:line="269" w:lineRule="exact"/>
              <w:ind w:left="201"/>
              <w:rPr>
                <w:color w:val="auto"/>
                <w:sz w:val="20"/>
                <w:szCs w:val="20"/>
                <w:highlight w:val="none"/>
              </w:rPr>
            </w:pPr>
            <w:r>
              <w:rPr>
                <w:color w:val="auto"/>
                <w:spacing w:val="-7"/>
                <w:position w:val="1"/>
                <w:sz w:val="20"/>
                <w:szCs w:val="20"/>
                <w:highlight w:val="none"/>
              </w:rPr>
              <w:t>10</w:t>
            </w:r>
          </w:p>
        </w:tc>
        <w:tc>
          <w:tcPr>
            <w:tcW w:w="1423" w:type="dxa"/>
            <w:vAlign w:val="top"/>
          </w:tcPr>
          <w:p w14:paraId="7760488C">
            <w:pPr>
              <w:rPr>
                <w:rFonts w:ascii="Arial"/>
                <w:color w:val="auto"/>
                <w:sz w:val="21"/>
                <w:highlight w:val="none"/>
              </w:rPr>
            </w:pPr>
          </w:p>
        </w:tc>
        <w:tc>
          <w:tcPr>
            <w:tcW w:w="707" w:type="dxa"/>
            <w:vAlign w:val="top"/>
          </w:tcPr>
          <w:p w14:paraId="70BE6371">
            <w:pPr>
              <w:rPr>
                <w:rFonts w:ascii="Arial"/>
                <w:color w:val="auto"/>
                <w:sz w:val="21"/>
                <w:highlight w:val="none"/>
              </w:rPr>
            </w:pPr>
          </w:p>
        </w:tc>
        <w:tc>
          <w:tcPr>
            <w:tcW w:w="1047" w:type="dxa"/>
            <w:tcBorders>
              <w:right w:val="single" w:color="000000" w:sz="2" w:space="0"/>
            </w:tcBorders>
            <w:vAlign w:val="top"/>
          </w:tcPr>
          <w:p w14:paraId="74098C60">
            <w:pPr>
              <w:rPr>
                <w:rFonts w:ascii="Arial"/>
                <w:color w:val="auto"/>
                <w:sz w:val="21"/>
                <w:highlight w:val="none"/>
              </w:rPr>
            </w:pPr>
          </w:p>
        </w:tc>
        <w:tc>
          <w:tcPr>
            <w:tcW w:w="2150" w:type="dxa"/>
            <w:tcBorders>
              <w:left w:val="single" w:color="000000" w:sz="2" w:space="0"/>
              <w:right w:val="single" w:color="000000" w:sz="2" w:space="0"/>
            </w:tcBorders>
            <w:vAlign w:val="top"/>
          </w:tcPr>
          <w:p w14:paraId="718F70DC">
            <w:pPr>
              <w:rPr>
                <w:rFonts w:ascii="Arial"/>
                <w:color w:val="auto"/>
                <w:sz w:val="21"/>
                <w:highlight w:val="none"/>
              </w:rPr>
            </w:pPr>
          </w:p>
        </w:tc>
        <w:tc>
          <w:tcPr>
            <w:tcW w:w="1306" w:type="dxa"/>
            <w:tcBorders>
              <w:left w:val="single" w:color="000000" w:sz="2" w:space="0"/>
              <w:right w:val="single" w:color="000000" w:sz="2" w:space="0"/>
            </w:tcBorders>
            <w:vAlign w:val="top"/>
          </w:tcPr>
          <w:p w14:paraId="4500474B">
            <w:pPr>
              <w:rPr>
                <w:rFonts w:ascii="Arial"/>
                <w:color w:val="auto"/>
                <w:sz w:val="21"/>
                <w:highlight w:val="none"/>
              </w:rPr>
            </w:pPr>
          </w:p>
        </w:tc>
        <w:tc>
          <w:tcPr>
            <w:tcW w:w="1288" w:type="dxa"/>
            <w:tcBorders>
              <w:left w:val="single" w:color="000000" w:sz="2" w:space="0"/>
              <w:right w:val="single" w:color="000000" w:sz="2" w:space="0"/>
            </w:tcBorders>
            <w:vAlign w:val="top"/>
          </w:tcPr>
          <w:p w14:paraId="1295B87E">
            <w:pPr>
              <w:rPr>
                <w:rFonts w:ascii="Arial"/>
                <w:color w:val="auto"/>
                <w:sz w:val="21"/>
                <w:highlight w:val="none"/>
              </w:rPr>
            </w:pPr>
          </w:p>
        </w:tc>
        <w:tc>
          <w:tcPr>
            <w:tcW w:w="1093" w:type="dxa"/>
            <w:tcBorders>
              <w:left w:val="single" w:color="000000" w:sz="2" w:space="0"/>
              <w:right w:val="single" w:color="000000" w:sz="2" w:space="0"/>
            </w:tcBorders>
            <w:vAlign w:val="top"/>
          </w:tcPr>
          <w:p w14:paraId="523E4DFF">
            <w:pPr>
              <w:rPr>
                <w:rFonts w:ascii="Arial"/>
                <w:color w:val="auto"/>
                <w:sz w:val="21"/>
                <w:highlight w:val="none"/>
              </w:rPr>
            </w:pPr>
          </w:p>
        </w:tc>
      </w:tr>
      <w:tr w14:paraId="1610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tcBorders>
              <w:left w:val="single" w:color="000000" w:sz="2" w:space="0"/>
            </w:tcBorders>
            <w:vAlign w:val="top"/>
          </w:tcPr>
          <w:p w14:paraId="243C27A5">
            <w:pPr>
              <w:pStyle w:val="75"/>
              <w:spacing w:before="165" w:line="271" w:lineRule="exact"/>
              <w:ind w:left="201"/>
              <w:rPr>
                <w:color w:val="auto"/>
                <w:sz w:val="20"/>
                <w:szCs w:val="20"/>
                <w:highlight w:val="none"/>
              </w:rPr>
            </w:pPr>
            <w:r>
              <w:rPr>
                <w:color w:val="auto"/>
                <w:spacing w:val="-7"/>
                <w:position w:val="1"/>
                <w:sz w:val="20"/>
                <w:szCs w:val="20"/>
                <w:highlight w:val="none"/>
              </w:rPr>
              <w:t>11</w:t>
            </w:r>
          </w:p>
        </w:tc>
        <w:tc>
          <w:tcPr>
            <w:tcW w:w="1423" w:type="dxa"/>
            <w:vAlign w:val="top"/>
          </w:tcPr>
          <w:p w14:paraId="41BE8224">
            <w:pPr>
              <w:rPr>
                <w:rFonts w:ascii="Arial"/>
                <w:color w:val="auto"/>
                <w:sz w:val="21"/>
                <w:highlight w:val="none"/>
              </w:rPr>
            </w:pPr>
          </w:p>
        </w:tc>
        <w:tc>
          <w:tcPr>
            <w:tcW w:w="707" w:type="dxa"/>
            <w:vAlign w:val="top"/>
          </w:tcPr>
          <w:p w14:paraId="0EE0C4F8">
            <w:pPr>
              <w:rPr>
                <w:rFonts w:ascii="Arial"/>
                <w:color w:val="auto"/>
                <w:sz w:val="21"/>
                <w:highlight w:val="none"/>
              </w:rPr>
            </w:pPr>
          </w:p>
        </w:tc>
        <w:tc>
          <w:tcPr>
            <w:tcW w:w="1047" w:type="dxa"/>
            <w:tcBorders>
              <w:right w:val="single" w:color="000000" w:sz="2" w:space="0"/>
            </w:tcBorders>
            <w:vAlign w:val="top"/>
          </w:tcPr>
          <w:p w14:paraId="4E93EF0E">
            <w:pPr>
              <w:rPr>
                <w:rFonts w:ascii="Arial"/>
                <w:color w:val="auto"/>
                <w:sz w:val="21"/>
                <w:highlight w:val="none"/>
              </w:rPr>
            </w:pPr>
          </w:p>
        </w:tc>
        <w:tc>
          <w:tcPr>
            <w:tcW w:w="2150" w:type="dxa"/>
            <w:tcBorders>
              <w:left w:val="single" w:color="000000" w:sz="2" w:space="0"/>
              <w:right w:val="single" w:color="000000" w:sz="2" w:space="0"/>
            </w:tcBorders>
            <w:vAlign w:val="top"/>
          </w:tcPr>
          <w:p w14:paraId="687BF4E9">
            <w:pPr>
              <w:rPr>
                <w:rFonts w:ascii="Arial"/>
                <w:color w:val="auto"/>
                <w:sz w:val="21"/>
                <w:highlight w:val="none"/>
              </w:rPr>
            </w:pPr>
          </w:p>
        </w:tc>
        <w:tc>
          <w:tcPr>
            <w:tcW w:w="1306" w:type="dxa"/>
            <w:tcBorders>
              <w:left w:val="single" w:color="000000" w:sz="2" w:space="0"/>
              <w:right w:val="single" w:color="000000" w:sz="2" w:space="0"/>
            </w:tcBorders>
            <w:vAlign w:val="top"/>
          </w:tcPr>
          <w:p w14:paraId="003CEDA9">
            <w:pPr>
              <w:rPr>
                <w:rFonts w:ascii="Arial"/>
                <w:color w:val="auto"/>
                <w:sz w:val="21"/>
                <w:highlight w:val="none"/>
              </w:rPr>
            </w:pPr>
          </w:p>
        </w:tc>
        <w:tc>
          <w:tcPr>
            <w:tcW w:w="1288" w:type="dxa"/>
            <w:tcBorders>
              <w:left w:val="single" w:color="000000" w:sz="2" w:space="0"/>
              <w:right w:val="single" w:color="000000" w:sz="2" w:space="0"/>
            </w:tcBorders>
            <w:vAlign w:val="top"/>
          </w:tcPr>
          <w:p w14:paraId="7F3C5F67">
            <w:pPr>
              <w:rPr>
                <w:rFonts w:ascii="Arial"/>
                <w:color w:val="auto"/>
                <w:sz w:val="21"/>
                <w:highlight w:val="none"/>
              </w:rPr>
            </w:pPr>
          </w:p>
        </w:tc>
        <w:tc>
          <w:tcPr>
            <w:tcW w:w="1093" w:type="dxa"/>
            <w:tcBorders>
              <w:left w:val="single" w:color="000000" w:sz="2" w:space="0"/>
              <w:right w:val="single" w:color="000000" w:sz="2" w:space="0"/>
            </w:tcBorders>
            <w:vAlign w:val="top"/>
          </w:tcPr>
          <w:p w14:paraId="559A38A4">
            <w:pPr>
              <w:rPr>
                <w:rFonts w:ascii="Arial"/>
                <w:color w:val="auto"/>
                <w:sz w:val="21"/>
                <w:highlight w:val="none"/>
              </w:rPr>
            </w:pPr>
          </w:p>
        </w:tc>
      </w:tr>
      <w:tr w14:paraId="7ADE2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60" w:type="dxa"/>
            <w:tcBorders>
              <w:left w:val="single" w:color="000000" w:sz="2" w:space="0"/>
            </w:tcBorders>
            <w:vAlign w:val="top"/>
          </w:tcPr>
          <w:p w14:paraId="2CDB701F">
            <w:pPr>
              <w:rPr>
                <w:rFonts w:ascii="Arial"/>
                <w:color w:val="auto"/>
                <w:sz w:val="21"/>
                <w:highlight w:val="none"/>
              </w:rPr>
            </w:pPr>
          </w:p>
        </w:tc>
        <w:tc>
          <w:tcPr>
            <w:tcW w:w="1423" w:type="dxa"/>
            <w:vAlign w:val="top"/>
          </w:tcPr>
          <w:p w14:paraId="2600A7EA">
            <w:pPr>
              <w:rPr>
                <w:rFonts w:ascii="Arial"/>
                <w:color w:val="auto"/>
                <w:sz w:val="21"/>
                <w:highlight w:val="none"/>
              </w:rPr>
            </w:pPr>
          </w:p>
        </w:tc>
        <w:tc>
          <w:tcPr>
            <w:tcW w:w="707" w:type="dxa"/>
            <w:vAlign w:val="top"/>
          </w:tcPr>
          <w:p w14:paraId="6474E3AD">
            <w:pPr>
              <w:rPr>
                <w:rFonts w:ascii="Arial"/>
                <w:color w:val="auto"/>
                <w:sz w:val="21"/>
                <w:highlight w:val="none"/>
              </w:rPr>
            </w:pPr>
          </w:p>
        </w:tc>
        <w:tc>
          <w:tcPr>
            <w:tcW w:w="1047" w:type="dxa"/>
            <w:tcBorders>
              <w:right w:val="single" w:color="000000" w:sz="2" w:space="0"/>
            </w:tcBorders>
            <w:vAlign w:val="top"/>
          </w:tcPr>
          <w:p w14:paraId="3D82F844">
            <w:pPr>
              <w:rPr>
                <w:rFonts w:ascii="Arial"/>
                <w:color w:val="auto"/>
                <w:sz w:val="21"/>
                <w:highlight w:val="none"/>
              </w:rPr>
            </w:pPr>
          </w:p>
        </w:tc>
        <w:tc>
          <w:tcPr>
            <w:tcW w:w="2150" w:type="dxa"/>
            <w:tcBorders>
              <w:left w:val="single" w:color="000000" w:sz="2" w:space="0"/>
              <w:right w:val="single" w:color="000000" w:sz="2" w:space="0"/>
            </w:tcBorders>
            <w:vAlign w:val="top"/>
          </w:tcPr>
          <w:p w14:paraId="6E6E8071">
            <w:pPr>
              <w:rPr>
                <w:rFonts w:ascii="Arial"/>
                <w:color w:val="auto"/>
                <w:sz w:val="21"/>
                <w:highlight w:val="none"/>
              </w:rPr>
            </w:pPr>
          </w:p>
        </w:tc>
        <w:tc>
          <w:tcPr>
            <w:tcW w:w="1306" w:type="dxa"/>
            <w:tcBorders>
              <w:left w:val="single" w:color="000000" w:sz="2" w:space="0"/>
              <w:right w:val="single" w:color="000000" w:sz="2" w:space="0"/>
            </w:tcBorders>
            <w:vAlign w:val="top"/>
          </w:tcPr>
          <w:p w14:paraId="18BE945A">
            <w:pPr>
              <w:rPr>
                <w:rFonts w:ascii="Arial"/>
                <w:color w:val="auto"/>
                <w:sz w:val="21"/>
                <w:highlight w:val="none"/>
              </w:rPr>
            </w:pPr>
          </w:p>
        </w:tc>
        <w:tc>
          <w:tcPr>
            <w:tcW w:w="1288" w:type="dxa"/>
            <w:tcBorders>
              <w:left w:val="single" w:color="000000" w:sz="2" w:space="0"/>
              <w:right w:val="single" w:color="000000" w:sz="2" w:space="0"/>
            </w:tcBorders>
            <w:vAlign w:val="top"/>
          </w:tcPr>
          <w:p w14:paraId="5145FC08">
            <w:pPr>
              <w:rPr>
                <w:rFonts w:ascii="Arial"/>
                <w:color w:val="auto"/>
                <w:sz w:val="21"/>
                <w:highlight w:val="none"/>
              </w:rPr>
            </w:pPr>
          </w:p>
        </w:tc>
        <w:tc>
          <w:tcPr>
            <w:tcW w:w="1093" w:type="dxa"/>
            <w:tcBorders>
              <w:left w:val="single" w:color="000000" w:sz="2" w:space="0"/>
              <w:right w:val="single" w:color="000000" w:sz="2" w:space="0"/>
            </w:tcBorders>
            <w:vAlign w:val="top"/>
          </w:tcPr>
          <w:p w14:paraId="7B712893">
            <w:pPr>
              <w:rPr>
                <w:rFonts w:ascii="Arial"/>
                <w:color w:val="auto"/>
                <w:sz w:val="21"/>
                <w:highlight w:val="none"/>
              </w:rPr>
            </w:pPr>
          </w:p>
        </w:tc>
      </w:tr>
      <w:tr w14:paraId="7CEB1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60" w:type="dxa"/>
            <w:tcBorders>
              <w:left w:val="single" w:color="000000" w:sz="2" w:space="0"/>
            </w:tcBorders>
            <w:vAlign w:val="top"/>
          </w:tcPr>
          <w:p w14:paraId="33C16CBA">
            <w:pPr>
              <w:rPr>
                <w:rFonts w:ascii="Arial"/>
                <w:color w:val="auto"/>
                <w:sz w:val="21"/>
                <w:highlight w:val="none"/>
              </w:rPr>
            </w:pPr>
          </w:p>
        </w:tc>
        <w:tc>
          <w:tcPr>
            <w:tcW w:w="1423" w:type="dxa"/>
            <w:vAlign w:val="top"/>
          </w:tcPr>
          <w:p w14:paraId="31899780">
            <w:pPr>
              <w:pStyle w:val="75"/>
              <w:spacing w:before="132" w:line="325" w:lineRule="exact"/>
              <w:ind w:left="515"/>
              <w:rPr>
                <w:color w:val="auto"/>
                <w:sz w:val="20"/>
                <w:szCs w:val="20"/>
                <w:highlight w:val="none"/>
              </w:rPr>
            </w:pPr>
            <w:r>
              <w:rPr>
                <w:color w:val="auto"/>
                <w:spacing w:val="-2"/>
                <w:position w:val="3"/>
                <w:sz w:val="20"/>
                <w:szCs w:val="20"/>
                <w:highlight w:val="none"/>
              </w:rPr>
              <w:t>……</w:t>
            </w:r>
          </w:p>
        </w:tc>
        <w:tc>
          <w:tcPr>
            <w:tcW w:w="707" w:type="dxa"/>
            <w:vAlign w:val="top"/>
          </w:tcPr>
          <w:p w14:paraId="4EECC7F9">
            <w:pPr>
              <w:rPr>
                <w:rFonts w:ascii="Arial"/>
                <w:color w:val="auto"/>
                <w:sz w:val="21"/>
                <w:highlight w:val="none"/>
              </w:rPr>
            </w:pPr>
          </w:p>
        </w:tc>
        <w:tc>
          <w:tcPr>
            <w:tcW w:w="1047" w:type="dxa"/>
            <w:tcBorders>
              <w:right w:val="single" w:color="000000" w:sz="2" w:space="0"/>
            </w:tcBorders>
            <w:vAlign w:val="top"/>
          </w:tcPr>
          <w:p w14:paraId="01D0D237">
            <w:pPr>
              <w:rPr>
                <w:rFonts w:ascii="Arial"/>
                <w:color w:val="auto"/>
                <w:sz w:val="21"/>
                <w:highlight w:val="none"/>
              </w:rPr>
            </w:pPr>
          </w:p>
        </w:tc>
        <w:tc>
          <w:tcPr>
            <w:tcW w:w="2150" w:type="dxa"/>
            <w:tcBorders>
              <w:left w:val="single" w:color="000000" w:sz="2" w:space="0"/>
              <w:right w:val="single" w:color="000000" w:sz="2" w:space="0"/>
            </w:tcBorders>
            <w:vAlign w:val="top"/>
          </w:tcPr>
          <w:p w14:paraId="0B2CA5D1">
            <w:pPr>
              <w:rPr>
                <w:rFonts w:ascii="Arial"/>
                <w:color w:val="auto"/>
                <w:sz w:val="21"/>
                <w:highlight w:val="none"/>
              </w:rPr>
            </w:pPr>
          </w:p>
        </w:tc>
        <w:tc>
          <w:tcPr>
            <w:tcW w:w="1306" w:type="dxa"/>
            <w:tcBorders>
              <w:left w:val="single" w:color="000000" w:sz="2" w:space="0"/>
              <w:right w:val="single" w:color="000000" w:sz="2" w:space="0"/>
            </w:tcBorders>
            <w:vAlign w:val="top"/>
          </w:tcPr>
          <w:p w14:paraId="61657B39">
            <w:pPr>
              <w:rPr>
                <w:rFonts w:ascii="Arial"/>
                <w:color w:val="auto"/>
                <w:sz w:val="21"/>
                <w:highlight w:val="none"/>
              </w:rPr>
            </w:pPr>
          </w:p>
        </w:tc>
        <w:tc>
          <w:tcPr>
            <w:tcW w:w="1288" w:type="dxa"/>
            <w:tcBorders>
              <w:left w:val="single" w:color="000000" w:sz="2" w:space="0"/>
              <w:right w:val="single" w:color="000000" w:sz="2" w:space="0"/>
            </w:tcBorders>
            <w:vAlign w:val="top"/>
          </w:tcPr>
          <w:p w14:paraId="3705736C">
            <w:pPr>
              <w:rPr>
                <w:rFonts w:ascii="Arial"/>
                <w:color w:val="auto"/>
                <w:sz w:val="21"/>
                <w:highlight w:val="none"/>
              </w:rPr>
            </w:pPr>
          </w:p>
        </w:tc>
        <w:tc>
          <w:tcPr>
            <w:tcW w:w="1093" w:type="dxa"/>
            <w:tcBorders>
              <w:left w:val="single" w:color="000000" w:sz="2" w:space="0"/>
              <w:right w:val="single" w:color="000000" w:sz="2" w:space="0"/>
            </w:tcBorders>
            <w:vAlign w:val="top"/>
          </w:tcPr>
          <w:p w14:paraId="53AC8137">
            <w:pPr>
              <w:rPr>
                <w:rFonts w:ascii="Arial"/>
                <w:color w:val="auto"/>
                <w:sz w:val="21"/>
                <w:highlight w:val="none"/>
              </w:rPr>
            </w:pPr>
          </w:p>
        </w:tc>
      </w:tr>
      <w:tr w14:paraId="192C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560" w:type="dxa"/>
            <w:tcBorders>
              <w:left w:val="single" w:color="000000" w:sz="2" w:space="0"/>
              <w:bottom w:val="single" w:color="000000" w:sz="2" w:space="0"/>
            </w:tcBorders>
            <w:vAlign w:val="top"/>
          </w:tcPr>
          <w:p w14:paraId="6E8DB624">
            <w:pPr>
              <w:rPr>
                <w:rFonts w:ascii="Arial"/>
                <w:color w:val="auto"/>
                <w:sz w:val="21"/>
                <w:highlight w:val="none"/>
              </w:rPr>
            </w:pPr>
          </w:p>
        </w:tc>
        <w:tc>
          <w:tcPr>
            <w:tcW w:w="1423" w:type="dxa"/>
            <w:tcBorders>
              <w:bottom w:val="single" w:color="000000" w:sz="2" w:space="0"/>
            </w:tcBorders>
            <w:vAlign w:val="top"/>
          </w:tcPr>
          <w:p w14:paraId="0739300C">
            <w:pPr>
              <w:pStyle w:val="75"/>
              <w:spacing w:before="130" w:line="229" w:lineRule="auto"/>
              <w:ind w:left="502"/>
              <w:rPr>
                <w:color w:val="auto"/>
                <w:sz w:val="20"/>
                <w:szCs w:val="20"/>
                <w:highlight w:val="none"/>
              </w:rPr>
            </w:pPr>
            <w:r>
              <w:rPr>
                <w:color w:val="auto"/>
                <w:spacing w:val="4"/>
                <w:sz w:val="20"/>
                <w:szCs w:val="20"/>
                <w:highlight w:val="none"/>
              </w:rPr>
              <w:t>其他</w:t>
            </w:r>
          </w:p>
        </w:tc>
        <w:tc>
          <w:tcPr>
            <w:tcW w:w="707" w:type="dxa"/>
            <w:tcBorders>
              <w:bottom w:val="single" w:color="000000" w:sz="2" w:space="0"/>
            </w:tcBorders>
            <w:vAlign w:val="top"/>
          </w:tcPr>
          <w:p w14:paraId="4EC67AF0">
            <w:pPr>
              <w:rPr>
                <w:rFonts w:ascii="Arial"/>
                <w:color w:val="auto"/>
                <w:sz w:val="21"/>
                <w:highlight w:val="none"/>
              </w:rPr>
            </w:pPr>
          </w:p>
        </w:tc>
        <w:tc>
          <w:tcPr>
            <w:tcW w:w="1047" w:type="dxa"/>
            <w:tcBorders>
              <w:bottom w:val="single" w:color="000000" w:sz="2" w:space="0"/>
              <w:right w:val="single" w:color="000000" w:sz="2" w:space="0"/>
            </w:tcBorders>
            <w:vAlign w:val="top"/>
          </w:tcPr>
          <w:p w14:paraId="740FB542">
            <w:pPr>
              <w:rPr>
                <w:rFonts w:ascii="Arial"/>
                <w:color w:val="auto"/>
                <w:sz w:val="21"/>
                <w:highlight w:val="none"/>
              </w:rPr>
            </w:pPr>
          </w:p>
        </w:tc>
        <w:tc>
          <w:tcPr>
            <w:tcW w:w="2150" w:type="dxa"/>
            <w:tcBorders>
              <w:left w:val="single" w:color="000000" w:sz="2" w:space="0"/>
              <w:bottom w:val="single" w:color="000000" w:sz="2" w:space="0"/>
              <w:right w:val="single" w:color="000000" w:sz="2" w:space="0"/>
            </w:tcBorders>
            <w:vAlign w:val="top"/>
          </w:tcPr>
          <w:p w14:paraId="3C4C7DBC">
            <w:pPr>
              <w:rPr>
                <w:rFonts w:ascii="Arial"/>
                <w:color w:val="auto"/>
                <w:sz w:val="21"/>
                <w:highlight w:val="none"/>
              </w:rPr>
            </w:pPr>
          </w:p>
        </w:tc>
        <w:tc>
          <w:tcPr>
            <w:tcW w:w="1306" w:type="dxa"/>
            <w:tcBorders>
              <w:left w:val="single" w:color="000000" w:sz="2" w:space="0"/>
              <w:bottom w:val="single" w:color="000000" w:sz="2" w:space="0"/>
              <w:right w:val="single" w:color="000000" w:sz="2" w:space="0"/>
            </w:tcBorders>
            <w:vAlign w:val="top"/>
          </w:tcPr>
          <w:p w14:paraId="2781E05F">
            <w:pPr>
              <w:rPr>
                <w:rFonts w:ascii="Arial"/>
                <w:color w:val="auto"/>
                <w:sz w:val="21"/>
                <w:highlight w:val="none"/>
              </w:rPr>
            </w:pPr>
          </w:p>
        </w:tc>
        <w:tc>
          <w:tcPr>
            <w:tcW w:w="1288" w:type="dxa"/>
            <w:tcBorders>
              <w:left w:val="single" w:color="000000" w:sz="2" w:space="0"/>
              <w:bottom w:val="single" w:color="000000" w:sz="2" w:space="0"/>
              <w:right w:val="single" w:color="000000" w:sz="2" w:space="0"/>
            </w:tcBorders>
            <w:vAlign w:val="top"/>
          </w:tcPr>
          <w:p w14:paraId="4824782F">
            <w:pPr>
              <w:rPr>
                <w:rFonts w:ascii="Arial"/>
                <w:color w:val="auto"/>
                <w:sz w:val="21"/>
                <w:highlight w:val="none"/>
              </w:rPr>
            </w:pPr>
          </w:p>
        </w:tc>
        <w:tc>
          <w:tcPr>
            <w:tcW w:w="1093" w:type="dxa"/>
            <w:tcBorders>
              <w:left w:val="single" w:color="000000" w:sz="2" w:space="0"/>
              <w:bottom w:val="single" w:color="000000" w:sz="2" w:space="0"/>
              <w:right w:val="single" w:color="000000" w:sz="2" w:space="0"/>
            </w:tcBorders>
            <w:vAlign w:val="top"/>
          </w:tcPr>
          <w:p w14:paraId="1F18E61C">
            <w:pPr>
              <w:rPr>
                <w:rFonts w:ascii="Arial"/>
                <w:color w:val="auto"/>
                <w:sz w:val="21"/>
                <w:highlight w:val="none"/>
              </w:rPr>
            </w:pPr>
          </w:p>
        </w:tc>
      </w:tr>
    </w:tbl>
    <w:p w14:paraId="5EA94021">
      <w:pPr>
        <w:spacing w:before="98" w:line="220" w:lineRule="auto"/>
        <w:rPr>
          <w:rFonts w:ascii="宋体" w:hAnsi="宋体" w:eastAsia="宋体" w:cs="宋体"/>
          <w:b/>
          <w:bCs/>
          <w:color w:val="auto"/>
          <w:spacing w:val="-4"/>
          <w:sz w:val="30"/>
          <w:szCs w:val="30"/>
          <w:highlight w:val="none"/>
        </w:rPr>
      </w:pPr>
    </w:p>
    <w:p w14:paraId="6CA77402">
      <w:pPr>
        <w:snapToGrid w:val="0"/>
        <w:spacing w:before="156" w:beforeLines="50" w:after="50" w:line="240" w:lineRule="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注：1.根据招标需求中“具体设备数量、配置及简要描述等 ”内容填写，并注明投标 文件与招标文件上配置及技术参数的差异。</w:t>
      </w:r>
    </w:p>
    <w:p w14:paraId="690949CA">
      <w:pPr>
        <w:snapToGrid w:val="0"/>
        <w:spacing w:before="156" w:beforeLines="50" w:after="50" w:line="240" w:lineRule="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 xml:space="preserve">2.在填写时，如本表格不适合投标单位的实际情况，可根据本表格式自行划表填写。 投标人名称（电子签章）：                      </w:t>
      </w:r>
    </w:p>
    <w:p w14:paraId="2EA10524">
      <w:pPr>
        <w:snapToGrid w:val="0"/>
        <w:spacing w:before="156" w:beforeLines="50" w:after="50" w:line="240" w:lineRule="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法定代表人或授权代表（签字或盖章）：___________</w:t>
      </w:r>
    </w:p>
    <w:p w14:paraId="4C4E9F4F">
      <w:pPr>
        <w:snapToGrid w:val="0"/>
        <w:spacing w:before="156" w:beforeLines="50" w:after="50" w:line="240" w:lineRule="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日期：         年       月       日</w:t>
      </w:r>
    </w:p>
    <w:p w14:paraId="2F74C897">
      <w:pPr>
        <w:snapToGrid w:val="0"/>
        <w:spacing w:before="156" w:beforeLines="50" w:after="50" w:line="240" w:lineRule="auto"/>
        <w:rPr>
          <w:rFonts w:ascii="宋体" w:hAnsi="宋体" w:eastAsia="宋体" w:cs="宋体"/>
          <w:b/>
          <w:color w:val="auto"/>
          <w:sz w:val="24"/>
          <w:szCs w:val="24"/>
          <w:highlight w:val="none"/>
        </w:rPr>
      </w:pPr>
    </w:p>
    <w:p w14:paraId="00A3D637">
      <w:pPr>
        <w:snapToGrid w:val="0"/>
        <w:spacing w:before="156" w:beforeLines="50" w:after="50" w:line="240" w:lineRule="auto"/>
        <w:rPr>
          <w:rFonts w:ascii="宋体" w:hAnsi="宋体" w:eastAsia="宋体" w:cs="宋体"/>
          <w:b/>
          <w:color w:val="auto"/>
          <w:sz w:val="24"/>
          <w:szCs w:val="24"/>
          <w:highlight w:val="none"/>
        </w:rPr>
      </w:pPr>
    </w:p>
    <w:p w14:paraId="1466EF99">
      <w:pPr>
        <w:snapToGrid w:val="0"/>
        <w:spacing w:before="156" w:beforeLines="50" w:after="50" w:line="24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ascii="宋体" w:hAnsi="宋体" w:eastAsia="宋体" w:cs="宋体"/>
          <w:b/>
          <w:color w:val="auto"/>
          <w:sz w:val="24"/>
          <w:szCs w:val="24"/>
          <w:highlight w:val="none"/>
        </w:rPr>
        <w:t>.商务技术分自评表</w:t>
      </w:r>
    </w:p>
    <w:p w14:paraId="4C027781">
      <w:pPr>
        <w:spacing w:line="360" w:lineRule="auto"/>
        <w:jc w:val="center"/>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商务技术分自评表</w:t>
      </w:r>
    </w:p>
    <w:tbl>
      <w:tblPr>
        <w:tblStyle w:val="2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586A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15AF6F2D">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序号</w:t>
            </w:r>
          </w:p>
        </w:tc>
        <w:tc>
          <w:tcPr>
            <w:tcW w:w="2064" w:type="dxa"/>
            <w:vAlign w:val="center"/>
          </w:tcPr>
          <w:p w14:paraId="0648C6A0">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评审项目</w:t>
            </w:r>
          </w:p>
        </w:tc>
        <w:tc>
          <w:tcPr>
            <w:tcW w:w="3668" w:type="dxa"/>
            <w:vAlign w:val="center"/>
          </w:tcPr>
          <w:p w14:paraId="30F8A139">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评分内容</w:t>
            </w:r>
          </w:p>
        </w:tc>
        <w:tc>
          <w:tcPr>
            <w:tcW w:w="1481" w:type="dxa"/>
            <w:vAlign w:val="center"/>
          </w:tcPr>
          <w:p w14:paraId="4D4DCAEB">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自评</w:t>
            </w:r>
          </w:p>
          <w:p w14:paraId="3C6E7097">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分值</w:t>
            </w:r>
          </w:p>
        </w:tc>
        <w:tc>
          <w:tcPr>
            <w:tcW w:w="1245" w:type="dxa"/>
            <w:vAlign w:val="center"/>
          </w:tcPr>
          <w:p w14:paraId="73E214D0">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对应</w:t>
            </w:r>
          </w:p>
          <w:p w14:paraId="43456619">
            <w:pPr>
              <w:snapToGrid w:val="0"/>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页码</w:t>
            </w:r>
          </w:p>
        </w:tc>
      </w:tr>
      <w:tr w14:paraId="3563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0A3659D">
            <w:pPr>
              <w:snapToGrid w:val="0"/>
              <w:spacing w:line="360" w:lineRule="auto"/>
              <w:jc w:val="center"/>
              <w:rPr>
                <w:rFonts w:ascii="宋体" w:hAnsi="宋体" w:eastAsia="宋体" w:cs="宋体"/>
                <w:color w:val="auto"/>
                <w:kern w:val="0"/>
                <w:sz w:val="24"/>
                <w:szCs w:val="24"/>
                <w:highlight w:val="none"/>
              </w:rPr>
            </w:pPr>
          </w:p>
        </w:tc>
        <w:tc>
          <w:tcPr>
            <w:tcW w:w="2064" w:type="dxa"/>
          </w:tcPr>
          <w:p w14:paraId="677DF40D">
            <w:pPr>
              <w:snapToGrid w:val="0"/>
              <w:spacing w:line="360" w:lineRule="auto"/>
              <w:jc w:val="center"/>
              <w:rPr>
                <w:rFonts w:ascii="宋体" w:hAnsi="宋体" w:eastAsia="宋体" w:cs="宋体"/>
                <w:color w:val="auto"/>
                <w:kern w:val="0"/>
                <w:sz w:val="24"/>
                <w:szCs w:val="24"/>
                <w:highlight w:val="none"/>
              </w:rPr>
            </w:pPr>
          </w:p>
        </w:tc>
        <w:tc>
          <w:tcPr>
            <w:tcW w:w="3668" w:type="dxa"/>
          </w:tcPr>
          <w:p w14:paraId="66088384">
            <w:pPr>
              <w:snapToGrid w:val="0"/>
              <w:spacing w:line="360" w:lineRule="auto"/>
              <w:jc w:val="center"/>
              <w:rPr>
                <w:rFonts w:ascii="宋体" w:hAnsi="宋体" w:eastAsia="宋体" w:cs="宋体"/>
                <w:color w:val="auto"/>
                <w:kern w:val="0"/>
                <w:sz w:val="24"/>
                <w:szCs w:val="24"/>
                <w:highlight w:val="none"/>
              </w:rPr>
            </w:pPr>
          </w:p>
        </w:tc>
        <w:tc>
          <w:tcPr>
            <w:tcW w:w="1481" w:type="dxa"/>
          </w:tcPr>
          <w:p w14:paraId="6FAA5543">
            <w:pPr>
              <w:snapToGrid w:val="0"/>
              <w:spacing w:line="360" w:lineRule="auto"/>
              <w:jc w:val="center"/>
              <w:rPr>
                <w:rFonts w:ascii="宋体" w:hAnsi="宋体" w:eastAsia="宋体" w:cs="宋体"/>
                <w:color w:val="auto"/>
                <w:kern w:val="0"/>
                <w:sz w:val="24"/>
                <w:szCs w:val="24"/>
                <w:highlight w:val="none"/>
              </w:rPr>
            </w:pPr>
          </w:p>
        </w:tc>
        <w:tc>
          <w:tcPr>
            <w:tcW w:w="1245" w:type="dxa"/>
          </w:tcPr>
          <w:p w14:paraId="7495E445">
            <w:pPr>
              <w:snapToGrid w:val="0"/>
              <w:spacing w:line="360" w:lineRule="auto"/>
              <w:jc w:val="center"/>
              <w:rPr>
                <w:rFonts w:ascii="宋体" w:hAnsi="宋体" w:eastAsia="宋体" w:cs="宋体"/>
                <w:color w:val="auto"/>
                <w:kern w:val="0"/>
                <w:sz w:val="24"/>
                <w:szCs w:val="24"/>
                <w:highlight w:val="none"/>
              </w:rPr>
            </w:pPr>
          </w:p>
        </w:tc>
      </w:tr>
      <w:tr w14:paraId="05C3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97CBC6F">
            <w:pPr>
              <w:snapToGrid w:val="0"/>
              <w:spacing w:line="360" w:lineRule="auto"/>
              <w:jc w:val="center"/>
              <w:rPr>
                <w:rFonts w:ascii="宋体" w:hAnsi="宋体" w:eastAsia="宋体" w:cs="宋体"/>
                <w:color w:val="auto"/>
                <w:kern w:val="0"/>
                <w:sz w:val="24"/>
                <w:szCs w:val="24"/>
                <w:highlight w:val="none"/>
              </w:rPr>
            </w:pPr>
          </w:p>
        </w:tc>
        <w:tc>
          <w:tcPr>
            <w:tcW w:w="2064" w:type="dxa"/>
          </w:tcPr>
          <w:p w14:paraId="0155BD4E">
            <w:pPr>
              <w:snapToGrid w:val="0"/>
              <w:spacing w:line="360" w:lineRule="auto"/>
              <w:jc w:val="center"/>
              <w:rPr>
                <w:rFonts w:ascii="宋体" w:hAnsi="宋体" w:eastAsia="宋体" w:cs="宋体"/>
                <w:color w:val="auto"/>
                <w:kern w:val="0"/>
                <w:sz w:val="24"/>
                <w:szCs w:val="24"/>
                <w:highlight w:val="none"/>
              </w:rPr>
            </w:pPr>
          </w:p>
        </w:tc>
        <w:tc>
          <w:tcPr>
            <w:tcW w:w="3668" w:type="dxa"/>
          </w:tcPr>
          <w:p w14:paraId="514BF7AE">
            <w:pPr>
              <w:snapToGrid w:val="0"/>
              <w:spacing w:line="360" w:lineRule="auto"/>
              <w:jc w:val="center"/>
              <w:rPr>
                <w:rFonts w:ascii="宋体" w:hAnsi="宋体" w:eastAsia="宋体" w:cs="宋体"/>
                <w:color w:val="auto"/>
                <w:kern w:val="0"/>
                <w:sz w:val="24"/>
                <w:szCs w:val="24"/>
                <w:highlight w:val="none"/>
              </w:rPr>
            </w:pPr>
          </w:p>
        </w:tc>
        <w:tc>
          <w:tcPr>
            <w:tcW w:w="1481" w:type="dxa"/>
          </w:tcPr>
          <w:p w14:paraId="6A69BDB4">
            <w:pPr>
              <w:snapToGrid w:val="0"/>
              <w:spacing w:line="360" w:lineRule="auto"/>
              <w:jc w:val="center"/>
              <w:rPr>
                <w:rFonts w:ascii="宋体" w:hAnsi="宋体" w:eastAsia="宋体" w:cs="宋体"/>
                <w:color w:val="auto"/>
                <w:kern w:val="0"/>
                <w:sz w:val="24"/>
                <w:szCs w:val="24"/>
                <w:highlight w:val="none"/>
              </w:rPr>
            </w:pPr>
          </w:p>
        </w:tc>
        <w:tc>
          <w:tcPr>
            <w:tcW w:w="1245" w:type="dxa"/>
          </w:tcPr>
          <w:p w14:paraId="759F927B">
            <w:pPr>
              <w:snapToGrid w:val="0"/>
              <w:spacing w:line="360" w:lineRule="auto"/>
              <w:jc w:val="center"/>
              <w:rPr>
                <w:rFonts w:ascii="宋体" w:hAnsi="宋体" w:eastAsia="宋体" w:cs="宋体"/>
                <w:color w:val="auto"/>
                <w:kern w:val="0"/>
                <w:sz w:val="24"/>
                <w:szCs w:val="24"/>
                <w:highlight w:val="none"/>
              </w:rPr>
            </w:pPr>
          </w:p>
        </w:tc>
      </w:tr>
      <w:tr w14:paraId="2571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57A7FCD">
            <w:pPr>
              <w:snapToGrid w:val="0"/>
              <w:spacing w:line="360" w:lineRule="auto"/>
              <w:jc w:val="center"/>
              <w:rPr>
                <w:rFonts w:ascii="宋体" w:hAnsi="宋体" w:eastAsia="宋体" w:cs="宋体"/>
                <w:color w:val="auto"/>
                <w:kern w:val="0"/>
                <w:sz w:val="24"/>
                <w:szCs w:val="24"/>
                <w:highlight w:val="none"/>
              </w:rPr>
            </w:pPr>
          </w:p>
        </w:tc>
        <w:tc>
          <w:tcPr>
            <w:tcW w:w="2064" w:type="dxa"/>
          </w:tcPr>
          <w:p w14:paraId="3785ACD8">
            <w:pPr>
              <w:snapToGrid w:val="0"/>
              <w:spacing w:line="360" w:lineRule="auto"/>
              <w:jc w:val="center"/>
              <w:rPr>
                <w:rFonts w:ascii="宋体" w:hAnsi="宋体" w:eastAsia="宋体" w:cs="宋体"/>
                <w:color w:val="auto"/>
                <w:kern w:val="0"/>
                <w:sz w:val="24"/>
                <w:szCs w:val="24"/>
                <w:highlight w:val="none"/>
              </w:rPr>
            </w:pPr>
          </w:p>
        </w:tc>
        <w:tc>
          <w:tcPr>
            <w:tcW w:w="3668" w:type="dxa"/>
          </w:tcPr>
          <w:p w14:paraId="1E44BE5A">
            <w:pPr>
              <w:snapToGrid w:val="0"/>
              <w:spacing w:line="360" w:lineRule="auto"/>
              <w:jc w:val="center"/>
              <w:rPr>
                <w:rFonts w:ascii="宋体" w:hAnsi="宋体" w:eastAsia="宋体" w:cs="宋体"/>
                <w:color w:val="auto"/>
                <w:kern w:val="0"/>
                <w:sz w:val="24"/>
                <w:szCs w:val="24"/>
                <w:highlight w:val="none"/>
              </w:rPr>
            </w:pPr>
          </w:p>
        </w:tc>
        <w:tc>
          <w:tcPr>
            <w:tcW w:w="1481" w:type="dxa"/>
          </w:tcPr>
          <w:p w14:paraId="4E473B0A">
            <w:pPr>
              <w:snapToGrid w:val="0"/>
              <w:spacing w:line="360" w:lineRule="auto"/>
              <w:jc w:val="center"/>
              <w:rPr>
                <w:rFonts w:ascii="宋体" w:hAnsi="宋体" w:eastAsia="宋体" w:cs="宋体"/>
                <w:color w:val="auto"/>
                <w:kern w:val="0"/>
                <w:sz w:val="24"/>
                <w:szCs w:val="24"/>
                <w:highlight w:val="none"/>
              </w:rPr>
            </w:pPr>
          </w:p>
        </w:tc>
        <w:tc>
          <w:tcPr>
            <w:tcW w:w="1245" w:type="dxa"/>
          </w:tcPr>
          <w:p w14:paraId="1DB0DF41">
            <w:pPr>
              <w:snapToGrid w:val="0"/>
              <w:spacing w:line="360" w:lineRule="auto"/>
              <w:jc w:val="center"/>
              <w:rPr>
                <w:rFonts w:ascii="宋体" w:hAnsi="宋体" w:eastAsia="宋体" w:cs="宋体"/>
                <w:color w:val="auto"/>
                <w:kern w:val="0"/>
                <w:sz w:val="24"/>
                <w:szCs w:val="24"/>
                <w:highlight w:val="none"/>
              </w:rPr>
            </w:pPr>
          </w:p>
        </w:tc>
      </w:tr>
      <w:tr w14:paraId="176B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C8807A5">
            <w:pPr>
              <w:snapToGrid w:val="0"/>
              <w:spacing w:line="360" w:lineRule="auto"/>
              <w:jc w:val="center"/>
              <w:rPr>
                <w:rFonts w:ascii="宋体" w:hAnsi="宋体" w:eastAsia="宋体" w:cs="宋体"/>
                <w:color w:val="auto"/>
                <w:kern w:val="0"/>
                <w:sz w:val="24"/>
                <w:szCs w:val="24"/>
                <w:highlight w:val="none"/>
              </w:rPr>
            </w:pPr>
          </w:p>
        </w:tc>
        <w:tc>
          <w:tcPr>
            <w:tcW w:w="2064" w:type="dxa"/>
          </w:tcPr>
          <w:p w14:paraId="5999EB9A">
            <w:pPr>
              <w:snapToGrid w:val="0"/>
              <w:spacing w:line="360" w:lineRule="auto"/>
              <w:jc w:val="center"/>
              <w:rPr>
                <w:rFonts w:ascii="宋体" w:hAnsi="宋体" w:eastAsia="宋体" w:cs="宋体"/>
                <w:color w:val="auto"/>
                <w:kern w:val="0"/>
                <w:sz w:val="24"/>
                <w:szCs w:val="24"/>
                <w:highlight w:val="none"/>
              </w:rPr>
            </w:pPr>
          </w:p>
        </w:tc>
        <w:tc>
          <w:tcPr>
            <w:tcW w:w="3668" w:type="dxa"/>
          </w:tcPr>
          <w:p w14:paraId="00F068A9">
            <w:pPr>
              <w:snapToGrid w:val="0"/>
              <w:spacing w:line="360" w:lineRule="auto"/>
              <w:jc w:val="center"/>
              <w:rPr>
                <w:rFonts w:ascii="宋体" w:hAnsi="宋体" w:eastAsia="宋体" w:cs="宋体"/>
                <w:color w:val="auto"/>
                <w:kern w:val="0"/>
                <w:sz w:val="24"/>
                <w:szCs w:val="24"/>
                <w:highlight w:val="none"/>
              </w:rPr>
            </w:pPr>
          </w:p>
        </w:tc>
        <w:tc>
          <w:tcPr>
            <w:tcW w:w="1481" w:type="dxa"/>
          </w:tcPr>
          <w:p w14:paraId="21EBDC96">
            <w:pPr>
              <w:snapToGrid w:val="0"/>
              <w:spacing w:line="360" w:lineRule="auto"/>
              <w:jc w:val="center"/>
              <w:rPr>
                <w:rFonts w:ascii="宋体" w:hAnsi="宋体" w:eastAsia="宋体" w:cs="宋体"/>
                <w:color w:val="auto"/>
                <w:kern w:val="0"/>
                <w:sz w:val="24"/>
                <w:szCs w:val="24"/>
                <w:highlight w:val="none"/>
              </w:rPr>
            </w:pPr>
          </w:p>
        </w:tc>
        <w:tc>
          <w:tcPr>
            <w:tcW w:w="1245" w:type="dxa"/>
          </w:tcPr>
          <w:p w14:paraId="707A1B04">
            <w:pPr>
              <w:snapToGrid w:val="0"/>
              <w:spacing w:line="360" w:lineRule="auto"/>
              <w:jc w:val="center"/>
              <w:rPr>
                <w:rFonts w:ascii="宋体" w:hAnsi="宋体" w:eastAsia="宋体" w:cs="宋体"/>
                <w:color w:val="auto"/>
                <w:kern w:val="0"/>
                <w:sz w:val="24"/>
                <w:szCs w:val="24"/>
                <w:highlight w:val="none"/>
              </w:rPr>
            </w:pPr>
          </w:p>
        </w:tc>
      </w:tr>
      <w:tr w14:paraId="01F7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C7A0F40">
            <w:pPr>
              <w:snapToGrid w:val="0"/>
              <w:spacing w:line="360" w:lineRule="auto"/>
              <w:jc w:val="center"/>
              <w:rPr>
                <w:rFonts w:ascii="宋体" w:hAnsi="宋体" w:eastAsia="宋体" w:cs="宋体"/>
                <w:color w:val="auto"/>
                <w:kern w:val="0"/>
                <w:sz w:val="24"/>
                <w:szCs w:val="24"/>
                <w:highlight w:val="none"/>
              </w:rPr>
            </w:pPr>
          </w:p>
        </w:tc>
        <w:tc>
          <w:tcPr>
            <w:tcW w:w="2064" w:type="dxa"/>
          </w:tcPr>
          <w:p w14:paraId="41A7CE6F">
            <w:pPr>
              <w:snapToGrid w:val="0"/>
              <w:spacing w:line="360" w:lineRule="auto"/>
              <w:jc w:val="center"/>
              <w:rPr>
                <w:rFonts w:ascii="宋体" w:hAnsi="宋体" w:eastAsia="宋体" w:cs="宋体"/>
                <w:color w:val="auto"/>
                <w:kern w:val="0"/>
                <w:sz w:val="24"/>
                <w:szCs w:val="24"/>
                <w:highlight w:val="none"/>
              </w:rPr>
            </w:pPr>
          </w:p>
        </w:tc>
        <w:tc>
          <w:tcPr>
            <w:tcW w:w="3668" w:type="dxa"/>
          </w:tcPr>
          <w:p w14:paraId="5DA75D67">
            <w:pPr>
              <w:snapToGrid w:val="0"/>
              <w:spacing w:line="360" w:lineRule="auto"/>
              <w:jc w:val="center"/>
              <w:rPr>
                <w:rFonts w:ascii="宋体" w:hAnsi="宋体" w:eastAsia="宋体" w:cs="宋体"/>
                <w:color w:val="auto"/>
                <w:kern w:val="0"/>
                <w:sz w:val="24"/>
                <w:szCs w:val="24"/>
                <w:highlight w:val="none"/>
              </w:rPr>
            </w:pPr>
          </w:p>
        </w:tc>
        <w:tc>
          <w:tcPr>
            <w:tcW w:w="1481" w:type="dxa"/>
          </w:tcPr>
          <w:p w14:paraId="78B71387">
            <w:pPr>
              <w:snapToGrid w:val="0"/>
              <w:spacing w:line="360" w:lineRule="auto"/>
              <w:jc w:val="center"/>
              <w:rPr>
                <w:rFonts w:ascii="宋体" w:hAnsi="宋体" w:eastAsia="宋体" w:cs="宋体"/>
                <w:color w:val="auto"/>
                <w:kern w:val="0"/>
                <w:sz w:val="24"/>
                <w:szCs w:val="24"/>
                <w:highlight w:val="none"/>
              </w:rPr>
            </w:pPr>
          </w:p>
        </w:tc>
        <w:tc>
          <w:tcPr>
            <w:tcW w:w="1245" w:type="dxa"/>
          </w:tcPr>
          <w:p w14:paraId="22751D74">
            <w:pPr>
              <w:snapToGrid w:val="0"/>
              <w:spacing w:line="360" w:lineRule="auto"/>
              <w:jc w:val="center"/>
              <w:rPr>
                <w:rFonts w:ascii="宋体" w:hAnsi="宋体" w:eastAsia="宋体" w:cs="宋体"/>
                <w:color w:val="auto"/>
                <w:kern w:val="0"/>
                <w:sz w:val="24"/>
                <w:szCs w:val="24"/>
                <w:highlight w:val="none"/>
              </w:rPr>
            </w:pPr>
          </w:p>
        </w:tc>
      </w:tr>
      <w:tr w14:paraId="354B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47E5A36">
            <w:pPr>
              <w:snapToGrid w:val="0"/>
              <w:spacing w:line="360" w:lineRule="auto"/>
              <w:jc w:val="center"/>
              <w:rPr>
                <w:rFonts w:ascii="宋体" w:hAnsi="宋体" w:eastAsia="宋体" w:cs="宋体"/>
                <w:color w:val="auto"/>
                <w:kern w:val="0"/>
                <w:sz w:val="24"/>
                <w:szCs w:val="24"/>
                <w:highlight w:val="none"/>
              </w:rPr>
            </w:pPr>
          </w:p>
        </w:tc>
        <w:tc>
          <w:tcPr>
            <w:tcW w:w="2064" w:type="dxa"/>
          </w:tcPr>
          <w:p w14:paraId="4E577BBF">
            <w:pPr>
              <w:snapToGrid w:val="0"/>
              <w:spacing w:line="360" w:lineRule="auto"/>
              <w:jc w:val="center"/>
              <w:rPr>
                <w:rFonts w:ascii="宋体" w:hAnsi="宋体" w:eastAsia="宋体" w:cs="宋体"/>
                <w:color w:val="auto"/>
                <w:kern w:val="0"/>
                <w:sz w:val="24"/>
                <w:szCs w:val="24"/>
                <w:highlight w:val="none"/>
              </w:rPr>
            </w:pPr>
          </w:p>
        </w:tc>
        <w:tc>
          <w:tcPr>
            <w:tcW w:w="3668" w:type="dxa"/>
          </w:tcPr>
          <w:p w14:paraId="0D332CBA">
            <w:pPr>
              <w:snapToGrid w:val="0"/>
              <w:spacing w:line="360" w:lineRule="auto"/>
              <w:jc w:val="center"/>
              <w:rPr>
                <w:rFonts w:ascii="宋体" w:hAnsi="宋体" w:eastAsia="宋体" w:cs="宋体"/>
                <w:color w:val="auto"/>
                <w:kern w:val="0"/>
                <w:sz w:val="24"/>
                <w:szCs w:val="24"/>
                <w:highlight w:val="none"/>
              </w:rPr>
            </w:pPr>
          </w:p>
        </w:tc>
        <w:tc>
          <w:tcPr>
            <w:tcW w:w="1481" w:type="dxa"/>
          </w:tcPr>
          <w:p w14:paraId="7F4782FB">
            <w:pPr>
              <w:snapToGrid w:val="0"/>
              <w:spacing w:line="360" w:lineRule="auto"/>
              <w:jc w:val="center"/>
              <w:rPr>
                <w:rFonts w:ascii="宋体" w:hAnsi="宋体" w:eastAsia="宋体" w:cs="宋体"/>
                <w:color w:val="auto"/>
                <w:kern w:val="0"/>
                <w:sz w:val="24"/>
                <w:szCs w:val="24"/>
                <w:highlight w:val="none"/>
              </w:rPr>
            </w:pPr>
          </w:p>
        </w:tc>
        <w:tc>
          <w:tcPr>
            <w:tcW w:w="1245" w:type="dxa"/>
          </w:tcPr>
          <w:p w14:paraId="7578C5DA">
            <w:pPr>
              <w:snapToGrid w:val="0"/>
              <w:spacing w:line="360" w:lineRule="auto"/>
              <w:jc w:val="center"/>
              <w:rPr>
                <w:rFonts w:ascii="宋体" w:hAnsi="宋体" w:eastAsia="宋体" w:cs="宋体"/>
                <w:color w:val="auto"/>
                <w:kern w:val="0"/>
                <w:sz w:val="24"/>
                <w:szCs w:val="24"/>
                <w:highlight w:val="none"/>
              </w:rPr>
            </w:pPr>
          </w:p>
        </w:tc>
      </w:tr>
      <w:tr w14:paraId="7AFE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E3CD623">
            <w:pPr>
              <w:snapToGrid w:val="0"/>
              <w:spacing w:line="360" w:lineRule="auto"/>
              <w:jc w:val="center"/>
              <w:rPr>
                <w:rFonts w:ascii="宋体" w:hAnsi="宋体" w:eastAsia="宋体" w:cs="宋体"/>
                <w:color w:val="auto"/>
                <w:kern w:val="0"/>
                <w:sz w:val="24"/>
                <w:szCs w:val="24"/>
                <w:highlight w:val="none"/>
              </w:rPr>
            </w:pPr>
          </w:p>
        </w:tc>
        <w:tc>
          <w:tcPr>
            <w:tcW w:w="2064" w:type="dxa"/>
          </w:tcPr>
          <w:p w14:paraId="1EEFC2DA">
            <w:pPr>
              <w:snapToGrid w:val="0"/>
              <w:spacing w:line="360" w:lineRule="auto"/>
              <w:jc w:val="center"/>
              <w:rPr>
                <w:rFonts w:ascii="宋体" w:hAnsi="宋体" w:eastAsia="宋体" w:cs="宋体"/>
                <w:color w:val="auto"/>
                <w:kern w:val="0"/>
                <w:sz w:val="24"/>
                <w:szCs w:val="24"/>
                <w:highlight w:val="none"/>
              </w:rPr>
            </w:pPr>
          </w:p>
        </w:tc>
        <w:tc>
          <w:tcPr>
            <w:tcW w:w="3668" w:type="dxa"/>
          </w:tcPr>
          <w:p w14:paraId="6F12D945">
            <w:pPr>
              <w:snapToGrid w:val="0"/>
              <w:spacing w:line="360" w:lineRule="auto"/>
              <w:jc w:val="center"/>
              <w:rPr>
                <w:rFonts w:ascii="宋体" w:hAnsi="宋体" w:eastAsia="宋体" w:cs="宋体"/>
                <w:color w:val="auto"/>
                <w:kern w:val="0"/>
                <w:sz w:val="24"/>
                <w:szCs w:val="24"/>
                <w:highlight w:val="none"/>
              </w:rPr>
            </w:pPr>
          </w:p>
        </w:tc>
        <w:tc>
          <w:tcPr>
            <w:tcW w:w="1481" w:type="dxa"/>
          </w:tcPr>
          <w:p w14:paraId="41260F1F">
            <w:pPr>
              <w:snapToGrid w:val="0"/>
              <w:spacing w:line="360" w:lineRule="auto"/>
              <w:jc w:val="center"/>
              <w:rPr>
                <w:rFonts w:ascii="宋体" w:hAnsi="宋体" w:eastAsia="宋体" w:cs="宋体"/>
                <w:color w:val="auto"/>
                <w:kern w:val="0"/>
                <w:sz w:val="24"/>
                <w:szCs w:val="24"/>
                <w:highlight w:val="none"/>
              </w:rPr>
            </w:pPr>
          </w:p>
        </w:tc>
        <w:tc>
          <w:tcPr>
            <w:tcW w:w="1245" w:type="dxa"/>
          </w:tcPr>
          <w:p w14:paraId="6C1EF732">
            <w:pPr>
              <w:snapToGrid w:val="0"/>
              <w:spacing w:line="360" w:lineRule="auto"/>
              <w:jc w:val="center"/>
              <w:rPr>
                <w:rFonts w:ascii="宋体" w:hAnsi="宋体" w:eastAsia="宋体" w:cs="宋体"/>
                <w:color w:val="auto"/>
                <w:kern w:val="0"/>
                <w:sz w:val="24"/>
                <w:szCs w:val="24"/>
                <w:highlight w:val="none"/>
              </w:rPr>
            </w:pPr>
          </w:p>
        </w:tc>
      </w:tr>
      <w:tr w14:paraId="6BDC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0F7F602">
            <w:pPr>
              <w:snapToGrid w:val="0"/>
              <w:spacing w:line="360" w:lineRule="auto"/>
              <w:jc w:val="center"/>
              <w:rPr>
                <w:rFonts w:ascii="宋体" w:hAnsi="宋体" w:eastAsia="宋体" w:cs="宋体"/>
                <w:color w:val="auto"/>
                <w:kern w:val="0"/>
                <w:sz w:val="24"/>
                <w:szCs w:val="24"/>
                <w:highlight w:val="none"/>
              </w:rPr>
            </w:pPr>
          </w:p>
        </w:tc>
        <w:tc>
          <w:tcPr>
            <w:tcW w:w="2064" w:type="dxa"/>
          </w:tcPr>
          <w:p w14:paraId="43A553B6">
            <w:pPr>
              <w:snapToGrid w:val="0"/>
              <w:spacing w:line="360" w:lineRule="auto"/>
              <w:jc w:val="center"/>
              <w:rPr>
                <w:rFonts w:ascii="宋体" w:hAnsi="宋体" w:eastAsia="宋体" w:cs="宋体"/>
                <w:color w:val="auto"/>
                <w:kern w:val="0"/>
                <w:sz w:val="24"/>
                <w:szCs w:val="24"/>
                <w:highlight w:val="none"/>
              </w:rPr>
            </w:pPr>
          </w:p>
        </w:tc>
        <w:tc>
          <w:tcPr>
            <w:tcW w:w="3668" w:type="dxa"/>
          </w:tcPr>
          <w:p w14:paraId="388954AC">
            <w:pPr>
              <w:snapToGrid w:val="0"/>
              <w:spacing w:line="360" w:lineRule="auto"/>
              <w:jc w:val="center"/>
              <w:rPr>
                <w:rFonts w:ascii="宋体" w:hAnsi="宋体" w:eastAsia="宋体" w:cs="宋体"/>
                <w:color w:val="auto"/>
                <w:kern w:val="0"/>
                <w:sz w:val="24"/>
                <w:szCs w:val="24"/>
                <w:highlight w:val="none"/>
              </w:rPr>
            </w:pPr>
          </w:p>
        </w:tc>
        <w:tc>
          <w:tcPr>
            <w:tcW w:w="1481" w:type="dxa"/>
          </w:tcPr>
          <w:p w14:paraId="07820A7A">
            <w:pPr>
              <w:snapToGrid w:val="0"/>
              <w:spacing w:line="360" w:lineRule="auto"/>
              <w:jc w:val="center"/>
              <w:rPr>
                <w:rFonts w:ascii="宋体" w:hAnsi="宋体" w:eastAsia="宋体" w:cs="宋体"/>
                <w:color w:val="auto"/>
                <w:kern w:val="0"/>
                <w:sz w:val="24"/>
                <w:szCs w:val="24"/>
                <w:highlight w:val="none"/>
              </w:rPr>
            </w:pPr>
          </w:p>
        </w:tc>
        <w:tc>
          <w:tcPr>
            <w:tcW w:w="1245" w:type="dxa"/>
          </w:tcPr>
          <w:p w14:paraId="22D8A272">
            <w:pPr>
              <w:snapToGrid w:val="0"/>
              <w:spacing w:line="360" w:lineRule="auto"/>
              <w:jc w:val="center"/>
              <w:rPr>
                <w:rFonts w:ascii="宋体" w:hAnsi="宋体" w:eastAsia="宋体" w:cs="宋体"/>
                <w:color w:val="auto"/>
                <w:kern w:val="0"/>
                <w:sz w:val="24"/>
                <w:szCs w:val="24"/>
                <w:highlight w:val="none"/>
              </w:rPr>
            </w:pPr>
          </w:p>
        </w:tc>
      </w:tr>
      <w:tr w14:paraId="54D3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A9B345">
            <w:pPr>
              <w:snapToGrid w:val="0"/>
              <w:spacing w:line="360" w:lineRule="auto"/>
              <w:jc w:val="center"/>
              <w:rPr>
                <w:rFonts w:ascii="宋体" w:hAnsi="宋体" w:eastAsia="宋体" w:cs="宋体"/>
                <w:color w:val="auto"/>
                <w:kern w:val="0"/>
                <w:sz w:val="24"/>
                <w:szCs w:val="24"/>
                <w:highlight w:val="none"/>
              </w:rPr>
            </w:pPr>
          </w:p>
        </w:tc>
        <w:tc>
          <w:tcPr>
            <w:tcW w:w="2064" w:type="dxa"/>
          </w:tcPr>
          <w:p w14:paraId="2B4F1D3C">
            <w:pPr>
              <w:snapToGrid w:val="0"/>
              <w:spacing w:line="360" w:lineRule="auto"/>
              <w:jc w:val="center"/>
              <w:rPr>
                <w:rFonts w:ascii="宋体" w:hAnsi="宋体" w:eastAsia="宋体" w:cs="宋体"/>
                <w:color w:val="auto"/>
                <w:kern w:val="0"/>
                <w:sz w:val="24"/>
                <w:szCs w:val="24"/>
                <w:highlight w:val="none"/>
              </w:rPr>
            </w:pPr>
          </w:p>
        </w:tc>
        <w:tc>
          <w:tcPr>
            <w:tcW w:w="3668" w:type="dxa"/>
          </w:tcPr>
          <w:p w14:paraId="15213EFF">
            <w:pPr>
              <w:snapToGrid w:val="0"/>
              <w:spacing w:line="360" w:lineRule="auto"/>
              <w:jc w:val="center"/>
              <w:rPr>
                <w:rFonts w:ascii="宋体" w:hAnsi="宋体" w:eastAsia="宋体" w:cs="宋体"/>
                <w:color w:val="auto"/>
                <w:kern w:val="0"/>
                <w:sz w:val="24"/>
                <w:szCs w:val="24"/>
                <w:highlight w:val="none"/>
              </w:rPr>
            </w:pPr>
          </w:p>
        </w:tc>
        <w:tc>
          <w:tcPr>
            <w:tcW w:w="1481" w:type="dxa"/>
          </w:tcPr>
          <w:p w14:paraId="377A78F4">
            <w:pPr>
              <w:snapToGrid w:val="0"/>
              <w:spacing w:line="360" w:lineRule="auto"/>
              <w:jc w:val="center"/>
              <w:rPr>
                <w:rFonts w:ascii="宋体" w:hAnsi="宋体" w:eastAsia="宋体" w:cs="宋体"/>
                <w:color w:val="auto"/>
                <w:kern w:val="0"/>
                <w:sz w:val="24"/>
                <w:szCs w:val="24"/>
                <w:highlight w:val="none"/>
              </w:rPr>
            </w:pPr>
          </w:p>
        </w:tc>
        <w:tc>
          <w:tcPr>
            <w:tcW w:w="1245" w:type="dxa"/>
          </w:tcPr>
          <w:p w14:paraId="707F0AF2">
            <w:pPr>
              <w:snapToGrid w:val="0"/>
              <w:spacing w:line="360" w:lineRule="auto"/>
              <w:jc w:val="center"/>
              <w:rPr>
                <w:rFonts w:ascii="宋体" w:hAnsi="宋体" w:eastAsia="宋体" w:cs="宋体"/>
                <w:color w:val="auto"/>
                <w:kern w:val="0"/>
                <w:sz w:val="24"/>
                <w:szCs w:val="24"/>
                <w:highlight w:val="none"/>
              </w:rPr>
            </w:pPr>
          </w:p>
        </w:tc>
      </w:tr>
      <w:tr w14:paraId="20F1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C3C0C2B">
            <w:pPr>
              <w:snapToGrid w:val="0"/>
              <w:spacing w:line="360" w:lineRule="auto"/>
              <w:jc w:val="center"/>
              <w:rPr>
                <w:rFonts w:ascii="宋体" w:hAnsi="宋体" w:eastAsia="宋体" w:cs="宋体"/>
                <w:color w:val="auto"/>
                <w:kern w:val="0"/>
                <w:sz w:val="24"/>
                <w:szCs w:val="24"/>
                <w:highlight w:val="none"/>
              </w:rPr>
            </w:pPr>
          </w:p>
        </w:tc>
        <w:tc>
          <w:tcPr>
            <w:tcW w:w="2064" w:type="dxa"/>
          </w:tcPr>
          <w:p w14:paraId="06ABA6CA">
            <w:pPr>
              <w:snapToGrid w:val="0"/>
              <w:spacing w:line="360" w:lineRule="auto"/>
              <w:jc w:val="center"/>
              <w:rPr>
                <w:rFonts w:ascii="宋体" w:hAnsi="宋体" w:eastAsia="宋体" w:cs="宋体"/>
                <w:color w:val="auto"/>
                <w:kern w:val="0"/>
                <w:sz w:val="24"/>
                <w:szCs w:val="24"/>
                <w:highlight w:val="none"/>
              </w:rPr>
            </w:pPr>
          </w:p>
        </w:tc>
        <w:tc>
          <w:tcPr>
            <w:tcW w:w="3668" w:type="dxa"/>
          </w:tcPr>
          <w:p w14:paraId="022A4CB5">
            <w:pPr>
              <w:snapToGrid w:val="0"/>
              <w:spacing w:line="360" w:lineRule="auto"/>
              <w:jc w:val="center"/>
              <w:rPr>
                <w:rFonts w:ascii="宋体" w:hAnsi="宋体" w:eastAsia="宋体" w:cs="宋体"/>
                <w:color w:val="auto"/>
                <w:kern w:val="0"/>
                <w:sz w:val="24"/>
                <w:szCs w:val="24"/>
                <w:highlight w:val="none"/>
              </w:rPr>
            </w:pPr>
          </w:p>
        </w:tc>
        <w:tc>
          <w:tcPr>
            <w:tcW w:w="1481" w:type="dxa"/>
          </w:tcPr>
          <w:p w14:paraId="2BCD6D82">
            <w:pPr>
              <w:snapToGrid w:val="0"/>
              <w:spacing w:line="360" w:lineRule="auto"/>
              <w:jc w:val="center"/>
              <w:rPr>
                <w:rFonts w:ascii="宋体" w:hAnsi="宋体" w:eastAsia="宋体" w:cs="宋体"/>
                <w:color w:val="auto"/>
                <w:kern w:val="0"/>
                <w:sz w:val="24"/>
                <w:szCs w:val="24"/>
                <w:highlight w:val="none"/>
              </w:rPr>
            </w:pPr>
          </w:p>
        </w:tc>
        <w:tc>
          <w:tcPr>
            <w:tcW w:w="1245" w:type="dxa"/>
          </w:tcPr>
          <w:p w14:paraId="02EEDF16">
            <w:pPr>
              <w:snapToGrid w:val="0"/>
              <w:spacing w:line="360" w:lineRule="auto"/>
              <w:jc w:val="center"/>
              <w:rPr>
                <w:rFonts w:ascii="宋体" w:hAnsi="宋体" w:eastAsia="宋体" w:cs="宋体"/>
                <w:color w:val="auto"/>
                <w:kern w:val="0"/>
                <w:sz w:val="24"/>
                <w:szCs w:val="24"/>
                <w:highlight w:val="none"/>
              </w:rPr>
            </w:pPr>
          </w:p>
        </w:tc>
      </w:tr>
      <w:tr w14:paraId="7D06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94EC363">
            <w:pPr>
              <w:snapToGrid w:val="0"/>
              <w:spacing w:line="360" w:lineRule="auto"/>
              <w:jc w:val="center"/>
              <w:rPr>
                <w:rFonts w:ascii="宋体" w:hAnsi="宋体" w:eastAsia="宋体" w:cs="宋体"/>
                <w:color w:val="auto"/>
                <w:kern w:val="0"/>
                <w:sz w:val="24"/>
                <w:szCs w:val="24"/>
                <w:highlight w:val="none"/>
              </w:rPr>
            </w:pPr>
          </w:p>
        </w:tc>
        <w:tc>
          <w:tcPr>
            <w:tcW w:w="2064" w:type="dxa"/>
          </w:tcPr>
          <w:p w14:paraId="3DAA94D1">
            <w:pPr>
              <w:snapToGrid w:val="0"/>
              <w:spacing w:line="360" w:lineRule="auto"/>
              <w:jc w:val="center"/>
              <w:rPr>
                <w:rFonts w:ascii="宋体" w:hAnsi="宋体" w:eastAsia="宋体" w:cs="宋体"/>
                <w:color w:val="auto"/>
                <w:kern w:val="0"/>
                <w:sz w:val="24"/>
                <w:szCs w:val="24"/>
                <w:highlight w:val="none"/>
              </w:rPr>
            </w:pPr>
          </w:p>
        </w:tc>
        <w:tc>
          <w:tcPr>
            <w:tcW w:w="3668" w:type="dxa"/>
          </w:tcPr>
          <w:p w14:paraId="541BE653">
            <w:pPr>
              <w:snapToGrid w:val="0"/>
              <w:spacing w:line="360" w:lineRule="auto"/>
              <w:jc w:val="center"/>
              <w:rPr>
                <w:rFonts w:ascii="宋体" w:hAnsi="宋体" w:eastAsia="宋体" w:cs="宋体"/>
                <w:color w:val="auto"/>
                <w:kern w:val="0"/>
                <w:sz w:val="24"/>
                <w:szCs w:val="24"/>
                <w:highlight w:val="none"/>
              </w:rPr>
            </w:pPr>
          </w:p>
        </w:tc>
        <w:tc>
          <w:tcPr>
            <w:tcW w:w="1481" w:type="dxa"/>
          </w:tcPr>
          <w:p w14:paraId="4D5FD42B">
            <w:pPr>
              <w:snapToGrid w:val="0"/>
              <w:spacing w:line="360" w:lineRule="auto"/>
              <w:jc w:val="center"/>
              <w:rPr>
                <w:rFonts w:ascii="宋体" w:hAnsi="宋体" w:eastAsia="宋体" w:cs="宋体"/>
                <w:color w:val="auto"/>
                <w:kern w:val="0"/>
                <w:sz w:val="24"/>
                <w:szCs w:val="24"/>
                <w:highlight w:val="none"/>
              </w:rPr>
            </w:pPr>
          </w:p>
        </w:tc>
        <w:tc>
          <w:tcPr>
            <w:tcW w:w="1245" w:type="dxa"/>
          </w:tcPr>
          <w:p w14:paraId="705B638A">
            <w:pPr>
              <w:snapToGrid w:val="0"/>
              <w:spacing w:line="360" w:lineRule="auto"/>
              <w:jc w:val="center"/>
              <w:rPr>
                <w:rFonts w:ascii="宋体" w:hAnsi="宋体" w:eastAsia="宋体" w:cs="宋体"/>
                <w:color w:val="auto"/>
                <w:kern w:val="0"/>
                <w:sz w:val="24"/>
                <w:szCs w:val="24"/>
                <w:highlight w:val="none"/>
              </w:rPr>
            </w:pPr>
          </w:p>
        </w:tc>
      </w:tr>
      <w:tr w14:paraId="0F1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FF0E95E">
            <w:pPr>
              <w:snapToGrid w:val="0"/>
              <w:spacing w:line="360" w:lineRule="auto"/>
              <w:jc w:val="center"/>
              <w:rPr>
                <w:rFonts w:ascii="宋体" w:hAnsi="宋体" w:eastAsia="宋体" w:cs="宋体"/>
                <w:color w:val="auto"/>
                <w:kern w:val="0"/>
                <w:sz w:val="24"/>
                <w:szCs w:val="24"/>
                <w:highlight w:val="none"/>
              </w:rPr>
            </w:pPr>
          </w:p>
        </w:tc>
        <w:tc>
          <w:tcPr>
            <w:tcW w:w="2064" w:type="dxa"/>
          </w:tcPr>
          <w:p w14:paraId="5835AF10">
            <w:pPr>
              <w:snapToGrid w:val="0"/>
              <w:spacing w:line="360" w:lineRule="auto"/>
              <w:jc w:val="center"/>
              <w:rPr>
                <w:rFonts w:ascii="宋体" w:hAnsi="宋体" w:eastAsia="宋体" w:cs="宋体"/>
                <w:color w:val="auto"/>
                <w:kern w:val="0"/>
                <w:sz w:val="24"/>
                <w:szCs w:val="24"/>
                <w:highlight w:val="none"/>
              </w:rPr>
            </w:pPr>
          </w:p>
        </w:tc>
        <w:tc>
          <w:tcPr>
            <w:tcW w:w="3668" w:type="dxa"/>
          </w:tcPr>
          <w:p w14:paraId="1E89D2A7">
            <w:pPr>
              <w:snapToGrid w:val="0"/>
              <w:spacing w:line="360" w:lineRule="auto"/>
              <w:jc w:val="center"/>
              <w:rPr>
                <w:rFonts w:ascii="宋体" w:hAnsi="宋体" w:eastAsia="宋体" w:cs="宋体"/>
                <w:color w:val="auto"/>
                <w:kern w:val="0"/>
                <w:sz w:val="24"/>
                <w:szCs w:val="24"/>
                <w:highlight w:val="none"/>
              </w:rPr>
            </w:pPr>
          </w:p>
        </w:tc>
        <w:tc>
          <w:tcPr>
            <w:tcW w:w="1481" w:type="dxa"/>
          </w:tcPr>
          <w:p w14:paraId="28632257">
            <w:pPr>
              <w:snapToGrid w:val="0"/>
              <w:spacing w:line="360" w:lineRule="auto"/>
              <w:jc w:val="center"/>
              <w:rPr>
                <w:rFonts w:ascii="宋体" w:hAnsi="宋体" w:eastAsia="宋体" w:cs="宋体"/>
                <w:color w:val="auto"/>
                <w:kern w:val="0"/>
                <w:sz w:val="24"/>
                <w:szCs w:val="24"/>
                <w:highlight w:val="none"/>
              </w:rPr>
            </w:pPr>
          </w:p>
        </w:tc>
        <w:tc>
          <w:tcPr>
            <w:tcW w:w="1245" w:type="dxa"/>
          </w:tcPr>
          <w:p w14:paraId="7E293CFE">
            <w:pPr>
              <w:snapToGrid w:val="0"/>
              <w:spacing w:line="360" w:lineRule="auto"/>
              <w:jc w:val="center"/>
              <w:rPr>
                <w:rFonts w:ascii="宋体" w:hAnsi="宋体" w:eastAsia="宋体" w:cs="宋体"/>
                <w:color w:val="auto"/>
                <w:kern w:val="0"/>
                <w:sz w:val="24"/>
                <w:szCs w:val="24"/>
                <w:highlight w:val="none"/>
              </w:rPr>
            </w:pPr>
          </w:p>
        </w:tc>
      </w:tr>
      <w:tr w14:paraId="1430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2FA7A09">
            <w:pPr>
              <w:snapToGrid w:val="0"/>
              <w:spacing w:line="360" w:lineRule="auto"/>
              <w:jc w:val="center"/>
              <w:rPr>
                <w:rFonts w:ascii="宋体" w:hAnsi="宋体" w:eastAsia="宋体" w:cs="宋体"/>
                <w:color w:val="auto"/>
                <w:kern w:val="0"/>
                <w:sz w:val="24"/>
                <w:szCs w:val="24"/>
                <w:highlight w:val="none"/>
              </w:rPr>
            </w:pPr>
          </w:p>
        </w:tc>
        <w:tc>
          <w:tcPr>
            <w:tcW w:w="2064" w:type="dxa"/>
          </w:tcPr>
          <w:p w14:paraId="6E289D9C">
            <w:pPr>
              <w:snapToGrid w:val="0"/>
              <w:spacing w:line="360" w:lineRule="auto"/>
              <w:jc w:val="center"/>
              <w:rPr>
                <w:rFonts w:ascii="宋体" w:hAnsi="宋体" w:eastAsia="宋体" w:cs="宋体"/>
                <w:color w:val="auto"/>
                <w:kern w:val="0"/>
                <w:sz w:val="24"/>
                <w:szCs w:val="24"/>
                <w:highlight w:val="none"/>
              </w:rPr>
            </w:pPr>
          </w:p>
        </w:tc>
        <w:tc>
          <w:tcPr>
            <w:tcW w:w="3668" w:type="dxa"/>
          </w:tcPr>
          <w:p w14:paraId="27334A8E">
            <w:pPr>
              <w:snapToGrid w:val="0"/>
              <w:spacing w:line="360" w:lineRule="auto"/>
              <w:jc w:val="center"/>
              <w:rPr>
                <w:rFonts w:ascii="宋体" w:hAnsi="宋体" w:eastAsia="宋体" w:cs="宋体"/>
                <w:color w:val="auto"/>
                <w:kern w:val="0"/>
                <w:sz w:val="24"/>
                <w:szCs w:val="24"/>
                <w:highlight w:val="none"/>
              </w:rPr>
            </w:pPr>
          </w:p>
        </w:tc>
        <w:tc>
          <w:tcPr>
            <w:tcW w:w="1481" w:type="dxa"/>
          </w:tcPr>
          <w:p w14:paraId="75BFFE2D">
            <w:pPr>
              <w:snapToGrid w:val="0"/>
              <w:spacing w:line="360" w:lineRule="auto"/>
              <w:jc w:val="center"/>
              <w:rPr>
                <w:rFonts w:ascii="宋体" w:hAnsi="宋体" w:eastAsia="宋体" w:cs="宋体"/>
                <w:color w:val="auto"/>
                <w:kern w:val="0"/>
                <w:sz w:val="24"/>
                <w:szCs w:val="24"/>
                <w:highlight w:val="none"/>
              </w:rPr>
            </w:pPr>
          </w:p>
        </w:tc>
        <w:tc>
          <w:tcPr>
            <w:tcW w:w="1245" w:type="dxa"/>
          </w:tcPr>
          <w:p w14:paraId="61870752">
            <w:pPr>
              <w:snapToGrid w:val="0"/>
              <w:spacing w:line="360" w:lineRule="auto"/>
              <w:jc w:val="center"/>
              <w:rPr>
                <w:rFonts w:ascii="宋体" w:hAnsi="宋体" w:eastAsia="宋体" w:cs="宋体"/>
                <w:color w:val="auto"/>
                <w:kern w:val="0"/>
                <w:sz w:val="24"/>
                <w:szCs w:val="24"/>
                <w:highlight w:val="none"/>
              </w:rPr>
            </w:pPr>
          </w:p>
        </w:tc>
      </w:tr>
      <w:tr w14:paraId="392F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D938689">
            <w:pPr>
              <w:snapToGrid w:val="0"/>
              <w:spacing w:line="360" w:lineRule="auto"/>
              <w:jc w:val="center"/>
              <w:rPr>
                <w:rFonts w:ascii="宋体" w:hAnsi="宋体" w:eastAsia="宋体" w:cs="宋体"/>
                <w:color w:val="auto"/>
                <w:kern w:val="0"/>
                <w:sz w:val="24"/>
                <w:szCs w:val="24"/>
                <w:highlight w:val="none"/>
              </w:rPr>
            </w:pPr>
          </w:p>
        </w:tc>
        <w:tc>
          <w:tcPr>
            <w:tcW w:w="2064" w:type="dxa"/>
          </w:tcPr>
          <w:p w14:paraId="0F9D11DC">
            <w:pPr>
              <w:snapToGrid w:val="0"/>
              <w:spacing w:line="360" w:lineRule="auto"/>
              <w:jc w:val="center"/>
              <w:rPr>
                <w:rFonts w:ascii="宋体" w:hAnsi="宋体" w:eastAsia="宋体" w:cs="宋体"/>
                <w:color w:val="auto"/>
                <w:kern w:val="0"/>
                <w:sz w:val="24"/>
                <w:szCs w:val="24"/>
                <w:highlight w:val="none"/>
              </w:rPr>
            </w:pPr>
          </w:p>
        </w:tc>
        <w:tc>
          <w:tcPr>
            <w:tcW w:w="3668" w:type="dxa"/>
          </w:tcPr>
          <w:p w14:paraId="17C2E177">
            <w:pPr>
              <w:snapToGrid w:val="0"/>
              <w:spacing w:line="360" w:lineRule="auto"/>
              <w:jc w:val="center"/>
              <w:rPr>
                <w:rFonts w:ascii="宋体" w:hAnsi="宋体" w:eastAsia="宋体" w:cs="宋体"/>
                <w:color w:val="auto"/>
                <w:kern w:val="0"/>
                <w:sz w:val="24"/>
                <w:szCs w:val="24"/>
                <w:highlight w:val="none"/>
              </w:rPr>
            </w:pPr>
          </w:p>
        </w:tc>
        <w:tc>
          <w:tcPr>
            <w:tcW w:w="1481" w:type="dxa"/>
          </w:tcPr>
          <w:p w14:paraId="2A506314">
            <w:pPr>
              <w:snapToGrid w:val="0"/>
              <w:spacing w:line="360" w:lineRule="auto"/>
              <w:jc w:val="center"/>
              <w:rPr>
                <w:rFonts w:ascii="宋体" w:hAnsi="宋体" w:eastAsia="宋体" w:cs="宋体"/>
                <w:color w:val="auto"/>
                <w:kern w:val="0"/>
                <w:sz w:val="24"/>
                <w:szCs w:val="24"/>
                <w:highlight w:val="none"/>
              </w:rPr>
            </w:pPr>
          </w:p>
        </w:tc>
        <w:tc>
          <w:tcPr>
            <w:tcW w:w="1245" w:type="dxa"/>
          </w:tcPr>
          <w:p w14:paraId="68F5CFBA">
            <w:pPr>
              <w:snapToGrid w:val="0"/>
              <w:spacing w:line="360" w:lineRule="auto"/>
              <w:jc w:val="center"/>
              <w:rPr>
                <w:rFonts w:ascii="宋体" w:hAnsi="宋体" w:eastAsia="宋体" w:cs="宋体"/>
                <w:color w:val="auto"/>
                <w:kern w:val="0"/>
                <w:sz w:val="24"/>
                <w:szCs w:val="24"/>
                <w:highlight w:val="none"/>
              </w:rPr>
            </w:pPr>
          </w:p>
        </w:tc>
      </w:tr>
      <w:tr w14:paraId="3A84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D3DCF9E">
            <w:pPr>
              <w:snapToGrid w:val="0"/>
              <w:spacing w:line="360" w:lineRule="auto"/>
              <w:jc w:val="center"/>
              <w:rPr>
                <w:rFonts w:ascii="宋体" w:hAnsi="宋体" w:eastAsia="宋体" w:cs="宋体"/>
                <w:color w:val="auto"/>
                <w:kern w:val="0"/>
                <w:sz w:val="24"/>
                <w:szCs w:val="24"/>
                <w:highlight w:val="none"/>
              </w:rPr>
            </w:pPr>
          </w:p>
        </w:tc>
        <w:tc>
          <w:tcPr>
            <w:tcW w:w="2064" w:type="dxa"/>
          </w:tcPr>
          <w:p w14:paraId="2752D31E">
            <w:pPr>
              <w:snapToGrid w:val="0"/>
              <w:spacing w:line="360" w:lineRule="auto"/>
              <w:jc w:val="center"/>
              <w:rPr>
                <w:rFonts w:ascii="宋体" w:hAnsi="宋体" w:eastAsia="宋体" w:cs="宋体"/>
                <w:color w:val="auto"/>
                <w:kern w:val="0"/>
                <w:sz w:val="24"/>
                <w:szCs w:val="24"/>
                <w:highlight w:val="none"/>
              </w:rPr>
            </w:pPr>
          </w:p>
        </w:tc>
        <w:tc>
          <w:tcPr>
            <w:tcW w:w="3668" w:type="dxa"/>
          </w:tcPr>
          <w:p w14:paraId="2F79DCE6">
            <w:pPr>
              <w:snapToGrid w:val="0"/>
              <w:spacing w:line="360" w:lineRule="auto"/>
              <w:jc w:val="center"/>
              <w:rPr>
                <w:rFonts w:ascii="宋体" w:hAnsi="宋体" w:eastAsia="宋体" w:cs="宋体"/>
                <w:color w:val="auto"/>
                <w:kern w:val="0"/>
                <w:sz w:val="24"/>
                <w:szCs w:val="24"/>
                <w:highlight w:val="none"/>
              </w:rPr>
            </w:pPr>
          </w:p>
        </w:tc>
        <w:tc>
          <w:tcPr>
            <w:tcW w:w="1481" w:type="dxa"/>
          </w:tcPr>
          <w:p w14:paraId="711C2377">
            <w:pPr>
              <w:snapToGrid w:val="0"/>
              <w:spacing w:line="360" w:lineRule="auto"/>
              <w:jc w:val="center"/>
              <w:rPr>
                <w:rFonts w:ascii="宋体" w:hAnsi="宋体" w:eastAsia="宋体" w:cs="宋体"/>
                <w:color w:val="auto"/>
                <w:kern w:val="0"/>
                <w:sz w:val="24"/>
                <w:szCs w:val="24"/>
                <w:highlight w:val="none"/>
              </w:rPr>
            </w:pPr>
          </w:p>
        </w:tc>
        <w:tc>
          <w:tcPr>
            <w:tcW w:w="1245" w:type="dxa"/>
          </w:tcPr>
          <w:p w14:paraId="5F898A1C">
            <w:pPr>
              <w:snapToGrid w:val="0"/>
              <w:spacing w:line="360" w:lineRule="auto"/>
              <w:jc w:val="center"/>
              <w:rPr>
                <w:rFonts w:ascii="宋体" w:hAnsi="宋体" w:eastAsia="宋体" w:cs="宋体"/>
                <w:color w:val="auto"/>
                <w:kern w:val="0"/>
                <w:sz w:val="24"/>
                <w:szCs w:val="24"/>
                <w:highlight w:val="none"/>
              </w:rPr>
            </w:pPr>
          </w:p>
        </w:tc>
      </w:tr>
      <w:tr w14:paraId="0D7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CCBF06A">
            <w:pPr>
              <w:snapToGrid w:val="0"/>
              <w:spacing w:line="360" w:lineRule="auto"/>
              <w:jc w:val="center"/>
              <w:rPr>
                <w:rFonts w:ascii="宋体" w:hAnsi="宋体" w:eastAsia="宋体" w:cs="宋体"/>
                <w:color w:val="auto"/>
                <w:kern w:val="0"/>
                <w:sz w:val="24"/>
                <w:szCs w:val="24"/>
                <w:highlight w:val="none"/>
              </w:rPr>
            </w:pPr>
          </w:p>
        </w:tc>
        <w:tc>
          <w:tcPr>
            <w:tcW w:w="2064" w:type="dxa"/>
          </w:tcPr>
          <w:p w14:paraId="36D2FB7C">
            <w:pPr>
              <w:snapToGrid w:val="0"/>
              <w:spacing w:line="360" w:lineRule="auto"/>
              <w:jc w:val="center"/>
              <w:rPr>
                <w:rFonts w:ascii="宋体" w:hAnsi="宋体" w:eastAsia="宋体" w:cs="宋体"/>
                <w:color w:val="auto"/>
                <w:kern w:val="0"/>
                <w:sz w:val="24"/>
                <w:szCs w:val="24"/>
                <w:highlight w:val="none"/>
              </w:rPr>
            </w:pPr>
          </w:p>
        </w:tc>
        <w:tc>
          <w:tcPr>
            <w:tcW w:w="3668" w:type="dxa"/>
          </w:tcPr>
          <w:p w14:paraId="570689F4">
            <w:pPr>
              <w:snapToGrid w:val="0"/>
              <w:spacing w:line="360" w:lineRule="auto"/>
              <w:jc w:val="center"/>
              <w:rPr>
                <w:rFonts w:ascii="宋体" w:hAnsi="宋体" w:eastAsia="宋体" w:cs="宋体"/>
                <w:color w:val="auto"/>
                <w:kern w:val="0"/>
                <w:sz w:val="24"/>
                <w:szCs w:val="24"/>
                <w:highlight w:val="none"/>
              </w:rPr>
            </w:pPr>
          </w:p>
        </w:tc>
        <w:tc>
          <w:tcPr>
            <w:tcW w:w="1481" w:type="dxa"/>
          </w:tcPr>
          <w:p w14:paraId="30E7418A">
            <w:pPr>
              <w:snapToGrid w:val="0"/>
              <w:spacing w:line="360" w:lineRule="auto"/>
              <w:jc w:val="center"/>
              <w:rPr>
                <w:rFonts w:ascii="宋体" w:hAnsi="宋体" w:eastAsia="宋体" w:cs="宋体"/>
                <w:color w:val="auto"/>
                <w:kern w:val="0"/>
                <w:sz w:val="24"/>
                <w:szCs w:val="24"/>
                <w:highlight w:val="none"/>
              </w:rPr>
            </w:pPr>
          </w:p>
        </w:tc>
        <w:tc>
          <w:tcPr>
            <w:tcW w:w="1245" w:type="dxa"/>
          </w:tcPr>
          <w:p w14:paraId="32CA1430">
            <w:pPr>
              <w:snapToGrid w:val="0"/>
              <w:spacing w:line="360" w:lineRule="auto"/>
              <w:jc w:val="center"/>
              <w:rPr>
                <w:rFonts w:ascii="宋体" w:hAnsi="宋体" w:eastAsia="宋体" w:cs="宋体"/>
                <w:color w:val="auto"/>
                <w:kern w:val="0"/>
                <w:sz w:val="24"/>
                <w:szCs w:val="24"/>
                <w:highlight w:val="none"/>
              </w:rPr>
            </w:pPr>
          </w:p>
        </w:tc>
      </w:tr>
      <w:tr w14:paraId="15B6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901C1DE">
            <w:pPr>
              <w:snapToGrid w:val="0"/>
              <w:spacing w:line="360" w:lineRule="auto"/>
              <w:jc w:val="center"/>
              <w:rPr>
                <w:rFonts w:ascii="宋体" w:hAnsi="宋体" w:eastAsia="宋体" w:cs="宋体"/>
                <w:color w:val="auto"/>
                <w:kern w:val="0"/>
                <w:sz w:val="24"/>
                <w:szCs w:val="24"/>
                <w:highlight w:val="none"/>
              </w:rPr>
            </w:pPr>
          </w:p>
        </w:tc>
        <w:tc>
          <w:tcPr>
            <w:tcW w:w="2064" w:type="dxa"/>
          </w:tcPr>
          <w:p w14:paraId="03774F0C">
            <w:pPr>
              <w:snapToGrid w:val="0"/>
              <w:spacing w:line="360" w:lineRule="auto"/>
              <w:jc w:val="center"/>
              <w:rPr>
                <w:rFonts w:ascii="宋体" w:hAnsi="宋体" w:eastAsia="宋体" w:cs="宋体"/>
                <w:color w:val="auto"/>
                <w:kern w:val="0"/>
                <w:sz w:val="24"/>
                <w:szCs w:val="24"/>
                <w:highlight w:val="none"/>
              </w:rPr>
            </w:pPr>
          </w:p>
        </w:tc>
        <w:tc>
          <w:tcPr>
            <w:tcW w:w="3668" w:type="dxa"/>
          </w:tcPr>
          <w:p w14:paraId="13203A55">
            <w:pPr>
              <w:snapToGrid w:val="0"/>
              <w:spacing w:line="360" w:lineRule="auto"/>
              <w:jc w:val="center"/>
              <w:rPr>
                <w:rFonts w:ascii="宋体" w:hAnsi="宋体" w:eastAsia="宋体" w:cs="宋体"/>
                <w:color w:val="auto"/>
                <w:kern w:val="0"/>
                <w:sz w:val="24"/>
                <w:szCs w:val="24"/>
                <w:highlight w:val="none"/>
              </w:rPr>
            </w:pPr>
          </w:p>
        </w:tc>
        <w:tc>
          <w:tcPr>
            <w:tcW w:w="1481" w:type="dxa"/>
          </w:tcPr>
          <w:p w14:paraId="566A807B">
            <w:pPr>
              <w:snapToGrid w:val="0"/>
              <w:spacing w:line="360" w:lineRule="auto"/>
              <w:jc w:val="center"/>
              <w:rPr>
                <w:rFonts w:ascii="宋体" w:hAnsi="宋体" w:eastAsia="宋体" w:cs="宋体"/>
                <w:color w:val="auto"/>
                <w:kern w:val="0"/>
                <w:sz w:val="24"/>
                <w:szCs w:val="24"/>
                <w:highlight w:val="none"/>
              </w:rPr>
            </w:pPr>
          </w:p>
        </w:tc>
        <w:tc>
          <w:tcPr>
            <w:tcW w:w="1245" w:type="dxa"/>
          </w:tcPr>
          <w:p w14:paraId="4ECFD1F7">
            <w:pPr>
              <w:snapToGrid w:val="0"/>
              <w:spacing w:line="360" w:lineRule="auto"/>
              <w:jc w:val="center"/>
              <w:rPr>
                <w:rFonts w:ascii="宋体" w:hAnsi="宋体" w:eastAsia="宋体" w:cs="宋体"/>
                <w:color w:val="auto"/>
                <w:kern w:val="0"/>
                <w:sz w:val="24"/>
                <w:szCs w:val="24"/>
                <w:highlight w:val="none"/>
              </w:rPr>
            </w:pPr>
          </w:p>
        </w:tc>
      </w:tr>
      <w:tr w14:paraId="1A94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1EA60A50">
            <w:pPr>
              <w:snapToGrid w:val="0"/>
              <w:spacing w:line="360" w:lineRule="auto"/>
              <w:jc w:val="center"/>
              <w:rPr>
                <w:rFonts w:ascii="宋体" w:hAnsi="宋体" w:eastAsia="宋体" w:cs="宋体"/>
                <w:color w:val="auto"/>
                <w:kern w:val="0"/>
                <w:sz w:val="24"/>
                <w:szCs w:val="24"/>
                <w:highlight w:val="none"/>
              </w:rPr>
            </w:pPr>
          </w:p>
        </w:tc>
        <w:tc>
          <w:tcPr>
            <w:tcW w:w="2064" w:type="dxa"/>
          </w:tcPr>
          <w:p w14:paraId="62E64FC4">
            <w:pPr>
              <w:snapToGrid w:val="0"/>
              <w:spacing w:line="360" w:lineRule="auto"/>
              <w:jc w:val="center"/>
              <w:rPr>
                <w:rFonts w:ascii="宋体" w:hAnsi="宋体" w:eastAsia="宋体" w:cs="宋体"/>
                <w:color w:val="auto"/>
                <w:kern w:val="0"/>
                <w:sz w:val="24"/>
                <w:szCs w:val="24"/>
                <w:highlight w:val="none"/>
              </w:rPr>
            </w:pPr>
          </w:p>
        </w:tc>
        <w:tc>
          <w:tcPr>
            <w:tcW w:w="3668" w:type="dxa"/>
          </w:tcPr>
          <w:p w14:paraId="388EEE97">
            <w:pPr>
              <w:snapToGrid w:val="0"/>
              <w:spacing w:line="360" w:lineRule="auto"/>
              <w:jc w:val="center"/>
              <w:rPr>
                <w:rFonts w:ascii="宋体" w:hAnsi="宋体" w:eastAsia="宋体" w:cs="宋体"/>
                <w:color w:val="auto"/>
                <w:kern w:val="0"/>
                <w:sz w:val="24"/>
                <w:szCs w:val="24"/>
                <w:highlight w:val="none"/>
              </w:rPr>
            </w:pPr>
          </w:p>
        </w:tc>
        <w:tc>
          <w:tcPr>
            <w:tcW w:w="1481" w:type="dxa"/>
          </w:tcPr>
          <w:p w14:paraId="5E63EF45">
            <w:pPr>
              <w:snapToGrid w:val="0"/>
              <w:spacing w:line="360" w:lineRule="auto"/>
              <w:jc w:val="center"/>
              <w:rPr>
                <w:rFonts w:ascii="宋体" w:hAnsi="宋体" w:eastAsia="宋体" w:cs="宋体"/>
                <w:color w:val="auto"/>
                <w:kern w:val="0"/>
                <w:sz w:val="24"/>
                <w:szCs w:val="24"/>
                <w:highlight w:val="none"/>
              </w:rPr>
            </w:pPr>
          </w:p>
        </w:tc>
        <w:tc>
          <w:tcPr>
            <w:tcW w:w="1245" w:type="dxa"/>
          </w:tcPr>
          <w:p w14:paraId="3ADF10CB">
            <w:pPr>
              <w:snapToGrid w:val="0"/>
              <w:spacing w:line="360" w:lineRule="auto"/>
              <w:jc w:val="center"/>
              <w:rPr>
                <w:rFonts w:ascii="宋体" w:hAnsi="宋体" w:eastAsia="宋体" w:cs="宋体"/>
                <w:color w:val="auto"/>
                <w:kern w:val="0"/>
                <w:sz w:val="24"/>
                <w:szCs w:val="24"/>
                <w:highlight w:val="none"/>
              </w:rPr>
            </w:pPr>
          </w:p>
        </w:tc>
      </w:tr>
    </w:tbl>
    <w:p w14:paraId="4B17C818">
      <w:pPr>
        <w:rPr>
          <w:rFonts w:asciiTheme="minorEastAsia" w:hAnsiTheme="minorEastAsia" w:eastAsiaTheme="minorEastAsia" w:cstheme="minorEastAsia"/>
          <w:snapToGrid w:val="0"/>
          <w:color w:val="auto"/>
          <w:szCs w:val="21"/>
          <w:highlight w:val="none"/>
        </w:rPr>
      </w:pPr>
    </w:p>
    <w:p w14:paraId="6BFF201E">
      <w:pPr>
        <w:rPr>
          <w:rFonts w:asciiTheme="minorEastAsia" w:hAnsiTheme="minorEastAsia" w:eastAsiaTheme="minorEastAsia" w:cstheme="minorEastAsia"/>
          <w:snapToGrid w:val="0"/>
          <w:color w:val="auto"/>
          <w:szCs w:val="21"/>
          <w:highlight w:val="none"/>
        </w:rPr>
        <w:sectPr>
          <w:footerReference r:id="rId7" w:type="default"/>
          <w:pgSz w:w="11906" w:h="16838"/>
          <w:pgMar w:top="1701" w:right="1106" w:bottom="1217" w:left="1461" w:header="1077" w:footer="597" w:gutter="0"/>
          <w:cols w:space="720" w:num="1"/>
          <w:docGrid w:type="lines" w:linePitch="312" w:charSpace="0"/>
        </w:sectPr>
      </w:pPr>
      <w:r>
        <w:rPr>
          <w:rFonts w:asciiTheme="minorEastAsia" w:hAnsiTheme="minorEastAsia" w:eastAsiaTheme="minorEastAsia" w:cstheme="minorEastAsia"/>
          <w:snapToGrid w:val="0"/>
          <w:color w:val="auto"/>
          <w:szCs w:val="21"/>
          <w:highlight w:val="none"/>
        </w:rPr>
        <w:br w:type="page"/>
      </w:r>
    </w:p>
    <w:p w14:paraId="2D6A43B2">
      <w:pPr>
        <w:spacing w:before="78" w:line="219" w:lineRule="auto"/>
        <w:ind w:left="1318"/>
        <w:rPr>
          <w:rFonts w:ascii="宋体" w:hAnsi="宋体" w:eastAsia="宋体" w:cs="宋体"/>
          <w:color w:val="auto"/>
          <w:sz w:val="22"/>
          <w:szCs w:val="22"/>
          <w:highlight w:val="none"/>
        </w:rPr>
      </w:pPr>
      <w:r>
        <w:rPr>
          <w:rFonts w:hint="eastAsia" w:ascii="宋体" w:hAnsi="宋体" w:eastAsia="宋体" w:cs="宋体"/>
          <w:b/>
          <w:bCs/>
          <w:color w:val="auto"/>
          <w:spacing w:val="-4"/>
          <w:sz w:val="24"/>
          <w:szCs w:val="24"/>
          <w:highlight w:val="none"/>
          <w:lang w:val="en-US" w:eastAsia="zh-CN"/>
        </w:rPr>
        <w:t>6.1</w:t>
      </w:r>
      <w:r>
        <w:rPr>
          <w:rFonts w:ascii="宋体" w:hAnsi="宋体" w:eastAsia="宋体" w:cs="宋体"/>
          <w:b/>
          <w:bCs/>
          <w:color w:val="auto"/>
          <w:spacing w:val="-4"/>
          <w:sz w:val="24"/>
          <w:szCs w:val="24"/>
          <w:highlight w:val="none"/>
        </w:rPr>
        <w:t>供</w:t>
      </w:r>
      <w:r>
        <w:rPr>
          <w:rFonts w:ascii="宋体" w:hAnsi="宋体" w:eastAsia="宋体" w:cs="宋体"/>
          <w:b/>
          <w:bCs/>
          <w:color w:val="auto"/>
          <w:spacing w:val="-4"/>
          <w:sz w:val="22"/>
          <w:szCs w:val="22"/>
          <w:highlight w:val="none"/>
        </w:rPr>
        <w:t>应商业绩说明文件（如有</w:t>
      </w:r>
      <w:r>
        <w:rPr>
          <w:rFonts w:ascii="宋体" w:hAnsi="宋体" w:eastAsia="宋体" w:cs="宋体"/>
          <w:b/>
          <w:bCs/>
          <w:color w:val="auto"/>
          <w:spacing w:val="1"/>
          <w:sz w:val="22"/>
          <w:szCs w:val="22"/>
          <w:highlight w:val="none"/>
        </w:rPr>
        <w:t>）：</w:t>
      </w:r>
    </w:p>
    <w:p w14:paraId="16698F08">
      <w:pPr>
        <w:spacing w:before="35" w:line="219" w:lineRule="auto"/>
        <w:ind w:left="7706"/>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供应商业绩</w:t>
      </w:r>
    </w:p>
    <w:p w14:paraId="54BBF148">
      <w:pPr>
        <w:pStyle w:val="8"/>
        <w:spacing w:line="439" w:lineRule="auto"/>
        <w:rPr>
          <w:color w:val="auto"/>
          <w:sz w:val="20"/>
          <w:szCs w:val="18"/>
          <w:highlight w:val="none"/>
        </w:rPr>
      </w:pPr>
    </w:p>
    <w:p w14:paraId="1825BF35">
      <w:pPr>
        <w:spacing w:before="78" w:line="219" w:lineRule="auto"/>
        <w:ind w:left="1312"/>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供应商同类项目实施情况一览表格式</w:t>
      </w:r>
      <w:r>
        <w:rPr>
          <w:rFonts w:ascii="宋体" w:hAnsi="宋体" w:eastAsia="宋体" w:cs="宋体"/>
          <w:color w:val="auto"/>
          <w:spacing w:val="-18"/>
          <w:sz w:val="22"/>
          <w:szCs w:val="22"/>
          <w:highlight w:val="none"/>
        </w:rPr>
        <w:t>：（</w:t>
      </w:r>
      <w:r>
        <w:rPr>
          <w:rFonts w:ascii="宋体" w:hAnsi="宋体" w:eastAsia="宋体" w:cs="宋体"/>
          <w:color w:val="auto"/>
          <w:spacing w:val="1"/>
          <w:sz w:val="22"/>
          <w:szCs w:val="22"/>
          <w:highlight w:val="none"/>
        </w:rPr>
        <w:t>供应商同类项目合</w:t>
      </w:r>
      <w:r>
        <w:rPr>
          <w:rFonts w:ascii="宋体" w:hAnsi="宋体" w:eastAsia="宋体" w:cs="宋体"/>
          <w:color w:val="auto"/>
          <w:sz w:val="22"/>
          <w:szCs w:val="22"/>
          <w:highlight w:val="none"/>
        </w:rPr>
        <w:t>同复印件、用户验收报告、用户评价意见格式自拟）</w:t>
      </w:r>
    </w:p>
    <w:p w14:paraId="16D4BAB4">
      <w:pPr>
        <w:spacing w:line="101" w:lineRule="exact"/>
        <w:rPr>
          <w:color w:val="auto"/>
          <w:sz w:val="20"/>
          <w:szCs w:val="18"/>
          <w:highlight w:val="none"/>
        </w:rPr>
      </w:pPr>
    </w:p>
    <w:tbl>
      <w:tblPr>
        <w:tblStyle w:val="131"/>
        <w:tblW w:w="13658" w:type="dxa"/>
        <w:tblInd w:w="1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3"/>
        <w:gridCol w:w="3341"/>
        <w:gridCol w:w="1056"/>
        <w:gridCol w:w="1056"/>
        <w:gridCol w:w="1405"/>
        <w:gridCol w:w="705"/>
        <w:gridCol w:w="705"/>
        <w:gridCol w:w="705"/>
        <w:gridCol w:w="2112"/>
      </w:tblGrid>
      <w:tr w14:paraId="290D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573" w:type="dxa"/>
            <w:vMerge w:val="restart"/>
            <w:tcBorders>
              <w:bottom w:val="nil"/>
            </w:tcBorders>
            <w:vAlign w:val="top"/>
          </w:tcPr>
          <w:p w14:paraId="6C17EA10">
            <w:pPr>
              <w:spacing w:line="469" w:lineRule="auto"/>
              <w:rPr>
                <w:rFonts w:ascii="Arial"/>
                <w:color w:val="auto"/>
                <w:sz w:val="20"/>
                <w:szCs w:val="18"/>
                <w:highlight w:val="none"/>
              </w:rPr>
            </w:pPr>
          </w:p>
          <w:p w14:paraId="244D73BB">
            <w:pPr>
              <w:pStyle w:val="75"/>
              <w:spacing w:before="78" w:line="219" w:lineRule="auto"/>
              <w:ind w:left="571"/>
              <w:rPr>
                <w:color w:val="auto"/>
                <w:sz w:val="21"/>
                <w:szCs w:val="21"/>
                <w:highlight w:val="none"/>
              </w:rPr>
            </w:pPr>
            <w:r>
              <w:rPr>
                <w:color w:val="auto"/>
                <w:spacing w:val="-2"/>
                <w:sz w:val="21"/>
                <w:szCs w:val="21"/>
                <w:highlight w:val="none"/>
              </w:rPr>
              <w:t>采购单位名称</w:t>
            </w:r>
          </w:p>
        </w:tc>
        <w:tc>
          <w:tcPr>
            <w:tcW w:w="3341" w:type="dxa"/>
            <w:vMerge w:val="restart"/>
            <w:tcBorders>
              <w:bottom w:val="nil"/>
            </w:tcBorders>
            <w:vAlign w:val="top"/>
          </w:tcPr>
          <w:p w14:paraId="3B8BC87A">
            <w:pPr>
              <w:spacing w:line="468" w:lineRule="auto"/>
              <w:rPr>
                <w:rFonts w:ascii="Arial"/>
                <w:color w:val="auto"/>
                <w:sz w:val="20"/>
                <w:szCs w:val="18"/>
                <w:highlight w:val="none"/>
              </w:rPr>
            </w:pPr>
          </w:p>
          <w:p w14:paraId="3F1140A0">
            <w:pPr>
              <w:pStyle w:val="75"/>
              <w:spacing w:before="78" w:line="221" w:lineRule="auto"/>
              <w:ind w:left="840"/>
              <w:rPr>
                <w:color w:val="auto"/>
                <w:sz w:val="21"/>
                <w:szCs w:val="21"/>
                <w:highlight w:val="none"/>
              </w:rPr>
            </w:pPr>
            <w:r>
              <w:rPr>
                <w:color w:val="auto"/>
                <w:spacing w:val="-2"/>
                <w:sz w:val="21"/>
                <w:szCs w:val="21"/>
                <w:highlight w:val="none"/>
              </w:rPr>
              <w:t>设备或项目名称</w:t>
            </w:r>
          </w:p>
        </w:tc>
        <w:tc>
          <w:tcPr>
            <w:tcW w:w="1056" w:type="dxa"/>
            <w:vMerge w:val="restart"/>
            <w:tcBorders>
              <w:bottom w:val="nil"/>
            </w:tcBorders>
            <w:vAlign w:val="top"/>
          </w:tcPr>
          <w:p w14:paraId="4E396277">
            <w:pPr>
              <w:spacing w:line="314" w:lineRule="auto"/>
              <w:rPr>
                <w:rFonts w:ascii="Arial"/>
                <w:color w:val="auto"/>
                <w:sz w:val="20"/>
                <w:szCs w:val="18"/>
                <w:highlight w:val="none"/>
              </w:rPr>
            </w:pPr>
          </w:p>
          <w:p w14:paraId="73F31896">
            <w:pPr>
              <w:pStyle w:val="75"/>
              <w:spacing w:before="78" w:line="219" w:lineRule="auto"/>
              <w:ind w:left="292"/>
              <w:rPr>
                <w:color w:val="auto"/>
                <w:sz w:val="21"/>
                <w:szCs w:val="21"/>
                <w:highlight w:val="none"/>
              </w:rPr>
            </w:pPr>
            <w:r>
              <w:rPr>
                <w:color w:val="auto"/>
                <w:spacing w:val="-5"/>
                <w:sz w:val="21"/>
                <w:szCs w:val="21"/>
                <w:highlight w:val="none"/>
              </w:rPr>
              <w:t>采购</w:t>
            </w:r>
          </w:p>
          <w:p w14:paraId="6A2264CA">
            <w:pPr>
              <w:pStyle w:val="75"/>
              <w:spacing w:before="26" w:line="220" w:lineRule="auto"/>
              <w:ind w:left="295"/>
              <w:rPr>
                <w:color w:val="auto"/>
                <w:sz w:val="21"/>
                <w:szCs w:val="21"/>
                <w:highlight w:val="none"/>
              </w:rPr>
            </w:pPr>
            <w:r>
              <w:rPr>
                <w:color w:val="auto"/>
                <w:spacing w:val="-6"/>
                <w:sz w:val="21"/>
                <w:szCs w:val="21"/>
                <w:highlight w:val="none"/>
              </w:rPr>
              <w:t>数量</w:t>
            </w:r>
          </w:p>
        </w:tc>
        <w:tc>
          <w:tcPr>
            <w:tcW w:w="1056" w:type="dxa"/>
            <w:vMerge w:val="restart"/>
            <w:tcBorders>
              <w:bottom w:val="nil"/>
            </w:tcBorders>
            <w:vAlign w:val="top"/>
          </w:tcPr>
          <w:p w14:paraId="5088A8FD">
            <w:pPr>
              <w:spacing w:line="468" w:lineRule="auto"/>
              <w:rPr>
                <w:rFonts w:ascii="Arial"/>
                <w:color w:val="auto"/>
                <w:sz w:val="20"/>
                <w:szCs w:val="18"/>
                <w:highlight w:val="none"/>
              </w:rPr>
            </w:pPr>
          </w:p>
          <w:p w14:paraId="00E04772">
            <w:pPr>
              <w:pStyle w:val="75"/>
              <w:spacing w:before="78" w:line="219" w:lineRule="auto"/>
              <w:ind w:left="297"/>
              <w:rPr>
                <w:color w:val="auto"/>
                <w:sz w:val="21"/>
                <w:szCs w:val="21"/>
                <w:highlight w:val="none"/>
              </w:rPr>
            </w:pPr>
            <w:r>
              <w:rPr>
                <w:color w:val="auto"/>
                <w:spacing w:val="-6"/>
                <w:sz w:val="21"/>
                <w:szCs w:val="21"/>
                <w:highlight w:val="none"/>
              </w:rPr>
              <w:t>单价</w:t>
            </w:r>
          </w:p>
        </w:tc>
        <w:tc>
          <w:tcPr>
            <w:tcW w:w="1405" w:type="dxa"/>
            <w:vMerge w:val="restart"/>
            <w:tcBorders>
              <w:bottom w:val="nil"/>
            </w:tcBorders>
            <w:vAlign w:val="top"/>
          </w:tcPr>
          <w:p w14:paraId="1725ECEC">
            <w:pPr>
              <w:pStyle w:val="75"/>
              <w:spacing w:before="238" w:line="222" w:lineRule="auto"/>
              <w:ind w:left="472"/>
              <w:rPr>
                <w:color w:val="auto"/>
                <w:sz w:val="21"/>
                <w:szCs w:val="21"/>
                <w:highlight w:val="none"/>
              </w:rPr>
            </w:pPr>
            <w:r>
              <w:rPr>
                <w:color w:val="auto"/>
                <w:spacing w:val="-6"/>
                <w:sz w:val="21"/>
                <w:szCs w:val="21"/>
                <w:highlight w:val="none"/>
              </w:rPr>
              <w:t>合同</w:t>
            </w:r>
          </w:p>
          <w:p w14:paraId="13B74E21">
            <w:pPr>
              <w:pStyle w:val="75"/>
              <w:spacing w:before="23" w:line="220" w:lineRule="auto"/>
              <w:ind w:left="473"/>
              <w:rPr>
                <w:color w:val="auto"/>
                <w:sz w:val="21"/>
                <w:szCs w:val="21"/>
                <w:highlight w:val="none"/>
              </w:rPr>
            </w:pPr>
            <w:r>
              <w:rPr>
                <w:color w:val="auto"/>
                <w:spacing w:val="-6"/>
                <w:sz w:val="21"/>
                <w:szCs w:val="21"/>
                <w:highlight w:val="none"/>
              </w:rPr>
              <w:t>金额</w:t>
            </w:r>
          </w:p>
          <w:p w14:paraId="12933A73">
            <w:pPr>
              <w:pStyle w:val="75"/>
              <w:spacing w:before="25" w:line="221" w:lineRule="auto"/>
              <w:ind w:left="242"/>
              <w:rPr>
                <w:color w:val="auto"/>
                <w:sz w:val="21"/>
                <w:szCs w:val="21"/>
                <w:highlight w:val="none"/>
              </w:rPr>
            </w:pPr>
            <w:r>
              <w:rPr>
                <w:color w:val="auto"/>
                <w:spacing w:val="-6"/>
                <w:sz w:val="21"/>
                <w:szCs w:val="21"/>
                <w:highlight w:val="none"/>
              </w:rPr>
              <w:t>（万元）</w:t>
            </w:r>
          </w:p>
        </w:tc>
        <w:tc>
          <w:tcPr>
            <w:tcW w:w="2115" w:type="dxa"/>
            <w:gridSpan w:val="3"/>
            <w:vAlign w:val="top"/>
          </w:tcPr>
          <w:p w14:paraId="4A9CB561">
            <w:pPr>
              <w:pStyle w:val="75"/>
              <w:spacing w:before="127" w:line="219" w:lineRule="auto"/>
              <w:ind w:left="604"/>
              <w:rPr>
                <w:color w:val="auto"/>
                <w:sz w:val="21"/>
                <w:szCs w:val="21"/>
                <w:highlight w:val="none"/>
              </w:rPr>
            </w:pPr>
            <w:r>
              <w:rPr>
                <w:color w:val="auto"/>
                <w:spacing w:val="-8"/>
                <w:sz w:val="21"/>
                <w:szCs w:val="21"/>
                <w:highlight w:val="none"/>
              </w:rPr>
              <w:t>附件页码</w:t>
            </w:r>
          </w:p>
        </w:tc>
        <w:tc>
          <w:tcPr>
            <w:tcW w:w="2112" w:type="dxa"/>
            <w:vMerge w:val="restart"/>
            <w:tcBorders>
              <w:bottom w:val="nil"/>
            </w:tcBorders>
            <w:vAlign w:val="top"/>
          </w:tcPr>
          <w:p w14:paraId="5E1E5434">
            <w:pPr>
              <w:pStyle w:val="75"/>
              <w:spacing w:before="238" w:line="219" w:lineRule="auto"/>
              <w:ind w:left="221"/>
              <w:rPr>
                <w:color w:val="auto"/>
                <w:sz w:val="21"/>
                <w:szCs w:val="21"/>
                <w:highlight w:val="none"/>
              </w:rPr>
            </w:pPr>
            <w:r>
              <w:rPr>
                <w:color w:val="auto"/>
                <w:spacing w:val="-2"/>
                <w:sz w:val="21"/>
                <w:szCs w:val="21"/>
                <w:highlight w:val="none"/>
              </w:rPr>
              <w:t>采购单位联系人</w:t>
            </w:r>
          </w:p>
          <w:p w14:paraId="7BC3492B">
            <w:pPr>
              <w:pStyle w:val="75"/>
              <w:spacing w:before="26" w:line="223" w:lineRule="auto"/>
              <w:ind w:left="941"/>
              <w:rPr>
                <w:color w:val="auto"/>
                <w:sz w:val="21"/>
                <w:szCs w:val="21"/>
                <w:highlight w:val="none"/>
              </w:rPr>
            </w:pPr>
            <w:r>
              <w:rPr>
                <w:color w:val="auto"/>
                <w:sz w:val="21"/>
                <w:szCs w:val="21"/>
                <w:highlight w:val="none"/>
              </w:rPr>
              <w:t>及</w:t>
            </w:r>
          </w:p>
          <w:p w14:paraId="4EA9E577">
            <w:pPr>
              <w:pStyle w:val="75"/>
              <w:spacing w:before="22" w:line="222" w:lineRule="auto"/>
              <w:ind w:left="583"/>
              <w:rPr>
                <w:color w:val="auto"/>
                <w:sz w:val="21"/>
                <w:szCs w:val="21"/>
                <w:highlight w:val="none"/>
              </w:rPr>
            </w:pPr>
            <w:r>
              <w:rPr>
                <w:color w:val="auto"/>
                <w:spacing w:val="-3"/>
                <w:sz w:val="21"/>
                <w:szCs w:val="21"/>
                <w:highlight w:val="none"/>
              </w:rPr>
              <w:t>联系电话</w:t>
            </w:r>
          </w:p>
        </w:tc>
      </w:tr>
      <w:tr w14:paraId="3FAD0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2573" w:type="dxa"/>
            <w:vMerge w:val="continue"/>
            <w:tcBorders>
              <w:top w:val="nil"/>
            </w:tcBorders>
            <w:vAlign w:val="top"/>
          </w:tcPr>
          <w:p w14:paraId="69CCE4F9">
            <w:pPr>
              <w:rPr>
                <w:rFonts w:ascii="Arial"/>
                <w:color w:val="auto"/>
                <w:sz w:val="20"/>
                <w:szCs w:val="18"/>
                <w:highlight w:val="none"/>
              </w:rPr>
            </w:pPr>
          </w:p>
        </w:tc>
        <w:tc>
          <w:tcPr>
            <w:tcW w:w="3341" w:type="dxa"/>
            <w:vMerge w:val="continue"/>
            <w:tcBorders>
              <w:top w:val="nil"/>
            </w:tcBorders>
            <w:vAlign w:val="top"/>
          </w:tcPr>
          <w:p w14:paraId="70308695">
            <w:pPr>
              <w:rPr>
                <w:rFonts w:ascii="Arial"/>
                <w:color w:val="auto"/>
                <w:sz w:val="20"/>
                <w:szCs w:val="18"/>
                <w:highlight w:val="none"/>
              </w:rPr>
            </w:pPr>
          </w:p>
        </w:tc>
        <w:tc>
          <w:tcPr>
            <w:tcW w:w="1056" w:type="dxa"/>
            <w:vMerge w:val="continue"/>
            <w:tcBorders>
              <w:top w:val="nil"/>
            </w:tcBorders>
            <w:vAlign w:val="top"/>
          </w:tcPr>
          <w:p w14:paraId="4D174731">
            <w:pPr>
              <w:rPr>
                <w:rFonts w:ascii="Arial"/>
                <w:color w:val="auto"/>
                <w:sz w:val="20"/>
                <w:szCs w:val="18"/>
                <w:highlight w:val="none"/>
              </w:rPr>
            </w:pPr>
          </w:p>
        </w:tc>
        <w:tc>
          <w:tcPr>
            <w:tcW w:w="1056" w:type="dxa"/>
            <w:vMerge w:val="continue"/>
            <w:tcBorders>
              <w:top w:val="nil"/>
            </w:tcBorders>
            <w:vAlign w:val="top"/>
          </w:tcPr>
          <w:p w14:paraId="17A59F94">
            <w:pPr>
              <w:rPr>
                <w:rFonts w:ascii="Arial"/>
                <w:color w:val="auto"/>
                <w:sz w:val="20"/>
                <w:szCs w:val="18"/>
                <w:highlight w:val="none"/>
              </w:rPr>
            </w:pPr>
          </w:p>
        </w:tc>
        <w:tc>
          <w:tcPr>
            <w:tcW w:w="1405" w:type="dxa"/>
            <w:vMerge w:val="continue"/>
            <w:tcBorders>
              <w:top w:val="nil"/>
            </w:tcBorders>
            <w:vAlign w:val="top"/>
          </w:tcPr>
          <w:p w14:paraId="0E4F4DE9">
            <w:pPr>
              <w:rPr>
                <w:rFonts w:ascii="Arial"/>
                <w:color w:val="auto"/>
                <w:sz w:val="20"/>
                <w:szCs w:val="18"/>
                <w:highlight w:val="none"/>
              </w:rPr>
            </w:pPr>
          </w:p>
        </w:tc>
        <w:tc>
          <w:tcPr>
            <w:tcW w:w="705" w:type="dxa"/>
            <w:vAlign w:val="top"/>
          </w:tcPr>
          <w:p w14:paraId="428301FB">
            <w:pPr>
              <w:pStyle w:val="75"/>
              <w:spacing w:before="298" w:line="222" w:lineRule="auto"/>
              <w:ind w:left="123"/>
              <w:rPr>
                <w:color w:val="auto"/>
                <w:sz w:val="21"/>
                <w:szCs w:val="21"/>
                <w:highlight w:val="none"/>
              </w:rPr>
            </w:pPr>
            <w:r>
              <w:rPr>
                <w:color w:val="auto"/>
                <w:spacing w:val="-6"/>
                <w:sz w:val="21"/>
                <w:szCs w:val="21"/>
                <w:highlight w:val="none"/>
              </w:rPr>
              <w:t>合同</w:t>
            </w:r>
          </w:p>
        </w:tc>
        <w:tc>
          <w:tcPr>
            <w:tcW w:w="705" w:type="dxa"/>
            <w:vAlign w:val="top"/>
          </w:tcPr>
          <w:p w14:paraId="717E7925">
            <w:pPr>
              <w:pStyle w:val="75"/>
              <w:spacing w:before="298" w:line="221" w:lineRule="auto"/>
              <w:ind w:left="121"/>
              <w:rPr>
                <w:color w:val="auto"/>
                <w:sz w:val="21"/>
                <w:szCs w:val="21"/>
                <w:highlight w:val="none"/>
              </w:rPr>
            </w:pPr>
            <w:r>
              <w:rPr>
                <w:color w:val="auto"/>
                <w:spacing w:val="-6"/>
                <w:sz w:val="21"/>
                <w:szCs w:val="21"/>
                <w:highlight w:val="none"/>
              </w:rPr>
              <w:t>其他</w:t>
            </w:r>
          </w:p>
        </w:tc>
        <w:tc>
          <w:tcPr>
            <w:tcW w:w="705" w:type="dxa"/>
            <w:vAlign w:val="top"/>
          </w:tcPr>
          <w:p w14:paraId="2012C240">
            <w:pPr>
              <w:rPr>
                <w:rFonts w:ascii="Arial"/>
                <w:color w:val="auto"/>
                <w:sz w:val="20"/>
                <w:szCs w:val="18"/>
                <w:highlight w:val="none"/>
              </w:rPr>
            </w:pPr>
          </w:p>
        </w:tc>
        <w:tc>
          <w:tcPr>
            <w:tcW w:w="2112" w:type="dxa"/>
            <w:vMerge w:val="continue"/>
            <w:tcBorders>
              <w:top w:val="nil"/>
            </w:tcBorders>
            <w:vAlign w:val="top"/>
          </w:tcPr>
          <w:p w14:paraId="043C8BE9">
            <w:pPr>
              <w:rPr>
                <w:rFonts w:ascii="Arial"/>
                <w:color w:val="auto"/>
                <w:sz w:val="20"/>
                <w:szCs w:val="18"/>
                <w:highlight w:val="none"/>
              </w:rPr>
            </w:pPr>
          </w:p>
        </w:tc>
      </w:tr>
      <w:tr w14:paraId="7BEF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573" w:type="dxa"/>
            <w:vAlign w:val="top"/>
          </w:tcPr>
          <w:p w14:paraId="194C3A7A">
            <w:pPr>
              <w:rPr>
                <w:rFonts w:ascii="Arial"/>
                <w:color w:val="auto"/>
                <w:sz w:val="20"/>
                <w:szCs w:val="18"/>
                <w:highlight w:val="none"/>
              </w:rPr>
            </w:pPr>
          </w:p>
        </w:tc>
        <w:tc>
          <w:tcPr>
            <w:tcW w:w="3341" w:type="dxa"/>
            <w:vAlign w:val="top"/>
          </w:tcPr>
          <w:p w14:paraId="7321F7AD">
            <w:pPr>
              <w:rPr>
                <w:rFonts w:ascii="Arial"/>
                <w:color w:val="auto"/>
                <w:sz w:val="20"/>
                <w:szCs w:val="18"/>
                <w:highlight w:val="none"/>
              </w:rPr>
            </w:pPr>
          </w:p>
        </w:tc>
        <w:tc>
          <w:tcPr>
            <w:tcW w:w="1056" w:type="dxa"/>
            <w:vAlign w:val="top"/>
          </w:tcPr>
          <w:p w14:paraId="673835DC">
            <w:pPr>
              <w:rPr>
                <w:rFonts w:ascii="Arial"/>
                <w:color w:val="auto"/>
                <w:sz w:val="20"/>
                <w:szCs w:val="18"/>
                <w:highlight w:val="none"/>
              </w:rPr>
            </w:pPr>
          </w:p>
        </w:tc>
        <w:tc>
          <w:tcPr>
            <w:tcW w:w="1056" w:type="dxa"/>
            <w:vAlign w:val="top"/>
          </w:tcPr>
          <w:p w14:paraId="484CD5A1">
            <w:pPr>
              <w:rPr>
                <w:rFonts w:ascii="Arial"/>
                <w:color w:val="auto"/>
                <w:sz w:val="20"/>
                <w:szCs w:val="18"/>
                <w:highlight w:val="none"/>
              </w:rPr>
            </w:pPr>
          </w:p>
        </w:tc>
        <w:tc>
          <w:tcPr>
            <w:tcW w:w="1405" w:type="dxa"/>
            <w:vAlign w:val="top"/>
          </w:tcPr>
          <w:p w14:paraId="5DF6CEF9">
            <w:pPr>
              <w:rPr>
                <w:rFonts w:ascii="Arial"/>
                <w:color w:val="auto"/>
                <w:sz w:val="20"/>
                <w:szCs w:val="18"/>
                <w:highlight w:val="none"/>
              </w:rPr>
            </w:pPr>
          </w:p>
        </w:tc>
        <w:tc>
          <w:tcPr>
            <w:tcW w:w="705" w:type="dxa"/>
            <w:vAlign w:val="top"/>
          </w:tcPr>
          <w:p w14:paraId="76B21830">
            <w:pPr>
              <w:rPr>
                <w:rFonts w:ascii="Arial"/>
                <w:color w:val="auto"/>
                <w:sz w:val="20"/>
                <w:szCs w:val="18"/>
                <w:highlight w:val="none"/>
              </w:rPr>
            </w:pPr>
          </w:p>
        </w:tc>
        <w:tc>
          <w:tcPr>
            <w:tcW w:w="705" w:type="dxa"/>
            <w:vAlign w:val="top"/>
          </w:tcPr>
          <w:p w14:paraId="029A6BCF">
            <w:pPr>
              <w:rPr>
                <w:rFonts w:ascii="Arial"/>
                <w:color w:val="auto"/>
                <w:sz w:val="20"/>
                <w:szCs w:val="18"/>
                <w:highlight w:val="none"/>
              </w:rPr>
            </w:pPr>
          </w:p>
        </w:tc>
        <w:tc>
          <w:tcPr>
            <w:tcW w:w="705" w:type="dxa"/>
            <w:vAlign w:val="top"/>
          </w:tcPr>
          <w:p w14:paraId="20BDB355">
            <w:pPr>
              <w:rPr>
                <w:rFonts w:ascii="Arial"/>
                <w:color w:val="auto"/>
                <w:sz w:val="20"/>
                <w:szCs w:val="18"/>
                <w:highlight w:val="none"/>
              </w:rPr>
            </w:pPr>
          </w:p>
        </w:tc>
        <w:tc>
          <w:tcPr>
            <w:tcW w:w="2112" w:type="dxa"/>
            <w:vAlign w:val="top"/>
          </w:tcPr>
          <w:p w14:paraId="38EB85E0">
            <w:pPr>
              <w:rPr>
                <w:rFonts w:ascii="Arial"/>
                <w:color w:val="auto"/>
                <w:sz w:val="20"/>
                <w:szCs w:val="18"/>
                <w:highlight w:val="none"/>
              </w:rPr>
            </w:pPr>
          </w:p>
        </w:tc>
      </w:tr>
      <w:tr w14:paraId="56D1C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73" w:type="dxa"/>
            <w:vAlign w:val="top"/>
          </w:tcPr>
          <w:p w14:paraId="4CF38AD1">
            <w:pPr>
              <w:rPr>
                <w:rFonts w:ascii="Arial"/>
                <w:color w:val="auto"/>
                <w:sz w:val="20"/>
                <w:szCs w:val="18"/>
                <w:highlight w:val="none"/>
              </w:rPr>
            </w:pPr>
          </w:p>
        </w:tc>
        <w:tc>
          <w:tcPr>
            <w:tcW w:w="3341" w:type="dxa"/>
            <w:vAlign w:val="top"/>
          </w:tcPr>
          <w:p w14:paraId="3C80212A">
            <w:pPr>
              <w:rPr>
                <w:rFonts w:ascii="Arial"/>
                <w:color w:val="auto"/>
                <w:sz w:val="20"/>
                <w:szCs w:val="18"/>
                <w:highlight w:val="none"/>
              </w:rPr>
            </w:pPr>
          </w:p>
        </w:tc>
        <w:tc>
          <w:tcPr>
            <w:tcW w:w="1056" w:type="dxa"/>
            <w:vAlign w:val="top"/>
          </w:tcPr>
          <w:p w14:paraId="6C414F67">
            <w:pPr>
              <w:rPr>
                <w:rFonts w:ascii="Arial"/>
                <w:color w:val="auto"/>
                <w:sz w:val="20"/>
                <w:szCs w:val="18"/>
                <w:highlight w:val="none"/>
              </w:rPr>
            </w:pPr>
          </w:p>
        </w:tc>
        <w:tc>
          <w:tcPr>
            <w:tcW w:w="1056" w:type="dxa"/>
            <w:vAlign w:val="top"/>
          </w:tcPr>
          <w:p w14:paraId="4CB953E4">
            <w:pPr>
              <w:rPr>
                <w:rFonts w:ascii="Arial"/>
                <w:color w:val="auto"/>
                <w:sz w:val="20"/>
                <w:szCs w:val="18"/>
                <w:highlight w:val="none"/>
              </w:rPr>
            </w:pPr>
          </w:p>
        </w:tc>
        <w:tc>
          <w:tcPr>
            <w:tcW w:w="1405" w:type="dxa"/>
            <w:vAlign w:val="top"/>
          </w:tcPr>
          <w:p w14:paraId="6701CC91">
            <w:pPr>
              <w:rPr>
                <w:rFonts w:ascii="Arial"/>
                <w:color w:val="auto"/>
                <w:sz w:val="20"/>
                <w:szCs w:val="18"/>
                <w:highlight w:val="none"/>
              </w:rPr>
            </w:pPr>
          </w:p>
        </w:tc>
        <w:tc>
          <w:tcPr>
            <w:tcW w:w="705" w:type="dxa"/>
            <w:vAlign w:val="top"/>
          </w:tcPr>
          <w:p w14:paraId="5762A5B1">
            <w:pPr>
              <w:rPr>
                <w:rFonts w:ascii="Arial"/>
                <w:color w:val="auto"/>
                <w:sz w:val="20"/>
                <w:szCs w:val="18"/>
                <w:highlight w:val="none"/>
              </w:rPr>
            </w:pPr>
          </w:p>
        </w:tc>
        <w:tc>
          <w:tcPr>
            <w:tcW w:w="705" w:type="dxa"/>
            <w:vAlign w:val="top"/>
          </w:tcPr>
          <w:p w14:paraId="21EDB346">
            <w:pPr>
              <w:rPr>
                <w:rFonts w:ascii="Arial"/>
                <w:color w:val="auto"/>
                <w:sz w:val="20"/>
                <w:szCs w:val="18"/>
                <w:highlight w:val="none"/>
              </w:rPr>
            </w:pPr>
          </w:p>
        </w:tc>
        <w:tc>
          <w:tcPr>
            <w:tcW w:w="705" w:type="dxa"/>
            <w:vAlign w:val="top"/>
          </w:tcPr>
          <w:p w14:paraId="0E391E17">
            <w:pPr>
              <w:rPr>
                <w:rFonts w:ascii="Arial"/>
                <w:color w:val="auto"/>
                <w:sz w:val="20"/>
                <w:szCs w:val="18"/>
                <w:highlight w:val="none"/>
              </w:rPr>
            </w:pPr>
          </w:p>
        </w:tc>
        <w:tc>
          <w:tcPr>
            <w:tcW w:w="2112" w:type="dxa"/>
            <w:vAlign w:val="top"/>
          </w:tcPr>
          <w:p w14:paraId="566E0937">
            <w:pPr>
              <w:rPr>
                <w:rFonts w:ascii="Arial"/>
                <w:color w:val="auto"/>
                <w:sz w:val="20"/>
                <w:szCs w:val="18"/>
                <w:highlight w:val="none"/>
              </w:rPr>
            </w:pPr>
          </w:p>
        </w:tc>
      </w:tr>
      <w:tr w14:paraId="04714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573" w:type="dxa"/>
            <w:vAlign w:val="top"/>
          </w:tcPr>
          <w:p w14:paraId="7E14C608">
            <w:pPr>
              <w:rPr>
                <w:rFonts w:ascii="Arial"/>
                <w:color w:val="auto"/>
                <w:sz w:val="20"/>
                <w:szCs w:val="18"/>
                <w:highlight w:val="none"/>
              </w:rPr>
            </w:pPr>
          </w:p>
        </w:tc>
        <w:tc>
          <w:tcPr>
            <w:tcW w:w="3341" w:type="dxa"/>
            <w:vAlign w:val="top"/>
          </w:tcPr>
          <w:p w14:paraId="5ECC66FB">
            <w:pPr>
              <w:rPr>
                <w:rFonts w:ascii="Arial"/>
                <w:color w:val="auto"/>
                <w:sz w:val="20"/>
                <w:szCs w:val="18"/>
                <w:highlight w:val="none"/>
              </w:rPr>
            </w:pPr>
          </w:p>
        </w:tc>
        <w:tc>
          <w:tcPr>
            <w:tcW w:w="1056" w:type="dxa"/>
            <w:vAlign w:val="top"/>
          </w:tcPr>
          <w:p w14:paraId="1FBCC521">
            <w:pPr>
              <w:rPr>
                <w:rFonts w:ascii="Arial"/>
                <w:color w:val="auto"/>
                <w:sz w:val="20"/>
                <w:szCs w:val="18"/>
                <w:highlight w:val="none"/>
              </w:rPr>
            </w:pPr>
          </w:p>
        </w:tc>
        <w:tc>
          <w:tcPr>
            <w:tcW w:w="1056" w:type="dxa"/>
            <w:vAlign w:val="top"/>
          </w:tcPr>
          <w:p w14:paraId="1422327D">
            <w:pPr>
              <w:rPr>
                <w:rFonts w:ascii="Arial"/>
                <w:color w:val="auto"/>
                <w:sz w:val="20"/>
                <w:szCs w:val="18"/>
                <w:highlight w:val="none"/>
              </w:rPr>
            </w:pPr>
          </w:p>
        </w:tc>
        <w:tc>
          <w:tcPr>
            <w:tcW w:w="1405" w:type="dxa"/>
            <w:vAlign w:val="top"/>
          </w:tcPr>
          <w:p w14:paraId="3326CF32">
            <w:pPr>
              <w:rPr>
                <w:rFonts w:ascii="Arial"/>
                <w:color w:val="auto"/>
                <w:sz w:val="20"/>
                <w:szCs w:val="18"/>
                <w:highlight w:val="none"/>
              </w:rPr>
            </w:pPr>
          </w:p>
        </w:tc>
        <w:tc>
          <w:tcPr>
            <w:tcW w:w="705" w:type="dxa"/>
            <w:vAlign w:val="top"/>
          </w:tcPr>
          <w:p w14:paraId="144E3AAE">
            <w:pPr>
              <w:rPr>
                <w:rFonts w:ascii="Arial"/>
                <w:color w:val="auto"/>
                <w:sz w:val="20"/>
                <w:szCs w:val="18"/>
                <w:highlight w:val="none"/>
              </w:rPr>
            </w:pPr>
          </w:p>
        </w:tc>
        <w:tc>
          <w:tcPr>
            <w:tcW w:w="705" w:type="dxa"/>
            <w:vAlign w:val="top"/>
          </w:tcPr>
          <w:p w14:paraId="5EE3F36D">
            <w:pPr>
              <w:rPr>
                <w:rFonts w:ascii="Arial"/>
                <w:color w:val="auto"/>
                <w:sz w:val="20"/>
                <w:szCs w:val="18"/>
                <w:highlight w:val="none"/>
              </w:rPr>
            </w:pPr>
          </w:p>
        </w:tc>
        <w:tc>
          <w:tcPr>
            <w:tcW w:w="705" w:type="dxa"/>
            <w:vAlign w:val="top"/>
          </w:tcPr>
          <w:p w14:paraId="3E6C4ED3">
            <w:pPr>
              <w:rPr>
                <w:rFonts w:ascii="Arial"/>
                <w:color w:val="auto"/>
                <w:sz w:val="20"/>
                <w:szCs w:val="18"/>
                <w:highlight w:val="none"/>
              </w:rPr>
            </w:pPr>
          </w:p>
        </w:tc>
        <w:tc>
          <w:tcPr>
            <w:tcW w:w="2112" w:type="dxa"/>
            <w:vAlign w:val="top"/>
          </w:tcPr>
          <w:p w14:paraId="09390780">
            <w:pPr>
              <w:rPr>
                <w:rFonts w:ascii="Arial"/>
                <w:color w:val="auto"/>
                <w:sz w:val="20"/>
                <w:szCs w:val="18"/>
                <w:highlight w:val="none"/>
              </w:rPr>
            </w:pPr>
          </w:p>
        </w:tc>
      </w:tr>
      <w:tr w14:paraId="58507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573" w:type="dxa"/>
            <w:vAlign w:val="top"/>
          </w:tcPr>
          <w:p w14:paraId="14A9712B">
            <w:pPr>
              <w:rPr>
                <w:rFonts w:ascii="Arial"/>
                <w:color w:val="auto"/>
                <w:sz w:val="20"/>
                <w:szCs w:val="18"/>
                <w:highlight w:val="none"/>
              </w:rPr>
            </w:pPr>
          </w:p>
        </w:tc>
        <w:tc>
          <w:tcPr>
            <w:tcW w:w="3341" w:type="dxa"/>
            <w:vAlign w:val="top"/>
          </w:tcPr>
          <w:p w14:paraId="50554BF1">
            <w:pPr>
              <w:rPr>
                <w:rFonts w:ascii="Arial"/>
                <w:color w:val="auto"/>
                <w:sz w:val="20"/>
                <w:szCs w:val="18"/>
                <w:highlight w:val="none"/>
              </w:rPr>
            </w:pPr>
          </w:p>
        </w:tc>
        <w:tc>
          <w:tcPr>
            <w:tcW w:w="1056" w:type="dxa"/>
            <w:vAlign w:val="top"/>
          </w:tcPr>
          <w:p w14:paraId="7596FED0">
            <w:pPr>
              <w:rPr>
                <w:rFonts w:ascii="Arial"/>
                <w:color w:val="auto"/>
                <w:sz w:val="20"/>
                <w:szCs w:val="18"/>
                <w:highlight w:val="none"/>
              </w:rPr>
            </w:pPr>
          </w:p>
        </w:tc>
        <w:tc>
          <w:tcPr>
            <w:tcW w:w="1056" w:type="dxa"/>
            <w:vAlign w:val="top"/>
          </w:tcPr>
          <w:p w14:paraId="26F5E7D5">
            <w:pPr>
              <w:rPr>
                <w:rFonts w:ascii="Arial"/>
                <w:color w:val="auto"/>
                <w:sz w:val="20"/>
                <w:szCs w:val="18"/>
                <w:highlight w:val="none"/>
              </w:rPr>
            </w:pPr>
          </w:p>
        </w:tc>
        <w:tc>
          <w:tcPr>
            <w:tcW w:w="1405" w:type="dxa"/>
            <w:vAlign w:val="top"/>
          </w:tcPr>
          <w:p w14:paraId="2D65DFAE">
            <w:pPr>
              <w:rPr>
                <w:rFonts w:ascii="Arial"/>
                <w:color w:val="auto"/>
                <w:sz w:val="20"/>
                <w:szCs w:val="18"/>
                <w:highlight w:val="none"/>
              </w:rPr>
            </w:pPr>
          </w:p>
        </w:tc>
        <w:tc>
          <w:tcPr>
            <w:tcW w:w="705" w:type="dxa"/>
            <w:vAlign w:val="top"/>
          </w:tcPr>
          <w:p w14:paraId="5AF79AD4">
            <w:pPr>
              <w:rPr>
                <w:rFonts w:ascii="Arial"/>
                <w:color w:val="auto"/>
                <w:sz w:val="20"/>
                <w:szCs w:val="18"/>
                <w:highlight w:val="none"/>
              </w:rPr>
            </w:pPr>
          </w:p>
        </w:tc>
        <w:tc>
          <w:tcPr>
            <w:tcW w:w="705" w:type="dxa"/>
            <w:vAlign w:val="top"/>
          </w:tcPr>
          <w:p w14:paraId="2F7A0F8E">
            <w:pPr>
              <w:rPr>
                <w:rFonts w:ascii="Arial"/>
                <w:color w:val="auto"/>
                <w:sz w:val="20"/>
                <w:szCs w:val="18"/>
                <w:highlight w:val="none"/>
              </w:rPr>
            </w:pPr>
          </w:p>
        </w:tc>
        <w:tc>
          <w:tcPr>
            <w:tcW w:w="705" w:type="dxa"/>
            <w:vAlign w:val="top"/>
          </w:tcPr>
          <w:p w14:paraId="5485ED8A">
            <w:pPr>
              <w:rPr>
                <w:rFonts w:ascii="Arial"/>
                <w:color w:val="auto"/>
                <w:sz w:val="20"/>
                <w:szCs w:val="18"/>
                <w:highlight w:val="none"/>
              </w:rPr>
            </w:pPr>
          </w:p>
        </w:tc>
        <w:tc>
          <w:tcPr>
            <w:tcW w:w="2112" w:type="dxa"/>
            <w:vAlign w:val="top"/>
          </w:tcPr>
          <w:p w14:paraId="03476087">
            <w:pPr>
              <w:rPr>
                <w:rFonts w:ascii="Arial"/>
                <w:color w:val="auto"/>
                <w:sz w:val="20"/>
                <w:szCs w:val="18"/>
                <w:highlight w:val="none"/>
              </w:rPr>
            </w:pPr>
          </w:p>
        </w:tc>
      </w:tr>
      <w:tr w14:paraId="6B23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573" w:type="dxa"/>
            <w:vAlign w:val="top"/>
          </w:tcPr>
          <w:p w14:paraId="615274D3">
            <w:pPr>
              <w:rPr>
                <w:rFonts w:ascii="Arial"/>
                <w:color w:val="auto"/>
                <w:sz w:val="20"/>
                <w:szCs w:val="18"/>
                <w:highlight w:val="none"/>
              </w:rPr>
            </w:pPr>
          </w:p>
        </w:tc>
        <w:tc>
          <w:tcPr>
            <w:tcW w:w="3341" w:type="dxa"/>
            <w:vAlign w:val="top"/>
          </w:tcPr>
          <w:p w14:paraId="1F148503">
            <w:pPr>
              <w:rPr>
                <w:rFonts w:ascii="Arial"/>
                <w:color w:val="auto"/>
                <w:sz w:val="20"/>
                <w:szCs w:val="18"/>
                <w:highlight w:val="none"/>
              </w:rPr>
            </w:pPr>
          </w:p>
        </w:tc>
        <w:tc>
          <w:tcPr>
            <w:tcW w:w="1056" w:type="dxa"/>
            <w:vAlign w:val="top"/>
          </w:tcPr>
          <w:p w14:paraId="1247FE2F">
            <w:pPr>
              <w:rPr>
                <w:rFonts w:ascii="Arial"/>
                <w:color w:val="auto"/>
                <w:sz w:val="20"/>
                <w:szCs w:val="18"/>
                <w:highlight w:val="none"/>
              </w:rPr>
            </w:pPr>
          </w:p>
        </w:tc>
        <w:tc>
          <w:tcPr>
            <w:tcW w:w="1056" w:type="dxa"/>
            <w:vAlign w:val="top"/>
          </w:tcPr>
          <w:p w14:paraId="58B22D77">
            <w:pPr>
              <w:rPr>
                <w:rFonts w:ascii="Arial"/>
                <w:color w:val="auto"/>
                <w:sz w:val="20"/>
                <w:szCs w:val="18"/>
                <w:highlight w:val="none"/>
              </w:rPr>
            </w:pPr>
          </w:p>
        </w:tc>
        <w:tc>
          <w:tcPr>
            <w:tcW w:w="1405" w:type="dxa"/>
            <w:vAlign w:val="top"/>
          </w:tcPr>
          <w:p w14:paraId="17E69D6B">
            <w:pPr>
              <w:rPr>
                <w:rFonts w:ascii="Arial"/>
                <w:color w:val="auto"/>
                <w:sz w:val="20"/>
                <w:szCs w:val="18"/>
                <w:highlight w:val="none"/>
              </w:rPr>
            </w:pPr>
          </w:p>
        </w:tc>
        <w:tc>
          <w:tcPr>
            <w:tcW w:w="705" w:type="dxa"/>
            <w:vAlign w:val="top"/>
          </w:tcPr>
          <w:p w14:paraId="39736611">
            <w:pPr>
              <w:rPr>
                <w:rFonts w:ascii="Arial"/>
                <w:color w:val="auto"/>
                <w:sz w:val="20"/>
                <w:szCs w:val="18"/>
                <w:highlight w:val="none"/>
              </w:rPr>
            </w:pPr>
          </w:p>
        </w:tc>
        <w:tc>
          <w:tcPr>
            <w:tcW w:w="705" w:type="dxa"/>
            <w:vAlign w:val="top"/>
          </w:tcPr>
          <w:p w14:paraId="1054AA46">
            <w:pPr>
              <w:rPr>
                <w:rFonts w:ascii="Arial"/>
                <w:color w:val="auto"/>
                <w:sz w:val="20"/>
                <w:szCs w:val="18"/>
                <w:highlight w:val="none"/>
              </w:rPr>
            </w:pPr>
          </w:p>
        </w:tc>
        <w:tc>
          <w:tcPr>
            <w:tcW w:w="705" w:type="dxa"/>
            <w:vAlign w:val="top"/>
          </w:tcPr>
          <w:p w14:paraId="4B76C2EC">
            <w:pPr>
              <w:rPr>
                <w:rFonts w:ascii="Arial"/>
                <w:color w:val="auto"/>
                <w:sz w:val="20"/>
                <w:szCs w:val="18"/>
                <w:highlight w:val="none"/>
              </w:rPr>
            </w:pPr>
          </w:p>
        </w:tc>
        <w:tc>
          <w:tcPr>
            <w:tcW w:w="2112" w:type="dxa"/>
            <w:vAlign w:val="top"/>
          </w:tcPr>
          <w:p w14:paraId="23D6D840">
            <w:pPr>
              <w:rPr>
                <w:rFonts w:ascii="Arial"/>
                <w:color w:val="auto"/>
                <w:sz w:val="20"/>
                <w:szCs w:val="18"/>
                <w:highlight w:val="none"/>
              </w:rPr>
            </w:pPr>
          </w:p>
        </w:tc>
      </w:tr>
    </w:tbl>
    <w:p w14:paraId="027092F4">
      <w:pPr>
        <w:spacing w:before="84" w:line="334" w:lineRule="auto"/>
        <w:ind w:left="1314" w:right="6455" w:hanging="2"/>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注：在填写时，如本表格不适合投标单位的实际情况，可根</w:t>
      </w:r>
      <w:r>
        <w:rPr>
          <w:rFonts w:ascii="宋体" w:hAnsi="宋体" w:eastAsia="宋体" w:cs="宋体"/>
          <w:color w:val="auto"/>
          <w:spacing w:val="-2"/>
          <w:sz w:val="22"/>
          <w:szCs w:val="22"/>
          <w:highlight w:val="none"/>
        </w:rPr>
        <w:t>据本表格式自行划表填写。</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投标人名称（电子签章</w:t>
      </w:r>
      <w:r>
        <w:rPr>
          <w:rFonts w:ascii="宋体" w:hAnsi="宋体" w:eastAsia="宋体" w:cs="宋体"/>
          <w:color w:val="auto"/>
          <w:spacing w:val="3"/>
          <w:sz w:val="22"/>
          <w:szCs w:val="22"/>
          <w:highlight w:val="none"/>
        </w:rPr>
        <w:t>）：</w:t>
      </w:r>
      <w:r>
        <w:rPr>
          <w:rFonts w:ascii="宋体" w:hAnsi="宋体" w:eastAsia="宋体" w:cs="宋体"/>
          <w:color w:val="auto"/>
          <w:spacing w:val="-79"/>
          <w:sz w:val="22"/>
          <w:szCs w:val="22"/>
          <w:highlight w:val="none"/>
        </w:rPr>
        <w:t xml:space="preserve"> </w:t>
      </w:r>
      <w:r>
        <w:rPr>
          <w:rFonts w:ascii="宋体" w:hAnsi="宋体" w:eastAsia="宋体" w:cs="宋体"/>
          <w:color w:val="auto"/>
          <w:sz w:val="22"/>
          <w:szCs w:val="22"/>
          <w:highlight w:val="none"/>
          <w:u w:val="single" w:color="auto"/>
        </w:rPr>
        <w:t xml:space="preserve">                 </w:t>
      </w:r>
    </w:p>
    <w:p w14:paraId="7E08C3E6">
      <w:pPr>
        <w:spacing w:before="32" w:line="219" w:lineRule="auto"/>
        <w:ind w:left="1313"/>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法定代表人或授权代表（签字或盖章</w:t>
      </w:r>
      <w:r>
        <w:rPr>
          <w:rFonts w:ascii="宋体" w:hAnsi="宋体" w:eastAsia="宋体" w:cs="宋体"/>
          <w:color w:val="auto"/>
          <w:spacing w:val="2"/>
          <w:sz w:val="22"/>
          <w:szCs w:val="22"/>
          <w:highlight w:val="none"/>
        </w:rPr>
        <w:t>）：</w:t>
      </w:r>
      <w:r>
        <w:rPr>
          <w:rFonts w:ascii="宋体" w:hAnsi="宋体" w:eastAsia="宋体" w:cs="宋体"/>
          <w:color w:val="auto"/>
          <w:spacing w:val="-79"/>
          <w:sz w:val="22"/>
          <w:szCs w:val="22"/>
          <w:highlight w:val="none"/>
        </w:rPr>
        <w:t xml:space="preserve"> </w:t>
      </w:r>
      <w:r>
        <w:rPr>
          <w:rFonts w:ascii="宋体" w:hAnsi="宋体" w:eastAsia="宋体" w:cs="宋体"/>
          <w:color w:val="auto"/>
          <w:sz w:val="22"/>
          <w:szCs w:val="22"/>
          <w:highlight w:val="none"/>
          <w:u w:val="single" w:color="auto"/>
        </w:rPr>
        <w:t xml:space="preserve">                </w:t>
      </w:r>
    </w:p>
    <w:p w14:paraId="477199A4">
      <w:pPr>
        <w:spacing w:before="180" w:line="220" w:lineRule="auto"/>
        <w:ind w:left="135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20"/>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20"/>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6C498653">
      <w:pPr>
        <w:rPr>
          <w:rFonts w:asciiTheme="minorEastAsia" w:hAnsiTheme="minorEastAsia" w:eastAsiaTheme="minorEastAsia" w:cstheme="minorEastAsia"/>
          <w:snapToGrid w:val="0"/>
          <w:color w:val="auto"/>
          <w:szCs w:val="21"/>
          <w:highlight w:val="none"/>
        </w:rPr>
        <w:sectPr>
          <w:pgSz w:w="16838" w:h="11906" w:orient="landscape"/>
          <w:pgMar w:top="1461" w:right="1701" w:bottom="1106" w:left="1217" w:header="1077" w:footer="597" w:gutter="0"/>
          <w:cols w:space="720" w:num="1"/>
          <w:docGrid w:type="lines" w:linePitch="312" w:charSpace="0"/>
        </w:sectPr>
      </w:pPr>
    </w:p>
    <w:p w14:paraId="1A2FF050">
      <w:pPr>
        <w:spacing w:before="78" w:line="219" w:lineRule="auto"/>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6.2投标单位项目负责人简历、专业职称、业绩表（格式）(如有）</w:t>
      </w:r>
    </w:p>
    <w:tbl>
      <w:tblPr>
        <w:tblStyle w:val="131"/>
        <w:tblpPr w:leftFromText="180" w:rightFromText="180" w:vertAnchor="text" w:horzAnchor="page" w:tblpX="1312" w:tblpY="1147"/>
        <w:tblOverlap w:val="never"/>
        <w:tblW w:w="93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264"/>
        <w:gridCol w:w="156"/>
        <w:gridCol w:w="1403"/>
        <w:gridCol w:w="178"/>
        <w:gridCol w:w="1111"/>
        <w:gridCol w:w="1035"/>
        <w:gridCol w:w="1936"/>
      </w:tblGrid>
      <w:tr w14:paraId="3952F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290" w:type="dxa"/>
            <w:tcBorders>
              <w:top w:val="single" w:color="000000" w:sz="10" w:space="0"/>
              <w:left w:val="single" w:color="000000" w:sz="10" w:space="0"/>
            </w:tcBorders>
            <w:vAlign w:val="top"/>
          </w:tcPr>
          <w:p w14:paraId="76ACD430">
            <w:pPr>
              <w:pStyle w:val="75"/>
              <w:spacing w:before="240" w:line="228" w:lineRule="auto"/>
              <w:ind w:left="902"/>
              <w:rPr>
                <w:color w:val="auto"/>
                <w:sz w:val="20"/>
                <w:szCs w:val="20"/>
                <w:highlight w:val="none"/>
              </w:rPr>
            </w:pPr>
            <w:r>
              <w:rPr>
                <w:color w:val="auto"/>
                <w:spacing w:val="4"/>
                <w:sz w:val="20"/>
                <w:szCs w:val="20"/>
                <w:highlight w:val="none"/>
              </w:rPr>
              <w:t>姓名</w:t>
            </w:r>
          </w:p>
        </w:tc>
        <w:tc>
          <w:tcPr>
            <w:tcW w:w="1264" w:type="dxa"/>
            <w:tcBorders>
              <w:top w:val="single" w:color="000000" w:sz="10" w:space="0"/>
            </w:tcBorders>
            <w:vAlign w:val="top"/>
          </w:tcPr>
          <w:p w14:paraId="6484DCAE">
            <w:pPr>
              <w:rPr>
                <w:rFonts w:ascii="Arial"/>
                <w:color w:val="auto"/>
                <w:sz w:val="21"/>
                <w:highlight w:val="none"/>
              </w:rPr>
            </w:pPr>
          </w:p>
        </w:tc>
        <w:tc>
          <w:tcPr>
            <w:tcW w:w="1559" w:type="dxa"/>
            <w:gridSpan w:val="2"/>
            <w:tcBorders>
              <w:top w:val="single" w:color="000000" w:sz="10" w:space="0"/>
            </w:tcBorders>
            <w:vAlign w:val="top"/>
          </w:tcPr>
          <w:p w14:paraId="5EE20A7A">
            <w:pPr>
              <w:pStyle w:val="75"/>
              <w:spacing w:before="240" w:line="229" w:lineRule="auto"/>
              <w:ind w:left="572"/>
              <w:rPr>
                <w:color w:val="auto"/>
                <w:sz w:val="20"/>
                <w:szCs w:val="20"/>
                <w:highlight w:val="none"/>
              </w:rPr>
            </w:pPr>
            <w:r>
              <w:rPr>
                <w:color w:val="auto"/>
                <w:spacing w:val="4"/>
                <w:sz w:val="20"/>
                <w:szCs w:val="20"/>
                <w:highlight w:val="none"/>
              </w:rPr>
              <w:t>性别</w:t>
            </w:r>
          </w:p>
        </w:tc>
        <w:tc>
          <w:tcPr>
            <w:tcW w:w="1289" w:type="dxa"/>
            <w:gridSpan w:val="2"/>
            <w:tcBorders>
              <w:top w:val="single" w:color="000000" w:sz="10" w:space="0"/>
            </w:tcBorders>
            <w:vAlign w:val="top"/>
          </w:tcPr>
          <w:p w14:paraId="5B70FAD5">
            <w:pPr>
              <w:rPr>
                <w:rFonts w:ascii="Arial"/>
                <w:color w:val="auto"/>
                <w:sz w:val="21"/>
                <w:highlight w:val="none"/>
              </w:rPr>
            </w:pPr>
          </w:p>
        </w:tc>
        <w:tc>
          <w:tcPr>
            <w:tcW w:w="1035" w:type="dxa"/>
            <w:tcBorders>
              <w:top w:val="single" w:color="000000" w:sz="10" w:space="0"/>
            </w:tcBorders>
            <w:vAlign w:val="top"/>
          </w:tcPr>
          <w:p w14:paraId="407F1AA0">
            <w:pPr>
              <w:pStyle w:val="75"/>
              <w:spacing w:before="240" w:line="228" w:lineRule="auto"/>
              <w:ind w:left="319"/>
              <w:rPr>
                <w:color w:val="auto"/>
                <w:sz w:val="20"/>
                <w:szCs w:val="20"/>
                <w:highlight w:val="none"/>
              </w:rPr>
            </w:pPr>
            <w:r>
              <w:rPr>
                <w:color w:val="auto"/>
                <w:spacing w:val="4"/>
                <w:sz w:val="20"/>
                <w:szCs w:val="20"/>
                <w:highlight w:val="none"/>
              </w:rPr>
              <w:t>年龄</w:t>
            </w:r>
          </w:p>
        </w:tc>
        <w:tc>
          <w:tcPr>
            <w:tcW w:w="1936" w:type="dxa"/>
            <w:tcBorders>
              <w:top w:val="single" w:color="000000" w:sz="10" w:space="0"/>
              <w:right w:val="single" w:color="000000" w:sz="10" w:space="0"/>
            </w:tcBorders>
            <w:vAlign w:val="top"/>
          </w:tcPr>
          <w:p w14:paraId="09EDF3EF">
            <w:pPr>
              <w:rPr>
                <w:rFonts w:ascii="Arial"/>
                <w:color w:val="auto"/>
                <w:sz w:val="21"/>
                <w:highlight w:val="none"/>
              </w:rPr>
            </w:pPr>
          </w:p>
        </w:tc>
      </w:tr>
      <w:tr w14:paraId="3E353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90" w:type="dxa"/>
            <w:tcBorders>
              <w:left w:val="single" w:color="000000" w:sz="10" w:space="0"/>
            </w:tcBorders>
            <w:vAlign w:val="top"/>
          </w:tcPr>
          <w:p w14:paraId="1240C9D4">
            <w:pPr>
              <w:spacing w:line="300" w:lineRule="auto"/>
              <w:rPr>
                <w:rFonts w:ascii="Arial"/>
                <w:color w:val="auto"/>
                <w:sz w:val="21"/>
                <w:highlight w:val="none"/>
              </w:rPr>
            </w:pPr>
          </w:p>
          <w:p w14:paraId="2055DA4C">
            <w:pPr>
              <w:pStyle w:val="75"/>
              <w:spacing w:before="65" w:line="228" w:lineRule="auto"/>
              <w:ind w:left="903"/>
              <w:rPr>
                <w:color w:val="auto"/>
                <w:sz w:val="20"/>
                <w:szCs w:val="20"/>
                <w:highlight w:val="none"/>
              </w:rPr>
            </w:pPr>
            <w:r>
              <w:rPr>
                <w:color w:val="auto"/>
                <w:spacing w:val="4"/>
                <w:sz w:val="20"/>
                <w:szCs w:val="20"/>
                <w:highlight w:val="none"/>
              </w:rPr>
              <w:t>职务</w:t>
            </w:r>
          </w:p>
        </w:tc>
        <w:tc>
          <w:tcPr>
            <w:tcW w:w="1264" w:type="dxa"/>
            <w:vAlign w:val="top"/>
          </w:tcPr>
          <w:p w14:paraId="7446CD4E">
            <w:pPr>
              <w:rPr>
                <w:rFonts w:ascii="Arial"/>
                <w:color w:val="auto"/>
                <w:sz w:val="21"/>
                <w:highlight w:val="none"/>
              </w:rPr>
            </w:pPr>
          </w:p>
        </w:tc>
        <w:tc>
          <w:tcPr>
            <w:tcW w:w="1559" w:type="dxa"/>
            <w:gridSpan w:val="2"/>
            <w:vAlign w:val="top"/>
          </w:tcPr>
          <w:p w14:paraId="4594B9CE">
            <w:pPr>
              <w:pStyle w:val="75"/>
              <w:spacing w:before="130" w:line="228" w:lineRule="auto"/>
              <w:ind w:left="363"/>
              <w:rPr>
                <w:color w:val="auto"/>
                <w:sz w:val="20"/>
                <w:szCs w:val="20"/>
                <w:highlight w:val="none"/>
              </w:rPr>
            </w:pPr>
            <w:r>
              <w:rPr>
                <w:color w:val="auto"/>
                <w:spacing w:val="7"/>
                <w:sz w:val="20"/>
                <w:szCs w:val="20"/>
                <w:highlight w:val="none"/>
              </w:rPr>
              <w:t>拟担任本</w:t>
            </w:r>
          </w:p>
          <w:p w14:paraId="20EACC0F">
            <w:pPr>
              <w:pStyle w:val="75"/>
              <w:spacing w:before="221" w:line="228" w:lineRule="auto"/>
              <w:ind w:left="367"/>
              <w:rPr>
                <w:color w:val="auto"/>
                <w:sz w:val="20"/>
                <w:szCs w:val="20"/>
                <w:highlight w:val="none"/>
              </w:rPr>
            </w:pPr>
            <w:r>
              <w:rPr>
                <w:color w:val="auto"/>
                <w:spacing w:val="6"/>
                <w:sz w:val="20"/>
                <w:szCs w:val="20"/>
                <w:highlight w:val="none"/>
              </w:rPr>
              <w:t>项目职务</w:t>
            </w:r>
          </w:p>
        </w:tc>
        <w:tc>
          <w:tcPr>
            <w:tcW w:w="1289" w:type="dxa"/>
            <w:gridSpan w:val="2"/>
            <w:vAlign w:val="top"/>
          </w:tcPr>
          <w:p w14:paraId="2452F7C9">
            <w:pPr>
              <w:rPr>
                <w:rFonts w:ascii="Arial"/>
                <w:color w:val="auto"/>
                <w:sz w:val="21"/>
                <w:highlight w:val="none"/>
              </w:rPr>
            </w:pPr>
          </w:p>
        </w:tc>
        <w:tc>
          <w:tcPr>
            <w:tcW w:w="1035" w:type="dxa"/>
            <w:vAlign w:val="top"/>
          </w:tcPr>
          <w:p w14:paraId="664C5534">
            <w:pPr>
              <w:spacing w:line="299" w:lineRule="auto"/>
              <w:rPr>
                <w:rFonts w:ascii="Arial"/>
                <w:color w:val="auto"/>
                <w:sz w:val="21"/>
                <w:highlight w:val="none"/>
              </w:rPr>
            </w:pPr>
          </w:p>
          <w:p w14:paraId="5DCC74A8">
            <w:pPr>
              <w:pStyle w:val="75"/>
              <w:spacing w:before="65" w:line="230" w:lineRule="auto"/>
              <w:ind w:left="323"/>
              <w:rPr>
                <w:color w:val="auto"/>
                <w:sz w:val="20"/>
                <w:szCs w:val="20"/>
                <w:highlight w:val="none"/>
              </w:rPr>
            </w:pPr>
            <w:r>
              <w:rPr>
                <w:color w:val="auto"/>
                <w:spacing w:val="2"/>
                <w:sz w:val="20"/>
                <w:szCs w:val="20"/>
                <w:highlight w:val="none"/>
              </w:rPr>
              <w:t>学历</w:t>
            </w:r>
          </w:p>
        </w:tc>
        <w:tc>
          <w:tcPr>
            <w:tcW w:w="1936" w:type="dxa"/>
            <w:tcBorders>
              <w:right w:val="single" w:color="000000" w:sz="10" w:space="0"/>
            </w:tcBorders>
            <w:vAlign w:val="top"/>
          </w:tcPr>
          <w:p w14:paraId="37763EE2">
            <w:pPr>
              <w:rPr>
                <w:rFonts w:ascii="Arial"/>
                <w:color w:val="auto"/>
                <w:sz w:val="21"/>
                <w:highlight w:val="none"/>
              </w:rPr>
            </w:pPr>
          </w:p>
        </w:tc>
      </w:tr>
      <w:tr w14:paraId="263FB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90" w:type="dxa"/>
            <w:tcBorders>
              <w:left w:val="single" w:color="000000" w:sz="10" w:space="0"/>
            </w:tcBorders>
            <w:vAlign w:val="top"/>
          </w:tcPr>
          <w:p w14:paraId="3D889BCD">
            <w:pPr>
              <w:spacing w:line="302" w:lineRule="auto"/>
              <w:rPr>
                <w:rFonts w:ascii="Arial"/>
                <w:color w:val="auto"/>
                <w:sz w:val="21"/>
                <w:highlight w:val="none"/>
              </w:rPr>
            </w:pPr>
          </w:p>
          <w:p w14:paraId="7F7D2430">
            <w:pPr>
              <w:pStyle w:val="75"/>
              <w:spacing w:before="65" w:line="229" w:lineRule="auto"/>
              <w:ind w:left="484"/>
              <w:rPr>
                <w:color w:val="auto"/>
                <w:sz w:val="20"/>
                <w:szCs w:val="20"/>
                <w:highlight w:val="none"/>
              </w:rPr>
            </w:pPr>
            <w:r>
              <w:rPr>
                <w:color w:val="auto"/>
                <w:spacing w:val="7"/>
                <w:sz w:val="20"/>
                <w:szCs w:val="20"/>
                <w:highlight w:val="none"/>
              </w:rPr>
              <w:t>参加工作时间</w:t>
            </w:r>
          </w:p>
        </w:tc>
        <w:tc>
          <w:tcPr>
            <w:tcW w:w="1264" w:type="dxa"/>
            <w:vAlign w:val="top"/>
          </w:tcPr>
          <w:p w14:paraId="03776F6C">
            <w:pPr>
              <w:rPr>
                <w:rFonts w:ascii="Arial"/>
                <w:color w:val="auto"/>
                <w:sz w:val="21"/>
                <w:highlight w:val="none"/>
              </w:rPr>
            </w:pPr>
          </w:p>
        </w:tc>
        <w:tc>
          <w:tcPr>
            <w:tcW w:w="3883" w:type="dxa"/>
            <w:gridSpan w:val="5"/>
            <w:vAlign w:val="top"/>
          </w:tcPr>
          <w:p w14:paraId="3BF1874F">
            <w:pPr>
              <w:pStyle w:val="75"/>
              <w:spacing w:before="137" w:line="365" w:lineRule="auto"/>
              <w:ind w:left="1739" w:right="1203" w:hanging="523"/>
              <w:rPr>
                <w:color w:val="auto"/>
                <w:sz w:val="20"/>
                <w:szCs w:val="20"/>
                <w:highlight w:val="none"/>
              </w:rPr>
            </w:pPr>
            <w:r>
              <w:rPr>
                <w:color w:val="auto"/>
                <w:spacing w:val="8"/>
                <w:sz w:val="20"/>
                <w:szCs w:val="20"/>
                <w:highlight w:val="none"/>
              </w:rPr>
              <w:t>从事项目负责人</w:t>
            </w:r>
            <w:r>
              <w:rPr>
                <w:color w:val="auto"/>
                <w:spacing w:val="1"/>
                <w:sz w:val="20"/>
                <w:szCs w:val="20"/>
                <w:highlight w:val="none"/>
              </w:rPr>
              <w:t xml:space="preserve"> </w:t>
            </w:r>
            <w:r>
              <w:rPr>
                <w:color w:val="auto"/>
                <w:spacing w:val="4"/>
                <w:sz w:val="20"/>
                <w:szCs w:val="20"/>
                <w:highlight w:val="none"/>
              </w:rPr>
              <w:t>年限</w:t>
            </w:r>
          </w:p>
        </w:tc>
        <w:tc>
          <w:tcPr>
            <w:tcW w:w="1936" w:type="dxa"/>
            <w:tcBorders>
              <w:right w:val="single" w:color="000000" w:sz="10" w:space="0"/>
            </w:tcBorders>
            <w:vAlign w:val="top"/>
          </w:tcPr>
          <w:p w14:paraId="0A578429">
            <w:pPr>
              <w:rPr>
                <w:rFonts w:ascii="Arial"/>
                <w:color w:val="auto"/>
                <w:sz w:val="21"/>
                <w:highlight w:val="none"/>
              </w:rPr>
            </w:pPr>
          </w:p>
        </w:tc>
      </w:tr>
      <w:tr w14:paraId="38053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90" w:type="dxa"/>
            <w:tcBorders>
              <w:left w:val="single" w:color="000000" w:sz="10" w:space="0"/>
            </w:tcBorders>
            <w:vAlign w:val="top"/>
          </w:tcPr>
          <w:p w14:paraId="4DE50F31">
            <w:pPr>
              <w:pStyle w:val="75"/>
              <w:spacing w:before="244" w:line="231" w:lineRule="auto"/>
              <w:ind w:left="903"/>
              <w:rPr>
                <w:color w:val="auto"/>
                <w:sz w:val="20"/>
                <w:szCs w:val="20"/>
                <w:highlight w:val="none"/>
              </w:rPr>
            </w:pPr>
            <w:r>
              <w:rPr>
                <w:color w:val="auto"/>
                <w:spacing w:val="4"/>
                <w:sz w:val="20"/>
                <w:szCs w:val="20"/>
                <w:highlight w:val="none"/>
              </w:rPr>
              <w:t>职称</w:t>
            </w:r>
          </w:p>
        </w:tc>
        <w:tc>
          <w:tcPr>
            <w:tcW w:w="7083" w:type="dxa"/>
            <w:gridSpan w:val="7"/>
            <w:tcBorders>
              <w:right w:val="single" w:color="000000" w:sz="10" w:space="0"/>
            </w:tcBorders>
            <w:vAlign w:val="top"/>
          </w:tcPr>
          <w:p w14:paraId="150A1E13">
            <w:pPr>
              <w:rPr>
                <w:rFonts w:ascii="Arial"/>
                <w:color w:val="auto"/>
                <w:sz w:val="21"/>
                <w:highlight w:val="none"/>
              </w:rPr>
            </w:pPr>
          </w:p>
        </w:tc>
      </w:tr>
      <w:tr w14:paraId="5C4F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373" w:type="dxa"/>
            <w:gridSpan w:val="8"/>
            <w:tcBorders>
              <w:left w:val="single" w:color="000000" w:sz="10" w:space="0"/>
              <w:right w:val="single" w:color="000000" w:sz="10" w:space="0"/>
            </w:tcBorders>
            <w:vAlign w:val="top"/>
          </w:tcPr>
          <w:p w14:paraId="6AD02B9C">
            <w:pPr>
              <w:pStyle w:val="75"/>
              <w:spacing w:before="245" w:line="228" w:lineRule="auto"/>
              <w:ind w:left="3630"/>
              <w:rPr>
                <w:color w:val="auto"/>
                <w:sz w:val="20"/>
                <w:szCs w:val="20"/>
                <w:highlight w:val="none"/>
              </w:rPr>
            </w:pPr>
            <w:r>
              <w:rPr>
                <w:color w:val="auto"/>
                <w:spacing w:val="-9"/>
                <w:sz w:val="20"/>
                <w:szCs w:val="20"/>
                <w:highlight w:val="none"/>
              </w:rPr>
              <w:t>已</w:t>
            </w:r>
            <w:r>
              <w:rPr>
                <w:color w:val="auto"/>
                <w:spacing w:val="15"/>
                <w:sz w:val="20"/>
                <w:szCs w:val="20"/>
                <w:highlight w:val="none"/>
              </w:rPr>
              <w:t xml:space="preserve"> </w:t>
            </w:r>
            <w:r>
              <w:rPr>
                <w:color w:val="auto"/>
                <w:spacing w:val="-9"/>
                <w:sz w:val="20"/>
                <w:szCs w:val="20"/>
                <w:highlight w:val="none"/>
              </w:rPr>
              <w:t>完</w:t>
            </w:r>
            <w:r>
              <w:rPr>
                <w:color w:val="auto"/>
                <w:spacing w:val="15"/>
                <w:sz w:val="20"/>
                <w:szCs w:val="20"/>
                <w:highlight w:val="none"/>
              </w:rPr>
              <w:t xml:space="preserve"> </w:t>
            </w:r>
            <w:r>
              <w:rPr>
                <w:color w:val="auto"/>
                <w:spacing w:val="-9"/>
                <w:sz w:val="20"/>
                <w:szCs w:val="20"/>
                <w:highlight w:val="none"/>
              </w:rPr>
              <w:t>成</w:t>
            </w:r>
            <w:r>
              <w:rPr>
                <w:color w:val="auto"/>
                <w:spacing w:val="16"/>
                <w:sz w:val="20"/>
                <w:szCs w:val="20"/>
                <w:highlight w:val="none"/>
              </w:rPr>
              <w:t xml:space="preserve"> </w:t>
            </w:r>
            <w:r>
              <w:rPr>
                <w:color w:val="auto"/>
                <w:spacing w:val="-9"/>
                <w:sz w:val="20"/>
                <w:szCs w:val="20"/>
                <w:highlight w:val="none"/>
              </w:rPr>
              <w:t>项</w:t>
            </w:r>
            <w:r>
              <w:rPr>
                <w:color w:val="auto"/>
                <w:spacing w:val="56"/>
                <w:sz w:val="20"/>
                <w:szCs w:val="20"/>
                <w:highlight w:val="none"/>
              </w:rPr>
              <w:t xml:space="preserve"> </w:t>
            </w:r>
            <w:r>
              <w:rPr>
                <w:color w:val="auto"/>
                <w:spacing w:val="-9"/>
                <w:sz w:val="20"/>
                <w:szCs w:val="20"/>
                <w:highlight w:val="none"/>
              </w:rPr>
              <w:t>目</w:t>
            </w:r>
            <w:r>
              <w:rPr>
                <w:color w:val="auto"/>
                <w:spacing w:val="12"/>
                <w:sz w:val="20"/>
                <w:szCs w:val="20"/>
                <w:highlight w:val="none"/>
              </w:rPr>
              <w:t xml:space="preserve"> </w:t>
            </w:r>
            <w:r>
              <w:rPr>
                <w:color w:val="auto"/>
                <w:spacing w:val="-9"/>
                <w:sz w:val="20"/>
                <w:szCs w:val="20"/>
                <w:highlight w:val="none"/>
              </w:rPr>
              <w:t>情</w:t>
            </w:r>
            <w:r>
              <w:rPr>
                <w:color w:val="auto"/>
                <w:spacing w:val="15"/>
                <w:sz w:val="20"/>
                <w:szCs w:val="20"/>
                <w:highlight w:val="none"/>
              </w:rPr>
              <w:t xml:space="preserve"> </w:t>
            </w:r>
            <w:r>
              <w:rPr>
                <w:color w:val="auto"/>
                <w:spacing w:val="-9"/>
                <w:sz w:val="20"/>
                <w:szCs w:val="20"/>
                <w:highlight w:val="none"/>
              </w:rPr>
              <w:t>况</w:t>
            </w:r>
          </w:p>
        </w:tc>
      </w:tr>
      <w:tr w14:paraId="4C83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290" w:type="dxa"/>
            <w:tcBorders>
              <w:left w:val="single" w:color="000000" w:sz="10" w:space="0"/>
            </w:tcBorders>
            <w:vAlign w:val="top"/>
          </w:tcPr>
          <w:p w14:paraId="10D92E22">
            <w:pPr>
              <w:spacing w:line="308" w:lineRule="auto"/>
              <w:rPr>
                <w:rFonts w:ascii="Arial"/>
                <w:color w:val="auto"/>
                <w:sz w:val="21"/>
                <w:highlight w:val="none"/>
              </w:rPr>
            </w:pPr>
          </w:p>
          <w:p w14:paraId="08191B30">
            <w:pPr>
              <w:pStyle w:val="75"/>
              <w:spacing w:before="65" w:line="229" w:lineRule="auto"/>
              <w:ind w:left="694"/>
              <w:rPr>
                <w:color w:val="auto"/>
                <w:sz w:val="20"/>
                <w:szCs w:val="20"/>
                <w:highlight w:val="none"/>
              </w:rPr>
            </w:pPr>
            <w:r>
              <w:rPr>
                <w:color w:val="auto"/>
                <w:spacing w:val="6"/>
                <w:sz w:val="20"/>
                <w:szCs w:val="20"/>
                <w:highlight w:val="none"/>
              </w:rPr>
              <w:t>项目名称</w:t>
            </w:r>
          </w:p>
        </w:tc>
        <w:tc>
          <w:tcPr>
            <w:tcW w:w="1420" w:type="dxa"/>
            <w:gridSpan w:val="2"/>
            <w:vAlign w:val="top"/>
          </w:tcPr>
          <w:p w14:paraId="3314DE16">
            <w:pPr>
              <w:spacing w:line="309" w:lineRule="auto"/>
              <w:rPr>
                <w:rFonts w:ascii="Arial"/>
                <w:color w:val="auto"/>
                <w:sz w:val="21"/>
                <w:highlight w:val="none"/>
              </w:rPr>
            </w:pPr>
          </w:p>
          <w:p w14:paraId="7F043DDB">
            <w:pPr>
              <w:pStyle w:val="75"/>
              <w:spacing w:before="65" w:line="228" w:lineRule="auto"/>
              <w:ind w:left="500"/>
              <w:rPr>
                <w:color w:val="auto"/>
                <w:sz w:val="20"/>
                <w:szCs w:val="20"/>
                <w:highlight w:val="none"/>
              </w:rPr>
            </w:pPr>
            <w:r>
              <w:rPr>
                <w:color w:val="auto"/>
                <w:spacing w:val="4"/>
                <w:sz w:val="20"/>
                <w:szCs w:val="20"/>
                <w:highlight w:val="none"/>
              </w:rPr>
              <w:t>规模</w:t>
            </w:r>
          </w:p>
        </w:tc>
        <w:tc>
          <w:tcPr>
            <w:tcW w:w="1581" w:type="dxa"/>
            <w:gridSpan w:val="2"/>
            <w:vAlign w:val="top"/>
          </w:tcPr>
          <w:p w14:paraId="56342F34">
            <w:pPr>
              <w:spacing w:line="309" w:lineRule="auto"/>
              <w:rPr>
                <w:rFonts w:ascii="Arial"/>
                <w:color w:val="auto"/>
                <w:sz w:val="21"/>
                <w:highlight w:val="none"/>
              </w:rPr>
            </w:pPr>
          </w:p>
          <w:p w14:paraId="0BE7AEFA">
            <w:pPr>
              <w:pStyle w:val="75"/>
              <w:spacing w:before="65" w:line="228" w:lineRule="auto"/>
              <w:ind w:left="165"/>
              <w:rPr>
                <w:color w:val="auto"/>
                <w:sz w:val="20"/>
                <w:szCs w:val="20"/>
                <w:highlight w:val="none"/>
              </w:rPr>
            </w:pPr>
            <w:r>
              <w:rPr>
                <w:color w:val="auto"/>
                <w:spacing w:val="8"/>
                <w:sz w:val="20"/>
                <w:szCs w:val="20"/>
                <w:highlight w:val="none"/>
              </w:rPr>
              <w:t>开始完成日期</w:t>
            </w:r>
          </w:p>
        </w:tc>
        <w:tc>
          <w:tcPr>
            <w:tcW w:w="2146" w:type="dxa"/>
            <w:gridSpan w:val="2"/>
            <w:vAlign w:val="top"/>
          </w:tcPr>
          <w:p w14:paraId="0A157CD6">
            <w:pPr>
              <w:pStyle w:val="75"/>
              <w:spacing w:before="143" w:line="228" w:lineRule="auto"/>
              <w:ind w:left="567"/>
              <w:rPr>
                <w:color w:val="auto"/>
                <w:sz w:val="20"/>
                <w:szCs w:val="20"/>
                <w:highlight w:val="none"/>
              </w:rPr>
            </w:pPr>
            <w:r>
              <w:rPr>
                <w:color w:val="auto"/>
                <w:spacing w:val="6"/>
                <w:sz w:val="20"/>
                <w:szCs w:val="20"/>
                <w:highlight w:val="none"/>
              </w:rPr>
              <w:t>负担的技术</w:t>
            </w:r>
          </w:p>
          <w:p w14:paraId="093B4FA1">
            <w:pPr>
              <w:pStyle w:val="75"/>
              <w:spacing w:before="221" w:line="228" w:lineRule="auto"/>
              <w:ind w:left="874"/>
              <w:rPr>
                <w:color w:val="auto"/>
                <w:sz w:val="20"/>
                <w:szCs w:val="20"/>
                <w:highlight w:val="none"/>
              </w:rPr>
            </w:pPr>
            <w:r>
              <w:rPr>
                <w:color w:val="auto"/>
                <w:spacing w:val="4"/>
                <w:sz w:val="20"/>
                <w:szCs w:val="20"/>
                <w:highlight w:val="none"/>
              </w:rPr>
              <w:t>职务</w:t>
            </w:r>
          </w:p>
        </w:tc>
        <w:tc>
          <w:tcPr>
            <w:tcW w:w="1936" w:type="dxa"/>
            <w:tcBorders>
              <w:right w:val="single" w:color="000000" w:sz="10" w:space="0"/>
            </w:tcBorders>
            <w:vAlign w:val="top"/>
          </w:tcPr>
          <w:p w14:paraId="2D0954A9">
            <w:pPr>
              <w:spacing w:line="309" w:lineRule="auto"/>
              <w:rPr>
                <w:rFonts w:ascii="Arial"/>
                <w:color w:val="auto"/>
                <w:sz w:val="21"/>
                <w:highlight w:val="none"/>
              </w:rPr>
            </w:pPr>
          </w:p>
          <w:p w14:paraId="1143CEA3">
            <w:pPr>
              <w:pStyle w:val="75"/>
              <w:spacing w:before="65" w:line="228" w:lineRule="auto"/>
              <w:ind w:left="559"/>
              <w:rPr>
                <w:color w:val="auto"/>
                <w:sz w:val="20"/>
                <w:szCs w:val="20"/>
                <w:highlight w:val="none"/>
              </w:rPr>
            </w:pPr>
            <w:r>
              <w:rPr>
                <w:color w:val="auto"/>
                <w:spacing w:val="6"/>
                <w:sz w:val="20"/>
                <w:szCs w:val="20"/>
                <w:highlight w:val="none"/>
              </w:rPr>
              <w:t>获奖情况</w:t>
            </w:r>
          </w:p>
        </w:tc>
      </w:tr>
      <w:tr w14:paraId="47BD8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90" w:type="dxa"/>
            <w:tcBorders>
              <w:left w:val="single" w:color="000000" w:sz="10" w:space="0"/>
            </w:tcBorders>
            <w:vAlign w:val="top"/>
          </w:tcPr>
          <w:p w14:paraId="043EC4DF">
            <w:pPr>
              <w:rPr>
                <w:rFonts w:ascii="Arial"/>
                <w:color w:val="auto"/>
                <w:sz w:val="21"/>
                <w:highlight w:val="none"/>
              </w:rPr>
            </w:pPr>
          </w:p>
        </w:tc>
        <w:tc>
          <w:tcPr>
            <w:tcW w:w="1420" w:type="dxa"/>
            <w:gridSpan w:val="2"/>
            <w:vAlign w:val="top"/>
          </w:tcPr>
          <w:p w14:paraId="12664FAB">
            <w:pPr>
              <w:rPr>
                <w:rFonts w:ascii="Arial"/>
                <w:color w:val="auto"/>
                <w:sz w:val="21"/>
                <w:highlight w:val="none"/>
              </w:rPr>
            </w:pPr>
          </w:p>
        </w:tc>
        <w:tc>
          <w:tcPr>
            <w:tcW w:w="1581" w:type="dxa"/>
            <w:gridSpan w:val="2"/>
            <w:vAlign w:val="top"/>
          </w:tcPr>
          <w:p w14:paraId="78030C95">
            <w:pPr>
              <w:rPr>
                <w:rFonts w:ascii="Arial"/>
                <w:color w:val="auto"/>
                <w:sz w:val="21"/>
                <w:highlight w:val="none"/>
              </w:rPr>
            </w:pPr>
          </w:p>
        </w:tc>
        <w:tc>
          <w:tcPr>
            <w:tcW w:w="2146" w:type="dxa"/>
            <w:gridSpan w:val="2"/>
            <w:vAlign w:val="top"/>
          </w:tcPr>
          <w:p w14:paraId="7D8FC0C0">
            <w:pPr>
              <w:rPr>
                <w:rFonts w:ascii="Arial"/>
                <w:color w:val="auto"/>
                <w:sz w:val="21"/>
                <w:highlight w:val="none"/>
              </w:rPr>
            </w:pPr>
          </w:p>
        </w:tc>
        <w:tc>
          <w:tcPr>
            <w:tcW w:w="1936" w:type="dxa"/>
            <w:tcBorders>
              <w:right w:val="single" w:color="000000" w:sz="10" w:space="0"/>
            </w:tcBorders>
            <w:vAlign w:val="top"/>
          </w:tcPr>
          <w:p w14:paraId="78EE864C">
            <w:pPr>
              <w:rPr>
                <w:rFonts w:ascii="Arial"/>
                <w:color w:val="auto"/>
                <w:sz w:val="21"/>
                <w:highlight w:val="none"/>
              </w:rPr>
            </w:pPr>
          </w:p>
        </w:tc>
      </w:tr>
      <w:tr w14:paraId="3637C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90" w:type="dxa"/>
            <w:tcBorders>
              <w:left w:val="single" w:color="000000" w:sz="10" w:space="0"/>
            </w:tcBorders>
            <w:vAlign w:val="top"/>
          </w:tcPr>
          <w:p w14:paraId="77225622">
            <w:pPr>
              <w:rPr>
                <w:rFonts w:ascii="Arial"/>
                <w:color w:val="auto"/>
                <w:sz w:val="21"/>
                <w:highlight w:val="none"/>
              </w:rPr>
            </w:pPr>
          </w:p>
        </w:tc>
        <w:tc>
          <w:tcPr>
            <w:tcW w:w="1420" w:type="dxa"/>
            <w:gridSpan w:val="2"/>
            <w:vAlign w:val="top"/>
          </w:tcPr>
          <w:p w14:paraId="2F676D58">
            <w:pPr>
              <w:rPr>
                <w:rFonts w:ascii="Arial"/>
                <w:color w:val="auto"/>
                <w:sz w:val="21"/>
                <w:highlight w:val="none"/>
              </w:rPr>
            </w:pPr>
          </w:p>
        </w:tc>
        <w:tc>
          <w:tcPr>
            <w:tcW w:w="1581" w:type="dxa"/>
            <w:gridSpan w:val="2"/>
            <w:vAlign w:val="top"/>
          </w:tcPr>
          <w:p w14:paraId="40BF9BCC">
            <w:pPr>
              <w:rPr>
                <w:rFonts w:ascii="Arial"/>
                <w:color w:val="auto"/>
                <w:sz w:val="21"/>
                <w:highlight w:val="none"/>
              </w:rPr>
            </w:pPr>
          </w:p>
        </w:tc>
        <w:tc>
          <w:tcPr>
            <w:tcW w:w="2146" w:type="dxa"/>
            <w:gridSpan w:val="2"/>
            <w:vAlign w:val="top"/>
          </w:tcPr>
          <w:p w14:paraId="3E5FD135">
            <w:pPr>
              <w:rPr>
                <w:rFonts w:ascii="Arial"/>
                <w:color w:val="auto"/>
                <w:sz w:val="21"/>
                <w:highlight w:val="none"/>
              </w:rPr>
            </w:pPr>
          </w:p>
        </w:tc>
        <w:tc>
          <w:tcPr>
            <w:tcW w:w="1936" w:type="dxa"/>
            <w:tcBorders>
              <w:right w:val="single" w:color="000000" w:sz="10" w:space="0"/>
            </w:tcBorders>
            <w:vAlign w:val="top"/>
          </w:tcPr>
          <w:p w14:paraId="799ECA11">
            <w:pPr>
              <w:rPr>
                <w:rFonts w:ascii="Arial"/>
                <w:color w:val="auto"/>
                <w:sz w:val="21"/>
                <w:highlight w:val="none"/>
              </w:rPr>
            </w:pPr>
          </w:p>
        </w:tc>
      </w:tr>
      <w:tr w14:paraId="29F5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90" w:type="dxa"/>
            <w:tcBorders>
              <w:left w:val="single" w:color="000000" w:sz="10" w:space="0"/>
            </w:tcBorders>
            <w:vAlign w:val="top"/>
          </w:tcPr>
          <w:p w14:paraId="48942002">
            <w:pPr>
              <w:rPr>
                <w:rFonts w:ascii="Arial"/>
                <w:color w:val="auto"/>
                <w:sz w:val="21"/>
                <w:highlight w:val="none"/>
              </w:rPr>
            </w:pPr>
          </w:p>
        </w:tc>
        <w:tc>
          <w:tcPr>
            <w:tcW w:w="1420" w:type="dxa"/>
            <w:gridSpan w:val="2"/>
            <w:vAlign w:val="top"/>
          </w:tcPr>
          <w:p w14:paraId="077BA3CC">
            <w:pPr>
              <w:rPr>
                <w:rFonts w:ascii="Arial"/>
                <w:color w:val="auto"/>
                <w:sz w:val="21"/>
                <w:highlight w:val="none"/>
              </w:rPr>
            </w:pPr>
          </w:p>
        </w:tc>
        <w:tc>
          <w:tcPr>
            <w:tcW w:w="1581" w:type="dxa"/>
            <w:gridSpan w:val="2"/>
            <w:vAlign w:val="top"/>
          </w:tcPr>
          <w:p w14:paraId="5E5E882B">
            <w:pPr>
              <w:rPr>
                <w:rFonts w:ascii="Arial"/>
                <w:color w:val="auto"/>
                <w:sz w:val="21"/>
                <w:highlight w:val="none"/>
              </w:rPr>
            </w:pPr>
          </w:p>
        </w:tc>
        <w:tc>
          <w:tcPr>
            <w:tcW w:w="2146" w:type="dxa"/>
            <w:gridSpan w:val="2"/>
            <w:vAlign w:val="top"/>
          </w:tcPr>
          <w:p w14:paraId="1191A2BF">
            <w:pPr>
              <w:rPr>
                <w:rFonts w:ascii="Arial"/>
                <w:color w:val="auto"/>
                <w:sz w:val="21"/>
                <w:highlight w:val="none"/>
              </w:rPr>
            </w:pPr>
          </w:p>
        </w:tc>
        <w:tc>
          <w:tcPr>
            <w:tcW w:w="1936" w:type="dxa"/>
            <w:tcBorders>
              <w:right w:val="single" w:color="000000" w:sz="10" w:space="0"/>
            </w:tcBorders>
            <w:vAlign w:val="top"/>
          </w:tcPr>
          <w:p w14:paraId="5E250ACE">
            <w:pPr>
              <w:rPr>
                <w:rFonts w:ascii="Arial"/>
                <w:color w:val="auto"/>
                <w:sz w:val="21"/>
                <w:highlight w:val="none"/>
              </w:rPr>
            </w:pPr>
          </w:p>
        </w:tc>
      </w:tr>
      <w:tr w14:paraId="3FEDE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90" w:type="dxa"/>
            <w:tcBorders>
              <w:left w:val="single" w:color="000000" w:sz="10" w:space="0"/>
            </w:tcBorders>
            <w:vAlign w:val="top"/>
          </w:tcPr>
          <w:p w14:paraId="08E48445">
            <w:pPr>
              <w:rPr>
                <w:rFonts w:ascii="Arial"/>
                <w:color w:val="auto"/>
                <w:sz w:val="21"/>
                <w:highlight w:val="none"/>
              </w:rPr>
            </w:pPr>
          </w:p>
        </w:tc>
        <w:tc>
          <w:tcPr>
            <w:tcW w:w="1420" w:type="dxa"/>
            <w:gridSpan w:val="2"/>
            <w:vAlign w:val="top"/>
          </w:tcPr>
          <w:p w14:paraId="07239B62">
            <w:pPr>
              <w:rPr>
                <w:rFonts w:ascii="Arial"/>
                <w:color w:val="auto"/>
                <w:sz w:val="21"/>
                <w:highlight w:val="none"/>
              </w:rPr>
            </w:pPr>
          </w:p>
        </w:tc>
        <w:tc>
          <w:tcPr>
            <w:tcW w:w="1581" w:type="dxa"/>
            <w:gridSpan w:val="2"/>
            <w:vAlign w:val="top"/>
          </w:tcPr>
          <w:p w14:paraId="422A6411">
            <w:pPr>
              <w:rPr>
                <w:rFonts w:ascii="Arial"/>
                <w:color w:val="auto"/>
                <w:sz w:val="21"/>
                <w:highlight w:val="none"/>
              </w:rPr>
            </w:pPr>
          </w:p>
        </w:tc>
        <w:tc>
          <w:tcPr>
            <w:tcW w:w="2146" w:type="dxa"/>
            <w:gridSpan w:val="2"/>
            <w:vAlign w:val="top"/>
          </w:tcPr>
          <w:p w14:paraId="4E6A8A66">
            <w:pPr>
              <w:rPr>
                <w:rFonts w:ascii="Arial"/>
                <w:color w:val="auto"/>
                <w:sz w:val="21"/>
                <w:highlight w:val="none"/>
              </w:rPr>
            </w:pPr>
          </w:p>
        </w:tc>
        <w:tc>
          <w:tcPr>
            <w:tcW w:w="1936" w:type="dxa"/>
            <w:tcBorders>
              <w:right w:val="single" w:color="000000" w:sz="10" w:space="0"/>
            </w:tcBorders>
            <w:vAlign w:val="top"/>
          </w:tcPr>
          <w:p w14:paraId="456A60E1">
            <w:pPr>
              <w:rPr>
                <w:rFonts w:ascii="Arial"/>
                <w:color w:val="auto"/>
                <w:sz w:val="21"/>
                <w:highlight w:val="none"/>
              </w:rPr>
            </w:pPr>
          </w:p>
        </w:tc>
      </w:tr>
      <w:tr w14:paraId="794CF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90" w:type="dxa"/>
            <w:tcBorders>
              <w:left w:val="single" w:color="000000" w:sz="10" w:space="0"/>
              <w:bottom w:val="single" w:color="000000" w:sz="10" w:space="0"/>
            </w:tcBorders>
            <w:vAlign w:val="top"/>
          </w:tcPr>
          <w:p w14:paraId="728014BF">
            <w:pPr>
              <w:rPr>
                <w:rFonts w:ascii="Arial"/>
                <w:color w:val="auto"/>
                <w:sz w:val="21"/>
                <w:highlight w:val="none"/>
              </w:rPr>
            </w:pPr>
          </w:p>
        </w:tc>
        <w:tc>
          <w:tcPr>
            <w:tcW w:w="1420" w:type="dxa"/>
            <w:gridSpan w:val="2"/>
            <w:tcBorders>
              <w:bottom w:val="single" w:color="000000" w:sz="10" w:space="0"/>
            </w:tcBorders>
            <w:vAlign w:val="top"/>
          </w:tcPr>
          <w:p w14:paraId="4FE1116C">
            <w:pPr>
              <w:rPr>
                <w:rFonts w:ascii="Arial"/>
                <w:color w:val="auto"/>
                <w:sz w:val="21"/>
                <w:highlight w:val="none"/>
              </w:rPr>
            </w:pPr>
          </w:p>
        </w:tc>
        <w:tc>
          <w:tcPr>
            <w:tcW w:w="1581" w:type="dxa"/>
            <w:gridSpan w:val="2"/>
            <w:tcBorders>
              <w:bottom w:val="single" w:color="000000" w:sz="10" w:space="0"/>
            </w:tcBorders>
            <w:vAlign w:val="top"/>
          </w:tcPr>
          <w:p w14:paraId="116C671C">
            <w:pPr>
              <w:rPr>
                <w:rFonts w:ascii="Arial"/>
                <w:color w:val="auto"/>
                <w:sz w:val="21"/>
                <w:highlight w:val="none"/>
              </w:rPr>
            </w:pPr>
          </w:p>
        </w:tc>
        <w:tc>
          <w:tcPr>
            <w:tcW w:w="2146" w:type="dxa"/>
            <w:gridSpan w:val="2"/>
            <w:tcBorders>
              <w:bottom w:val="single" w:color="000000" w:sz="10" w:space="0"/>
            </w:tcBorders>
            <w:vAlign w:val="top"/>
          </w:tcPr>
          <w:p w14:paraId="399726B3">
            <w:pPr>
              <w:rPr>
                <w:rFonts w:ascii="Arial"/>
                <w:color w:val="auto"/>
                <w:sz w:val="21"/>
                <w:highlight w:val="none"/>
              </w:rPr>
            </w:pPr>
          </w:p>
        </w:tc>
        <w:tc>
          <w:tcPr>
            <w:tcW w:w="1936" w:type="dxa"/>
            <w:tcBorders>
              <w:bottom w:val="single" w:color="000000" w:sz="10" w:space="0"/>
              <w:right w:val="single" w:color="000000" w:sz="10" w:space="0"/>
            </w:tcBorders>
            <w:vAlign w:val="top"/>
          </w:tcPr>
          <w:p w14:paraId="6AC7F7C2">
            <w:pPr>
              <w:rPr>
                <w:rFonts w:ascii="Arial"/>
                <w:color w:val="auto"/>
                <w:sz w:val="21"/>
                <w:highlight w:val="none"/>
              </w:rPr>
            </w:pPr>
          </w:p>
        </w:tc>
      </w:tr>
    </w:tbl>
    <w:p w14:paraId="18D7D8F0">
      <w:pPr>
        <w:numPr>
          <w:ilvl w:val="0"/>
          <w:numId w:val="0"/>
        </w:numPr>
        <w:spacing w:before="78" w:line="325" w:lineRule="auto"/>
        <w:ind w:right="3296" w:rightChars="0"/>
        <w:jc w:val="center"/>
        <w:rPr>
          <w:rFonts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lang w:val="en-US" w:eastAsia="zh-CN"/>
        </w:rPr>
        <w:t xml:space="preserve">              </w:t>
      </w:r>
      <w:r>
        <w:rPr>
          <w:rFonts w:ascii="宋体" w:hAnsi="宋体" w:eastAsia="宋体" w:cs="宋体"/>
          <w:b/>
          <w:bCs/>
          <w:color w:val="auto"/>
          <w:spacing w:val="-5"/>
          <w:sz w:val="30"/>
          <w:szCs w:val="30"/>
          <w:highlight w:val="none"/>
        </w:rPr>
        <w:t>项目负责人简历表</w:t>
      </w:r>
    </w:p>
    <w:p w14:paraId="58661922">
      <w:pPr>
        <w:spacing w:before="87"/>
        <w:ind w:right="110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注：1.项目负责人应附身份证、职称证书、执业资格证书等复印件或扫描件（具体按评标</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办法提供）。</w:t>
      </w:r>
    </w:p>
    <w:p w14:paraId="2F5B2F64">
      <w:pPr>
        <w:spacing w:before="153" w:line="242" w:lineRule="auto"/>
        <w:ind w:right="110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2.在填写时，如本表格不适合投标单位的实际情况，可根据本表格式按评标办法要求</w:t>
      </w:r>
      <w:r>
        <w:rPr>
          <w:rFonts w:ascii="宋体" w:hAnsi="宋体" w:eastAsia="宋体" w:cs="宋体"/>
          <w:color w:val="auto"/>
          <w:spacing w:val="3"/>
          <w:sz w:val="24"/>
          <w:szCs w:val="24"/>
          <w:highlight w:val="none"/>
        </w:rPr>
        <w:t xml:space="preserve"> </w:t>
      </w:r>
      <w:r>
        <w:rPr>
          <w:rFonts w:ascii="宋体" w:hAnsi="宋体" w:eastAsia="宋体" w:cs="宋体"/>
          <w:color w:val="auto"/>
          <w:spacing w:val="-4"/>
          <w:sz w:val="24"/>
          <w:szCs w:val="24"/>
          <w:highlight w:val="none"/>
        </w:rPr>
        <w:t>自行划表填写并提供相关资料。</w:t>
      </w:r>
    </w:p>
    <w:p w14:paraId="0A13CC57">
      <w:pPr>
        <w:spacing w:before="228"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投标人名称（电子签章</w:t>
      </w:r>
      <w:r>
        <w:rPr>
          <w:rFonts w:ascii="宋体" w:hAnsi="宋体" w:eastAsia="宋体" w:cs="宋体"/>
          <w:color w:val="auto"/>
          <w:spacing w:val="3"/>
          <w:sz w:val="24"/>
          <w:szCs w:val="24"/>
          <w:highlight w:val="none"/>
        </w:rPr>
        <w:t>）：</w:t>
      </w:r>
      <w:r>
        <w:rPr>
          <w:rFonts w:ascii="宋体" w:hAnsi="宋体" w:eastAsia="宋体" w:cs="宋体"/>
          <w:color w:val="auto"/>
          <w:spacing w:val="-81"/>
          <w:sz w:val="24"/>
          <w:szCs w:val="24"/>
          <w:highlight w:val="none"/>
        </w:rPr>
        <w:t xml:space="preserve"> </w:t>
      </w:r>
      <w:r>
        <w:rPr>
          <w:rFonts w:ascii="宋体" w:hAnsi="宋体" w:eastAsia="宋体" w:cs="宋体"/>
          <w:color w:val="auto"/>
          <w:sz w:val="24"/>
          <w:szCs w:val="24"/>
          <w:highlight w:val="none"/>
          <w:u w:val="single" w:color="auto"/>
        </w:rPr>
        <w:t xml:space="preserve">                </w:t>
      </w:r>
    </w:p>
    <w:p w14:paraId="7486ABD6">
      <w:pPr>
        <w:spacing w:before="183"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法定代表人或授权代表（签字或盖章</w:t>
      </w:r>
      <w:r>
        <w:rPr>
          <w:rFonts w:ascii="宋体" w:hAnsi="宋体" w:eastAsia="宋体" w:cs="宋体"/>
          <w:color w:val="auto"/>
          <w:spacing w:val="2"/>
          <w:sz w:val="24"/>
          <w:szCs w:val="24"/>
          <w:highlight w:val="none"/>
        </w:rPr>
        <w:t>）：</w:t>
      </w:r>
      <w:r>
        <w:rPr>
          <w:rFonts w:ascii="宋体" w:hAnsi="宋体" w:eastAsia="宋体" w:cs="宋体"/>
          <w:color w:val="auto"/>
          <w:spacing w:val="-81"/>
          <w:sz w:val="24"/>
          <w:szCs w:val="24"/>
          <w:highlight w:val="none"/>
        </w:rPr>
        <w:t xml:space="preserve"> </w:t>
      </w:r>
      <w:r>
        <w:rPr>
          <w:rFonts w:ascii="宋体" w:hAnsi="宋体" w:eastAsia="宋体" w:cs="宋体"/>
          <w:color w:val="auto"/>
          <w:sz w:val="24"/>
          <w:szCs w:val="24"/>
          <w:highlight w:val="none"/>
          <w:u w:val="single" w:color="auto"/>
        </w:rPr>
        <w:t xml:space="preserve">                </w:t>
      </w:r>
    </w:p>
    <w:p w14:paraId="4F0E2958">
      <w:pPr>
        <w:rPr>
          <w:rFonts w:ascii="宋体" w:hAnsi="宋体" w:eastAsia="宋体" w:cs="宋体"/>
          <w:color w:val="auto"/>
          <w:spacing w:val="-13"/>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19"/>
          <w:sz w:val="24"/>
          <w:szCs w:val="24"/>
          <w:highlight w:val="none"/>
          <w:u w:val="single" w:color="auto"/>
        </w:rPr>
        <w:t xml:space="preserve">      </w:t>
      </w:r>
      <w:r>
        <w:rPr>
          <w:rFonts w:ascii="宋体" w:hAnsi="宋体" w:eastAsia="宋体" w:cs="宋体"/>
          <w:color w:val="auto"/>
          <w:spacing w:val="-99"/>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9"/>
          <w:sz w:val="24"/>
          <w:szCs w:val="24"/>
          <w:highlight w:val="none"/>
          <w:u w:val="single" w:color="auto"/>
        </w:rPr>
        <w:t xml:space="preserve">      </w:t>
      </w:r>
      <w:r>
        <w:rPr>
          <w:rFonts w:ascii="宋体" w:hAnsi="宋体" w:eastAsia="宋体" w:cs="宋体"/>
          <w:color w:val="auto"/>
          <w:spacing w:val="-63"/>
          <w:sz w:val="24"/>
          <w:szCs w:val="24"/>
          <w:highlight w:val="none"/>
        </w:rPr>
        <w:t xml:space="preserve"> </w:t>
      </w:r>
      <w:r>
        <w:rPr>
          <w:rFonts w:ascii="宋体" w:hAnsi="宋体" w:eastAsia="宋体" w:cs="宋体"/>
          <w:color w:val="auto"/>
          <w:spacing w:val="-13"/>
          <w:sz w:val="24"/>
          <w:szCs w:val="24"/>
          <w:highlight w:val="none"/>
        </w:rPr>
        <w:t>日</w:t>
      </w:r>
    </w:p>
    <w:p w14:paraId="28EAB642">
      <w:pPr>
        <w:rPr>
          <w:rFonts w:ascii="宋体" w:hAnsi="宋体" w:eastAsia="宋体" w:cs="宋体"/>
          <w:color w:val="auto"/>
          <w:spacing w:val="-13"/>
          <w:sz w:val="24"/>
          <w:szCs w:val="24"/>
          <w:highlight w:val="none"/>
        </w:rPr>
      </w:pPr>
    </w:p>
    <w:p w14:paraId="463C2E3C">
      <w:pPr>
        <w:spacing w:before="78" w:line="219" w:lineRule="auto"/>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6.3 项目实施人员一览表格式（如有）</w:t>
      </w:r>
    </w:p>
    <w:p w14:paraId="2CE855A9">
      <w:pPr>
        <w:spacing w:before="149" w:line="220" w:lineRule="auto"/>
        <w:ind w:firstLine="886" w:firstLineChars="300"/>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项目实施人员（主要从业人员及其技术资格）一览表</w:t>
      </w:r>
    </w:p>
    <w:p w14:paraId="650CDAFC">
      <w:pPr>
        <w:spacing w:before="219" w:line="220" w:lineRule="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项目名称：</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7"/>
          <w:sz w:val="24"/>
          <w:szCs w:val="24"/>
          <w:highlight w:val="none"/>
        </w:rPr>
        <w:t>项目编号：</w:t>
      </w:r>
      <w:r>
        <w:rPr>
          <w:rFonts w:ascii="宋体" w:hAnsi="宋体" w:eastAsia="宋体" w:cs="宋体"/>
          <w:color w:val="auto"/>
          <w:spacing w:val="-7"/>
          <w:sz w:val="24"/>
          <w:szCs w:val="24"/>
          <w:highlight w:val="none"/>
          <w:u w:val="single" w:color="auto"/>
        </w:rPr>
        <w:t xml:space="preserve">                </w:t>
      </w:r>
    </w:p>
    <w:tbl>
      <w:tblPr>
        <w:tblStyle w:val="131"/>
        <w:tblpPr w:leftFromText="180" w:rightFromText="180" w:vertAnchor="text" w:horzAnchor="page" w:tblpX="1100" w:tblpY="252"/>
        <w:tblOverlap w:val="never"/>
        <w:tblW w:w="97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709"/>
        <w:gridCol w:w="710"/>
        <w:gridCol w:w="1135"/>
        <w:gridCol w:w="852"/>
        <w:gridCol w:w="1082"/>
        <w:gridCol w:w="1003"/>
        <w:gridCol w:w="1329"/>
        <w:gridCol w:w="1074"/>
      </w:tblGrid>
      <w:tr w14:paraId="1C0D6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14" w:type="dxa"/>
            <w:vMerge w:val="restart"/>
            <w:tcBorders>
              <w:bottom w:val="nil"/>
            </w:tcBorders>
            <w:vAlign w:val="top"/>
          </w:tcPr>
          <w:p w14:paraId="6DC0B5DC">
            <w:pPr>
              <w:pStyle w:val="75"/>
              <w:spacing w:before="299" w:line="219" w:lineRule="auto"/>
              <w:ind w:left="434"/>
              <w:rPr>
                <w:color w:val="auto"/>
                <w:highlight w:val="none"/>
              </w:rPr>
            </w:pPr>
            <w:r>
              <w:rPr>
                <w:color w:val="auto"/>
                <w:spacing w:val="-2"/>
                <w:highlight w:val="none"/>
              </w:rPr>
              <w:t>拟在本项目</w:t>
            </w:r>
          </w:p>
          <w:p w14:paraId="6CEE97B2">
            <w:pPr>
              <w:pStyle w:val="75"/>
              <w:spacing w:before="26" w:line="220" w:lineRule="auto"/>
              <w:ind w:left="135"/>
              <w:rPr>
                <w:color w:val="auto"/>
                <w:highlight w:val="none"/>
              </w:rPr>
            </w:pPr>
            <w:r>
              <w:rPr>
                <w:color w:val="auto"/>
                <w:spacing w:val="-2"/>
                <w:highlight w:val="none"/>
              </w:rPr>
              <w:t>担任的职务(岗</w:t>
            </w:r>
          </w:p>
          <w:p w14:paraId="3F7B476E">
            <w:pPr>
              <w:pStyle w:val="75"/>
              <w:spacing w:before="25" w:line="222" w:lineRule="auto"/>
              <w:ind w:left="734"/>
              <w:rPr>
                <w:color w:val="auto"/>
                <w:highlight w:val="none"/>
              </w:rPr>
            </w:pPr>
            <w:r>
              <w:rPr>
                <w:color w:val="auto"/>
                <w:spacing w:val="-5"/>
                <w:highlight w:val="none"/>
              </w:rPr>
              <w:t>位)</w:t>
            </w:r>
          </w:p>
        </w:tc>
        <w:tc>
          <w:tcPr>
            <w:tcW w:w="709" w:type="dxa"/>
            <w:vMerge w:val="restart"/>
            <w:tcBorders>
              <w:bottom w:val="nil"/>
            </w:tcBorders>
            <w:vAlign w:val="top"/>
          </w:tcPr>
          <w:p w14:paraId="7F39CF88">
            <w:pPr>
              <w:spacing w:line="265" w:lineRule="auto"/>
              <w:rPr>
                <w:rFonts w:ascii="Arial"/>
                <w:color w:val="auto"/>
                <w:sz w:val="21"/>
                <w:highlight w:val="none"/>
              </w:rPr>
            </w:pPr>
          </w:p>
          <w:p w14:paraId="35DABCEA">
            <w:pPr>
              <w:spacing w:line="265" w:lineRule="auto"/>
              <w:rPr>
                <w:rFonts w:ascii="Arial"/>
                <w:color w:val="auto"/>
                <w:sz w:val="21"/>
                <w:highlight w:val="none"/>
              </w:rPr>
            </w:pPr>
          </w:p>
          <w:p w14:paraId="39617BE7">
            <w:pPr>
              <w:pStyle w:val="75"/>
              <w:spacing w:before="78" w:line="220" w:lineRule="auto"/>
              <w:ind w:left="113"/>
              <w:rPr>
                <w:color w:val="auto"/>
                <w:highlight w:val="none"/>
              </w:rPr>
            </w:pPr>
            <w:r>
              <w:rPr>
                <w:color w:val="auto"/>
                <w:spacing w:val="-5"/>
                <w:highlight w:val="none"/>
              </w:rPr>
              <w:t>姓名</w:t>
            </w:r>
          </w:p>
        </w:tc>
        <w:tc>
          <w:tcPr>
            <w:tcW w:w="710" w:type="dxa"/>
            <w:vMerge w:val="restart"/>
            <w:tcBorders>
              <w:bottom w:val="nil"/>
            </w:tcBorders>
            <w:vAlign w:val="top"/>
          </w:tcPr>
          <w:p w14:paraId="7FA60A6D">
            <w:pPr>
              <w:spacing w:line="375" w:lineRule="auto"/>
              <w:rPr>
                <w:rFonts w:ascii="Arial"/>
                <w:color w:val="auto"/>
                <w:sz w:val="21"/>
                <w:highlight w:val="none"/>
              </w:rPr>
            </w:pPr>
          </w:p>
          <w:p w14:paraId="7586517A">
            <w:pPr>
              <w:pStyle w:val="75"/>
              <w:spacing w:before="78" w:line="220" w:lineRule="auto"/>
              <w:ind w:left="113"/>
              <w:rPr>
                <w:color w:val="auto"/>
                <w:highlight w:val="none"/>
              </w:rPr>
            </w:pPr>
            <w:r>
              <w:rPr>
                <w:color w:val="auto"/>
                <w:spacing w:val="2"/>
                <w:highlight w:val="none"/>
              </w:rPr>
              <w:t>技术</w:t>
            </w:r>
          </w:p>
          <w:p w14:paraId="67C74E3A">
            <w:pPr>
              <w:pStyle w:val="75"/>
              <w:spacing w:before="26" w:line="222" w:lineRule="auto"/>
              <w:ind w:left="113"/>
              <w:rPr>
                <w:color w:val="auto"/>
                <w:highlight w:val="none"/>
              </w:rPr>
            </w:pPr>
            <w:r>
              <w:rPr>
                <w:color w:val="auto"/>
                <w:spacing w:val="-6"/>
                <w:highlight w:val="none"/>
              </w:rPr>
              <w:t>职称</w:t>
            </w:r>
          </w:p>
        </w:tc>
        <w:tc>
          <w:tcPr>
            <w:tcW w:w="5401" w:type="dxa"/>
            <w:gridSpan w:val="5"/>
            <w:vAlign w:val="top"/>
          </w:tcPr>
          <w:p w14:paraId="48E5D8C3">
            <w:pPr>
              <w:pStyle w:val="75"/>
              <w:spacing w:before="246" w:line="220" w:lineRule="auto"/>
              <w:ind w:left="1746"/>
              <w:rPr>
                <w:color w:val="auto"/>
                <w:highlight w:val="none"/>
              </w:rPr>
            </w:pPr>
            <w:r>
              <w:rPr>
                <w:color w:val="auto"/>
                <w:spacing w:val="-2"/>
                <w:highlight w:val="none"/>
              </w:rPr>
              <w:t>执业或职业资格证件</w:t>
            </w:r>
          </w:p>
        </w:tc>
        <w:tc>
          <w:tcPr>
            <w:tcW w:w="1074" w:type="dxa"/>
            <w:vMerge w:val="restart"/>
            <w:tcBorders>
              <w:bottom w:val="nil"/>
            </w:tcBorders>
            <w:vAlign w:val="top"/>
          </w:tcPr>
          <w:p w14:paraId="7C3CC5EE">
            <w:pPr>
              <w:spacing w:line="264" w:lineRule="auto"/>
              <w:rPr>
                <w:rFonts w:ascii="Arial"/>
                <w:color w:val="auto"/>
                <w:sz w:val="21"/>
                <w:highlight w:val="none"/>
              </w:rPr>
            </w:pPr>
          </w:p>
          <w:p w14:paraId="6F9ADF99">
            <w:pPr>
              <w:spacing w:line="265" w:lineRule="auto"/>
              <w:rPr>
                <w:rFonts w:ascii="Arial"/>
                <w:color w:val="auto"/>
                <w:sz w:val="21"/>
                <w:highlight w:val="none"/>
              </w:rPr>
            </w:pPr>
          </w:p>
          <w:p w14:paraId="7272A686">
            <w:pPr>
              <w:pStyle w:val="75"/>
              <w:spacing w:before="78" w:line="222" w:lineRule="auto"/>
              <w:ind w:left="426"/>
              <w:rPr>
                <w:color w:val="auto"/>
                <w:highlight w:val="none"/>
              </w:rPr>
            </w:pPr>
            <w:r>
              <w:rPr>
                <w:color w:val="auto"/>
                <w:spacing w:val="-7"/>
                <w:highlight w:val="none"/>
              </w:rPr>
              <w:t>备注</w:t>
            </w:r>
          </w:p>
        </w:tc>
      </w:tr>
      <w:tr w14:paraId="2453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814" w:type="dxa"/>
            <w:vMerge w:val="continue"/>
            <w:tcBorders>
              <w:top w:val="nil"/>
            </w:tcBorders>
            <w:vAlign w:val="top"/>
          </w:tcPr>
          <w:p w14:paraId="49494038">
            <w:pPr>
              <w:rPr>
                <w:rFonts w:ascii="Arial"/>
                <w:color w:val="auto"/>
                <w:sz w:val="21"/>
                <w:highlight w:val="none"/>
              </w:rPr>
            </w:pPr>
          </w:p>
        </w:tc>
        <w:tc>
          <w:tcPr>
            <w:tcW w:w="709" w:type="dxa"/>
            <w:vMerge w:val="continue"/>
            <w:tcBorders>
              <w:top w:val="nil"/>
            </w:tcBorders>
            <w:vAlign w:val="top"/>
          </w:tcPr>
          <w:p w14:paraId="3218C056">
            <w:pPr>
              <w:rPr>
                <w:rFonts w:ascii="Arial"/>
                <w:color w:val="auto"/>
                <w:sz w:val="21"/>
                <w:highlight w:val="none"/>
              </w:rPr>
            </w:pPr>
          </w:p>
        </w:tc>
        <w:tc>
          <w:tcPr>
            <w:tcW w:w="710" w:type="dxa"/>
            <w:vMerge w:val="continue"/>
            <w:tcBorders>
              <w:top w:val="nil"/>
            </w:tcBorders>
            <w:vAlign w:val="top"/>
          </w:tcPr>
          <w:p w14:paraId="1870F8E9">
            <w:pPr>
              <w:rPr>
                <w:rFonts w:ascii="Arial"/>
                <w:color w:val="auto"/>
                <w:sz w:val="21"/>
                <w:highlight w:val="none"/>
              </w:rPr>
            </w:pPr>
          </w:p>
        </w:tc>
        <w:tc>
          <w:tcPr>
            <w:tcW w:w="1135" w:type="dxa"/>
            <w:vAlign w:val="top"/>
          </w:tcPr>
          <w:p w14:paraId="6691842F">
            <w:pPr>
              <w:pStyle w:val="75"/>
              <w:spacing w:before="85" w:line="242" w:lineRule="auto"/>
              <w:ind w:left="111" w:right="107"/>
              <w:rPr>
                <w:color w:val="auto"/>
                <w:highlight w:val="none"/>
              </w:rPr>
            </w:pPr>
            <w:r>
              <w:rPr>
                <w:color w:val="auto"/>
                <w:spacing w:val="-11"/>
                <w:highlight w:val="none"/>
              </w:rPr>
              <w:t>证 书 名</w:t>
            </w:r>
            <w:r>
              <w:rPr>
                <w:color w:val="auto"/>
                <w:spacing w:val="3"/>
                <w:highlight w:val="none"/>
              </w:rPr>
              <w:t xml:space="preserve"> </w:t>
            </w:r>
            <w:r>
              <w:rPr>
                <w:color w:val="auto"/>
                <w:highlight w:val="none"/>
              </w:rPr>
              <w:t>称</w:t>
            </w:r>
          </w:p>
        </w:tc>
        <w:tc>
          <w:tcPr>
            <w:tcW w:w="852" w:type="dxa"/>
            <w:vAlign w:val="top"/>
          </w:tcPr>
          <w:p w14:paraId="021BC261">
            <w:pPr>
              <w:pStyle w:val="75"/>
              <w:spacing w:before="241" w:line="221" w:lineRule="auto"/>
              <w:ind w:left="195"/>
              <w:rPr>
                <w:color w:val="auto"/>
                <w:highlight w:val="none"/>
              </w:rPr>
            </w:pPr>
            <w:r>
              <w:rPr>
                <w:color w:val="auto"/>
                <w:spacing w:val="-7"/>
                <w:highlight w:val="none"/>
              </w:rPr>
              <w:t>级别</w:t>
            </w:r>
          </w:p>
        </w:tc>
        <w:tc>
          <w:tcPr>
            <w:tcW w:w="1082" w:type="dxa"/>
            <w:vAlign w:val="top"/>
          </w:tcPr>
          <w:p w14:paraId="205C5626">
            <w:pPr>
              <w:pStyle w:val="75"/>
              <w:spacing w:before="241" w:line="222" w:lineRule="auto"/>
              <w:ind w:left="427"/>
              <w:rPr>
                <w:color w:val="auto"/>
                <w:highlight w:val="none"/>
              </w:rPr>
            </w:pPr>
            <w:r>
              <w:rPr>
                <w:color w:val="auto"/>
                <w:spacing w:val="-5"/>
                <w:highlight w:val="none"/>
              </w:rPr>
              <w:t>证号</w:t>
            </w:r>
          </w:p>
        </w:tc>
        <w:tc>
          <w:tcPr>
            <w:tcW w:w="1003" w:type="dxa"/>
            <w:vAlign w:val="top"/>
          </w:tcPr>
          <w:p w14:paraId="4CF30D3A">
            <w:pPr>
              <w:pStyle w:val="75"/>
              <w:spacing w:before="241" w:line="221" w:lineRule="auto"/>
              <w:ind w:left="390"/>
              <w:rPr>
                <w:color w:val="auto"/>
                <w:highlight w:val="none"/>
              </w:rPr>
            </w:pPr>
            <w:r>
              <w:rPr>
                <w:color w:val="auto"/>
                <w:spacing w:val="-6"/>
                <w:highlight w:val="none"/>
              </w:rPr>
              <w:t>专业</w:t>
            </w:r>
          </w:p>
        </w:tc>
        <w:tc>
          <w:tcPr>
            <w:tcW w:w="1329" w:type="dxa"/>
            <w:vAlign w:val="top"/>
          </w:tcPr>
          <w:p w14:paraId="1A56742E">
            <w:pPr>
              <w:pStyle w:val="75"/>
              <w:spacing w:before="85" w:line="242" w:lineRule="auto"/>
              <w:ind w:left="568" w:right="180" w:hanging="133"/>
              <w:rPr>
                <w:color w:val="auto"/>
                <w:highlight w:val="none"/>
              </w:rPr>
            </w:pPr>
            <w:r>
              <w:rPr>
                <w:color w:val="auto"/>
                <w:spacing w:val="-5"/>
                <w:highlight w:val="none"/>
              </w:rPr>
              <w:t>工作年</w:t>
            </w:r>
            <w:r>
              <w:rPr>
                <w:color w:val="auto"/>
                <w:spacing w:val="1"/>
                <w:highlight w:val="none"/>
              </w:rPr>
              <w:t xml:space="preserve"> </w:t>
            </w:r>
            <w:r>
              <w:rPr>
                <w:color w:val="auto"/>
                <w:highlight w:val="none"/>
              </w:rPr>
              <w:t>限</w:t>
            </w:r>
          </w:p>
        </w:tc>
        <w:tc>
          <w:tcPr>
            <w:tcW w:w="1074" w:type="dxa"/>
            <w:vMerge w:val="continue"/>
            <w:tcBorders>
              <w:top w:val="nil"/>
            </w:tcBorders>
            <w:vAlign w:val="top"/>
          </w:tcPr>
          <w:p w14:paraId="136061F1">
            <w:pPr>
              <w:rPr>
                <w:rFonts w:ascii="Arial"/>
                <w:color w:val="auto"/>
                <w:sz w:val="21"/>
                <w:highlight w:val="none"/>
              </w:rPr>
            </w:pPr>
          </w:p>
        </w:tc>
      </w:tr>
      <w:tr w14:paraId="1826B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708" w:type="dxa"/>
            <w:gridSpan w:val="9"/>
            <w:vAlign w:val="top"/>
          </w:tcPr>
          <w:p w14:paraId="51E4374C">
            <w:pPr>
              <w:rPr>
                <w:rFonts w:ascii="Arial"/>
                <w:color w:val="auto"/>
                <w:sz w:val="21"/>
                <w:highlight w:val="none"/>
              </w:rPr>
            </w:pPr>
          </w:p>
        </w:tc>
      </w:tr>
      <w:tr w14:paraId="72D1E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708" w:type="dxa"/>
            <w:gridSpan w:val="9"/>
            <w:vAlign w:val="top"/>
          </w:tcPr>
          <w:p w14:paraId="494E8A08">
            <w:pPr>
              <w:pStyle w:val="75"/>
              <w:spacing w:before="110" w:line="220" w:lineRule="auto"/>
              <w:ind w:left="4258"/>
              <w:rPr>
                <w:color w:val="auto"/>
                <w:highlight w:val="none"/>
              </w:rPr>
            </w:pPr>
            <w:r>
              <w:rPr>
                <w:b/>
                <w:bCs/>
                <w:color w:val="auto"/>
                <w:spacing w:val="-4"/>
                <w:highlight w:val="none"/>
              </w:rPr>
              <w:t>专业技术人员</w:t>
            </w:r>
          </w:p>
        </w:tc>
      </w:tr>
      <w:tr w14:paraId="44DCA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14" w:type="dxa"/>
            <w:vAlign w:val="top"/>
          </w:tcPr>
          <w:p w14:paraId="53675454">
            <w:pPr>
              <w:pStyle w:val="75"/>
              <w:spacing w:before="69" w:line="235" w:lineRule="auto"/>
              <w:ind w:left="795" w:right="184" w:hanging="346"/>
              <w:rPr>
                <w:color w:val="auto"/>
                <w:highlight w:val="none"/>
              </w:rPr>
            </w:pPr>
            <w:r>
              <w:rPr>
                <w:color w:val="auto"/>
                <w:spacing w:val="-5"/>
                <w:highlight w:val="none"/>
              </w:rPr>
              <w:t>…专业负责</w:t>
            </w:r>
            <w:r>
              <w:rPr>
                <w:color w:val="auto"/>
                <w:highlight w:val="none"/>
              </w:rPr>
              <w:t xml:space="preserve"> 人</w:t>
            </w:r>
          </w:p>
        </w:tc>
        <w:tc>
          <w:tcPr>
            <w:tcW w:w="709" w:type="dxa"/>
            <w:vAlign w:val="top"/>
          </w:tcPr>
          <w:p w14:paraId="7FFDF1C5">
            <w:pPr>
              <w:rPr>
                <w:rFonts w:ascii="Arial"/>
                <w:color w:val="auto"/>
                <w:sz w:val="21"/>
                <w:highlight w:val="none"/>
              </w:rPr>
            </w:pPr>
          </w:p>
        </w:tc>
        <w:tc>
          <w:tcPr>
            <w:tcW w:w="710" w:type="dxa"/>
            <w:vAlign w:val="top"/>
          </w:tcPr>
          <w:p w14:paraId="231E352E">
            <w:pPr>
              <w:rPr>
                <w:rFonts w:ascii="Arial"/>
                <w:color w:val="auto"/>
                <w:sz w:val="21"/>
                <w:highlight w:val="none"/>
              </w:rPr>
            </w:pPr>
          </w:p>
        </w:tc>
        <w:tc>
          <w:tcPr>
            <w:tcW w:w="1135" w:type="dxa"/>
            <w:vAlign w:val="top"/>
          </w:tcPr>
          <w:p w14:paraId="69694295">
            <w:pPr>
              <w:rPr>
                <w:rFonts w:ascii="Arial"/>
                <w:color w:val="auto"/>
                <w:sz w:val="21"/>
                <w:highlight w:val="none"/>
              </w:rPr>
            </w:pPr>
          </w:p>
        </w:tc>
        <w:tc>
          <w:tcPr>
            <w:tcW w:w="852" w:type="dxa"/>
            <w:vAlign w:val="top"/>
          </w:tcPr>
          <w:p w14:paraId="3DC64F66">
            <w:pPr>
              <w:rPr>
                <w:rFonts w:ascii="Arial"/>
                <w:color w:val="auto"/>
                <w:sz w:val="21"/>
                <w:highlight w:val="none"/>
              </w:rPr>
            </w:pPr>
          </w:p>
        </w:tc>
        <w:tc>
          <w:tcPr>
            <w:tcW w:w="1082" w:type="dxa"/>
            <w:vAlign w:val="top"/>
          </w:tcPr>
          <w:p w14:paraId="0D145EAE">
            <w:pPr>
              <w:rPr>
                <w:rFonts w:ascii="Arial"/>
                <w:color w:val="auto"/>
                <w:sz w:val="21"/>
                <w:highlight w:val="none"/>
              </w:rPr>
            </w:pPr>
          </w:p>
        </w:tc>
        <w:tc>
          <w:tcPr>
            <w:tcW w:w="1003" w:type="dxa"/>
            <w:vAlign w:val="top"/>
          </w:tcPr>
          <w:p w14:paraId="60EF3463">
            <w:pPr>
              <w:rPr>
                <w:rFonts w:ascii="Arial"/>
                <w:color w:val="auto"/>
                <w:sz w:val="21"/>
                <w:highlight w:val="none"/>
              </w:rPr>
            </w:pPr>
          </w:p>
        </w:tc>
        <w:tc>
          <w:tcPr>
            <w:tcW w:w="1329" w:type="dxa"/>
            <w:vAlign w:val="top"/>
          </w:tcPr>
          <w:p w14:paraId="61893D07">
            <w:pPr>
              <w:rPr>
                <w:rFonts w:ascii="Arial"/>
                <w:color w:val="auto"/>
                <w:sz w:val="21"/>
                <w:highlight w:val="none"/>
              </w:rPr>
            </w:pPr>
          </w:p>
        </w:tc>
        <w:tc>
          <w:tcPr>
            <w:tcW w:w="1074" w:type="dxa"/>
            <w:vAlign w:val="top"/>
          </w:tcPr>
          <w:p w14:paraId="5E24640B">
            <w:pPr>
              <w:rPr>
                <w:rFonts w:ascii="Arial"/>
                <w:color w:val="auto"/>
                <w:sz w:val="21"/>
                <w:highlight w:val="none"/>
              </w:rPr>
            </w:pPr>
          </w:p>
        </w:tc>
      </w:tr>
      <w:tr w14:paraId="5EBC3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814" w:type="dxa"/>
            <w:vAlign w:val="top"/>
          </w:tcPr>
          <w:p w14:paraId="39841E61">
            <w:pPr>
              <w:pStyle w:val="75"/>
              <w:spacing w:before="83" w:line="237" w:lineRule="auto"/>
              <w:ind w:left="795" w:right="184" w:hanging="346"/>
              <w:rPr>
                <w:color w:val="auto"/>
                <w:highlight w:val="none"/>
              </w:rPr>
            </w:pPr>
            <w:r>
              <w:rPr>
                <w:color w:val="auto"/>
                <w:spacing w:val="-5"/>
                <w:highlight w:val="none"/>
              </w:rPr>
              <w:t>…专业负责</w:t>
            </w:r>
            <w:r>
              <w:rPr>
                <w:color w:val="auto"/>
                <w:highlight w:val="none"/>
              </w:rPr>
              <w:t xml:space="preserve"> 人</w:t>
            </w:r>
          </w:p>
        </w:tc>
        <w:tc>
          <w:tcPr>
            <w:tcW w:w="709" w:type="dxa"/>
            <w:vAlign w:val="top"/>
          </w:tcPr>
          <w:p w14:paraId="223FDCBD">
            <w:pPr>
              <w:rPr>
                <w:rFonts w:ascii="Arial"/>
                <w:color w:val="auto"/>
                <w:sz w:val="21"/>
                <w:highlight w:val="none"/>
              </w:rPr>
            </w:pPr>
          </w:p>
        </w:tc>
        <w:tc>
          <w:tcPr>
            <w:tcW w:w="710" w:type="dxa"/>
            <w:vAlign w:val="top"/>
          </w:tcPr>
          <w:p w14:paraId="4FFB6680">
            <w:pPr>
              <w:rPr>
                <w:rFonts w:ascii="Arial"/>
                <w:color w:val="auto"/>
                <w:sz w:val="21"/>
                <w:highlight w:val="none"/>
              </w:rPr>
            </w:pPr>
          </w:p>
        </w:tc>
        <w:tc>
          <w:tcPr>
            <w:tcW w:w="1135" w:type="dxa"/>
            <w:vAlign w:val="top"/>
          </w:tcPr>
          <w:p w14:paraId="2E54AD16">
            <w:pPr>
              <w:rPr>
                <w:rFonts w:ascii="Arial"/>
                <w:color w:val="auto"/>
                <w:sz w:val="21"/>
                <w:highlight w:val="none"/>
              </w:rPr>
            </w:pPr>
          </w:p>
        </w:tc>
        <w:tc>
          <w:tcPr>
            <w:tcW w:w="852" w:type="dxa"/>
            <w:vAlign w:val="top"/>
          </w:tcPr>
          <w:p w14:paraId="5284B618">
            <w:pPr>
              <w:rPr>
                <w:rFonts w:ascii="Arial"/>
                <w:color w:val="auto"/>
                <w:sz w:val="21"/>
                <w:highlight w:val="none"/>
              </w:rPr>
            </w:pPr>
          </w:p>
        </w:tc>
        <w:tc>
          <w:tcPr>
            <w:tcW w:w="1082" w:type="dxa"/>
            <w:vAlign w:val="top"/>
          </w:tcPr>
          <w:p w14:paraId="2F090D0C">
            <w:pPr>
              <w:rPr>
                <w:rFonts w:ascii="Arial"/>
                <w:color w:val="auto"/>
                <w:sz w:val="21"/>
                <w:highlight w:val="none"/>
              </w:rPr>
            </w:pPr>
          </w:p>
        </w:tc>
        <w:tc>
          <w:tcPr>
            <w:tcW w:w="1003" w:type="dxa"/>
            <w:vAlign w:val="top"/>
          </w:tcPr>
          <w:p w14:paraId="6D86238F">
            <w:pPr>
              <w:rPr>
                <w:rFonts w:ascii="Arial"/>
                <w:color w:val="auto"/>
                <w:sz w:val="21"/>
                <w:highlight w:val="none"/>
              </w:rPr>
            </w:pPr>
          </w:p>
        </w:tc>
        <w:tc>
          <w:tcPr>
            <w:tcW w:w="1329" w:type="dxa"/>
            <w:vAlign w:val="top"/>
          </w:tcPr>
          <w:p w14:paraId="15FD9CB2">
            <w:pPr>
              <w:rPr>
                <w:rFonts w:ascii="Arial"/>
                <w:color w:val="auto"/>
                <w:sz w:val="21"/>
                <w:highlight w:val="none"/>
              </w:rPr>
            </w:pPr>
          </w:p>
        </w:tc>
        <w:tc>
          <w:tcPr>
            <w:tcW w:w="1074" w:type="dxa"/>
            <w:vAlign w:val="top"/>
          </w:tcPr>
          <w:p w14:paraId="45730B8A">
            <w:pPr>
              <w:rPr>
                <w:rFonts w:ascii="Arial"/>
                <w:color w:val="auto"/>
                <w:sz w:val="21"/>
                <w:highlight w:val="none"/>
              </w:rPr>
            </w:pPr>
          </w:p>
        </w:tc>
      </w:tr>
      <w:tr w14:paraId="26325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194C0233">
            <w:pPr>
              <w:pStyle w:val="75"/>
              <w:spacing w:before="114" w:line="336" w:lineRule="exact"/>
              <w:ind w:left="929"/>
              <w:rPr>
                <w:color w:val="auto"/>
                <w:highlight w:val="none"/>
              </w:rPr>
            </w:pPr>
            <w:r>
              <w:rPr>
                <w:color w:val="auto"/>
                <w:position w:val="1"/>
                <w:highlight w:val="none"/>
              </w:rPr>
              <w:t>…</w:t>
            </w:r>
          </w:p>
        </w:tc>
        <w:tc>
          <w:tcPr>
            <w:tcW w:w="709" w:type="dxa"/>
            <w:vAlign w:val="top"/>
          </w:tcPr>
          <w:p w14:paraId="3D4ABD08">
            <w:pPr>
              <w:rPr>
                <w:rFonts w:ascii="Arial"/>
                <w:color w:val="auto"/>
                <w:sz w:val="21"/>
                <w:highlight w:val="none"/>
              </w:rPr>
            </w:pPr>
          </w:p>
        </w:tc>
        <w:tc>
          <w:tcPr>
            <w:tcW w:w="710" w:type="dxa"/>
            <w:vAlign w:val="top"/>
          </w:tcPr>
          <w:p w14:paraId="4995B4F0">
            <w:pPr>
              <w:rPr>
                <w:rFonts w:ascii="Arial"/>
                <w:color w:val="auto"/>
                <w:sz w:val="21"/>
                <w:highlight w:val="none"/>
              </w:rPr>
            </w:pPr>
          </w:p>
        </w:tc>
        <w:tc>
          <w:tcPr>
            <w:tcW w:w="1135" w:type="dxa"/>
            <w:vAlign w:val="top"/>
          </w:tcPr>
          <w:p w14:paraId="7F276B0B">
            <w:pPr>
              <w:rPr>
                <w:rFonts w:ascii="Arial"/>
                <w:color w:val="auto"/>
                <w:sz w:val="21"/>
                <w:highlight w:val="none"/>
              </w:rPr>
            </w:pPr>
          </w:p>
        </w:tc>
        <w:tc>
          <w:tcPr>
            <w:tcW w:w="852" w:type="dxa"/>
            <w:vAlign w:val="top"/>
          </w:tcPr>
          <w:p w14:paraId="60E7F683">
            <w:pPr>
              <w:rPr>
                <w:rFonts w:ascii="Arial"/>
                <w:color w:val="auto"/>
                <w:sz w:val="21"/>
                <w:highlight w:val="none"/>
              </w:rPr>
            </w:pPr>
          </w:p>
        </w:tc>
        <w:tc>
          <w:tcPr>
            <w:tcW w:w="1082" w:type="dxa"/>
            <w:vAlign w:val="top"/>
          </w:tcPr>
          <w:p w14:paraId="1D7270C0">
            <w:pPr>
              <w:rPr>
                <w:rFonts w:ascii="Arial"/>
                <w:color w:val="auto"/>
                <w:sz w:val="21"/>
                <w:highlight w:val="none"/>
              </w:rPr>
            </w:pPr>
          </w:p>
        </w:tc>
        <w:tc>
          <w:tcPr>
            <w:tcW w:w="1003" w:type="dxa"/>
            <w:vAlign w:val="top"/>
          </w:tcPr>
          <w:p w14:paraId="4897C948">
            <w:pPr>
              <w:rPr>
                <w:rFonts w:ascii="Arial"/>
                <w:color w:val="auto"/>
                <w:sz w:val="21"/>
                <w:highlight w:val="none"/>
              </w:rPr>
            </w:pPr>
          </w:p>
        </w:tc>
        <w:tc>
          <w:tcPr>
            <w:tcW w:w="1329" w:type="dxa"/>
            <w:vAlign w:val="top"/>
          </w:tcPr>
          <w:p w14:paraId="34402940">
            <w:pPr>
              <w:rPr>
                <w:rFonts w:ascii="Arial"/>
                <w:color w:val="auto"/>
                <w:sz w:val="21"/>
                <w:highlight w:val="none"/>
              </w:rPr>
            </w:pPr>
          </w:p>
        </w:tc>
        <w:tc>
          <w:tcPr>
            <w:tcW w:w="1074" w:type="dxa"/>
            <w:vAlign w:val="top"/>
          </w:tcPr>
          <w:p w14:paraId="481439EE">
            <w:pPr>
              <w:rPr>
                <w:rFonts w:ascii="Arial"/>
                <w:color w:val="auto"/>
                <w:sz w:val="21"/>
                <w:highlight w:val="none"/>
              </w:rPr>
            </w:pPr>
          </w:p>
        </w:tc>
      </w:tr>
      <w:tr w14:paraId="5E17B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1FB80D87">
            <w:pPr>
              <w:rPr>
                <w:rFonts w:ascii="Arial"/>
                <w:color w:val="auto"/>
                <w:sz w:val="21"/>
                <w:highlight w:val="none"/>
              </w:rPr>
            </w:pPr>
          </w:p>
        </w:tc>
        <w:tc>
          <w:tcPr>
            <w:tcW w:w="709" w:type="dxa"/>
            <w:vAlign w:val="top"/>
          </w:tcPr>
          <w:p w14:paraId="47702CF8">
            <w:pPr>
              <w:rPr>
                <w:rFonts w:ascii="Arial"/>
                <w:color w:val="auto"/>
                <w:sz w:val="21"/>
                <w:highlight w:val="none"/>
              </w:rPr>
            </w:pPr>
          </w:p>
        </w:tc>
        <w:tc>
          <w:tcPr>
            <w:tcW w:w="710" w:type="dxa"/>
            <w:vAlign w:val="top"/>
          </w:tcPr>
          <w:p w14:paraId="194FC4E4">
            <w:pPr>
              <w:rPr>
                <w:rFonts w:ascii="Arial"/>
                <w:color w:val="auto"/>
                <w:sz w:val="21"/>
                <w:highlight w:val="none"/>
              </w:rPr>
            </w:pPr>
          </w:p>
        </w:tc>
        <w:tc>
          <w:tcPr>
            <w:tcW w:w="1135" w:type="dxa"/>
            <w:vAlign w:val="top"/>
          </w:tcPr>
          <w:p w14:paraId="020833E6">
            <w:pPr>
              <w:rPr>
                <w:rFonts w:ascii="Arial"/>
                <w:color w:val="auto"/>
                <w:sz w:val="21"/>
                <w:highlight w:val="none"/>
              </w:rPr>
            </w:pPr>
          </w:p>
        </w:tc>
        <w:tc>
          <w:tcPr>
            <w:tcW w:w="852" w:type="dxa"/>
            <w:vAlign w:val="top"/>
          </w:tcPr>
          <w:p w14:paraId="2FAAB1C3">
            <w:pPr>
              <w:rPr>
                <w:rFonts w:ascii="Arial"/>
                <w:color w:val="auto"/>
                <w:sz w:val="21"/>
                <w:highlight w:val="none"/>
              </w:rPr>
            </w:pPr>
          </w:p>
        </w:tc>
        <w:tc>
          <w:tcPr>
            <w:tcW w:w="1082" w:type="dxa"/>
            <w:vAlign w:val="top"/>
          </w:tcPr>
          <w:p w14:paraId="5E78EB7B">
            <w:pPr>
              <w:rPr>
                <w:rFonts w:ascii="Arial"/>
                <w:color w:val="auto"/>
                <w:sz w:val="21"/>
                <w:highlight w:val="none"/>
              </w:rPr>
            </w:pPr>
          </w:p>
        </w:tc>
        <w:tc>
          <w:tcPr>
            <w:tcW w:w="1003" w:type="dxa"/>
            <w:vAlign w:val="top"/>
          </w:tcPr>
          <w:p w14:paraId="70F4AE06">
            <w:pPr>
              <w:rPr>
                <w:rFonts w:ascii="Arial"/>
                <w:color w:val="auto"/>
                <w:sz w:val="21"/>
                <w:highlight w:val="none"/>
              </w:rPr>
            </w:pPr>
          </w:p>
        </w:tc>
        <w:tc>
          <w:tcPr>
            <w:tcW w:w="1329" w:type="dxa"/>
            <w:vAlign w:val="top"/>
          </w:tcPr>
          <w:p w14:paraId="51320105">
            <w:pPr>
              <w:rPr>
                <w:rFonts w:ascii="Arial"/>
                <w:color w:val="auto"/>
                <w:sz w:val="21"/>
                <w:highlight w:val="none"/>
              </w:rPr>
            </w:pPr>
          </w:p>
        </w:tc>
        <w:tc>
          <w:tcPr>
            <w:tcW w:w="1074" w:type="dxa"/>
            <w:vAlign w:val="top"/>
          </w:tcPr>
          <w:p w14:paraId="37F92B6B">
            <w:pPr>
              <w:rPr>
                <w:rFonts w:ascii="Arial"/>
                <w:color w:val="auto"/>
                <w:sz w:val="21"/>
                <w:highlight w:val="none"/>
              </w:rPr>
            </w:pPr>
          </w:p>
        </w:tc>
      </w:tr>
      <w:tr w14:paraId="52459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06E0852A">
            <w:pPr>
              <w:pStyle w:val="75"/>
              <w:spacing w:before="113" w:line="220" w:lineRule="auto"/>
              <w:ind w:left="555"/>
              <w:rPr>
                <w:color w:val="auto"/>
                <w:highlight w:val="none"/>
              </w:rPr>
            </w:pPr>
            <w:r>
              <w:rPr>
                <w:color w:val="auto"/>
                <w:spacing w:val="-3"/>
                <w:highlight w:val="none"/>
              </w:rPr>
              <w:t>技术人员</w:t>
            </w:r>
          </w:p>
        </w:tc>
        <w:tc>
          <w:tcPr>
            <w:tcW w:w="709" w:type="dxa"/>
            <w:vAlign w:val="top"/>
          </w:tcPr>
          <w:p w14:paraId="6FE863B0">
            <w:pPr>
              <w:rPr>
                <w:rFonts w:ascii="Arial"/>
                <w:color w:val="auto"/>
                <w:sz w:val="21"/>
                <w:highlight w:val="none"/>
              </w:rPr>
            </w:pPr>
          </w:p>
        </w:tc>
        <w:tc>
          <w:tcPr>
            <w:tcW w:w="710" w:type="dxa"/>
            <w:vAlign w:val="top"/>
          </w:tcPr>
          <w:p w14:paraId="5E0F0C49">
            <w:pPr>
              <w:rPr>
                <w:rFonts w:ascii="Arial"/>
                <w:color w:val="auto"/>
                <w:sz w:val="21"/>
                <w:highlight w:val="none"/>
              </w:rPr>
            </w:pPr>
          </w:p>
        </w:tc>
        <w:tc>
          <w:tcPr>
            <w:tcW w:w="1135" w:type="dxa"/>
            <w:vAlign w:val="top"/>
          </w:tcPr>
          <w:p w14:paraId="02F9F648">
            <w:pPr>
              <w:rPr>
                <w:rFonts w:ascii="Arial"/>
                <w:color w:val="auto"/>
                <w:sz w:val="21"/>
                <w:highlight w:val="none"/>
              </w:rPr>
            </w:pPr>
          </w:p>
        </w:tc>
        <w:tc>
          <w:tcPr>
            <w:tcW w:w="852" w:type="dxa"/>
            <w:vAlign w:val="top"/>
          </w:tcPr>
          <w:p w14:paraId="74B48F3D">
            <w:pPr>
              <w:rPr>
                <w:rFonts w:ascii="Arial"/>
                <w:color w:val="auto"/>
                <w:sz w:val="21"/>
                <w:highlight w:val="none"/>
              </w:rPr>
            </w:pPr>
          </w:p>
        </w:tc>
        <w:tc>
          <w:tcPr>
            <w:tcW w:w="1082" w:type="dxa"/>
            <w:vAlign w:val="top"/>
          </w:tcPr>
          <w:p w14:paraId="2BFA0A90">
            <w:pPr>
              <w:rPr>
                <w:rFonts w:ascii="Arial"/>
                <w:color w:val="auto"/>
                <w:sz w:val="21"/>
                <w:highlight w:val="none"/>
              </w:rPr>
            </w:pPr>
          </w:p>
        </w:tc>
        <w:tc>
          <w:tcPr>
            <w:tcW w:w="1003" w:type="dxa"/>
            <w:vAlign w:val="top"/>
          </w:tcPr>
          <w:p w14:paraId="7D8432BC">
            <w:pPr>
              <w:rPr>
                <w:rFonts w:ascii="Arial"/>
                <w:color w:val="auto"/>
                <w:sz w:val="21"/>
                <w:highlight w:val="none"/>
              </w:rPr>
            </w:pPr>
          </w:p>
        </w:tc>
        <w:tc>
          <w:tcPr>
            <w:tcW w:w="1329" w:type="dxa"/>
            <w:vAlign w:val="top"/>
          </w:tcPr>
          <w:p w14:paraId="38E7FE84">
            <w:pPr>
              <w:rPr>
                <w:rFonts w:ascii="Arial"/>
                <w:color w:val="auto"/>
                <w:sz w:val="21"/>
                <w:highlight w:val="none"/>
              </w:rPr>
            </w:pPr>
          </w:p>
        </w:tc>
        <w:tc>
          <w:tcPr>
            <w:tcW w:w="1074" w:type="dxa"/>
            <w:vAlign w:val="top"/>
          </w:tcPr>
          <w:p w14:paraId="6439AD9F">
            <w:pPr>
              <w:rPr>
                <w:rFonts w:ascii="Arial"/>
                <w:color w:val="auto"/>
                <w:sz w:val="21"/>
                <w:highlight w:val="none"/>
              </w:rPr>
            </w:pPr>
          </w:p>
        </w:tc>
      </w:tr>
      <w:tr w14:paraId="653B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20251042">
            <w:pPr>
              <w:rPr>
                <w:rFonts w:ascii="Arial"/>
                <w:color w:val="auto"/>
                <w:sz w:val="21"/>
                <w:highlight w:val="none"/>
              </w:rPr>
            </w:pPr>
          </w:p>
        </w:tc>
        <w:tc>
          <w:tcPr>
            <w:tcW w:w="709" w:type="dxa"/>
            <w:vAlign w:val="top"/>
          </w:tcPr>
          <w:p w14:paraId="0681235F">
            <w:pPr>
              <w:rPr>
                <w:rFonts w:ascii="Arial"/>
                <w:color w:val="auto"/>
                <w:sz w:val="21"/>
                <w:highlight w:val="none"/>
              </w:rPr>
            </w:pPr>
          </w:p>
        </w:tc>
        <w:tc>
          <w:tcPr>
            <w:tcW w:w="710" w:type="dxa"/>
            <w:vAlign w:val="top"/>
          </w:tcPr>
          <w:p w14:paraId="57D3FE40">
            <w:pPr>
              <w:rPr>
                <w:rFonts w:ascii="Arial"/>
                <w:color w:val="auto"/>
                <w:sz w:val="21"/>
                <w:highlight w:val="none"/>
              </w:rPr>
            </w:pPr>
          </w:p>
        </w:tc>
        <w:tc>
          <w:tcPr>
            <w:tcW w:w="1135" w:type="dxa"/>
            <w:vAlign w:val="top"/>
          </w:tcPr>
          <w:p w14:paraId="5330E02F">
            <w:pPr>
              <w:rPr>
                <w:rFonts w:ascii="Arial"/>
                <w:color w:val="auto"/>
                <w:sz w:val="21"/>
                <w:highlight w:val="none"/>
              </w:rPr>
            </w:pPr>
          </w:p>
        </w:tc>
        <w:tc>
          <w:tcPr>
            <w:tcW w:w="852" w:type="dxa"/>
            <w:vAlign w:val="top"/>
          </w:tcPr>
          <w:p w14:paraId="4D1A6D9F">
            <w:pPr>
              <w:rPr>
                <w:rFonts w:ascii="Arial"/>
                <w:color w:val="auto"/>
                <w:sz w:val="21"/>
                <w:highlight w:val="none"/>
              </w:rPr>
            </w:pPr>
          </w:p>
        </w:tc>
        <w:tc>
          <w:tcPr>
            <w:tcW w:w="1082" w:type="dxa"/>
            <w:vAlign w:val="top"/>
          </w:tcPr>
          <w:p w14:paraId="08D728B9">
            <w:pPr>
              <w:rPr>
                <w:rFonts w:ascii="Arial"/>
                <w:color w:val="auto"/>
                <w:sz w:val="21"/>
                <w:highlight w:val="none"/>
              </w:rPr>
            </w:pPr>
          </w:p>
        </w:tc>
        <w:tc>
          <w:tcPr>
            <w:tcW w:w="1003" w:type="dxa"/>
            <w:vAlign w:val="top"/>
          </w:tcPr>
          <w:p w14:paraId="101A569E">
            <w:pPr>
              <w:rPr>
                <w:rFonts w:ascii="Arial"/>
                <w:color w:val="auto"/>
                <w:sz w:val="21"/>
                <w:highlight w:val="none"/>
              </w:rPr>
            </w:pPr>
          </w:p>
        </w:tc>
        <w:tc>
          <w:tcPr>
            <w:tcW w:w="1329" w:type="dxa"/>
            <w:vAlign w:val="top"/>
          </w:tcPr>
          <w:p w14:paraId="459BFB00">
            <w:pPr>
              <w:rPr>
                <w:rFonts w:ascii="Arial"/>
                <w:color w:val="auto"/>
                <w:sz w:val="21"/>
                <w:highlight w:val="none"/>
              </w:rPr>
            </w:pPr>
          </w:p>
        </w:tc>
        <w:tc>
          <w:tcPr>
            <w:tcW w:w="1074" w:type="dxa"/>
            <w:vAlign w:val="top"/>
          </w:tcPr>
          <w:p w14:paraId="2C4FC5DC">
            <w:pPr>
              <w:rPr>
                <w:rFonts w:ascii="Arial"/>
                <w:color w:val="auto"/>
                <w:sz w:val="21"/>
                <w:highlight w:val="none"/>
              </w:rPr>
            </w:pPr>
          </w:p>
        </w:tc>
      </w:tr>
      <w:tr w14:paraId="6D2D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469E1410">
            <w:pPr>
              <w:rPr>
                <w:rFonts w:ascii="Arial"/>
                <w:color w:val="auto"/>
                <w:sz w:val="21"/>
                <w:highlight w:val="none"/>
              </w:rPr>
            </w:pPr>
          </w:p>
        </w:tc>
        <w:tc>
          <w:tcPr>
            <w:tcW w:w="709" w:type="dxa"/>
            <w:vAlign w:val="top"/>
          </w:tcPr>
          <w:p w14:paraId="3F0E41A3">
            <w:pPr>
              <w:rPr>
                <w:rFonts w:ascii="Arial"/>
                <w:color w:val="auto"/>
                <w:sz w:val="21"/>
                <w:highlight w:val="none"/>
              </w:rPr>
            </w:pPr>
          </w:p>
        </w:tc>
        <w:tc>
          <w:tcPr>
            <w:tcW w:w="710" w:type="dxa"/>
            <w:vAlign w:val="top"/>
          </w:tcPr>
          <w:p w14:paraId="70788112">
            <w:pPr>
              <w:rPr>
                <w:rFonts w:ascii="Arial"/>
                <w:color w:val="auto"/>
                <w:sz w:val="21"/>
                <w:highlight w:val="none"/>
              </w:rPr>
            </w:pPr>
          </w:p>
        </w:tc>
        <w:tc>
          <w:tcPr>
            <w:tcW w:w="1135" w:type="dxa"/>
            <w:vAlign w:val="top"/>
          </w:tcPr>
          <w:p w14:paraId="6C99DAE4">
            <w:pPr>
              <w:rPr>
                <w:rFonts w:ascii="Arial"/>
                <w:color w:val="auto"/>
                <w:sz w:val="21"/>
                <w:highlight w:val="none"/>
              </w:rPr>
            </w:pPr>
          </w:p>
        </w:tc>
        <w:tc>
          <w:tcPr>
            <w:tcW w:w="852" w:type="dxa"/>
            <w:vAlign w:val="top"/>
          </w:tcPr>
          <w:p w14:paraId="1C78E9B7">
            <w:pPr>
              <w:rPr>
                <w:rFonts w:ascii="Arial"/>
                <w:color w:val="auto"/>
                <w:sz w:val="21"/>
                <w:highlight w:val="none"/>
              </w:rPr>
            </w:pPr>
          </w:p>
        </w:tc>
        <w:tc>
          <w:tcPr>
            <w:tcW w:w="1082" w:type="dxa"/>
            <w:vAlign w:val="top"/>
          </w:tcPr>
          <w:p w14:paraId="497FA58F">
            <w:pPr>
              <w:rPr>
                <w:rFonts w:ascii="Arial"/>
                <w:color w:val="auto"/>
                <w:sz w:val="21"/>
                <w:highlight w:val="none"/>
              </w:rPr>
            </w:pPr>
          </w:p>
        </w:tc>
        <w:tc>
          <w:tcPr>
            <w:tcW w:w="1003" w:type="dxa"/>
            <w:vAlign w:val="top"/>
          </w:tcPr>
          <w:p w14:paraId="367DFF6C">
            <w:pPr>
              <w:rPr>
                <w:rFonts w:ascii="Arial"/>
                <w:color w:val="auto"/>
                <w:sz w:val="21"/>
                <w:highlight w:val="none"/>
              </w:rPr>
            </w:pPr>
          </w:p>
        </w:tc>
        <w:tc>
          <w:tcPr>
            <w:tcW w:w="1329" w:type="dxa"/>
            <w:vAlign w:val="top"/>
          </w:tcPr>
          <w:p w14:paraId="3DB698B6">
            <w:pPr>
              <w:rPr>
                <w:rFonts w:ascii="Arial"/>
                <w:color w:val="auto"/>
                <w:sz w:val="21"/>
                <w:highlight w:val="none"/>
              </w:rPr>
            </w:pPr>
          </w:p>
        </w:tc>
        <w:tc>
          <w:tcPr>
            <w:tcW w:w="1074" w:type="dxa"/>
            <w:vAlign w:val="top"/>
          </w:tcPr>
          <w:p w14:paraId="7FE66D52">
            <w:pPr>
              <w:rPr>
                <w:rFonts w:ascii="Arial"/>
                <w:color w:val="auto"/>
                <w:sz w:val="21"/>
                <w:highlight w:val="none"/>
              </w:rPr>
            </w:pPr>
          </w:p>
        </w:tc>
      </w:tr>
      <w:tr w14:paraId="5C5B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32C188CC">
            <w:pPr>
              <w:rPr>
                <w:rFonts w:ascii="Arial"/>
                <w:color w:val="auto"/>
                <w:sz w:val="21"/>
                <w:highlight w:val="none"/>
              </w:rPr>
            </w:pPr>
          </w:p>
        </w:tc>
        <w:tc>
          <w:tcPr>
            <w:tcW w:w="709" w:type="dxa"/>
            <w:vAlign w:val="top"/>
          </w:tcPr>
          <w:p w14:paraId="1B0427F3">
            <w:pPr>
              <w:rPr>
                <w:rFonts w:ascii="Arial"/>
                <w:color w:val="auto"/>
                <w:sz w:val="21"/>
                <w:highlight w:val="none"/>
              </w:rPr>
            </w:pPr>
          </w:p>
        </w:tc>
        <w:tc>
          <w:tcPr>
            <w:tcW w:w="710" w:type="dxa"/>
            <w:vAlign w:val="top"/>
          </w:tcPr>
          <w:p w14:paraId="1CECD4A6">
            <w:pPr>
              <w:rPr>
                <w:rFonts w:ascii="Arial"/>
                <w:color w:val="auto"/>
                <w:sz w:val="21"/>
                <w:highlight w:val="none"/>
              </w:rPr>
            </w:pPr>
          </w:p>
        </w:tc>
        <w:tc>
          <w:tcPr>
            <w:tcW w:w="1135" w:type="dxa"/>
            <w:vAlign w:val="top"/>
          </w:tcPr>
          <w:p w14:paraId="0C267941">
            <w:pPr>
              <w:rPr>
                <w:rFonts w:ascii="Arial"/>
                <w:color w:val="auto"/>
                <w:sz w:val="21"/>
                <w:highlight w:val="none"/>
              </w:rPr>
            </w:pPr>
          </w:p>
        </w:tc>
        <w:tc>
          <w:tcPr>
            <w:tcW w:w="852" w:type="dxa"/>
            <w:vAlign w:val="top"/>
          </w:tcPr>
          <w:p w14:paraId="4DB766BE">
            <w:pPr>
              <w:rPr>
                <w:rFonts w:ascii="Arial"/>
                <w:color w:val="auto"/>
                <w:sz w:val="21"/>
                <w:highlight w:val="none"/>
              </w:rPr>
            </w:pPr>
          </w:p>
        </w:tc>
        <w:tc>
          <w:tcPr>
            <w:tcW w:w="1082" w:type="dxa"/>
            <w:vAlign w:val="top"/>
          </w:tcPr>
          <w:p w14:paraId="0CA36989">
            <w:pPr>
              <w:rPr>
                <w:rFonts w:ascii="Arial"/>
                <w:color w:val="auto"/>
                <w:sz w:val="21"/>
                <w:highlight w:val="none"/>
              </w:rPr>
            </w:pPr>
          </w:p>
        </w:tc>
        <w:tc>
          <w:tcPr>
            <w:tcW w:w="1003" w:type="dxa"/>
            <w:vAlign w:val="top"/>
          </w:tcPr>
          <w:p w14:paraId="1E939BC9">
            <w:pPr>
              <w:rPr>
                <w:rFonts w:ascii="Arial"/>
                <w:color w:val="auto"/>
                <w:sz w:val="21"/>
                <w:highlight w:val="none"/>
              </w:rPr>
            </w:pPr>
          </w:p>
        </w:tc>
        <w:tc>
          <w:tcPr>
            <w:tcW w:w="1329" w:type="dxa"/>
            <w:vAlign w:val="top"/>
          </w:tcPr>
          <w:p w14:paraId="492CA6B4">
            <w:pPr>
              <w:rPr>
                <w:rFonts w:ascii="Arial"/>
                <w:color w:val="auto"/>
                <w:sz w:val="21"/>
                <w:highlight w:val="none"/>
              </w:rPr>
            </w:pPr>
          </w:p>
        </w:tc>
        <w:tc>
          <w:tcPr>
            <w:tcW w:w="1074" w:type="dxa"/>
            <w:vAlign w:val="top"/>
          </w:tcPr>
          <w:p w14:paraId="0872027B">
            <w:pPr>
              <w:rPr>
                <w:rFonts w:ascii="Arial"/>
                <w:color w:val="auto"/>
                <w:sz w:val="21"/>
                <w:highlight w:val="none"/>
              </w:rPr>
            </w:pPr>
          </w:p>
        </w:tc>
      </w:tr>
      <w:tr w14:paraId="39B86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14" w:type="dxa"/>
            <w:vAlign w:val="top"/>
          </w:tcPr>
          <w:p w14:paraId="1BC549BB">
            <w:pPr>
              <w:pStyle w:val="75"/>
              <w:spacing w:before="114" w:line="336" w:lineRule="exact"/>
              <w:ind w:left="929"/>
              <w:rPr>
                <w:color w:val="auto"/>
                <w:highlight w:val="none"/>
              </w:rPr>
            </w:pPr>
            <w:r>
              <w:rPr>
                <w:color w:val="auto"/>
                <w:position w:val="1"/>
                <w:highlight w:val="none"/>
              </w:rPr>
              <w:t>…</w:t>
            </w:r>
          </w:p>
        </w:tc>
        <w:tc>
          <w:tcPr>
            <w:tcW w:w="709" w:type="dxa"/>
            <w:vAlign w:val="top"/>
          </w:tcPr>
          <w:p w14:paraId="47510ED7">
            <w:pPr>
              <w:rPr>
                <w:rFonts w:ascii="Arial"/>
                <w:color w:val="auto"/>
                <w:sz w:val="21"/>
                <w:highlight w:val="none"/>
              </w:rPr>
            </w:pPr>
          </w:p>
        </w:tc>
        <w:tc>
          <w:tcPr>
            <w:tcW w:w="710" w:type="dxa"/>
            <w:vAlign w:val="top"/>
          </w:tcPr>
          <w:p w14:paraId="7EE0AD43">
            <w:pPr>
              <w:rPr>
                <w:rFonts w:ascii="Arial"/>
                <w:color w:val="auto"/>
                <w:sz w:val="21"/>
                <w:highlight w:val="none"/>
              </w:rPr>
            </w:pPr>
          </w:p>
        </w:tc>
        <w:tc>
          <w:tcPr>
            <w:tcW w:w="1135" w:type="dxa"/>
            <w:vAlign w:val="top"/>
          </w:tcPr>
          <w:p w14:paraId="56B2B8B8">
            <w:pPr>
              <w:rPr>
                <w:rFonts w:ascii="Arial"/>
                <w:color w:val="auto"/>
                <w:sz w:val="21"/>
                <w:highlight w:val="none"/>
              </w:rPr>
            </w:pPr>
          </w:p>
        </w:tc>
        <w:tc>
          <w:tcPr>
            <w:tcW w:w="852" w:type="dxa"/>
            <w:vAlign w:val="top"/>
          </w:tcPr>
          <w:p w14:paraId="1C9D7EE5">
            <w:pPr>
              <w:rPr>
                <w:rFonts w:ascii="Arial"/>
                <w:color w:val="auto"/>
                <w:sz w:val="21"/>
                <w:highlight w:val="none"/>
              </w:rPr>
            </w:pPr>
          </w:p>
        </w:tc>
        <w:tc>
          <w:tcPr>
            <w:tcW w:w="1082" w:type="dxa"/>
            <w:vAlign w:val="top"/>
          </w:tcPr>
          <w:p w14:paraId="2D15FC78">
            <w:pPr>
              <w:rPr>
                <w:rFonts w:ascii="Arial"/>
                <w:color w:val="auto"/>
                <w:sz w:val="21"/>
                <w:highlight w:val="none"/>
              </w:rPr>
            </w:pPr>
          </w:p>
        </w:tc>
        <w:tc>
          <w:tcPr>
            <w:tcW w:w="1003" w:type="dxa"/>
            <w:vAlign w:val="top"/>
          </w:tcPr>
          <w:p w14:paraId="0A1F8BD0">
            <w:pPr>
              <w:rPr>
                <w:rFonts w:ascii="Arial"/>
                <w:color w:val="auto"/>
                <w:sz w:val="21"/>
                <w:highlight w:val="none"/>
              </w:rPr>
            </w:pPr>
          </w:p>
        </w:tc>
        <w:tc>
          <w:tcPr>
            <w:tcW w:w="1329" w:type="dxa"/>
            <w:vAlign w:val="top"/>
          </w:tcPr>
          <w:p w14:paraId="661AA659">
            <w:pPr>
              <w:rPr>
                <w:rFonts w:ascii="Arial"/>
                <w:color w:val="auto"/>
                <w:sz w:val="21"/>
                <w:highlight w:val="none"/>
              </w:rPr>
            </w:pPr>
          </w:p>
        </w:tc>
        <w:tc>
          <w:tcPr>
            <w:tcW w:w="1074" w:type="dxa"/>
            <w:vAlign w:val="top"/>
          </w:tcPr>
          <w:p w14:paraId="1338C34D">
            <w:pPr>
              <w:rPr>
                <w:rFonts w:ascii="Arial"/>
                <w:color w:val="auto"/>
                <w:sz w:val="21"/>
                <w:highlight w:val="none"/>
              </w:rPr>
            </w:pPr>
          </w:p>
        </w:tc>
      </w:tr>
      <w:tr w14:paraId="15EFB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14" w:type="dxa"/>
            <w:vAlign w:val="top"/>
          </w:tcPr>
          <w:p w14:paraId="1A1500B7">
            <w:pPr>
              <w:rPr>
                <w:rFonts w:ascii="Arial"/>
                <w:color w:val="auto"/>
                <w:sz w:val="21"/>
                <w:highlight w:val="none"/>
              </w:rPr>
            </w:pPr>
          </w:p>
        </w:tc>
        <w:tc>
          <w:tcPr>
            <w:tcW w:w="709" w:type="dxa"/>
            <w:vAlign w:val="top"/>
          </w:tcPr>
          <w:p w14:paraId="03AF6012">
            <w:pPr>
              <w:rPr>
                <w:rFonts w:ascii="Arial"/>
                <w:color w:val="auto"/>
                <w:sz w:val="21"/>
                <w:highlight w:val="none"/>
              </w:rPr>
            </w:pPr>
          </w:p>
        </w:tc>
        <w:tc>
          <w:tcPr>
            <w:tcW w:w="710" w:type="dxa"/>
            <w:vAlign w:val="top"/>
          </w:tcPr>
          <w:p w14:paraId="25BF6EDE">
            <w:pPr>
              <w:rPr>
                <w:rFonts w:ascii="Arial"/>
                <w:color w:val="auto"/>
                <w:sz w:val="21"/>
                <w:highlight w:val="none"/>
              </w:rPr>
            </w:pPr>
          </w:p>
        </w:tc>
        <w:tc>
          <w:tcPr>
            <w:tcW w:w="1135" w:type="dxa"/>
            <w:vAlign w:val="top"/>
          </w:tcPr>
          <w:p w14:paraId="6E8FDB73">
            <w:pPr>
              <w:rPr>
                <w:rFonts w:ascii="Arial"/>
                <w:color w:val="auto"/>
                <w:sz w:val="21"/>
                <w:highlight w:val="none"/>
              </w:rPr>
            </w:pPr>
          </w:p>
        </w:tc>
        <w:tc>
          <w:tcPr>
            <w:tcW w:w="852" w:type="dxa"/>
            <w:vAlign w:val="top"/>
          </w:tcPr>
          <w:p w14:paraId="230E6D97">
            <w:pPr>
              <w:rPr>
                <w:rFonts w:ascii="Arial"/>
                <w:color w:val="auto"/>
                <w:sz w:val="21"/>
                <w:highlight w:val="none"/>
              </w:rPr>
            </w:pPr>
          </w:p>
        </w:tc>
        <w:tc>
          <w:tcPr>
            <w:tcW w:w="1082" w:type="dxa"/>
            <w:vAlign w:val="top"/>
          </w:tcPr>
          <w:p w14:paraId="71C14C74">
            <w:pPr>
              <w:rPr>
                <w:rFonts w:ascii="Arial"/>
                <w:color w:val="auto"/>
                <w:sz w:val="21"/>
                <w:highlight w:val="none"/>
              </w:rPr>
            </w:pPr>
          </w:p>
        </w:tc>
        <w:tc>
          <w:tcPr>
            <w:tcW w:w="1003" w:type="dxa"/>
            <w:vAlign w:val="top"/>
          </w:tcPr>
          <w:p w14:paraId="1F5CDF53">
            <w:pPr>
              <w:rPr>
                <w:rFonts w:ascii="Arial"/>
                <w:color w:val="auto"/>
                <w:sz w:val="21"/>
                <w:highlight w:val="none"/>
              </w:rPr>
            </w:pPr>
          </w:p>
        </w:tc>
        <w:tc>
          <w:tcPr>
            <w:tcW w:w="1329" w:type="dxa"/>
            <w:vAlign w:val="top"/>
          </w:tcPr>
          <w:p w14:paraId="4C081A10">
            <w:pPr>
              <w:rPr>
                <w:rFonts w:ascii="Arial"/>
                <w:color w:val="auto"/>
                <w:sz w:val="21"/>
                <w:highlight w:val="none"/>
              </w:rPr>
            </w:pPr>
          </w:p>
        </w:tc>
        <w:tc>
          <w:tcPr>
            <w:tcW w:w="1074" w:type="dxa"/>
            <w:vAlign w:val="top"/>
          </w:tcPr>
          <w:p w14:paraId="7DEFE402">
            <w:pPr>
              <w:rPr>
                <w:rFonts w:ascii="Arial"/>
                <w:color w:val="auto"/>
                <w:sz w:val="21"/>
                <w:highlight w:val="none"/>
              </w:rPr>
            </w:pPr>
          </w:p>
        </w:tc>
      </w:tr>
    </w:tbl>
    <w:p w14:paraId="10B0EBBB">
      <w:pPr>
        <w:spacing w:before="137"/>
        <w:rPr>
          <w:color w:val="auto"/>
          <w:highlight w:val="none"/>
        </w:rPr>
      </w:pPr>
    </w:p>
    <w:p w14:paraId="6A3AC27D">
      <w:pPr>
        <w:spacing w:before="87"/>
        <w:ind w:right="110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注：1.项目组成人员应附职称证书、执业资格证书等复印件或扫描件（具体按评标办法提</w:t>
      </w:r>
      <w:r>
        <w:rPr>
          <w:rFonts w:ascii="宋体" w:hAnsi="宋体" w:eastAsia="宋体" w:cs="宋体"/>
          <w:color w:val="auto"/>
          <w:spacing w:val="8"/>
          <w:sz w:val="24"/>
          <w:szCs w:val="24"/>
          <w:highlight w:val="none"/>
        </w:rPr>
        <w:t xml:space="preserve"> </w:t>
      </w:r>
      <w:r>
        <w:rPr>
          <w:rFonts w:ascii="宋体" w:hAnsi="宋体" w:eastAsia="宋体" w:cs="宋体"/>
          <w:color w:val="auto"/>
          <w:spacing w:val="-4"/>
          <w:sz w:val="24"/>
          <w:szCs w:val="24"/>
          <w:highlight w:val="none"/>
        </w:rPr>
        <w:t>供）。</w:t>
      </w:r>
    </w:p>
    <w:p w14:paraId="244CA303">
      <w:pPr>
        <w:spacing w:before="153"/>
        <w:ind w:right="110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2.在填写时，如本表格不适合投标单位的实际情况，可根据本表格式按评标办法要求自行</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划表填写并提供相关资料。</w:t>
      </w:r>
    </w:p>
    <w:p w14:paraId="15377C1D">
      <w:pPr>
        <w:pStyle w:val="8"/>
        <w:spacing w:line="258" w:lineRule="auto"/>
        <w:rPr>
          <w:color w:val="auto"/>
          <w:highlight w:val="none"/>
        </w:rPr>
      </w:pPr>
    </w:p>
    <w:p w14:paraId="3B722C86">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投标人名称（电子签章</w:t>
      </w:r>
      <w:r>
        <w:rPr>
          <w:rFonts w:ascii="宋体" w:hAnsi="宋体" w:eastAsia="宋体" w:cs="宋体"/>
          <w:color w:val="auto"/>
          <w:spacing w:val="3"/>
          <w:sz w:val="24"/>
          <w:szCs w:val="24"/>
          <w:highlight w:val="none"/>
        </w:rPr>
        <w:t>）：</w:t>
      </w:r>
      <w:r>
        <w:rPr>
          <w:rFonts w:ascii="宋体" w:hAnsi="宋体" w:eastAsia="宋体" w:cs="宋体"/>
          <w:color w:val="auto"/>
          <w:spacing w:val="-81"/>
          <w:sz w:val="24"/>
          <w:szCs w:val="24"/>
          <w:highlight w:val="none"/>
        </w:rPr>
        <w:t xml:space="preserve"> </w:t>
      </w:r>
      <w:r>
        <w:rPr>
          <w:rFonts w:ascii="宋体" w:hAnsi="宋体" w:eastAsia="宋体" w:cs="宋体"/>
          <w:color w:val="auto"/>
          <w:sz w:val="24"/>
          <w:szCs w:val="24"/>
          <w:highlight w:val="none"/>
          <w:u w:val="single" w:color="auto"/>
        </w:rPr>
        <w:t xml:space="preserve">                </w:t>
      </w:r>
    </w:p>
    <w:p w14:paraId="052045DF">
      <w:pPr>
        <w:spacing w:before="183"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法定代表人或授权代表（签字或盖章</w:t>
      </w:r>
      <w:r>
        <w:rPr>
          <w:rFonts w:ascii="宋体" w:hAnsi="宋体" w:eastAsia="宋体" w:cs="宋体"/>
          <w:color w:val="auto"/>
          <w:spacing w:val="2"/>
          <w:sz w:val="24"/>
          <w:szCs w:val="24"/>
          <w:highlight w:val="none"/>
        </w:rPr>
        <w:t>）：</w:t>
      </w:r>
      <w:r>
        <w:rPr>
          <w:rFonts w:ascii="宋体" w:hAnsi="宋体" w:eastAsia="宋体" w:cs="宋体"/>
          <w:color w:val="auto"/>
          <w:spacing w:val="-81"/>
          <w:sz w:val="24"/>
          <w:szCs w:val="24"/>
          <w:highlight w:val="none"/>
        </w:rPr>
        <w:t xml:space="preserve"> </w:t>
      </w:r>
      <w:r>
        <w:rPr>
          <w:rFonts w:ascii="宋体" w:hAnsi="宋体" w:eastAsia="宋体" w:cs="宋体"/>
          <w:color w:val="auto"/>
          <w:sz w:val="24"/>
          <w:szCs w:val="24"/>
          <w:highlight w:val="none"/>
          <w:u w:val="single" w:color="auto"/>
        </w:rPr>
        <w:t xml:space="preserve">                </w:t>
      </w:r>
    </w:p>
    <w:p w14:paraId="01B8C46E">
      <w:pPr>
        <w:rPr>
          <w:rFonts w:ascii="宋体" w:hAnsi="宋体" w:eastAsia="宋体" w:cs="宋体"/>
          <w:color w:val="auto"/>
          <w:spacing w:val="-13"/>
          <w:sz w:val="24"/>
          <w:szCs w:val="24"/>
          <w:highlight w:val="none"/>
        </w:rPr>
        <w:sectPr>
          <w:pgSz w:w="11906" w:h="16838"/>
          <w:pgMar w:top="1701" w:right="1106" w:bottom="1217" w:left="1461" w:header="1077" w:footer="597" w:gutter="0"/>
          <w:cols w:space="720" w:num="1"/>
          <w:docGrid w:type="lines" w:linePitch="312" w:charSpace="0"/>
        </w:sectPr>
      </w:pPr>
      <w:r>
        <w:rPr>
          <w:rFonts w:ascii="宋体" w:hAnsi="宋体" w:eastAsia="宋体" w:cs="宋体"/>
          <w:color w:val="auto"/>
          <w:spacing w:val="-16"/>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6"/>
          <w:sz w:val="24"/>
          <w:szCs w:val="24"/>
          <w:highlight w:val="none"/>
        </w:rPr>
        <w:t>年</w:t>
      </w:r>
      <w:r>
        <w:rPr>
          <w:rFonts w:ascii="宋体" w:hAnsi="宋体" w:eastAsia="宋体" w:cs="宋体"/>
          <w:color w:val="auto"/>
          <w:spacing w:val="19"/>
          <w:sz w:val="24"/>
          <w:szCs w:val="24"/>
          <w:highlight w:val="none"/>
          <w:u w:val="single" w:color="auto"/>
        </w:rPr>
        <w:t xml:space="preserve">      </w:t>
      </w:r>
      <w:r>
        <w:rPr>
          <w:rFonts w:ascii="宋体" w:hAnsi="宋体" w:eastAsia="宋体" w:cs="宋体"/>
          <w:color w:val="auto"/>
          <w:spacing w:val="-99"/>
          <w:sz w:val="24"/>
          <w:szCs w:val="24"/>
          <w:highlight w:val="none"/>
        </w:rPr>
        <w:t xml:space="preserve"> </w:t>
      </w:r>
      <w:r>
        <w:rPr>
          <w:rFonts w:ascii="宋体" w:hAnsi="宋体" w:eastAsia="宋体" w:cs="宋体"/>
          <w:color w:val="auto"/>
          <w:spacing w:val="-16"/>
          <w:sz w:val="24"/>
          <w:szCs w:val="24"/>
          <w:highlight w:val="none"/>
        </w:rPr>
        <w:t>月</w:t>
      </w:r>
      <w:r>
        <w:rPr>
          <w:rFonts w:ascii="宋体" w:hAnsi="宋体" w:eastAsia="宋体" w:cs="宋体"/>
          <w:color w:val="auto"/>
          <w:sz w:val="24"/>
          <w:szCs w:val="24"/>
          <w:highlight w:val="none"/>
          <w:u w:val="single" w:color="auto"/>
        </w:rPr>
        <w:t xml:space="preserve">      </w:t>
      </w:r>
    </w:p>
    <w:p w14:paraId="5A60ED9D">
      <w:pPr>
        <w:numPr>
          <w:ilvl w:val="0"/>
          <w:numId w:val="0"/>
        </w:numPr>
        <w:spacing w:before="78" w:line="325" w:lineRule="auto"/>
        <w:ind w:left="1475" w:leftChars="0" w:right="3296" w:rightChars="0"/>
        <w:rPr>
          <w:rFonts w:ascii="宋体" w:hAnsi="宋体" w:eastAsia="宋体" w:cs="宋体"/>
          <w:b/>
          <w:bCs/>
          <w:color w:val="auto"/>
          <w:spacing w:val="-2"/>
          <w:sz w:val="24"/>
          <w:szCs w:val="24"/>
          <w:highlight w:val="none"/>
        </w:rPr>
      </w:pPr>
    </w:p>
    <w:p w14:paraId="427A5AB5">
      <w:pPr>
        <w:pStyle w:val="2"/>
        <w:ind w:left="0" w:leftChars="0" w:firstLine="0" w:firstLineChars="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rPr>
        <w:t>7 投标人需要说明的其他文件和说明（格式自拟） (如有</w:t>
      </w:r>
      <w:r>
        <w:rPr>
          <w:rFonts w:hint="eastAsia" w:asciiTheme="minorEastAsia" w:hAnsiTheme="minorEastAsia" w:eastAsiaTheme="minorEastAsia" w:cstheme="minorEastAsia"/>
          <w:b/>
          <w:color w:val="auto"/>
          <w:sz w:val="28"/>
          <w:szCs w:val="28"/>
          <w:highlight w:val="none"/>
          <w:lang w:eastAsia="zh-CN"/>
        </w:rPr>
        <w:t>）</w:t>
      </w:r>
    </w:p>
    <w:p w14:paraId="35C8305C">
      <w:pPr>
        <w:spacing w:line="240" w:lineRule="auto"/>
        <w:outlineLvl w:val="1"/>
        <w:rPr>
          <w:rFonts w:asciiTheme="minorEastAsia" w:hAnsiTheme="minorEastAsia" w:eastAsiaTheme="minorEastAsia" w:cstheme="minorEastAsia"/>
          <w:b/>
          <w:color w:val="auto"/>
          <w:sz w:val="28"/>
          <w:szCs w:val="28"/>
          <w:highlight w:val="none"/>
        </w:rPr>
      </w:pPr>
    </w:p>
    <w:p w14:paraId="7AA9A5D4">
      <w:pPr>
        <w:spacing w:line="240" w:lineRule="auto"/>
        <w:outlineLvl w:val="1"/>
        <w:rPr>
          <w:rFonts w:asciiTheme="minorEastAsia" w:hAnsiTheme="minorEastAsia" w:eastAsiaTheme="minorEastAsia" w:cstheme="minorEastAsia"/>
          <w:b/>
          <w:color w:val="auto"/>
          <w:sz w:val="28"/>
          <w:szCs w:val="28"/>
          <w:highlight w:val="none"/>
        </w:rPr>
      </w:pPr>
    </w:p>
    <w:p w14:paraId="691BF3F8">
      <w:pPr>
        <w:spacing w:line="240" w:lineRule="auto"/>
        <w:outlineLvl w:val="1"/>
        <w:rPr>
          <w:rFonts w:asciiTheme="minorEastAsia" w:hAnsiTheme="minorEastAsia" w:eastAsiaTheme="minorEastAsia" w:cstheme="minorEastAsia"/>
          <w:b/>
          <w:color w:val="auto"/>
          <w:sz w:val="28"/>
          <w:szCs w:val="28"/>
          <w:highlight w:val="none"/>
        </w:rPr>
      </w:pPr>
    </w:p>
    <w:p w14:paraId="4B0CDB0D">
      <w:pPr>
        <w:spacing w:line="240" w:lineRule="auto"/>
        <w:outlineLvl w:val="1"/>
        <w:rPr>
          <w:rFonts w:asciiTheme="minorEastAsia" w:hAnsiTheme="minorEastAsia" w:eastAsiaTheme="minorEastAsia" w:cstheme="minorEastAsia"/>
          <w:b/>
          <w:color w:val="auto"/>
          <w:sz w:val="28"/>
          <w:szCs w:val="28"/>
          <w:highlight w:val="none"/>
        </w:rPr>
      </w:pPr>
    </w:p>
    <w:p w14:paraId="395B7D0D">
      <w:pPr>
        <w:spacing w:line="240" w:lineRule="auto"/>
        <w:outlineLvl w:val="1"/>
        <w:rPr>
          <w:rFonts w:asciiTheme="minorEastAsia" w:hAnsiTheme="minorEastAsia" w:eastAsiaTheme="minorEastAsia" w:cstheme="minorEastAsia"/>
          <w:b/>
          <w:color w:val="auto"/>
          <w:sz w:val="28"/>
          <w:szCs w:val="28"/>
          <w:highlight w:val="none"/>
        </w:rPr>
      </w:pPr>
    </w:p>
    <w:p w14:paraId="5BBC0B47">
      <w:pPr>
        <w:spacing w:line="240" w:lineRule="auto"/>
        <w:outlineLvl w:val="1"/>
        <w:rPr>
          <w:rFonts w:asciiTheme="minorEastAsia" w:hAnsiTheme="minorEastAsia" w:eastAsiaTheme="minorEastAsia" w:cstheme="minorEastAsia"/>
          <w:b/>
          <w:color w:val="auto"/>
          <w:sz w:val="28"/>
          <w:szCs w:val="28"/>
          <w:highlight w:val="none"/>
        </w:rPr>
      </w:pPr>
    </w:p>
    <w:p w14:paraId="60E0D19F">
      <w:pPr>
        <w:spacing w:line="240" w:lineRule="auto"/>
        <w:outlineLvl w:val="1"/>
        <w:rPr>
          <w:rFonts w:asciiTheme="minorEastAsia" w:hAnsiTheme="minorEastAsia" w:eastAsiaTheme="minorEastAsia" w:cstheme="minorEastAsia"/>
          <w:b/>
          <w:color w:val="auto"/>
          <w:sz w:val="28"/>
          <w:szCs w:val="28"/>
          <w:highlight w:val="none"/>
        </w:rPr>
      </w:pPr>
    </w:p>
    <w:p w14:paraId="154EED0A">
      <w:pPr>
        <w:spacing w:line="240" w:lineRule="auto"/>
        <w:outlineLvl w:val="1"/>
        <w:rPr>
          <w:rFonts w:asciiTheme="minorEastAsia" w:hAnsiTheme="minorEastAsia" w:eastAsiaTheme="minorEastAsia" w:cstheme="minorEastAsia"/>
          <w:b/>
          <w:color w:val="auto"/>
          <w:sz w:val="28"/>
          <w:szCs w:val="28"/>
          <w:highlight w:val="none"/>
        </w:rPr>
      </w:pPr>
    </w:p>
    <w:p w14:paraId="1C4FB0BF">
      <w:pPr>
        <w:spacing w:line="240" w:lineRule="auto"/>
        <w:outlineLvl w:val="1"/>
        <w:rPr>
          <w:rFonts w:asciiTheme="minorEastAsia" w:hAnsiTheme="minorEastAsia" w:eastAsiaTheme="minorEastAsia" w:cstheme="minorEastAsia"/>
          <w:b/>
          <w:color w:val="auto"/>
          <w:sz w:val="28"/>
          <w:szCs w:val="28"/>
          <w:highlight w:val="none"/>
        </w:rPr>
      </w:pPr>
    </w:p>
    <w:p w14:paraId="35E15AC4">
      <w:pPr>
        <w:spacing w:line="240" w:lineRule="auto"/>
        <w:outlineLvl w:val="1"/>
        <w:rPr>
          <w:rFonts w:asciiTheme="minorEastAsia" w:hAnsiTheme="minorEastAsia" w:eastAsiaTheme="minorEastAsia" w:cstheme="minorEastAsia"/>
          <w:b/>
          <w:color w:val="auto"/>
          <w:sz w:val="28"/>
          <w:szCs w:val="28"/>
          <w:highlight w:val="none"/>
        </w:rPr>
      </w:pPr>
    </w:p>
    <w:p w14:paraId="5EA9B4C2">
      <w:pPr>
        <w:spacing w:line="240" w:lineRule="auto"/>
        <w:outlineLvl w:val="1"/>
        <w:rPr>
          <w:rFonts w:asciiTheme="minorEastAsia" w:hAnsiTheme="minorEastAsia" w:eastAsiaTheme="minorEastAsia" w:cstheme="minorEastAsia"/>
          <w:b/>
          <w:color w:val="auto"/>
          <w:sz w:val="28"/>
          <w:szCs w:val="28"/>
          <w:highlight w:val="none"/>
        </w:rPr>
      </w:pPr>
    </w:p>
    <w:p w14:paraId="6A5A06CF">
      <w:pPr>
        <w:spacing w:line="240" w:lineRule="auto"/>
        <w:outlineLvl w:val="1"/>
        <w:rPr>
          <w:rFonts w:asciiTheme="minorEastAsia" w:hAnsiTheme="minorEastAsia" w:eastAsiaTheme="minorEastAsia" w:cstheme="minorEastAsia"/>
          <w:b/>
          <w:color w:val="auto"/>
          <w:sz w:val="28"/>
          <w:szCs w:val="28"/>
          <w:highlight w:val="none"/>
        </w:rPr>
      </w:pPr>
    </w:p>
    <w:p w14:paraId="4C42F086">
      <w:pPr>
        <w:spacing w:line="240" w:lineRule="auto"/>
        <w:outlineLvl w:val="1"/>
        <w:rPr>
          <w:rFonts w:asciiTheme="minorEastAsia" w:hAnsiTheme="minorEastAsia" w:eastAsiaTheme="minorEastAsia" w:cstheme="minorEastAsia"/>
          <w:b/>
          <w:color w:val="auto"/>
          <w:sz w:val="28"/>
          <w:szCs w:val="28"/>
          <w:highlight w:val="none"/>
        </w:rPr>
      </w:pPr>
    </w:p>
    <w:p w14:paraId="1B4A71D1">
      <w:pPr>
        <w:spacing w:line="240" w:lineRule="auto"/>
        <w:outlineLvl w:val="1"/>
        <w:rPr>
          <w:rFonts w:asciiTheme="minorEastAsia" w:hAnsiTheme="minorEastAsia" w:eastAsiaTheme="minorEastAsia" w:cstheme="minorEastAsia"/>
          <w:b/>
          <w:color w:val="auto"/>
          <w:sz w:val="28"/>
          <w:szCs w:val="28"/>
          <w:highlight w:val="none"/>
        </w:rPr>
      </w:pPr>
    </w:p>
    <w:p w14:paraId="68D13671">
      <w:pPr>
        <w:spacing w:line="240" w:lineRule="auto"/>
        <w:outlineLvl w:val="1"/>
        <w:rPr>
          <w:rFonts w:asciiTheme="minorEastAsia" w:hAnsiTheme="minorEastAsia" w:eastAsiaTheme="minorEastAsia" w:cstheme="minorEastAsia"/>
          <w:b/>
          <w:color w:val="auto"/>
          <w:sz w:val="28"/>
          <w:szCs w:val="28"/>
          <w:highlight w:val="none"/>
        </w:rPr>
      </w:pPr>
    </w:p>
    <w:p w14:paraId="17413B2E">
      <w:pPr>
        <w:spacing w:line="240" w:lineRule="auto"/>
        <w:outlineLvl w:val="1"/>
        <w:rPr>
          <w:rFonts w:asciiTheme="minorEastAsia" w:hAnsiTheme="minorEastAsia" w:eastAsiaTheme="minorEastAsia" w:cstheme="minorEastAsia"/>
          <w:b/>
          <w:color w:val="auto"/>
          <w:sz w:val="28"/>
          <w:szCs w:val="28"/>
          <w:highlight w:val="none"/>
        </w:rPr>
      </w:pPr>
    </w:p>
    <w:p w14:paraId="07BABE4C">
      <w:pPr>
        <w:spacing w:line="240" w:lineRule="auto"/>
        <w:outlineLvl w:val="1"/>
        <w:rPr>
          <w:rFonts w:asciiTheme="minorEastAsia" w:hAnsiTheme="minorEastAsia" w:eastAsiaTheme="minorEastAsia" w:cstheme="minorEastAsia"/>
          <w:b/>
          <w:color w:val="auto"/>
          <w:sz w:val="28"/>
          <w:szCs w:val="28"/>
          <w:highlight w:val="none"/>
        </w:rPr>
      </w:pPr>
    </w:p>
    <w:p w14:paraId="59B409A8">
      <w:pPr>
        <w:spacing w:line="240" w:lineRule="auto"/>
        <w:outlineLvl w:val="1"/>
        <w:rPr>
          <w:rFonts w:asciiTheme="minorEastAsia" w:hAnsiTheme="minorEastAsia" w:eastAsiaTheme="minorEastAsia" w:cstheme="minorEastAsia"/>
          <w:b/>
          <w:color w:val="auto"/>
          <w:sz w:val="28"/>
          <w:szCs w:val="28"/>
          <w:highlight w:val="none"/>
        </w:rPr>
      </w:pPr>
    </w:p>
    <w:p w14:paraId="2842E82E">
      <w:pPr>
        <w:spacing w:line="240" w:lineRule="auto"/>
        <w:outlineLvl w:val="1"/>
        <w:rPr>
          <w:rFonts w:asciiTheme="minorEastAsia" w:hAnsiTheme="minorEastAsia" w:eastAsiaTheme="minorEastAsia" w:cstheme="minorEastAsia"/>
          <w:b/>
          <w:color w:val="auto"/>
          <w:sz w:val="28"/>
          <w:szCs w:val="28"/>
          <w:highlight w:val="none"/>
        </w:rPr>
      </w:pPr>
    </w:p>
    <w:p w14:paraId="10010686">
      <w:pPr>
        <w:spacing w:line="240" w:lineRule="auto"/>
        <w:outlineLvl w:val="1"/>
        <w:rPr>
          <w:rFonts w:asciiTheme="minorEastAsia" w:hAnsiTheme="minorEastAsia" w:eastAsiaTheme="minorEastAsia" w:cstheme="minorEastAsia"/>
          <w:b/>
          <w:color w:val="auto"/>
          <w:sz w:val="28"/>
          <w:szCs w:val="28"/>
          <w:highlight w:val="none"/>
        </w:rPr>
      </w:pPr>
    </w:p>
    <w:p w14:paraId="2A07C46B">
      <w:pPr>
        <w:spacing w:line="240" w:lineRule="auto"/>
        <w:outlineLvl w:val="1"/>
        <w:rPr>
          <w:rFonts w:asciiTheme="minorEastAsia" w:hAnsiTheme="minorEastAsia" w:eastAsiaTheme="minorEastAsia" w:cstheme="minorEastAsia"/>
          <w:b/>
          <w:color w:val="auto"/>
          <w:sz w:val="28"/>
          <w:szCs w:val="28"/>
          <w:highlight w:val="none"/>
        </w:rPr>
      </w:pPr>
    </w:p>
    <w:p w14:paraId="23CA8A30">
      <w:pPr>
        <w:spacing w:line="240" w:lineRule="auto"/>
        <w:outlineLvl w:val="1"/>
        <w:rPr>
          <w:rFonts w:asciiTheme="minorEastAsia" w:hAnsiTheme="minorEastAsia" w:eastAsiaTheme="minorEastAsia" w:cstheme="minorEastAsia"/>
          <w:b/>
          <w:color w:val="auto"/>
          <w:sz w:val="28"/>
          <w:szCs w:val="28"/>
          <w:highlight w:val="none"/>
        </w:rPr>
      </w:pPr>
    </w:p>
    <w:p w14:paraId="7B398CFF">
      <w:pPr>
        <w:spacing w:line="240" w:lineRule="auto"/>
        <w:outlineLvl w:val="1"/>
        <w:rPr>
          <w:rFonts w:asciiTheme="minorEastAsia" w:hAnsiTheme="minorEastAsia" w:eastAsiaTheme="minorEastAsia" w:cstheme="minorEastAsia"/>
          <w:b/>
          <w:color w:val="auto"/>
          <w:sz w:val="28"/>
          <w:szCs w:val="28"/>
          <w:highlight w:val="none"/>
        </w:rPr>
      </w:pPr>
    </w:p>
    <w:p w14:paraId="4364BD2E">
      <w:pPr>
        <w:spacing w:line="240" w:lineRule="auto"/>
        <w:outlineLvl w:val="1"/>
        <w:rPr>
          <w:rFonts w:asciiTheme="minorEastAsia" w:hAnsiTheme="minorEastAsia" w:eastAsiaTheme="minorEastAsia" w:cstheme="minorEastAsia"/>
          <w:b/>
          <w:color w:val="auto"/>
          <w:sz w:val="28"/>
          <w:szCs w:val="28"/>
          <w:highlight w:val="none"/>
        </w:rPr>
      </w:pPr>
    </w:p>
    <w:p w14:paraId="6CD2814B">
      <w:pPr>
        <w:spacing w:line="240" w:lineRule="auto"/>
        <w:outlineLvl w:val="1"/>
        <w:rPr>
          <w:rFonts w:asciiTheme="minorEastAsia" w:hAnsiTheme="minorEastAsia" w:eastAsiaTheme="minorEastAsia" w:cstheme="minorEastAsia"/>
          <w:b/>
          <w:color w:val="auto"/>
          <w:sz w:val="28"/>
          <w:szCs w:val="28"/>
          <w:highlight w:val="none"/>
        </w:rPr>
      </w:pPr>
    </w:p>
    <w:p w14:paraId="71CC55C3">
      <w:pPr>
        <w:spacing w:line="240" w:lineRule="auto"/>
        <w:outlineLvl w:val="1"/>
        <w:rPr>
          <w:rFonts w:asciiTheme="minorEastAsia" w:hAnsiTheme="minorEastAsia" w:eastAsiaTheme="minorEastAsia" w:cstheme="minorEastAsia"/>
          <w:b/>
          <w:color w:val="auto"/>
          <w:sz w:val="28"/>
          <w:szCs w:val="28"/>
          <w:highlight w:val="none"/>
        </w:rPr>
      </w:pPr>
    </w:p>
    <w:p w14:paraId="13E3A22E">
      <w:pPr>
        <w:spacing w:line="240" w:lineRule="auto"/>
        <w:outlineLvl w:val="1"/>
        <w:rPr>
          <w:rFonts w:asciiTheme="minorEastAsia" w:hAnsiTheme="minorEastAsia" w:eastAsiaTheme="minorEastAsia" w:cstheme="minorEastAsia"/>
          <w:b/>
          <w:color w:val="auto"/>
          <w:sz w:val="28"/>
          <w:szCs w:val="28"/>
          <w:highlight w:val="none"/>
        </w:rPr>
      </w:pPr>
    </w:p>
    <w:p w14:paraId="5DD22EFB">
      <w:pPr>
        <w:spacing w:line="240" w:lineRule="auto"/>
        <w:outlineLvl w:val="1"/>
        <w:rPr>
          <w:rFonts w:asciiTheme="minorEastAsia" w:hAnsiTheme="minorEastAsia" w:eastAsiaTheme="minorEastAsia" w:cstheme="minorEastAsia"/>
          <w:b/>
          <w:color w:val="auto"/>
          <w:sz w:val="28"/>
          <w:szCs w:val="28"/>
          <w:highlight w:val="none"/>
        </w:rPr>
      </w:pPr>
    </w:p>
    <w:p w14:paraId="0BA3EDD7">
      <w:pPr>
        <w:spacing w:line="240" w:lineRule="auto"/>
        <w:outlineLvl w:val="1"/>
        <w:rPr>
          <w:rFonts w:asciiTheme="minorEastAsia" w:hAnsiTheme="minorEastAsia" w:eastAsiaTheme="minorEastAsia" w:cstheme="minorEastAsia"/>
          <w:b/>
          <w:color w:val="auto"/>
          <w:sz w:val="28"/>
          <w:szCs w:val="28"/>
          <w:highlight w:val="none"/>
        </w:rPr>
      </w:pPr>
    </w:p>
    <w:p w14:paraId="36471D58">
      <w:pPr>
        <w:spacing w:line="240" w:lineRule="auto"/>
        <w:outlineLvl w:val="1"/>
        <w:rPr>
          <w:rFonts w:asciiTheme="minorEastAsia" w:hAnsiTheme="minorEastAsia" w:eastAsiaTheme="minorEastAsia" w:cstheme="minorEastAsia"/>
          <w:b/>
          <w:color w:val="auto"/>
          <w:sz w:val="28"/>
          <w:szCs w:val="28"/>
          <w:highlight w:val="none"/>
        </w:rPr>
      </w:pPr>
    </w:p>
    <w:p w14:paraId="3F3B8B16">
      <w:pPr>
        <w:spacing w:line="240" w:lineRule="auto"/>
        <w:outlineLvl w:val="1"/>
        <w:rPr>
          <w:rFonts w:asciiTheme="minorEastAsia" w:hAnsiTheme="minorEastAsia" w:eastAsiaTheme="minorEastAsia" w:cstheme="minorEastAsia"/>
          <w:b/>
          <w:color w:val="auto"/>
          <w:sz w:val="28"/>
          <w:szCs w:val="28"/>
          <w:highlight w:val="none"/>
        </w:rPr>
      </w:pPr>
    </w:p>
    <w:p w14:paraId="79A1BAD6">
      <w:pPr>
        <w:spacing w:line="240" w:lineRule="auto"/>
        <w:outlineLvl w:val="1"/>
        <w:rPr>
          <w:rFonts w:asciiTheme="minorEastAsia" w:hAnsiTheme="minorEastAsia" w:eastAsiaTheme="minorEastAsia" w:cstheme="minorEastAsia"/>
          <w:b/>
          <w:color w:val="auto"/>
          <w:sz w:val="28"/>
          <w:szCs w:val="28"/>
          <w:highlight w:val="none"/>
        </w:rPr>
      </w:pPr>
    </w:p>
    <w:p w14:paraId="78183686">
      <w:pPr>
        <w:spacing w:line="240" w:lineRule="auto"/>
        <w:outlineLvl w:val="1"/>
        <w:rPr>
          <w:rFonts w:asciiTheme="minorEastAsia" w:hAnsiTheme="minorEastAsia" w:eastAsiaTheme="minorEastAsia" w:cstheme="minorEastAsia"/>
          <w:b/>
          <w:color w:val="auto"/>
          <w:sz w:val="28"/>
          <w:szCs w:val="28"/>
          <w:highlight w:val="none"/>
        </w:rPr>
      </w:pPr>
    </w:p>
    <w:p w14:paraId="62F8C1D3">
      <w:pPr>
        <w:spacing w:line="240" w:lineRule="auto"/>
        <w:outlineLvl w:val="1"/>
        <w:rPr>
          <w:rFonts w:asciiTheme="minorEastAsia" w:hAnsiTheme="minorEastAsia" w:eastAsiaTheme="minorEastAsia" w:cstheme="minorEastAsia"/>
          <w:b/>
          <w:color w:val="auto"/>
          <w:sz w:val="28"/>
          <w:szCs w:val="28"/>
          <w:highlight w:val="none"/>
        </w:rPr>
      </w:pPr>
    </w:p>
    <w:p w14:paraId="7BD6BFC1">
      <w:pPr>
        <w:spacing w:line="240" w:lineRule="auto"/>
        <w:outlineLvl w:val="1"/>
        <w:rPr>
          <w:rFonts w:asciiTheme="minorEastAsia" w:hAnsiTheme="minorEastAsia" w:eastAsiaTheme="minorEastAsia" w:cstheme="minorEastAsia"/>
          <w:b/>
          <w:color w:val="auto"/>
          <w:sz w:val="28"/>
          <w:szCs w:val="28"/>
          <w:highlight w:val="none"/>
        </w:rPr>
      </w:pPr>
    </w:p>
    <w:p w14:paraId="2638769D">
      <w:pPr>
        <w:spacing w:line="240" w:lineRule="auto"/>
        <w:outlineLvl w:val="1"/>
        <w:rPr>
          <w:rFonts w:asciiTheme="minorEastAsia" w:hAnsiTheme="minorEastAsia" w:eastAsiaTheme="minorEastAsia" w:cstheme="minorEastAsia"/>
          <w:b/>
          <w:color w:val="auto"/>
          <w:sz w:val="28"/>
          <w:szCs w:val="28"/>
          <w:highlight w:val="none"/>
        </w:rPr>
      </w:pPr>
    </w:p>
    <w:p w14:paraId="36F7AB3F">
      <w:pPr>
        <w:spacing w:line="240" w:lineRule="auto"/>
        <w:outlineLvl w:val="1"/>
        <w:rPr>
          <w:rFonts w:asciiTheme="minorEastAsia" w:hAnsiTheme="minorEastAsia" w:eastAsiaTheme="minorEastAsia" w:cstheme="minorEastAsia"/>
          <w:b/>
          <w:color w:val="auto"/>
          <w:sz w:val="28"/>
          <w:szCs w:val="28"/>
          <w:highlight w:val="none"/>
        </w:rPr>
      </w:pPr>
    </w:p>
    <w:p w14:paraId="3D744C78">
      <w:pPr>
        <w:spacing w:line="240" w:lineRule="auto"/>
        <w:outlineLvl w:val="1"/>
        <w:rPr>
          <w:rFonts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28"/>
          <w:szCs w:val="28"/>
          <w:highlight w:val="none"/>
        </w:rPr>
        <w:t>三、报价文件封面格式</w:t>
      </w:r>
    </w:p>
    <w:p w14:paraId="31A66F7C">
      <w:pPr>
        <w:spacing w:line="240" w:lineRule="auto"/>
        <w:rPr>
          <w:rFonts w:asciiTheme="minorEastAsia" w:hAnsiTheme="minorEastAsia" w:eastAsiaTheme="minorEastAsia" w:cstheme="minorEastAsia"/>
          <w:b/>
          <w:bCs/>
          <w:color w:val="auto"/>
          <w:sz w:val="40"/>
          <w:szCs w:val="40"/>
          <w:highlight w:val="none"/>
        </w:rPr>
      </w:pPr>
    </w:p>
    <w:p w14:paraId="590FC45B">
      <w:pPr>
        <w:spacing w:line="240" w:lineRule="auto"/>
        <w:jc w:val="center"/>
        <w:rPr>
          <w:rFonts w:asciiTheme="minorEastAsia" w:hAnsiTheme="minorEastAsia" w:eastAsiaTheme="minorEastAsia" w:cstheme="minorEastAsia"/>
          <w:b/>
          <w:bCs/>
          <w:color w:val="auto"/>
          <w:sz w:val="40"/>
          <w:szCs w:val="40"/>
          <w:highlight w:val="none"/>
        </w:rPr>
      </w:pPr>
    </w:p>
    <w:p w14:paraId="23C972D6">
      <w:pPr>
        <w:spacing w:line="360" w:lineRule="auto"/>
        <w:jc w:val="center"/>
        <w:rPr>
          <w:rFonts w:hint="eastAsia" w:asciiTheme="minorEastAsia" w:hAnsiTheme="minorEastAsia" w:eastAsiaTheme="minorEastAsia" w:cstheme="minorEastAsia"/>
          <w:b/>
          <w:bCs/>
          <w:color w:val="auto"/>
          <w:sz w:val="40"/>
          <w:szCs w:val="40"/>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浦江县城区幼儿园金狮湖幼儿园建设项目</w:t>
      </w:r>
    </w:p>
    <w:p w14:paraId="4CECCEDE">
      <w:pPr>
        <w:spacing w:line="360" w:lineRule="auto"/>
        <w:jc w:val="center"/>
        <w:rPr>
          <w:rFonts w:hint="eastAsia" w:asciiTheme="minorEastAsia" w:hAnsiTheme="minorEastAsia" w:eastAsiaTheme="minorEastAsia" w:cstheme="minorEastAsia"/>
          <w:b/>
          <w:bCs/>
          <w:color w:val="auto"/>
          <w:sz w:val="40"/>
          <w:szCs w:val="40"/>
          <w:highlight w:val="none"/>
          <w:lang w:eastAsia="zh-CN"/>
        </w:rPr>
      </w:pPr>
      <w:r>
        <w:rPr>
          <w:rFonts w:hint="eastAsia" w:asciiTheme="minorEastAsia" w:hAnsiTheme="minorEastAsia" w:eastAsiaTheme="minorEastAsia" w:cstheme="minorEastAsia"/>
          <w:b/>
          <w:bCs/>
          <w:color w:val="auto"/>
          <w:sz w:val="40"/>
          <w:szCs w:val="40"/>
          <w:highlight w:val="none"/>
          <w:lang w:eastAsia="zh-CN"/>
        </w:rPr>
        <w:t xml:space="preserve">幼儿园玩具  </w:t>
      </w:r>
    </w:p>
    <w:p w14:paraId="33C9057F">
      <w:pPr>
        <w:pStyle w:val="2"/>
        <w:ind w:firstLine="560"/>
        <w:rPr>
          <w:rFonts w:hint="default"/>
          <w:color w:val="auto"/>
          <w:highlight w:val="none"/>
        </w:rPr>
      </w:pPr>
    </w:p>
    <w:p w14:paraId="41E4B3BA">
      <w:pPr>
        <w:spacing w:line="240" w:lineRule="auto"/>
        <w:jc w:val="center"/>
        <w:rPr>
          <w:rFonts w:asciiTheme="minorEastAsia" w:hAnsiTheme="minorEastAsia" w:eastAsiaTheme="minorEastAsia" w:cstheme="minorEastAsia"/>
          <w:color w:val="auto"/>
          <w:spacing w:val="40"/>
          <w:w w:val="90"/>
          <w:sz w:val="96"/>
          <w:szCs w:val="96"/>
          <w:highlight w:val="none"/>
          <w:lang w:bidi="th-TH"/>
        </w:rPr>
      </w:pPr>
      <w:r>
        <w:rPr>
          <w:rFonts w:asciiTheme="minorEastAsia" w:hAnsiTheme="minorEastAsia" w:eastAsiaTheme="minorEastAsia" w:cstheme="minorEastAsia"/>
          <w:color w:val="auto"/>
          <w:spacing w:val="40"/>
          <w:w w:val="90"/>
          <w:sz w:val="96"/>
          <w:szCs w:val="96"/>
          <w:highlight w:val="none"/>
          <w:lang w:bidi="th-TH"/>
        </w:rPr>
        <w:t>投 标 文 件</w:t>
      </w:r>
    </w:p>
    <w:p w14:paraId="7DCFB132">
      <w:pPr>
        <w:spacing w:line="240" w:lineRule="auto"/>
        <w:jc w:val="center"/>
        <w:rPr>
          <w:rFonts w:asciiTheme="minorEastAsia" w:hAnsiTheme="minorEastAsia" w:eastAsiaTheme="minorEastAsia" w:cstheme="minorEastAsia"/>
          <w:b/>
          <w:bCs/>
          <w:color w:val="auto"/>
          <w:sz w:val="36"/>
          <w:szCs w:val="36"/>
          <w:highlight w:val="none"/>
        </w:rPr>
      </w:pPr>
      <w:r>
        <w:rPr>
          <w:rFonts w:asciiTheme="minorEastAsia" w:hAnsiTheme="minorEastAsia" w:eastAsiaTheme="minorEastAsia" w:cstheme="minorEastAsia"/>
          <w:b/>
          <w:bCs/>
          <w:color w:val="auto"/>
          <w:sz w:val="36"/>
          <w:szCs w:val="36"/>
          <w:highlight w:val="none"/>
        </w:rPr>
        <w:t>（报价文件）</w:t>
      </w:r>
    </w:p>
    <w:p w14:paraId="28812C96">
      <w:pPr>
        <w:spacing w:line="240" w:lineRule="auto"/>
        <w:ind w:firstLine="1968" w:firstLineChars="700"/>
        <w:jc w:val="both"/>
        <w:rPr>
          <w:rFonts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b/>
          <w:bCs/>
          <w:color w:val="auto"/>
          <w:sz w:val="28"/>
          <w:szCs w:val="28"/>
          <w:highlight w:val="none"/>
        </w:rPr>
        <w:t>项目编号：</w:t>
      </w:r>
    </w:p>
    <w:p w14:paraId="7E984C5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 </w:t>
      </w:r>
    </w:p>
    <w:p w14:paraId="33B6456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291747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12E7A6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F19EA6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04335D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投标人名称（电子签章）：</w:t>
      </w:r>
      <w:r>
        <w:rPr>
          <w:rFonts w:asciiTheme="minorEastAsia" w:hAnsiTheme="minorEastAsia" w:eastAsiaTheme="minorEastAsia" w:cstheme="minorEastAsia"/>
          <w:b/>
          <w:color w:val="auto"/>
          <w:sz w:val="32"/>
          <w:szCs w:val="32"/>
          <w:highlight w:val="none"/>
          <w:u w:val="single"/>
        </w:rPr>
        <w:t xml:space="preserve">                             </w:t>
      </w:r>
    </w:p>
    <w:p w14:paraId="4D75FFE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2E6351A">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 xml:space="preserve">法定代表人或授权代表(签字或盖章)： </w:t>
      </w:r>
      <w:r>
        <w:rPr>
          <w:rFonts w:asciiTheme="minorEastAsia" w:hAnsiTheme="minorEastAsia" w:eastAsiaTheme="minorEastAsia" w:cstheme="minorEastAsia"/>
          <w:b/>
          <w:color w:val="auto"/>
          <w:sz w:val="32"/>
          <w:szCs w:val="32"/>
          <w:highlight w:val="none"/>
          <w:u w:val="single"/>
        </w:rPr>
        <w:t xml:space="preserve">                  </w:t>
      </w:r>
    </w:p>
    <w:p w14:paraId="1490028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3BDFE4F">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t>时间：    年   月   日</w:t>
      </w:r>
    </w:p>
    <w:p w14:paraId="5AD213E9">
      <w:pPr>
        <w:tabs>
          <w:tab w:val="left" w:pos="720"/>
        </w:tabs>
        <w:adjustRightInd w:val="0"/>
        <w:snapToGrid w:val="0"/>
        <w:spacing w:line="480" w:lineRule="auto"/>
        <w:rPr>
          <w:rFonts w:asciiTheme="minorEastAsia" w:hAnsiTheme="minorEastAsia" w:eastAsiaTheme="minorEastAsia" w:cstheme="minorEastAsia"/>
          <w:b/>
          <w:snapToGrid w:val="0"/>
          <w:color w:val="auto"/>
          <w:kern w:val="0"/>
          <w:sz w:val="32"/>
          <w:szCs w:val="32"/>
          <w:highlight w:val="none"/>
        </w:rPr>
      </w:pPr>
    </w:p>
    <w:p w14:paraId="4852AB2F">
      <w:pPr>
        <w:pStyle w:val="2"/>
        <w:ind w:firstLine="560"/>
        <w:rPr>
          <w:rFonts w:hint="default"/>
          <w:color w:val="auto"/>
          <w:highlight w:val="none"/>
        </w:rPr>
      </w:pPr>
    </w:p>
    <w:p w14:paraId="267E063D">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p>
    <w:p w14:paraId="4BC215AC">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p>
    <w:p w14:paraId="6FC63435">
      <w:pPr>
        <w:tabs>
          <w:tab w:val="left" w:pos="720"/>
        </w:tabs>
        <w:adjustRightInd w:val="0"/>
        <w:snapToGrid w:val="0"/>
        <w:spacing w:line="480" w:lineRule="auto"/>
        <w:ind w:left="420"/>
        <w:jc w:val="center"/>
        <w:outlineLvl w:val="2"/>
        <w:rPr>
          <w:rFonts w:asciiTheme="minorEastAsia" w:hAnsiTheme="minorEastAsia" w:eastAsiaTheme="minorEastAsia" w:cstheme="minorEastAsia"/>
          <w:b/>
          <w:snapToGrid w:val="0"/>
          <w:color w:val="auto"/>
          <w:kern w:val="0"/>
          <w:sz w:val="32"/>
          <w:szCs w:val="32"/>
          <w:highlight w:val="none"/>
        </w:rPr>
      </w:pPr>
      <w:r>
        <w:rPr>
          <w:rFonts w:asciiTheme="minorEastAsia" w:hAnsiTheme="minorEastAsia" w:eastAsiaTheme="minorEastAsia" w:cstheme="minorEastAsia"/>
          <w:b/>
          <w:snapToGrid w:val="0"/>
          <w:color w:val="auto"/>
          <w:kern w:val="0"/>
          <w:sz w:val="32"/>
          <w:szCs w:val="32"/>
          <w:highlight w:val="none"/>
        </w:rPr>
        <w:t>报价文件目录</w:t>
      </w:r>
    </w:p>
    <w:p w14:paraId="21CDD575">
      <w:pPr>
        <w:snapToGrid w:val="0"/>
        <w:spacing w:line="48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1.投标函（格式见附件）—————————页码 </w:t>
      </w:r>
    </w:p>
    <w:p w14:paraId="7082BB3F">
      <w:pPr>
        <w:snapToGrid w:val="0"/>
        <w:spacing w:line="48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2.开标一览表（格式见附件）———————页码</w:t>
      </w:r>
    </w:p>
    <w:p w14:paraId="6256669B">
      <w:pPr>
        <w:snapToGrid w:val="0"/>
        <w:spacing w:line="48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3.投标报价明细表（格式见附件）—————页码</w:t>
      </w:r>
    </w:p>
    <w:p w14:paraId="248B19D8">
      <w:pPr>
        <w:snapToGrid w:val="0"/>
        <w:spacing w:line="48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.投标人针对报价需要说明的其他文件和说明（格式自拟）—————页码</w:t>
      </w:r>
    </w:p>
    <w:p w14:paraId="076B3782">
      <w:pPr>
        <w:snapToGrid w:val="0"/>
        <w:spacing w:line="480" w:lineRule="auto"/>
        <w:ind w:firstLine="420" w:firstLineChars="200"/>
        <w:jc w:val="left"/>
        <w:rPr>
          <w:rFonts w:hint="default" w:ascii="Calibri" w:hAnsi="Calibri" w:eastAsiaTheme="minorEastAsia"/>
          <w:color w:val="auto"/>
          <w:szCs w:val="24"/>
          <w:highlight w:val="none"/>
        </w:rPr>
      </w:pPr>
    </w:p>
    <w:p w14:paraId="373D2701">
      <w:pPr>
        <w:pStyle w:val="2"/>
        <w:ind w:left="0" w:leftChars="0" w:firstLine="0" w:firstLineChars="0"/>
        <w:rPr>
          <w:rFonts w:asciiTheme="minorEastAsia" w:hAnsiTheme="minorEastAsia" w:eastAsiaTheme="minorEastAsia" w:cstheme="minorEastAsia"/>
          <w:b/>
          <w:color w:val="auto"/>
          <w:kern w:val="2"/>
          <w:sz w:val="36"/>
          <w:highlight w:val="none"/>
        </w:rPr>
      </w:pPr>
    </w:p>
    <w:p w14:paraId="400E34B8">
      <w:pPr>
        <w:pStyle w:val="2"/>
        <w:ind w:left="0" w:leftChars="0" w:firstLine="0" w:firstLineChars="0"/>
        <w:jc w:val="center"/>
        <w:rPr>
          <w:rFonts w:asciiTheme="minorEastAsia" w:hAnsiTheme="minorEastAsia" w:eastAsiaTheme="minorEastAsia" w:cstheme="minorEastAsia"/>
          <w:b/>
          <w:color w:val="auto"/>
          <w:kern w:val="2"/>
          <w:sz w:val="36"/>
          <w:highlight w:val="none"/>
        </w:rPr>
      </w:pPr>
    </w:p>
    <w:p w14:paraId="7C094B22">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0B9464D2">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56EC7D5E">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49925803">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0E475544">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619ED3F0">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25358DE8">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1291D074">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7EF6BD71">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5ACE86F1">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401BC529">
      <w:pP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0467882B">
      <w:pPr>
        <w:snapToGrid w:val="0"/>
        <w:spacing w:before="120" w:beforeLines="50" w:after="50" w:line="240" w:lineRule="auto"/>
        <w:outlineLvl w:val="2"/>
        <w:rPr>
          <w:rFonts w:ascii="宋体" w:hAnsi="宋体" w:eastAsia="宋体" w:cs="宋体"/>
          <w:b/>
          <w:color w:val="auto"/>
          <w:sz w:val="24"/>
          <w:highlight w:val="none"/>
        </w:rPr>
      </w:pPr>
      <w:r>
        <w:rPr>
          <w:rFonts w:ascii="宋体" w:hAnsi="宋体" w:eastAsia="宋体" w:cs="宋体"/>
          <w:b/>
          <w:color w:val="auto"/>
          <w:sz w:val="24"/>
          <w:szCs w:val="24"/>
          <w:highlight w:val="none"/>
        </w:rPr>
        <w:t>1.投标函格式：</w:t>
      </w:r>
    </w:p>
    <w:p w14:paraId="12DF9E09">
      <w:pPr>
        <w:spacing w:line="360" w:lineRule="auto"/>
        <w:jc w:val="center"/>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投标函</w:t>
      </w:r>
    </w:p>
    <w:p w14:paraId="27BE6C87">
      <w:pPr>
        <w:spacing w:line="340" w:lineRule="exact"/>
        <w:rPr>
          <w:rFonts w:hint="default" w:ascii="宋体" w:hAnsi="宋体" w:eastAsia="宋体" w:cs="宋体"/>
          <w:color w:val="auto"/>
          <w:spacing w:val="-4"/>
          <w:sz w:val="24"/>
          <w:szCs w:val="24"/>
          <w:highlight w:val="none"/>
          <w:u w:val="single"/>
          <w:lang w:val="en-US" w:eastAsia="zh-CN"/>
        </w:rPr>
      </w:pPr>
      <w:r>
        <w:rPr>
          <w:rFonts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val="en-US" w:eastAsia="zh-CN"/>
        </w:rPr>
        <w:t xml:space="preserve">                           </w:t>
      </w:r>
    </w:p>
    <w:p w14:paraId="4F5645CB">
      <w:pPr>
        <w:spacing w:line="340" w:lineRule="exact"/>
        <w:ind w:firstLine="464" w:firstLineChars="200"/>
        <w:rPr>
          <w:rFonts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u w:val="single"/>
        </w:rPr>
        <w:t xml:space="preserve">              （供应商全称）      </w:t>
      </w:r>
      <w:r>
        <w:rPr>
          <w:rFonts w:ascii="宋体" w:hAnsi="宋体" w:eastAsia="宋体" w:cs="宋体"/>
          <w:color w:val="auto"/>
          <w:spacing w:val="-4"/>
          <w:sz w:val="24"/>
          <w:szCs w:val="24"/>
          <w:highlight w:val="none"/>
        </w:rPr>
        <w:t xml:space="preserve"> 授权</w:t>
      </w:r>
      <w:r>
        <w:rPr>
          <w:rFonts w:ascii="宋体" w:hAnsi="宋体" w:eastAsia="宋体" w:cs="宋体"/>
          <w:color w:val="auto"/>
          <w:spacing w:val="-4"/>
          <w:sz w:val="24"/>
          <w:szCs w:val="24"/>
          <w:highlight w:val="none"/>
          <w:u w:val="single"/>
        </w:rPr>
        <w:t xml:space="preserve"> （全权代表姓名、职务）      </w:t>
      </w:r>
      <w:r>
        <w:rPr>
          <w:rFonts w:ascii="宋体" w:hAnsi="宋体" w:eastAsia="宋体" w:cs="宋体"/>
          <w:color w:val="auto"/>
          <w:spacing w:val="-4"/>
          <w:sz w:val="24"/>
          <w:szCs w:val="24"/>
          <w:highlight w:val="none"/>
        </w:rPr>
        <w:t xml:space="preserve">为本公司合法代理人，参加贵方组织的 </w:t>
      </w:r>
      <w:r>
        <w:rPr>
          <w:rFonts w:ascii="宋体" w:hAnsi="宋体" w:eastAsia="宋体" w:cs="宋体"/>
          <w:color w:val="auto"/>
          <w:spacing w:val="-4"/>
          <w:sz w:val="24"/>
          <w:szCs w:val="24"/>
          <w:highlight w:val="none"/>
          <w:u w:val="single"/>
        </w:rPr>
        <w:t xml:space="preserve">         （招标编号、招标项目名称）  </w:t>
      </w:r>
      <w:r>
        <w:rPr>
          <w:rFonts w:ascii="宋体" w:hAnsi="宋体" w:eastAsia="宋体" w:cs="宋体"/>
          <w:color w:val="auto"/>
          <w:spacing w:val="-4"/>
          <w:sz w:val="24"/>
          <w:szCs w:val="24"/>
          <w:highlight w:val="none"/>
        </w:rPr>
        <w:t>招投标活动，代表本公司处理招投标活动中的一切事宜，在此：</w:t>
      </w:r>
    </w:p>
    <w:p w14:paraId="3BC052EA">
      <w:pPr>
        <w:numPr>
          <w:ilvl w:val="0"/>
          <w:numId w:val="12"/>
        </w:numPr>
        <w:tabs>
          <w:tab w:val="left" w:pos="426"/>
          <w:tab w:val="clear" w:pos="840"/>
        </w:tabs>
        <w:spacing w:line="340" w:lineRule="exact"/>
        <w:ind w:left="0"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提供招标文件中规定的全部投标文件。</w:t>
      </w:r>
    </w:p>
    <w:p w14:paraId="5C39B080">
      <w:pPr>
        <w:numPr>
          <w:ilvl w:val="0"/>
          <w:numId w:val="12"/>
        </w:numPr>
        <w:tabs>
          <w:tab w:val="left" w:pos="426"/>
          <w:tab w:val="clear" w:pos="840"/>
        </w:tabs>
        <w:spacing w:line="340" w:lineRule="exact"/>
        <w:ind w:left="0"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据此函，签字代表宣布并承诺如下：</w:t>
      </w:r>
    </w:p>
    <w:p w14:paraId="2C350202">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 投标产品的投标总价为《开标一览表》所列金额。</w:t>
      </w:r>
    </w:p>
    <w:p w14:paraId="089AC299">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本报价已经包含了所供产品应纳的税金及招标文件规定的报价方式应包含的其他费用。本报价在投标有效期内固定不变，并在合同有效期内不受利率、物价、政策等波动的影响。</w:t>
      </w:r>
    </w:p>
    <w:p w14:paraId="34282014">
      <w:pPr>
        <w:numPr>
          <w:ilvl w:val="0"/>
          <w:numId w:val="13"/>
        </w:num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本投标自开标之日起</w:t>
      </w:r>
      <w:r>
        <w:rPr>
          <w:rFonts w:ascii="宋体" w:hAnsi="宋体" w:eastAsia="宋体" w:cs="宋体"/>
          <w:color w:val="auto"/>
          <w:spacing w:val="-4"/>
          <w:sz w:val="24"/>
          <w:szCs w:val="24"/>
          <w:highlight w:val="none"/>
          <w:u w:val="single"/>
        </w:rPr>
        <w:t xml:space="preserve"> 90 </w:t>
      </w:r>
      <w:r>
        <w:rPr>
          <w:rFonts w:ascii="宋体" w:hAnsi="宋体" w:eastAsia="宋体" w:cs="宋体"/>
          <w:color w:val="auto"/>
          <w:spacing w:val="-4"/>
          <w:sz w:val="24"/>
          <w:szCs w:val="24"/>
          <w:highlight w:val="none"/>
        </w:rPr>
        <w:t>天内有效。</w:t>
      </w:r>
    </w:p>
    <w:p w14:paraId="02637776">
      <w:pPr>
        <w:numPr>
          <w:ilvl w:val="0"/>
          <w:numId w:val="13"/>
        </w:num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highlight w:val="none"/>
        </w:rPr>
        <w:t>我方此次向贵方提供的项目名称为：</w:t>
      </w:r>
      <w:r>
        <w:rPr>
          <w:rFonts w:ascii="宋体" w:hAnsi="宋体" w:eastAsia="宋体" w:cs="宋体"/>
          <w:color w:val="auto"/>
          <w:spacing w:val="-4"/>
          <w:sz w:val="24"/>
          <w:highlight w:val="none"/>
          <w:u w:val="single"/>
        </w:rPr>
        <w:t xml:space="preserve">  </w:t>
      </w:r>
      <w:r>
        <w:rPr>
          <w:rFonts w:ascii="宋体" w:hAnsi="宋体" w:eastAsia="宋体" w:cs="宋体"/>
          <w:bCs/>
          <w:color w:val="auto"/>
          <w:spacing w:val="-4"/>
          <w:sz w:val="24"/>
          <w:highlight w:val="none"/>
          <w:u w:val="single"/>
        </w:rPr>
        <w:t xml:space="preserve">       </w:t>
      </w:r>
      <w:r>
        <w:rPr>
          <w:rFonts w:ascii="宋体" w:hAnsi="宋体" w:eastAsia="宋体" w:cs="宋体"/>
          <w:color w:val="auto"/>
          <w:spacing w:val="-4"/>
          <w:sz w:val="24"/>
          <w:highlight w:val="none"/>
          <w:u w:val="single"/>
        </w:rPr>
        <w:t xml:space="preserve">   </w:t>
      </w:r>
      <w:r>
        <w:rPr>
          <w:rFonts w:ascii="宋体" w:hAnsi="宋体" w:eastAsia="宋体" w:cs="宋体"/>
          <w:color w:val="auto"/>
          <w:spacing w:val="-4"/>
          <w:sz w:val="24"/>
          <w:highlight w:val="none"/>
        </w:rPr>
        <w:t>，该项目我方有能力完成。</w:t>
      </w:r>
    </w:p>
    <w:p w14:paraId="3CEA9553">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0E6F787C">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656DE3AB">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（6） 承诺应贵方要求提供任何与该项目投标有关的数据、情况和技术资料。</w:t>
      </w:r>
    </w:p>
    <w:p w14:paraId="43C400EC">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5164237E">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（8）</w:t>
      </w:r>
      <w:r>
        <w:rPr>
          <w:rFonts w:ascii="宋体" w:hAnsi="宋体" w:eastAsia="宋体" w:cs="宋体"/>
          <w:color w:val="auto"/>
          <w:spacing w:val="-4"/>
          <w:sz w:val="24"/>
          <w:highlight w:val="none"/>
        </w:rPr>
        <w:t>我方向贵方提交的所有投标文件、资料都是准确的和真实的。若未中标，我单位同意采购人免费采用我单位全部或部分方案。</w:t>
      </w:r>
    </w:p>
    <w:p w14:paraId="09B276BD">
      <w:pPr>
        <w:spacing w:line="340" w:lineRule="exact"/>
        <w:ind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auto"/>
          <w:spacing w:val="-4"/>
          <w:sz w:val="24"/>
          <w:highlight w:val="none"/>
        </w:rPr>
        <w:t>并在人员、设备、资金等方面具有相应的供货及安装能力</w:t>
      </w:r>
      <w:r>
        <w:rPr>
          <w:rFonts w:ascii="宋体" w:hAnsi="宋体" w:eastAsia="宋体" w:cs="宋体"/>
          <w:color w:val="auto"/>
          <w:spacing w:val="-4"/>
          <w:sz w:val="24"/>
          <w:szCs w:val="24"/>
          <w:highlight w:val="none"/>
        </w:rPr>
        <w:t>。我公司</w:t>
      </w:r>
      <w:r>
        <w:rPr>
          <w:rFonts w:ascii="宋体" w:hAnsi="宋体" w:eastAsia="宋体" w:cs="宋体"/>
          <w:color w:val="auto"/>
          <w:spacing w:val="-4"/>
          <w:sz w:val="24"/>
          <w:highlight w:val="none"/>
        </w:rPr>
        <w:t>未被列入失信被执行人名单、重大税收违法失信主体、政府采购严重违法失信行为记录名单。</w:t>
      </w:r>
    </w:p>
    <w:p w14:paraId="1E81DB99">
      <w:pPr>
        <w:numPr>
          <w:ilvl w:val="0"/>
          <w:numId w:val="12"/>
        </w:numPr>
        <w:tabs>
          <w:tab w:val="left" w:pos="426"/>
          <w:tab w:val="clear" w:pos="840"/>
        </w:tabs>
        <w:spacing w:line="340" w:lineRule="exact"/>
        <w:ind w:left="0" w:firstLine="464" w:firstLineChars="200"/>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与本投标有关的一切往来通讯请寄：</w:t>
      </w:r>
    </w:p>
    <w:p w14:paraId="76D23320">
      <w:pPr>
        <w:snapToGrid w:val="0"/>
        <w:spacing w:line="360" w:lineRule="auto"/>
        <w:rPr>
          <w:rFonts w:ascii="宋体" w:hAnsi="宋体" w:eastAsia="宋体" w:cs="宋体"/>
          <w:color w:val="auto"/>
          <w:sz w:val="24"/>
          <w:szCs w:val="24"/>
          <w:highlight w:val="none"/>
        </w:rPr>
      </w:pPr>
    </w:p>
    <w:p w14:paraId="79005BD1">
      <w:pPr>
        <w:snapToGrid w:val="0"/>
        <w:spacing w:line="360" w:lineRule="auto"/>
        <w:rPr>
          <w:rFonts w:ascii="宋体" w:hAnsi="宋体" w:eastAsia="宋体" w:cs="宋体"/>
          <w:color w:val="auto"/>
          <w:sz w:val="24"/>
          <w:szCs w:val="24"/>
          <w:highlight w:val="none"/>
        </w:rPr>
      </w:pPr>
    </w:p>
    <w:p w14:paraId="1DCF513F">
      <w:pPr>
        <w:snapToGrid w:val="0"/>
        <w:spacing w:line="360" w:lineRule="auto"/>
        <w:rPr>
          <w:rFonts w:ascii="宋体" w:hAnsi="宋体" w:eastAsia="宋体" w:cs="宋体"/>
          <w:color w:val="auto"/>
          <w:sz w:val="24"/>
          <w:highlight w:val="none"/>
        </w:rPr>
      </w:pPr>
      <w:r>
        <w:rPr>
          <w:rFonts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邮编：__________   电话：______________</w:t>
      </w:r>
    </w:p>
    <w:p w14:paraId="356C9C27">
      <w:pPr>
        <w:snapToGrid w:val="0"/>
        <w:spacing w:line="360" w:lineRule="auto"/>
        <w:rPr>
          <w:rFonts w:ascii="宋体" w:hAnsi="宋体" w:eastAsia="宋体" w:cs="宋体"/>
          <w:color w:val="auto"/>
          <w:sz w:val="24"/>
          <w:highlight w:val="none"/>
        </w:rPr>
      </w:pPr>
      <w:r>
        <w:rPr>
          <w:rFonts w:ascii="宋体" w:hAnsi="宋体" w:eastAsia="宋体" w:cs="宋体"/>
          <w:color w:val="auto"/>
          <w:sz w:val="24"/>
          <w:szCs w:val="24"/>
          <w:highlight w:val="none"/>
        </w:rPr>
        <w:t>传真：________________  电子邮箱：________________</w:t>
      </w:r>
    </w:p>
    <w:p w14:paraId="22AF5BD6">
      <w:pPr>
        <w:snapToGrid w:val="0"/>
        <w:spacing w:line="360" w:lineRule="auto"/>
        <w:rPr>
          <w:rFonts w:ascii="宋体" w:hAnsi="宋体" w:eastAsia="宋体" w:cs="宋体"/>
          <w:color w:val="auto"/>
          <w:sz w:val="24"/>
          <w:highlight w:val="none"/>
        </w:rPr>
      </w:pPr>
      <w:r>
        <w:rPr>
          <w:rFonts w:ascii="宋体" w:hAnsi="宋体" w:eastAsia="宋体" w:cs="宋体"/>
          <w:color w:val="auto"/>
          <w:sz w:val="24"/>
          <w:szCs w:val="24"/>
          <w:highlight w:val="none"/>
        </w:rPr>
        <w:t>投标人名称（电子签章）:___________________</w:t>
      </w:r>
    </w:p>
    <w:p w14:paraId="3C62E826">
      <w:pPr>
        <w:snapToGrid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法定代表人（签字或盖章）:________________   </w:t>
      </w:r>
    </w:p>
    <w:p w14:paraId="3970D79E">
      <w:pPr>
        <w:adjustRightInd w:val="0"/>
        <w:spacing w:line="360" w:lineRule="auto"/>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390C8BC2">
      <w:pPr>
        <w:snapToGrid w:val="0"/>
        <w:spacing w:before="50" w:after="120" w:afterLines="50" w:line="240" w:lineRule="auto"/>
        <w:jc w:val="left"/>
        <w:rPr>
          <w:rFonts w:asciiTheme="minorEastAsia" w:hAnsiTheme="minorEastAsia" w:eastAsiaTheme="minorEastAsia" w:cstheme="minorEastAsia"/>
          <w:b/>
          <w:color w:val="auto"/>
          <w:sz w:val="24"/>
          <w:szCs w:val="24"/>
          <w:highlight w:val="none"/>
        </w:rPr>
      </w:pPr>
    </w:p>
    <w:p w14:paraId="315A76A2">
      <w:pPr>
        <w:spacing w:line="240" w:lineRule="auto"/>
        <w:ind w:right="-567"/>
        <w:jc w:val="left"/>
        <w:rPr>
          <w:rFonts w:ascii="宋体" w:hAnsi="宋体" w:eastAsia="宋体" w:cs="宋体"/>
          <w:b/>
          <w:color w:val="auto"/>
          <w:sz w:val="24"/>
          <w:szCs w:val="24"/>
          <w:highlight w:val="none"/>
        </w:rPr>
      </w:pPr>
    </w:p>
    <w:p w14:paraId="7685E091">
      <w:pPr>
        <w:spacing w:line="240" w:lineRule="auto"/>
        <w:ind w:right="-567"/>
        <w:jc w:val="left"/>
        <w:rPr>
          <w:rFonts w:ascii="宋体" w:hAnsi="宋体" w:eastAsia="宋体" w:cs="宋体"/>
          <w:b/>
          <w:color w:val="auto"/>
          <w:sz w:val="24"/>
          <w:szCs w:val="24"/>
          <w:highlight w:val="none"/>
        </w:rPr>
      </w:pPr>
    </w:p>
    <w:p w14:paraId="090511F7">
      <w:pPr>
        <w:spacing w:line="240" w:lineRule="auto"/>
        <w:ind w:right="-567"/>
        <w:jc w:val="left"/>
        <w:rPr>
          <w:rFonts w:ascii="宋体" w:hAnsi="宋体" w:eastAsia="宋体" w:cs="宋体"/>
          <w:b/>
          <w:color w:val="auto"/>
          <w:sz w:val="24"/>
          <w:szCs w:val="24"/>
          <w:highlight w:val="none"/>
        </w:rPr>
      </w:pPr>
    </w:p>
    <w:p w14:paraId="228EEACD">
      <w:pPr>
        <w:spacing w:line="240" w:lineRule="auto"/>
        <w:ind w:right="-567"/>
        <w:jc w:val="left"/>
        <w:rPr>
          <w:rFonts w:ascii="宋体" w:hAnsi="宋体" w:eastAsia="宋体" w:cs="宋体"/>
          <w:b/>
          <w:color w:val="auto"/>
          <w:sz w:val="24"/>
          <w:szCs w:val="24"/>
          <w:highlight w:val="none"/>
        </w:rPr>
      </w:pPr>
    </w:p>
    <w:p w14:paraId="5FD28B8B">
      <w:pPr>
        <w:spacing w:line="240" w:lineRule="auto"/>
        <w:ind w:right="-567"/>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t>2.开标一览表格式：</w:t>
      </w:r>
    </w:p>
    <w:p w14:paraId="2B4041DE">
      <w:pPr>
        <w:spacing w:line="360" w:lineRule="auto"/>
        <w:jc w:val="center"/>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t>开标一览表</w:t>
      </w:r>
    </w:p>
    <w:p w14:paraId="5B2BAA7A">
      <w:pPr>
        <w:spacing w:line="200" w:lineRule="exact"/>
        <w:rPr>
          <w:rFonts w:ascii="宋体" w:hAnsi="宋体" w:eastAsia="宋体" w:cs="宋体"/>
          <w:color w:val="auto"/>
          <w:spacing w:val="-4"/>
          <w:sz w:val="24"/>
          <w:szCs w:val="24"/>
          <w:highlight w:val="none"/>
        </w:rPr>
      </w:pPr>
    </w:p>
    <w:p w14:paraId="3537F971">
      <w:pPr>
        <w:tabs>
          <w:tab w:val="right" w:pos="8847"/>
        </w:tabs>
        <w:spacing w:line="360" w:lineRule="auto"/>
        <w:rPr>
          <w:rFonts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rPr>
        <w:t>项目名称：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项目编号：</w:t>
      </w:r>
      <w:r>
        <w:rPr>
          <w:rFonts w:ascii="宋体" w:hAnsi="宋体" w:eastAsia="宋体" w:cs="宋体"/>
          <w:color w:val="auto"/>
          <w:spacing w:val="-4"/>
          <w:sz w:val="24"/>
          <w:szCs w:val="24"/>
          <w:highlight w:val="none"/>
          <w:u w:val="single"/>
        </w:rPr>
        <w:t xml:space="preserve">                      </w:t>
      </w:r>
    </w:p>
    <w:tbl>
      <w:tblPr>
        <w:tblStyle w:val="20"/>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52"/>
        <w:gridCol w:w="918"/>
        <w:gridCol w:w="3690"/>
        <w:gridCol w:w="1482"/>
      </w:tblGrid>
      <w:tr w14:paraId="07FBCC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3F6925D7">
            <w:pPr>
              <w:spacing w:line="0" w:lineRule="atLeast"/>
              <w:jc w:val="center"/>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序号</w:t>
            </w:r>
          </w:p>
        </w:tc>
        <w:tc>
          <w:tcPr>
            <w:tcW w:w="1852" w:type="dxa"/>
            <w:tcBorders>
              <w:top w:val="single" w:color="auto" w:sz="4" w:space="0"/>
              <w:bottom w:val="single" w:color="auto" w:sz="4" w:space="0"/>
            </w:tcBorders>
            <w:tcMar>
              <w:left w:w="0" w:type="dxa"/>
              <w:right w:w="0" w:type="dxa"/>
            </w:tcMar>
            <w:vAlign w:val="center"/>
          </w:tcPr>
          <w:p w14:paraId="3FDD6F04">
            <w:pPr>
              <w:spacing w:line="0" w:lineRule="atLeas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项目名称</w:t>
            </w:r>
          </w:p>
        </w:tc>
        <w:tc>
          <w:tcPr>
            <w:tcW w:w="918" w:type="dxa"/>
            <w:tcBorders>
              <w:top w:val="single" w:color="auto" w:sz="4" w:space="0"/>
              <w:bottom w:val="single" w:color="auto" w:sz="4" w:space="0"/>
              <w:right w:val="single" w:color="auto" w:sz="4" w:space="0"/>
            </w:tcBorders>
            <w:tcMar>
              <w:left w:w="0" w:type="dxa"/>
              <w:right w:w="0" w:type="dxa"/>
            </w:tcMar>
            <w:vAlign w:val="center"/>
          </w:tcPr>
          <w:p w14:paraId="2CF8B1FD">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3690" w:type="dxa"/>
            <w:tcBorders>
              <w:top w:val="single" w:color="auto" w:sz="4" w:space="0"/>
              <w:left w:val="single" w:color="auto" w:sz="4" w:space="0"/>
              <w:bottom w:val="single" w:color="auto" w:sz="4" w:space="0"/>
            </w:tcBorders>
            <w:tcMar>
              <w:left w:w="0" w:type="dxa"/>
              <w:right w:w="0" w:type="dxa"/>
            </w:tcMar>
            <w:vAlign w:val="center"/>
          </w:tcPr>
          <w:p w14:paraId="5BD0FFF7">
            <w:pPr>
              <w:snapToGrid w:val="0"/>
              <w:spacing w:before="50" w:after="50"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投标价（人民币元）</w:t>
            </w:r>
          </w:p>
        </w:tc>
        <w:tc>
          <w:tcPr>
            <w:tcW w:w="1482" w:type="dxa"/>
            <w:tcBorders>
              <w:top w:val="single" w:color="auto" w:sz="4" w:space="0"/>
              <w:bottom w:val="single" w:color="auto" w:sz="4" w:space="0"/>
            </w:tcBorders>
            <w:tcMar>
              <w:left w:w="0" w:type="dxa"/>
              <w:right w:w="0" w:type="dxa"/>
            </w:tcMar>
            <w:vAlign w:val="center"/>
          </w:tcPr>
          <w:p w14:paraId="7BF88463">
            <w:pPr>
              <w:snapToGrid w:val="0"/>
              <w:spacing w:before="50" w:after="50" w:line="240" w:lineRule="auto"/>
              <w:jc w:val="center"/>
              <w:rPr>
                <w:rFonts w:ascii="宋体" w:hAnsi="宋体" w:eastAsia="宋体" w:cs="宋体"/>
                <w:color w:val="auto"/>
                <w:sz w:val="24"/>
                <w:szCs w:val="24"/>
                <w:highlight w:val="none"/>
              </w:rPr>
            </w:pPr>
            <w:r>
              <w:rPr>
                <w:rFonts w:ascii="宋体" w:hAnsi="宋体" w:eastAsia="宋体" w:cs="宋体"/>
                <w:bCs/>
                <w:color w:val="auto"/>
                <w:szCs w:val="30"/>
                <w:highlight w:val="none"/>
              </w:rPr>
              <w:t>备注</w:t>
            </w:r>
          </w:p>
        </w:tc>
      </w:tr>
      <w:tr w14:paraId="1C857D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61D26201">
            <w:pPr>
              <w:spacing w:line="0" w:lineRule="atLeast"/>
              <w:jc w:val="center"/>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w:t>
            </w:r>
          </w:p>
        </w:tc>
        <w:tc>
          <w:tcPr>
            <w:tcW w:w="1852" w:type="dxa"/>
            <w:tcBorders>
              <w:bottom w:val="single" w:color="auto" w:sz="4" w:space="0"/>
            </w:tcBorders>
            <w:tcMar>
              <w:left w:w="0" w:type="dxa"/>
              <w:right w:w="0" w:type="dxa"/>
            </w:tcMar>
            <w:vAlign w:val="center"/>
          </w:tcPr>
          <w:p w14:paraId="5F06A8A9">
            <w:pPr>
              <w:spacing w:line="0" w:lineRule="atLeast"/>
              <w:jc w:val="center"/>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 xml:space="preserve">浦江县城区幼儿园金狮湖幼儿园建设项目幼儿园玩具  </w:t>
            </w:r>
          </w:p>
        </w:tc>
        <w:tc>
          <w:tcPr>
            <w:tcW w:w="918" w:type="dxa"/>
            <w:tcBorders>
              <w:bottom w:val="single" w:color="auto" w:sz="4" w:space="0"/>
              <w:right w:val="single" w:color="auto" w:sz="4" w:space="0"/>
            </w:tcBorders>
            <w:tcMar>
              <w:left w:w="0" w:type="dxa"/>
              <w:right w:w="0" w:type="dxa"/>
            </w:tcMar>
            <w:vAlign w:val="center"/>
          </w:tcPr>
          <w:p w14:paraId="1D81559B">
            <w:pPr>
              <w:spacing w:line="0" w:lineRule="atLeast"/>
              <w:jc w:val="center"/>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1项</w:t>
            </w:r>
          </w:p>
        </w:tc>
        <w:tc>
          <w:tcPr>
            <w:tcW w:w="3690" w:type="dxa"/>
            <w:tcBorders>
              <w:left w:val="single" w:color="auto" w:sz="4" w:space="0"/>
              <w:bottom w:val="single" w:color="auto" w:sz="4" w:space="0"/>
            </w:tcBorders>
            <w:tcMar>
              <w:left w:w="0" w:type="dxa"/>
              <w:right w:w="0" w:type="dxa"/>
            </w:tcMar>
            <w:vAlign w:val="center"/>
          </w:tcPr>
          <w:p w14:paraId="05BDD89B">
            <w:pPr>
              <w:spacing w:line="0" w:lineRule="atLeast"/>
              <w:jc w:val="center"/>
              <w:rPr>
                <w:rFonts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5F2B55C0">
            <w:pPr>
              <w:spacing w:line="0" w:lineRule="atLeast"/>
              <w:jc w:val="center"/>
              <w:rPr>
                <w:rFonts w:ascii="宋体" w:hAnsi="宋体" w:eastAsia="宋体" w:cs="宋体"/>
                <w:color w:val="auto"/>
                <w:spacing w:val="-4"/>
                <w:sz w:val="24"/>
                <w:szCs w:val="24"/>
                <w:highlight w:val="none"/>
              </w:rPr>
            </w:pPr>
          </w:p>
        </w:tc>
      </w:tr>
      <w:tr w14:paraId="634E00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48275817">
            <w:pPr>
              <w:spacing w:line="0" w:lineRule="atLeast"/>
              <w:jc w:val="center"/>
              <w:rPr>
                <w:rFonts w:ascii="宋体" w:hAnsi="宋体" w:eastAsia="宋体" w:cs="宋体"/>
                <w:color w:val="auto"/>
                <w:spacing w:val="-4"/>
                <w:sz w:val="24"/>
                <w:szCs w:val="24"/>
                <w:highlight w:val="none"/>
              </w:rPr>
            </w:pPr>
          </w:p>
        </w:tc>
        <w:tc>
          <w:tcPr>
            <w:tcW w:w="1852" w:type="dxa"/>
            <w:tcBorders>
              <w:bottom w:val="single" w:color="auto" w:sz="4" w:space="0"/>
            </w:tcBorders>
            <w:tcMar>
              <w:left w:w="0" w:type="dxa"/>
              <w:right w:w="0" w:type="dxa"/>
            </w:tcMar>
            <w:vAlign w:val="center"/>
          </w:tcPr>
          <w:p w14:paraId="286B3523">
            <w:pPr>
              <w:spacing w:line="0" w:lineRule="atLeast"/>
              <w:jc w:val="center"/>
              <w:rPr>
                <w:rFonts w:ascii="宋体" w:hAnsi="宋体" w:eastAsia="宋体" w:cs="宋体"/>
                <w:color w:val="auto"/>
                <w:spacing w:val="-4"/>
                <w:sz w:val="24"/>
                <w:szCs w:val="24"/>
                <w:highlight w:val="none"/>
              </w:rPr>
            </w:pPr>
          </w:p>
        </w:tc>
        <w:tc>
          <w:tcPr>
            <w:tcW w:w="918" w:type="dxa"/>
            <w:tcBorders>
              <w:bottom w:val="single" w:color="auto" w:sz="4" w:space="0"/>
              <w:right w:val="single" w:color="auto" w:sz="4" w:space="0"/>
            </w:tcBorders>
            <w:tcMar>
              <w:left w:w="0" w:type="dxa"/>
              <w:right w:w="0" w:type="dxa"/>
            </w:tcMar>
            <w:vAlign w:val="center"/>
          </w:tcPr>
          <w:p w14:paraId="33E23DD5">
            <w:pPr>
              <w:spacing w:line="0" w:lineRule="atLeast"/>
              <w:ind w:left="420"/>
              <w:rPr>
                <w:rFonts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tcMar>
              <w:left w:w="0" w:type="dxa"/>
              <w:right w:w="0" w:type="dxa"/>
            </w:tcMar>
            <w:vAlign w:val="center"/>
          </w:tcPr>
          <w:p w14:paraId="096ADE1D">
            <w:pPr>
              <w:spacing w:line="0" w:lineRule="atLeast"/>
              <w:jc w:val="center"/>
              <w:rPr>
                <w:rFonts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63D7A7D2">
            <w:pPr>
              <w:spacing w:line="0" w:lineRule="atLeast"/>
              <w:jc w:val="center"/>
              <w:rPr>
                <w:rFonts w:ascii="宋体" w:hAnsi="宋体" w:eastAsia="宋体" w:cs="宋体"/>
                <w:color w:val="auto"/>
                <w:spacing w:val="-4"/>
                <w:sz w:val="24"/>
                <w:szCs w:val="24"/>
                <w:highlight w:val="none"/>
              </w:rPr>
            </w:pPr>
          </w:p>
        </w:tc>
      </w:tr>
      <w:tr w14:paraId="36C29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42704719">
            <w:pPr>
              <w:spacing w:line="0" w:lineRule="atLeast"/>
              <w:jc w:val="center"/>
              <w:rPr>
                <w:rFonts w:ascii="宋体" w:hAnsi="宋体" w:eastAsia="宋体" w:cs="宋体"/>
                <w:color w:val="auto"/>
                <w:spacing w:val="-4"/>
                <w:sz w:val="24"/>
                <w:szCs w:val="24"/>
                <w:highlight w:val="none"/>
              </w:rPr>
            </w:pPr>
          </w:p>
        </w:tc>
        <w:tc>
          <w:tcPr>
            <w:tcW w:w="1852" w:type="dxa"/>
            <w:tcBorders>
              <w:bottom w:val="single" w:color="auto" w:sz="4" w:space="0"/>
            </w:tcBorders>
            <w:tcMar>
              <w:left w:w="0" w:type="dxa"/>
              <w:right w:w="0" w:type="dxa"/>
            </w:tcMar>
            <w:vAlign w:val="center"/>
          </w:tcPr>
          <w:p w14:paraId="68647215">
            <w:pPr>
              <w:spacing w:line="0" w:lineRule="atLeast"/>
              <w:jc w:val="center"/>
              <w:rPr>
                <w:rFonts w:ascii="宋体" w:hAnsi="宋体" w:eastAsia="宋体" w:cs="宋体"/>
                <w:color w:val="auto"/>
                <w:spacing w:val="-4"/>
                <w:sz w:val="24"/>
                <w:szCs w:val="24"/>
                <w:highlight w:val="none"/>
              </w:rPr>
            </w:pPr>
          </w:p>
        </w:tc>
        <w:tc>
          <w:tcPr>
            <w:tcW w:w="918" w:type="dxa"/>
            <w:tcBorders>
              <w:bottom w:val="single" w:color="auto" w:sz="4" w:space="0"/>
              <w:right w:val="single" w:color="auto" w:sz="4" w:space="0"/>
            </w:tcBorders>
            <w:tcMar>
              <w:left w:w="0" w:type="dxa"/>
              <w:right w:w="0" w:type="dxa"/>
            </w:tcMar>
            <w:vAlign w:val="center"/>
          </w:tcPr>
          <w:p w14:paraId="70796DF6">
            <w:pPr>
              <w:spacing w:line="0" w:lineRule="atLeast"/>
              <w:ind w:left="420"/>
              <w:jc w:val="center"/>
              <w:rPr>
                <w:rFonts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tcMar>
              <w:left w:w="0" w:type="dxa"/>
              <w:right w:w="0" w:type="dxa"/>
            </w:tcMar>
            <w:vAlign w:val="center"/>
          </w:tcPr>
          <w:p w14:paraId="7D7C6A81">
            <w:pPr>
              <w:spacing w:line="0" w:lineRule="atLeast"/>
              <w:jc w:val="center"/>
              <w:rPr>
                <w:rFonts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290EC5AF">
            <w:pPr>
              <w:spacing w:line="0" w:lineRule="atLeast"/>
              <w:jc w:val="center"/>
              <w:rPr>
                <w:rFonts w:ascii="宋体" w:hAnsi="宋体" w:eastAsia="宋体" w:cs="宋体"/>
                <w:color w:val="auto"/>
                <w:spacing w:val="-4"/>
                <w:sz w:val="24"/>
                <w:szCs w:val="24"/>
                <w:highlight w:val="none"/>
              </w:rPr>
            </w:pPr>
          </w:p>
        </w:tc>
      </w:tr>
      <w:tr w14:paraId="02E61A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6224DF75">
            <w:pPr>
              <w:spacing w:line="0" w:lineRule="atLeast"/>
              <w:jc w:val="center"/>
              <w:rPr>
                <w:rFonts w:ascii="宋体" w:hAnsi="宋体" w:eastAsia="宋体" w:cs="宋体"/>
                <w:color w:val="auto"/>
                <w:spacing w:val="-4"/>
                <w:sz w:val="24"/>
                <w:szCs w:val="24"/>
                <w:highlight w:val="none"/>
              </w:rPr>
            </w:pPr>
          </w:p>
        </w:tc>
        <w:tc>
          <w:tcPr>
            <w:tcW w:w="1852" w:type="dxa"/>
            <w:tcBorders>
              <w:bottom w:val="single" w:color="auto" w:sz="4" w:space="0"/>
            </w:tcBorders>
            <w:tcMar>
              <w:left w:w="0" w:type="dxa"/>
              <w:right w:w="0" w:type="dxa"/>
            </w:tcMar>
            <w:vAlign w:val="center"/>
          </w:tcPr>
          <w:p w14:paraId="3B9D71C8">
            <w:pPr>
              <w:spacing w:line="0" w:lineRule="atLeast"/>
              <w:jc w:val="center"/>
              <w:rPr>
                <w:rFonts w:ascii="宋体" w:hAnsi="宋体" w:eastAsia="宋体" w:cs="宋体"/>
                <w:color w:val="auto"/>
                <w:spacing w:val="-4"/>
                <w:sz w:val="24"/>
                <w:szCs w:val="24"/>
                <w:highlight w:val="none"/>
              </w:rPr>
            </w:pPr>
          </w:p>
        </w:tc>
        <w:tc>
          <w:tcPr>
            <w:tcW w:w="918" w:type="dxa"/>
            <w:tcBorders>
              <w:bottom w:val="single" w:color="auto" w:sz="4" w:space="0"/>
              <w:right w:val="single" w:color="auto" w:sz="4" w:space="0"/>
            </w:tcBorders>
            <w:tcMar>
              <w:left w:w="0" w:type="dxa"/>
              <w:right w:w="0" w:type="dxa"/>
            </w:tcMar>
            <w:vAlign w:val="center"/>
          </w:tcPr>
          <w:p w14:paraId="2222DD2D">
            <w:pPr>
              <w:spacing w:line="0" w:lineRule="atLeast"/>
              <w:ind w:left="420"/>
              <w:jc w:val="center"/>
              <w:rPr>
                <w:rFonts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tcMar>
              <w:left w:w="0" w:type="dxa"/>
              <w:right w:w="0" w:type="dxa"/>
            </w:tcMar>
            <w:vAlign w:val="center"/>
          </w:tcPr>
          <w:p w14:paraId="2E8BC0D2">
            <w:pPr>
              <w:spacing w:line="0" w:lineRule="atLeast"/>
              <w:jc w:val="center"/>
              <w:rPr>
                <w:rFonts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4270F7FA">
            <w:pPr>
              <w:spacing w:line="0" w:lineRule="atLeast"/>
              <w:jc w:val="center"/>
              <w:rPr>
                <w:rFonts w:ascii="宋体" w:hAnsi="宋体" w:eastAsia="宋体" w:cs="宋体"/>
                <w:color w:val="auto"/>
                <w:spacing w:val="-4"/>
                <w:sz w:val="24"/>
                <w:szCs w:val="24"/>
                <w:highlight w:val="none"/>
              </w:rPr>
            </w:pPr>
          </w:p>
        </w:tc>
      </w:tr>
      <w:tr w14:paraId="19BAB3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509EC9F1">
            <w:pPr>
              <w:spacing w:line="0" w:lineRule="atLeast"/>
              <w:jc w:val="center"/>
              <w:rPr>
                <w:rFonts w:ascii="宋体" w:hAnsi="宋体" w:eastAsia="宋体" w:cs="宋体"/>
                <w:color w:val="auto"/>
                <w:spacing w:val="-4"/>
                <w:sz w:val="24"/>
                <w:szCs w:val="24"/>
                <w:highlight w:val="none"/>
              </w:rPr>
            </w:pPr>
          </w:p>
        </w:tc>
        <w:tc>
          <w:tcPr>
            <w:tcW w:w="1852" w:type="dxa"/>
            <w:tcBorders>
              <w:bottom w:val="single" w:color="auto" w:sz="4" w:space="0"/>
            </w:tcBorders>
            <w:tcMar>
              <w:left w:w="0" w:type="dxa"/>
              <w:right w:w="0" w:type="dxa"/>
            </w:tcMar>
            <w:vAlign w:val="center"/>
          </w:tcPr>
          <w:p w14:paraId="76B6077B">
            <w:pPr>
              <w:spacing w:line="0" w:lineRule="atLeast"/>
              <w:jc w:val="center"/>
              <w:rPr>
                <w:rFonts w:ascii="宋体" w:hAnsi="宋体" w:eastAsia="宋体" w:cs="宋体"/>
                <w:color w:val="auto"/>
                <w:spacing w:val="-4"/>
                <w:sz w:val="24"/>
                <w:szCs w:val="24"/>
                <w:highlight w:val="none"/>
              </w:rPr>
            </w:pPr>
          </w:p>
        </w:tc>
        <w:tc>
          <w:tcPr>
            <w:tcW w:w="918" w:type="dxa"/>
            <w:tcBorders>
              <w:bottom w:val="single" w:color="auto" w:sz="4" w:space="0"/>
              <w:right w:val="single" w:color="auto" w:sz="4" w:space="0"/>
            </w:tcBorders>
            <w:tcMar>
              <w:left w:w="0" w:type="dxa"/>
              <w:right w:w="0" w:type="dxa"/>
            </w:tcMar>
            <w:vAlign w:val="center"/>
          </w:tcPr>
          <w:p w14:paraId="4049DDDD">
            <w:pPr>
              <w:spacing w:line="0" w:lineRule="atLeast"/>
              <w:ind w:left="420"/>
              <w:jc w:val="center"/>
              <w:rPr>
                <w:rFonts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tcMar>
              <w:left w:w="0" w:type="dxa"/>
              <w:right w:w="0" w:type="dxa"/>
            </w:tcMar>
            <w:vAlign w:val="center"/>
          </w:tcPr>
          <w:p w14:paraId="6CD13B94">
            <w:pPr>
              <w:spacing w:line="0" w:lineRule="atLeast"/>
              <w:jc w:val="center"/>
              <w:rPr>
                <w:rFonts w:ascii="宋体" w:hAnsi="宋体" w:eastAsia="宋体" w:cs="宋体"/>
                <w:color w:val="auto"/>
                <w:spacing w:val="-4"/>
                <w:sz w:val="24"/>
                <w:szCs w:val="24"/>
                <w:highlight w:val="none"/>
              </w:rPr>
            </w:pPr>
          </w:p>
        </w:tc>
        <w:tc>
          <w:tcPr>
            <w:tcW w:w="1482" w:type="dxa"/>
            <w:tcBorders>
              <w:bottom w:val="single" w:color="auto" w:sz="4" w:space="0"/>
            </w:tcBorders>
            <w:tcMar>
              <w:left w:w="0" w:type="dxa"/>
              <w:right w:w="0" w:type="dxa"/>
            </w:tcMar>
            <w:vAlign w:val="center"/>
          </w:tcPr>
          <w:p w14:paraId="31E783DE">
            <w:pPr>
              <w:spacing w:line="0" w:lineRule="atLeast"/>
              <w:jc w:val="center"/>
              <w:rPr>
                <w:rFonts w:ascii="宋体" w:hAnsi="宋体" w:eastAsia="宋体" w:cs="宋体"/>
                <w:color w:val="auto"/>
                <w:spacing w:val="-4"/>
                <w:sz w:val="24"/>
                <w:szCs w:val="24"/>
                <w:highlight w:val="none"/>
              </w:rPr>
            </w:pPr>
          </w:p>
        </w:tc>
      </w:tr>
      <w:tr w14:paraId="3D1968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2425" w:type="dxa"/>
            <w:gridSpan w:val="2"/>
            <w:tcBorders>
              <w:top w:val="single" w:color="auto" w:sz="4" w:space="0"/>
              <w:right w:val="single" w:color="auto" w:sz="2" w:space="0"/>
            </w:tcBorders>
            <w:tcMar>
              <w:left w:w="0" w:type="dxa"/>
              <w:right w:w="0" w:type="dxa"/>
            </w:tcMar>
            <w:vAlign w:val="center"/>
          </w:tcPr>
          <w:p w14:paraId="2A755239">
            <w:pPr>
              <w:spacing w:line="0" w:lineRule="atLeast"/>
              <w:jc w:val="center"/>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投标价总计</w:t>
            </w:r>
          </w:p>
        </w:tc>
        <w:tc>
          <w:tcPr>
            <w:tcW w:w="6090" w:type="dxa"/>
            <w:gridSpan w:val="3"/>
            <w:tcBorders>
              <w:top w:val="single" w:color="auto" w:sz="4" w:space="0"/>
              <w:left w:val="single" w:color="auto" w:sz="2" w:space="0"/>
              <w:bottom w:val="single" w:color="auto" w:sz="4" w:space="0"/>
            </w:tcBorders>
            <w:vAlign w:val="center"/>
          </w:tcPr>
          <w:p w14:paraId="71E01884">
            <w:pPr>
              <w:spacing w:line="0" w:lineRule="atLeast"/>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大写：</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元（小写）：</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元</w:t>
            </w:r>
          </w:p>
        </w:tc>
      </w:tr>
      <w:tr w14:paraId="65DD4C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12CCD8F2">
            <w:pPr>
              <w:spacing w:line="0" w:lineRule="atLeast"/>
              <w:jc w:val="center"/>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投标声明</w:t>
            </w:r>
          </w:p>
        </w:tc>
        <w:tc>
          <w:tcPr>
            <w:tcW w:w="7942" w:type="dxa"/>
            <w:gridSpan w:val="4"/>
            <w:tcBorders>
              <w:top w:val="single" w:color="auto" w:sz="4" w:space="0"/>
            </w:tcBorders>
            <w:tcMar>
              <w:left w:w="0" w:type="dxa"/>
              <w:right w:w="0" w:type="dxa"/>
            </w:tcMar>
            <w:vAlign w:val="center"/>
          </w:tcPr>
          <w:p w14:paraId="57AB68B8">
            <w:pPr>
              <w:widowControl/>
              <w:spacing w:line="0" w:lineRule="atLeast"/>
              <w:ind w:left="103" w:right="100"/>
              <w:rPr>
                <w:rFonts w:ascii="宋体" w:hAnsi="宋体" w:eastAsia="宋体" w:cs="宋体"/>
                <w:color w:val="auto"/>
                <w:sz w:val="24"/>
                <w:szCs w:val="24"/>
                <w:highlight w:val="none"/>
              </w:rPr>
            </w:pPr>
          </w:p>
        </w:tc>
      </w:tr>
    </w:tbl>
    <w:p w14:paraId="75CD061E">
      <w:pPr>
        <w:spacing w:line="240" w:lineRule="auto"/>
        <w:rPr>
          <w:rFonts w:ascii="宋体" w:hAnsi="宋体" w:eastAsia="宋体" w:cs="宋体"/>
          <w:color w:val="auto"/>
          <w:sz w:val="24"/>
          <w:szCs w:val="24"/>
          <w:highlight w:val="none"/>
        </w:rPr>
      </w:pPr>
    </w:p>
    <w:p w14:paraId="5570A682">
      <w:pPr>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注：1.报价一经涂改，应在涂改处加盖单位公章或者由法定代表人或授权代表签字或盖章，否则其投标作无效标处理。投标价超出最高限价的作无效标处理。</w:t>
      </w:r>
    </w:p>
    <w:p w14:paraId="5DB09B92">
      <w:pPr>
        <w:spacing w:before="100" w:after="100" w:line="24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费用包括货款、标准附件、备品备件、专用工具、配套设施、辅材辅件、配件、包装、运输、装卸、安装调试费、相关验收费用、管理费、利润、风险费、保险、税金、培训、技术指导、售后服务、设计费、专利费（著作权）、招标代理费、其他费用等完成招标内容及要求所提供的货物及服务过程中涉及的一切费用。</w:t>
      </w:r>
    </w:p>
    <w:p w14:paraId="5B4D21C7">
      <w:pPr>
        <w:spacing w:line="360" w:lineRule="auto"/>
        <w:rPr>
          <w:rFonts w:ascii="宋体" w:hAnsi="宋体" w:eastAsia="宋体" w:cs="宋体"/>
          <w:color w:val="auto"/>
          <w:sz w:val="24"/>
          <w:szCs w:val="24"/>
          <w:highlight w:val="none"/>
        </w:rPr>
      </w:pPr>
    </w:p>
    <w:p w14:paraId="3915C528">
      <w:pPr>
        <w:spacing w:line="360" w:lineRule="auto"/>
        <w:rPr>
          <w:rFonts w:ascii="宋体" w:hAnsi="宋体" w:eastAsia="宋体" w:cs="宋体"/>
          <w:color w:val="auto"/>
          <w:spacing w:val="20"/>
          <w:sz w:val="24"/>
          <w:szCs w:val="24"/>
          <w:highlight w:val="none"/>
          <w:u w:val="singl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13395EA9">
      <w:pPr>
        <w:spacing w:line="360" w:lineRule="auto"/>
        <w:rPr>
          <w:rFonts w:ascii="宋体" w:hAnsi="宋体" w:eastAsia="宋体" w:cs="宋体"/>
          <w:color w:val="auto"/>
          <w:spacing w:val="2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1AF125AE">
      <w:pPr>
        <w:adjustRightInd w:val="0"/>
        <w:spacing w:line="360" w:lineRule="auto"/>
        <w:jc w:val="left"/>
        <w:rPr>
          <w:rFonts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日期：</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年</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月</w:t>
      </w:r>
      <w:r>
        <w:rPr>
          <w:rFonts w:ascii="宋体" w:hAnsi="宋体" w:eastAsia="宋体" w:cs="宋体"/>
          <w:snapToGrid w:val="0"/>
          <w:color w:val="auto"/>
          <w:kern w:val="0"/>
          <w:sz w:val="24"/>
          <w:szCs w:val="24"/>
          <w:highlight w:val="none"/>
          <w:u w:val="single"/>
        </w:rPr>
        <w:t xml:space="preserve">       </w:t>
      </w:r>
      <w:r>
        <w:rPr>
          <w:rFonts w:ascii="宋体" w:hAnsi="宋体" w:eastAsia="宋体" w:cs="宋体"/>
          <w:snapToGrid w:val="0"/>
          <w:color w:val="auto"/>
          <w:kern w:val="0"/>
          <w:sz w:val="24"/>
          <w:szCs w:val="24"/>
          <w:highlight w:val="none"/>
        </w:rPr>
        <w:t>日</w:t>
      </w:r>
    </w:p>
    <w:p w14:paraId="406DECF9">
      <w:pPr>
        <w:jc w:val="left"/>
        <w:outlineLvl w:val="1"/>
        <w:rPr>
          <w:rFonts w:ascii="宋体" w:hAnsi="宋体" w:cs="宋体"/>
          <w:bCs/>
          <w:color w:val="auto"/>
          <w:sz w:val="24"/>
          <w:highlight w:val="none"/>
        </w:rPr>
        <w:sectPr>
          <w:headerReference r:id="rId8" w:type="default"/>
          <w:footerReference r:id="rId9" w:type="default"/>
          <w:pgSz w:w="11907" w:h="16840"/>
          <w:pgMar w:top="1247" w:right="1386" w:bottom="1304" w:left="1501" w:header="284" w:footer="703" w:gutter="0"/>
          <w:cols w:space="720" w:num="1"/>
          <w:docGrid w:linePitch="286" w:charSpace="0"/>
        </w:sectPr>
      </w:pPr>
    </w:p>
    <w:p w14:paraId="064AB577">
      <w:pPr>
        <w:jc w:val="left"/>
        <w:outlineLvl w:val="2"/>
        <w:rPr>
          <w:rFonts w:ascii="宋体" w:hAnsi="宋体" w:eastAsia="宋体" w:cs="宋体"/>
          <w:b/>
          <w:color w:val="auto"/>
          <w:sz w:val="24"/>
          <w:szCs w:val="24"/>
          <w:highlight w:val="none"/>
        </w:rPr>
      </w:pPr>
      <w:r>
        <w:rPr>
          <w:rFonts w:ascii="宋体" w:hAnsi="宋体" w:eastAsia="宋体" w:cs="宋体"/>
          <w:b/>
          <w:color w:val="auto"/>
          <w:sz w:val="24"/>
          <w:szCs w:val="24"/>
          <w:highlight w:val="none"/>
        </w:rPr>
        <w:t>3.投标报价明细表格式：</w:t>
      </w:r>
    </w:p>
    <w:p w14:paraId="7B20407D">
      <w:pPr>
        <w:spacing w:line="360" w:lineRule="auto"/>
        <w:jc w:val="center"/>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t>投标报价明细表</w:t>
      </w:r>
    </w:p>
    <w:p w14:paraId="1F56E656">
      <w:pPr>
        <w:spacing w:line="240" w:lineRule="auto"/>
        <w:rPr>
          <w:rFonts w:ascii="宋体" w:hAnsi="宋体" w:eastAsia="宋体" w:cs="宋体"/>
          <w:color w:val="auto"/>
          <w:spacing w:val="-4"/>
          <w:sz w:val="24"/>
          <w:szCs w:val="24"/>
          <w:highlight w:val="none"/>
          <w:u w:val="single"/>
        </w:rPr>
      </w:pPr>
      <w:r>
        <w:rPr>
          <w:rFonts w:ascii="宋体" w:hAnsi="宋体" w:eastAsia="宋体" w:cs="宋体"/>
          <w:color w:val="auto"/>
          <w:spacing w:val="-4"/>
          <w:sz w:val="24"/>
          <w:szCs w:val="24"/>
          <w:highlight w:val="none"/>
        </w:rPr>
        <w:t>项目名称：</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项目编号：</w:t>
      </w:r>
      <w:r>
        <w:rPr>
          <w:rFonts w:ascii="宋体" w:hAnsi="宋体" w:eastAsia="宋体" w:cs="宋体"/>
          <w:color w:val="auto"/>
          <w:spacing w:val="-4"/>
          <w:sz w:val="24"/>
          <w:szCs w:val="24"/>
          <w:highlight w:val="none"/>
          <w:u w:val="single"/>
        </w:rPr>
        <w:t xml:space="preserve">                       </w:t>
      </w:r>
    </w:p>
    <w:p w14:paraId="3E0387E3">
      <w:pPr>
        <w:spacing w:line="240" w:lineRule="atLeast"/>
        <w:rPr>
          <w:rFonts w:ascii="宋体" w:hAnsi="宋体" w:eastAsia="宋体" w:cs="宋体"/>
          <w:b/>
          <w:bCs/>
          <w:color w:val="auto"/>
          <w:sz w:val="24"/>
          <w:szCs w:val="24"/>
          <w:highlight w:val="none"/>
        </w:rPr>
      </w:pPr>
    </w:p>
    <w:tbl>
      <w:tblPr>
        <w:tblStyle w:val="131"/>
        <w:tblpPr w:leftFromText="180" w:rightFromText="180" w:vertAnchor="text" w:horzAnchor="page" w:tblpX="1165" w:tblpY="49"/>
        <w:tblOverlap w:val="never"/>
        <w:tblW w:w="91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2205"/>
        <w:gridCol w:w="808"/>
        <w:gridCol w:w="1194"/>
        <w:gridCol w:w="913"/>
        <w:gridCol w:w="1118"/>
        <w:gridCol w:w="841"/>
        <w:gridCol w:w="682"/>
        <w:gridCol w:w="708"/>
      </w:tblGrid>
      <w:tr w14:paraId="7A1E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656" w:type="dxa"/>
            <w:vAlign w:val="top"/>
          </w:tcPr>
          <w:p w14:paraId="2846708E">
            <w:pPr>
              <w:spacing w:line="270" w:lineRule="auto"/>
              <w:rPr>
                <w:rFonts w:ascii="Arial"/>
                <w:color w:val="auto"/>
                <w:sz w:val="21"/>
                <w:highlight w:val="none"/>
              </w:rPr>
            </w:pPr>
          </w:p>
          <w:p w14:paraId="2EAFAF2A">
            <w:pPr>
              <w:pStyle w:val="75"/>
              <w:spacing w:before="65" w:line="230" w:lineRule="auto"/>
              <w:ind w:left="116"/>
              <w:rPr>
                <w:color w:val="auto"/>
                <w:sz w:val="20"/>
                <w:szCs w:val="20"/>
                <w:highlight w:val="none"/>
              </w:rPr>
            </w:pPr>
            <w:r>
              <w:rPr>
                <w:b/>
                <w:bCs/>
                <w:color w:val="auto"/>
                <w:spacing w:val="4"/>
                <w:sz w:val="20"/>
                <w:szCs w:val="20"/>
                <w:highlight w:val="none"/>
              </w:rPr>
              <w:t>序号</w:t>
            </w:r>
          </w:p>
        </w:tc>
        <w:tc>
          <w:tcPr>
            <w:tcW w:w="2205" w:type="dxa"/>
            <w:vAlign w:val="top"/>
          </w:tcPr>
          <w:p w14:paraId="70D749F9">
            <w:pPr>
              <w:spacing w:line="270" w:lineRule="auto"/>
              <w:rPr>
                <w:rFonts w:ascii="Arial"/>
                <w:color w:val="auto"/>
                <w:sz w:val="21"/>
                <w:highlight w:val="none"/>
              </w:rPr>
            </w:pPr>
          </w:p>
          <w:p w14:paraId="335E592B">
            <w:pPr>
              <w:pStyle w:val="75"/>
              <w:spacing w:before="65" w:line="229" w:lineRule="auto"/>
              <w:ind w:left="954"/>
              <w:rPr>
                <w:color w:val="auto"/>
                <w:sz w:val="20"/>
                <w:szCs w:val="20"/>
                <w:highlight w:val="none"/>
              </w:rPr>
            </w:pPr>
            <w:r>
              <w:rPr>
                <w:b/>
                <w:bCs/>
                <w:color w:val="auto"/>
                <w:spacing w:val="3"/>
                <w:sz w:val="20"/>
                <w:szCs w:val="20"/>
                <w:highlight w:val="none"/>
              </w:rPr>
              <w:t>标的</w:t>
            </w:r>
          </w:p>
        </w:tc>
        <w:tc>
          <w:tcPr>
            <w:tcW w:w="808" w:type="dxa"/>
            <w:vAlign w:val="top"/>
          </w:tcPr>
          <w:p w14:paraId="18E6F642">
            <w:pPr>
              <w:spacing w:line="270" w:lineRule="auto"/>
              <w:rPr>
                <w:rFonts w:ascii="Arial"/>
                <w:color w:val="auto"/>
                <w:sz w:val="21"/>
                <w:highlight w:val="none"/>
              </w:rPr>
            </w:pPr>
          </w:p>
          <w:p w14:paraId="3A4C621C">
            <w:pPr>
              <w:pStyle w:val="75"/>
              <w:spacing w:before="65" w:line="228" w:lineRule="auto"/>
              <w:ind w:left="202"/>
              <w:rPr>
                <w:color w:val="auto"/>
                <w:sz w:val="20"/>
                <w:szCs w:val="20"/>
                <w:highlight w:val="none"/>
              </w:rPr>
            </w:pPr>
            <w:r>
              <w:rPr>
                <w:b/>
                <w:bCs/>
                <w:color w:val="auto"/>
                <w:spacing w:val="3"/>
                <w:sz w:val="20"/>
                <w:szCs w:val="20"/>
                <w:highlight w:val="none"/>
              </w:rPr>
              <w:t>数量</w:t>
            </w:r>
          </w:p>
        </w:tc>
        <w:tc>
          <w:tcPr>
            <w:tcW w:w="1194" w:type="dxa"/>
            <w:vAlign w:val="top"/>
          </w:tcPr>
          <w:p w14:paraId="51D18343">
            <w:pPr>
              <w:spacing w:line="270" w:lineRule="auto"/>
              <w:rPr>
                <w:rFonts w:ascii="Arial"/>
                <w:color w:val="auto"/>
                <w:sz w:val="21"/>
                <w:highlight w:val="none"/>
              </w:rPr>
            </w:pPr>
          </w:p>
          <w:p w14:paraId="4A6C3765">
            <w:pPr>
              <w:pStyle w:val="75"/>
              <w:spacing w:before="65" w:line="229" w:lineRule="auto"/>
              <w:ind w:left="395"/>
              <w:rPr>
                <w:color w:val="auto"/>
                <w:sz w:val="20"/>
                <w:szCs w:val="20"/>
                <w:highlight w:val="none"/>
              </w:rPr>
            </w:pPr>
            <w:r>
              <w:rPr>
                <w:b/>
                <w:bCs/>
                <w:color w:val="auto"/>
                <w:spacing w:val="3"/>
                <w:sz w:val="20"/>
                <w:szCs w:val="20"/>
                <w:highlight w:val="none"/>
              </w:rPr>
              <w:t>单位</w:t>
            </w:r>
          </w:p>
        </w:tc>
        <w:tc>
          <w:tcPr>
            <w:tcW w:w="913" w:type="dxa"/>
            <w:vAlign w:val="top"/>
          </w:tcPr>
          <w:p w14:paraId="723D5DB5">
            <w:pPr>
              <w:pStyle w:val="75"/>
              <w:spacing w:before="118" w:line="227" w:lineRule="auto"/>
              <w:ind w:left="307"/>
              <w:rPr>
                <w:color w:val="auto"/>
                <w:sz w:val="20"/>
                <w:szCs w:val="20"/>
                <w:highlight w:val="none"/>
              </w:rPr>
            </w:pPr>
            <w:r>
              <w:rPr>
                <w:b/>
                <w:bCs/>
                <w:color w:val="auto"/>
                <w:spacing w:val="3"/>
                <w:sz w:val="20"/>
                <w:szCs w:val="20"/>
                <w:highlight w:val="none"/>
              </w:rPr>
              <w:t>单价</w:t>
            </w:r>
          </w:p>
          <w:p w14:paraId="43D49A42">
            <w:pPr>
              <w:pStyle w:val="75"/>
              <w:spacing w:before="191" w:line="229" w:lineRule="auto"/>
              <w:ind w:left="160"/>
              <w:rPr>
                <w:color w:val="auto"/>
                <w:sz w:val="20"/>
                <w:szCs w:val="20"/>
                <w:highlight w:val="none"/>
              </w:rPr>
            </w:pPr>
            <w:r>
              <w:rPr>
                <w:b/>
                <w:bCs/>
                <w:color w:val="auto"/>
                <w:spacing w:val="-2"/>
                <w:sz w:val="20"/>
                <w:szCs w:val="20"/>
                <w:highlight w:val="none"/>
              </w:rPr>
              <w:t>（元）</w:t>
            </w:r>
          </w:p>
        </w:tc>
        <w:tc>
          <w:tcPr>
            <w:tcW w:w="1118" w:type="dxa"/>
            <w:vAlign w:val="top"/>
          </w:tcPr>
          <w:p w14:paraId="472D8CE4">
            <w:pPr>
              <w:pStyle w:val="75"/>
              <w:spacing w:before="118" w:line="230" w:lineRule="auto"/>
              <w:ind w:left="411"/>
              <w:rPr>
                <w:color w:val="auto"/>
                <w:sz w:val="20"/>
                <w:szCs w:val="20"/>
                <w:highlight w:val="none"/>
              </w:rPr>
            </w:pPr>
            <w:r>
              <w:rPr>
                <w:b/>
                <w:bCs/>
                <w:color w:val="auto"/>
                <w:spacing w:val="3"/>
                <w:sz w:val="20"/>
                <w:szCs w:val="20"/>
                <w:highlight w:val="none"/>
              </w:rPr>
              <w:t>合计</w:t>
            </w:r>
          </w:p>
          <w:p w14:paraId="4DE18769">
            <w:pPr>
              <w:pStyle w:val="75"/>
              <w:spacing w:before="187" w:line="229" w:lineRule="auto"/>
              <w:ind w:left="262"/>
              <w:rPr>
                <w:color w:val="auto"/>
                <w:sz w:val="20"/>
                <w:szCs w:val="20"/>
                <w:highlight w:val="none"/>
              </w:rPr>
            </w:pPr>
            <w:r>
              <w:rPr>
                <w:b/>
                <w:bCs/>
                <w:color w:val="auto"/>
                <w:spacing w:val="-2"/>
                <w:sz w:val="20"/>
                <w:szCs w:val="20"/>
                <w:highlight w:val="none"/>
              </w:rPr>
              <w:t>（元）</w:t>
            </w:r>
          </w:p>
        </w:tc>
        <w:tc>
          <w:tcPr>
            <w:tcW w:w="841" w:type="dxa"/>
            <w:vAlign w:val="top"/>
          </w:tcPr>
          <w:p w14:paraId="3D64FCA6">
            <w:pPr>
              <w:spacing w:line="270" w:lineRule="auto"/>
              <w:rPr>
                <w:rFonts w:ascii="Arial"/>
                <w:color w:val="auto"/>
                <w:sz w:val="21"/>
                <w:highlight w:val="none"/>
              </w:rPr>
            </w:pPr>
          </w:p>
          <w:p w14:paraId="1EBE0122">
            <w:pPr>
              <w:pStyle w:val="75"/>
              <w:spacing w:before="65" w:line="228" w:lineRule="auto"/>
              <w:ind w:left="288"/>
              <w:rPr>
                <w:color w:val="auto"/>
                <w:sz w:val="20"/>
                <w:szCs w:val="20"/>
                <w:highlight w:val="none"/>
              </w:rPr>
            </w:pPr>
            <w:r>
              <w:rPr>
                <w:b/>
                <w:bCs/>
                <w:color w:val="auto"/>
                <w:spacing w:val="-5"/>
                <w:sz w:val="20"/>
                <w:szCs w:val="20"/>
                <w:highlight w:val="none"/>
              </w:rPr>
              <w:t>品牌</w:t>
            </w:r>
          </w:p>
        </w:tc>
        <w:tc>
          <w:tcPr>
            <w:tcW w:w="682" w:type="dxa"/>
            <w:vAlign w:val="top"/>
          </w:tcPr>
          <w:p w14:paraId="3FEF321D">
            <w:pPr>
              <w:spacing w:line="270" w:lineRule="auto"/>
              <w:rPr>
                <w:rFonts w:ascii="Arial"/>
                <w:color w:val="auto"/>
                <w:sz w:val="21"/>
                <w:highlight w:val="none"/>
              </w:rPr>
            </w:pPr>
          </w:p>
          <w:p w14:paraId="0DDE384F">
            <w:pPr>
              <w:pStyle w:val="75"/>
              <w:spacing w:before="65" w:line="230" w:lineRule="auto"/>
              <w:ind w:left="147"/>
              <w:rPr>
                <w:color w:val="auto"/>
                <w:sz w:val="20"/>
                <w:szCs w:val="20"/>
                <w:highlight w:val="none"/>
              </w:rPr>
            </w:pPr>
            <w:r>
              <w:rPr>
                <w:b/>
                <w:bCs/>
                <w:color w:val="auto"/>
                <w:sz w:val="20"/>
                <w:szCs w:val="20"/>
                <w:highlight w:val="none"/>
              </w:rPr>
              <w:t>型号</w:t>
            </w:r>
          </w:p>
        </w:tc>
        <w:tc>
          <w:tcPr>
            <w:tcW w:w="708" w:type="dxa"/>
            <w:vAlign w:val="top"/>
          </w:tcPr>
          <w:p w14:paraId="692BDC1A">
            <w:pPr>
              <w:spacing w:line="270" w:lineRule="auto"/>
              <w:rPr>
                <w:rFonts w:ascii="Arial"/>
                <w:color w:val="auto"/>
                <w:sz w:val="21"/>
                <w:highlight w:val="none"/>
              </w:rPr>
            </w:pPr>
          </w:p>
          <w:p w14:paraId="74F3FF46">
            <w:pPr>
              <w:pStyle w:val="75"/>
              <w:spacing w:before="65" w:line="230" w:lineRule="auto"/>
              <w:ind w:left="155"/>
              <w:rPr>
                <w:color w:val="auto"/>
                <w:sz w:val="20"/>
                <w:szCs w:val="20"/>
                <w:highlight w:val="none"/>
              </w:rPr>
            </w:pPr>
            <w:r>
              <w:rPr>
                <w:b/>
                <w:bCs/>
                <w:color w:val="auto"/>
                <w:spacing w:val="2"/>
                <w:sz w:val="20"/>
                <w:szCs w:val="20"/>
                <w:highlight w:val="none"/>
              </w:rPr>
              <w:t>备注</w:t>
            </w:r>
          </w:p>
        </w:tc>
      </w:tr>
      <w:tr w14:paraId="2D157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6" w:type="dxa"/>
            <w:vAlign w:val="top"/>
          </w:tcPr>
          <w:p w14:paraId="531A8BF1">
            <w:pPr>
              <w:pStyle w:val="75"/>
              <w:spacing w:before="115" w:line="271" w:lineRule="exact"/>
              <w:ind w:left="295"/>
              <w:rPr>
                <w:color w:val="auto"/>
                <w:sz w:val="20"/>
                <w:szCs w:val="20"/>
                <w:highlight w:val="none"/>
              </w:rPr>
            </w:pPr>
            <w:r>
              <w:rPr>
                <w:color w:val="auto"/>
                <w:position w:val="1"/>
                <w:sz w:val="20"/>
                <w:szCs w:val="20"/>
                <w:highlight w:val="none"/>
              </w:rPr>
              <w:t>1</w:t>
            </w:r>
          </w:p>
        </w:tc>
        <w:tc>
          <w:tcPr>
            <w:tcW w:w="2205" w:type="dxa"/>
            <w:vAlign w:val="top"/>
          </w:tcPr>
          <w:p w14:paraId="7FA20B01">
            <w:pPr>
              <w:pStyle w:val="75"/>
              <w:spacing w:before="115" w:line="228" w:lineRule="auto"/>
              <w:ind w:left="114"/>
              <w:rPr>
                <w:color w:val="auto"/>
                <w:sz w:val="20"/>
                <w:szCs w:val="20"/>
                <w:highlight w:val="none"/>
              </w:rPr>
            </w:pPr>
            <w:r>
              <w:rPr>
                <w:rFonts w:hint="eastAsia"/>
                <w:color w:val="auto"/>
                <w:sz w:val="20"/>
                <w:szCs w:val="20"/>
                <w:highlight w:val="none"/>
              </w:rPr>
              <w:t>主题游戏器械</w:t>
            </w:r>
          </w:p>
        </w:tc>
        <w:tc>
          <w:tcPr>
            <w:tcW w:w="808" w:type="dxa"/>
            <w:vAlign w:val="top"/>
          </w:tcPr>
          <w:p w14:paraId="32414E8C">
            <w:pPr>
              <w:pStyle w:val="75"/>
              <w:spacing w:before="115" w:line="271" w:lineRule="exact"/>
              <w:ind w:left="372"/>
              <w:rPr>
                <w:color w:val="auto"/>
                <w:sz w:val="20"/>
                <w:szCs w:val="20"/>
                <w:highlight w:val="none"/>
              </w:rPr>
            </w:pPr>
            <w:r>
              <w:rPr>
                <w:color w:val="auto"/>
                <w:position w:val="1"/>
                <w:sz w:val="20"/>
                <w:szCs w:val="20"/>
                <w:highlight w:val="none"/>
              </w:rPr>
              <w:t>1</w:t>
            </w:r>
          </w:p>
        </w:tc>
        <w:tc>
          <w:tcPr>
            <w:tcW w:w="1194" w:type="dxa"/>
            <w:vAlign w:val="top"/>
          </w:tcPr>
          <w:p w14:paraId="751F9B3F">
            <w:pPr>
              <w:pStyle w:val="75"/>
              <w:spacing w:before="115" w:line="229" w:lineRule="auto"/>
              <w:ind w:left="497"/>
              <w:rPr>
                <w:color w:val="auto"/>
                <w:sz w:val="20"/>
                <w:szCs w:val="20"/>
                <w:highlight w:val="none"/>
              </w:rPr>
            </w:pPr>
            <w:r>
              <w:rPr>
                <w:color w:val="auto"/>
                <w:sz w:val="20"/>
                <w:szCs w:val="20"/>
                <w:highlight w:val="none"/>
              </w:rPr>
              <w:t>套</w:t>
            </w:r>
          </w:p>
        </w:tc>
        <w:tc>
          <w:tcPr>
            <w:tcW w:w="913" w:type="dxa"/>
            <w:vAlign w:val="top"/>
          </w:tcPr>
          <w:p w14:paraId="2DDF29CC">
            <w:pPr>
              <w:rPr>
                <w:rFonts w:ascii="Arial"/>
                <w:color w:val="auto"/>
                <w:sz w:val="21"/>
                <w:highlight w:val="none"/>
              </w:rPr>
            </w:pPr>
          </w:p>
        </w:tc>
        <w:tc>
          <w:tcPr>
            <w:tcW w:w="1118" w:type="dxa"/>
            <w:vAlign w:val="top"/>
          </w:tcPr>
          <w:p w14:paraId="2C055098">
            <w:pPr>
              <w:rPr>
                <w:rFonts w:ascii="Arial"/>
                <w:color w:val="auto"/>
                <w:sz w:val="21"/>
                <w:highlight w:val="none"/>
              </w:rPr>
            </w:pPr>
          </w:p>
        </w:tc>
        <w:tc>
          <w:tcPr>
            <w:tcW w:w="841" w:type="dxa"/>
            <w:vAlign w:val="top"/>
          </w:tcPr>
          <w:p w14:paraId="7712DCA5">
            <w:pPr>
              <w:rPr>
                <w:rFonts w:ascii="Arial"/>
                <w:color w:val="auto"/>
                <w:sz w:val="21"/>
                <w:highlight w:val="none"/>
              </w:rPr>
            </w:pPr>
          </w:p>
        </w:tc>
        <w:tc>
          <w:tcPr>
            <w:tcW w:w="682" w:type="dxa"/>
            <w:vAlign w:val="top"/>
          </w:tcPr>
          <w:p w14:paraId="0F8B8A95">
            <w:pPr>
              <w:rPr>
                <w:rFonts w:ascii="Arial"/>
                <w:color w:val="auto"/>
                <w:sz w:val="21"/>
                <w:highlight w:val="none"/>
              </w:rPr>
            </w:pPr>
          </w:p>
        </w:tc>
        <w:tc>
          <w:tcPr>
            <w:tcW w:w="708" w:type="dxa"/>
            <w:vAlign w:val="top"/>
          </w:tcPr>
          <w:p w14:paraId="5B314895">
            <w:pPr>
              <w:rPr>
                <w:rFonts w:ascii="Arial"/>
                <w:color w:val="auto"/>
                <w:sz w:val="21"/>
                <w:highlight w:val="none"/>
              </w:rPr>
            </w:pPr>
          </w:p>
        </w:tc>
      </w:tr>
      <w:tr w14:paraId="14280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133F1664">
            <w:pPr>
              <w:pStyle w:val="75"/>
              <w:spacing w:before="116" w:line="271" w:lineRule="exact"/>
              <w:ind w:left="282"/>
              <w:rPr>
                <w:color w:val="auto"/>
                <w:sz w:val="20"/>
                <w:szCs w:val="20"/>
                <w:highlight w:val="none"/>
              </w:rPr>
            </w:pPr>
            <w:r>
              <w:rPr>
                <w:color w:val="auto"/>
                <w:position w:val="1"/>
                <w:sz w:val="20"/>
                <w:szCs w:val="20"/>
                <w:highlight w:val="none"/>
              </w:rPr>
              <w:t>2</w:t>
            </w:r>
          </w:p>
        </w:tc>
        <w:tc>
          <w:tcPr>
            <w:tcW w:w="2205" w:type="dxa"/>
            <w:vAlign w:val="top"/>
          </w:tcPr>
          <w:p w14:paraId="3B2D595B">
            <w:pPr>
              <w:pStyle w:val="75"/>
              <w:spacing w:before="116" w:line="228" w:lineRule="auto"/>
              <w:ind w:left="135"/>
              <w:rPr>
                <w:color w:val="auto"/>
                <w:sz w:val="20"/>
                <w:szCs w:val="20"/>
                <w:highlight w:val="none"/>
              </w:rPr>
            </w:pPr>
            <w:r>
              <w:rPr>
                <w:rFonts w:hint="eastAsia"/>
                <w:color w:val="auto"/>
                <w:sz w:val="20"/>
                <w:szCs w:val="20"/>
                <w:highlight w:val="none"/>
              </w:rPr>
              <w:t>玩沙组合</w:t>
            </w:r>
          </w:p>
        </w:tc>
        <w:tc>
          <w:tcPr>
            <w:tcW w:w="808" w:type="dxa"/>
            <w:vAlign w:val="top"/>
          </w:tcPr>
          <w:p w14:paraId="4ABFBE82">
            <w:pPr>
              <w:pStyle w:val="75"/>
              <w:spacing w:before="115" w:line="271" w:lineRule="exact"/>
              <w:ind w:left="372" w:leftChars="0"/>
              <w:rPr>
                <w:color w:val="auto"/>
                <w:sz w:val="20"/>
                <w:szCs w:val="20"/>
                <w:highlight w:val="none"/>
              </w:rPr>
            </w:pPr>
            <w:r>
              <w:rPr>
                <w:color w:val="auto"/>
                <w:position w:val="1"/>
                <w:sz w:val="20"/>
                <w:szCs w:val="20"/>
                <w:highlight w:val="none"/>
              </w:rPr>
              <w:t>1</w:t>
            </w:r>
          </w:p>
        </w:tc>
        <w:tc>
          <w:tcPr>
            <w:tcW w:w="1194" w:type="dxa"/>
            <w:vAlign w:val="top"/>
          </w:tcPr>
          <w:p w14:paraId="202C7798">
            <w:pPr>
              <w:pStyle w:val="75"/>
              <w:spacing w:before="115" w:line="229" w:lineRule="auto"/>
              <w:ind w:left="497" w:leftChars="0"/>
              <w:rPr>
                <w:color w:val="auto"/>
                <w:sz w:val="20"/>
                <w:szCs w:val="20"/>
                <w:highlight w:val="none"/>
              </w:rPr>
            </w:pPr>
            <w:r>
              <w:rPr>
                <w:color w:val="auto"/>
                <w:sz w:val="20"/>
                <w:szCs w:val="20"/>
                <w:highlight w:val="none"/>
              </w:rPr>
              <w:t>套</w:t>
            </w:r>
          </w:p>
        </w:tc>
        <w:tc>
          <w:tcPr>
            <w:tcW w:w="913" w:type="dxa"/>
            <w:vAlign w:val="top"/>
          </w:tcPr>
          <w:p w14:paraId="348D21A2">
            <w:pPr>
              <w:rPr>
                <w:rFonts w:ascii="Arial"/>
                <w:color w:val="auto"/>
                <w:sz w:val="21"/>
                <w:highlight w:val="none"/>
              </w:rPr>
            </w:pPr>
          </w:p>
        </w:tc>
        <w:tc>
          <w:tcPr>
            <w:tcW w:w="1118" w:type="dxa"/>
            <w:vAlign w:val="top"/>
          </w:tcPr>
          <w:p w14:paraId="4E0DEAF7">
            <w:pPr>
              <w:rPr>
                <w:rFonts w:ascii="Arial"/>
                <w:color w:val="auto"/>
                <w:sz w:val="21"/>
                <w:highlight w:val="none"/>
              </w:rPr>
            </w:pPr>
          </w:p>
        </w:tc>
        <w:tc>
          <w:tcPr>
            <w:tcW w:w="841" w:type="dxa"/>
            <w:vAlign w:val="top"/>
          </w:tcPr>
          <w:p w14:paraId="60471A8D">
            <w:pPr>
              <w:rPr>
                <w:rFonts w:ascii="Arial"/>
                <w:color w:val="auto"/>
                <w:sz w:val="21"/>
                <w:highlight w:val="none"/>
              </w:rPr>
            </w:pPr>
          </w:p>
        </w:tc>
        <w:tc>
          <w:tcPr>
            <w:tcW w:w="682" w:type="dxa"/>
            <w:vAlign w:val="top"/>
          </w:tcPr>
          <w:p w14:paraId="47AF9A44">
            <w:pPr>
              <w:rPr>
                <w:rFonts w:ascii="Arial"/>
                <w:color w:val="auto"/>
                <w:sz w:val="21"/>
                <w:highlight w:val="none"/>
              </w:rPr>
            </w:pPr>
          </w:p>
        </w:tc>
        <w:tc>
          <w:tcPr>
            <w:tcW w:w="708" w:type="dxa"/>
            <w:vAlign w:val="top"/>
          </w:tcPr>
          <w:p w14:paraId="1ECD909D">
            <w:pPr>
              <w:rPr>
                <w:rFonts w:ascii="Arial"/>
                <w:color w:val="auto"/>
                <w:sz w:val="21"/>
                <w:highlight w:val="none"/>
              </w:rPr>
            </w:pPr>
          </w:p>
        </w:tc>
      </w:tr>
      <w:tr w14:paraId="26949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3734CDF9">
            <w:pPr>
              <w:pStyle w:val="75"/>
              <w:spacing w:before="116" w:line="269" w:lineRule="exact"/>
              <w:ind w:left="284"/>
              <w:rPr>
                <w:color w:val="auto"/>
                <w:sz w:val="20"/>
                <w:szCs w:val="20"/>
                <w:highlight w:val="none"/>
              </w:rPr>
            </w:pPr>
            <w:r>
              <w:rPr>
                <w:color w:val="auto"/>
                <w:position w:val="1"/>
                <w:sz w:val="20"/>
                <w:szCs w:val="20"/>
                <w:highlight w:val="none"/>
              </w:rPr>
              <w:t>3</w:t>
            </w:r>
          </w:p>
        </w:tc>
        <w:tc>
          <w:tcPr>
            <w:tcW w:w="2205" w:type="dxa"/>
            <w:vAlign w:val="top"/>
          </w:tcPr>
          <w:p w14:paraId="0A2D01E2">
            <w:pPr>
              <w:pStyle w:val="75"/>
              <w:spacing w:before="114" w:line="228" w:lineRule="auto"/>
              <w:ind w:left="112"/>
              <w:rPr>
                <w:color w:val="auto"/>
                <w:sz w:val="20"/>
                <w:szCs w:val="20"/>
                <w:highlight w:val="none"/>
              </w:rPr>
            </w:pPr>
            <w:r>
              <w:rPr>
                <w:rFonts w:hint="eastAsia"/>
                <w:color w:val="auto"/>
                <w:sz w:val="20"/>
                <w:szCs w:val="20"/>
                <w:highlight w:val="none"/>
              </w:rPr>
              <w:t>阿基米德戏水</w:t>
            </w:r>
          </w:p>
        </w:tc>
        <w:tc>
          <w:tcPr>
            <w:tcW w:w="808" w:type="dxa"/>
            <w:vAlign w:val="top"/>
          </w:tcPr>
          <w:p w14:paraId="4A2EC892">
            <w:pPr>
              <w:pStyle w:val="75"/>
              <w:spacing w:before="115" w:line="271" w:lineRule="exact"/>
              <w:ind w:left="372" w:leftChars="0"/>
              <w:rPr>
                <w:color w:val="auto"/>
                <w:sz w:val="20"/>
                <w:szCs w:val="20"/>
                <w:highlight w:val="none"/>
              </w:rPr>
            </w:pPr>
            <w:r>
              <w:rPr>
                <w:color w:val="auto"/>
                <w:position w:val="1"/>
                <w:sz w:val="20"/>
                <w:szCs w:val="20"/>
                <w:highlight w:val="none"/>
              </w:rPr>
              <w:t>1</w:t>
            </w:r>
          </w:p>
        </w:tc>
        <w:tc>
          <w:tcPr>
            <w:tcW w:w="1194" w:type="dxa"/>
            <w:vAlign w:val="top"/>
          </w:tcPr>
          <w:p w14:paraId="2339F866">
            <w:pPr>
              <w:pStyle w:val="75"/>
              <w:spacing w:before="115" w:line="229" w:lineRule="auto"/>
              <w:ind w:left="497" w:leftChars="0"/>
              <w:rPr>
                <w:color w:val="auto"/>
                <w:sz w:val="20"/>
                <w:szCs w:val="20"/>
                <w:highlight w:val="none"/>
              </w:rPr>
            </w:pPr>
            <w:r>
              <w:rPr>
                <w:color w:val="auto"/>
                <w:sz w:val="20"/>
                <w:szCs w:val="20"/>
                <w:highlight w:val="none"/>
              </w:rPr>
              <w:t>套</w:t>
            </w:r>
          </w:p>
        </w:tc>
        <w:tc>
          <w:tcPr>
            <w:tcW w:w="913" w:type="dxa"/>
            <w:vAlign w:val="top"/>
          </w:tcPr>
          <w:p w14:paraId="6DA6ADFF">
            <w:pPr>
              <w:rPr>
                <w:rFonts w:ascii="Arial"/>
                <w:color w:val="auto"/>
                <w:sz w:val="21"/>
                <w:highlight w:val="none"/>
              </w:rPr>
            </w:pPr>
          </w:p>
        </w:tc>
        <w:tc>
          <w:tcPr>
            <w:tcW w:w="1118" w:type="dxa"/>
            <w:vAlign w:val="top"/>
          </w:tcPr>
          <w:p w14:paraId="12002147">
            <w:pPr>
              <w:rPr>
                <w:rFonts w:ascii="Arial"/>
                <w:color w:val="auto"/>
                <w:sz w:val="21"/>
                <w:highlight w:val="none"/>
              </w:rPr>
            </w:pPr>
          </w:p>
        </w:tc>
        <w:tc>
          <w:tcPr>
            <w:tcW w:w="841" w:type="dxa"/>
            <w:vAlign w:val="top"/>
          </w:tcPr>
          <w:p w14:paraId="79640E4F">
            <w:pPr>
              <w:rPr>
                <w:rFonts w:ascii="Arial"/>
                <w:color w:val="auto"/>
                <w:sz w:val="21"/>
                <w:highlight w:val="none"/>
              </w:rPr>
            </w:pPr>
          </w:p>
        </w:tc>
        <w:tc>
          <w:tcPr>
            <w:tcW w:w="682" w:type="dxa"/>
            <w:vAlign w:val="top"/>
          </w:tcPr>
          <w:p w14:paraId="0B77A8DB">
            <w:pPr>
              <w:rPr>
                <w:rFonts w:ascii="Arial"/>
                <w:color w:val="auto"/>
                <w:sz w:val="21"/>
                <w:highlight w:val="none"/>
              </w:rPr>
            </w:pPr>
          </w:p>
        </w:tc>
        <w:tc>
          <w:tcPr>
            <w:tcW w:w="708" w:type="dxa"/>
            <w:vAlign w:val="top"/>
          </w:tcPr>
          <w:p w14:paraId="0AA1567D">
            <w:pPr>
              <w:rPr>
                <w:rFonts w:ascii="Arial"/>
                <w:color w:val="auto"/>
                <w:sz w:val="21"/>
                <w:highlight w:val="none"/>
              </w:rPr>
            </w:pPr>
          </w:p>
        </w:tc>
      </w:tr>
      <w:tr w14:paraId="0DDEE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6" w:type="dxa"/>
            <w:vAlign w:val="top"/>
          </w:tcPr>
          <w:p w14:paraId="58C0C27B">
            <w:pPr>
              <w:pStyle w:val="75"/>
              <w:spacing w:before="115" w:line="271" w:lineRule="exact"/>
              <w:ind w:left="279"/>
              <w:rPr>
                <w:color w:val="auto"/>
                <w:sz w:val="20"/>
                <w:szCs w:val="20"/>
                <w:highlight w:val="none"/>
              </w:rPr>
            </w:pPr>
            <w:r>
              <w:rPr>
                <w:color w:val="auto"/>
                <w:position w:val="1"/>
                <w:sz w:val="20"/>
                <w:szCs w:val="20"/>
                <w:highlight w:val="none"/>
              </w:rPr>
              <w:t>4</w:t>
            </w:r>
          </w:p>
        </w:tc>
        <w:tc>
          <w:tcPr>
            <w:tcW w:w="2205" w:type="dxa"/>
            <w:vAlign w:val="top"/>
          </w:tcPr>
          <w:p w14:paraId="6C8D73C7">
            <w:pPr>
              <w:pStyle w:val="75"/>
              <w:spacing w:before="116" w:line="228" w:lineRule="auto"/>
              <w:ind w:left="113"/>
              <w:rPr>
                <w:color w:val="auto"/>
                <w:sz w:val="20"/>
                <w:szCs w:val="20"/>
                <w:highlight w:val="none"/>
              </w:rPr>
            </w:pPr>
            <w:r>
              <w:rPr>
                <w:rFonts w:hint="eastAsia"/>
                <w:color w:val="auto"/>
                <w:sz w:val="20"/>
                <w:szCs w:val="20"/>
                <w:highlight w:val="none"/>
                <w:lang w:val="en-US" w:eastAsia="zh-CN"/>
              </w:rPr>
              <w:t>阿基米德戏水2</w:t>
            </w:r>
          </w:p>
        </w:tc>
        <w:tc>
          <w:tcPr>
            <w:tcW w:w="808" w:type="dxa"/>
            <w:vAlign w:val="top"/>
          </w:tcPr>
          <w:p w14:paraId="18A9EE3D">
            <w:pPr>
              <w:pStyle w:val="75"/>
              <w:spacing w:before="115" w:line="271" w:lineRule="exact"/>
              <w:ind w:left="372" w:leftChars="0"/>
              <w:rPr>
                <w:color w:val="auto"/>
                <w:sz w:val="20"/>
                <w:szCs w:val="20"/>
                <w:highlight w:val="none"/>
              </w:rPr>
            </w:pPr>
            <w:r>
              <w:rPr>
                <w:color w:val="auto"/>
                <w:position w:val="1"/>
                <w:sz w:val="20"/>
                <w:szCs w:val="20"/>
                <w:highlight w:val="none"/>
              </w:rPr>
              <w:t>1</w:t>
            </w:r>
          </w:p>
        </w:tc>
        <w:tc>
          <w:tcPr>
            <w:tcW w:w="1194" w:type="dxa"/>
            <w:vAlign w:val="top"/>
          </w:tcPr>
          <w:p w14:paraId="525238D6">
            <w:pPr>
              <w:pStyle w:val="75"/>
              <w:spacing w:before="115" w:line="229" w:lineRule="auto"/>
              <w:ind w:left="497" w:leftChars="0"/>
              <w:rPr>
                <w:color w:val="auto"/>
                <w:sz w:val="20"/>
                <w:szCs w:val="20"/>
                <w:highlight w:val="none"/>
              </w:rPr>
            </w:pPr>
            <w:r>
              <w:rPr>
                <w:color w:val="auto"/>
                <w:sz w:val="20"/>
                <w:szCs w:val="20"/>
                <w:highlight w:val="none"/>
              </w:rPr>
              <w:t>套</w:t>
            </w:r>
          </w:p>
        </w:tc>
        <w:tc>
          <w:tcPr>
            <w:tcW w:w="913" w:type="dxa"/>
            <w:vAlign w:val="top"/>
          </w:tcPr>
          <w:p w14:paraId="25E40B37">
            <w:pPr>
              <w:rPr>
                <w:rFonts w:ascii="Arial"/>
                <w:color w:val="auto"/>
                <w:sz w:val="21"/>
                <w:highlight w:val="none"/>
              </w:rPr>
            </w:pPr>
          </w:p>
        </w:tc>
        <w:tc>
          <w:tcPr>
            <w:tcW w:w="1118" w:type="dxa"/>
            <w:vAlign w:val="top"/>
          </w:tcPr>
          <w:p w14:paraId="7486144A">
            <w:pPr>
              <w:rPr>
                <w:rFonts w:ascii="Arial"/>
                <w:color w:val="auto"/>
                <w:sz w:val="21"/>
                <w:highlight w:val="none"/>
              </w:rPr>
            </w:pPr>
          </w:p>
        </w:tc>
        <w:tc>
          <w:tcPr>
            <w:tcW w:w="841" w:type="dxa"/>
            <w:vAlign w:val="top"/>
          </w:tcPr>
          <w:p w14:paraId="22A8AA3C">
            <w:pPr>
              <w:rPr>
                <w:rFonts w:ascii="Arial"/>
                <w:color w:val="auto"/>
                <w:sz w:val="21"/>
                <w:highlight w:val="none"/>
              </w:rPr>
            </w:pPr>
          </w:p>
        </w:tc>
        <w:tc>
          <w:tcPr>
            <w:tcW w:w="682" w:type="dxa"/>
            <w:vAlign w:val="top"/>
          </w:tcPr>
          <w:p w14:paraId="6A55CED7">
            <w:pPr>
              <w:rPr>
                <w:rFonts w:ascii="Arial"/>
                <w:color w:val="auto"/>
                <w:sz w:val="21"/>
                <w:highlight w:val="none"/>
              </w:rPr>
            </w:pPr>
          </w:p>
        </w:tc>
        <w:tc>
          <w:tcPr>
            <w:tcW w:w="708" w:type="dxa"/>
            <w:vAlign w:val="top"/>
          </w:tcPr>
          <w:p w14:paraId="78D7233D">
            <w:pPr>
              <w:rPr>
                <w:rFonts w:ascii="Arial"/>
                <w:color w:val="auto"/>
                <w:sz w:val="21"/>
                <w:highlight w:val="none"/>
              </w:rPr>
            </w:pPr>
          </w:p>
        </w:tc>
      </w:tr>
      <w:tr w14:paraId="59599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6" w:type="dxa"/>
            <w:vAlign w:val="top"/>
          </w:tcPr>
          <w:p w14:paraId="5664813A">
            <w:pPr>
              <w:pStyle w:val="75"/>
              <w:spacing w:before="116" w:line="269" w:lineRule="exact"/>
              <w:ind w:left="284"/>
              <w:rPr>
                <w:color w:val="auto"/>
                <w:sz w:val="20"/>
                <w:szCs w:val="20"/>
                <w:highlight w:val="none"/>
              </w:rPr>
            </w:pPr>
            <w:r>
              <w:rPr>
                <w:color w:val="auto"/>
                <w:position w:val="1"/>
                <w:sz w:val="20"/>
                <w:szCs w:val="20"/>
                <w:highlight w:val="none"/>
              </w:rPr>
              <w:t>5</w:t>
            </w:r>
          </w:p>
        </w:tc>
        <w:tc>
          <w:tcPr>
            <w:tcW w:w="2205" w:type="dxa"/>
            <w:vAlign w:val="top"/>
          </w:tcPr>
          <w:p w14:paraId="3E5266FD">
            <w:pPr>
              <w:pStyle w:val="75"/>
              <w:spacing w:before="117" w:line="228" w:lineRule="auto"/>
              <w:ind w:left="112"/>
              <w:rPr>
                <w:color w:val="auto"/>
                <w:sz w:val="20"/>
                <w:szCs w:val="20"/>
                <w:highlight w:val="none"/>
              </w:rPr>
            </w:pPr>
            <w:r>
              <w:rPr>
                <w:rFonts w:hint="eastAsia"/>
                <w:color w:val="auto"/>
                <w:sz w:val="20"/>
                <w:szCs w:val="20"/>
                <w:highlight w:val="none"/>
              </w:rPr>
              <w:t>木质拓展1</w:t>
            </w:r>
          </w:p>
        </w:tc>
        <w:tc>
          <w:tcPr>
            <w:tcW w:w="808" w:type="dxa"/>
            <w:vAlign w:val="top"/>
          </w:tcPr>
          <w:p w14:paraId="5FFA8ED4">
            <w:pPr>
              <w:pStyle w:val="75"/>
              <w:spacing w:before="116" w:line="271" w:lineRule="exact"/>
              <w:ind w:left="359"/>
              <w:rPr>
                <w:rFonts w:hint="default" w:eastAsia="宋体"/>
                <w:color w:val="auto"/>
                <w:sz w:val="20"/>
                <w:szCs w:val="20"/>
                <w:highlight w:val="none"/>
                <w:lang w:val="en-US" w:eastAsia="zh-CN"/>
              </w:rPr>
            </w:pPr>
            <w:r>
              <w:rPr>
                <w:rFonts w:hint="eastAsia"/>
                <w:color w:val="auto"/>
                <w:position w:val="1"/>
                <w:sz w:val="20"/>
                <w:szCs w:val="20"/>
                <w:highlight w:val="none"/>
                <w:lang w:val="en-US" w:eastAsia="zh-CN"/>
              </w:rPr>
              <w:t>10</w:t>
            </w:r>
          </w:p>
        </w:tc>
        <w:tc>
          <w:tcPr>
            <w:tcW w:w="1194" w:type="dxa"/>
            <w:vAlign w:val="top"/>
          </w:tcPr>
          <w:p w14:paraId="2F8481DD">
            <w:pPr>
              <w:pStyle w:val="75"/>
              <w:spacing w:before="116" w:line="231" w:lineRule="auto"/>
              <w:ind w:left="513"/>
              <w:rPr>
                <w:color w:val="auto"/>
                <w:sz w:val="20"/>
                <w:szCs w:val="20"/>
                <w:highlight w:val="none"/>
              </w:rPr>
            </w:pPr>
            <w:r>
              <w:rPr>
                <w:color w:val="auto"/>
                <w:sz w:val="20"/>
                <w:szCs w:val="20"/>
                <w:highlight w:val="none"/>
              </w:rPr>
              <w:t>套</w:t>
            </w:r>
          </w:p>
        </w:tc>
        <w:tc>
          <w:tcPr>
            <w:tcW w:w="913" w:type="dxa"/>
            <w:vAlign w:val="top"/>
          </w:tcPr>
          <w:p w14:paraId="49D4F8ED">
            <w:pPr>
              <w:rPr>
                <w:rFonts w:ascii="Arial"/>
                <w:color w:val="auto"/>
                <w:sz w:val="21"/>
                <w:highlight w:val="none"/>
              </w:rPr>
            </w:pPr>
          </w:p>
        </w:tc>
        <w:tc>
          <w:tcPr>
            <w:tcW w:w="1118" w:type="dxa"/>
            <w:vAlign w:val="top"/>
          </w:tcPr>
          <w:p w14:paraId="131965E9">
            <w:pPr>
              <w:rPr>
                <w:rFonts w:ascii="Arial"/>
                <w:color w:val="auto"/>
                <w:sz w:val="21"/>
                <w:highlight w:val="none"/>
              </w:rPr>
            </w:pPr>
          </w:p>
        </w:tc>
        <w:tc>
          <w:tcPr>
            <w:tcW w:w="841" w:type="dxa"/>
            <w:vAlign w:val="top"/>
          </w:tcPr>
          <w:p w14:paraId="122853A9">
            <w:pPr>
              <w:rPr>
                <w:rFonts w:ascii="Arial"/>
                <w:color w:val="auto"/>
                <w:sz w:val="21"/>
                <w:highlight w:val="none"/>
              </w:rPr>
            </w:pPr>
          </w:p>
        </w:tc>
        <w:tc>
          <w:tcPr>
            <w:tcW w:w="682" w:type="dxa"/>
            <w:vAlign w:val="top"/>
          </w:tcPr>
          <w:p w14:paraId="2AC6EF6B">
            <w:pPr>
              <w:rPr>
                <w:rFonts w:ascii="Arial"/>
                <w:color w:val="auto"/>
                <w:sz w:val="21"/>
                <w:highlight w:val="none"/>
              </w:rPr>
            </w:pPr>
          </w:p>
        </w:tc>
        <w:tc>
          <w:tcPr>
            <w:tcW w:w="708" w:type="dxa"/>
            <w:vAlign w:val="top"/>
          </w:tcPr>
          <w:p w14:paraId="6BBAF661">
            <w:pPr>
              <w:rPr>
                <w:rFonts w:ascii="Arial"/>
                <w:color w:val="auto"/>
                <w:sz w:val="21"/>
                <w:highlight w:val="none"/>
              </w:rPr>
            </w:pPr>
          </w:p>
        </w:tc>
      </w:tr>
      <w:tr w14:paraId="2DEAE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56" w:type="dxa"/>
            <w:vAlign w:val="top"/>
          </w:tcPr>
          <w:p w14:paraId="4FA6663A">
            <w:pPr>
              <w:pStyle w:val="75"/>
              <w:spacing w:before="293" w:line="83" w:lineRule="exact"/>
              <w:ind w:left="182"/>
              <w:rPr>
                <w:color w:val="auto"/>
                <w:sz w:val="20"/>
                <w:szCs w:val="20"/>
                <w:highlight w:val="none"/>
              </w:rPr>
            </w:pPr>
            <w:r>
              <w:rPr>
                <w:color w:val="auto"/>
                <w:spacing w:val="3"/>
                <w:position w:val="1"/>
                <w:sz w:val="20"/>
                <w:szCs w:val="20"/>
                <w:highlight w:val="none"/>
              </w:rPr>
              <w:t>...</w:t>
            </w:r>
          </w:p>
        </w:tc>
        <w:tc>
          <w:tcPr>
            <w:tcW w:w="2205" w:type="dxa"/>
            <w:vAlign w:val="top"/>
          </w:tcPr>
          <w:p w14:paraId="401DBCCC">
            <w:pPr>
              <w:pStyle w:val="75"/>
              <w:spacing w:before="293" w:line="83" w:lineRule="exact"/>
              <w:ind w:left="954"/>
              <w:rPr>
                <w:color w:val="auto"/>
                <w:sz w:val="20"/>
                <w:szCs w:val="20"/>
                <w:highlight w:val="none"/>
              </w:rPr>
            </w:pPr>
            <w:r>
              <w:rPr>
                <w:color w:val="auto"/>
                <w:spacing w:val="3"/>
                <w:position w:val="1"/>
                <w:sz w:val="20"/>
                <w:szCs w:val="20"/>
                <w:highlight w:val="none"/>
              </w:rPr>
              <w:t>...</w:t>
            </w:r>
          </w:p>
        </w:tc>
        <w:tc>
          <w:tcPr>
            <w:tcW w:w="808" w:type="dxa"/>
            <w:vAlign w:val="top"/>
          </w:tcPr>
          <w:p w14:paraId="5B0D471F">
            <w:pPr>
              <w:pStyle w:val="75"/>
              <w:spacing w:before="293" w:line="83" w:lineRule="exact"/>
              <w:ind w:left="256"/>
              <w:rPr>
                <w:color w:val="auto"/>
                <w:sz w:val="20"/>
                <w:szCs w:val="20"/>
                <w:highlight w:val="none"/>
              </w:rPr>
            </w:pPr>
            <w:r>
              <w:rPr>
                <w:color w:val="auto"/>
                <w:spacing w:val="3"/>
                <w:position w:val="1"/>
                <w:sz w:val="20"/>
                <w:szCs w:val="20"/>
                <w:highlight w:val="none"/>
              </w:rPr>
              <w:t>...</w:t>
            </w:r>
          </w:p>
        </w:tc>
        <w:tc>
          <w:tcPr>
            <w:tcW w:w="1194" w:type="dxa"/>
            <w:vAlign w:val="top"/>
          </w:tcPr>
          <w:p w14:paraId="5B0D49C5">
            <w:pPr>
              <w:pStyle w:val="75"/>
              <w:spacing w:before="293" w:line="83" w:lineRule="exact"/>
              <w:ind w:left="449"/>
              <w:rPr>
                <w:color w:val="auto"/>
                <w:sz w:val="20"/>
                <w:szCs w:val="20"/>
                <w:highlight w:val="none"/>
              </w:rPr>
            </w:pPr>
            <w:r>
              <w:rPr>
                <w:color w:val="auto"/>
                <w:spacing w:val="3"/>
                <w:position w:val="1"/>
                <w:sz w:val="20"/>
                <w:szCs w:val="20"/>
                <w:highlight w:val="none"/>
              </w:rPr>
              <w:t>...</w:t>
            </w:r>
          </w:p>
        </w:tc>
        <w:tc>
          <w:tcPr>
            <w:tcW w:w="913" w:type="dxa"/>
            <w:vAlign w:val="top"/>
          </w:tcPr>
          <w:p w14:paraId="77CDD477">
            <w:pPr>
              <w:rPr>
                <w:rFonts w:ascii="Arial"/>
                <w:color w:val="auto"/>
                <w:sz w:val="21"/>
                <w:highlight w:val="none"/>
              </w:rPr>
            </w:pPr>
          </w:p>
        </w:tc>
        <w:tc>
          <w:tcPr>
            <w:tcW w:w="1118" w:type="dxa"/>
            <w:vAlign w:val="top"/>
          </w:tcPr>
          <w:p w14:paraId="4C64F3CD">
            <w:pPr>
              <w:rPr>
                <w:rFonts w:ascii="Arial"/>
                <w:color w:val="auto"/>
                <w:sz w:val="21"/>
                <w:highlight w:val="none"/>
              </w:rPr>
            </w:pPr>
          </w:p>
        </w:tc>
        <w:tc>
          <w:tcPr>
            <w:tcW w:w="841" w:type="dxa"/>
            <w:vAlign w:val="top"/>
          </w:tcPr>
          <w:p w14:paraId="25CFC271">
            <w:pPr>
              <w:rPr>
                <w:rFonts w:ascii="Arial"/>
                <w:color w:val="auto"/>
                <w:sz w:val="21"/>
                <w:highlight w:val="none"/>
              </w:rPr>
            </w:pPr>
          </w:p>
        </w:tc>
        <w:tc>
          <w:tcPr>
            <w:tcW w:w="682" w:type="dxa"/>
            <w:vAlign w:val="top"/>
          </w:tcPr>
          <w:p w14:paraId="3FBC1F84">
            <w:pPr>
              <w:rPr>
                <w:rFonts w:ascii="Arial"/>
                <w:color w:val="auto"/>
                <w:sz w:val="21"/>
                <w:highlight w:val="none"/>
              </w:rPr>
            </w:pPr>
          </w:p>
        </w:tc>
        <w:tc>
          <w:tcPr>
            <w:tcW w:w="708" w:type="dxa"/>
            <w:vAlign w:val="top"/>
          </w:tcPr>
          <w:p w14:paraId="5BE61257">
            <w:pPr>
              <w:rPr>
                <w:rFonts w:ascii="Arial"/>
                <w:color w:val="auto"/>
                <w:sz w:val="21"/>
                <w:highlight w:val="none"/>
              </w:rPr>
            </w:pPr>
          </w:p>
        </w:tc>
      </w:tr>
      <w:tr w14:paraId="02F2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6E511585">
            <w:pPr>
              <w:pStyle w:val="75"/>
              <w:spacing w:before="272" w:line="84" w:lineRule="exact"/>
              <w:ind w:left="182"/>
              <w:rPr>
                <w:color w:val="auto"/>
                <w:sz w:val="20"/>
                <w:szCs w:val="20"/>
                <w:highlight w:val="none"/>
              </w:rPr>
            </w:pPr>
            <w:r>
              <w:rPr>
                <w:color w:val="auto"/>
                <w:spacing w:val="3"/>
                <w:position w:val="1"/>
                <w:sz w:val="20"/>
                <w:szCs w:val="20"/>
                <w:highlight w:val="none"/>
              </w:rPr>
              <w:t>...</w:t>
            </w:r>
          </w:p>
        </w:tc>
        <w:tc>
          <w:tcPr>
            <w:tcW w:w="2205" w:type="dxa"/>
            <w:vAlign w:val="top"/>
          </w:tcPr>
          <w:p w14:paraId="27E9A2BA">
            <w:pPr>
              <w:pStyle w:val="75"/>
              <w:spacing w:before="272" w:line="84" w:lineRule="exact"/>
              <w:ind w:left="954"/>
              <w:rPr>
                <w:color w:val="auto"/>
                <w:sz w:val="20"/>
                <w:szCs w:val="20"/>
                <w:highlight w:val="none"/>
              </w:rPr>
            </w:pPr>
            <w:r>
              <w:rPr>
                <w:color w:val="auto"/>
                <w:spacing w:val="3"/>
                <w:position w:val="1"/>
                <w:sz w:val="20"/>
                <w:szCs w:val="20"/>
                <w:highlight w:val="none"/>
              </w:rPr>
              <w:t>...</w:t>
            </w:r>
          </w:p>
        </w:tc>
        <w:tc>
          <w:tcPr>
            <w:tcW w:w="808" w:type="dxa"/>
            <w:vAlign w:val="top"/>
          </w:tcPr>
          <w:p w14:paraId="6B89CB35">
            <w:pPr>
              <w:pStyle w:val="75"/>
              <w:spacing w:before="272" w:line="84" w:lineRule="exact"/>
              <w:ind w:left="256"/>
              <w:rPr>
                <w:color w:val="auto"/>
                <w:sz w:val="20"/>
                <w:szCs w:val="20"/>
                <w:highlight w:val="none"/>
              </w:rPr>
            </w:pPr>
            <w:r>
              <w:rPr>
                <w:color w:val="auto"/>
                <w:spacing w:val="3"/>
                <w:position w:val="1"/>
                <w:sz w:val="20"/>
                <w:szCs w:val="20"/>
                <w:highlight w:val="none"/>
              </w:rPr>
              <w:t>...</w:t>
            </w:r>
          </w:p>
        </w:tc>
        <w:tc>
          <w:tcPr>
            <w:tcW w:w="1194" w:type="dxa"/>
            <w:vAlign w:val="top"/>
          </w:tcPr>
          <w:p w14:paraId="4305B507">
            <w:pPr>
              <w:pStyle w:val="75"/>
              <w:spacing w:before="272" w:line="84" w:lineRule="exact"/>
              <w:ind w:left="449"/>
              <w:rPr>
                <w:color w:val="auto"/>
                <w:sz w:val="20"/>
                <w:szCs w:val="20"/>
                <w:highlight w:val="none"/>
              </w:rPr>
            </w:pPr>
            <w:r>
              <w:rPr>
                <w:color w:val="auto"/>
                <w:spacing w:val="3"/>
                <w:position w:val="1"/>
                <w:sz w:val="20"/>
                <w:szCs w:val="20"/>
                <w:highlight w:val="none"/>
              </w:rPr>
              <w:t>...</w:t>
            </w:r>
          </w:p>
        </w:tc>
        <w:tc>
          <w:tcPr>
            <w:tcW w:w="913" w:type="dxa"/>
            <w:vAlign w:val="top"/>
          </w:tcPr>
          <w:p w14:paraId="2EEE1DA3">
            <w:pPr>
              <w:rPr>
                <w:rFonts w:ascii="Arial"/>
                <w:color w:val="auto"/>
                <w:sz w:val="21"/>
                <w:highlight w:val="none"/>
              </w:rPr>
            </w:pPr>
          </w:p>
        </w:tc>
        <w:tc>
          <w:tcPr>
            <w:tcW w:w="1118" w:type="dxa"/>
            <w:vAlign w:val="top"/>
          </w:tcPr>
          <w:p w14:paraId="68BFE559">
            <w:pPr>
              <w:rPr>
                <w:rFonts w:ascii="Arial"/>
                <w:color w:val="auto"/>
                <w:sz w:val="21"/>
                <w:highlight w:val="none"/>
              </w:rPr>
            </w:pPr>
          </w:p>
        </w:tc>
        <w:tc>
          <w:tcPr>
            <w:tcW w:w="841" w:type="dxa"/>
            <w:vAlign w:val="top"/>
          </w:tcPr>
          <w:p w14:paraId="1C990625">
            <w:pPr>
              <w:rPr>
                <w:rFonts w:ascii="Arial"/>
                <w:color w:val="auto"/>
                <w:sz w:val="21"/>
                <w:highlight w:val="none"/>
              </w:rPr>
            </w:pPr>
          </w:p>
        </w:tc>
        <w:tc>
          <w:tcPr>
            <w:tcW w:w="682" w:type="dxa"/>
            <w:vAlign w:val="top"/>
          </w:tcPr>
          <w:p w14:paraId="7EA3F43A">
            <w:pPr>
              <w:rPr>
                <w:rFonts w:ascii="Arial"/>
                <w:color w:val="auto"/>
                <w:sz w:val="21"/>
                <w:highlight w:val="none"/>
              </w:rPr>
            </w:pPr>
          </w:p>
        </w:tc>
        <w:tc>
          <w:tcPr>
            <w:tcW w:w="708" w:type="dxa"/>
            <w:vAlign w:val="top"/>
          </w:tcPr>
          <w:p w14:paraId="52A4A2EC">
            <w:pPr>
              <w:rPr>
                <w:rFonts w:ascii="Arial"/>
                <w:color w:val="auto"/>
                <w:sz w:val="21"/>
                <w:highlight w:val="none"/>
              </w:rPr>
            </w:pPr>
          </w:p>
        </w:tc>
      </w:tr>
      <w:tr w14:paraId="2A2E8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6D757925">
            <w:pPr>
              <w:pStyle w:val="75"/>
              <w:spacing w:before="118" w:line="269" w:lineRule="exact"/>
              <w:ind w:left="192"/>
              <w:rPr>
                <w:rFonts w:hint="default" w:eastAsia="宋体"/>
                <w:color w:val="auto"/>
                <w:sz w:val="20"/>
                <w:szCs w:val="20"/>
                <w:highlight w:val="none"/>
                <w:lang w:val="en-US" w:eastAsia="zh-CN"/>
              </w:rPr>
            </w:pPr>
            <w:r>
              <w:rPr>
                <w:rFonts w:hint="eastAsia"/>
                <w:color w:val="auto"/>
                <w:sz w:val="20"/>
                <w:szCs w:val="20"/>
                <w:highlight w:val="none"/>
                <w:lang w:val="en-US" w:eastAsia="zh-CN"/>
              </w:rPr>
              <w:t>62</w:t>
            </w:r>
          </w:p>
        </w:tc>
        <w:tc>
          <w:tcPr>
            <w:tcW w:w="2205" w:type="dxa"/>
            <w:vAlign w:val="top"/>
          </w:tcPr>
          <w:p w14:paraId="1464AD60">
            <w:pPr>
              <w:pStyle w:val="75"/>
              <w:spacing w:before="118" w:line="228" w:lineRule="auto"/>
              <w:ind w:left="126"/>
              <w:rPr>
                <w:color w:val="auto"/>
                <w:sz w:val="20"/>
                <w:szCs w:val="20"/>
                <w:highlight w:val="none"/>
              </w:rPr>
            </w:pPr>
            <w:r>
              <w:rPr>
                <w:rFonts w:hint="eastAsia"/>
                <w:color w:val="auto"/>
                <w:sz w:val="20"/>
                <w:szCs w:val="20"/>
                <w:highlight w:val="none"/>
              </w:rPr>
              <w:t>1000片卡普乐</w:t>
            </w:r>
          </w:p>
        </w:tc>
        <w:tc>
          <w:tcPr>
            <w:tcW w:w="808" w:type="dxa"/>
            <w:vAlign w:val="top"/>
          </w:tcPr>
          <w:p w14:paraId="1C056617">
            <w:pPr>
              <w:pStyle w:val="75"/>
              <w:spacing w:before="118" w:line="271" w:lineRule="exact"/>
              <w:ind w:left="306"/>
              <w:rPr>
                <w:rFonts w:hint="default" w:eastAsia="宋体"/>
                <w:color w:val="auto"/>
                <w:sz w:val="20"/>
                <w:szCs w:val="20"/>
                <w:highlight w:val="none"/>
                <w:lang w:val="en-US" w:eastAsia="zh-CN"/>
              </w:rPr>
            </w:pPr>
            <w:r>
              <w:rPr>
                <w:rFonts w:hint="eastAsia"/>
                <w:color w:val="auto"/>
                <w:spacing w:val="-1"/>
                <w:position w:val="1"/>
                <w:sz w:val="20"/>
                <w:szCs w:val="20"/>
                <w:highlight w:val="none"/>
                <w:lang w:val="en-US" w:eastAsia="zh-CN"/>
              </w:rPr>
              <w:t>12</w:t>
            </w:r>
          </w:p>
        </w:tc>
        <w:tc>
          <w:tcPr>
            <w:tcW w:w="1194" w:type="dxa"/>
            <w:vAlign w:val="top"/>
          </w:tcPr>
          <w:p w14:paraId="16ADEBE9">
            <w:pPr>
              <w:spacing w:before="118" w:line="231" w:lineRule="auto"/>
              <w:ind w:left="509"/>
              <w:rPr>
                <w:color w:val="auto"/>
                <w:sz w:val="20"/>
                <w:szCs w:val="20"/>
                <w:highlight w:val="none"/>
              </w:rPr>
            </w:pPr>
            <w:r>
              <w:rPr>
                <w:color w:val="auto"/>
                <w:sz w:val="20"/>
                <w:szCs w:val="20"/>
                <w:highlight w:val="none"/>
              </w:rPr>
              <w:t>套</w:t>
            </w:r>
          </w:p>
        </w:tc>
        <w:tc>
          <w:tcPr>
            <w:tcW w:w="913" w:type="dxa"/>
            <w:vAlign w:val="top"/>
          </w:tcPr>
          <w:p w14:paraId="6C2A3E22">
            <w:pPr>
              <w:rPr>
                <w:rFonts w:ascii="Arial"/>
                <w:color w:val="auto"/>
                <w:sz w:val="21"/>
                <w:highlight w:val="none"/>
              </w:rPr>
            </w:pPr>
          </w:p>
        </w:tc>
        <w:tc>
          <w:tcPr>
            <w:tcW w:w="1118" w:type="dxa"/>
            <w:vAlign w:val="top"/>
          </w:tcPr>
          <w:p w14:paraId="5939663E">
            <w:pPr>
              <w:rPr>
                <w:rFonts w:ascii="Arial"/>
                <w:color w:val="auto"/>
                <w:sz w:val="21"/>
                <w:highlight w:val="none"/>
              </w:rPr>
            </w:pPr>
          </w:p>
        </w:tc>
        <w:tc>
          <w:tcPr>
            <w:tcW w:w="841" w:type="dxa"/>
            <w:vAlign w:val="top"/>
          </w:tcPr>
          <w:p w14:paraId="2D3112DF">
            <w:pPr>
              <w:rPr>
                <w:rFonts w:ascii="Arial"/>
                <w:color w:val="auto"/>
                <w:sz w:val="21"/>
                <w:highlight w:val="none"/>
              </w:rPr>
            </w:pPr>
          </w:p>
        </w:tc>
        <w:tc>
          <w:tcPr>
            <w:tcW w:w="682" w:type="dxa"/>
            <w:vAlign w:val="top"/>
          </w:tcPr>
          <w:p w14:paraId="49F7AC48">
            <w:pPr>
              <w:rPr>
                <w:rFonts w:ascii="Arial"/>
                <w:color w:val="auto"/>
                <w:sz w:val="21"/>
                <w:highlight w:val="none"/>
              </w:rPr>
            </w:pPr>
          </w:p>
        </w:tc>
        <w:tc>
          <w:tcPr>
            <w:tcW w:w="708" w:type="dxa"/>
            <w:vAlign w:val="top"/>
          </w:tcPr>
          <w:p w14:paraId="0D185496">
            <w:pPr>
              <w:rPr>
                <w:rFonts w:ascii="Arial"/>
                <w:color w:val="auto"/>
                <w:sz w:val="21"/>
                <w:highlight w:val="none"/>
              </w:rPr>
            </w:pPr>
          </w:p>
        </w:tc>
      </w:tr>
      <w:tr w14:paraId="011F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6" w:type="dxa"/>
            <w:vAlign w:val="top"/>
          </w:tcPr>
          <w:p w14:paraId="13AF53BC">
            <w:pPr>
              <w:pStyle w:val="75"/>
              <w:spacing w:before="118" w:line="269" w:lineRule="exact"/>
              <w:ind w:left="192"/>
              <w:rPr>
                <w:rFonts w:hint="default" w:eastAsia="宋体"/>
                <w:color w:val="auto"/>
                <w:sz w:val="20"/>
                <w:szCs w:val="20"/>
                <w:highlight w:val="none"/>
                <w:lang w:val="en-US" w:eastAsia="zh-CN"/>
              </w:rPr>
            </w:pPr>
            <w:r>
              <w:rPr>
                <w:rFonts w:hint="eastAsia"/>
                <w:color w:val="auto"/>
                <w:spacing w:val="-3"/>
                <w:position w:val="1"/>
                <w:sz w:val="20"/>
                <w:szCs w:val="20"/>
                <w:highlight w:val="none"/>
                <w:lang w:val="en-US" w:eastAsia="zh-CN"/>
              </w:rPr>
              <w:t>63</w:t>
            </w:r>
          </w:p>
        </w:tc>
        <w:tc>
          <w:tcPr>
            <w:tcW w:w="2205" w:type="dxa"/>
            <w:vAlign w:val="top"/>
          </w:tcPr>
          <w:p w14:paraId="23B15638">
            <w:pPr>
              <w:pStyle w:val="75"/>
              <w:spacing w:before="118" w:line="228" w:lineRule="auto"/>
              <w:ind w:left="126"/>
              <w:rPr>
                <w:color w:val="auto"/>
                <w:sz w:val="20"/>
                <w:szCs w:val="20"/>
                <w:highlight w:val="none"/>
              </w:rPr>
            </w:pPr>
            <w:r>
              <w:rPr>
                <w:rFonts w:hint="eastAsia"/>
                <w:color w:val="auto"/>
                <w:sz w:val="20"/>
                <w:szCs w:val="20"/>
                <w:highlight w:val="none"/>
                <w:lang w:val="en-US" w:eastAsia="zh-CN"/>
              </w:rPr>
              <w:t>拖拉小车</w:t>
            </w:r>
          </w:p>
        </w:tc>
        <w:tc>
          <w:tcPr>
            <w:tcW w:w="808" w:type="dxa"/>
            <w:vAlign w:val="top"/>
          </w:tcPr>
          <w:p w14:paraId="3D5279A6">
            <w:pPr>
              <w:pStyle w:val="75"/>
              <w:spacing w:before="118" w:line="269" w:lineRule="exact"/>
              <w:ind w:left="319"/>
              <w:rPr>
                <w:rFonts w:hint="default" w:eastAsia="宋体"/>
                <w:color w:val="auto"/>
                <w:sz w:val="20"/>
                <w:szCs w:val="20"/>
                <w:highlight w:val="none"/>
                <w:lang w:val="en-US" w:eastAsia="zh-CN"/>
              </w:rPr>
            </w:pPr>
            <w:r>
              <w:rPr>
                <w:rFonts w:hint="eastAsia"/>
                <w:color w:val="auto"/>
                <w:spacing w:val="-7"/>
                <w:position w:val="1"/>
                <w:sz w:val="20"/>
                <w:szCs w:val="20"/>
                <w:highlight w:val="none"/>
                <w:lang w:val="en-US" w:eastAsia="zh-CN"/>
              </w:rPr>
              <w:t>12</w:t>
            </w:r>
          </w:p>
        </w:tc>
        <w:tc>
          <w:tcPr>
            <w:tcW w:w="1194" w:type="dxa"/>
            <w:vAlign w:val="top"/>
          </w:tcPr>
          <w:p w14:paraId="33CD056D">
            <w:pPr>
              <w:spacing w:before="118" w:line="231" w:lineRule="auto"/>
              <w:ind w:left="509"/>
              <w:rPr>
                <w:color w:val="auto"/>
                <w:sz w:val="20"/>
                <w:szCs w:val="20"/>
                <w:highlight w:val="none"/>
              </w:rPr>
            </w:pPr>
            <w:r>
              <w:rPr>
                <w:color w:val="auto"/>
                <w:sz w:val="20"/>
                <w:szCs w:val="20"/>
                <w:highlight w:val="none"/>
              </w:rPr>
              <w:t>套</w:t>
            </w:r>
          </w:p>
        </w:tc>
        <w:tc>
          <w:tcPr>
            <w:tcW w:w="913" w:type="dxa"/>
            <w:vAlign w:val="top"/>
          </w:tcPr>
          <w:p w14:paraId="3198124D">
            <w:pPr>
              <w:rPr>
                <w:rFonts w:ascii="Arial"/>
                <w:color w:val="auto"/>
                <w:sz w:val="21"/>
                <w:highlight w:val="none"/>
              </w:rPr>
            </w:pPr>
          </w:p>
        </w:tc>
        <w:tc>
          <w:tcPr>
            <w:tcW w:w="1118" w:type="dxa"/>
            <w:vAlign w:val="top"/>
          </w:tcPr>
          <w:p w14:paraId="6A121D01">
            <w:pPr>
              <w:rPr>
                <w:rFonts w:ascii="Arial"/>
                <w:color w:val="auto"/>
                <w:sz w:val="21"/>
                <w:highlight w:val="none"/>
              </w:rPr>
            </w:pPr>
          </w:p>
        </w:tc>
        <w:tc>
          <w:tcPr>
            <w:tcW w:w="841" w:type="dxa"/>
            <w:vAlign w:val="top"/>
          </w:tcPr>
          <w:p w14:paraId="3C71841D">
            <w:pPr>
              <w:rPr>
                <w:rFonts w:ascii="Arial"/>
                <w:color w:val="auto"/>
                <w:sz w:val="21"/>
                <w:highlight w:val="none"/>
              </w:rPr>
            </w:pPr>
          </w:p>
        </w:tc>
        <w:tc>
          <w:tcPr>
            <w:tcW w:w="682" w:type="dxa"/>
            <w:vAlign w:val="top"/>
          </w:tcPr>
          <w:p w14:paraId="5F9EBA32">
            <w:pPr>
              <w:rPr>
                <w:rFonts w:ascii="Arial"/>
                <w:color w:val="auto"/>
                <w:sz w:val="21"/>
                <w:highlight w:val="none"/>
              </w:rPr>
            </w:pPr>
          </w:p>
        </w:tc>
        <w:tc>
          <w:tcPr>
            <w:tcW w:w="708" w:type="dxa"/>
            <w:vAlign w:val="top"/>
          </w:tcPr>
          <w:p w14:paraId="3EA8E25E">
            <w:pPr>
              <w:rPr>
                <w:rFonts w:ascii="Arial"/>
                <w:color w:val="auto"/>
                <w:sz w:val="21"/>
                <w:highlight w:val="none"/>
              </w:rPr>
            </w:pPr>
          </w:p>
        </w:tc>
      </w:tr>
      <w:tr w14:paraId="57E83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78A7589E">
            <w:pPr>
              <w:pStyle w:val="75"/>
              <w:spacing w:before="118" w:line="270" w:lineRule="exact"/>
              <w:ind w:left="192"/>
              <w:rPr>
                <w:rFonts w:hint="default" w:eastAsia="宋体"/>
                <w:color w:val="auto"/>
                <w:sz w:val="20"/>
                <w:szCs w:val="20"/>
                <w:highlight w:val="none"/>
                <w:lang w:val="en-US" w:eastAsia="zh-CN"/>
              </w:rPr>
            </w:pPr>
            <w:r>
              <w:rPr>
                <w:rFonts w:hint="eastAsia"/>
                <w:color w:val="auto"/>
                <w:spacing w:val="-3"/>
                <w:position w:val="1"/>
                <w:sz w:val="20"/>
                <w:szCs w:val="20"/>
                <w:highlight w:val="none"/>
                <w:lang w:val="en-US" w:eastAsia="zh-CN"/>
              </w:rPr>
              <w:t>64</w:t>
            </w:r>
          </w:p>
        </w:tc>
        <w:tc>
          <w:tcPr>
            <w:tcW w:w="2205" w:type="dxa"/>
            <w:vAlign w:val="top"/>
          </w:tcPr>
          <w:p w14:paraId="3320B540">
            <w:pPr>
              <w:pStyle w:val="75"/>
              <w:spacing w:before="119" w:line="228" w:lineRule="auto"/>
              <w:ind w:left="126"/>
              <w:rPr>
                <w:color w:val="auto"/>
                <w:sz w:val="20"/>
                <w:szCs w:val="20"/>
                <w:highlight w:val="none"/>
              </w:rPr>
            </w:pPr>
            <w:r>
              <w:rPr>
                <w:rFonts w:hint="eastAsia" w:asciiTheme="minorEastAsia" w:hAnsiTheme="minorEastAsia" w:eastAsiaTheme="minorEastAsia" w:cstheme="minorEastAsia"/>
                <w:color w:val="auto"/>
                <w:sz w:val="21"/>
                <w:szCs w:val="21"/>
                <w:highlight w:val="none"/>
                <w:vertAlign w:val="baseline"/>
                <w:lang w:val="en-US" w:eastAsia="zh-CN"/>
              </w:rPr>
              <w:t>低结构积木材料</w:t>
            </w:r>
          </w:p>
        </w:tc>
        <w:tc>
          <w:tcPr>
            <w:tcW w:w="808" w:type="dxa"/>
            <w:vAlign w:val="top"/>
          </w:tcPr>
          <w:p w14:paraId="73C778E9">
            <w:pPr>
              <w:pStyle w:val="75"/>
              <w:spacing w:before="118" w:line="270" w:lineRule="exact"/>
              <w:ind w:left="319"/>
              <w:rPr>
                <w:rFonts w:hint="eastAsia" w:eastAsia="宋体"/>
                <w:color w:val="auto"/>
                <w:sz w:val="20"/>
                <w:szCs w:val="20"/>
                <w:highlight w:val="none"/>
                <w:lang w:val="en-US" w:eastAsia="zh-CN"/>
              </w:rPr>
            </w:pPr>
            <w:r>
              <w:rPr>
                <w:rFonts w:hint="eastAsia"/>
                <w:color w:val="auto"/>
                <w:sz w:val="20"/>
                <w:szCs w:val="20"/>
                <w:highlight w:val="none"/>
                <w:lang w:val="en-US" w:eastAsia="zh-CN"/>
              </w:rPr>
              <w:t>3</w:t>
            </w:r>
          </w:p>
        </w:tc>
        <w:tc>
          <w:tcPr>
            <w:tcW w:w="1194" w:type="dxa"/>
            <w:vAlign w:val="top"/>
          </w:tcPr>
          <w:p w14:paraId="74A8116C">
            <w:pPr>
              <w:pStyle w:val="75"/>
              <w:spacing w:before="119" w:line="228" w:lineRule="auto"/>
              <w:ind w:left="496"/>
              <w:rPr>
                <w:rFonts w:hint="eastAsia" w:eastAsia="宋体"/>
                <w:color w:val="auto"/>
                <w:sz w:val="20"/>
                <w:szCs w:val="20"/>
                <w:highlight w:val="none"/>
                <w:lang w:val="en-US" w:eastAsia="zh-CN"/>
              </w:rPr>
            </w:pPr>
            <w:r>
              <w:rPr>
                <w:rFonts w:hint="eastAsia"/>
                <w:color w:val="auto"/>
                <w:sz w:val="20"/>
                <w:szCs w:val="20"/>
                <w:highlight w:val="none"/>
                <w:lang w:val="en-US" w:eastAsia="zh-CN"/>
              </w:rPr>
              <w:t>套</w:t>
            </w:r>
          </w:p>
        </w:tc>
        <w:tc>
          <w:tcPr>
            <w:tcW w:w="913" w:type="dxa"/>
            <w:vAlign w:val="top"/>
          </w:tcPr>
          <w:p w14:paraId="7F728C52">
            <w:pPr>
              <w:rPr>
                <w:rFonts w:ascii="Arial"/>
                <w:color w:val="auto"/>
                <w:sz w:val="21"/>
                <w:highlight w:val="none"/>
              </w:rPr>
            </w:pPr>
          </w:p>
        </w:tc>
        <w:tc>
          <w:tcPr>
            <w:tcW w:w="1118" w:type="dxa"/>
            <w:vAlign w:val="top"/>
          </w:tcPr>
          <w:p w14:paraId="619E8DCF">
            <w:pPr>
              <w:rPr>
                <w:rFonts w:ascii="Arial"/>
                <w:color w:val="auto"/>
                <w:sz w:val="21"/>
                <w:highlight w:val="none"/>
              </w:rPr>
            </w:pPr>
          </w:p>
        </w:tc>
        <w:tc>
          <w:tcPr>
            <w:tcW w:w="841" w:type="dxa"/>
            <w:vAlign w:val="top"/>
          </w:tcPr>
          <w:p w14:paraId="7373D23F">
            <w:pPr>
              <w:rPr>
                <w:rFonts w:ascii="Arial"/>
                <w:color w:val="auto"/>
                <w:sz w:val="21"/>
                <w:highlight w:val="none"/>
              </w:rPr>
            </w:pPr>
          </w:p>
        </w:tc>
        <w:tc>
          <w:tcPr>
            <w:tcW w:w="682" w:type="dxa"/>
            <w:vAlign w:val="top"/>
          </w:tcPr>
          <w:p w14:paraId="1536B65E">
            <w:pPr>
              <w:rPr>
                <w:rFonts w:ascii="Arial"/>
                <w:color w:val="auto"/>
                <w:sz w:val="21"/>
                <w:highlight w:val="none"/>
              </w:rPr>
            </w:pPr>
          </w:p>
        </w:tc>
        <w:tc>
          <w:tcPr>
            <w:tcW w:w="708" w:type="dxa"/>
            <w:vAlign w:val="top"/>
          </w:tcPr>
          <w:p w14:paraId="37AC1D06">
            <w:pPr>
              <w:rPr>
                <w:rFonts w:ascii="Arial"/>
                <w:color w:val="auto"/>
                <w:sz w:val="21"/>
                <w:highlight w:val="none"/>
              </w:rPr>
            </w:pPr>
          </w:p>
        </w:tc>
      </w:tr>
      <w:tr w14:paraId="446A2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6" w:type="dxa"/>
            <w:vAlign w:val="top"/>
          </w:tcPr>
          <w:p w14:paraId="151C4F4C">
            <w:pPr>
              <w:rPr>
                <w:rFonts w:ascii="Arial"/>
                <w:color w:val="auto"/>
                <w:sz w:val="21"/>
                <w:highlight w:val="none"/>
              </w:rPr>
            </w:pPr>
          </w:p>
        </w:tc>
        <w:tc>
          <w:tcPr>
            <w:tcW w:w="2205" w:type="dxa"/>
            <w:vAlign w:val="top"/>
          </w:tcPr>
          <w:p w14:paraId="51E965CD">
            <w:pPr>
              <w:rPr>
                <w:rFonts w:ascii="Arial"/>
                <w:color w:val="auto"/>
                <w:sz w:val="21"/>
                <w:highlight w:val="none"/>
              </w:rPr>
            </w:pPr>
          </w:p>
        </w:tc>
        <w:tc>
          <w:tcPr>
            <w:tcW w:w="808" w:type="dxa"/>
            <w:vAlign w:val="top"/>
          </w:tcPr>
          <w:p w14:paraId="7DC0AAC3">
            <w:pPr>
              <w:rPr>
                <w:rFonts w:ascii="Arial"/>
                <w:color w:val="auto"/>
                <w:sz w:val="21"/>
                <w:highlight w:val="none"/>
              </w:rPr>
            </w:pPr>
          </w:p>
        </w:tc>
        <w:tc>
          <w:tcPr>
            <w:tcW w:w="1194" w:type="dxa"/>
            <w:vAlign w:val="top"/>
          </w:tcPr>
          <w:p w14:paraId="1230FCB8">
            <w:pPr>
              <w:rPr>
                <w:rFonts w:ascii="Arial"/>
                <w:color w:val="auto"/>
                <w:sz w:val="21"/>
                <w:highlight w:val="none"/>
              </w:rPr>
            </w:pPr>
          </w:p>
        </w:tc>
        <w:tc>
          <w:tcPr>
            <w:tcW w:w="913" w:type="dxa"/>
            <w:vAlign w:val="top"/>
          </w:tcPr>
          <w:p w14:paraId="5AABE296">
            <w:pPr>
              <w:rPr>
                <w:rFonts w:ascii="Arial"/>
                <w:color w:val="auto"/>
                <w:sz w:val="21"/>
                <w:highlight w:val="none"/>
              </w:rPr>
            </w:pPr>
          </w:p>
        </w:tc>
        <w:tc>
          <w:tcPr>
            <w:tcW w:w="1118" w:type="dxa"/>
            <w:vAlign w:val="top"/>
          </w:tcPr>
          <w:p w14:paraId="27FC3E95">
            <w:pPr>
              <w:rPr>
                <w:rFonts w:ascii="Arial"/>
                <w:color w:val="auto"/>
                <w:sz w:val="21"/>
                <w:highlight w:val="none"/>
              </w:rPr>
            </w:pPr>
          </w:p>
        </w:tc>
        <w:tc>
          <w:tcPr>
            <w:tcW w:w="841" w:type="dxa"/>
            <w:vAlign w:val="top"/>
          </w:tcPr>
          <w:p w14:paraId="7E2E8483">
            <w:pPr>
              <w:rPr>
                <w:rFonts w:ascii="Arial"/>
                <w:color w:val="auto"/>
                <w:sz w:val="21"/>
                <w:highlight w:val="none"/>
              </w:rPr>
            </w:pPr>
          </w:p>
        </w:tc>
        <w:tc>
          <w:tcPr>
            <w:tcW w:w="682" w:type="dxa"/>
            <w:vAlign w:val="top"/>
          </w:tcPr>
          <w:p w14:paraId="78D33E11">
            <w:pPr>
              <w:rPr>
                <w:rFonts w:ascii="Arial"/>
                <w:color w:val="auto"/>
                <w:sz w:val="21"/>
                <w:highlight w:val="none"/>
              </w:rPr>
            </w:pPr>
          </w:p>
        </w:tc>
        <w:tc>
          <w:tcPr>
            <w:tcW w:w="708" w:type="dxa"/>
            <w:vAlign w:val="top"/>
          </w:tcPr>
          <w:p w14:paraId="6F6E783E">
            <w:pPr>
              <w:rPr>
                <w:rFonts w:ascii="Arial"/>
                <w:color w:val="auto"/>
                <w:sz w:val="21"/>
                <w:highlight w:val="none"/>
              </w:rPr>
            </w:pPr>
          </w:p>
        </w:tc>
      </w:tr>
      <w:tr w14:paraId="313D3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56" w:type="dxa"/>
            <w:vAlign w:val="top"/>
          </w:tcPr>
          <w:p w14:paraId="532444FE">
            <w:pPr>
              <w:rPr>
                <w:rFonts w:ascii="Arial"/>
                <w:color w:val="auto"/>
                <w:sz w:val="21"/>
                <w:highlight w:val="none"/>
              </w:rPr>
            </w:pPr>
          </w:p>
        </w:tc>
        <w:tc>
          <w:tcPr>
            <w:tcW w:w="2205" w:type="dxa"/>
            <w:vAlign w:val="top"/>
          </w:tcPr>
          <w:p w14:paraId="00A1E592">
            <w:pPr>
              <w:pStyle w:val="75"/>
              <w:spacing w:before="119" w:line="230" w:lineRule="auto"/>
              <w:ind w:left="1108"/>
              <w:rPr>
                <w:color w:val="auto"/>
                <w:sz w:val="20"/>
                <w:szCs w:val="20"/>
                <w:highlight w:val="none"/>
              </w:rPr>
            </w:pPr>
            <w:r>
              <w:rPr>
                <w:color w:val="auto"/>
                <w:spacing w:val="4"/>
                <w:sz w:val="20"/>
                <w:szCs w:val="20"/>
                <w:highlight w:val="none"/>
              </w:rPr>
              <w:t>合计</w:t>
            </w:r>
          </w:p>
        </w:tc>
        <w:tc>
          <w:tcPr>
            <w:tcW w:w="6264" w:type="dxa"/>
            <w:gridSpan w:val="7"/>
            <w:vAlign w:val="top"/>
          </w:tcPr>
          <w:p w14:paraId="22341F71">
            <w:pPr>
              <w:pStyle w:val="75"/>
              <w:spacing w:before="120" w:line="229" w:lineRule="auto"/>
              <w:ind w:left="1038"/>
              <w:rPr>
                <w:color w:val="auto"/>
                <w:sz w:val="20"/>
                <w:szCs w:val="20"/>
                <w:highlight w:val="none"/>
              </w:rPr>
            </w:pPr>
            <w:r>
              <w:rPr>
                <w:color w:val="auto"/>
                <w:spacing w:val="13"/>
                <w:sz w:val="20"/>
                <w:szCs w:val="20"/>
                <w:highlight w:val="none"/>
              </w:rPr>
              <w:t>大写：</w:t>
            </w:r>
            <w:r>
              <w:rPr>
                <w:color w:val="auto"/>
                <w:spacing w:val="5"/>
                <w:sz w:val="20"/>
                <w:szCs w:val="20"/>
                <w:highlight w:val="none"/>
                <w:u w:val="single" w:color="auto"/>
              </w:rPr>
              <w:t xml:space="preserve">          </w:t>
            </w:r>
            <w:r>
              <w:rPr>
                <w:color w:val="auto"/>
                <w:spacing w:val="13"/>
                <w:sz w:val="20"/>
                <w:szCs w:val="20"/>
                <w:highlight w:val="none"/>
              </w:rPr>
              <w:t xml:space="preserve"> 元</w:t>
            </w:r>
            <w:r>
              <w:rPr>
                <w:color w:val="auto"/>
                <w:spacing w:val="-4"/>
                <w:sz w:val="20"/>
                <w:szCs w:val="20"/>
                <w:highlight w:val="none"/>
              </w:rPr>
              <w:t>，（</w:t>
            </w:r>
            <w:r>
              <w:rPr>
                <w:color w:val="auto"/>
                <w:spacing w:val="13"/>
                <w:sz w:val="20"/>
                <w:szCs w:val="20"/>
                <w:highlight w:val="none"/>
              </w:rPr>
              <w:t>小写</w:t>
            </w:r>
            <w:r>
              <w:rPr>
                <w:color w:val="auto"/>
                <w:spacing w:val="-4"/>
                <w:sz w:val="20"/>
                <w:szCs w:val="20"/>
                <w:highlight w:val="none"/>
              </w:rPr>
              <w:t>）：</w:t>
            </w:r>
            <w:r>
              <w:rPr>
                <w:color w:val="auto"/>
                <w:spacing w:val="5"/>
                <w:sz w:val="20"/>
                <w:szCs w:val="20"/>
                <w:highlight w:val="none"/>
                <w:u w:val="single" w:color="auto"/>
              </w:rPr>
              <w:t xml:space="preserve">           </w:t>
            </w:r>
            <w:r>
              <w:rPr>
                <w:color w:val="auto"/>
                <w:spacing w:val="-87"/>
                <w:sz w:val="20"/>
                <w:szCs w:val="20"/>
                <w:highlight w:val="none"/>
              </w:rPr>
              <w:t xml:space="preserve"> </w:t>
            </w:r>
            <w:r>
              <w:rPr>
                <w:color w:val="auto"/>
                <w:spacing w:val="13"/>
                <w:sz w:val="20"/>
                <w:szCs w:val="20"/>
                <w:highlight w:val="none"/>
              </w:rPr>
              <w:t>元</w:t>
            </w:r>
          </w:p>
        </w:tc>
      </w:tr>
    </w:tbl>
    <w:p w14:paraId="63F21390">
      <w:pPr>
        <w:spacing w:line="240" w:lineRule="atLeast"/>
        <w:rPr>
          <w:rFonts w:ascii="宋体" w:hAnsi="宋体" w:eastAsia="宋体" w:cs="宋体"/>
          <w:b/>
          <w:bCs/>
          <w:color w:val="auto"/>
          <w:sz w:val="24"/>
          <w:szCs w:val="24"/>
          <w:highlight w:val="none"/>
        </w:rPr>
      </w:pPr>
    </w:p>
    <w:p w14:paraId="76A38178">
      <w:pPr>
        <w:spacing w:line="240" w:lineRule="atLeast"/>
        <w:rPr>
          <w:rFonts w:ascii="宋体" w:hAnsi="宋体" w:eastAsia="宋体" w:cs="宋体"/>
          <w:b/>
          <w:bCs/>
          <w:color w:val="auto"/>
          <w:sz w:val="24"/>
          <w:szCs w:val="24"/>
          <w:highlight w:val="none"/>
        </w:rPr>
      </w:pPr>
    </w:p>
    <w:p w14:paraId="62CB9235">
      <w:pPr>
        <w:spacing w:line="240" w:lineRule="atLeast"/>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注：1.报价一经涂改，应在涂改处加盖单位公章或者由法定代表人或授权代表签字或盖章，否则其投标作无效标处理。超最高限价的作无效标处理。</w:t>
      </w:r>
    </w:p>
    <w:p w14:paraId="36B4E5E1">
      <w:pPr>
        <w:spacing w:line="240" w:lineRule="atLeast"/>
        <w:rPr>
          <w:rFonts w:ascii="宋体" w:hAnsi="宋体" w:eastAsia="宋体" w:cs="宋体"/>
          <w:color w:val="auto"/>
          <w:sz w:val="24"/>
          <w:szCs w:val="24"/>
          <w:highlight w:val="none"/>
        </w:rPr>
      </w:pPr>
      <w:r>
        <w:rPr>
          <w:rFonts w:ascii="宋体" w:hAnsi="宋体" w:eastAsia="宋体" w:cs="宋体"/>
          <w:color w:val="auto"/>
          <w:sz w:val="24"/>
          <w:szCs w:val="24"/>
          <w:highlight w:val="none"/>
        </w:rPr>
        <w:t>2.本表“</w:t>
      </w:r>
      <w:bookmarkStart w:id="33" w:name="OLE_LINK8"/>
      <w:r>
        <w:rPr>
          <w:rFonts w:ascii="宋体" w:hAnsi="宋体" w:eastAsia="宋体" w:cs="宋体"/>
          <w:color w:val="auto"/>
          <w:sz w:val="24"/>
          <w:szCs w:val="24"/>
          <w:highlight w:val="none"/>
        </w:rPr>
        <w:t>投标价总计</w:t>
      </w:r>
      <w:bookmarkEnd w:id="33"/>
      <w:r>
        <w:rPr>
          <w:rFonts w:ascii="宋体" w:hAnsi="宋体" w:eastAsia="宋体" w:cs="宋体"/>
          <w:color w:val="auto"/>
          <w:sz w:val="24"/>
          <w:szCs w:val="24"/>
          <w:highlight w:val="none"/>
        </w:rPr>
        <w:t>”应与“开标一览表”中“投标价总计”相应一致。</w:t>
      </w:r>
    </w:p>
    <w:p w14:paraId="54E3AE6C">
      <w:pPr>
        <w:spacing w:before="100" w:after="100" w:line="240" w:lineRule="atLeas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费用包括货款、标准附件、备品备件、专用工具、配套设施、辅材辅件、配件、包装、运输、装卸、安装调试费、相关验收费用、管理费、利润、风险费、保险、税金、培训、技术指导、售后服务、设计费、专利费（著作权）、招标代理费、其他费用等完成招标内容及要求所提供的货物及服务过程中涉及的一切费用。</w:t>
      </w:r>
    </w:p>
    <w:p w14:paraId="0F8E8317">
      <w:pPr>
        <w:spacing w:line="240" w:lineRule="atLeast"/>
        <w:rPr>
          <w:rFonts w:ascii="宋体" w:hAnsi="宋体" w:eastAsia="宋体" w:cs="宋体"/>
          <w:color w:val="auto"/>
          <w:sz w:val="24"/>
          <w:szCs w:val="24"/>
          <w:highlight w:val="none"/>
        </w:rPr>
      </w:pPr>
    </w:p>
    <w:p w14:paraId="53BE527D">
      <w:pPr>
        <w:spacing w:line="240" w:lineRule="atLeas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投标人名称（电子签章）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170D6745">
      <w:pPr>
        <w:spacing w:line="240" w:lineRule="atLeast"/>
        <w:rPr>
          <w:rFonts w:ascii="宋体" w:hAnsi="宋体" w:eastAsia="宋体" w:cs="宋体"/>
          <w:snapToGrid w:val="0"/>
          <w:color w:val="auto"/>
          <w:kern w:val="0"/>
          <w:sz w:val="24"/>
          <w:szCs w:val="24"/>
          <w:highlight w:val="none"/>
        </w:rPr>
      </w:pPr>
      <w:r>
        <w:rPr>
          <w:rFonts w:ascii="宋体" w:hAnsi="宋体" w:eastAsia="宋体" w:cs="宋体"/>
          <w:color w:val="auto"/>
          <w:sz w:val="24"/>
          <w:szCs w:val="24"/>
          <w:highlight w:val="none"/>
        </w:rPr>
        <w:t>法定代表人或授权代表（签字或盖章）</w:t>
      </w: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rPr>
        <w:t xml:space="preserve">            </w:t>
      </w:r>
    </w:p>
    <w:p w14:paraId="783F7A2F">
      <w:pPr>
        <w:pStyle w:val="43"/>
        <w:widowControl w:val="0"/>
        <w:snapToGrid w:val="0"/>
        <w:spacing w:after="162" w:afterLines="50" w:line="240" w:lineRule="atLeast"/>
        <w:jc w:val="both"/>
        <w:rPr>
          <w:rFonts w:hAnsi="宋体" w:cs="宋体"/>
          <w:snapToGrid w:val="0"/>
          <w:color w:val="auto"/>
          <w:kern w:val="0"/>
          <w:sz w:val="24"/>
          <w:szCs w:val="24"/>
          <w:highlight w:val="none"/>
        </w:rPr>
      </w:pPr>
      <w:r>
        <w:rPr>
          <w:rFonts w:hAnsi="宋体" w:cs="宋体"/>
          <w:snapToGrid w:val="0"/>
          <w:color w:val="auto"/>
          <w:kern w:val="0"/>
          <w:sz w:val="24"/>
          <w:szCs w:val="24"/>
          <w:highlight w:val="none"/>
        </w:rPr>
        <w:t>日期：</w:t>
      </w:r>
      <w:r>
        <w:rPr>
          <w:rFonts w:hAnsi="宋体" w:cs="宋体"/>
          <w:snapToGrid w:val="0"/>
          <w:color w:val="auto"/>
          <w:kern w:val="0"/>
          <w:sz w:val="24"/>
          <w:szCs w:val="24"/>
          <w:highlight w:val="none"/>
          <w:u w:val="single"/>
        </w:rPr>
        <w:t xml:space="preserve">        </w:t>
      </w:r>
      <w:r>
        <w:rPr>
          <w:rFonts w:hAnsi="宋体" w:cs="宋体"/>
          <w:snapToGrid w:val="0"/>
          <w:color w:val="auto"/>
          <w:kern w:val="0"/>
          <w:sz w:val="24"/>
          <w:szCs w:val="24"/>
          <w:highlight w:val="none"/>
        </w:rPr>
        <w:t>年</w:t>
      </w:r>
      <w:r>
        <w:rPr>
          <w:rFonts w:hAnsi="宋体" w:cs="宋体"/>
          <w:snapToGrid w:val="0"/>
          <w:color w:val="auto"/>
          <w:kern w:val="0"/>
          <w:sz w:val="24"/>
          <w:szCs w:val="24"/>
          <w:highlight w:val="none"/>
          <w:u w:val="single"/>
        </w:rPr>
        <w:t xml:space="preserve">       </w:t>
      </w:r>
      <w:r>
        <w:rPr>
          <w:rFonts w:hAnsi="宋体" w:cs="宋体"/>
          <w:snapToGrid w:val="0"/>
          <w:color w:val="auto"/>
          <w:kern w:val="0"/>
          <w:sz w:val="24"/>
          <w:szCs w:val="24"/>
          <w:highlight w:val="none"/>
        </w:rPr>
        <w:t>月</w:t>
      </w:r>
      <w:r>
        <w:rPr>
          <w:rFonts w:hAnsi="宋体" w:cs="宋体"/>
          <w:snapToGrid w:val="0"/>
          <w:color w:val="auto"/>
          <w:kern w:val="0"/>
          <w:sz w:val="24"/>
          <w:szCs w:val="24"/>
          <w:highlight w:val="none"/>
          <w:u w:val="single"/>
        </w:rPr>
        <w:t xml:space="preserve">       </w:t>
      </w:r>
      <w:r>
        <w:rPr>
          <w:rFonts w:hAnsi="宋体" w:cs="宋体"/>
          <w:snapToGrid w:val="0"/>
          <w:color w:val="auto"/>
          <w:kern w:val="0"/>
          <w:sz w:val="24"/>
          <w:szCs w:val="24"/>
          <w:highlight w:val="none"/>
        </w:rPr>
        <w:t>日</w:t>
      </w:r>
    </w:p>
    <w:p w14:paraId="363F5F27">
      <w:pPr>
        <w:rPr>
          <w:color w:val="auto"/>
          <w:highlight w:val="none"/>
        </w:rPr>
      </w:pPr>
      <w:r>
        <w:rPr>
          <w:rFonts w:ascii="宋体" w:hAnsi="宋体" w:eastAsia="宋体" w:cs="宋体"/>
          <w:b/>
          <w:bCs/>
          <w:color w:val="auto"/>
          <w:kern w:val="0"/>
          <w:sz w:val="24"/>
          <w:szCs w:val="24"/>
          <w:highlight w:val="none"/>
        </w:rPr>
        <w:br w:type="page"/>
      </w:r>
    </w:p>
    <w:p w14:paraId="5743929E">
      <w:pPr>
        <w:jc w:val="center"/>
        <w:outlineLvl w:val="0"/>
        <w:rPr>
          <w:rFonts w:asciiTheme="minorEastAsia" w:hAnsiTheme="minorEastAsia" w:eastAsiaTheme="minorEastAsia" w:cstheme="minorEastAsia"/>
          <w:b/>
          <w:color w:val="auto"/>
          <w:sz w:val="28"/>
          <w:szCs w:val="28"/>
          <w:highlight w:val="none"/>
        </w:rPr>
      </w:pPr>
      <w:r>
        <w:rPr>
          <w:rFonts w:asciiTheme="minorEastAsia" w:hAnsiTheme="minorEastAsia" w:eastAsiaTheme="minorEastAsia" w:cstheme="minorEastAsia"/>
          <w:b/>
          <w:color w:val="auto"/>
          <w:sz w:val="36"/>
          <w:highlight w:val="none"/>
        </w:rPr>
        <w:t>第七部分 其他</w:t>
      </w:r>
    </w:p>
    <w:p w14:paraId="565CA9D0">
      <w:pPr>
        <w:pStyle w:val="43"/>
        <w:widowControl w:val="0"/>
        <w:snapToGrid w:val="0"/>
        <w:spacing w:after="156" w:afterLines="50" w:line="312" w:lineRule="auto"/>
        <w:jc w:val="center"/>
        <w:rPr>
          <w:rFonts w:hAnsi="宋体" w:cs="宋体"/>
          <w:color w:val="auto"/>
          <w:sz w:val="32"/>
          <w:szCs w:val="32"/>
          <w:highlight w:val="none"/>
        </w:rPr>
      </w:pPr>
      <w:r>
        <w:rPr>
          <w:rFonts w:hAnsi="宋体" w:cs="宋体"/>
          <w:color w:val="auto"/>
          <w:sz w:val="32"/>
          <w:szCs w:val="32"/>
          <w:highlight w:val="none"/>
        </w:rPr>
        <w:t>政府采购活动现场确认声明书</w:t>
      </w:r>
    </w:p>
    <w:p w14:paraId="3BEB786A">
      <w:pPr>
        <w:pStyle w:val="43"/>
        <w:widowControl w:val="0"/>
        <w:snapToGrid w:val="0"/>
        <w:spacing w:line="312" w:lineRule="auto"/>
        <w:jc w:val="both"/>
        <w:rPr>
          <w:rFonts w:hAnsi="宋体" w:cs="宋体"/>
          <w:b/>
          <w:color w:val="auto"/>
          <w:sz w:val="24"/>
          <w:szCs w:val="24"/>
          <w:highlight w:val="none"/>
        </w:rPr>
      </w:pPr>
      <w:r>
        <w:rPr>
          <w:rFonts w:hAnsi="宋体" w:cs="宋体"/>
          <w:color w:val="auto"/>
          <w:spacing w:val="6"/>
          <w:sz w:val="24"/>
          <w:szCs w:val="24"/>
          <w:highlight w:val="none"/>
          <w:u w:val="single"/>
        </w:rPr>
        <w:t xml:space="preserve">               </w:t>
      </w:r>
      <w:r>
        <w:rPr>
          <w:rFonts w:hAnsi="宋体" w:cs="宋体"/>
          <w:color w:val="auto"/>
          <w:kern w:val="0"/>
          <w:sz w:val="24"/>
          <w:szCs w:val="24"/>
          <w:highlight w:val="none"/>
        </w:rPr>
        <w:t>：</w:t>
      </w:r>
    </w:p>
    <w:p w14:paraId="53774AE8">
      <w:pPr>
        <w:pStyle w:val="43"/>
        <w:widowControl w:val="0"/>
        <w:snapToGrid w:val="0"/>
        <w:spacing w:line="312" w:lineRule="auto"/>
        <w:ind w:firstLine="504" w:firstLineChars="200"/>
        <w:jc w:val="both"/>
        <w:rPr>
          <w:rFonts w:hAnsi="宋体" w:cs="宋体"/>
          <w:color w:val="auto"/>
          <w:spacing w:val="6"/>
          <w:sz w:val="24"/>
          <w:szCs w:val="24"/>
          <w:highlight w:val="none"/>
        </w:rPr>
      </w:pPr>
      <w:r>
        <w:rPr>
          <w:rFonts w:hAnsi="宋体" w:cs="宋体"/>
          <w:color w:val="auto"/>
          <w:spacing w:val="6"/>
          <w:sz w:val="24"/>
          <w:szCs w:val="24"/>
          <w:highlight w:val="none"/>
        </w:rPr>
        <w:t>本人经由</w:t>
      </w:r>
      <w:r>
        <w:rPr>
          <w:rFonts w:hAnsi="宋体" w:cs="宋体"/>
          <w:color w:val="auto"/>
          <w:spacing w:val="6"/>
          <w:sz w:val="24"/>
          <w:szCs w:val="24"/>
          <w:highlight w:val="none"/>
          <w:u w:val="single"/>
        </w:rPr>
        <w:t xml:space="preserve">                        （单位）</w:t>
      </w:r>
      <w:r>
        <w:rPr>
          <w:rFonts w:hAnsi="宋体" w:cs="宋体"/>
          <w:color w:val="auto"/>
          <w:spacing w:val="6"/>
          <w:sz w:val="24"/>
          <w:szCs w:val="24"/>
          <w:highlight w:val="none"/>
        </w:rPr>
        <w:t>负责人</w:t>
      </w:r>
      <w:r>
        <w:rPr>
          <w:rFonts w:hAnsi="宋体" w:cs="宋体"/>
          <w:color w:val="auto"/>
          <w:spacing w:val="6"/>
          <w:sz w:val="24"/>
          <w:szCs w:val="24"/>
          <w:highlight w:val="none"/>
          <w:u w:val="single"/>
        </w:rPr>
        <w:t xml:space="preserve">        （姓名）</w:t>
      </w:r>
      <w:r>
        <w:rPr>
          <w:rFonts w:hAnsi="宋体" w:cs="宋体"/>
          <w:color w:val="auto"/>
          <w:spacing w:val="6"/>
          <w:sz w:val="24"/>
          <w:szCs w:val="24"/>
          <w:highlight w:val="none"/>
        </w:rPr>
        <w:t>合法授权参加</w:t>
      </w:r>
      <w:r>
        <w:rPr>
          <w:rFonts w:hAnsi="宋体" w:cs="宋体"/>
          <w:color w:val="auto"/>
          <w:spacing w:val="6"/>
          <w:sz w:val="24"/>
          <w:szCs w:val="24"/>
          <w:highlight w:val="none"/>
          <w:u w:val="single"/>
        </w:rPr>
        <w:t xml:space="preserve">                        </w:t>
      </w:r>
      <w:r>
        <w:rPr>
          <w:rFonts w:hAnsi="宋体" w:cs="宋体"/>
          <w:color w:val="auto"/>
          <w:spacing w:val="6"/>
          <w:sz w:val="24"/>
          <w:szCs w:val="24"/>
          <w:highlight w:val="none"/>
        </w:rPr>
        <w:t>政府采购项目（编号：</w:t>
      </w:r>
      <w:r>
        <w:rPr>
          <w:rFonts w:hAnsi="宋体" w:cs="宋体"/>
          <w:color w:val="auto"/>
          <w:spacing w:val="6"/>
          <w:sz w:val="24"/>
          <w:szCs w:val="24"/>
          <w:highlight w:val="none"/>
          <w:u w:val="single"/>
        </w:rPr>
        <w:t xml:space="preserve">              </w:t>
      </w:r>
      <w:r>
        <w:rPr>
          <w:rFonts w:hAnsi="宋体" w:cs="宋体"/>
          <w:color w:val="auto"/>
          <w:kern w:val="0"/>
          <w:sz w:val="24"/>
          <w:szCs w:val="24"/>
          <w:highlight w:val="none"/>
        </w:rPr>
        <w:t>）的</w:t>
      </w:r>
      <w:r>
        <w:rPr>
          <w:rFonts w:hAnsi="宋体" w:cs="宋体"/>
          <w:color w:val="auto"/>
          <w:spacing w:val="6"/>
          <w:sz w:val="24"/>
          <w:szCs w:val="24"/>
          <w:highlight w:val="none"/>
        </w:rPr>
        <w:t xml:space="preserve">政府采购活动，经与本单位法人代表（负责人）联系确认，现就有关公平竞争事项郑重声明如下： </w:t>
      </w:r>
    </w:p>
    <w:p w14:paraId="22817C4D">
      <w:pPr>
        <w:pStyle w:val="44"/>
        <w:widowControl/>
        <w:numPr>
          <w:ilvl w:val="0"/>
          <w:numId w:val="14"/>
        </w:numPr>
        <w:snapToGrid w:val="0"/>
        <w:spacing w:line="312" w:lineRule="auto"/>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本单位与采购人之间 □不存在利害关系 □存在下列利害关系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14:paraId="5C8A5D87">
      <w:pPr>
        <w:pStyle w:val="44"/>
        <w:widowControl/>
        <w:snapToGrid w:val="0"/>
        <w:spacing w:line="312" w:lineRule="auto"/>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14:paraId="4332EFCA">
      <w:pPr>
        <w:pStyle w:val="44"/>
        <w:widowControl/>
        <w:snapToGrid w:val="0"/>
        <w:spacing w:line="312" w:lineRule="auto"/>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 xml:space="preserve">（如有，请如实说明）                 </w:t>
      </w:r>
      <w:r>
        <w:rPr>
          <w:rFonts w:ascii="宋体" w:hAnsi="宋体" w:cs="宋体"/>
          <w:color w:val="auto"/>
          <w:kern w:val="0"/>
          <w:sz w:val="24"/>
          <w:szCs w:val="24"/>
          <w:highlight w:val="none"/>
        </w:rPr>
        <w:t>。</w:t>
      </w:r>
    </w:p>
    <w:p w14:paraId="1425F9DE">
      <w:pPr>
        <w:pStyle w:val="44"/>
        <w:widowControl/>
        <w:snapToGrid w:val="0"/>
        <w:spacing w:line="312" w:lineRule="auto"/>
        <w:rPr>
          <w:rFonts w:ascii="宋体" w:hAnsi="宋体" w:cs="宋体"/>
          <w:color w:val="auto"/>
          <w:kern w:val="0"/>
          <w:sz w:val="24"/>
          <w:szCs w:val="24"/>
          <w:highlight w:val="none"/>
        </w:rPr>
      </w:pPr>
      <w:r>
        <w:rPr>
          <w:rFonts w:ascii="宋体" w:hAnsi="宋体" w:cs="宋体"/>
          <w:color w:val="auto"/>
          <w:spacing w:val="6"/>
          <w:sz w:val="24"/>
          <w:szCs w:val="24"/>
          <w:highlight w:val="none"/>
        </w:rPr>
        <w:t xml:space="preserve">  二、</w:t>
      </w:r>
      <w:r>
        <w:rPr>
          <w:rFonts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ascii="宋体" w:hAnsi="宋体" w:cs="宋体"/>
          <w:color w:val="auto"/>
          <w:kern w:val="0"/>
          <w:sz w:val="24"/>
          <w:szCs w:val="24"/>
          <w:highlight w:val="none"/>
          <w:u w:val="single"/>
        </w:rPr>
        <w:t xml:space="preserve">           （供应商名称）</w:t>
      </w:r>
      <w:r>
        <w:rPr>
          <w:rFonts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14:paraId="0FEF7931">
      <w:pPr>
        <w:pStyle w:val="43"/>
        <w:widowControl w:val="0"/>
        <w:snapToGrid w:val="0"/>
        <w:spacing w:line="312" w:lineRule="auto"/>
        <w:jc w:val="both"/>
        <w:rPr>
          <w:rFonts w:hAnsi="宋体" w:cs="宋体"/>
          <w:color w:val="auto"/>
          <w:kern w:val="0"/>
          <w:sz w:val="24"/>
          <w:szCs w:val="24"/>
          <w:highlight w:val="none"/>
        </w:rPr>
      </w:pPr>
      <w:r>
        <w:rPr>
          <w:rFonts w:hAnsi="宋体" w:cs="宋体"/>
          <w:color w:val="auto"/>
          <w:kern w:val="0"/>
          <w:sz w:val="24"/>
          <w:szCs w:val="24"/>
          <w:highlight w:val="none"/>
        </w:rPr>
        <w:t xml:space="preserve">  A.法定代表人或负责人或实际控制人是同一人</w:t>
      </w:r>
    </w:p>
    <w:p w14:paraId="71090179">
      <w:pPr>
        <w:pStyle w:val="43"/>
        <w:widowControl w:val="0"/>
        <w:snapToGrid w:val="0"/>
        <w:spacing w:line="312" w:lineRule="auto"/>
        <w:jc w:val="both"/>
        <w:rPr>
          <w:rFonts w:hAnsi="宋体" w:cs="宋体"/>
          <w:color w:val="auto"/>
          <w:spacing w:val="6"/>
          <w:sz w:val="24"/>
          <w:szCs w:val="24"/>
          <w:highlight w:val="none"/>
        </w:rPr>
      </w:pPr>
      <w:r>
        <w:rPr>
          <w:rFonts w:hAnsi="宋体" w:cs="宋体"/>
          <w:color w:val="auto"/>
          <w:kern w:val="0"/>
          <w:sz w:val="24"/>
          <w:szCs w:val="24"/>
          <w:highlight w:val="none"/>
        </w:rPr>
        <w:t xml:space="preserve">  B.法定代表人或负责人或实际控制人是夫妻关系</w:t>
      </w:r>
    </w:p>
    <w:p w14:paraId="018A7366">
      <w:pPr>
        <w:pStyle w:val="43"/>
        <w:widowControl w:val="0"/>
        <w:snapToGrid w:val="0"/>
        <w:spacing w:line="312" w:lineRule="auto"/>
        <w:jc w:val="both"/>
        <w:rPr>
          <w:rFonts w:hAnsi="宋体" w:cs="宋体"/>
          <w:color w:val="auto"/>
          <w:spacing w:val="6"/>
          <w:sz w:val="24"/>
          <w:szCs w:val="24"/>
          <w:highlight w:val="none"/>
        </w:rPr>
      </w:pPr>
      <w:r>
        <w:rPr>
          <w:rFonts w:hAnsi="宋体" w:cs="宋体"/>
          <w:color w:val="auto"/>
          <w:kern w:val="0"/>
          <w:sz w:val="24"/>
          <w:szCs w:val="24"/>
          <w:highlight w:val="none"/>
        </w:rPr>
        <w:t xml:space="preserve">  C.法定代表人或负责人或实际控制人是直系血亲关系</w:t>
      </w:r>
    </w:p>
    <w:p w14:paraId="3779CE05">
      <w:pPr>
        <w:pStyle w:val="43"/>
        <w:widowControl w:val="0"/>
        <w:snapToGrid w:val="0"/>
        <w:spacing w:line="312" w:lineRule="auto"/>
        <w:jc w:val="both"/>
        <w:rPr>
          <w:rFonts w:hAnsi="宋体" w:cs="宋体"/>
          <w:color w:val="auto"/>
          <w:spacing w:val="6"/>
          <w:sz w:val="24"/>
          <w:szCs w:val="24"/>
          <w:highlight w:val="none"/>
        </w:rPr>
      </w:pPr>
      <w:r>
        <w:rPr>
          <w:rFonts w:hAnsi="宋体" w:cs="宋体"/>
          <w:color w:val="auto"/>
          <w:kern w:val="0"/>
          <w:sz w:val="24"/>
          <w:szCs w:val="24"/>
          <w:highlight w:val="none"/>
        </w:rPr>
        <w:t xml:space="preserve">  D.法定代表人或负责人或实际控制人存在三代以内旁系血亲关系</w:t>
      </w:r>
    </w:p>
    <w:p w14:paraId="56E177F9">
      <w:pPr>
        <w:pStyle w:val="43"/>
        <w:widowControl w:val="0"/>
        <w:snapToGrid w:val="0"/>
        <w:spacing w:line="312" w:lineRule="auto"/>
        <w:jc w:val="both"/>
        <w:rPr>
          <w:rFonts w:hAnsi="宋体" w:cs="宋体"/>
          <w:color w:val="auto"/>
          <w:kern w:val="0"/>
          <w:sz w:val="24"/>
          <w:szCs w:val="24"/>
          <w:highlight w:val="none"/>
        </w:rPr>
      </w:pPr>
      <w:r>
        <w:rPr>
          <w:rFonts w:hAnsi="宋体" w:cs="宋体"/>
          <w:color w:val="auto"/>
          <w:kern w:val="0"/>
          <w:sz w:val="24"/>
          <w:szCs w:val="24"/>
          <w:highlight w:val="none"/>
        </w:rPr>
        <w:t xml:space="preserve">  E.法定代表人或负责人或实际控制人存在近姻亲关系</w:t>
      </w:r>
    </w:p>
    <w:p w14:paraId="22C46ED0">
      <w:pPr>
        <w:pStyle w:val="43"/>
        <w:widowControl w:val="0"/>
        <w:snapToGrid w:val="0"/>
        <w:spacing w:line="312" w:lineRule="auto"/>
        <w:jc w:val="both"/>
        <w:rPr>
          <w:rFonts w:hAnsi="宋体" w:cs="宋体"/>
          <w:color w:val="auto"/>
          <w:kern w:val="0"/>
          <w:sz w:val="24"/>
          <w:szCs w:val="24"/>
          <w:highlight w:val="none"/>
        </w:rPr>
      </w:pPr>
      <w:r>
        <w:rPr>
          <w:rFonts w:hAnsi="宋体" w:cs="宋体"/>
          <w:color w:val="auto"/>
          <w:kern w:val="0"/>
          <w:sz w:val="24"/>
          <w:szCs w:val="24"/>
          <w:highlight w:val="none"/>
        </w:rPr>
        <w:t xml:space="preserve">  F.法定代表人或负责人或实际控制人存在股份控制或实际控制关系</w:t>
      </w:r>
    </w:p>
    <w:p w14:paraId="64DBF5DB">
      <w:pPr>
        <w:pStyle w:val="43"/>
        <w:widowControl w:val="0"/>
        <w:snapToGrid w:val="0"/>
        <w:spacing w:line="312" w:lineRule="auto"/>
        <w:jc w:val="both"/>
        <w:rPr>
          <w:rFonts w:hAnsi="宋体" w:cs="宋体"/>
          <w:color w:val="auto"/>
          <w:kern w:val="0"/>
          <w:sz w:val="24"/>
          <w:szCs w:val="24"/>
          <w:highlight w:val="none"/>
        </w:rPr>
      </w:pPr>
      <w:r>
        <w:rPr>
          <w:rFonts w:hAnsi="宋体" w:cs="宋体"/>
          <w:color w:val="auto"/>
          <w:kern w:val="0"/>
          <w:sz w:val="24"/>
          <w:szCs w:val="24"/>
          <w:highlight w:val="none"/>
        </w:rPr>
        <w:t xml:space="preserve">  G.存在共同直接或间接投资设立子公司、联营企业和合营企业情况</w:t>
      </w:r>
    </w:p>
    <w:p w14:paraId="6573B9A8">
      <w:pPr>
        <w:pStyle w:val="43"/>
        <w:widowControl w:val="0"/>
        <w:snapToGrid w:val="0"/>
        <w:spacing w:line="312" w:lineRule="auto"/>
        <w:jc w:val="both"/>
        <w:rPr>
          <w:rFonts w:hAnsi="宋体" w:cs="宋体"/>
          <w:color w:val="auto"/>
          <w:sz w:val="24"/>
          <w:szCs w:val="24"/>
          <w:highlight w:val="none"/>
        </w:rPr>
      </w:pPr>
      <w:r>
        <w:rPr>
          <w:rFonts w:hAnsi="宋体" w:cs="宋体"/>
          <w:color w:val="auto"/>
          <w:kern w:val="0"/>
          <w:sz w:val="24"/>
          <w:szCs w:val="24"/>
          <w:highlight w:val="none"/>
        </w:rPr>
        <w:t xml:space="preserve">  H.存在分级代理或代销关系、同一生产制造商关系、</w:t>
      </w:r>
      <w:r>
        <w:rPr>
          <w:rFonts w:hAnsi="宋体" w:cs="宋体"/>
          <w:color w:val="auto"/>
          <w:sz w:val="24"/>
          <w:szCs w:val="24"/>
          <w:highlight w:val="none"/>
        </w:rPr>
        <w:t>管理关系、重要业务（占主营业务收入50%以上）或重要财务往来关系（如融资）等其他实质性控制关系</w:t>
      </w:r>
    </w:p>
    <w:p w14:paraId="23A65FD7">
      <w:pPr>
        <w:pStyle w:val="43"/>
        <w:widowControl w:val="0"/>
        <w:snapToGrid w:val="0"/>
        <w:spacing w:line="312" w:lineRule="auto"/>
        <w:jc w:val="both"/>
        <w:rPr>
          <w:rFonts w:hAnsi="宋体" w:cs="宋体"/>
          <w:color w:val="auto"/>
          <w:spacing w:val="6"/>
          <w:sz w:val="24"/>
          <w:szCs w:val="24"/>
          <w:highlight w:val="none"/>
        </w:rPr>
      </w:pPr>
      <w:r>
        <w:rPr>
          <w:rFonts w:hAnsi="宋体" w:cs="宋体"/>
          <w:color w:val="auto"/>
          <w:sz w:val="24"/>
          <w:szCs w:val="24"/>
          <w:highlight w:val="none"/>
        </w:rPr>
        <w:t xml:space="preserve">  I</w:t>
      </w:r>
      <w:r>
        <w:rPr>
          <w:rFonts w:hAnsi="宋体" w:cs="宋体"/>
          <w:color w:val="auto"/>
          <w:kern w:val="0"/>
          <w:sz w:val="24"/>
          <w:szCs w:val="24"/>
          <w:highlight w:val="none"/>
        </w:rPr>
        <w:t>.</w:t>
      </w:r>
      <w:r>
        <w:rPr>
          <w:rFonts w:hAnsi="宋体" w:cs="宋体"/>
          <w:color w:val="auto"/>
          <w:sz w:val="24"/>
          <w:szCs w:val="24"/>
          <w:highlight w:val="none"/>
        </w:rPr>
        <w:t>其他利害关系情况</w:t>
      </w:r>
      <w:r>
        <w:rPr>
          <w:rFonts w:hAnsi="宋体" w:cs="宋体"/>
          <w:color w:val="auto"/>
          <w:sz w:val="24"/>
          <w:szCs w:val="24"/>
          <w:highlight w:val="none"/>
          <w:u w:val="single"/>
        </w:rPr>
        <w:t xml:space="preserve">                              </w:t>
      </w:r>
      <w:r>
        <w:rPr>
          <w:rFonts w:hAnsi="宋体" w:cs="宋体"/>
          <w:color w:val="auto"/>
          <w:kern w:val="0"/>
          <w:sz w:val="24"/>
          <w:szCs w:val="24"/>
          <w:highlight w:val="none"/>
        </w:rPr>
        <w:t>。</w:t>
      </w:r>
    </w:p>
    <w:p w14:paraId="40B76D9C">
      <w:pPr>
        <w:pStyle w:val="44"/>
        <w:widowControl/>
        <w:numPr>
          <w:ilvl w:val="0"/>
          <w:numId w:val="15"/>
        </w:numPr>
        <w:snapToGrid w:val="0"/>
        <w:spacing w:line="312" w:lineRule="auto"/>
        <w:ind w:firstLine="453" w:firstLineChars="189"/>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14:paraId="57F4BD7B">
      <w:pPr>
        <w:pStyle w:val="44"/>
        <w:widowControl/>
        <w:numPr>
          <w:ilvl w:val="0"/>
          <w:numId w:val="15"/>
        </w:numPr>
        <w:snapToGrid w:val="0"/>
        <w:spacing w:line="312" w:lineRule="auto"/>
        <w:ind w:firstLine="453" w:firstLineChars="189"/>
        <w:rPr>
          <w:rFonts w:ascii="宋体" w:hAnsi="宋体" w:cs="宋体"/>
          <w:color w:val="auto"/>
          <w:kern w:val="0"/>
          <w:sz w:val="24"/>
          <w:szCs w:val="24"/>
          <w:highlight w:val="none"/>
        </w:rPr>
      </w:pPr>
      <w:r>
        <w:rPr>
          <w:rFonts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项利害关系。</w:t>
      </w:r>
    </w:p>
    <w:p w14:paraId="63160048">
      <w:pPr>
        <w:pStyle w:val="43"/>
        <w:widowControl w:val="0"/>
        <w:snapToGrid w:val="0"/>
        <w:spacing w:line="312" w:lineRule="auto"/>
        <w:ind w:firstLine="480" w:firstLineChars="200"/>
        <w:jc w:val="both"/>
        <w:rPr>
          <w:rFonts w:hAnsi="宋体" w:cs="宋体"/>
          <w:color w:val="auto"/>
          <w:sz w:val="24"/>
          <w:szCs w:val="24"/>
          <w:highlight w:val="none"/>
        </w:rPr>
      </w:pPr>
      <w:r>
        <w:rPr>
          <w:rFonts w:hAnsi="宋体" w:cs="宋体"/>
          <w:color w:val="auto"/>
          <w:sz w:val="24"/>
          <w:szCs w:val="24"/>
          <w:highlight w:val="none"/>
        </w:rPr>
        <w:t xml:space="preserve">                                （供应商代表签名）：</w:t>
      </w:r>
    </w:p>
    <w:p w14:paraId="5E15B9DF">
      <w:pPr>
        <w:pStyle w:val="43"/>
        <w:widowControl w:val="0"/>
        <w:snapToGrid w:val="0"/>
        <w:spacing w:line="312" w:lineRule="auto"/>
        <w:ind w:firstLine="480" w:firstLineChars="200"/>
        <w:jc w:val="right"/>
        <w:rPr>
          <w:rFonts w:hAnsi="宋体" w:cs="宋体"/>
          <w:color w:val="auto"/>
          <w:sz w:val="24"/>
          <w:szCs w:val="24"/>
          <w:highlight w:val="none"/>
        </w:rPr>
      </w:pPr>
      <w:r>
        <w:rPr>
          <w:rFonts w:hAnsi="宋体" w:cs="宋体"/>
          <w:color w:val="auto"/>
          <w:sz w:val="24"/>
          <w:szCs w:val="24"/>
          <w:highlight w:val="none"/>
        </w:rPr>
        <w:t xml:space="preserve">                                    年   月   日</w:t>
      </w:r>
    </w:p>
    <w:p w14:paraId="0288998D">
      <w:pPr>
        <w:pStyle w:val="43"/>
        <w:widowControl w:val="0"/>
        <w:snapToGrid w:val="0"/>
        <w:spacing w:line="312" w:lineRule="auto"/>
        <w:jc w:val="both"/>
        <w:rPr>
          <w:rFonts w:hAnsi="宋体" w:cs="宋体"/>
          <w:b/>
          <w:bCs/>
          <w:color w:val="auto"/>
          <w:sz w:val="24"/>
          <w:szCs w:val="24"/>
          <w:highlight w:val="none"/>
        </w:rPr>
      </w:pPr>
      <w:r>
        <w:rPr>
          <w:rFonts w:hAnsi="宋体" w:cs="宋体"/>
          <w:b/>
          <w:bCs/>
          <w:color w:val="auto"/>
          <w:sz w:val="24"/>
          <w:szCs w:val="24"/>
          <w:highlight w:val="none"/>
        </w:rPr>
        <w:t>注：结束解密后，供应商通过邮件形式将经授权代表签署的《政府采购活动现场确认声明书》扫描件发至代理机构经办人邮箱（</w:t>
      </w:r>
      <w:r>
        <w:rPr>
          <w:rFonts w:hint="eastAsia" w:hAnsi="宋体" w:cs="宋体"/>
          <w:b/>
          <w:bCs/>
          <w:color w:val="auto"/>
          <w:sz w:val="24"/>
          <w:szCs w:val="24"/>
          <w:highlight w:val="none"/>
          <w:lang w:val="en-US" w:eastAsia="zh-CN"/>
        </w:rPr>
        <w:t>787784926</w:t>
      </w:r>
      <w:r>
        <w:rPr>
          <w:rFonts w:hAnsi="宋体" w:cs="宋体"/>
          <w:b/>
          <w:bCs/>
          <w:color w:val="auto"/>
          <w:sz w:val="24"/>
          <w:szCs w:val="24"/>
          <w:highlight w:val="none"/>
        </w:rPr>
        <w:t>@qq.com）。未按规定发送的，视为无异议，后果由投标人承担。</w:t>
      </w:r>
    </w:p>
    <w:p w14:paraId="6A41CC1A">
      <w:pPr>
        <w:adjustRightInd w:val="0"/>
        <w:spacing w:line="360" w:lineRule="auto"/>
        <w:rPr>
          <w:color w:val="auto"/>
          <w:highlight w:val="none"/>
        </w:rPr>
      </w:pPr>
      <w:r>
        <w:rPr>
          <w:rFonts w:asciiTheme="minorEastAsia" w:hAnsiTheme="minorEastAsia" w:eastAsiaTheme="minorEastAsia" w:cstheme="minorEastAsia"/>
          <w:color w:val="auto"/>
          <w:sz w:val="24"/>
          <w:szCs w:val="24"/>
          <w:highlight w:val="none"/>
        </w:rPr>
        <w:t xml:space="preserve">                       </w:t>
      </w:r>
    </w:p>
    <w:sectPr>
      <w:headerReference r:id="rId10" w:type="default"/>
      <w:footerReference r:id="rId11" w:type="default"/>
      <w:pgSz w:w="11906" w:h="16838"/>
      <w:pgMar w:top="1247" w:right="1383" w:bottom="1304" w:left="1502"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642F">
    <w:pPr>
      <w:snapToGrid w:val="0"/>
      <w:spacing w:line="240" w:lineRule="auto"/>
      <w:jc w:val="center"/>
      <w:rPr>
        <w:rFonts w:hint="default" w:ascii="Calibri" w:hAnsi="Calibri" w:eastAsia="黑体"/>
        <w:snapToGrid w:val="0"/>
        <w:kern w:val="0"/>
        <w:sz w:val="18"/>
        <w:szCs w:val="18"/>
      </w:rPr>
    </w:pPr>
  </w:p>
  <w:p w14:paraId="19C43C83">
    <w:pPr>
      <w:snapToGrid w:val="0"/>
      <w:spacing w:line="240" w:lineRule="auto"/>
      <w:jc w:val="center"/>
      <w:rPr>
        <w:rFonts w:hint="default" w:ascii="Calibri" w:hAnsi="Calibri" w:eastAsia="黑体"/>
        <w:snapToGrid w:val="0"/>
        <w:kern w:val="0"/>
        <w:sz w:val="18"/>
        <w:szCs w:val="18"/>
      </w:rPr>
    </w:pPr>
  </w:p>
  <w:p w14:paraId="1852347A">
    <w:pPr>
      <w:snapToGrid w:val="0"/>
      <w:spacing w:line="240" w:lineRule="auto"/>
      <w:jc w:val="left"/>
      <w:rPr>
        <w:rFonts w:hint="default"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97AFD">
    <w:pPr>
      <w:snapToGrid w:val="0"/>
      <w:spacing w:line="240" w:lineRule="auto"/>
      <w:jc w:val="center"/>
      <w:rPr>
        <w:rFonts w:hint="default" w:ascii="Calibri" w:hAnsi="Calibri" w:eastAsia="黑体"/>
        <w:snapToGrid w:val="0"/>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1C5E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F81C5E7">
                    <w:pPr>
                      <w:pStyle w:val="13"/>
                    </w:pPr>
                    <w:r>
                      <w:fldChar w:fldCharType="begin"/>
                    </w:r>
                    <w:r>
                      <w:instrText xml:space="preserve"> PAGE  \* MERGEFORMAT </w:instrText>
                    </w:r>
                    <w:r>
                      <w:fldChar w:fldCharType="separate"/>
                    </w:r>
                    <w:r>
                      <w:t>3</w:t>
                    </w:r>
                    <w:r>
                      <w:fldChar w:fldCharType="end"/>
                    </w:r>
                  </w:p>
                </w:txbxContent>
              </v:textbox>
            </v:shape>
          </w:pict>
        </mc:Fallback>
      </mc:AlternateContent>
    </w:r>
  </w:p>
  <w:p w14:paraId="633FF5C1">
    <w:pPr>
      <w:snapToGrid w:val="0"/>
      <w:spacing w:line="240" w:lineRule="auto"/>
      <w:jc w:val="center"/>
      <w:rPr>
        <w:rFonts w:hint="default" w:ascii="Calibri" w:hAnsi="Calibri" w:eastAsia="黑体"/>
        <w:snapToGrid w:val="0"/>
        <w:kern w:val="0"/>
        <w:sz w:val="18"/>
        <w:szCs w:val="18"/>
      </w:rPr>
    </w:pPr>
  </w:p>
  <w:p w14:paraId="27C3CFA5">
    <w:pPr>
      <w:snapToGrid w:val="0"/>
      <w:spacing w:line="240" w:lineRule="auto"/>
      <w:jc w:val="left"/>
      <w:rPr>
        <w:rFonts w:hint="default" w:ascii="Calibri" w:hAnsi="Calibri" w:eastAsia="黑体"/>
        <w:snapToGrid w:val="0"/>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7EB5">
    <w:pPr>
      <w:snapToGrid w:val="0"/>
      <w:spacing w:line="240" w:lineRule="auto"/>
      <w:jc w:val="center"/>
      <w:rPr>
        <w:rFonts w:hint="default" w:ascii="Calibri" w:hAnsi="Calibri" w:eastAsia="黑体"/>
        <w:snapToGrid w:val="0"/>
        <w:kern w:val="0"/>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D38AA">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A1D38AA">
                    <w:pPr>
                      <w:pStyle w:val="13"/>
                    </w:pPr>
                    <w:r>
                      <w:fldChar w:fldCharType="begin"/>
                    </w:r>
                    <w:r>
                      <w:instrText xml:space="preserve"> PAGE  \* MERGEFORMAT </w:instrText>
                    </w:r>
                    <w:r>
                      <w:fldChar w:fldCharType="separate"/>
                    </w:r>
                    <w:r>
                      <w:t>102</w:t>
                    </w:r>
                    <w:r>
                      <w:fldChar w:fldCharType="end"/>
                    </w:r>
                  </w:p>
                </w:txbxContent>
              </v:textbox>
            </v:shape>
          </w:pict>
        </mc:Fallback>
      </mc:AlternateContent>
    </w:r>
  </w:p>
  <w:p w14:paraId="6FE4A61D">
    <w:pPr>
      <w:snapToGrid w:val="0"/>
      <w:spacing w:line="240" w:lineRule="auto"/>
      <w:jc w:val="center"/>
      <w:rPr>
        <w:rFonts w:hint="default" w:ascii="Calibri" w:hAnsi="Calibri" w:eastAsia="黑体"/>
        <w:snapToGrid w:val="0"/>
        <w:kern w:val="0"/>
        <w:sz w:val="18"/>
        <w:szCs w:val="18"/>
      </w:rPr>
    </w:pPr>
  </w:p>
  <w:p w14:paraId="31C5A7DD">
    <w:pPr>
      <w:snapToGrid w:val="0"/>
      <w:spacing w:line="240" w:lineRule="auto"/>
      <w:jc w:val="left"/>
      <w:rPr>
        <w:rFonts w:hint="default" w:ascii="Calibri" w:hAnsi="Calibri" w:eastAsia="黑体"/>
        <w:snapToGrid w:val="0"/>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EA1A">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AA51F">
                          <w:pPr>
                            <w:pStyle w:val="1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88AA51F">
                    <w:pPr>
                      <w:pStyle w:val="1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17DF">
    <w:pPr>
      <w:spacing w:line="200" w:lineRule="exact"/>
      <w:rPr>
        <w:rFonts w:hint="default" w:ascii="Calibri" w:hAnsi="Calibri" w:eastAsia="宋体"/>
        <w:sz w:val="20"/>
      </w:rPr>
    </w:pPr>
  </w:p>
  <w:p w14:paraId="09546F73">
    <w:pPr>
      <w:spacing w:line="200" w:lineRule="exact"/>
      <w:rPr>
        <w:rFonts w:hint="default" w:ascii="Calibri" w:hAnsi="Calibri" w:eastAsia="宋体"/>
        <w:sz w:val="20"/>
      </w:rPr>
    </w:pPr>
  </w:p>
  <w:p w14:paraId="0744536B">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3360"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784DFE65">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3120;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8BcB2AAAAAoBAAAPAAAAAAAAAAEAIAAAACIAAABkcnMvZG93bnJldi54bWxQSwEC&#10;FAAUAAAACACHTuJAHOdaALsBAACCAwAADgAAAAAAAAABACAAAAAnAQAAZHJzL2Uyb0RvYy54bWxQ&#10;SwUGAAAAAAYABgBZAQAAVAUAAAAA&#10;">
              <v:fill on="f" focussize="0,0"/>
              <v:stroke on="f"/>
              <v:imagedata o:title=""/>
              <o:lock v:ext="edit" aspectratio="f"/>
              <v:textbox inset="0mm,0mm,0mm,0mm">
                <w:txbxContent>
                  <w:p w14:paraId="784DFE65">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4384"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2C80D303">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2096;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NlMpRvwEAAIIDAAAOAAAAAAAAAAEAIAAAACgBAABkcnMvZTJvRG9j&#10;LnhtbFBLBQYAAAAABgAGAFkBAABZBQAAAAA=&#10;">
              <v:fill on="f" focussize="0,0"/>
              <v:stroke on="f"/>
              <v:imagedata o:title=""/>
              <o:lock v:ext="edit" aspectratio="f"/>
              <v:textbox inset="0mm,0mm,0mm,0mm">
                <w:txbxContent>
                  <w:p w14:paraId="2C80D303">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E1C5">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2E04E509">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2E04E509">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252D126A">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252D126A">
                    <w:pPr>
                      <w:spacing w:line="214" w:lineRule="exact"/>
                      <w:jc w:val="left"/>
                      <w:rPr>
                        <w:rFonts w:ascii="宋体" w:hAnsi="宋体" w:eastAsia="宋体" w:cs="宋体"/>
                        <w:sz w:val="18"/>
                        <w:szCs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A8D6">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7DBE6679">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7DBE6679">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787CDA9C">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787CDA9C">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multilevel"/>
    <w:tmpl w:val="DDECD3BC"/>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AFBA84D"/>
    <w:multiLevelType w:val="singleLevel"/>
    <w:tmpl w:val="EAFBA84D"/>
    <w:lvl w:ilvl="0" w:tentative="0">
      <w:start w:val="1"/>
      <w:numFmt w:val="decimal"/>
      <w:suff w:val="nothing"/>
      <w:lvlText w:val="（%1）"/>
      <w:lvlJc w:val="left"/>
    </w:lvl>
  </w:abstractNum>
  <w:abstractNum w:abstractNumId="6">
    <w:nsid w:val="EB24ECF3"/>
    <w:multiLevelType w:val="singleLevel"/>
    <w:tmpl w:val="EB24ECF3"/>
    <w:lvl w:ilvl="0" w:tentative="0">
      <w:start w:val="1"/>
      <w:numFmt w:val="decimal"/>
      <w:suff w:val="nothing"/>
      <w:lvlText w:val="%1"/>
      <w:lvlJc w:val="left"/>
      <w:pPr>
        <w:tabs>
          <w:tab w:val="left" w:pos="0"/>
        </w:tabs>
        <w:ind w:left="0" w:leftChars="0" w:firstLine="0" w:firstLineChars="0"/>
      </w:pPr>
      <w:rPr>
        <w:rFonts w:hint="default" w:eastAsia="黑体"/>
        <w:sz w:val="21"/>
      </w:rPr>
    </w:lvl>
  </w:abstractNum>
  <w:abstractNum w:abstractNumId="7">
    <w:nsid w:val="FE129AE2"/>
    <w:multiLevelType w:val="singleLevel"/>
    <w:tmpl w:val="FE129AE2"/>
    <w:lvl w:ilvl="0" w:tentative="0">
      <w:start w:val="1"/>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8D95E19"/>
    <w:multiLevelType w:val="singleLevel"/>
    <w:tmpl w:val="28D95E19"/>
    <w:lvl w:ilvl="0" w:tentative="0">
      <w:start w:val="1"/>
      <w:numFmt w:val="chineseCounting"/>
      <w:suff w:val="nothing"/>
      <w:lvlText w:val="%1、"/>
      <w:lvlJc w:val="left"/>
      <w:rPr>
        <w:rFonts w:hint="eastAsia"/>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9AA2600"/>
    <w:multiLevelType w:val="singleLevel"/>
    <w:tmpl w:val="59AA2600"/>
    <w:lvl w:ilvl="0" w:tentative="0">
      <w:start w:val="2"/>
      <w:numFmt w:val="decimal"/>
      <w:suff w:val="space"/>
      <w:lvlText w:val="（%1）"/>
      <w:lvlJc w:val="left"/>
    </w:lvl>
  </w:abstractNum>
  <w:abstractNum w:abstractNumId="1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5"/>
  </w:num>
  <w:num w:numId="2">
    <w:abstractNumId w:val="6"/>
  </w:num>
  <w:num w:numId="3">
    <w:abstractNumId w:val="9"/>
  </w:num>
  <w:num w:numId="4">
    <w:abstractNumId w:val="14"/>
  </w:num>
  <w:num w:numId="5">
    <w:abstractNumId w:val="1"/>
  </w:num>
  <w:num w:numId="6">
    <w:abstractNumId w:val="8"/>
  </w:num>
  <w:num w:numId="7">
    <w:abstractNumId w:val="3"/>
  </w:num>
  <w:num w:numId="8">
    <w:abstractNumId w:val="2"/>
  </w:num>
  <w:num w:numId="9">
    <w:abstractNumId w:val="0"/>
  </w:num>
  <w:num w:numId="10">
    <w:abstractNumId w:val="4"/>
  </w:num>
  <w:num w:numId="11">
    <w:abstractNumId w:val="7"/>
  </w:num>
  <w:num w:numId="12">
    <w:abstractNumId w:val="13"/>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MjQwNjAyYWZlOWQ4Y2IyMjBiNGM5MTViYjA1NzIifQ=="/>
  </w:docVars>
  <w:rsids>
    <w:rsidRoot w:val="00172A27"/>
    <w:rsid w:val="0003770F"/>
    <w:rsid w:val="00052F88"/>
    <w:rsid w:val="000E3650"/>
    <w:rsid w:val="00155BB1"/>
    <w:rsid w:val="00172A27"/>
    <w:rsid w:val="001E63EA"/>
    <w:rsid w:val="002B0038"/>
    <w:rsid w:val="00417EF4"/>
    <w:rsid w:val="0044680D"/>
    <w:rsid w:val="00450636"/>
    <w:rsid w:val="004B65B3"/>
    <w:rsid w:val="004E67C4"/>
    <w:rsid w:val="00500B9C"/>
    <w:rsid w:val="00537E77"/>
    <w:rsid w:val="00691E73"/>
    <w:rsid w:val="006D0C74"/>
    <w:rsid w:val="006D2A52"/>
    <w:rsid w:val="006D5437"/>
    <w:rsid w:val="006F1686"/>
    <w:rsid w:val="007244C3"/>
    <w:rsid w:val="0076295E"/>
    <w:rsid w:val="008645B8"/>
    <w:rsid w:val="00865AE0"/>
    <w:rsid w:val="008C7825"/>
    <w:rsid w:val="00922277"/>
    <w:rsid w:val="009C4E76"/>
    <w:rsid w:val="009E7929"/>
    <w:rsid w:val="009F692F"/>
    <w:rsid w:val="00A364B9"/>
    <w:rsid w:val="00A731BF"/>
    <w:rsid w:val="00AB3933"/>
    <w:rsid w:val="00B266F9"/>
    <w:rsid w:val="00B4243D"/>
    <w:rsid w:val="00B75B78"/>
    <w:rsid w:val="00CE505E"/>
    <w:rsid w:val="00CE53E7"/>
    <w:rsid w:val="00E731F3"/>
    <w:rsid w:val="00EF6D01"/>
    <w:rsid w:val="00F66F31"/>
    <w:rsid w:val="00FB44DF"/>
    <w:rsid w:val="01243C35"/>
    <w:rsid w:val="013251AC"/>
    <w:rsid w:val="01430838"/>
    <w:rsid w:val="0146794B"/>
    <w:rsid w:val="01514167"/>
    <w:rsid w:val="016342BB"/>
    <w:rsid w:val="016D1EEA"/>
    <w:rsid w:val="01785B98"/>
    <w:rsid w:val="01D54B64"/>
    <w:rsid w:val="01D84888"/>
    <w:rsid w:val="01DA0D45"/>
    <w:rsid w:val="02102EE8"/>
    <w:rsid w:val="022F6B7C"/>
    <w:rsid w:val="0236631D"/>
    <w:rsid w:val="023B4DEC"/>
    <w:rsid w:val="025C1016"/>
    <w:rsid w:val="026D4B89"/>
    <w:rsid w:val="027559A5"/>
    <w:rsid w:val="02DD18B6"/>
    <w:rsid w:val="02DF39F5"/>
    <w:rsid w:val="02E51955"/>
    <w:rsid w:val="02F523A5"/>
    <w:rsid w:val="02FF592B"/>
    <w:rsid w:val="030F42DA"/>
    <w:rsid w:val="03195159"/>
    <w:rsid w:val="03687BD5"/>
    <w:rsid w:val="039D55F6"/>
    <w:rsid w:val="040E161C"/>
    <w:rsid w:val="0438160E"/>
    <w:rsid w:val="0478689E"/>
    <w:rsid w:val="04906AFB"/>
    <w:rsid w:val="049D24C0"/>
    <w:rsid w:val="04B84620"/>
    <w:rsid w:val="04D37B9E"/>
    <w:rsid w:val="04D942E4"/>
    <w:rsid w:val="04ED6048"/>
    <w:rsid w:val="04F27A0F"/>
    <w:rsid w:val="05087233"/>
    <w:rsid w:val="050A6C0A"/>
    <w:rsid w:val="05205135"/>
    <w:rsid w:val="05270898"/>
    <w:rsid w:val="05395631"/>
    <w:rsid w:val="053A13B6"/>
    <w:rsid w:val="054E42B3"/>
    <w:rsid w:val="056B3129"/>
    <w:rsid w:val="05A11650"/>
    <w:rsid w:val="05CD5D86"/>
    <w:rsid w:val="05F56F81"/>
    <w:rsid w:val="05F95536"/>
    <w:rsid w:val="06045AA9"/>
    <w:rsid w:val="06071298"/>
    <w:rsid w:val="06163B39"/>
    <w:rsid w:val="06214956"/>
    <w:rsid w:val="062777F1"/>
    <w:rsid w:val="062B6229"/>
    <w:rsid w:val="062B6D20"/>
    <w:rsid w:val="06345443"/>
    <w:rsid w:val="06502684"/>
    <w:rsid w:val="0653338F"/>
    <w:rsid w:val="06581AF4"/>
    <w:rsid w:val="065D710A"/>
    <w:rsid w:val="06606BFB"/>
    <w:rsid w:val="066C0621"/>
    <w:rsid w:val="067E3321"/>
    <w:rsid w:val="06A0349B"/>
    <w:rsid w:val="06AF3B34"/>
    <w:rsid w:val="06C02D18"/>
    <w:rsid w:val="06D1308F"/>
    <w:rsid w:val="06E027E8"/>
    <w:rsid w:val="06F01445"/>
    <w:rsid w:val="07195727"/>
    <w:rsid w:val="07283BBC"/>
    <w:rsid w:val="073065CD"/>
    <w:rsid w:val="07373A47"/>
    <w:rsid w:val="07397B77"/>
    <w:rsid w:val="075D2619"/>
    <w:rsid w:val="07725A47"/>
    <w:rsid w:val="077E2A57"/>
    <w:rsid w:val="077E558A"/>
    <w:rsid w:val="077F6846"/>
    <w:rsid w:val="07866B35"/>
    <w:rsid w:val="07C12FA2"/>
    <w:rsid w:val="07C96E31"/>
    <w:rsid w:val="07DA155E"/>
    <w:rsid w:val="07E27A1E"/>
    <w:rsid w:val="080A5AE0"/>
    <w:rsid w:val="08105E4A"/>
    <w:rsid w:val="08236132"/>
    <w:rsid w:val="082B69C1"/>
    <w:rsid w:val="0858227F"/>
    <w:rsid w:val="08A34C53"/>
    <w:rsid w:val="08D65F4B"/>
    <w:rsid w:val="08D72CFC"/>
    <w:rsid w:val="08F875BE"/>
    <w:rsid w:val="09023951"/>
    <w:rsid w:val="092D0DA0"/>
    <w:rsid w:val="09320F75"/>
    <w:rsid w:val="096F4D95"/>
    <w:rsid w:val="097053A7"/>
    <w:rsid w:val="09762361"/>
    <w:rsid w:val="097F33FA"/>
    <w:rsid w:val="098A005C"/>
    <w:rsid w:val="09AC7F67"/>
    <w:rsid w:val="09B45767"/>
    <w:rsid w:val="09B90AFC"/>
    <w:rsid w:val="09D662AB"/>
    <w:rsid w:val="09D75426"/>
    <w:rsid w:val="09E55D95"/>
    <w:rsid w:val="09EE4D5A"/>
    <w:rsid w:val="09F8516F"/>
    <w:rsid w:val="0A0C3321"/>
    <w:rsid w:val="0A330A9D"/>
    <w:rsid w:val="0A3629AD"/>
    <w:rsid w:val="0A474359"/>
    <w:rsid w:val="0A544CC8"/>
    <w:rsid w:val="0ACA0AE6"/>
    <w:rsid w:val="0ACE6B28"/>
    <w:rsid w:val="0AEE0C79"/>
    <w:rsid w:val="0AF33435"/>
    <w:rsid w:val="0B105DAA"/>
    <w:rsid w:val="0B4B7E79"/>
    <w:rsid w:val="0B505EA4"/>
    <w:rsid w:val="0B5940F8"/>
    <w:rsid w:val="0B5B6DBA"/>
    <w:rsid w:val="0B8D04E6"/>
    <w:rsid w:val="0C2F20E7"/>
    <w:rsid w:val="0C3152C1"/>
    <w:rsid w:val="0C6A35B3"/>
    <w:rsid w:val="0C965124"/>
    <w:rsid w:val="0CB101B0"/>
    <w:rsid w:val="0CB26A0C"/>
    <w:rsid w:val="0CD12600"/>
    <w:rsid w:val="0CE50AA7"/>
    <w:rsid w:val="0D6C6B30"/>
    <w:rsid w:val="0D71793F"/>
    <w:rsid w:val="0D84798A"/>
    <w:rsid w:val="0DAA021A"/>
    <w:rsid w:val="0DAB4BFF"/>
    <w:rsid w:val="0DBF06AB"/>
    <w:rsid w:val="0DC66F3D"/>
    <w:rsid w:val="0E126A88"/>
    <w:rsid w:val="0E4532A6"/>
    <w:rsid w:val="0E453979"/>
    <w:rsid w:val="0E5F6E06"/>
    <w:rsid w:val="0E673936"/>
    <w:rsid w:val="0E68551B"/>
    <w:rsid w:val="0E686A3B"/>
    <w:rsid w:val="0E6B25E0"/>
    <w:rsid w:val="0E6B6937"/>
    <w:rsid w:val="0E705A43"/>
    <w:rsid w:val="0E7B0A75"/>
    <w:rsid w:val="0E8527DA"/>
    <w:rsid w:val="0E96765D"/>
    <w:rsid w:val="0EA93835"/>
    <w:rsid w:val="0EB13B2F"/>
    <w:rsid w:val="0EBB70C4"/>
    <w:rsid w:val="0EE37B71"/>
    <w:rsid w:val="0EF95E3E"/>
    <w:rsid w:val="0F073315"/>
    <w:rsid w:val="0F085355"/>
    <w:rsid w:val="0F1C7457"/>
    <w:rsid w:val="0F1F58A5"/>
    <w:rsid w:val="0F2B55F6"/>
    <w:rsid w:val="0F466D20"/>
    <w:rsid w:val="0F642900"/>
    <w:rsid w:val="0F975858"/>
    <w:rsid w:val="0FC868B5"/>
    <w:rsid w:val="0FD146C5"/>
    <w:rsid w:val="0FDA69F6"/>
    <w:rsid w:val="102201FD"/>
    <w:rsid w:val="102E1B18"/>
    <w:rsid w:val="104565D7"/>
    <w:rsid w:val="10507CE0"/>
    <w:rsid w:val="105E0CDE"/>
    <w:rsid w:val="10646D28"/>
    <w:rsid w:val="107A6E1C"/>
    <w:rsid w:val="10973B61"/>
    <w:rsid w:val="10BA56B8"/>
    <w:rsid w:val="10BA7217"/>
    <w:rsid w:val="10C009C2"/>
    <w:rsid w:val="10D80401"/>
    <w:rsid w:val="10E01064"/>
    <w:rsid w:val="10E459A9"/>
    <w:rsid w:val="10F13271"/>
    <w:rsid w:val="10FF32EE"/>
    <w:rsid w:val="110C6F27"/>
    <w:rsid w:val="111B02EE"/>
    <w:rsid w:val="1122285C"/>
    <w:rsid w:val="112738A6"/>
    <w:rsid w:val="1134315E"/>
    <w:rsid w:val="11765E13"/>
    <w:rsid w:val="11845E93"/>
    <w:rsid w:val="11877E6D"/>
    <w:rsid w:val="11A71B81"/>
    <w:rsid w:val="11B60016"/>
    <w:rsid w:val="11B9799F"/>
    <w:rsid w:val="11D432F6"/>
    <w:rsid w:val="11DD7458"/>
    <w:rsid w:val="11EE745B"/>
    <w:rsid w:val="120D0CBE"/>
    <w:rsid w:val="12246E50"/>
    <w:rsid w:val="12550BC4"/>
    <w:rsid w:val="125857A5"/>
    <w:rsid w:val="1259439A"/>
    <w:rsid w:val="12887C05"/>
    <w:rsid w:val="128E58B4"/>
    <w:rsid w:val="129C348E"/>
    <w:rsid w:val="12A0411B"/>
    <w:rsid w:val="12C70A2C"/>
    <w:rsid w:val="12C865BC"/>
    <w:rsid w:val="12DE764A"/>
    <w:rsid w:val="12E90D0E"/>
    <w:rsid w:val="12F646BF"/>
    <w:rsid w:val="130B4ADC"/>
    <w:rsid w:val="13160D6D"/>
    <w:rsid w:val="131D034D"/>
    <w:rsid w:val="132F1E2E"/>
    <w:rsid w:val="132F6F6F"/>
    <w:rsid w:val="13561816"/>
    <w:rsid w:val="1356385F"/>
    <w:rsid w:val="136D548D"/>
    <w:rsid w:val="13C73F1E"/>
    <w:rsid w:val="13D05B20"/>
    <w:rsid w:val="140B52A1"/>
    <w:rsid w:val="14102AF6"/>
    <w:rsid w:val="14302302"/>
    <w:rsid w:val="14315F33"/>
    <w:rsid w:val="143F42F3"/>
    <w:rsid w:val="146B158C"/>
    <w:rsid w:val="14832432"/>
    <w:rsid w:val="14935A24"/>
    <w:rsid w:val="14B275DB"/>
    <w:rsid w:val="14FE77F3"/>
    <w:rsid w:val="150B7FF3"/>
    <w:rsid w:val="153C5E15"/>
    <w:rsid w:val="154B38B6"/>
    <w:rsid w:val="15516E89"/>
    <w:rsid w:val="155C5E11"/>
    <w:rsid w:val="15826B8D"/>
    <w:rsid w:val="15B30AF5"/>
    <w:rsid w:val="15C41F6F"/>
    <w:rsid w:val="15E6668D"/>
    <w:rsid w:val="16394EC0"/>
    <w:rsid w:val="16421E79"/>
    <w:rsid w:val="164719BE"/>
    <w:rsid w:val="16612C47"/>
    <w:rsid w:val="168B4C39"/>
    <w:rsid w:val="16BA4105"/>
    <w:rsid w:val="16C5620B"/>
    <w:rsid w:val="16DC407B"/>
    <w:rsid w:val="16E04597"/>
    <w:rsid w:val="16EA2689"/>
    <w:rsid w:val="16F33848"/>
    <w:rsid w:val="170F4E4B"/>
    <w:rsid w:val="17142A15"/>
    <w:rsid w:val="1725731E"/>
    <w:rsid w:val="17316B01"/>
    <w:rsid w:val="17572B9C"/>
    <w:rsid w:val="17BB323B"/>
    <w:rsid w:val="17C370BB"/>
    <w:rsid w:val="17FE0021"/>
    <w:rsid w:val="18134CAA"/>
    <w:rsid w:val="18193455"/>
    <w:rsid w:val="18602A8A"/>
    <w:rsid w:val="18652AAD"/>
    <w:rsid w:val="18812A66"/>
    <w:rsid w:val="188906B7"/>
    <w:rsid w:val="18893D8F"/>
    <w:rsid w:val="189367B7"/>
    <w:rsid w:val="189E637B"/>
    <w:rsid w:val="189F7A56"/>
    <w:rsid w:val="18D474AB"/>
    <w:rsid w:val="18DA370C"/>
    <w:rsid w:val="18EF3CB4"/>
    <w:rsid w:val="19002914"/>
    <w:rsid w:val="191A467D"/>
    <w:rsid w:val="19241D0A"/>
    <w:rsid w:val="195E1B20"/>
    <w:rsid w:val="19625E7D"/>
    <w:rsid w:val="19831126"/>
    <w:rsid w:val="19990039"/>
    <w:rsid w:val="19B250D3"/>
    <w:rsid w:val="19B768A4"/>
    <w:rsid w:val="19EC040D"/>
    <w:rsid w:val="1A345F7C"/>
    <w:rsid w:val="1A413514"/>
    <w:rsid w:val="1A431D69"/>
    <w:rsid w:val="1A692698"/>
    <w:rsid w:val="1A6C20A0"/>
    <w:rsid w:val="1A8B7005"/>
    <w:rsid w:val="1A8C0104"/>
    <w:rsid w:val="1AB501CF"/>
    <w:rsid w:val="1AB75BA5"/>
    <w:rsid w:val="1AE9220B"/>
    <w:rsid w:val="1B1A1616"/>
    <w:rsid w:val="1B630C86"/>
    <w:rsid w:val="1B6A3795"/>
    <w:rsid w:val="1B6D7AC9"/>
    <w:rsid w:val="1B742AD4"/>
    <w:rsid w:val="1B823818"/>
    <w:rsid w:val="1B953F7D"/>
    <w:rsid w:val="1BB05AD7"/>
    <w:rsid w:val="1BB21D96"/>
    <w:rsid w:val="1BCA5074"/>
    <w:rsid w:val="1BCF6D07"/>
    <w:rsid w:val="1BFB0560"/>
    <w:rsid w:val="1C203E31"/>
    <w:rsid w:val="1C542B12"/>
    <w:rsid w:val="1C59115B"/>
    <w:rsid w:val="1C5F7ED6"/>
    <w:rsid w:val="1C7134B8"/>
    <w:rsid w:val="1C7C6DD5"/>
    <w:rsid w:val="1C97097C"/>
    <w:rsid w:val="1CB9400D"/>
    <w:rsid w:val="1CCC4063"/>
    <w:rsid w:val="1CDA364E"/>
    <w:rsid w:val="1CE47BC2"/>
    <w:rsid w:val="1CEC486D"/>
    <w:rsid w:val="1D1B2A54"/>
    <w:rsid w:val="1D3F5649"/>
    <w:rsid w:val="1D4B1F5B"/>
    <w:rsid w:val="1D596426"/>
    <w:rsid w:val="1D686669"/>
    <w:rsid w:val="1D7414B2"/>
    <w:rsid w:val="1D780AD0"/>
    <w:rsid w:val="1D84721B"/>
    <w:rsid w:val="1D862F93"/>
    <w:rsid w:val="1D882867"/>
    <w:rsid w:val="1DA022A7"/>
    <w:rsid w:val="1DA241D3"/>
    <w:rsid w:val="1DA653E3"/>
    <w:rsid w:val="1DC065AE"/>
    <w:rsid w:val="1DE17F63"/>
    <w:rsid w:val="1DF63C75"/>
    <w:rsid w:val="1DFF2E17"/>
    <w:rsid w:val="1E043956"/>
    <w:rsid w:val="1E1D2544"/>
    <w:rsid w:val="1E3D22C1"/>
    <w:rsid w:val="1E4A2212"/>
    <w:rsid w:val="1E4E1D03"/>
    <w:rsid w:val="1E566E09"/>
    <w:rsid w:val="1E63672A"/>
    <w:rsid w:val="1E686B6B"/>
    <w:rsid w:val="1EA266C0"/>
    <w:rsid w:val="1EAF50CB"/>
    <w:rsid w:val="1EBB6C6C"/>
    <w:rsid w:val="1EBD0C36"/>
    <w:rsid w:val="1EBF1AE5"/>
    <w:rsid w:val="1EBF49AE"/>
    <w:rsid w:val="1EE35596"/>
    <w:rsid w:val="1EEB49C3"/>
    <w:rsid w:val="1F4D7718"/>
    <w:rsid w:val="1F6115C2"/>
    <w:rsid w:val="1F6C6BE1"/>
    <w:rsid w:val="1F7312F5"/>
    <w:rsid w:val="1F822D28"/>
    <w:rsid w:val="1FA548B5"/>
    <w:rsid w:val="1FB13C8F"/>
    <w:rsid w:val="1FB3239F"/>
    <w:rsid w:val="1FB335F7"/>
    <w:rsid w:val="1FC508AF"/>
    <w:rsid w:val="1FC97167"/>
    <w:rsid w:val="1FF04E80"/>
    <w:rsid w:val="1FF51CDF"/>
    <w:rsid w:val="1FF7772D"/>
    <w:rsid w:val="20045FE0"/>
    <w:rsid w:val="201B64C7"/>
    <w:rsid w:val="201F2406"/>
    <w:rsid w:val="20280331"/>
    <w:rsid w:val="202D5948"/>
    <w:rsid w:val="203171E6"/>
    <w:rsid w:val="204F69D2"/>
    <w:rsid w:val="20520C59"/>
    <w:rsid w:val="206257A1"/>
    <w:rsid w:val="20684BD2"/>
    <w:rsid w:val="20843875"/>
    <w:rsid w:val="20995346"/>
    <w:rsid w:val="209A16CC"/>
    <w:rsid w:val="209F6845"/>
    <w:rsid w:val="20B50DA4"/>
    <w:rsid w:val="20B83463"/>
    <w:rsid w:val="20D22EE3"/>
    <w:rsid w:val="20DB3872"/>
    <w:rsid w:val="20DB5810"/>
    <w:rsid w:val="20E5349A"/>
    <w:rsid w:val="210E0EEE"/>
    <w:rsid w:val="210F3FE9"/>
    <w:rsid w:val="211A4903"/>
    <w:rsid w:val="2137517C"/>
    <w:rsid w:val="213B0D78"/>
    <w:rsid w:val="215C64E4"/>
    <w:rsid w:val="21732064"/>
    <w:rsid w:val="21934799"/>
    <w:rsid w:val="21D30FE1"/>
    <w:rsid w:val="22044B7A"/>
    <w:rsid w:val="220B7F0B"/>
    <w:rsid w:val="222122BA"/>
    <w:rsid w:val="222334A6"/>
    <w:rsid w:val="222F1EDF"/>
    <w:rsid w:val="224A0A33"/>
    <w:rsid w:val="226745E1"/>
    <w:rsid w:val="2272003C"/>
    <w:rsid w:val="22827E15"/>
    <w:rsid w:val="22995516"/>
    <w:rsid w:val="229D6DB5"/>
    <w:rsid w:val="22B934C3"/>
    <w:rsid w:val="22CD6F6E"/>
    <w:rsid w:val="22F866E1"/>
    <w:rsid w:val="232505E0"/>
    <w:rsid w:val="23264FFC"/>
    <w:rsid w:val="233D43FF"/>
    <w:rsid w:val="234A05BF"/>
    <w:rsid w:val="234E1603"/>
    <w:rsid w:val="2361764F"/>
    <w:rsid w:val="239F4DAE"/>
    <w:rsid w:val="23A44817"/>
    <w:rsid w:val="23B20B88"/>
    <w:rsid w:val="23B5012E"/>
    <w:rsid w:val="23DD1433"/>
    <w:rsid w:val="23E32EED"/>
    <w:rsid w:val="23ED7304"/>
    <w:rsid w:val="23F7592A"/>
    <w:rsid w:val="24245C50"/>
    <w:rsid w:val="242D43B5"/>
    <w:rsid w:val="243F7F59"/>
    <w:rsid w:val="24466FD8"/>
    <w:rsid w:val="244C197C"/>
    <w:rsid w:val="24747FE9"/>
    <w:rsid w:val="247E5533"/>
    <w:rsid w:val="248144B4"/>
    <w:rsid w:val="2492046F"/>
    <w:rsid w:val="24AC7533"/>
    <w:rsid w:val="24B23EBF"/>
    <w:rsid w:val="24C85C3F"/>
    <w:rsid w:val="24D83BDE"/>
    <w:rsid w:val="25062104"/>
    <w:rsid w:val="251247E7"/>
    <w:rsid w:val="251D73FB"/>
    <w:rsid w:val="253F0DC9"/>
    <w:rsid w:val="2540611D"/>
    <w:rsid w:val="25573F6E"/>
    <w:rsid w:val="2561056D"/>
    <w:rsid w:val="25731D7F"/>
    <w:rsid w:val="257A3908"/>
    <w:rsid w:val="25900E53"/>
    <w:rsid w:val="25B96178"/>
    <w:rsid w:val="25C654E9"/>
    <w:rsid w:val="25DD396C"/>
    <w:rsid w:val="25EC5E97"/>
    <w:rsid w:val="25F25669"/>
    <w:rsid w:val="25F47331"/>
    <w:rsid w:val="26000FFC"/>
    <w:rsid w:val="261E6923"/>
    <w:rsid w:val="264C2EC3"/>
    <w:rsid w:val="266876DA"/>
    <w:rsid w:val="2674607E"/>
    <w:rsid w:val="26926505"/>
    <w:rsid w:val="26A36D31"/>
    <w:rsid w:val="271B4118"/>
    <w:rsid w:val="27247AA4"/>
    <w:rsid w:val="274C2B57"/>
    <w:rsid w:val="27531BDA"/>
    <w:rsid w:val="2769195B"/>
    <w:rsid w:val="278301EA"/>
    <w:rsid w:val="279938C3"/>
    <w:rsid w:val="27B73209"/>
    <w:rsid w:val="27B92B32"/>
    <w:rsid w:val="27BB1632"/>
    <w:rsid w:val="27CB6172"/>
    <w:rsid w:val="27FF0D74"/>
    <w:rsid w:val="280B7BC3"/>
    <w:rsid w:val="280E0EF6"/>
    <w:rsid w:val="28454698"/>
    <w:rsid w:val="28486AB3"/>
    <w:rsid w:val="284877C3"/>
    <w:rsid w:val="284D6D1F"/>
    <w:rsid w:val="285F6841"/>
    <w:rsid w:val="286B1703"/>
    <w:rsid w:val="286C4031"/>
    <w:rsid w:val="287265EE"/>
    <w:rsid w:val="28B40580"/>
    <w:rsid w:val="28D2408A"/>
    <w:rsid w:val="28D56B7C"/>
    <w:rsid w:val="28ED2118"/>
    <w:rsid w:val="28ED236C"/>
    <w:rsid w:val="28F96D0F"/>
    <w:rsid w:val="2909272D"/>
    <w:rsid w:val="290F02E0"/>
    <w:rsid w:val="292A6EC8"/>
    <w:rsid w:val="293A2527"/>
    <w:rsid w:val="293E2974"/>
    <w:rsid w:val="29453CC8"/>
    <w:rsid w:val="2963668A"/>
    <w:rsid w:val="29712D49"/>
    <w:rsid w:val="2973261D"/>
    <w:rsid w:val="29736FE5"/>
    <w:rsid w:val="298962E5"/>
    <w:rsid w:val="298D3A07"/>
    <w:rsid w:val="29954C89"/>
    <w:rsid w:val="29F04FFF"/>
    <w:rsid w:val="29F37C02"/>
    <w:rsid w:val="2A375D41"/>
    <w:rsid w:val="2A7730F6"/>
    <w:rsid w:val="2A7C1C44"/>
    <w:rsid w:val="2A881ACC"/>
    <w:rsid w:val="2A8A659D"/>
    <w:rsid w:val="2A9867EC"/>
    <w:rsid w:val="2A994305"/>
    <w:rsid w:val="2AAF10D5"/>
    <w:rsid w:val="2AC8439B"/>
    <w:rsid w:val="2ACF7D27"/>
    <w:rsid w:val="2AE6153A"/>
    <w:rsid w:val="2AE70C2A"/>
    <w:rsid w:val="2AE91383"/>
    <w:rsid w:val="2AFE23BA"/>
    <w:rsid w:val="2B77216D"/>
    <w:rsid w:val="2B9351F9"/>
    <w:rsid w:val="2B9D1BD3"/>
    <w:rsid w:val="2BD055C3"/>
    <w:rsid w:val="2BFC07F2"/>
    <w:rsid w:val="2BFD143A"/>
    <w:rsid w:val="2C030E8A"/>
    <w:rsid w:val="2C2C2F57"/>
    <w:rsid w:val="2C4B5AD3"/>
    <w:rsid w:val="2C5801F0"/>
    <w:rsid w:val="2C581F9E"/>
    <w:rsid w:val="2C5E2AE6"/>
    <w:rsid w:val="2C615151"/>
    <w:rsid w:val="2C952E29"/>
    <w:rsid w:val="2CB02F40"/>
    <w:rsid w:val="2CB76981"/>
    <w:rsid w:val="2CD535EF"/>
    <w:rsid w:val="2CD979CA"/>
    <w:rsid w:val="2CEC4B80"/>
    <w:rsid w:val="2CEC6B9E"/>
    <w:rsid w:val="2CED3A34"/>
    <w:rsid w:val="2D2C05A7"/>
    <w:rsid w:val="2D465E11"/>
    <w:rsid w:val="2D536E7A"/>
    <w:rsid w:val="2DA632A6"/>
    <w:rsid w:val="2DB33930"/>
    <w:rsid w:val="2DB62480"/>
    <w:rsid w:val="2DBA4B72"/>
    <w:rsid w:val="2DCC054E"/>
    <w:rsid w:val="2DE81100"/>
    <w:rsid w:val="2DFA155E"/>
    <w:rsid w:val="2E007628"/>
    <w:rsid w:val="2E073C7C"/>
    <w:rsid w:val="2E175D80"/>
    <w:rsid w:val="2E1C279B"/>
    <w:rsid w:val="2E3B530B"/>
    <w:rsid w:val="2E4459F4"/>
    <w:rsid w:val="2E7110F5"/>
    <w:rsid w:val="2E813A2E"/>
    <w:rsid w:val="2E81758A"/>
    <w:rsid w:val="2E8D0030"/>
    <w:rsid w:val="2EFF232D"/>
    <w:rsid w:val="2F0876B5"/>
    <w:rsid w:val="2F1E74CF"/>
    <w:rsid w:val="2F2B3D4C"/>
    <w:rsid w:val="2F386C31"/>
    <w:rsid w:val="2F3F2FA2"/>
    <w:rsid w:val="2F776BDF"/>
    <w:rsid w:val="2F827A5E"/>
    <w:rsid w:val="2F911A4F"/>
    <w:rsid w:val="2FA322D7"/>
    <w:rsid w:val="2FA65EC1"/>
    <w:rsid w:val="2FB248B0"/>
    <w:rsid w:val="2FB67708"/>
    <w:rsid w:val="2FBA3099"/>
    <w:rsid w:val="2FBA5F25"/>
    <w:rsid w:val="2FCD5D5B"/>
    <w:rsid w:val="2FDC6A42"/>
    <w:rsid w:val="2FE204FD"/>
    <w:rsid w:val="2FE4318B"/>
    <w:rsid w:val="300D27B6"/>
    <w:rsid w:val="30324007"/>
    <w:rsid w:val="303B19BB"/>
    <w:rsid w:val="303E7CF5"/>
    <w:rsid w:val="30410E15"/>
    <w:rsid w:val="304707A2"/>
    <w:rsid w:val="304B7410"/>
    <w:rsid w:val="305A130B"/>
    <w:rsid w:val="30817D16"/>
    <w:rsid w:val="30B75EDA"/>
    <w:rsid w:val="30CB2D3F"/>
    <w:rsid w:val="30EA7294"/>
    <w:rsid w:val="30F22C18"/>
    <w:rsid w:val="31305298"/>
    <w:rsid w:val="313A6116"/>
    <w:rsid w:val="319A044D"/>
    <w:rsid w:val="31A041CB"/>
    <w:rsid w:val="31D40319"/>
    <w:rsid w:val="31D433CA"/>
    <w:rsid w:val="32180206"/>
    <w:rsid w:val="32364B30"/>
    <w:rsid w:val="32743D5D"/>
    <w:rsid w:val="32B31CDC"/>
    <w:rsid w:val="32C72D60"/>
    <w:rsid w:val="32D26469"/>
    <w:rsid w:val="32D43CCF"/>
    <w:rsid w:val="32ED3D71"/>
    <w:rsid w:val="331B697D"/>
    <w:rsid w:val="331D6C5F"/>
    <w:rsid w:val="336851BD"/>
    <w:rsid w:val="336A2CE3"/>
    <w:rsid w:val="338D64EF"/>
    <w:rsid w:val="33CF2B46"/>
    <w:rsid w:val="33DB2E25"/>
    <w:rsid w:val="33E74334"/>
    <w:rsid w:val="33EF77E5"/>
    <w:rsid w:val="34053C0C"/>
    <w:rsid w:val="340F2C32"/>
    <w:rsid w:val="34225BE4"/>
    <w:rsid w:val="3494763A"/>
    <w:rsid w:val="349974E7"/>
    <w:rsid w:val="34C36335"/>
    <w:rsid w:val="34C42847"/>
    <w:rsid w:val="34D93120"/>
    <w:rsid w:val="34E56493"/>
    <w:rsid w:val="34EB0CD0"/>
    <w:rsid w:val="34FC1B12"/>
    <w:rsid w:val="35096AEF"/>
    <w:rsid w:val="350C3926"/>
    <w:rsid w:val="35112B4A"/>
    <w:rsid w:val="35425726"/>
    <w:rsid w:val="354C01C6"/>
    <w:rsid w:val="357A1195"/>
    <w:rsid w:val="358374A1"/>
    <w:rsid w:val="35C0308E"/>
    <w:rsid w:val="35C26A7A"/>
    <w:rsid w:val="35CE3765"/>
    <w:rsid w:val="360B41F6"/>
    <w:rsid w:val="36237179"/>
    <w:rsid w:val="36356EAC"/>
    <w:rsid w:val="365F6841"/>
    <w:rsid w:val="36B06FFD"/>
    <w:rsid w:val="36BA5F52"/>
    <w:rsid w:val="36C968BB"/>
    <w:rsid w:val="36CA265A"/>
    <w:rsid w:val="36F23C0E"/>
    <w:rsid w:val="36FF4C2D"/>
    <w:rsid w:val="372031E5"/>
    <w:rsid w:val="374E3303"/>
    <w:rsid w:val="37597384"/>
    <w:rsid w:val="375F68D7"/>
    <w:rsid w:val="377E5277"/>
    <w:rsid w:val="37823111"/>
    <w:rsid w:val="379B1D56"/>
    <w:rsid w:val="379C49C4"/>
    <w:rsid w:val="37B26A07"/>
    <w:rsid w:val="37B565B2"/>
    <w:rsid w:val="37C4673A"/>
    <w:rsid w:val="37D01583"/>
    <w:rsid w:val="37F16B54"/>
    <w:rsid w:val="37F45765"/>
    <w:rsid w:val="37F665FF"/>
    <w:rsid w:val="37F75AC9"/>
    <w:rsid w:val="381C47C8"/>
    <w:rsid w:val="38284F1B"/>
    <w:rsid w:val="384B0C09"/>
    <w:rsid w:val="38521F98"/>
    <w:rsid w:val="38561184"/>
    <w:rsid w:val="38683569"/>
    <w:rsid w:val="386C6776"/>
    <w:rsid w:val="38710DDD"/>
    <w:rsid w:val="3881462B"/>
    <w:rsid w:val="38B14F10"/>
    <w:rsid w:val="38BE13DB"/>
    <w:rsid w:val="38D44A71"/>
    <w:rsid w:val="390E4110"/>
    <w:rsid w:val="393F251C"/>
    <w:rsid w:val="394A547D"/>
    <w:rsid w:val="397D1296"/>
    <w:rsid w:val="39812B34"/>
    <w:rsid w:val="39922F2D"/>
    <w:rsid w:val="399B6AA3"/>
    <w:rsid w:val="39A05D1D"/>
    <w:rsid w:val="39A700C1"/>
    <w:rsid w:val="39AE31FE"/>
    <w:rsid w:val="39CF5C73"/>
    <w:rsid w:val="39DB3B05"/>
    <w:rsid w:val="3A002A5F"/>
    <w:rsid w:val="3A170D7D"/>
    <w:rsid w:val="3A233C7E"/>
    <w:rsid w:val="3A2F78B9"/>
    <w:rsid w:val="3A30455A"/>
    <w:rsid w:val="3A3C6A5B"/>
    <w:rsid w:val="3A487A68"/>
    <w:rsid w:val="3A495D3A"/>
    <w:rsid w:val="3A4A561C"/>
    <w:rsid w:val="3A524C0D"/>
    <w:rsid w:val="3A530FD7"/>
    <w:rsid w:val="3A6230F7"/>
    <w:rsid w:val="3A661D2A"/>
    <w:rsid w:val="3A793C1C"/>
    <w:rsid w:val="3A797CAF"/>
    <w:rsid w:val="3AB67A36"/>
    <w:rsid w:val="3AD24D52"/>
    <w:rsid w:val="3AE13040"/>
    <w:rsid w:val="3B011F11"/>
    <w:rsid w:val="3B04160B"/>
    <w:rsid w:val="3B085506"/>
    <w:rsid w:val="3B117EE8"/>
    <w:rsid w:val="3B1575D1"/>
    <w:rsid w:val="3B184749"/>
    <w:rsid w:val="3B4419E7"/>
    <w:rsid w:val="3B6A0B25"/>
    <w:rsid w:val="3B822C32"/>
    <w:rsid w:val="3BA67C47"/>
    <w:rsid w:val="3BB23479"/>
    <w:rsid w:val="3BB9547E"/>
    <w:rsid w:val="3BF023D9"/>
    <w:rsid w:val="3BF32EFD"/>
    <w:rsid w:val="3C097EF0"/>
    <w:rsid w:val="3C154289"/>
    <w:rsid w:val="3C664263"/>
    <w:rsid w:val="3C722D7D"/>
    <w:rsid w:val="3CAD762D"/>
    <w:rsid w:val="3CB21257"/>
    <w:rsid w:val="3CBF08B8"/>
    <w:rsid w:val="3CBF5D5A"/>
    <w:rsid w:val="3CEA6B01"/>
    <w:rsid w:val="3CF4361D"/>
    <w:rsid w:val="3CF7057A"/>
    <w:rsid w:val="3CFA4D1A"/>
    <w:rsid w:val="3D197528"/>
    <w:rsid w:val="3D40752D"/>
    <w:rsid w:val="3D4D0ABF"/>
    <w:rsid w:val="3D7465ED"/>
    <w:rsid w:val="3D801355"/>
    <w:rsid w:val="3D834F26"/>
    <w:rsid w:val="3D8C3C96"/>
    <w:rsid w:val="3D924F47"/>
    <w:rsid w:val="3DB01C3A"/>
    <w:rsid w:val="3DBD6105"/>
    <w:rsid w:val="3DD60F75"/>
    <w:rsid w:val="3DF504B9"/>
    <w:rsid w:val="3E0E4666"/>
    <w:rsid w:val="3E111FAD"/>
    <w:rsid w:val="3E1D6BA4"/>
    <w:rsid w:val="3E2D5039"/>
    <w:rsid w:val="3E334A2F"/>
    <w:rsid w:val="3E396BE6"/>
    <w:rsid w:val="3E5664DD"/>
    <w:rsid w:val="3E7A2248"/>
    <w:rsid w:val="3E8B2FC1"/>
    <w:rsid w:val="3E9D5D4C"/>
    <w:rsid w:val="3EAA058E"/>
    <w:rsid w:val="3EB05C6A"/>
    <w:rsid w:val="3EC34DC2"/>
    <w:rsid w:val="3EDF6309"/>
    <w:rsid w:val="3EF83866"/>
    <w:rsid w:val="3F141D55"/>
    <w:rsid w:val="3F253F62"/>
    <w:rsid w:val="3F2D2E17"/>
    <w:rsid w:val="3F357796"/>
    <w:rsid w:val="3F424B14"/>
    <w:rsid w:val="3F473ED8"/>
    <w:rsid w:val="3FB96C6E"/>
    <w:rsid w:val="3FBA6DA0"/>
    <w:rsid w:val="3FE456AC"/>
    <w:rsid w:val="3FEE07F8"/>
    <w:rsid w:val="3FEE25A6"/>
    <w:rsid w:val="3FF61771"/>
    <w:rsid w:val="3FFA03CE"/>
    <w:rsid w:val="3FFD0028"/>
    <w:rsid w:val="3FFF47B3"/>
    <w:rsid w:val="40175FA1"/>
    <w:rsid w:val="40354679"/>
    <w:rsid w:val="403D7CE3"/>
    <w:rsid w:val="405326C2"/>
    <w:rsid w:val="40606386"/>
    <w:rsid w:val="40B414F2"/>
    <w:rsid w:val="40F0234E"/>
    <w:rsid w:val="40F13081"/>
    <w:rsid w:val="40F46CAF"/>
    <w:rsid w:val="40FC5196"/>
    <w:rsid w:val="41061B71"/>
    <w:rsid w:val="41160006"/>
    <w:rsid w:val="41263FC1"/>
    <w:rsid w:val="413B181B"/>
    <w:rsid w:val="41553397"/>
    <w:rsid w:val="41822C66"/>
    <w:rsid w:val="41A33F03"/>
    <w:rsid w:val="41A84C6F"/>
    <w:rsid w:val="41A96E8D"/>
    <w:rsid w:val="41BA5704"/>
    <w:rsid w:val="41E01EE8"/>
    <w:rsid w:val="41F320F5"/>
    <w:rsid w:val="41F610A8"/>
    <w:rsid w:val="41FD2F74"/>
    <w:rsid w:val="41FF4521"/>
    <w:rsid w:val="421C0F3D"/>
    <w:rsid w:val="422971D8"/>
    <w:rsid w:val="423C5293"/>
    <w:rsid w:val="424D29C3"/>
    <w:rsid w:val="42691E69"/>
    <w:rsid w:val="42862F6A"/>
    <w:rsid w:val="428C0CF8"/>
    <w:rsid w:val="42A31D6D"/>
    <w:rsid w:val="42CA1AE2"/>
    <w:rsid w:val="42FD0171"/>
    <w:rsid w:val="43257FF0"/>
    <w:rsid w:val="433078C8"/>
    <w:rsid w:val="433F57AF"/>
    <w:rsid w:val="43462185"/>
    <w:rsid w:val="434756D5"/>
    <w:rsid w:val="4360092E"/>
    <w:rsid w:val="436E76FB"/>
    <w:rsid w:val="43797959"/>
    <w:rsid w:val="437F025C"/>
    <w:rsid w:val="438374A9"/>
    <w:rsid w:val="43854607"/>
    <w:rsid w:val="439C7CC8"/>
    <w:rsid w:val="439E25D4"/>
    <w:rsid w:val="43B109C9"/>
    <w:rsid w:val="43BB2F90"/>
    <w:rsid w:val="43BE7955"/>
    <w:rsid w:val="43C72CC1"/>
    <w:rsid w:val="43D1290A"/>
    <w:rsid w:val="43F947B9"/>
    <w:rsid w:val="441445A5"/>
    <w:rsid w:val="441647C1"/>
    <w:rsid w:val="444C67F0"/>
    <w:rsid w:val="444D2FEC"/>
    <w:rsid w:val="446948F1"/>
    <w:rsid w:val="44753296"/>
    <w:rsid w:val="449C4CC6"/>
    <w:rsid w:val="44CB1108"/>
    <w:rsid w:val="44CD2CCE"/>
    <w:rsid w:val="44D206E8"/>
    <w:rsid w:val="44D24738"/>
    <w:rsid w:val="4505695A"/>
    <w:rsid w:val="450B59A8"/>
    <w:rsid w:val="451D5B82"/>
    <w:rsid w:val="453E6F8C"/>
    <w:rsid w:val="454774F8"/>
    <w:rsid w:val="455235D7"/>
    <w:rsid w:val="45796DB6"/>
    <w:rsid w:val="457B2B2E"/>
    <w:rsid w:val="45937951"/>
    <w:rsid w:val="459B6D2C"/>
    <w:rsid w:val="45C629D3"/>
    <w:rsid w:val="46003033"/>
    <w:rsid w:val="460F61CE"/>
    <w:rsid w:val="461478C6"/>
    <w:rsid w:val="461D3BE5"/>
    <w:rsid w:val="462103E3"/>
    <w:rsid w:val="4622162B"/>
    <w:rsid w:val="46234537"/>
    <w:rsid w:val="462E5E0E"/>
    <w:rsid w:val="465758BB"/>
    <w:rsid w:val="46665A96"/>
    <w:rsid w:val="467005E1"/>
    <w:rsid w:val="46AB1FDF"/>
    <w:rsid w:val="46DF6551"/>
    <w:rsid w:val="47482DC2"/>
    <w:rsid w:val="475B77EB"/>
    <w:rsid w:val="479351F1"/>
    <w:rsid w:val="47C87B80"/>
    <w:rsid w:val="47E81FD1"/>
    <w:rsid w:val="47EF6643"/>
    <w:rsid w:val="480F4E7E"/>
    <w:rsid w:val="48166A47"/>
    <w:rsid w:val="483E609B"/>
    <w:rsid w:val="48504093"/>
    <w:rsid w:val="48523A6E"/>
    <w:rsid w:val="48627FD5"/>
    <w:rsid w:val="48731B3C"/>
    <w:rsid w:val="48755B39"/>
    <w:rsid w:val="487A1F98"/>
    <w:rsid w:val="48825F81"/>
    <w:rsid w:val="488B6D72"/>
    <w:rsid w:val="488C66E4"/>
    <w:rsid w:val="48A979B2"/>
    <w:rsid w:val="48AB50B7"/>
    <w:rsid w:val="48AC74A2"/>
    <w:rsid w:val="48BB1493"/>
    <w:rsid w:val="48D4476D"/>
    <w:rsid w:val="48F86243"/>
    <w:rsid w:val="48F93F0D"/>
    <w:rsid w:val="49173114"/>
    <w:rsid w:val="49213CA7"/>
    <w:rsid w:val="49353C59"/>
    <w:rsid w:val="49465201"/>
    <w:rsid w:val="49484B80"/>
    <w:rsid w:val="4961203A"/>
    <w:rsid w:val="498B70B7"/>
    <w:rsid w:val="49C66341"/>
    <w:rsid w:val="49CB1BAA"/>
    <w:rsid w:val="49DF2CCE"/>
    <w:rsid w:val="49E50A8C"/>
    <w:rsid w:val="49FC1D63"/>
    <w:rsid w:val="4A18679F"/>
    <w:rsid w:val="4A197060"/>
    <w:rsid w:val="4A3634C7"/>
    <w:rsid w:val="4A4F003F"/>
    <w:rsid w:val="4A7B2D08"/>
    <w:rsid w:val="4A995804"/>
    <w:rsid w:val="4AB60164"/>
    <w:rsid w:val="4B0215FB"/>
    <w:rsid w:val="4B272BB3"/>
    <w:rsid w:val="4B46598C"/>
    <w:rsid w:val="4B6B6E2B"/>
    <w:rsid w:val="4B944949"/>
    <w:rsid w:val="4B9E79B0"/>
    <w:rsid w:val="4BDE0179"/>
    <w:rsid w:val="4BE909E0"/>
    <w:rsid w:val="4C112AB1"/>
    <w:rsid w:val="4C1E4213"/>
    <w:rsid w:val="4C4719BC"/>
    <w:rsid w:val="4C484FC2"/>
    <w:rsid w:val="4CFD68CF"/>
    <w:rsid w:val="4D211A69"/>
    <w:rsid w:val="4D447CA9"/>
    <w:rsid w:val="4D4A33A3"/>
    <w:rsid w:val="4D5258DD"/>
    <w:rsid w:val="4D5A74CD"/>
    <w:rsid w:val="4D613A9A"/>
    <w:rsid w:val="4DA31884"/>
    <w:rsid w:val="4DAC584E"/>
    <w:rsid w:val="4DC55756"/>
    <w:rsid w:val="4DD03C33"/>
    <w:rsid w:val="4DD640BF"/>
    <w:rsid w:val="4DDA223F"/>
    <w:rsid w:val="4E2128C4"/>
    <w:rsid w:val="4E2E5285"/>
    <w:rsid w:val="4E305B24"/>
    <w:rsid w:val="4E3C6D19"/>
    <w:rsid w:val="4E714A94"/>
    <w:rsid w:val="4E7B3203"/>
    <w:rsid w:val="4E9D1D67"/>
    <w:rsid w:val="4EBD2E1B"/>
    <w:rsid w:val="4EC61C81"/>
    <w:rsid w:val="4EEF30F3"/>
    <w:rsid w:val="4EEF4BB3"/>
    <w:rsid w:val="4EF57C70"/>
    <w:rsid w:val="4F434AD1"/>
    <w:rsid w:val="4F4C087D"/>
    <w:rsid w:val="4F701229"/>
    <w:rsid w:val="4F8C6490"/>
    <w:rsid w:val="4FA0465B"/>
    <w:rsid w:val="4FB27FC3"/>
    <w:rsid w:val="4FCA4635"/>
    <w:rsid w:val="4FD672EE"/>
    <w:rsid w:val="50016325"/>
    <w:rsid w:val="50585DB8"/>
    <w:rsid w:val="508A77AF"/>
    <w:rsid w:val="50B05655"/>
    <w:rsid w:val="50B2693C"/>
    <w:rsid w:val="50DB3513"/>
    <w:rsid w:val="50DF4CBB"/>
    <w:rsid w:val="50E84DEF"/>
    <w:rsid w:val="50EE296F"/>
    <w:rsid w:val="50F9524E"/>
    <w:rsid w:val="51064A9D"/>
    <w:rsid w:val="51204076"/>
    <w:rsid w:val="51224A8E"/>
    <w:rsid w:val="512272B5"/>
    <w:rsid w:val="5130404F"/>
    <w:rsid w:val="513F7105"/>
    <w:rsid w:val="5155600C"/>
    <w:rsid w:val="515E5F9C"/>
    <w:rsid w:val="516C7467"/>
    <w:rsid w:val="51735001"/>
    <w:rsid w:val="51770685"/>
    <w:rsid w:val="51C25640"/>
    <w:rsid w:val="524231FA"/>
    <w:rsid w:val="52464727"/>
    <w:rsid w:val="52493686"/>
    <w:rsid w:val="524E537D"/>
    <w:rsid w:val="52554706"/>
    <w:rsid w:val="526D4CD2"/>
    <w:rsid w:val="527D7680"/>
    <w:rsid w:val="52A22B41"/>
    <w:rsid w:val="52AD009F"/>
    <w:rsid w:val="52B618F7"/>
    <w:rsid w:val="52BC4786"/>
    <w:rsid w:val="52DF615E"/>
    <w:rsid w:val="52E671BE"/>
    <w:rsid w:val="5306406B"/>
    <w:rsid w:val="530E71FE"/>
    <w:rsid w:val="531719BC"/>
    <w:rsid w:val="531B1FA6"/>
    <w:rsid w:val="53397B84"/>
    <w:rsid w:val="533C4EB2"/>
    <w:rsid w:val="535F0392"/>
    <w:rsid w:val="5360041A"/>
    <w:rsid w:val="536F6BAF"/>
    <w:rsid w:val="5385101B"/>
    <w:rsid w:val="538A6632"/>
    <w:rsid w:val="538E1256"/>
    <w:rsid w:val="53A246D7"/>
    <w:rsid w:val="53BF0089"/>
    <w:rsid w:val="53C81568"/>
    <w:rsid w:val="53E04E54"/>
    <w:rsid w:val="53F11286"/>
    <w:rsid w:val="53F8242E"/>
    <w:rsid w:val="53FF0DCE"/>
    <w:rsid w:val="54106B37"/>
    <w:rsid w:val="544E765F"/>
    <w:rsid w:val="54557A52"/>
    <w:rsid w:val="54703A7A"/>
    <w:rsid w:val="54BF40B9"/>
    <w:rsid w:val="54C4758E"/>
    <w:rsid w:val="54C93295"/>
    <w:rsid w:val="54D43DB6"/>
    <w:rsid w:val="54EA7388"/>
    <w:rsid w:val="54F9607C"/>
    <w:rsid w:val="55090BE3"/>
    <w:rsid w:val="550B5550"/>
    <w:rsid w:val="550C1B16"/>
    <w:rsid w:val="55164621"/>
    <w:rsid w:val="55241393"/>
    <w:rsid w:val="552F656B"/>
    <w:rsid w:val="5535102C"/>
    <w:rsid w:val="55396965"/>
    <w:rsid w:val="55485423"/>
    <w:rsid w:val="555B31BE"/>
    <w:rsid w:val="55663F5B"/>
    <w:rsid w:val="55786817"/>
    <w:rsid w:val="55857A6A"/>
    <w:rsid w:val="558772CD"/>
    <w:rsid w:val="5596203F"/>
    <w:rsid w:val="55A35789"/>
    <w:rsid w:val="55C53951"/>
    <w:rsid w:val="55E22755"/>
    <w:rsid w:val="56144E81"/>
    <w:rsid w:val="5628031A"/>
    <w:rsid w:val="564E438D"/>
    <w:rsid w:val="56510FA5"/>
    <w:rsid w:val="565811D3"/>
    <w:rsid w:val="56682C5A"/>
    <w:rsid w:val="56847368"/>
    <w:rsid w:val="568774F1"/>
    <w:rsid w:val="569E3B91"/>
    <w:rsid w:val="56A3598E"/>
    <w:rsid w:val="56BC6B02"/>
    <w:rsid w:val="56C61203"/>
    <w:rsid w:val="56CD49F1"/>
    <w:rsid w:val="56E11ADD"/>
    <w:rsid w:val="56EF58C2"/>
    <w:rsid w:val="56FE711B"/>
    <w:rsid w:val="570507B5"/>
    <w:rsid w:val="5713358E"/>
    <w:rsid w:val="571903F8"/>
    <w:rsid w:val="57407B94"/>
    <w:rsid w:val="574F43DF"/>
    <w:rsid w:val="57781E36"/>
    <w:rsid w:val="57821531"/>
    <w:rsid w:val="578D600F"/>
    <w:rsid w:val="57A203EE"/>
    <w:rsid w:val="57B30C6D"/>
    <w:rsid w:val="57BA03C5"/>
    <w:rsid w:val="57C774EE"/>
    <w:rsid w:val="57D4431F"/>
    <w:rsid w:val="57D759A1"/>
    <w:rsid w:val="5817300F"/>
    <w:rsid w:val="58296419"/>
    <w:rsid w:val="582C5F09"/>
    <w:rsid w:val="58315236"/>
    <w:rsid w:val="583358C5"/>
    <w:rsid w:val="58366F09"/>
    <w:rsid w:val="58443253"/>
    <w:rsid w:val="584F474D"/>
    <w:rsid w:val="58981F2D"/>
    <w:rsid w:val="58AA3909"/>
    <w:rsid w:val="58B22DC4"/>
    <w:rsid w:val="58BF2129"/>
    <w:rsid w:val="591303CD"/>
    <w:rsid w:val="59570D64"/>
    <w:rsid w:val="59611BE3"/>
    <w:rsid w:val="597160E4"/>
    <w:rsid w:val="59C357D7"/>
    <w:rsid w:val="59E76183"/>
    <w:rsid w:val="59FC4325"/>
    <w:rsid w:val="5A022D22"/>
    <w:rsid w:val="5A07477E"/>
    <w:rsid w:val="5A0F7AEB"/>
    <w:rsid w:val="5A3F356B"/>
    <w:rsid w:val="5A47527D"/>
    <w:rsid w:val="5A5853FA"/>
    <w:rsid w:val="5A662370"/>
    <w:rsid w:val="5A951B44"/>
    <w:rsid w:val="5AA1498D"/>
    <w:rsid w:val="5AA1673B"/>
    <w:rsid w:val="5AB741B0"/>
    <w:rsid w:val="5AD9394C"/>
    <w:rsid w:val="5AEE0D7F"/>
    <w:rsid w:val="5B0637C0"/>
    <w:rsid w:val="5B104A15"/>
    <w:rsid w:val="5B4119AE"/>
    <w:rsid w:val="5BF94355"/>
    <w:rsid w:val="5BFE7BBD"/>
    <w:rsid w:val="5C0056E3"/>
    <w:rsid w:val="5C007491"/>
    <w:rsid w:val="5C101EC9"/>
    <w:rsid w:val="5C6A5CD5"/>
    <w:rsid w:val="5C766189"/>
    <w:rsid w:val="5C8E2CEF"/>
    <w:rsid w:val="5C910A31"/>
    <w:rsid w:val="5CA471A4"/>
    <w:rsid w:val="5CC91F79"/>
    <w:rsid w:val="5CD512A6"/>
    <w:rsid w:val="5CEB0141"/>
    <w:rsid w:val="5CEC51D4"/>
    <w:rsid w:val="5D264C88"/>
    <w:rsid w:val="5D3970FE"/>
    <w:rsid w:val="5D4B6E32"/>
    <w:rsid w:val="5D501056"/>
    <w:rsid w:val="5D5061F6"/>
    <w:rsid w:val="5D6C7562"/>
    <w:rsid w:val="5D86286D"/>
    <w:rsid w:val="5D962635"/>
    <w:rsid w:val="5DC6077B"/>
    <w:rsid w:val="5DDB6408"/>
    <w:rsid w:val="5DEC3F61"/>
    <w:rsid w:val="5E280F21"/>
    <w:rsid w:val="5E2F671E"/>
    <w:rsid w:val="5E391380"/>
    <w:rsid w:val="5E7B54F5"/>
    <w:rsid w:val="5E8D095F"/>
    <w:rsid w:val="5E961869"/>
    <w:rsid w:val="5EB246B7"/>
    <w:rsid w:val="5EB427B5"/>
    <w:rsid w:val="5ECC4572"/>
    <w:rsid w:val="5ECF75EF"/>
    <w:rsid w:val="5EDA046D"/>
    <w:rsid w:val="5EFF7ED4"/>
    <w:rsid w:val="5F037C1C"/>
    <w:rsid w:val="5F1917F3"/>
    <w:rsid w:val="5F4D2E2E"/>
    <w:rsid w:val="5F521D57"/>
    <w:rsid w:val="5F697A43"/>
    <w:rsid w:val="5F6B7317"/>
    <w:rsid w:val="5F740C6E"/>
    <w:rsid w:val="5F9F5213"/>
    <w:rsid w:val="5FB7097E"/>
    <w:rsid w:val="5FC614BE"/>
    <w:rsid w:val="5FF84D4A"/>
    <w:rsid w:val="5FF938B2"/>
    <w:rsid w:val="5FFB68ED"/>
    <w:rsid w:val="600052D9"/>
    <w:rsid w:val="60120613"/>
    <w:rsid w:val="602D06DA"/>
    <w:rsid w:val="602D090F"/>
    <w:rsid w:val="60336BFF"/>
    <w:rsid w:val="603A1091"/>
    <w:rsid w:val="60546BB6"/>
    <w:rsid w:val="6064638C"/>
    <w:rsid w:val="607572A4"/>
    <w:rsid w:val="608E3487"/>
    <w:rsid w:val="60924A0D"/>
    <w:rsid w:val="60AA1350"/>
    <w:rsid w:val="60D81297"/>
    <w:rsid w:val="60FE708C"/>
    <w:rsid w:val="61016185"/>
    <w:rsid w:val="6124695C"/>
    <w:rsid w:val="613C71BD"/>
    <w:rsid w:val="614B11AE"/>
    <w:rsid w:val="616B1851"/>
    <w:rsid w:val="616B7AA3"/>
    <w:rsid w:val="61852EC9"/>
    <w:rsid w:val="61B52ACC"/>
    <w:rsid w:val="61E909C7"/>
    <w:rsid w:val="62187C45"/>
    <w:rsid w:val="62293076"/>
    <w:rsid w:val="623933A0"/>
    <w:rsid w:val="623A0982"/>
    <w:rsid w:val="62436329"/>
    <w:rsid w:val="624F2F20"/>
    <w:rsid w:val="6256462F"/>
    <w:rsid w:val="6260512D"/>
    <w:rsid w:val="627D7A8D"/>
    <w:rsid w:val="62916733"/>
    <w:rsid w:val="62A4473C"/>
    <w:rsid w:val="62C53681"/>
    <w:rsid w:val="6300421A"/>
    <w:rsid w:val="63114E07"/>
    <w:rsid w:val="63292486"/>
    <w:rsid w:val="6348499B"/>
    <w:rsid w:val="635F7193"/>
    <w:rsid w:val="6378787D"/>
    <w:rsid w:val="6380341F"/>
    <w:rsid w:val="6388493C"/>
    <w:rsid w:val="63C37C63"/>
    <w:rsid w:val="63F20007"/>
    <w:rsid w:val="64032214"/>
    <w:rsid w:val="64082065"/>
    <w:rsid w:val="642961F4"/>
    <w:rsid w:val="643028DD"/>
    <w:rsid w:val="64395C36"/>
    <w:rsid w:val="643E149E"/>
    <w:rsid w:val="64416899"/>
    <w:rsid w:val="64520AA6"/>
    <w:rsid w:val="645C1924"/>
    <w:rsid w:val="64690037"/>
    <w:rsid w:val="646F33A1"/>
    <w:rsid w:val="64735E58"/>
    <w:rsid w:val="648669A1"/>
    <w:rsid w:val="64A31C67"/>
    <w:rsid w:val="64A612C0"/>
    <w:rsid w:val="64D12312"/>
    <w:rsid w:val="64E306E7"/>
    <w:rsid w:val="64EE7F09"/>
    <w:rsid w:val="652040F8"/>
    <w:rsid w:val="65293118"/>
    <w:rsid w:val="65456C72"/>
    <w:rsid w:val="65575CDF"/>
    <w:rsid w:val="655A2039"/>
    <w:rsid w:val="655C5B9D"/>
    <w:rsid w:val="656E5DB3"/>
    <w:rsid w:val="659550EE"/>
    <w:rsid w:val="65964ABA"/>
    <w:rsid w:val="65B668C9"/>
    <w:rsid w:val="65DF3A1E"/>
    <w:rsid w:val="65E9543A"/>
    <w:rsid w:val="66012F2B"/>
    <w:rsid w:val="660A654B"/>
    <w:rsid w:val="66810989"/>
    <w:rsid w:val="66935975"/>
    <w:rsid w:val="66B5531C"/>
    <w:rsid w:val="66C57FB3"/>
    <w:rsid w:val="671B700D"/>
    <w:rsid w:val="67235885"/>
    <w:rsid w:val="672F50CE"/>
    <w:rsid w:val="673B1CC5"/>
    <w:rsid w:val="673F7ABB"/>
    <w:rsid w:val="676E0A2A"/>
    <w:rsid w:val="67780C00"/>
    <w:rsid w:val="677A6948"/>
    <w:rsid w:val="67997252"/>
    <w:rsid w:val="679B01F2"/>
    <w:rsid w:val="67CA4DF7"/>
    <w:rsid w:val="67DA1E8F"/>
    <w:rsid w:val="67F26434"/>
    <w:rsid w:val="67F60DFC"/>
    <w:rsid w:val="67F87BB6"/>
    <w:rsid w:val="68030A35"/>
    <w:rsid w:val="683C0E32"/>
    <w:rsid w:val="6861654E"/>
    <w:rsid w:val="687C2595"/>
    <w:rsid w:val="68924ABB"/>
    <w:rsid w:val="689773CF"/>
    <w:rsid w:val="68BD5281"/>
    <w:rsid w:val="68BF0103"/>
    <w:rsid w:val="68C72F02"/>
    <w:rsid w:val="68EA606B"/>
    <w:rsid w:val="68F44821"/>
    <w:rsid w:val="68F91E38"/>
    <w:rsid w:val="68FB6C36"/>
    <w:rsid w:val="694C01B1"/>
    <w:rsid w:val="695D076E"/>
    <w:rsid w:val="6974376F"/>
    <w:rsid w:val="698D1E1C"/>
    <w:rsid w:val="699C68A6"/>
    <w:rsid w:val="69FB04DB"/>
    <w:rsid w:val="69FC398E"/>
    <w:rsid w:val="6A1B1B6D"/>
    <w:rsid w:val="6A1C016A"/>
    <w:rsid w:val="6A206474"/>
    <w:rsid w:val="6A2124C5"/>
    <w:rsid w:val="6A3511FF"/>
    <w:rsid w:val="6A4A185E"/>
    <w:rsid w:val="6A5F5CCB"/>
    <w:rsid w:val="6A616079"/>
    <w:rsid w:val="6A8B1493"/>
    <w:rsid w:val="6AC878C7"/>
    <w:rsid w:val="6AC87D14"/>
    <w:rsid w:val="6ACB3360"/>
    <w:rsid w:val="6ADA17F5"/>
    <w:rsid w:val="6AE44D6F"/>
    <w:rsid w:val="6B2D401B"/>
    <w:rsid w:val="6B364C7D"/>
    <w:rsid w:val="6B4750DC"/>
    <w:rsid w:val="6B4B1D11"/>
    <w:rsid w:val="6B4C1CCC"/>
    <w:rsid w:val="6B4F5BCB"/>
    <w:rsid w:val="6B912876"/>
    <w:rsid w:val="6BB50B68"/>
    <w:rsid w:val="6BBB58D5"/>
    <w:rsid w:val="6BEC7A32"/>
    <w:rsid w:val="6C0150AE"/>
    <w:rsid w:val="6C0D39C5"/>
    <w:rsid w:val="6C272818"/>
    <w:rsid w:val="6C305B70"/>
    <w:rsid w:val="6C6000A1"/>
    <w:rsid w:val="6C623A98"/>
    <w:rsid w:val="6C641928"/>
    <w:rsid w:val="6C77379F"/>
    <w:rsid w:val="6C7A0B13"/>
    <w:rsid w:val="6C7C6837"/>
    <w:rsid w:val="6C845E40"/>
    <w:rsid w:val="6CA55C4C"/>
    <w:rsid w:val="6CD04C5E"/>
    <w:rsid w:val="6CDD0F7C"/>
    <w:rsid w:val="6CE4695B"/>
    <w:rsid w:val="6CE73B8C"/>
    <w:rsid w:val="6D14188E"/>
    <w:rsid w:val="6D443CD5"/>
    <w:rsid w:val="6D48513C"/>
    <w:rsid w:val="6D796AF7"/>
    <w:rsid w:val="6D9877D7"/>
    <w:rsid w:val="6DA5433C"/>
    <w:rsid w:val="6DBB3B60"/>
    <w:rsid w:val="6DE22516"/>
    <w:rsid w:val="6DE309C1"/>
    <w:rsid w:val="6E153270"/>
    <w:rsid w:val="6E2C6902"/>
    <w:rsid w:val="6E370D93"/>
    <w:rsid w:val="6E740E0F"/>
    <w:rsid w:val="6E7A7A9D"/>
    <w:rsid w:val="6E7F21F3"/>
    <w:rsid w:val="6EAE4FEA"/>
    <w:rsid w:val="6EAE7189"/>
    <w:rsid w:val="6EBC4E7B"/>
    <w:rsid w:val="6ED773C9"/>
    <w:rsid w:val="6EEF7CDF"/>
    <w:rsid w:val="6EF511F0"/>
    <w:rsid w:val="6EFE0743"/>
    <w:rsid w:val="6F0D69E2"/>
    <w:rsid w:val="6F114299"/>
    <w:rsid w:val="6F1910C7"/>
    <w:rsid w:val="6F196D90"/>
    <w:rsid w:val="6F1C6901"/>
    <w:rsid w:val="6F20011E"/>
    <w:rsid w:val="6F3D7C17"/>
    <w:rsid w:val="6F546189"/>
    <w:rsid w:val="6F6D447C"/>
    <w:rsid w:val="6F8710AC"/>
    <w:rsid w:val="6FBB2BF0"/>
    <w:rsid w:val="6FE50A8A"/>
    <w:rsid w:val="6FF44FCD"/>
    <w:rsid w:val="70111815"/>
    <w:rsid w:val="70233A54"/>
    <w:rsid w:val="705120F9"/>
    <w:rsid w:val="70563FD4"/>
    <w:rsid w:val="7064228D"/>
    <w:rsid w:val="70A408DB"/>
    <w:rsid w:val="70C5450E"/>
    <w:rsid w:val="70E10D25"/>
    <w:rsid w:val="70F46326"/>
    <w:rsid w:val="71324139"/>
    <w:rsid w:val="713C3E8D"/>
    <w:rsid w:val="715012CA"/>
    <w:rsid w:val="71DF68F4"/>
    <w:rsid w:val="720A4EA2"/>
    <w:rsid w:val="720F297F"/>
    <w:rsid w:val="72181274"/>
    <w:rsid w:val="72414680"/>
    <w:rsid w:val="726063F0"/>
    <w:rsid w:val="727078E8"/>
    <w:rsid w:val="72780308"/>
    <w:rsid w:val="7298446F"/>
    <w:rsid w:val="729C3F60"/>
    <w:rsid w:val="72A050D2"/>
    <w:rsid w:val="72B75124"/>
    <w:rsid w:val="72C61182"/>
    <w:rsid w:val="72E47ECE"/>
    <w:rsid w:val="72F378F8"/>
    <w:rsid w:val="733D4D01"/>
    <w:rsid w:val="73610AEF"/>
    <w:rsid w:val="73666139"/>
    <w:rsid w:val="73830C7C"/>
    <w:rsid w:val="73852C46"/>
    <w:rsid w:val="73911760"/>
    <w:rsid w:val="73947C88"/>
    <w:rsid w:val="73A10209"/>
    <w:rsid w:val="73E334C8"/>
    <w:rsid w:val="74143FCA"/>
    <w:rsid w:val="74461E78"/>
    <w:rsid w:val="746F6706"/>
    <w:rsid w:val="74817B6B"/>
    <w:rsid w:val="748E6A91"/>
    <w:rsid w:val="74B1183C"/>
    <w:rsid w:val="74C96B62"/>
    <w:rsid w:val="74D245A1"/>
    <w:rsid w:val="74D35D71"/>
    <w:rsid w:val="74E0132E"/>
    <w:rsid w:val="75165292"/>
    <w:rsid w:val="75194C26"/>
    <w:rsid w:val="75216E5D"/>
    <w:rsid w:val="752E4C17"/>
    <w:rsid w:val="755D72B0"/>
    <w:rsid w:val="75616D9B"/>
    <w:rsid w:val="756D4B19"/>
    <w:rsid w:val="7582790C"/>
    <w:rsid w:val="75937CC4"/>
    <w:rsid w:val="75BD448F"/>
    <w:rsid w:val="75BF5395"/>
    <w:rsid w:val="75DC7B93"/>
    <w:rsid w:val="76285B0A"/>
    <w:rsid w:val="762C1090"/>
    <w:rsid w:val="763D7808"/>
    <w:rsid w:val="764315A7"/>
    <w:rsid w:val="764C0E19"/>
    <w:rsid w:val="764F0EE4"/>
    <w:rsid w:val="76500BBB"/>
    <w:rsid w:val="7656544A"/>
    <w:rsid w:val="76570C76"/>
    <w:rsid w:val="7719504D"/>
    <w:rsid w:val="772147DD"/>
    <w:rsid w:val="7724681C"/>
    <w:rsid w:val="77380D8A"/>
    <w:rsid w:val="775C510E"/>
    <w:rsid w:val="775D1479"/>
    <w:rsid w:val="776E2960"/>
    <w:rsid w:val="77764E98"/>
    <w:rsid w:val="777C666B"/>
    <w:rsid w:val="77892265"/>
    <w:rsid w:val="77A1059D"/>
    <w:rsid w:val="77DA2E34"/>
    <w:rsid w:val="77E50FD9"/>
    <w:rsid w:val="77E55B44"/>
    <w:rsid w:val="77F31A1E"/>
    <w:rsid w:val="77F9775E"/>
    <w:rsid w:val="78341A4E"/>
    <w:rsid w:val="783469E8"/>
    <w:rsid w:val="784D4BDF"/>
    <w:rsid w:val="785C7CED"/>
    <w:rsid w:val="78793335"/>
    <w:rsid w:val="78961451"/>
    <w:rsid w:val="78D358E9"/>
    <w:rsid w:val="78DB50B6"/>
    <w:rsid w:val="78EE6B97"/>
    <w:rsid w:val="78F14E59"/>
    <w:rsid w:val="79142376"/>
    <w:rsid w:val="791A5BDE"/>
    <w:rsid w:val="79246ED0"/>
    <w:rsid w:val="79266883"/>
    <w:rsid w:val="79312F28"/>
    <w:rsid w:val="793B7903"/>
    <w:rsid w:val="79517126"/>
    <w:rsid w:val="796E7171"/>
    <w:rsid w:val="79832B1E"/>
    <w:rsid w:val="79B52ADC"/>
    <w:rsid w:val="79D07C49"/>
    <w:rsid w:val="79FC3536"/>
    <w:rsid w:val="7A0B7864"/>
    <w:rsid w:val="7A0F0131"/>
    <w:rsid w:val="7A15027D"/>
    <w:rsid w:val="7A230BC5"/>
    <w:rsid w:val="7A2465E9"/>
    <w:rsid w:val="7A505630"/>
    <w:rsid w:val="7A683453"/>
    <w:rsid w:val="7A88273F"/>
    <w:rsid w:val="7AA716F4"/>
    <w:rsid w:val="7AC57DCC"/>
    <w:rsid w:val="7ACF6A42"/>
    <w:rsid w:val="7ADB6D79"/>
    <w:rsid w:val="7ADD78F9"/>
    <w:rsid w:val="7AF2415B"/>
    <w:rsid w:val="7AFA6FFD"/>
    <w:rsid w:val="7AFE3D7E"/>
    <w:rsid w:val="7B0C00A5"/>
    <w:rsid w:val="7B2014A6"/>
    <w:rsid w:val="7B4038F6"/>
    <w:rsid w:val="7B4E4744"/>
    <w:rsid w:val="7B547823"/>
    <w:rsid w:val="7B642A48"/>
    <w:rsid w:val="7B7D3FA1"/>
    <w:rsid w:val="7BB06386"/>
    <w:rsid w:val="7BC6441E"/>
    <w:rsid w:val="7BD00A42"/>
    <w:rsid w:val="7C1167C1"/>
    <w:rsid w:val="7C1456CD"/>
    <w:rsid w:val="7C276F98"/>
    <w:rsid w:val="7C2F7F12"/>
    <w:rsid w:val="7C374CF9"/>
    <w:rsid w:val="7C3866D8"/>
    <w:rsid w:val="7C4D776D"/>
    <w:rsid w:val="7C683E07"/>
    <w:rsid w:val="7C6D071B"/>
    <w:rsid w:val="7CDA20DD"/>
    <w:rsid w:val="7D0A5F6A"/>
    <w:rsid w:val="7D2B14D0"/>
    <w:rsid w:val="7D2B4568"/>
    <w:rsid w:val="7D797974"/>
    <w:rsid w:val="7D7D04EA"/>
    <w:rsid w:val="7D871368"/>
    <w:rsid w:val="7D893333"/>
    <w:rsid w:val="7D9074D5"/>
    <w:rsid w:val="7D95525E"/>
    <w:rsid w:val="7DC20ABD"/>
    <w:rsid w:val="7DDC0C74"/>
    <w:rsid w:val="7E361DB4"/>
    <w:rsid w:val="7E362383"/>
    <w:rsid w:val="7E5751DF"/>
    <w:rsid w:val="7E8C0464"/>
    <w:rsid w:val="7E957AB5"/>
    <w:rsid w:val="7ECD4B5B"/>
    <w:rsid w:val="7EDD7854"/>
    <w:rsid w:val="7F08297D"/>
    <w:rsid w:val="7F0864D9"/>
    <w:rsid w:val="7F0C421B"/>
    <w:rsid w:val="7F0D3BDC"/>
    <w:rsid w:val="7F2869A1"/>
    <w:rsid w:val="7F7A1B59"/>
    <w:rsid w:val="7F9D4E73"/>
    <w:rsid w:val="7FAE52D2"/>
    <w:rsid w:val="7FB5625E"/>
    <w:rsid w:val="7FCA378E"/>
    <w:rsid w:val="7FD10FC1"/>
    <w:rsid w:val="7FFD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9"/>
    <w:qFormat/>
    <w:uiPriority w:val="99"/>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styleId="3">
    <w:name w:val="Body Text Indent"/>
    <w:basedOn w:val="1"/>
    <w:link w:val="78"/>
    <w:qFormat/>
    <w:uiPriority w:val="99"/>
    <w:pPr>
      <w:spacing w:line="480" w:lineRule="exact"/>
      <w:ind w:firstLine="480" w:firstLineChars="200"/>
    </w:pPr>
    <w:rPr>
      <w:rFonts w:ascii="宋体" w:hAnsi="宋体" w:eastAsia="仿宋_GB2312"/>
      <w:sz w:val="24"/>
    </w:rPr>
  </w:style>
  <w:style w:type="paragraph" w:styleId="7">
    <w:name w:val="Normal Indent"/>
    <w:basedOn w:val="1"/>
    <w:next w:val="3"/>
    <w:qFormat/>
    <w:uiPriority w:val="0"/>
    <w:pPr>
      <w:spacing w:line="460" w:lineRule="exact"/>
      <w:ind w:firstLine="420"/>
      <w:jc w:val="left"/>
    </w:pPr>
    <w:rPr>
      <w:rFonts w:ascii="Calibri" w:hAnsi="Calibri" w:eastAsia="宋体"/>
      <w:spacing w:val="10"/>
      <w:kern w:val="24"/>
      <w:sz w:val="24"/>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eastAsia="宋体"/>
    </w:rPr>
  </w:style>
  <w:style w:type="paragraph" w:styleId="10">
    <w:name w:val="Date"/>
    <w:basedOn w:val="1"/>
    <w:next w:val="1"/>
    <w:qFormat/>
    <w:uiPriority w:val="0"/>
    <w:pPr>
      <w:ind w:left="2500" w:leftChars="2500"/>
    </w:pPr>
    <w:rPr>
      <w:rFonts w:ascii="宋体" w:hAnsi="宋体"/>
      <w:sz w:val="24"/>
    </w:rPr>
  </w:style>
  <w:style w:type="paragraph" w:styleId="11">
    <w:name w:val="Body Text Indent 2"/>
    <w:next w:val="12"/>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2">
    <w:name w:val="toc 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List"/>
    <w:basedOn w:val="1"/>
    <w:qFormat/>
    <w:uiPriority w:val="0"/>
    <w:pPr>
      <w:ind w:left="200" w:hanging="200" w:hangingChars="200"/>
    </w:pPr>
    <w:rPr>
      <w:sz w:val="28"/>
    </w:rPr>
  </w:style>
  <w:style w:type="paragraph" w:styleId="16">
    <w:name w:val="toc 6"/>
    <w:basedOn w:val="1"/>
    <w:next w:val="1"/>
    <w:unhideWhenUsed/>
    <w:qFormat/>
    <w:uiPriority w:val="39"/>
    <w:pPr>
      <w:ind w:left="2100" w:leftChars="1000"/>
    </w:pPr>
    <w:rPr>
      <w:rFonts w:ascii="Calibri" w:hAnsi="Calibri"/>
      <w:szCs w:val="22"/>
    </w:rPr>
  </w:style>
  <w:style w:type="paragraph" w:styleId="17">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8"/>
    <w:qFormat/>
    <w:uiPriority w:val="0"/>
    <w:pPr>
      <w:ind w:firstLine="420" w:firstLineChars="100"/>
    </w:pPr>
    <w:rPr>
      <w:rFonts w:ascii="Times New Roman" w:hAnsi="Times New Roman" w:eastAsia="宋体"/>
      <w:szCs w:val="24"/>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unhideWhenUsed/>
    <w:qFormat/>
    <w:uiPriority w:val="99"/>
    <w:rPr>
      <w:color w:val="954F72"/>
      <w:u w:val="single"/>
    </w:rPr>
  </w:style>
  <w:style w:type="character" w:styleId="26">
    <w:name w:val="Emphasis"/>
    <w:basedOn w:val="22"/>
    <w:qFormat/>
    <w:uiPriority w:val="0"/>
    <w:rPr>
      <w:i/>
      <w:iCs/>
    </w:rPr>
  </w:style>
  <w:style w:type="character" w:styleId="27">
    <w:name w:val="Hyperlink"/>
    <w:basedOn w:val="22"/>
    <w:qFormat/>
    <w:uiPriority w:val="99"/>
    <w:rPr>
      <w:color w:val="0000FF"/>
      <w:u w:val="single"/>
    </w:rPr>
  </w:style>
  <w:style w:type="paragraph" w:customStyle="1" w:styleId="2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29">
    <w:name w:val="_Style 3"/>
    <w:basedOn w:val="1"/>
    <w:qFormat/>
    <w:uiPriority w:val="0"/>
    <w:pPr>
      <w:ind w:firstLine="420" w:firstLineChars="200"/>
    </w:pPr>
  </w:style>
  <w:style w:type="paragraph" w:customStyle="1" w:styleId="30">
    <w:name w:val="Default"/>
    <w:next w:val="28"/>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正文缩进1"/>
    <w:qFormat/>
    <w:uiPriority w:val="0"/>
    <w:pPr>
      <w:widowControl w:val="0"/>
      <w:spacing w:line="324" w:lineRule="auto"/>
      <w:ind w:firstLine="420" w:firstLineChars="200"/>
      <w:jc w:val="both"/>
    </w:pPr>
    <w:rPr>
      <w:rFonts w:hint="eastAsia" w:ascii="Times New Roman" w:hAnsi="等线" w:eastAsia="等线" w:cs="Times New Roman"/>
      <w:kern w:val="2"/>
      <w:sz w:val="21"/>
      <w:szCs w:val="22"/>
      <w:lang w:val="en-US" w:eastAsia="zh-CN" w:bidi="ar-SA"/>
    </w:rPr>
  </w:style>
  <w:style w:type="paragraph" w:customStyle="1" w:styleId="34">
    <w:name w:val="[Normal]"/>
    <w:qFormat/>
    <w:uiPriority w:val="0"/>
    <w:rPr>
      <w:rFonts w:ascii="宋体" w:hAnsi="宋体" w:eastAsia="宋体" w:cs="Times New Roman"/>
      <w:sz w:val="24"/>
      <w:szCs w:val="22"/>
      <w:lang w:val="zh-CN" w:eastAsia="zh-CN" w:bidi="ar-SA"/>
    </w:rPr>
  </w:style>
  <w:style w:type="paragraph" w:customStyle="1" w:styleId="35">
    <w:name w:val="纯文本1"/>
    <w:basedOn w:val="36"/>
    <w:qFormat/>
    <w:uiPriority w:val="0"/>
    <w:pPr>
      <w:snapToGrid w:val="0"/>
      <w:jc w:val="left"/>
    </w:pPr>
    <w:rPr>
      <w:rFonts w:ascii="Century Gothic" w:hAnsi="楷体_GB2312" w:eastAsia="Century Gothic"/>
    </w:rPr>
  </w:style>
  <w:style w:type="paragraph" w:customStyle="1" w:styleId="36">
    <w:name w:val="正文1"/>
    <w:qFormat/>
    <w:uiPriority w:val="0"/>
    <w:pPr>
      <w:widowControl w:val="0"/>
      <w:jc w:val="both"/>
    </w:pPr>
    <w:rPr>
      <w:rFonts w:hint="eastAsia" w:ascii="等线" w:hAnsi="等线" w:eastAsia="等线" w:cs="Times New Roman"/>
      <w:kern w:val="2"/>
      <w:sz w:val="21"/>
      <w:lang w:val="en-US" w:eastAsia="zh-CN" w:bidi="ar-SA"/>
    </w:rPr>
  </w:style>
  <w:style w:type="paragraph" w:customStyle="1" w:styleId="37">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8">
    <w:name w:val="List Paragraph"/>
    <w:basedOn w:val="1"/>
    <w:qFormat/>
    <w:uiPriority w:val="34"/>
    <w:pPr>
      <w:ind w:firstLine="420" w:firstLineChars="200"/>
    </w:pPr>
    <w:rPr>
      <w:rFonts w:ascii="Calibri" w:hAnsi="Calibri" w:eastAsia="宋体"/>
      <w:szCs w:val="22"/>
    </w:rPr>
  </w:style>
  <w:style w:type="paragraph" w:customStyle="1" w:styleId="39">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0">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1">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42">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3">
    <w:name w:val="纯文本2"/>
    <w:qFormat/>
    <w:uiPriority w:val="0"/>
    <w:rPr>
      <w:rFonts w:hint="eastAsia" w:ascii="宋体" w:hAnsi="Courier New" w:eastAsia="宋体" w:cs="Times New Roman"/>
      <w:kern w:val="2"/>
      <w:sz w:val="21"/>
      <w:szCs w:val="22"/>
      <w:lang w:val="en-US" w:eastAsia="zh-CN" w:bidi="ar-SA"/>
    </w:rPr>
  </w:style>
  <w:style w:type="paragraph" w:customStyle="1" w:styleId="44">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2"/>
    <w:basedOn w:val="1"/>
    <w:qFormat/>
    <w:uiPriority w:val="0"/>
    <w:pPr>
      <w:spacing w:before="156" w:line="360" w:lineRule="auto"/>
      <w:ind w:firstLine="510" w:firstLineChars="200"/>
    </w:pPr>
    <w:rPr>
      <w:sz w:val="24"/>
    </w:rPr>
  </w:style>
  <w:style w:type="paragraph" w:customStyle="1" w:styleId="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
    <w:name w:val="列表段落1"/>
    <w:basedOn w:val="1"/>
    <w:qFormat/>
    <w:uiPriority w:val="99"/>
    <w:pPr>
      <w:ind w:firstLine="420" w:firstLineChars="200"/>
    </w:pPr>
    <w:rPr>
      <w:rFonts w:ascii="Calibri" w:hAnsi="Calibri"/>
      <w:szCs w:val="22"/>
    </w:rPr>
  </w:style>
  <w:style w:type="character" w:customStyle="1" w:styleId="49">
    <w:name w:val="font01"/>
    <w:basedOn w:val="22"/>
    <w:qFormat/>
    <w:uiPriority w:val="0"/>
    <w:rPr>
      <w:rFonts w:hint="eastAsia" w:ascii="宋体" w:hAnsi="宋体" w:eastAsia="宋体" w:cs="宋体"/>
      <w:color w:val="000000"/>
      <w:kern w:val="2"/>
      <w:sz w:val="24"/>
      <w:szCs w:val="24"/>
      <w:u w:val="none"/>
    </w:rPr>
  </w:style>
  <w:style w:type="paragraph" w:customStyle="1" w:styleId="50">
    <w:name w:val="*正文"/>
    <w:basedOn w:val="1"/>
    <w:qFormat/>
    <w:uiPriority w:val="0"/>
    <w:pPr>
      <w:spacing w:line="360" w:lineRule="auto"/>
      <w:ind w:firstLine="482" w:firstLineChars="200"/>
    </w:pPr>
    <w:rPr>
      <w:rFonts w:ascii="宋体" w:hAnsi="宋体"/>
      <w:kern w:val="0"/>
      <w:sz w:val="24"/>
    </w:rPr>
  </w:style>
  <w:style w:type="paragraph" w:customStyle="1" w:styleId="51">
    <w:name w:val="样式 (符号) 宋体"/>
    <w:basedOn w:val="1"/>
    <w:qFormat/>
    <w:uiPriority w:val="0"/>
    <w:pPr>
      <w:ind w:firstLine="420"/>
    </w:pPr>
    <w:rPr>
      <w:rFonts w:ascii="Times New Roman" w:hAnsi="Times New Roman" w:eastAsia="宋体"/>
      <w:color w:val="000000"/>
      <w:kern w:val="1"/>
    </w:rPr>
  </w:style>
  <w:style w:type="paragraph" w:customStyle="1" w:styleId="52">
    <w:name w:val="章正文"/>
    <w:basedOn w:val="1"/>
    <w:qFormat/>
    <w:locked/>
    <w:uiPriority w:val="0"/>
    <w:pPr>
      <w:spacing w:beforeLines="50" w:after="120" w:line="300" w:lineRule="auto"/>
      <w:ind w:firstLine="480"/>
    </w:pPr>
    <w:rPr>
      <w:rFonts w:ascii="Helvetica" w:hAnsi="Helvetica"/>
      <w:kern w:val="0"/>
    </w:rPr>
  </w:style>
  <w:style w:type="character" w:customStyle="1" w:styleId="53">
    <w:name w:val="font61"/>
    <w:basedOn w:val="22"/>
    <w:qFormat/>
    <w:uiPriority w:val="0"/>
    <w:rPr>
      <w:rFonts w:hint="eastAsia" w:ascii="宋体" w:hAnsi="宋体" w:eastAsia="宋体" w:cs="宋体"/>
      <w:color w:val="000000"/>
      <w:sz w:val="21"/>
      <w:szCs w:val="21"/>
      <w:u w:val="none"/>
    </w:rPr>
  </w:style>
  <w:style w:type="character" w:customStyle="1" w:styleId="54">
    <w:name w:val="font41"/>
    <w:basedOn w:val="22"/>
    <w:qFormat/>
    <w:uiPriority w:val="0"/>
    <w:rPr>
      <w:rFonts w:ascii="微软雅黑" w:hAnsi="微软雅黑" w:eastAsia="微软雅黑" w:cs="微软雅黑"/>
      <w:color w:val="000000"/>
      <w:sz w:val="24"/>
      <w:szCs w:val="24"/>
      <w:u w:val="none"/>
    </w:rPr>
  </w:style>
  <w:style w:type="character" w:customStyle="1" w:styleId="55">
    <w:name w:val="font11"/>
    <w:basedOn w:val="22"/>
    <w:qFormat/>
    <w:uiPriority w:val="0"/>
    <w:rPr>
      <w:rFonts w:hint="eastAsia" w:ascii="宋体" w:hAnsi="宋体" w:eastAsia="宋体" w:cs="宋体"/>
      <w:color w:val="000000"/>
      <w:sz w:val="24"/>
      <w:szCs w:val="24"/>
      <w:u w:val="none"/>
    </w:rPr>
  </w:style>
  <w:style w:type="paragraph" w:customStyle="1" w:styleId="5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Char Char1"/>
    <w:basedOn w:val="1"/>
    <w:qFormat/>
    <w:uiPriority w:val="0"/>
    <w:rPr>
      <w:rFonts w:ascii="Tahoma" w:hAnsi="Tahoma"/>
      <w:sz w:val="24"/>
    </w:rPr>
  </w:style>
  <w:style w:type="character" w:customStyle="1" w:styleId="59">
    <w:name w:val="font111"/>
    <w:basedOn w:val="22"/>
    <w:qFormat/>
    <w:uiPriority w:val="0"/>
    <w:rPr>
      <w:rFonts w:hint="eastAsia" w:ascii="宋体" w:hAnsi="宋体" w:eastAsia="宋体" w:cs="宋体"/>
      <w:color w:val="000000"/>
      <w:sz w:val="22"/>
      <w:szCs w:val="22"/>
      <w:u w:val="none"/>
    </w:rPr>
  </w:style>
  <w:style w:type="character" w:customStyle="1" w:styleId="60">
    <w:name w:val="标题 2 Char1"/>
    <w:qFormat/>
    <w:uiPriority w:val="0"/>
    <w:rPr>
      <w:rFonts w:ascii="Arial" w:hAnsi="Arial" w:eastAsia="黑体"/>
      <w:b/>
      <w:kern w:val="44"/>
      <w:sz w:val="28"/>
    </w:rPr>
  </w:style>
  <w:style w:type="character" w:customStyle="1" w:styleId="61">
    <w:name w:val="font21"/>
    <w:basedOn w:val="22"/>
    <w:qFormat/>
    <w:uiPriority w:val="0"/>
    <w:rPr>
      <w:rFonts w:hint="eastAsia" w:ascii="宋体" w:hAnsi="宋体" w:eastAsia="宋体" w:cs="宋体"/>
      <w:color w:val="000000"/>
      <w:sz w:val="21"/>
      <w:szCs w:val="21"/>
      <w:u w:val="none"/>
    </w:rPr>
  </w:style>
  <w:style w:type="character" w:customStyle="1" w:styleId="62">
    <w:name w:val="font31"/>
    <w:basedOn w:val="22"/>
    <w:qFormat/>
    <w:uiPriority w:val="0"/>
    <w:rPr>
      <w:rFonts w:hint="eastAsia" w:ascii="宋体" w:hAnsi="宋体" w:eastAsia="宋体" w:cs="宋体"/>
      <w:b/>
      <w:bCs/>
      <w:color w:val="000000"/>
      <w:sz w:val="21"/>
      <w:szCs w:val="21"/>
      <w:u w:val="none"/>
    </w:rPr>
  </w:style>
  <w:style w:type="character" w:customStyle="1" w:styleId="63">
    <w:name w:val="font51"/>
    <w:basedOn w:val="22"/>
    <w:qFormat/>
    <w:uiPriority w:val="0"/>
    <w:rPr>
      <w:rFonts w:hint="eastAsia" w:ascii="宋体" w:hAnsi="宋体" w:eastAsia="宋体" w:cs="宋体"/>
      <w:b/>
      <w:bCs/>
      <w:color w:val="000000"/>
      <w:sz w:val="21"/>
      <w:szCs w:val="21"/>
      <w:u w:val="single"/>
    </w:rPr>
  </w:style>
  <w:style w:type="character" w:customStyle="1" w:styleId="64">
    <w:name w:val="font71"/>
    <w:basedOn w:val="22"/>
    <w:qFormat/>
    <w:uiPriority w:val="0"/>
    <w:rPr>
      <w:rFonts w:hint="eastAsia" w:ascii="宋体" w:hAnsi="宋体" w:eastAsia="宋体" w:cs="宋体"/>
      <w:color w:val="000000"/>
      <w:sz w:val="21"/>
      <w:szCs w:val="21"/>
      <w:u w:val="single"/>
    </w:rPr>
  </w:style>
  <w:style w:type="character" w:customStyle="1" w:styleId="65">
    <w:name w:val="font81"/>
    <w:basedOn w:val="22"/>
    <w:qFormat/>
    <w:uiPriority w:val="0"/>
    <w:rPr>
      <w:rFonts w:hint="eastAsia" w:ascii="宋体" w:hAnsi="宋体" w:eastAsia="宋体" w:cs="宋体"/>
      <w:color w:val="000000"/>
      <w:sz w:val="21"/>
      <w:szCs w:val="21"/>
      <w:u w:val="single"/>
    </w:rPr>
  </w:style>
  <w:style w:type="character" w:customStyle="1" w:styleId="66">
    <w:name w:val="font91"/>
    <w:basedOn w:val="22"/>
    <w:qFormat/>
    <w:uiPriority w:val="0"/>
    <w:rPr>
      <w:rFonts w:hint="eastAsia" w:ascii="宋体" w:hAnsi="宋体" w:eastAsia="宋体" w:cs="宋体"/>
      <w:color w:val="FF0000"/>
      <w:sz w:val="21"/>
      <w:szCs w:val="21"/>
      <w:u w:val="single"/>
    </w:rPr>
  </w:style>
  <w:style w:type="character" w:customStyle="1" w:styleId="67">
    <w:name w:val="font12"/>
    <w:basedOn w:val="22"/>
    <w:qFormat/>
    <w:uiPriority w:val="0"/>
    <w:rPr>
      <w:rFonts w:hint="eastAsia" w:ascii="宋体" w:hAnsi="宋体" w:eastAsia="宋体" w:cs="宋体"/>
      <w:color w:val="000000"/>
      <w:sz w:val="21"/>
      <w:szCs w:val="21"/>
      <w:u w:val="none"/>
    </w:rPr>
  </w:style>
  <w:style w:type="character" w:customStyle="1" w:styleId="68">
    <w:name w:val="font122"/>
    <w:basedOn w:val="22"/>
    <w:qFormat/>
    <w:uiPriority w:val="0"/>
    <w:rPr>
      <w:rFonts w:hint="eastAsia" w:ascii="宋体" w:hAnsi="宋体" w:eastAsia="宋体" w:cs="宋体"/>
      <w:b/>
      <w:bCs/>
      <w:color w:val="000000"/>
      <w:sz w:val="21"/>
      <w:szCs w:val="21"/>
      <w:u w:val="none"/>
    </w:rPr>
  </w:style>
  <w:style w:type="character" w:customStyle="1" w:styleId="69">
    <w:name w:val="font141"/>
    <w:basedOn w:val="22"/>
    <w:qFormat/>
    <w:uiPriority w:val="0"/>
    <w:rPr>
      <w:rFonts w:hint="eastAsia" w:ascii="宋体" w:hAnsi="宋体" w:eastAsia="宋体" w:cs="宋体"/>
      <w:color w:val="FF0000"/>
      <w:sz w:val="21"/>
      <w:szCs w:val="21"/>
      <w:u w:val="single"/>
    </w:rPr>
  </w:style>
  <w:style w:type="character" w:customStyle="1" w:styleId="70">
    <w:name w:val="font151"/>
    <w:basedOn w:val="22"/>
    <w:qFormat/>
    <w:uiPriority w:val="0"/>
    <w:rPr>
      <w:rFonts w:hint="eastAsia" w:ascii="宋体" w:hAnsi="宋体" w:eastAsia="宋体" w:cs="宋体"/>
      <w:color w:val="000000"/>
      <w:sz w:val="21"/>
      <w:szCs w:val="21"/>
      <w:u w:val="single"/>
    </w:rPr>
  </w:style>
  <w:style w:type="character" w:customStyle="1" w:styleId="71">
    <w:name w:val="font161"/>
    <w:basedOn w:val="22"/>
    <w:qFormat/>
    <w:uiPriority w:val="0"/>
    <w:rPr>
      <w:rFonts w:hint="eastAsia" w:ascii="宋体" w:hAnsi="宋体" w:eastAsia="宋体" w:cs="宋体"/>
      <w:b/>
      <w:bCs/>
      <w:color w:val="FF0000"/>
      <w:sz w:val="21"/>
      <w:szCs w:val="21"/>
      <w:u w:val="none"/>
    </w:rPr>
  </w:style>
  <w:style w:type="character" w:customStyle="1" w:styleId="72">
    <w:name w:val="font101"/>
    <w:basedOn w:val="22"/>
    <w:qFormat/>
    <w:uiPriority w:val="0"/>
    <w:rPr>
      <w:rFonts w:hint="eastAsia" w:ascii="宋体" w:hAnsi="宋体" w:eastAsia="宋体" w:cs="宋体"/>
      <w:color w:val="000000"/>
      <w:sz w:val="21"/>
      <w:szCs w:val="21"/>
      <w:u w:val="single"/>
    </w:rPr>
  </w:style>
  <w:style w:type="character" w:customStyle="1" w:styleId="73">
    <w:name w:val="font112"/>
    <w:basedOn w:val="22"/>
    <w:qFormat/>
    <w:uiPriority w:val="0"/>
    <w:rPr>
      <w:rFonts w:hint="eastAsia" w:ascii="宋体" w:hAnsi="宋体" w:eastAsia="宋体" w:cs="宋体"/>
      <w:b/>
      <w:bCs/>
      <w:color w:val="FF0000"/>
      <w:sz w:val="21"/>
      <w:szCs w:val="21"/>
      <w:u w:val="none"/>
    </w:rPr>
  </w:style>
  <w:style w:type="character" w:customStyle="1" w:styleId="74">
    <w:name w:val="font121"/>
    <w:basedOn w:val="22"/>
    <w:qFormat/>
    <w:uiPriority w:val="0"/>
    <w:rPr>
      <w:rFonts w:hint="eastAsia" w:ascii="宋体" w:hAnsi="宋体" w:eastAsia="宋体" w:cs="宋体"/>
      <w:b/>
      <w:bCs/>
      <w:color w:val="000000"/>
      <w:sz w:val="21"/>
      <w:szCs w:val="21"/>
      <w:u w:val="none"/>
    </w:rPr>
  </w:style>
  <w:style w:type="paragraph" w:customStyle="1" w:styleId="75">
    <w:name w:val="Table Text"/>
    <w:basedOn w:val="1"/>
    <w:semiHidden/>
    <w:qFormat/>
    <w:uiPriority w:val="0"/>
    <w:rPr>
      <w:rFonts w:ascii="宋体" w:hAnsi="宋体" w:eastAsia="宋体" w:cs="宋体"/>
      <w:sz w:val="22"/>
      <w:szCs w:val="22"/>
      <w:lang w:eastAsia="en-US"/>
    </w:rPr>
  </w:style>
  <w:style w:type="paragraph" w:customStyle="1" w:styleId="76">
    <w:name w:val="列出段落1"/>
    <w:basedOn w:val="1"/>
    <w:qFormat/>
    <w:uiPriority w:val="0"/>
    <w:pPr>
      <w:ind w:firstLine="420" w:firstLineChars="200"/>
    </w:pPr>
    <w:rPr>
      <w:szCs w:val="22"/>
    </w:rPr>
  </w:style>
  <w:style w:type="character" w:customStyle="1" w:styleId="77">
    <w:name w:val="15"/>
    <w:qFormat/>
    <w:uiPriority w:val="0"/>
    <w:rPr>
      <w:rFonts w:hint="default" w:ascii="Times New Roman" w:hAnsi="Times New Roman" w:cs="Times New Roman"/>
      <w:kern w:val="0"/>
      <w:sz w:val="24"/>
      <w:szCs w:val="20"/>
    </w:rPr>
  </w:style>
  <w:style w:type="character" w:customStyle="1" w:styleId="78">
    <w:name w:val="正文文本缩进 字符"/>
    <w:basedOn w:val="22"/>
    <w:link w:val="3"/>
    <w:qFormat/>
    <w:uiPriority w:val="99"/>
    <w:rPr>
      <w:rFonts w:ascii="宋体" w:hAnsi="宋体" w:eastAsia="仿宋_GB2312"/>
      <w:kern w:val="2"/>
      <w:sz w:val="24"/>
    </w:rPr>
  </w:style>
  <w:style w:type="character" w:customStyle="1" w:styleId="79">
    <w:name w:val="正文文本首行缩进 2 字符"/>
    <w:basedOn w:val="78"/>
    <w:link w:val="2"/>
    <w:qFormat/>
    <w:uiPriority w:val="99"/>
    <w:rPr>
      <w:rFonts w:ascii="宋体" w:hAnsi="宋体" w:eastAsia="仿宋_GB2312"/>
      <w:kern w:val="2"/>
      <w:sz w:val="28"/>
    </w:rPr>
  </w:style>
  <w:style w:type="paragraph" w:customStyle="1" w:styleId="80">
    <w:name w:val="msonormal"/>
    <w:basedOn w:val="1"/>
    <w:qFormat/>
    <w:uiPriority w:val="0"/>
    <w:pPr>
      <w:widowControl/>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81">
    <w:name w:val="font5"/>
    <w:basedOn w:val="1"/>
    <w:qFormat/>
    <w:uiPriority w:val="0"/>
    <w:pPr>
      <w:widowControl/>
      <w:spacing w:before="100" w:beforeAutospacing="1" w:after="100" w:afterAutospacing="1" w:line="240" w:lineRule="auto"/>
      <w:jc w:val="left"/>
    </w:pPr>
    <w:rPr>
      <w:rFonts w:hint="default" w:ascii="宋体" w:hAnsi="宋体" w:eastAsia="宋体" w:cs="宋体"/>
      <w:kern w:val="0"/>
      <w:sz w:val="18"/>
      <w:szCs w:val="18"/>
    </w:rPr>
  </w:style>
  <w:style w:type="paragraph" w:customStyle="1" w:styleId="82">
    <w:name w:val="font6"/>
    <w:basedOn w:val="1"/>
    <w:qFormat/>
    <w:uiPriority w:val="0"/>
    <w:pPr>
      <w:widowControl/>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83">
    <w:name w:val="font7"/>
    <w:basedOn w:val="1"/>
    <w:qFormat/>
    <w:uiPriority w:val="0"/>
    <w:pPr>
      <w:widowControl/>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84">
    <w:name w:val="font8"/>
    <w:basedOn w:val="1"/>
    <w:qFormat/>
    <w:uiPriority w:val="0"/>
    <w:pPr>
      <w:widowControl/>
      <w:spacing w:before="100" w:beforeAutospacing="1" w:after="100" w:afterAutospacing="1" w:line="240" w:lineRule="auto"/>
      <w:jc w:val="left"/>
    </w:pPr>
    <w:rPr>
      <w:rFonts w:hint="default" w:cs="宋体"/>
      <w:kern w:val="0"/>
      <w:sz w:val="18"/>
      <w:szCs w:val="18"/>
    </w:rPr>
  </w:style>
  <w:style w:type="paragraph" w:customStyle="1" w:styleId="85">
    <w:name w:val="font9"/>
    <w:basedOn w:val="1"/>
    <w:qFormat/>
    <w:uiPriority w:val="0"/>
    <w:pPr>
      <w:widowControl/>
      <w:spacing w:before="100" w:beforeAutospacing="1" w:after="100" w:afterAutospacing="1" w:line="240" w:lineRule="auto"/>
      <w:jc w:val="left"/>
    </w:pPr>
    <w:rPr>
      <w:rFonts w:hint="default" w:ascii="宋体" w:hAnsi="宋体" w:eastAsia="宋体" w:cs="宋体"/>
      <w:b/>
      <w:bCs/>
      <w:kern w:val="0"/>
      <w:sz w:val="24"/>
      <w:szCs w:val="24"/>
    </w:rPr>
  </w:style>
  <w:style w:type="paragraph" w:customStyle="1" w:styleId="86">
    <w:name w:val="font10"/>
    <w:basedOn w:val="1"/>
    <w:qFormat/>
    <w:uiPriority w:val="0"/>
    <w:pPr>
      <w:widowControl/>
      <w:spacing w:before="100" w:beforeAutospacing="1" w:after="100" w:afterAutospacing="1" w:line="240" w:lineRule="auto"/>
      <w:jc w:val="left"/>
    </w:pPr>
    <w:rPr>
      <w:rFonts w:hint="default" w:ascii="宋体" w:hAnsi="宋体" w:eastAsia="宋体" w:cs="宋体"/>
      <w:b/>
      <w:bCs/>
      <w:color w:val="000000"/>
      <w:kern w:val="0"/>
      <w:sz w:val="24"/>
      <w:szCs w:val="24"/>
    </w:rPr>
  </w:style>
  <w:style w:type="paragraph" w:customStyle="1" w:styleId="87">
    <w:name w:val="font13"/>
    <w:basedOn w:val="1"/>
    <w:qFormat/>
    <w:uiPriority w:val="0"/>
    <w:pPr>
      <w:widowControl/>
      <w:spacing w:before="100" w:beforeAutospacing="1" w:after="100" w:afterAutospacing="1" w:line="240" w:lineRule="auto"/>
      <w:jc w:val="left"/>
    </w:pPr>
    <w:rPr>
      <w:rFonts w:hint="default" w:ascii="宋体" w:hAnsi="宋体" w:eastAsia="宋体" w:cs="宋体"/>
      <w:kern w:val="0"/>
      <w:sz w:val="22"/>
      <w:szCs w:val="22"/>
    </w:rPr>
  </w:style>
  <w:style w:type="paragraph" w:customStyle="1" w:styleId="88">
    <w:name w:val="font14"/>
    <w:basedOn w:val="1"/>
    <w:qFormat/>
    <w:uiPriority w:val="0"/>
    <w:pPr>
      <w:widowControl/>
      <w:spacing w:before="100" w:beforeAutospacing="1" w:after="100" w:afterAutospacing="1" w:line="240" w:lineRule="auto"/>
      <w:jc w:val="left"/>
    </w:pPr>
    <w:rPr>
      <w:rFonts w:hint="default" w:ascii="宋体" w:hAnsi="宋体" w:eastAsia="宋体" w:cs="宋体"/>
      <w:b/>
      <w:bCs/>
      <w:kern w:val="0"/>
      <w:sz w:val="22"/>
      <w:szCs w:val="22"/>
    </w:rPr>
  </w:style>
  <w:style w:type="paragraph" w:customStyle="1" w:styleId="89">
    <w:name w:val="xl67"/>
    <w:basedOn w:val="1"/>
    <w:qFormat/>
    <w:uiPriority w:val="0"/>
    <w:pPr>
      <w:widowControl/>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kern w:val="0"/>
      <w:sz w:val="24"/>
      <w:szCs w:val="24"/>
    </w:rPr>
  </w:style>
  <w:style w:type="paragraph" w:customStyle="1" w:styleId="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color w:val="000000"/>
      <w:kern w:val="0"/>
      <w:sz w:val="24"/>
      <w:szCs w:val="24"/>
    </w:rPr>
  </w:style>
  <w:style w:type="paragraph" w:customStyle="1" w:styleId="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95">
    <w:name w:val="xl73"/>
    <w:basedOn w:val="1"/>
    <w:qFormat/>
    <w:uiPriority w:val="0"/>
    <w:pPr>
      <w:widowControl/>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96">
    <w:name w:val="xl74"/>
    <w:basedOn w:val="1"/>
    <w:qFormat/>
    <w:uiPriority w:val="0"/>
    <w:pPr>
      <w:widowControl/>
      <w:shd w:val="clear" w:color="000000" w:fill="FFFFFF"/>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97">
    <w:name w:val="xl75"/>
    <w:basedOn w:val="1"/>
    <w:qFormat/>
    <w:uiPriority w:val="0"/>
    <w:pPr>
      <w:widowControl/>
      <w:spacing w:before="100" w:beforeAutospacing="1" w:after="100" w:afterAutospacing="1" w:line="240" w:lineRule="auto"/>
      <w:jc w:val="center"/>
    </w:pPr>
    <w:rPr>
      <w:rFonts w:hint="default" w:ascii="宋体" w:hAnsi="宋体" w:eastAsia="宋体" w:cs="宋体"/>
      <w:color w:val="000000"/>
      <w:kern w:val="0"/>
      <w:sz w:val="24"/>
      <w:szCs w:val="24"/>
    </w:rPr>
  </w:style>
  <w:style w:type="paragraph" w:customStyle="1" w:styleId="9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0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01">
    <w:name w:val="xl79"/>
    <w:basedOn w:val="1"/>
    <w:qFormat/>
    <w:uiPriority w:val="0"/>
    <w:pPr>
      <w:widowControl/>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kern w:val="0"/>
      <w:sz w:val="24"/>
      <w:szCs w:val="24"/>
    </w:rPr>
  </w:style>
  <w:style w:type="paragraph" w:customStyle="1" w:styleId="10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b/>
      <w:bCs/>
      <w:kern w:val="0"/>
      <w:sz w:val="24"/>
      <w:szCs w:val="24"/>
    </w:rPr>
  </w:style>
  <w:style w:type="paragraph" w:customStyle="1" w:styleId="10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hint="default" w:ascii="宋体" w:hAnsi="宋体" w:eastAsia="宋体" w:cs="宋体"/>
      <w:b/>
      <w:bCs/>
      <w:kern w:val="0"/>
      <w:sz w:val="24"/>
      <w:szCs w:val="24"/>
    </w:rPr>
  </w:style>
  <w:style w:type="paragraph" w:customStyle="1" w:styleId="105">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0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0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0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1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hint="default" w:ascii="宋体" w:hAnsi="宋体" w:eastAsia="宋体" w:cs="宋体"/>
      <w:kern w:val="0"/>
      <w:sz w:val="24"/>
      <w:szCs w:val="24"/>
    </w:rPr>
  </w:style>
  <w:style w:type="paragraph" w:customStyle="1" w:styleId="11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kern w:val="0"/>
      <w:sz w:val="24"/>
      <w:szCs w:val="24"/>
    </w:rPr>
  </w:style>
  <w:style w:type="paragraph" w:customStyle="1" w:styleId="11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hint="default" w:ascii="宋体" w:hAnsi="宋体" w:eastAsia="宋体" w:cs="宋体"/>
      <w:kern w:val="0"/>
      <w:sz w:val="24"/>
      <w:szCs w:val="24"/>
    </w:rPr>
  </w:style>
  <w:style w:type="paragraph" w:customStyle="1" w:styleId="11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14">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color w:val="000000"/>
      <w:kern w:val="0"/>
      <w:sz w:val="24"/>
      <w:szCs w:val="24"/>
    </w:rPr>
  </w:style>
  <w:style w:type="paragraph" w:customStyle="1" w:styleId="11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color w:val="000000"/>
      <w:kern w:val="0"/>
      <w:sz w:val="24"/>
      <w:szCs w:val="24"/>
    </w:rPr>
  </w:style>
  <w:style w:type="paragraph" w:customStyle="1" w:styleId="11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17">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kern w:val="0"/>
      <w:sz w:val="24"/>
      <w:szCs w:val="24"/>
    </w:rPr>
  </w:style>
  <w:style w:type="paragraph" w:customStyle="1" w:styleId="11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kern w:val="0"/>
      <w:sz w:val="24"/>
      <w:szCs w:val="24"/>
    </w:rPr>
  </w:style>
  <w:style w:type="paragraph" w:customStyle="1" w:styleId="11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2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kern w:val="0"/>
      <w:sz w:val="24"/>
      <w:szCs w:val="24"/>
    </w:rPr>
  </w:style>
  <w:style w:type="paragraph" w:customStyle="1" w:styleId="121">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bottom"/>
    </w:pPr>
    <w:rPr>
      <w:rFonts w:hint="default" w:ascii="宋体" w:hAnsi="宋体" w:eastAsia="宋体" w:cs="宋体"/>
      <w:kern w:val="0"/>
      <w:sz w:val="24"/>
      <w:szCs w:val="24"/>
    </w:rPr>
  </w:style>
  <w:style w:type="paragraph" w:customStyle="1" w:styleId="12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hint="default" w:ascii="宋体" w:hAnsi="宋体" w:eastAsia="宋体" w:cs="宋体"/>
      <w:kern w:val="0"/>
      <w:sz w:val="24"/>
      <w:szCs w:val="24"/>
    </w:rPr>
  </w:style>
  <w:style w:type="paragraph" w:customStyle="1" w:styleId="1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hint="default" w:ascii="宋体" w:hAnsi="宋体" w:eastAsia="宋体" w:cs="宋体"/>
      <w:kern w:val="0"/>
      <w:sz w:val="24"/>
      <w:szCs w:val="24"/>
    </w:rPr>
  </w:style>
  <w:style w:type="paragraph" w:customStyle="1" w:styleId="12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2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color w:val="000000"/>
      <w:kern w:val="0"/>
      <w:sz w:val="24"/>
      <w:szCs w:val="24"/>
    </w:rPr>
  </w:style>
  <w:style w:type="paragraph" w:customStyle="1" w:styleId="12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hint="default" w:ascii="宋体" w:hAnsi="宋体" w:eastAsia="宋体" w:cs="宋体"/>
      <w:kern w:val="0"/>
      <w:sz w:val="24"/>
      <w:szCs w:val="24"/>
    </w:rPr>
  </w:style>
  <w:style w:type="paragraph" w:customStyle="1" w:styleId="12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2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default" w:ascii="宋体" w:hAnsi="宋体" w:eastAsia="宋体" w:cs="宋体"/>
      <w:color w:val="000000"/>
      <w:kern w:val="0"/>
      <w:sz w:val="24"/>
      <w:szCs w:val="24"/>
    </w:rPr>
  </w:style>
  <w:style w:type="paragraph" w:customStyle="1" w:styleId="129">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color w:val="000000"/>
      <w:kern w:val="0"/>
      <w:sz w:val="24"/>
      <w:szCs w:val="24"/>
    </w:rPr>
  </w:style>
  <w:style w:type="paragraph" w:customStyle="1" w:styleId="13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default" w:ascii="宋体" w:hAnsi="宋体" w:eastAsia="宋体" w:cs="宋体"/>
      <w:color w:val="000000"/>
      <w:kern w:val="0"/>
      <w:sz w:val="24"/>
      <w:szCs w:val="24"/>
    </w:rPr>
  </w:style>
  <w:style w:type="table" w:customStyle="1" w:styleId="131">
    <w:name w:val="Table Normal"/>
    <w:semiHidden/>
    <w:unhideWhenUsed/>
    <w:qFormat/>
    <w:uiPriority w:val="0"/>
    <w:tblPr>
      <w:tblCellMar>
        <w:top w:w="0" w:type="dxa"/>
        <w:left w:w="0" w:type="dxa"/>
        <w:bottom w:w="0" w:type="dxa"/>
        <w:right w:w="0" w:type="dxa"/>
      </w:tblCellMar>
    </w:tblPr>
  </w:style>
  <w:style w:type="paragraph" w:customStyle="1" w:styleId="132">
    <w:name w:val="Body text|1"/>
    <w:qFormat/>
    <w:uiPriority w:val="0"/>
    <w:pPr>
      <w:widowControl w:val="0"/>
      <w:spacing w:line="401" w:lineRule="auto"/>
      <w:ind w:firstLine="400"/>
    </w:pPr>
    <w:rPr>
      <w:rFonts w:ascii="宋体" w:hAnsi="宋体" w:eastAsia="宋体" w:cs="宋体"/>
      <w:sz w:val="30"/>
      <w:szCs w:val="30"/>
      <w:lang w:val="zh-TW" w:eastAsia="zh-TW" w:bidi="zh-TW"/>
    </w:rPr>
  </w:style>
  <w:style w:type="paragraph" w:customStyle="1" w:styleId="133">
    <w:name w:val="表格"/>
    <w:basedOn w:val="38"/>
    <w:next w:val="1"/>
    <w:qFormat/>
    <w:uiPriority w:val="0"/>
    <w:pPr>
      <w:spacing w:line="240" w:lineRule="auto"/>
      <w:ind w:firstLine="0" w:firstLineChars="0"/>
      <w:jc w:val="center"/>
    </w:pPr>
    <w:rPr>
      <w:rFonts w:ascii="Times New Roman" w:hAnsi="Times New Roman"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footer" Target="footer2.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1.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header" Target="header1.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endnotes" Target="endnotes.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6719</Words>
  <Characters>7466</Characters>
  <Lines>4848</Lines>
  <Paragraphs>3560</Paragraphs>
  <TotalTime>13</TotalTime>
  <ScaleCrop>false</ScaleCrop>
  <LinksUpToDate>false</LinksUpToDate>
  <CharactersWithSpaces>7804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2025-04-29T02:19:00Z</dcterms:created>
  <dc:creator>华杰</dc:creator>
  <cp:lastModifiedBy>WPS_1718198238</cp:lastModifiedBy>
  <cp:lastPrinted>2025-04-29T05:25:00Z</cp:lastPrinted>
  <dcterms:modified xsi:type="dcterms:W3CDTF">2025-06-24T06:09:39Z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B353171D0D8940BFBEEFF6CA05DF29F9_13</vt:lpwstr>
  </property>
  <property fmtid="{D5CDD505-2E9C-101B-9397-08002B2CF9AE}" pid="4" name="KSOTemplateDocerSaveRecord">
    <vt:lpwstr>eyJoZGlkIjoiYjdhMjk1NDQwMDExNjYxOWRmMWViMzJjOTU3NDBkNDUiLCJ1c2VySWQiOiIxNjA3MzYzMTg5In0=</vt:lpwstr>
  </property>
</Properties>
</file>