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9D426">
      <w:pPr>
        <w:pStyle w:val="13"/>
        <w:widowControl w:val="0"/>
        <w:adjustRightInd w:val="0"/>
        <w:snapToGrid w:val="0"/>
        <w:jc w:val="both"/>
        <w:rPr>
          <w:rFonts w:hint="eastAsia" w:ascii="宋体" w:hAnsi="宋体" w:eastAsia="宋体" w:cs="宋体"/>
          <w:b/>
          <w:bCs/>
          <w:color w:val="auto"/>
          <w:sz w:val="44"/>
          <w:szCs w:val="32"/>
          <w:highlight w:val="none"/>
          <w:lang w:eastAsia="zh-CN"/>
        </w:rPr>
      </w:pPr>
    </w:p>
    <w:p w14:paraId="267B3B00">
      <w:pPr>
        <w:pStyle w:val="13"/>
        <w:widowControl w:val="0"/>
        <w:adjustRightInd w:val="0"/>
        <w:snapToGrid w:val="0"/>
        <w:jc w:val="both"/>
        <w:rPr>
          <w:rFonts w:hint="eastAsia" w:ascii="宋体" w:hAnsi="宋体" w:eastAsia="宋体" w:cs="宋体"/>
          <w:b/>
          <w:bCs/>
          <w:color w:val="auto"/>
          <w:sz w:val="44"/>
          <w:szCs w:val="32"/>
          <w:highlight w:val="none"/>
          <w:lang w:eastAsia="zh-CN"/>
        </w:rPr>
      </w:pPr>
    </w:p>
    <w:p w14:paraId="02786253">
      <w:pPr>
        <w:pStyle w:val="13"/>
        <w:widowControl w:val="0"/>
        <w:adjustRightInd w:val="0"/>
        <w:snapToGrid w:val="0"/>
        <w:jc w:val="center"/>
        <w:rPr>
          <w:rFonts w:hint="eastAsia" w:ascii="宋体" w:hAnsi="宋体" w:eastAsia="宋体" w:cs="宋体"/>
          <w:b/>
          <w:bCs/>
          <w:color w:val="auto"/>
          <w:sz w:val="160"/>
          <w:szCs w:val="160"/>
          <w:highlight w:val="none"/>
        </w:rPr>
      </w:pPr>
      <w:r>
        <w:rPr>
          <w:rFonts w:hint="eastAsia" w:cs="宋体"/>
          <w:b/>
          <w:bCs/>
          <w:color w:val="auto"/>
          <w:sz w:val="48"/>
          <w:szCs w:val="36"/>
          <w:highlight w:val="none"/>
          <w:lang w:eastAsia="zh-CN"/>
        </w:rPr>
        <w:t>金华市建设技工学校交互式一体化黑板项目</w:t>
      </w:r>
    </w:p>
    <w:p w14:paraId="6612F94A">
      <w:pPr>
        <w:pStyle w:val="13"/>
        <w:widowControl w:val="0"/>
        <w:adjustRightInd w:val="0"/>
        <w:snapToGrid w:val="0"/>
        <w:jc w:val="both"/>
        <w:rPr>
          <w:rFonts w:hint="eastAsia" w:ascii="宋体" w:hAnsi="宋体" w:eastAsia="宋体" w:cs="宋体"/>
          <w:color w:val="auto"/>
          <w:sz w:val="72"/>
          <w:szCs w:val="72"/>
          <w:highlight w:val="none"/>
        </w:rPr>
      </w:pPr>
    </w:p>
    <w:p w14:paraId="30DBA4C5">
      <w:pPr>
        <w:pStyle w:val="13"/>
        <w:widowControl w:val="0"/>
        <w:adjustRightInd w:val="0"/>
        <w:snapToGrid w:val="0"/>
        <w:rPr>
          <w:rFonts w:hint="eastAsia" w:ascii="宋体" w:hAnsi="宋体" w:eastAsia="宋体" w:cs="宋体"/>
          <w:color w:val="auto"/>
          <w:sz w:val="36"/>
          <w:szCs w:val="36"/>
          <w:highlight w:val="none"/>
        </w:rPr>
      </w:pPr>
    </w:p>
    <w:p w14:paraId="4E37603D">
      <w:pPr>
        <w:pStyle w:val="13"/>
        <w:widowControl w:val="0"/>
        <w:adjustRightInd w:val="0"/>
        <w:snapToGrid w:val="0"/>
        <w:jc w:val="center"/>
        <w:rPr>
          <w:rFonts w:hint="eastAsia" w:ascii="宋体" w:hAnsi="宋体" w:eastAsia="宋体" w:cs="宋体"/>
          <w:b/>
          <w:bCs/>
          <w:color w:val="auto"/>
          <w:sz w:val="56"/>
          <w:szCs w:val="21"/>
          <w:highlight w:val="none"/>
        </w:rPr>
      </w:pPr>
      <w:r>
        <w:rPr>
          <w:rFonts w:hint="eastAsia" w:ascii="宋体" w:hAnsi="宋体" w:eastAsia="宋体" w:cs="宋体"/>
          <w:b/>
          <w:bCs/>
          <w:color w:val="auto"/>
          <w:sz w:val="56"/>
          <w:szCs w:val="21"/>
          <w:highlight w:val="none"/>
        </w:rPr>
        <w:t>公开招标文件</w:t>
      </w:r>
    </w:p>
    <w:p w14:paraId="4475BE6A">
      <w:pPr>
        <w:widowControl w:val="0"/>
        <w:adjustRightInd w:val="0"/>
        <w:snapToGrid w:val="0"/>
        <w:spacing w:line="360" w:lineRule="exact"/>
        <w:rPr>
          <w:rFonts w:hint="eastAsia" w:ascii="宋体" w:hAnsi="宋体" w:eastAsia="宋体" w:cs="宋体"/>
          <w:b/>
          <w:color w:val="auto"/>
          <w:sz w:val="44"/>
          <w:highlight w:val="none"/>
        </w:rPr>
      </w:pPr>
    </w:p>
    <w:p w14:paraId="20E5863D">
      <w:pPr>
        <w:widowControl w:val="0"/>
        <w:adjustRightInd w:val="0"/>
        <w:snapToGrid w:val="0"/>
        <w:spacing w:line="360" w:lineRule="exact"/>
        <w:rPr>
          <w:rFonts w:hint="eastAsia" w:ascii="宋体" w:hAnsi="宋体" w:eastAsia="宋体" w:cs="宋体"/>
          <w:b/>
          <w:color w:val="auto"/>
          <w:sz w:val="44"/>
          <w:highlight w:val="none"/>
        </w:rPr>
      </w:pPr>
    </w:p>
    <w:p w14:paraId="6E41C909">
      <w:pPr>
        <w:widowControl w:val="0"/>
        <w:adjustRightInd w:val="0"/>
        <w:snapToGrid w:val="0"/>
        <w:spacing w:line="360" w:lineRule="exact"/>
        <w:rPr>
          <w:rFonts w:hint="eastAsia" w:ascii="宋体" w:hAnsi="宋体" w:eastAsia="宋体" w:cs="宋体"/>
          <w:b/>
          <w:color w:val="auto"/>
          <w:sz w:val="44"/>
          <w:highlight w:val="none"/>
        </w:rPr>
      </w:pPr>
    </w:p>
    <w:p w14:paraId="64478507">
      <w:pPr>
        <w:widowControl w:val="0"/>
        <w:adjustRightInd w:val="0"/>
        <w:snapToGrid w:val="0"/>
        <w:spacing w:line="360" w:lineRule="exact"/>
        <w:rPr>
          <w:rFonts w:hint="eastAsia" w:ascii="宋体" w:hAnsi="宋体" w:eastAsia="宋体" w:cs="宋体"/>
          <w:b/>
          <w:color w:val="auto"/>
          <w:sz w:val="44"/>
          <w:highlight w:val="none"/>
        </w:rPr>
      </w:pPr>
    </w:p>
    <w:p w14:paraId="261C6B5B">
      <w:pPr>
        <w:widowControl w:val="0"/>
        <w:adjustRightInd w:val="0"/>
        <w:snapToGrid w:val="0"/>
        <w:spacing w:line="360" w:lineRule="exact"/>
        <w:rPr>
          <w:rFonts w:hint="eastAsia" w:ascii="宋体" w:hAnsi="宋体" w:eastAsia="宋体" w:cs="宋体"/>
          <w:b/>
          <w:color w:val="auto"/>
          <w:sz w:val="44"/>
          <w:highlight w:val="none"/>
        </w:rPr>
      </w:pPr>
    </w:p>
    <w:p w14:paraId="7B12D3EC">
      <w:pPr>
        <w:widowControl w:val="0"/>
        <w:adjustRightInd w:val="0"/>
        <w:snapToGrid w:val="0"/>
        <w:spacing w:line="360" w:lineRule="exact"/>
        <w:rPr>
          <w:rFonts w:hint="eastAsia" w:ascii="宋体" w:hAnsi="宋体" w:eastAsia="宋体" w:cs="宋体"/>
          <w:b/>
          <w:color w:val="auto"/>
          <w:sz w:val="44"/>
          <w:highlight w:val="none"/>
        </w:rPr>
      </w:pPr>
    </w:p>
    <w:p w14:paraId="5F1269B3">
      <w:pPr>
        <w:widowControl w:val="0"/>
        <w:adjustRightInd w:val="0"/>
        <w:snapToGrid w:val="0"/>
        <w:spacing w:line="360" w:lineRule="exact"/>
        <w:rPr>
          <w:rFonts w:hint="eastAsia" w:ascii="宋体" w:hAnsi="宋体" w:eastAsia="宋体" w:cs="宋体"/>
          <w:b/>
          <w:color w:val="auto"/>
          <w:sz w:val="44"/>
          <w:highlight w:val="none"/>
        </w:rPr>
      </w:pPr>
    </w:p>
    <w:p w14:paraId="6A234A1E">
      <w:pPr>
        <w:widowControl w:val="0"/>
        <w:adjustRightInd w:val="0"/>
        <w:snapToGrid w:val="0"/>
        <w:spacing w:line="360" w:lineRule="exact"/>
        <w:rPr>
          <w:rFonts w:hint="eastAsia" w:ascii="宋体" w:hAnsi="宋体" w:eastAsia="宋体" w:cs="宋体"/>
          <w:b/>
          <w:color w:val="auto"/>
          <w:sz w:val="44"/>
          <w:highlight w:val="none"/>
        </w:rPr>
      </w:pPr>
    </w:p>
    <w:p w14:paraId="7890ACCE">
      <w:pPr>
        <w:pStyle w:val="20"/>
        <w:ind w:left="480" w:firstLine="480"/>
        <w:jc w:val="center"/>
        <w:rPr>
          <w:rFonts w:hint="eastAsia" w:ascii="宋体" w:hAnsi="宋体" w:eastAsia="宋体" w:cs="宋体"/>
          <w:color w:val="auto"/>
          <w:highlight w:val="none"/>
        </w:rPr>
      </w:pPr>
    </w:p>
    <w:p w14:paraId="59FB961D">
      <w:pPr>
        <w:pStyle w:val="13"/>
        <w:widowControl w:val="0"/>
        <w:adjustRightInd w:val="0"/>
        <w:snapToGrid w:val="0"/>
        <w:spacing w:before="120" w:beforeLines="50" w:beforeAutospacing="0" w:after="120" w:afterLines="50" w:afterAutospacing="0"/>
        <w:ind w:left="-240" w:leftChars="-100" w:firstLine="2530" w:firstLineChars="900"/>
        <w:jc w:val="left"/>
        <w:rPr>
          <w:rFonts w:hint="eastAsia" w:ascii="宋体" w:hAnsi="宋体" w:eastAsia="宋体" w:cs="宋体"/>
          <w:b/>
          <w:color w:val="auto"/>
          <w:sz w:val="44"/>
          <w:highlight w:val="none"/>
        </w:rPr>
      </w:pPr>
      <w:r>
        <w:rPr>
          <w:rFonts w:hint="eastAsia" w:ascii="宋体" w:hAnsi="宋体" w:eastAsia="宋体" w:cs="宋体"/>
          <w:b/>
          <w:bCs/>
          <w:color w:val="auto"/>
          <w:sz w:val="28"/>
          <w:highlight w:val="none"/>
          <w:lang w:eastAsia="zh-CN"/>
        </w:rPr>
        <w:t>编号：</w:t>
      </w:r>
      <w:r>
        <w:rPr>
          <w:rFonts w:hint="eastAsia" w:cs="宋体"/>
          <w:b/>
          <w:bCs/>
          <w:color w:val="auto"/>
          <w:sz w:val="28"/>
          <w:highlight w:val="none"/>
          <w:lang w:eastAsia="zh-CN"/>
        </w:rPr>
        <w:t>HJCG-2025-075</w:t>
      </w:r>
    </w:p>
    <w:p w14:paraId="188A1FDF">
      <w:pPr>
        <w:pStyle w:val="13"/>
        <w:widowControl w:val="0"/>
        <w:adjustRightInd w:val="0"/>
        <w:snapToGrid w:val="0"/>
        <w:spacing w:before="120" w:beforeLines="50" w:beforeAutospacing="0" w:after="120" w:afterLines="50" w:afterAutospacing="0"/>
        <w:ind w:left="-180" w:leftChars="-75" w:firstLine="2448" w:firstLineChars="871"/>
        <w:jc w:val="both"/>
        <w:rPr>
          <w:rFonts w:hint="eastAsia" w:ascii="宋体" w:hAnsi="宋体" w:eastAsia="宋体" w:cs="宋体"/>
          <w:b/>
          <w:bCs/>
          <w:color w:val="auto"/>
          <w:sz w:val="28"/>
          <w:highlight w:val="none"/>
          <w:lang w:eastAsia="zh-CN"/>
        </w:rPr>
      </w:pPr>
      <w:r>
        <w:rPr>
          <w:rFonts w:hint="eastAsia" w:ascii="宋体" w:hAnsi="宋体" w:eastAsia="宋体" w:cs="宋体"/>
          <w:b/>
          <w:bCs/>
          <w:color w:val="auto"/>
          <w:sz w:val="28"/>
          <w:highlight w:val="none"/>
        </w:rPr>
        <w:t>采 购 人：</w:t>
      </w:r>
      <w:r>
        <w:rPr>
          <w:rFonts w:hint="eastAsia" w:eastAsia="宋体" w:cs="宋体"/>
          <w:b/>
          <w:bCs/>
          <w:color w:val="auto"/>
          <w:sz w:val="28"/>
          <w:highlight w:val="none"/>
          <w:lang w:eastAsia="zh-CN"/>
        </w:rPr>
        <w:t>金华市建设技工学校</w:t>
      </w:r>
    </w:p>
    <w:p w14:paraId="682260F9">
      <w:pPr>
        <w:pStyle w:val="13"/>
        <w:widowControl w:val="0"/>
        <w:adjustRightInd w:val="0"/>
        <w:snapToGrid w:val="0"/>
        <w:spacing w:before="120" w:beforeLines="50" w:beforeAutospacing="0" w:after="120" w:afterLines="50" w:afterAutospacing="0"/>
        <w:ind w:left="-180" w:leftChars="-75" w:firstLine="2448" w:firstLineChars="871"/>
        <w:jc w:val="both"/>
        <w:rPr>
          <w:rFonts w:hint="eastAsia" w:ascii="宋体" w:hAnsi="宋体" w:eastAsia="宋体" w:cs="宋体"/>
          <w:b/>
          <w:bCs/>
          <w:color w:val="auto"/>
          <w:sz w:val="28"/>
          <w:highlight w:val="none"/>
          <w:lang w:eastAsia="zh-CN"/>
        </w:rPr>
      </w:pPr>
      <w:r>
        <w:rPr>
          <w:rFonts w:hint="eastAsia" w:ascii="宋体" w:hAnsi="宋体" w:eastAsia="宋体" w:cs="宋体"/>
          <w:b/>
          <w:bCs/>
          <w:color w:val="auto"/>
          <w:sz w:val="28"/>
          <w:highlight w:val="none"/>
        </w:rPr>
        <w:t>代理机构：</w:t>
      </w:r>
      <w:r>
        <w:rPr>
          <w:rFonts w:hint="eastAsia" w:ascii="宋体" w:hAnsi="宋体" w:eastAsia="宋体" w:cs="宋体"/>
          <w:b/>
          <w:bCs/>
          <w:color w:val="auto"/>
          <w:sz w:val="28"/>
          <w:highlight w:val="none"/>
          <w:lang w:eastAsia="zh-CN"/>
        </w:rPr>
        <w:t>浙江华杰工程咨询有限公司</w:t>
      </w:r>
    </w:p>
    <w:p w14:paraId="62FEAE36">
      <w:pPr>
        <w:pStyle w:val="13"/>
        <w:widowControl w:val="0"/>
        <w:adjustRightInd w:val="0"/>
        <w:snapToGrid w:val="0"/>
        <w:spacing w:before="120" w:beforeLines="50" w:beforeAutospacing="0" w:after="120" w:afterLines="50" w:afterAutospacing="0"/>
        <w:ind w:left="-180" w:leftChars="-75" w:firstLine="2448" w:firstLineChars="871"/>
        <w:jc w:val="both"/>
        <w:rPr>
          <w:rFonts w:hint="eastAsia" w:ascii="宋体" w:hAnsi="宋体" w:eastAsia="宋体" w:cs="宋体"/>
          <w:b/>
          <w:bCs/>
          <w:color w:val="auto"/>
          <w:sz w:val="28"/>
          <w:highlight w:val="none"/>
          <w:lang w:eastAsia="zh-CN"/>
        </w:rPr>
      </w:pPr>
      <w:r>
        <w:rPr>
          <w:rFonts w:hint="eastAsia" w:ascii="宋体" w:hAnsi="宋体" w:eastAsia="宋体" w:cs="宋体"/>
          <w:b/>
          <w:bCs/>
          <w:color w:val="auto"/>
          <w:sz w:val="28"/>
          <w:highlight w:val="none"/>
        </w:rPr>
        <w:t>监管部门：</w:t>
      </w:r>
      <w:r>
        <w:rPr>
          <w:rFonts w:hint="eastAsia" w:ascii="宋体" w:hAnsi="宋体" w:eastAsia="宋体" w:cs="宋体"/>
          <w:b/>
          <w:bCs/>
          <w:color w:val="auto"/>
          <w:sz w:val="28"/>
          <w:highlight w:val="none"/>
          <w:lang w:eastAsia="zh-CN"/>
        </w:rPr>
        <w:t>金华市财政局政府采购监管处</w:t>
      </w:r>
    </w:p>
    <w:p w14:paraId="31C5E61E">
      <w:pPr>
        <w:pStyle w:val="13"/>
        <w:widowControl w:val="0"/>
        <w:adjustRightInd w:val="0"/>
        <w:snapToGrid w:val="0"/>
        <w:spacing w:before="120" w:beforeLines="50" w:beforeAutospacing="0" w:after="120" w:afterLines="50" w:afterAutospacing="0"/>
        <w:ind w:left="-180" w:leftChars="-75" w:firstLine="2448" w:firstLineChars="871"/>
        <w:jc w:val="both"/>
        <w:rPr>
          <w:rFonts w:hint="default"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rPr>
        <w:t>编制日期：</w:t>
      </w:r>
      <w:r>
        <w:rPr>
          <w:rFonts w:hint="eastAsia" w:cs="宋体"/>
          <w:b/>
          <w:color w:val="auto"/>
          <w:sz w:val="28"/>
          <w:highlight w:val="none"/>
          <w:lang w:val="en-US" w:eastAsia="zh-CN"/>
        </w:rPr>
        <w:t>2025年6月</w:t>
      </w:r>
    </w:p>
    <w:p w14:paraId="453E4A3A">
      <w:pPr>
        <w:widowControl w:val="0"/>
        <w:adjustRightInd w:val="0"/>
        <w:snapToGrid w:val="0"/>
        <w:spacing w:line="360" w:lineRule="auto"/>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rPr>
        <w:br w:type="page"/>
      </w:r>
    </w:p>
    <w:p w14:paraId="348E7E4F">
      <w:pPr>
        <w:widowControl w:val="0"/>
        <w:adjustRightInd w:val="0"/>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招 标 文 件 目 录</w:t>
      </w:r>
    </w:p>
    <w:p w14:paraId="569601D4">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TOC \o "1-3" \h \z \u </w:instrText>
      </w:r>
      <w:r>
        <w:rPr>
          <w:rFonts w:hint="eastAsia" w:ascii="宋体" w:hAnsi="宋体" w:eastAsia="宋体" w:cs="宋体"/>
          <w:color w:val="auto"/>
          <w:sz w:val="36"/>
          <w:szCs w:val="36"/>
          <w:highlight w:val="none"/>
        </w:rPr>
        <w:fldChar w:fldCharType="separate"/>
      </w: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"_Toc93668159"</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03907934">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"_Toc93668160"</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第二章  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3F7DBCE2">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"_Toc93668161"</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第三章  项目技术规范和要求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5B60D315">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"_Toc93668162"</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第四章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6D1C7054">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"_Toc93668163"</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第五章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07657FA3">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"_Toc93668164"</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第六章  合同</w:t>
      </w:r>
      <w:bookmarkStart w:id="0" w:name="_Hlt93671328"/>
      <w:bookmarkStart w:id="1" w:name="_Hlt93671327"/>
      <w:r>
        <w:rPr>
          <w:rStyle w:val="25"/>
          <w:rFonts w:hint="eastAsia" w:ascii="宋体" w:hAnsi="宋体" w:eastAsia="宋体" w:cs="宋体"/>
          <w:color w:val="auto"/>
          <w:sz w:val="24"/>
          <w:szCs w:val="24"/>
          <w:highlight w:val="none"/>
        </w:rPr>
        <w:t>范</w:t>
      </w:r>
      <w:bookmarkEnd w:id="0"/>
      <w:bookmarkEnd w:id="1"/>
      <w:r>
        <w:rPr>
          <w:rStyle w:val="25"/>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1F6EC28A">
      <w:pPr>
        <w:pStyle w:val="17"/>
        <w:tabs>
          <w:tab w:val="right" w:leader="dot" w:pos="8990"/>
          <w:tab w:val="clear" w:pos="9452"/>
        </w:tabs>
        <w:spacing w:line="480" w:lineRule="auto"/>
        <w:rPr>
          <w:rFonts w:hint="eastAsia" w:ascii="宋体" w:hAnsi="宋体" w:eastAsia="宋体" w:cs="宋体"/>
          <w:b w:val="0"/>
          <w:bCs w:val="0"/>
          <w:caps w:val="0"/>
          <w:color w:val="auto"/>
          <w:kern w:val="2"/>
          <w:sz w:val="28"/>
          <w:szCs w:val="32"/>
          <w:highlight w:val="none"/>
        </w:rPr>
      </w:pPr>
      <w:r>
        <w:rPr>
          <w:rStyle w:val="25"/>
          <w:rFonts w:hint="eastAsia" w:ascii="宋体" w:hAnsi="宋体" w:eastAsia="宋体" w:cs="宋体"/>
          <w:color w:val="auto"/>
          <w:sz w:val="24"/>
          <w:szCs w:val="24"/>
          <w:highlight w:val="none"/>
        </w:rPr>
        <w:fldChar w:fldCharType="begin"/>
      </w:r>
      <w:r>
        <w:rPr>
          <w:rStyle w:val="2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"_Toc93668165"</w:instrText>
      </w:r>
      <w:r>
        <w:rPr>
          <w:rStyle w:val="25"/>
          <w:rFonts w:hint="eastAsia" w:ascii="宋体" w:hAnsi="宋体" w:eastAsia="宋体" w:cs="宋体"/>
          <w:color w:val="auto"/>
          <w:sz w:val="24"/>
          <w:szCs w:val="24"/>
          <w:highlight w:val="none"/>
        </w:rPr>
        <w:instrText xml:space="preserve"> </w:instrText>
      </w:r>
      <w:r>
        <w:rPr>
          <w:rStyle w:val="25"/>
          <w:rFonts w:hint="eastAsia" w:ascii="宋体" w:hAnsi="宋体" w:eastAsia="宋体" w:cs="宋体"/>
          <w:color w:val="auto"/>
          <w:sz w:val="24"/>
          <w:szCs w:val="24"/>
          <w:highlight w:val="none"/>
        </w:rPr>
        <w:fldChar w:fldCharType="separate"/>
      </w:r>
      <w:r>
        <w:rPr>
          <w:rStyle w:val="25"/>
          <w:rFonts w:hint="eastAsia" w:ascii="宋体" w:hAnsi="宋体" w:eastAsia="宋体" w:cs="宋体"/>
          <w:color w:val="auto"/>
          <w:sz w:val="24"/>
          <w:szCs w:val="24"/>
          <w:highlight w:val="none"/>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_Toc93668165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Style w:val="25"/>
          <w:rFonts w:hint="eastAsia" w:ascii="宋体" w:hAnsi="宋体" w:eastAsia="宋体" w:cs="宋体"/>
          <w:color w:val="auto"/>
          <w:sz w:val="24"/>
          <w:szCs w:val="24"/>
          <w:highlight w:val="none"/>
        </w:rPr>
        <w:fldChar w:fldCharType="end"/>
      </w:r>
    </w:p>
    <w:p w14:paraId="5153BA94">
      <w:pPr>
        <w:pStyle w:val="13"/>
        <w:widowControl w:val="0"/>
        <w:adjustRightInd w:val="0"/>
        <w:snapToGrid w:val="0"/>
        <w:ind w:left="902" w:leftChars="376" w:firstLine="1440" w:firstLineChars="400"/>
        <w:jc w:val="both"/>
        <w:rPr>
          <w:rFonts w:hint="eastAsia" w:ascii="宋体" w:hAnsi="宋体" w:eastAsia="宋体" w:cs="宋体"/>
          <w:color w:val="auto"/>
          <w:sz w:val="32"/>
          <w:highlight w:val="none"/>
        </w:rPr>
      </w:pPr>
      <w:r>
        <w:rPr>
          <w:rFonts w:hint="eastAsia" w:ascii="宋体" w:hAnsi="宋体" w:eastAsia="宋体" w:cs="宋体"/>
          <w:color w:val="auto"/>
          <w:sz w:val="36"/>
          <w:szCs w:val="36"/>
          <w:highlight w:val="none"/>
        </w:rPr>
        <w:fldChar w:fldCharType="end"/>
      </w:r>
    </w:p>
    <w:p w14:paraId="001D2097">
      <w:pPr>
        <w:pStyle w:val="13"/>
        <w:widowControl w:val="0"/>
        <w:adjustRightInd w:val="0"/>
        <w:snapToGrid w:val="0"/>
        <w:spacing w:line="480" w:lineRule="auto"/>
        <w:ind w:left="902"/>
        <w:jc w:val="both"/>
        <w:rPr>
          <w:rFonts w:hint="eastAsia" w:ascii="宋体" w:hAnsi="宋体" w:eastAsia="宋体" w:cs="宋体"/>
          <w:color w:val="auto"/>
          <w:sz w:val="32"/>
          <w:highlight w:val="none"/>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14:paraId="472D27CE">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2" w:name="_Toc73432709"/>
    </w:p>
    <w:p w14:paraId="206458FB">
      <w:pPr>
        <w:widowControl w:val="0"/>
        <w:spacing w:line="360" w:lineRule="auto"/>
        <w:ind w:firstLine="562" w:firstLineChars="20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2"/>
    </w:p>
    <w:p w14:paraId="38479D66">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3" w:name="_Toc73432710"/>
      <w:r>
        <w:rPr>
          <w:rFonts w:hint="eastAsia" w:ascii="宋体" w:hAnsi="宋体" w:eastAsia="宋体" w:cs="宋体"/>
          <w:b/>
          <w:bCs/>
          <w:color w:val="auto"/>
          <w:kern w:val="2"/>
          <w:sz w:val="28"/>
          <w:szCs w:val="28"/>
          <w:highlight w:val="none"/>
        </w:rPr>
        <w:t>举报电话：</w:t>
      </w:r>
      <w:bookmarkEnd w:id="3"/>
    </w:p>
    <w:p w14:paraId="0A212E7F">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4" w:name="_Toc73432711"/>
      <w:r>
        <w:rPr>
          <w:rFonts w:hint="eastAsia" w:ascii="宋体" w:hAnsi="宋体" w:eastAsia="宋体" w:cs="宋体"/>
          <w:b/>
          <w:bCs/>
          <w:color w:val="auto"/>
          <w:kern w:val="2"/>
          <w:sz w:val="28"/>
          <w:szCs w:val="28"/>
          <w:highlight w:val="none"/>
        </w:rPr>
        <w:t>市扫黑办     0579-82495227</w:t>
      </w:r>
      <w:bookmarkEnd w:id="4"/>
    </w:p>
    <w:p w14:paraId="45C56576">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5" w:name="_Toc73432712"/>
      <w:r>
        <w:rPr>
          <w:rFonts w:hint="eastAsia" w:ascii="宋体" w:hAnsi="宋体" w:eastAsia="宋体" w:cs="宋体"/>
          <w:b/>
          <w:bCs/>
          <w:color w:val="auto"/>
          <w:kern w:val="2"/>
          <w:sz w:val="28"/>
          <w:szCs w:val="28"/>
          <w:highlight w:val="none"/>
        </w:rPr>
        <w:t>市公安局     110、0579-82512110</w:t>
      </w:r>
      <w:bookmarkEnd w:id="5"/>
    </w:p>
    <w:p w14:paraId="2342E1F6">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6" w:name="_Toc73432713"/>
      <w:r>
        <w:rPr>
          <w:rFonts w:hint="eastAsia" w:ascii="宋体" w:hAnsi="宋体" w:eastAsia="宋体" w:cs="宋体"/>
          <w:b/>
          <w:bCs/>
          <w:color w:val="auto"/>
          <w:kern w:val="2"/>
          <w:sz w:val="28"/>
          <w:szCs w:val="28"/>
          <w:highlight w:val="none"/>
        </w:rPr>
        <w:t>市检察院     0579-82537082</w:t>
      </w:r>
      <w:bookmarkEnd w:id="6"/>
    </w:p>
    <w:p w14:paraId="08478E8E">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7" w:name="_Toc73432714"/>
      <w:r>
        <w:rPr>
          <w:rFonts w:hint="eastAsia" w:ascii="宋体" w:hAnsi="宋体" w:eastAsia="宋体" w:cs="宋体"/>
          <w:b/>
          <w:bCs/>
          <w:color w:val="auto"/>
          <w:kern w:val="2"/>
          <w:sz w:val="28"/>
          <w:szCs w:val="28"/>
          <w:highlight w:val="none"/>
        </w:rPr>
        <w:t>市 法 院     0579-82688725</w:t>
      </w:r>
      <w:bookmarkEnd w:id="7"/>
    </w:p>
    <w:p w14:paraId="475D04AD">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8" w:name="_Toc73432715"/>
      <w:r>
        <w:rPr>
          <w:rFonts w:hint="eastAsia" w:ascii="宋体" w:hAnsi="宋体" w:eastAsia="宋体" w:cs="宋体"/>
          <w:b/>
          <w:bCs/>
          <w:color w:val="auto"/>
          <w:kern w:val="2"/>
          <w:sz w:val="28"/>
          <w:szCs w:val="28"/>
          <w:highlight w:val="none"/>
        </w:rPr>
        <w:t>市公共资源办  0579-82469285</w:t>
      </w:r>
      <w:bookmarkEnd w:id="8"/>
    </w:p>
    <w:p w14:paraId="679EA23D">
      <w:pPr>
        <w:widowControl w:val="0"/>
        <w:spacing w:line="360" w:lineRule="auto"/>
        <w:ind w:firstLine="562" w:firstLineChars="200"/>
        <w:jc w:val="both"/>
        <w:rPr>
          <w:rFonts w:hint="eastAsia" w:ascii="宋体" w:hAnsi="宋体" w:eastAsia="宋体" w:cs="宋体"/>
          <w:b/>
          <w:bCs/>
          <w:color w:val="auto"/>
          <w:kern w:val="2"/>
          <w:sz w:val="28"/>
          <w:szCs w:val="28"/>
          <w:highlight w:val="none"/>
        </w:rPr>
      </w:pPr>
      <w:bookmarkStart w:id="9" w:name="_Toc73432716"/>
      <w:r>
        <w:rPr>
          <w:rFonts w:hint="eastAsia" w:ascii="宋体" w:hAnsi="宋体" w:eastAsia="宋体" w:cs="宋体"/>
          <w:b/>
          <w:bCs/>
          <w:color w:val="auto"/>
          <w:kern w:val="2"/>
          <w:sz w:val="28"/>
          <w:szCs w:val="28"/>
          <w:highlight w:val="none"/>
        </w:rPr>
        <w:t>市公共资源交易中心  0579-83187211</w:t>
      </w:r>
      <w:bookmarkEnd w:id="9"/>
    </w:p>
    <w:p w14:paraId="1386793F">
      <w:pPr>
        <w:widowControl w:val="0"/>
        <w:spacing w:line="360" w:lineRule="auto"/>
        <w:ind w:firstLine="562" w:firstLineChars="200"/>
        <w:jc w:val="both"/>
        <w:rPr>
          <w:rFonts w:hint="eastAsia" w:ascii="宋体" w:hAnsi="宋体" w:eastAsia="宋体" w:cs="宋体"/>
          <w:b/>
          <w:bCs/>
          <w:color w:val="auto"/>
          <w:kern w:val="2"/>
          <w:sz w:val="28"/>
          <w:szCs w:val="28"/>
          <w:highlight w:val="none"/>
        </w:rPr>
        <w:sectPr>
          <w:pgSz w:w="11906" w:h="16838"/>
          <w:pgMar w:top="1258" w:right="1286" w:bottom="1361" w:left="1620" w:header="709" w:footer="971" w:gutter="0"/>
          <w:cols w:space="720" w:num="1"/>
          <w:docGrid w:linePitch="360" w:charSpace="0"/>
        </w:sectPr>
      </w:pPr>
    </w:p>
    <w:p w14:paraId="228DB5C5">
      <w:pPr>
        <w:pStyle w:val="2"/>
        <w:spacing w:before="120" w:after="240" w:line="240" w:lineRule="auto"/>
        <w:jc w:val="center"/>
        <w:rPr>
          <w:rFonts w:hint="eastAsia" w:ascii="宋体" w:hAnsi="宋体" w:eastAsia="宋体" w:cs="宋体"/>
          <w:color w:val="auto"/>
          <w:highlight w:val="none"/>
        </w:rPr>
      </w:pPr>
      <w:bookmarkStart w:id="10" w:name="_Toc93668159"/>
      <w:bookmarkStart w:id="11" w:name="_Toc39239703"/>
      <w:r>
        <w:rPr>
          <w:rFonts w:hint="eastAsia" w:ascii="宋体" w:hAnsi="宋体" w:eastAsia="宋体" w:cs="宋体"/>
          <w:color w:val="auto"/>
          <w:highlight w:val="none"/>
        </w:rPr>
        <w:t>第一章  招标公告</w:t>
      </w:r>
      <w:bookmarkEnd w:id="10"/>
      <w:bookmarkEnd w:id="11"/>
    </w:p>
    <w:tbl>
      <w:tblPr>
        <w:tblStyle w:val="21"/>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3F60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65" w:type="dxa"/>
            <w:tcBorders>
              <w:top w:val="single" w:color="auto" w:sz="8" w:space="0"/>
              <w:left w:val="single" w:color="auto" w:sz="8" w:space="0"/>
              <w:bottom w:val="single" w:color="auto" w:sz="8" w:space="0"/>
              <w:right w:val="single" w:color="auto" w:sz="8" w:space="0"/>
            </w:tcBorders>
            <w:noWrap w:val="0"/>
            <w:vAlign w:val="top"/>
          </w:tcPr>
          <w:p w14:paraId="507BEAE1">
            <w:pPr>
              <w:spacing w:line="480" w:lineRule="auto"/>
              <w:jc w:val="center"/>
              <w:rPr>
                <w:rFonts w:hint="eastAsia" w:ascii="宋体" w:hAnsi="宋体" w:eastAsia="宋体" w:cs="宋体"/>
                <w:color w:val="auto"/>
                <w:sz w:val="24"/>
                <w:highlight w:val="none"/>
                <w:u w:val="single"/>
              </w:rPr>
            </w:pPr>
            <w:bookmarkStart w:id="12" w:name="_Toc28359008"/>
            <w:bookmarkStart w:id="13" w:name="_Toc28359085"/>
            <w:bookmarkStart w:id="14" w:name="_Toc35393627"/>
            <w:bookmarkStart w:id="15" w:name="_Toc35393796"/>
            <w:r>
              <w:rPr>
                <w:rFonts w:hint="eastAsia" w:ascii="宋体" w:hAnsi="宋体" w:eastAsia="宋体" w:cs="宋体"/>
                <w:b/>
                <w:bCs/>
                <w:color w:val="auto"/>
                <w:sz w:val="32"/>
                <w:szCs w:val="32"/>
                <w:highlight w:val="none"/>
              </w:rPr>
              <w:t>项 目 概 况</w:t>
            </w:r>
          </w:p>
        </w:tc>
      </w:tr>
      <w:tr w14:paraId="0E7E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465" w:type="dxa"/>
            <w:tcBorders>
              <w:top w:val="single" w:color="auto" w:sz="8" w:space="0"/>
              <w:left w:val="single" w:color="auto" w:sz="8" w:space="0"/>
              <w:bottom w:val="single" w:color="auto" w:sz="8" w:space="0"/>
              <w:right w:val="single" w:color="auto" w:sz="8" w:space="0"/>
            </w:tcBorders>
            <w:noWrap w:val="0"/>
            <w:vAlign w:val="top"/>
          </w:tcPr>
          <w:p w14:paraId="740221B2">
            <w:pPr>
              <w:wordWrap w:val="0"/>
              <w:spacing w:before="120" w:beforeLines="50" w:after="120" w:afterLines="50"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金华市建设技工学校交互式一体化黑板项目</w:t>
            </w:r>
            <w:r>
              <w:rPr>
                <w:rFonts w:hint="eastAsia" w:ascii="宋体" w:hAnsi="宋体" w:eastAsia="宋体" w:cs="宋体"/>
                <w:color w:val="auto"/>
                <w:szCs w:val="21"/>
                <w:highlight w:val="none"/>
              </w:rPr>
              <w:t>的潜在供应商应在浙江政府采购网（http：//zfcg.czt.zj.gov.cn）获取（下载）招标文件，并于</w:t>
            </w:r>
            <w:r>
              <w:rPr>
                <w:rFonts w:hint="eastAsia" w:ascii="宋体" w:hAnsi="宋体" w:eastAsia="宋体" w:cs="宋体"/>
                <w:b w:val="0"/>
                <w:bCs w:val="0"/>
                <w:color w:val="auto"/>
                <w:szCs w:val="21"/>
                <w:highlight w:val="none"/>
              </w:rPr>
              <w:t xml:space="preserve"> </w:t>
            </w:r>
            <w:r>
              <w:rPr>
                <w:rFonts w:hint="eastAsia" w:ascii="宋体" w:hAnsi="宋体" w:cs="宋体"/>
                <w:b w:val="0"/>
                <w:bCs w:val="0"/>
                <w:color w:val="auto"/>
                <w:szCs w:val="21"/>
                <w:highlight w:val="none"/>
                <w:lang w:eastAsia="zh-CN"/>
              </w:rPr>
              <w:t>2025年</w:t>
            </w: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月</w:t>
            </w:r>
            <w:r>
              <w:rPr>
                <w:rFonts w:hint="eastAsia" w:ascii="宋体" w:hAnsi="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rPr>
              <w:t>日</w:t>
            </w:r>
            <w:r>
              <w:rPr>
                <w:rFonts w:hint="eastAsia" w:ascii="宋体" w:hAnsi="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rPr>
              <w:t>时</w:t>
            </w:r>
            <w:r>
              <w:rPr>
                <w:rFonts w:hint="eastAsia" w:ascii="宋体" w:hAnsi="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rPr>
              <w:t>分前</w:t>
            </w:r>
            <w:r>
              <w:rPr>
                <w:rFonts w:hint="eastAsia" w:ascii="宋体" w:hAnsi="宋体" w:eastAsia="宋体" w:cs="宋体"/>
                <w:color w:val="auto"/>
                <w:szCs w:val="21"/>
                <w:highlight w:val="none"/>
              </w:rPr>
              <w:t>递交（上传）投标文件。</w:t>
            </w:r>
          </w:p>
        </w:tc>
      </w:tr>
    </w:tbl>
    <w:p w14:paraId="11BD6DD9">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根据《中华人民共和国政府采购法》、《政府采购货物和服务招标投标管理办法》等有关规定，</w:t>
      </w:r>
      <w:r>
        <w:rPr>
          <w:rFonts w:hint="eastAsia" w:ascii="宋体" w:hAnsi="宋体" w:eastAsia="宋体" w:cs="宋体"/>
          <w:color w:val="auto"/>
          <w:szCs w:val="21"/>
          <w:highlight w:val="none"/>
          <w:lang w:eastAsia="zh-CN"/>
        </w:rPr>
        <w:t>经采购计划书</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"https://pay.zcygov.cn/purchaseplan_front/" \l "/plan/list/view?id=1000000000015635924&amp;_app_=zcy.procurement" \t "https://www.zcygov.cn/project-center/_procurement_/purchasePlans/_blank"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[2025]808号</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浙江华杰工程咨询有限公司受</w:t>
      </w:r>
      <w:r>
        <w:rPr>
          <w:rFonts w:hint="eastAsia" w:ascii="宋体" w:hAnsi="宋体" w:eastAsia="宋体" w:cs="宋体"/>
          <w:color w:val="auto"/>
          <w:szCs w:val="21"/>
          <w:highlight w:val="none"/>
          <w:lang w:eastAsia="zh-CN"/>
        </w:rPr>
        <w:t>金华市建设技工学校</w:t>
      </w:r>
      <w:r>
        <w:rPr>
          <w:rFonts w:hint="eastAsia" w:ascii="宋体" w:hAnsi="宋体" w:eastAsia="宋体" w:cs="宋体"/>
          <w:color w:val="auto"/>
          <w:szCs w:val="21"/>
          <w:highlight w:val="none"/>
        </w:rPr>
        <w:t>委托，现就</w:t>
      </w:r>
      <w:r>
        <w:rPr>
          <w:rFonts w:hint="eastAsia" w:ascii="宋体" w:hAnsi="宋体" w:eastAsia="宋体" w:cs="宋体"/>
          <w:color w:val="auto"/>
          <w:szCs w:val="21"/>
          <w:highlight w:val="none"/>
          <w:lang w:eastAsia="zh-CN"/>
        </w:rPr>
        <w:t>金华市建设技工学校交互式一体化黑板项目</w:t>
      </w:r>
      <w:r>
        <w:rPr>
          <w:rFonts w:hint="eastAsia" w:ascii="宋体" w:hAnsi="宋体" w:eastAsia="宋体" w:cs="宋体"/>
          <w:color w:val="auto"/>
          <w:szCs w:val="21"/>
          <w:highlight w:val="none"/>
        </w:rPr>
        <w:t>进行公开招标采购，欢迎国内满足投标人资格要求的供应商参加投标。</w:t>
      </w:r>
    </w:p>
    <w:p w14:paraId="0F43141B">
      <w:pPr>
        <w:numPr>
          <w:ilvl w:val="0"/>
          <w:numId w:val="2"/>
        </w:num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项目基本情况：</w:t>
      </w:r>
    </w:p>
    <w:p w14:paraId="18E0BF3A">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HJCG-2025-075</w:t>
      </w:r>
    </w:p>
    <w:p w14:paraId="09F7BB62">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金华市建设技工学校交互式一体化黑板项目</w:t>
      </w:r>
    </w:p>
    <w:p w14:paraId="7FAF695C">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382500</w:t>
      </w:r>
    </w:p>
    <w:p w14:paraId="3F7326C0">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最高限价（元）：</w:t>
      </w:r>
      <w:r>
        <w:rPr>
          <w:rFonts w:hint="eastAsia" w:ascii="宋体" w:hAnsi="宋体" w:eastAsia="宋体" w:cs="宋体"/>
          <w:color w:val="auto"/>
          <w:szCs w:val="21"/>
          <w:highlight w:val="none"/>
          <w:lang w:eastAsia="zh-CN"/>
        </w:rPr>
        <w:t>382500</w:t>
      </w:r>
    </w:p>
    <w:p w14:paraId="575D61D7">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0D45B51E">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金华市建设技工学校交互式一体化黑板项目</w:t>
      </w:r>
    </w:p>
    <w:p w14:paraId="00C365CF">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数量:不限</w:t>
      </w:r>
    </w:p>
    <w:p w14:paraId="4F060AEE">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382500</w:t>
      </w:r>
    </w:p>
    <w:p w14:paraId="52224081">
      <w:pPr>
        <w:spacing w:line="360" w:lineRule="auto"/>
        <w:ind w:firstLine="48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Cs w:val="21"/>
          <w:highlight w:val="none"/>
          <w:lang w:val="en-US" w:eastAsia="zh-CN"/>
        </w:rPr>
        <w:t>选定一家单位，承担</w:t>
      </w:r>
      <w:r>
        <w:rPr>
          <w:rFonts w:hint="eastAsia" w:ascii="宋体" w:hAnsi="宋体" w:eastAsia="宋体" w:cs="宋体"/>
          <w:color w:val="auto"/>
          <w:szCs w:val="21"/>
          <w:highlight w:val="none"/>
          <w:lang w:eastAsia="zh-CN"/>
        </w:rPr>
        <w:t>金华市建设技工学校交互式一体化黑板项目</w:t>
      </w:r>
      <w:r>
        <w:rPr>
          <w:rFonts w:hint="eastAsia" w:ascii="宋体" w:hAnsi="宋体" w:eastAsia="宋体" w:cs="宋体"/>
          <w:color w:val="auto"/>
          <w:szCs w:val="21"/>
          <w:highlight w:val="none"/>
          <w:lang w:val="en-US" w:eastAsia="zh-CN"/>
        </w:rPr>
        <w:t>等服务。具体内容详见第四章招标内容及需求。</w:t>
      </w:r>
    </w:p>
    <w:p w14:paraId="5E0A0E4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4B5058D">
      <w:pPr>
        <w:spacing w:line="360" w:lineRule="auto"/>
        <w:ind w:firstLine="48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合同履约期限：：</w:t>
      </w:r>
      <w:r>
        <w:rPr>
          <w:rFonts w:hint="eastAsia" w:ascii="宋体" w:hAnsi="宋体" w:eastAsia="宋体" w:cs="宋体"/>
          <w:color w:val="auto"/>
          <w:szCs w:val="21"/>
          <w:highlight w:val="none"/>
          <w:lang w:eastAsia="zh-CN"/>
        </w:rPr>
        <w:t>合同签订后60天内完成供货安装并调试完成。</w:t>
      </w:r>
    </w:p>
    <w:p w14:paraId="60D76A8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rPr>
        <w:t>）接受联合体投标。</w:t>
      </w:r>
    </w:p>
    <w:p w14:paraId="6A5EC656">
      <w:pPr>
        <w:wordWrap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3DEB4C76">
      <w:pPr>
        <w:wordWrap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b/>
          <w:color w:val="auto"/>
          <w:szCs w:val="21"/>
          <w:highlight w:val="none"/>
        </w:rPr>
        <w:t>基本资格要求：</w:t>
      </w:r>
    </w:p>
    <w:p w14:paraId="542CAD0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614035A">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2.落实政府采购政策需满足的资格要求：本项目专门面向中小型及以下企业采购，服务全部由符合政策要求的中小企业承接，提供中小企业声明函。</w:t>
      </w:r>
    </w:p>
    <w:p w14:paraId="634EC6D1">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4D564A10">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9B55D6">
      <w:pPr>
        <w:spacing w:line="360" w:lineRule="auto"/>
        <w:ind w:firstLine="480" w:firstLineChars="200"/>
        <w:jc w:val="left"/>
        <w:rPr>
          <w:rFonts w:hint="default" w:ascii="宋体" w:hAnsi="宋体" w:eastAsia="宋体" w:cs="宋体"/>
          <w:b w:val="0"/>
          <w:bCs w:val="0"/>
          <w:color w:val="auto"/>
          <w:sz w:val="24"/>
          <w:szCs w:val="21"/>
          <w:highlight w:val="none"/>
          <w:lang w:val="en-US" w:eastAsia="zh-CN" w:bidi="ar-SA"/>
        </w:rPr>
      </w:pPr>
      <w:r>
        <w:rPr>
          <w:rFonts w:hint="eastAsia" w:ascii="宋体" w:hAnsi="宋体" w:eastAsia="宋体" w:cs="宋体"/>
          <w:b w:val="0"/>
          <w:bCs w:val="0"/>
          <w:color w:val="auto"/>
          <w:sz w:val="24"/>
          <w:szCs w:val="21"/>
          <w:highlight w:val="none"/>
          <w:lang w:val="en-US" w:eastAsia="zh-CN" w:bidi="ar-SA"/>
        </w:rPr>
        <w:t>具体内容详见文件资格审查要求</w:t>
      </w:r>
    </w:p>
    <w:p w14:paraId="07BF917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274B2575">
      <w:pPr>
        <w:wordWrap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（一）获取时间：</w:t>
      </w:r>
      <w:r>
        <w:rPr>
          <w:rFonts w:hint="eastAsia" w:ascii="宋体" w:hAnsi="宋体" w:eastAsia="宋体" w:cs="宋体"/>
          <w:color w:val="auto"/>
          <w:szCs w:val="21"/>
          <w:highlight w:val="none"/>
        </w:rPr>
        <w:t>自本公告发布之日起至提交投标文件截止时间前。</w:t>
      </w:r>
    </w:p>
    <w:p w14:paraId="4E2C139E">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（二）获取地点及方式：</w:t>
      </w:r>
    </w:p>
    <w:p w14:paraId="6FADF99A">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时间：/至</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日，每天上午00:00至12:00，下午12:00至23:59（北京时间，线上获取法定节假日均可，线下获取文件法定节假日除外）</w:t>
      </w:r>
    </w:p>
    <w:p w14:paraId="5A76CE39">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地点（网址）：政采云平台线上获取</w:t>
      </w:r>
    </w:p>
    <w:p w14:paraId="0771DAAE">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方式：供应商登录政采云平台https://www.zcygov.cn/在线申请获取采购文件（进入“项目采购”应用，在获取采购文件菜单中选择项目，申请获取采购文件）</w:t>
      </w:r>
    </w:p>
    <w:p w14:paraId="39D1D80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0D75043B">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四、提交投标文件截止时间与地点：</w:t>
      </w:r>
    </w:p>
    <w:p w14:paraId="2DD2C9F0">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（北京时间）</w:t>
      </w:r>
    </w:p>
    <w:p w14:paraId="41789D37">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投标地点（网址）：请登录政采云投标客户端投标</w:t>
      </w:r>
    </w:p>
    <w:p w14:paraId="0360481B">
      <w:pPr>
        <w:spacing w:line="360" w:lineRule="auto"/>
        <w:ind w:firstLine="48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30</w:t>
      </w:r>
    </w:p>
    <w:p w14:paraId="28F05F3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开标地点（网址）：登入“政采云投标客户端”开标大厅（本项目采用在线解密开标方式，供应商自行关注政采云平台，在政采云平台上开启投标文件）。 </w:t>
      </w:r>
    </w:p>
    <w:p w14:paraId="379292DC">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五、采购意向公开链接：</w:t>
      </w:r>
    </w:p>
    <w:p w14:paraId="132BD90C">
      <w:pPr>
        <w:wordWrap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"https://zfcg.czt.zj.gov.cn/site/detail?categoryCode=ZcyAnnouncement&amp;parentId=600007&amp;articleId=5Iu3zjp2rsXfrJQ+/1M7BQ=="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szCs w:val="21"/>
          <w:highlight w:val="none"/>
        </w:rPr>
        <w:t>https://zfcg.czt.zj.gov.cn/site/detail?categoryCode=ZcyAnnouncement&amp;parentId=600007&amp;articleId=5Iu3zjp2rsXfrJQ+/1M7BQ==</w:t>
      </w:r>
      <w:r>
        <w:rPr>
          <w:rFonts w:hint="eastAsia" w:ascii="宋体" w:hAnsi="宋体" w:eastAsia="宋体" w:cs="宋体"/>
          <w:color w:val="auto"/>
          <w:szCs w:val="21"/>
          <w:highlight w:val="none"/>
        </w:rPr>
        <w:fldChar w:fldCharType="end"/>
      </w:r>
    </w:p>
    <w:p w14:paraId="3552BA7E">
      <w:pPr>
        <w:wordWrap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六、公告期限：</w:t>
      </w:r>
      <w:r>
        <w:rPr>
          <w:rFonts w:hint="eastAsia" w:ascii="宋体" w:hAnsi="宋体" w:eastAsia="宋体" w:cs="宋体"/>
          <w:color w:val="auto"/>
          <w:szCs w:val="21"/>
          <w:highlight w:val="none"/>
        </w:rPr>
        <w:t>自本公告发布之日起 5 个工作日。</w:t>
      </w:r>
    </w:p>
    <w:p w14:paraId="4B4E596D">
      <w:pPr>
        <w:wordWrap w:val="0"/>
        <w:spacing w:line="360" w:lineRule="auto"/>
        <w:rPr>
          <w:rFonts w:hint="eastAsia" w:ascii="宋体" w:hAnsi="宋体" w:eastAsia="宋体" w:cs="宋体"/>
          <w:b/>
          <w:bCs/>
          <w:color w:val="auto"/>
          <w:szCs w:val="21"/>
          <w:highlight w:val="none"/>
        </w:rPr>
      </w:pPr>
      <w:bookmarkStart w:id="16" w:name="_Toc35393795"/>
      <w:bookmarkStart w:id="17" w:name="_Toc35393626"/>
      <w:r>
        <w:rPr>
          <w:rFonts w:hint="eastAsia" w:ascii="宋体" w:hAnsi="宋体" w:eastAsia="宋体" w:cs="宋体"/>
          <w:b/>
          <w:bCs/>
          <w:color w:val="auto"/>
          <w:szCs w:val="21"/>
          <w:highlight w:val="none"/>
        </w:rPr>
        <w:t>七、其他补充事宜</w:t>
      </w:r>
      <w:bookmarkEnd w:id="16"/>
      <w:bookmarkEnd w:id="17"/>
      <w:r>
        <w:rPr>
          <w:rFonts w:hint="eastAsia" w:ascii="宋体" w:hAnsi="宋体" w:eastAsia="宋体" w:cs="宋体"/>
          <w:b/>
          <w:bCs/>
          <w:color w:val="auto"/>
          <w:szCs w:val="21"/>
          <w:highlight w:val="none"/>
        </w:rPr>
        <w:t>：</w:t>
      </w:r>
    </w:p>
    <w:p w14:paraId="4D9C7B2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203DDF8">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241423">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C6510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未按招标公告规定获取招标文件的潜在投标人不得对招标文件提出质疑，其投标文件将被拒绝；通过本公告下方“游客，浏览采购文件”下载的招标文件仅供浏览，不视作依法获取招标文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 </w:t>
      </w:r>
    </w:p>
    <w:p w14:paraId="77B54711">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1A1A7F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（六）特别说明：根据《浙江省财政厅关于进一步加大政府采购支持中小企业力度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C27EAA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（七）在线投标响应（电子投标）说明：</w:t>
      </w:r>
    </w:p>
    <w:p w14:paraId="56F44F37">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1、本项目采用政府采购电子化交易；</w:t>
      </w:r>
    </w:p>
    <w:p w14:paraId="01A29563">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2、投标人应在投标前完成 CA 数字证书办理。（办理流程详见：http://zfcg.czt.zj.gov.cn/bidClientTemplate/2019-05-27/12945.html）； </w:t>
      </w:r>
    </w:p>
    <w:p w14:paraId="5632A5F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3、投标人应安装“政采云投标客户端”，电子投标工具请投标人自行前往浙江政府采购网下载并安装（下载网址：http://zfcg.czt.zj.gov.cn/bidClientTemplate/2019-09-24/12975.html）； </w:t>
      </w:r>
    </w:p>
    <w:p w14:paraId="1A62EF8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4、电子交易具体流程详见操作指南：登录政府采购云平台（https://www.zcygov.cn/），从首页服务中心-帮助文档-项目采购-电子招投标，查看文档和视频； </w:t>
      </w:r>
    </w:p>
    <w:p w14:paraId="3E9AE459">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5、如有疑问，可致电政府采购云平台技术支持热线咨询，联系方式：400-881-7190；</w:t>
      </w:r>
    </w:p>
    <w:p w14:paraId="2A18296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6、开标时间后30分钟内，投标人须登录政府采购云平台，用“项目采购-开标评标”功能解密投标文件（线上）。 </w:t>
      </w:r>
    </w:p>
    <w:p w14:paraId="2AF7C278">
      <w:pPr>
        <w:widowControl w:val="0"/>
        <w:spacing w:line="360" w:lineRule="auto"/>
        <w:ind w:firstLine="48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7、中标人应在合同签订前完成政府采购云平台（https://www.zcygov.cn/）全部注册步骤并成为正式注册入库供应商，否则将导致合同款无法正常支付，责任由中标人承担。请投标人尽早完成注册。供应商注册页面：</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"https://middle.zcygov.cn/settle-front/#/registry。"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szCs w:val="21"/>
          <w:highlight w:val="none"/>
        </w:rPr>
        <w:t>https://middle.zcygov.cn/settle-front/#/registry。</w:t>
      </w:r>
      <w:r>
        <w:rPr>
          <w:rFonts w:hint="eastAsia" w:ascii="宋体" w:hAnsi="宋体" w:eastAsia="宋体" w:cs="宋体"/>
          <w:color w:val="auto"/>
          <w:szCs w:val="21"/>
          <w:highlight w:val="none"/>
        </w:rPr>
        <w:fldChar w:fldCharType="end"/>
      </w:r>
    </w:p>
    <w:p w14:paraId="69106247">
      <w:pPr>
        <w:widowControl w:val="0"/>
        <w:spacing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、对本次招标提出询问，请按以下方式联系。</w:t>
      </w:r>
      <w:bookmarkEnd w:id="12"/>
      <w:bookmarkEnd w:id="13"/>
      <w:bookmarkEnd w:id="14"/>
      <w:bookmarkEnd w:id="15"/>
    </w:p>
    <w:p w14:paraId="21473DD6">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bookmarkStart w:id="18" w:name="_Toc93668160"/>
      <w:bookmarkStart w:id="19" w:name="_Toc39239704"/>
      <w:r>
        <w:rPr>
          <w:rFonts w:hint="eastAsia" w:ascii="宋体" w:hAnsi="宋体" w:eastAsia="宋体" w:cs="宋体"/>
          <w:color w:val="auto"/>
          <w:sz w:val="24"/>
          <w:szCs w:val="24"/>
          <w:highlight w:val="none"/>
        </w:rPr>
        <w:t>1.采购人信息</w:t>
      </w:r>
    </w:p>
    <w:p w14:paraId="387FE9D3">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金华市建设技工学校</w:t>
      </w:r>
    </w:p>
    <w:p w14:paraId="3BB97732">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地址：金华市婺城区苏孟乡淳和路88号</w:t>
      </w:r>
    </w:p>
    <w:p w14:paraId="7510A649">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5B6D9982">
      <w:pPr>
        <w:widowControl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王老师</w:t>
      </w:r>
    </w:p>
    <w:p w14:paraId="38FE3691">
      <w:pPr>
        <w:widowControl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82389707</w:t>
      </w:r>
    </w:p>
    <w:p w14:paraId="5EA3A2ED">
      <w:pPr>
        <w:widowControl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王老师  </w:t>
      </w:r>
    </w:p>
    <w:p w14:paraId="3B611DB3">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 xml:space="preserve">82389707  </w:t>
      </w:r>
      <w:r>
        <w:rPr>
          <w:rFonts w:hint="eastAsia" w:ascii="宋体" w:hAnsi="宋体" w:eastAsia="宋体" w:cs="宋体"/>
          <w:color w:val="auto"/>
          <w:sz w:val="24"/>
          <w:szCs w:val="24"/>
          <w:highlight w:val="none"/>
          <w:lang w:val="en-US" w:eastAsia="zh-CN"/>
        </w:rPr>
        <w:t xml:space="preserve"> </w:t>
      </w:r>
    </w:p>
    <w:p w14:paraId="33C04F2E">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p>
    <w:p w14:paraId="24FCE118">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06469C91">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名称：浙江华杰工程咨询有限公司</w:t>
      </w:r>
    </w:p>
    <w:p w14:paraId="5AB5D494">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ab/>
      </w:r>
    </w:p>
    <w:p w14:paraId="163CB542">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7268E43A">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郑彩均</w:t>
      </w:r>
    </w:p>
    <w:p w14:paraId="5296C4D8">
      <w:pPr>
        <w:widowControl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0579-82411460</w:t>
      </w:r>
    </w:p>
    <w:p w14:paraId="01F0DD71">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质疑联系人：张小弟</w:t>
      </w:r>
    </w:p>
    <w:p w14:paraId="79640A5C">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质疑联系方式：0579-82410965</w:t>
      </w:r>
    </w:p>
    <w:p w14:paraId="0CF16827">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p>
    <w:p w14:paraId="00930FDD">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1177ADA2">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名称：金华市财政局政府采购监管处</w:t>
      </w:r>
    </w:p>
    <w:p w14:paraId="1A2DB854">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地址：金华市双龙南街801号财政局510办公室</w:t>
      </w:r>
    </w:p>
    <w:p w14:paraId="1CBCD98D">
      <w:pPr>
        <w:widowControl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13D1F163">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联系人：徐老师</w:t>
      </w:r>
    </w:p>
    <w:p w14:paraId="7AE71D27">
      <w:pPr>
        <w:widowControl w:val="0"/>
        <w:adjustRightInd w:val="0"/>
        <w:snapToGrid w:val="0"/>
        <w:spacing w:line="360" w:lineRule="auto"/>
        <w:ind w:firstLine="480" w:firstLineChars="200"/>
        <w:rPr>
          <w:rFonts w:hint="eastAsia" w:ascii="宋体" w:hAnsi="宋体" w:eastAsia="宋体" w:cs="宋体"/>
          <w:color w:val="auto"/>
          <w:sz w:val="24"/>
          <w:szCs w:val="24"/>
          <w:highlight w:val="none"/>
        </w:rPr>
        <w:sectPr>
          <w:pgSz w:w="11906" w:h="16838"/>
          <w:pgMar w:top="1258" w:right="1286" w:bottom="1361" w:left="1620" w:header="709" w:footer="971" w:gutter="0"/>
          <w:cols w:space="720" w:num="1"/>
          <w:docGrid w:linePitch="360" w:charSpace="0"/>
        </w:sectPr>
      </w:pPr>
      <w:r>
        <w:rPr>
          <w:rFonts w:hint="eastAsia" w:ascii="宋体" w:hAnsi="宋体" w:eastAsia="宋体" w:cs="宋体"/>
          <w:color w:val="auto"/>
          <w:sz w:val="24"/>
          <w:szCs w:val="24"/>
          <w:highlight w:val="none"/>
        </w:rPr>
        <w:t>监督投诉电话：0579-82468735</w:t>
      </w:r>
    </w:p>
    <w:p w14:paraId="1390BDDF">
      <w:pPr>
        <w:pStyle w:val="2"/>
        <w:spacing w:before="120" w:after="24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第二章  前附表</w:t>
      </w:r>
      <w:bookmarkEnd w:id="18"/>
    </w:p>
    <w:tbl>
      <w:tblPr>
        <w:tblStyle w:val="21"/>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14:paraId="44A6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3" w:type="dxa"/>
            <w:noWrap w:val="0"/>
            <w:vAlign w:val="center"/>
          </w:tcPr>
          <w:p w14:paraId="662CF1E2">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76" w:type="dxa"/>
            <w:noWrap w:val="0"/>
            <w:vAlign w:val="center"/>
          </w:tcPr>
          <w:p w14:paraId="1E65BE03">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7035" w:type="dxa"/>
            <w:noWrap w:val="0"/>
            <w:vAlign w:val="center"/>
          </w:tcPr>
          <w:p w14:paraId="4BA4B5AF">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582A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14:paraId="48AEBD99">
            <w:pPr>
              <w:pStyle w:val="33"/>
              <w:keepNext w:val="0"/>
              <w:keepLines w:val="0"/>
              <w:pageBreakBefore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76" w:type="dxa"/>
            <w:noWrap w:val="0"/>
            <w:vAlign w:val="center"/>
          </w:tcPr>
          <w:p w14:paraId="256B72D5">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035" w:type="dxa"/>
            <w:noWrap w:val="0"/>
            <w:vAlign w:val="center"/>
          </w:tcPr>
          <w:p w14:paraId="7437167B">
            <w:pPr>
              <w:snapToGrid w:val="0"/>
              <w:spacing w:line="276" w:lineRule="auto"/>
              <w:rPr>
                <w:rFonts w:hint="eastAsia" w:ascii="宋体" w:hAnsi="宋体" w:eastAsia="宋体" w:cs="宋体"/>
                <w:b/>
                <w:color w:val="auto"/>
                <w:highlight w:val="none"/>
                <w:lang w:val="zh-CN"/>
              </w:rPr>
            </w:pPr>
            <w:r>
              <w:rPr>
                <w:rFonts w:hint="eastAsia" w:ascii="宋体" w:hAnsi="宋体" w:eastAsia="宋体" w:cs="宋体"/>
                <w:color w:val="auto"/>
                <w:highlight w:val="none"/>
                <w:lang w:val="zh-CN"/>
              </w:rPr>
              <w:t>有关本项目实施所需的所有费用（含税费）均计入报价。招标文件未列明，而投标人认为必需的费用也需列入报价。</w:t>
            </w:r>
          </w:p>
          <w:p w14:paraId="2ED1E1E2">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1、本项目投标应以人民币报价；</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、不论投标结</w:t>
            </w:r>
            <w:r>
              <w:rPr>
                <w:rFonts w:hint="eastAsia" w:ascii="宋体" w:hAnsi="宋体" w:eastAsia="宋体" w:cs="宋体"/>
                <w:color w:val="auto"/>
                <w:sz w:val="24"/>
                <w:szCs w:val="24"/>
                <w:highlight w:val="none"/>
              </w:rPr>
              <w:t>果如何，投标人均应自行承担所有与投标有关的全部费用</w:t>
            </w:r>
            <w:r>
              <w:rPr>
                <w:rFonts w:hint="eastAsia" w:ascii="宋体" w:hAnsi="宋体" w:eastAsia="宋体" w:cs="宋体"/>
                <w:color w:val="auto"/>
                <w:sz w:val="24"/>
                <w:szCs w:val="24"/>
                <w:highlight w:val="none"/>
                <w:lang w:eastAsia="zh-CN"/>
              </w:rPr>
              <w:t>。</w:t>
            </w:r>
          </w:p>
        </w:tc>
      </w:tr>
      <w:tr w14:paraId="1734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14:paraId="0000B21F">
            <w:pPr>
              <w:pStyle w:val="33"/>
              <w:keepNext w:val="0"/>
              <w:keepLines w:val="0"/>
              <w:pageBreakBefore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76" w:type="dxa"/>
            <w:noWrap w:val="0"/>
            <w:vAlign w:val="center"/>
          </w:tcPr>
          <w:p w14:paraId="30F93D8A">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中标服务费</w:t>
            </w:r>
          </w:p>
        </w:tc>
        <w:tc>
          <w:tcPr>
            <w:tcW w:w="7035" w:type="dxa"/>
            <w:noWrap w:val="0"/>
            <w:vAlign w:val="center"/>
          </w:tcPr>
          <w:p w14:paraId="5C342443">
            <w:pPr>
              <w:widowControl w:val="0"/>
              <w:adjustRightInd w:val="0"/>
              <w:snapToGrid w:val="0"/>
              <w:spacing w:line="276" w:lineRule="auto"/>
              <w:rPr>
                <w:rFonts w:hint="eastAsia" w:ascii="宋体" w:hAnsi="宋体" w:eastAsia="宋体" w:cs="宋体"/>
                <w:color w:val="auto"/>
                <w:highlight w:val="none"/>
              </w:rPr>
            </w:pPr>
            <w:r>
              <w:rPr>
                <w:rFonts w:hint="eastAsia" w:ascii="宋体" w:hAnsi="宋体" w:eastAsia="宋体" w:cs="宋体"/>
                <w:b/>
                <w:color w:val="auto"/>
                <w:highlight w:val="none"/>
              </w:rPr>
              <w:t>投标人取得中标资格后，须按</w:t>
            </w:r>
            <w:r>
              <w:rPr>
                <w:rFonts w:hint="eastAsia" w:ascii="宋体" w:hAnsi="宋体" w:eastAsia="宋体" w:cs="宋体"/>
                <w:b/>
                <w:color w:val="auto"/>
                <w:highlight w:val="none"/>
                <w:lang w:val="en-US" w:eastAsia="zh-CN"/>
              </w:rPr>
              <w:t>中标价</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1.5</w:t>
            </w:r>
            <w:r>
              <w:rPr>
                <w:rFonts w:hint="eastAsia" w:ascii="宋体" w:hAnsi="宋体" w:eastAsia="宋体" w:cs="宋体"/>
                <w:b/>
                <w:color w:val="auto"/>
                <w:highlight w:val="none"/>
              </w:rPr>
              <w:t>%计收中标服务费，中标人在领取中标通知书前须支付至招标代理公司。</w:t>
            </w:r>
            <w:r>
              <w:rPr>
                <w:rFonts w:hint="eastAsia" w:ascii="宋体" w:hAnsi="宋体" w:eastAsia="宋体" w:cs="宋体"/>
                <w:color w:val="auto"/>
                <w:highlight w:val="none"/>
              </w:rPr>
              <w:t>转账至以下账户：</w:t>
            </w:r>
          </w:p>
          <w:p w14:paraId="58FB5B34">
            <w:pPr>
              <w:widowControl w:val="0"/>
              <w:adjustRightInd w:val="0"/>
              <w:snapToGrid w:val="0"/>
              <w:spacing w:line="276"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户    名：</w:t>
            </w:r>
            <w:r>
              <w:rPr>
                <w:rFonts w:hint="eastAsia" w:ascii="宋体" w:hAnsi="宋体" w:eastAsia="宋体" w:cs="宋体"/>
                <w:color w:val="auto"/>
                <w:highlight w:val="none"/>
                <w:lang w:eastAsia="zh-CN"/>
              </w:rPr>
              <w:t>浙江华杰工程咨询有限公司</w:t>
            </w:r>
          </w:p>
          <w:p w14:paraId="1A48CE55">
            <w:pPr>
              <w:widowControl w:val="0"/>
              <w:adjustRightInd w:val="0"/>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开户行：中国建设银行金磐支行</w:t>
            </w:r>
          </w:p>
          <w:p w14:paraId="59C9EC37">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highlight w:val="none"/>
              </w:rPr>
              <w:t>账号：33001676745053002506</w:t>
            </w:r>
          </w:p>
        </w:tc>
      </w:tr>
      <w:tr w14:paraId="41B5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14:paraId="666215D7">
            <w:pPr>
              <w:pStyle w:val="33"/>
              <w:keepNext w:val="0"/>
              <w:keepLines w:val="0"/>
              <w:pageBreakBefore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076" w:type="dxa"/>
            <w:noWrap w:val="0"/>
            <w:vAlign w:val="center"/>
          </w:tcPr>
          <w:p w14:paraId="0B02D167">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035" w:type="dxa"/>
            <w:noWrap w:val="0"/>
            <w:vAlign w:val="center"/>
          </w:tcPr>
          <w:p w14:paraId="1CDAB71C">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rPr>
              <w:t>不需要缴纳</w:t>
            </w:r>
          </w:p>
          <w:p w14:paraId="2BE892E2">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需要缴纳，中标人必须在合同签订后七日内向采购人提供</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价1%的履约保证金（可在政采云平台购买），可以支票、汇票、本票或者金融机构、保险公司、担保机构出具的保函/保险（可在政采云平台购买，咨询热线4009039583）等非现金形式提交。履约保证金（或保函/保险）在项目验收结束后退还。鼓励和支持供应商以履约保函形式提供履约保证金。</w:t>
            </w:r>
          </w:p>
        </w:tc>
      </w:tr>
      <w:tr w14:paraId="1775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64A4B644">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76" w:type="dxa"/>
            <w:noWrap w:val="0"/>
            <w:vAlign w:val="center"/>
          </w:tcPr>
          <w:p w14:paraId="7591EA87">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采购标的对应的中小企业划分标准所属行业</w:t>
            </w:r>
          </w:p>
        </w:tc>
        <w:tc>
          <w:tcPr>
            <w:tcW w:w="7035" w:type="dxa"/>
            <w:noWrap w:val="0"/>
            <w:vAlign w:val="center"/>
          </w:tcPr>
          <w:p w14:paraId="570D6B47">
            <w:pPr>
              <w:keepNext w:val="0"/>
              <w:keepLines w:val="0"/>
              <w:pageBreakBefore w:val="0"/>
              <w:kinsoku/>
              <w:wordWrap/>
              <w:overflowPunct/>
              <w:topLinePunct w:val="0"/>
              <w:bidi w:val="0"/>
              <w:snapToGrid w:val="0"/>
              <w:spacing w:line="340" w:lineRule="exact"/>
              <w:textAlignment w:val="auto"/>
              <w:rPr>
                <w:rFonts w:hint="eastAsia"/>
                <w:color w:val="auto"/>
                <w:highlight w:val="none"/>
                <w:lang w:eastAsia="zh-CN"/>
              </w:rPr>
            </w:pPr>
            <w:r>
              <w:rPr>
                <w:rFonts w:hint="eastAsia" w:ascii="宋体" w:hAnsi="宋体" w:eastAsia="宋体" w:cs="宋体"/>
                <w:color w:val="auto"/>
                <w:sz w:val="24"/>
                <w:szCs w:val="24"/>
                <w:highlight w:val="none"/>
              </w:rPr>
              <w:t>属于工信部【2011】300号文件规定的</w:t>
            </w:r>
            <w:r>
              <w:rPr>
                <w:rFonts w:hint="eastAsia" w:ascii="宋体" w:hAnsi="宋体" w:eastAsia="宋体" w:cs="宋体"/>
                <w:color w:val="auto"/>
                <w:sz w:val="24"/>
                <w:szCs w:val="24"/>
                <w:highlight w:val="none"/>
                <w:lang w:val="en-US" w:eastAsia="zh-CN"/>
              </w:rPr>
              <w:t>其他</w:t>
            </w:r>
          </w:p>
          <w:p w14:paraId="597EE0EA">
            <w:pPr>
              <w:pStyle w:val="20"/>
              <w:keepNext w:val="0"/>
              <w:keepLines w:val="0"/>
              <w:pageBreakBefore w:val="0"/>
              <w:kinsoku/>
              <w:wordWrap/>
              <w:overflowPunct/>
              <w:topLinePunct w:val="0"/>
              <w:bidi w:val="0"/>
              <w:spacing w:line="3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370D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noWrap w:val="0"/>
            <w:vAlign w:val="center"/>
          </w:tcPr>
          <w:p w14:paraId="7331608C">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76" w:type="dxa"/>
            <w:noWrap w:val="0"/>
            <w:vAlign w:val="center"/>
          </w:tcPr>
          <w:p w14:paraId="6A13B3E1">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w:t>
            </w:r>
          </w:p>
        </w:tc>
        <w:tc>
          <w:tcPr>
            <w:tcW w:w="7035" w:type="dxa"/>
            <w:noWrap w:val="0"/>
            <w:vAlign w:val="center"/>
          </w:tcPr>
          <w:p w14:paraId="7AD08C9B">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不同意转包。</w:t>
            </w:r>
          </w:p>
        </w:tc>
      </w:tr>
      <w:tr w14:paraId="7951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06092319">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76" w:type="dxa"/>
            <w:noWrap w:val="0"/>
            <w:vAlign w:val="center"/>
          </w:tcPr>
          <w:p w14:paraId="3B6F3FE7">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035" w:type="dxa"/>
            <w:noWrap w:val="0"/>
            <w:vAlign w:val="center"/>
          </w:tcPr>
          <w:p w14:paraId="2DA413DA">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☑A分项</w:t>
            </w:r>
            <w:r>
              <w:rPr>
                <w:rFonts w:hint="eastAsia" w:ascii="宋体" w:hAnsi="宋体" w:eastAsia="宋体" w:cs="宋体"/>
                <w:color w:val="auto"/>
                <w:sz w:val="24"/>
                <w:szCs w:val="24"/>
                <w:highlight w:val="none"/>
                <w:lang w:eastAsia="zh-CN"/>
              </w:rPr>
              <w:t>资质不全的，允许在甲方书面同意的情况下对其中1-2项内容进行分包</w:t>
            </w:r>
            <w:r>
              <w:rPr>
                <w:rFonts w:hint="eastAsia" w:ascii="宋体" w:hAnsi="宋体" w:eastAsia="宋体" w:cs="宋体"/>
                <w:color w:val="auto"/>
                <w:sz w:val="24"/>
                <w:szCs w:val="24"/>
                <w:highlight w:val="none"/>
              </w:rPr>
              <w:t>。</w:t>
            </w:r>
          </w:p>
          <w:p w14:paraId="12FFF47B">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☐B不同意分包。</w:t>
            </w:r>
          </w:p>
        </w:tc>
      </w:tr>
      <w:tr w14:paraId="53EE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34691503">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76" w:type="dxa"/>
            <w:noWrap w:val="0"/>
            <w:vAlign w:val="center"/>
          </w:tcPr>
          <w:p w14:paraId="48FB37B8">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7035" w:type="dxa"/>
            <w:noWrap w:val="0"/>
            <w:vAlign w:val="center"/>
          </w:tcPr>
          <w:p w14:paraId="1AC33EAC">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☑A不组织。</w:t>
            </w:r>
          </w:p>
          <w:p w14:paraId="6A15D90D">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☐B组织，时间：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98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75E6D5AC">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76" w:type="dxa"/>
            <w:noWrap w:val="0"/>
            <w:vAlign w:val="center"/>
          </w:tcPr>
          <w:p w14:paraId="71F4D34F">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7035" w:type="dxa"/>
            <w:noWrap w:val="0"/>
            <w:vAlign w:val="center"/>
          </w:tcPr>
          <w:p w14:paraId="7D037745">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☑A不要求提供。</w:t>
            </w:r>
          </w:p>
          <w:p w14:paraId="3C748FA0">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☐B要求提供，</w:t>
            </w:r>
          </w:p>
          <w:p w14:paraId="3A9ED9B4">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A6C58D8">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详见招标文件技术要求 </w:t>
            </w:r>
            <w:r>
              <w:rPr>
                <w:rFonts w:hint="eastAsia" w:ascii="宋体" w:hAnsi="宋体" w:eastAsia="宋体" w:cs="宋体"/>
                <w:color w:val="auto"/>
                <w:sz w:val="24"/>
                <w:szCs w:val="24"/>
                <w:highlight w:val="none"/>
              </w:rPr>
              <w:t>；</w:t>
            </w:r>
          </w:p>
          <w:p w14:paraId="41AD2605">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sz w:val="24"/>
                <w:szCs w:val="24"/>
                <w:highlight w:val="none"/>
              </w:rPr>
              <w:t>；</w:t>
            </w:r>
          </w:p>
          <w:p w14:paraId="2491762B">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（4）是否需要随样品提交检测报告：</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否；☐是，检测机构的要求：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；检测内容：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71654D">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3BBF23D3">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EFC8BB">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5487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79A273B2">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76" w:type="dxa"/>
            <w:noWrap w:val="0"/>
            <w:vAlign w:val="center"/>
          </w:tcPr>
          <w:p w14:paraId="662A79E6">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7035" w:type="dxa"/>
            <w:noWrap w:val="0"/>
            <w:vAlign w:val="center"/>
          </w:tcPr>
          <w:p w14:paraId="23BC6C73">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A不组织。</w:t>
            </w:r>
          </w:p>
          <w:p w14:paraId="69C600E7">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B组织。</w:t>
            </w:r>
          </w:p>
          <w:p w14:paraId="1858F3D1">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（1）在评标时安排每个投标人进行方案讲解演示。每个投标人时间不超过20分钟，讲解次序以投标文件解密时间先后次序为准。</w:t>
            </w:r>
          </w:p>
          <w:p w14:paraId="7476388B">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（2）方案讲解方式：钉钉会议远程讲解。各投标人需在投标文件提交截止时间前添加代理公司工作人员钉钉号（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），添加时请注明“**公司***项目”；开启文件后，由代理公司工作人员分别组建钉钉会议，逐一进行远程讲解。</w:t>
            </w:r>
          </w:p>
          <w:p w14:paraId="1A910469">
            <w:pPr>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注：因投标人自身原因导致无法演示或者演示效果不理想的，责任自负。</w:t>
            </w:r>
          </w:p>
        </w:tc>
      </w:tr>
      <w:tr w14:paraId="6392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14:paraId="5BDF4AF5">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76" w:type="dxa"/>
            <w:noWrap w:val="0"/>
            <w:vAlign w:val="center"/>
          </w:tcPr>
          <w:p w14:paraId="1391A31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政府采购优惠政策</w:t>
            </w:r>
          </w:p>
        </w:tc>
        <w:tc>
          <w:tcPr>
            <w:tcW w:w="7035" w:type="dxa"/>
            <w:noWrap w:val="0"/>
            <w:vAlign w:val="center"/>
          </w:tcPr>
          <w:p w14:paraId="68420F98">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（1）根据《政府采购货物和服务招标投标管理办法》第五条规定，属“节约能源、保护环境、扶持不发达地区和少数民族地区等”政府采购政策扶持对象的，提供相关证明材料和政策依据，优先采购。</w:t>
            </w:r>
          </w:p>
          <w:p w14:paraId="69E6BE62">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（2）根据财库[2020]46 号文件《政府采购促进中小企业发展管理办法》和财库[2022]19号文件《关于进一步加大政府采购支持中小企业力度的通知》的要求，对小型和微型企业服务的价格给予20%扣除，用扣除后的价格参与评审（需主动提供小微企业声明函，否则不予扣），</w:t>
            </w:r>
            <w:r>
              <w:rPr>
                <w:rFonts w:hint="eastAsia" w:ascii="宋体" w:hAnsi="宋体" w:eastAsia="宋体" w:cs="宋体"/>
                <w:color w:val="auto"/>
                <w:sz w:val="24"/>
                <w:szCs w:val="24"/>
                <w:highlight w:val="none"/>
              </w:rPr>
              <w:t>对于分包意向协议约定小微企业的合同份额占到合同总金额30%以上的，评审优惠幅度为6%</w:t>
            </w:r>
            <w:r>
              <w:rPr>
                <w:rFonts w:hint="eastAsia" w:ascii="宋体" w:hAnsi="宋体" w:eastAsia="宋体" w:cs="宋体"/>
                <w:bCs/>
                <w:color w:val="auto"/>
                <w:sz w:val="24"/>
                <w:szCs w:val="24"/>
                <w:highlight w:val="none"/>
              </w:rPr>
              <w:t>。监狱企业提供由省级以上监狱管理局、戒毒管理局（含新疆生产建设兵团）出具的监狱企业的证明文件视同小微企业，残疾人福利性企业提供《残疾人福利性单位声明函》的视同小微企业，同样享受上述优惠扣除。</w:t>
            </w:r>
            <w:r>
              <w:rPr>
                <w:rFonts w:hint="eastAsia" w:ascii="宋体" w:hAnsi="宋体" w:eastAsia="宋体" w:cs="宋体"/>
                <w:color w:val="auto"/>
                <w:sz w:val="24"/>
                <w:szCs w:val="24"/>
                <w:highlight w:val="none"/>
              </w:rPr>
              <w:t>政府采购工程的价格评审优惠按照财库〔2020〕46号文件的规定执行。</w:t>
            </w:r>
            <w:r>
              <w:rPr>
                <w:rFonts w:hint="eastAsia" w:ascii="宋体" w:hAnsi="宋体" w:eastAsia="宋体" w:cs="宋体"/>
                <w:b/>
                <w:bCs/>
                <w:color w:val="auto"/>
                <w:sz w:val="24"/>
                <w:szCs w:val="24"/>
                <w:highlight w:val="none"/>
              </w:rPr>
              <w:t>（备注：专门面向中小企业采购的项目，不再执行价格评审优惠的扶持政策）</w:t>
            </w:r>
          </w:p>
        </w:tc>
      </w:tr>
      <w:tr w14:paraId="759E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257D188A">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76" w:type="dxa"/>
            <w:noWrap w:val="0"/>
            <w:vAlign w:val="center"/>
          </w:tcPr>
          <w:p w14:paraId="1CB51C4A">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7035" w:type="dxa"/>
            <w:noWrap w:val="0"/>
            <w:vAlign w:val="center"/>
          </w:tcPr>
          <w:p w14:paraId="6CC6F40F">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157CEBAD">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为扩大政府采购金融服务面，除政采云网上金融服务合作银行外，金华市范围增加线下合作银行两家，具体信息如下：</w:t>
            </w:r>
          </w:p>
          <w:p w14:paraId="5E885C6B">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金华银行文创支行  联系人：姜峰</w:t>
            </w:r>
          </w:p>
          <w:p w14:paraId="0A2B8CE2">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联系电话：13905792828   0579-82479020</w:t>
            </w:r>
          </w:p>
          <w:p w14:paraId="58F31425">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浙商银行金华分行   联系人：朱晨祥 </w:t>
            </w:r>
          </w:p>
          <w:p w14:paraId="36B22FB9">
            <w:pPr>
              <w:keepNext w:val="0"/>
              <w:keepLines w:val="0"/>
              <w:pageBreakBefore w:val="0"/>
              <w:kinsoku/>
              <w:wordWrap/>
              <w:overflowPunct/>
              <w:topLinePunct w:val="0"/>
              <w:autoSpaceDE w:val="0"/>
              <w:autoSpaceDN w:val="0"/>
              <w:bidi w:val="0"/>
              <w:adjustRightIn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联系电话：15857978811    0579-82999581</w:t>
            </w:r>
          </w:p>
        </w:tc>
      </w:tr>
      <w:tr w14:paraId="6AB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3" w:type="dxa"/>
            <w:noWrap w:val="0"/>
            <w:vAlign w:val="center"/>
          </w:tcPr>
          <w:p w14:paraId="1446375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76" w:type="dxa"/>
            <w:noWrap w:val="0"/>
            <w:vAlign w:val="center"/>
          </w:tcPr>
          <w:p w14:paraId="50F37434">
            <w:pPr>
              <w:keepNext w:val="0"/>
              <w:keepLines w:val="0"/>
              <w:pageBreakBefore w:val="0"/>
              <w:widowControl w:val="0"/>
              <w:kinsoku/>
              <w:wordWrap/>
              <w:overflowPunct/>
              <w:topLinePunct w:val="0"/>
              <w:bidi w:val="0"/>
              <w:snapToGrid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备份投标文件注意事项</w:t>
            </w:r>
          </w:p>
        </w:tc>
        <w:tc>
          <w:tcPr>
            <w:tcW w:w="7035" w:type="dxa"/>
            <w:noWrap w:val="0"/>
            <w:vAlign w:val="center"/>
          </w:tcPr>
          <w:p w14:paraId="7984CC65">
            <w:pPr>
              <w:keepNext w:val="0"/>
              <w:keepLines w:val="0"/>
              <w:pageBreakBefore w:val="0"/>
              <w:widowControl w:val="0"/>
              <w:kinsoku/>
              <w:wordWrap/>
              <w:overflowPunct/>
              <w:topLinePunct w:val="0"/>
              <w:bidi w:val="0"/>
              <w:snapToGrid w:val="0"/>
              <w:spacing w:line="34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备份投标文件发送截止时间：与投标文件递交截止时间一致</w:t>
            </w:r>
          </w:p>
          <w:p w14:paraId="3AC356FE">
            <w:pPr>
              <w:keepNext w:val="0"/>
              <w:keepLines w:val="0"/>
              <w:pageBreakBefore w:val="0"/>
              <w:widowControl w:val="0"/>
              <w:kinsoku/>
              <w:wordWrap/>
              <w:overflowPunct/>
              <w:topLinePunct w:val="0"/>
              <w:bidi w:val="0"/>
              <w:snapToGrid w:val="0"/>
              <w:spacing w:line="34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备份投标文件递交方式：电子文件加密后邮件发送至代理公司邮箱（</w:t>
            </w:r>
            <w:r>
              <w:rPr>
                <w:rFonts w:hint="eastAsia" w:ascii="宋体" w:hAnsi="宋体" w:eastAsia="宋体" w:cs="宋体"/>
                <w:b/>
                <w:bCs/>
                <w:color w:val="auto"/>
                <w:kern w:val="2"/>
                <w:sz w:val="24"/>
                <w:szCs w:val="24"/>
                <w:highlight w:val="none"/>
                <w:lang w:eastAsia="zh-CN"/>
              </w:rPr>
              <w:t>2638807831@qq.com</w:t>
            </w:r>
            <w:r>
              <w:rPr>
                <w:rFonts w:hint="eastAsia" w:ascii="宋体" w:hAnsi="宋体" w:eastAsia="宋体" w:cs="宋体"/>
                <w:b/>
                <w:bCs/>
                <w:color w:val="auto"/>
                <w:kern w:val="2"/>
                <w:sz w:val="24"/>
                <w:szCs w:val="24"/>
                <w:highlight w:val="none"/>
              </w:rPr>
              <w:t>）。</w:t>
            </w:r>
          </w:p>
          <w:p w14:paraId="2572072F">
            <w:pPr>
              <w:keepNext w:val="0"/>
              <w:keepLines w:val="0"/>
              <w:pageBreakBefore w:val="0"/>
              <w:widowControl w:val="0"/>
              <w:kinsoku/>
              <w:wordWrap/>
              <w:overflowPunct/>
              <w:topLinePunct w:val="0"/>
              <w:bidi w:val="0"/>
              <w:snapToGrid w:val="0"/>
              <w:spacing w:line="34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（1）“电子备份投标文件”须在</w:t>
            </w:r>
            <w:r>
              <w:rPr>
                <w:rFonts w:hint="eastAsia" w:ascii="宋体" w:hAnsi="宋体" w:eastAsia="宋体" w:cs="宋体"/>
                <w:color w:val="auto"/>
                <w:sz w:val="24"/>
                <w:szCs w:val="24"/>
                <w:highlight w:val="none"/>
              </w:rPr>
              <w:t>“政采云投标客户端”制作生成。</w:t>
            </w:r>
          </w:p>
          <w:p w14:paraId="5DB04AA0">
            <w:pPr>
              <w:keepNext w:val="0"/>
              <w:keepLines w:val="0"/>
              <w:pageBreakBefore w:val="0"/>
              <w:widowControl w:val="0"/>
              <w:kinsoku/>
              <w:wordWrap/>
              <w:overflowPunct/>
              <w:topLinePunct w:val="0"/>
              <w:bidi w:val="0"/>
              <w:snapToGrid w:val="0"/>
              <w:spacing w:line="34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（2）投标文件递交截止时间前，投标人仅递交了“电子备份响应文件”而未将“电子加密响应文件”上传至“政府采购云平台”的，投标无效。</w:t>
            </w:r>
          </w:p>
          <w:p w14:paraId="24B0EC73">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（3）“电子备份投标文件”为非强制性要求，但如遇投标人未按时解密成功且未提供“电子备份投标文件”的，作投标无效处理，后果由投标人自负。</w:t>
            </w:r>
          </w:p>
          <w:p w14:paraId="161A4201">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b/>
                <w:color w:val="auto"/>
                <w:sz w:val="24"/>
                <w:szCs w:val="24"/>
                <w:highlight w:val="none"/>
              </w:rPr>
              <w:t>不符合上述制作、递交时间及递交方式的备份投标文件将被视为无效的</w:t>
            </w:r>
            <w:r>
              <w:rPr>
                <w:rFonts w:hint="eastAsia" w:ascii="宋体" w:hAnsi="宋体" w:eastAsia="宋体" w:cs="宋体"/>
                <w:b/>
                <w:bCs/>
                <w:color w:val="auto"/>
                <w:kern w:val="2"/>
                <w:sz w:val="24"/>
                <w:szCs w:val="24"/>
                <w:highlight w:val="none"/>
              </w:rPr>
              <w:t>备份投标文件</w:t>
            </w:r>
            <w:r>
              <w:rPr>
                <w:rFonts w:hint="eastAsia" w:ascii="宋体" w:hAnsi="宋体" w:eastAsia="宋体" w:cs="宋体"/>
                <w:b/>
                <w:color w:val="auto"/>
                <w:sz w:val="24"/>
                <w:szCs w:val="24"/>
                <w:highlight w:val="none"/>
              </w:rPr>
              <w:t>。</w:t>
            </w:r>
          </w:p>
        </w:tc>
      </w:tr>
      <w:tr w14:paraId="7685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14:paraId="0BDA441A">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76" w:type="dxa"/>
            <w:noWrap w:val="0"/>
            <w:vAlign w:val="center"/>
          </w:tcPr>
          <w:p w14:paraId="794C4138">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答疑与澄清</w:t>
            </w:r>
          </w:p>
        </w:tc>
        <w:tc>
          <w:tcPr>
            <w:tcW w:w="7035" w:type="dxa"/>
            <w:noWrap w:val="0"/>
            <w:vAlign w:val="center"/>
          </w:tcPr>
          <w:p w14:paraId="794A6454">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如认为公开招标文件表述不清晰、存在歧视性、排他性或者其他违法内容的，可以自获取招标文件之日（招标文件公告期限届满之后获取招标文件的以公告期限届满之日起计算）起7个工作日内，以书面形式向采购人和采购代理机构提出质疑；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04DA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14:paraId="09BC0614">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76" w:type="dxa"/>
            <w:noWrap w:val="0"/>
            <w:vAlign w:val="center"/>
          </w:tcPr>
          <w:p w14:paraId="4E66DDB8">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7035" w:type="dxa"/>
            <w:noWrap w:val="0"/>
            <w:vAlign w:val="center"/>
          </w:tcPr>
          <w:p w14:paraId="0129B352">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当招标文件中的内容与前附表规定不一致时，以前附表规定为准。</w:t>
            </w:r>
          </w:p>
        </w:tc>
      </w:tr>
      <w:tr w14:paraId="1BC3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14:paraId="51D3EBEB">
            <w:pPr>
              <w:pStyle w:val="13"/>
              <w:keepNext w:val="0"/>
              <w:keepLines w:val="0"/>
              <w:pageBreakBefore w:val="0"/>
              <w:widowControl w:val="0"/>
              <w:kinsoku/>
              <w:wordWrap/>
              <w:overflowPunct/>
              <w:topLinePunct w:val="0"/>
              <w:bidi w:val="0"/>
              <w:adjustRightInd w:val="0"/>
              <w:snapToGrid w:val="0"/>
              <w:spacing w:before="120" w:beforeLines="50" w:after="120" w:afterLines="50" w:line="340" w:lineRule="exact"/>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2076" w:type="dxa"/>
            <w:noWrap w:val="0"/>
            <w:vAlign w:val="center"/>
          </w:tcPr>
          <w:p w14:paraId="2E6426D1">
            <w:pPr>
              <w:keepNext w:val="0"/>
              <w:keepLines w:val="0"/>
              <w:pageBreakBefore w:val="0"/>
              <w:widowControl w:val="0"/>
              <w:kinsoku/>
              <w:wordWrap/>
              <w:overflowPunct/>
              <w:topLinePunct w:val="0"/>
              <w:bidi w:val="0"/>
              <w:adjustRightInd w:val="0"/>
              <w:snapToGrid w:val="0"/>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highlight w:val="none"/>
                <w:lang w:eastAsia="zh-CN"/>
              </w:rPr>
              <w:t>视频演示文件</w:t>
            </w:r>
          </w:p>
        </w:tc>
        <w:tc>
          <w:tcPr>
            <w:tcW w:w="7035" w:type="dxa"/>
            <w:noWrap w:val="0"/>
            <w:vAlign w:val="center"/>
          </w:tcPr>
          <w:p w14:paraId="7BE22ABE">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jc w:val="both"/>
              <w:textAlignment w:val="auto"/>
              <w:rPr>
                <w:rFonts w:hint="default" w:ascii="宋体" w:hAnsi="宋体" w:eastAsia="宋体" w:cs="宋体"/>
                <w:b/>
                <w:bCs/>
                <w:color w:val="000000"/>
                <w:kern w:val="2"/>
                <w:sz w:val="24"/>
                <w:szCs w:val="24"/>
                <w:highlight w:val="none"/>
                <w:lang w:val="en-US" w:eastAsia="zh-CN"/>
              </w:rPr>
            </w:pPr>
            <w:r>
              <w:rPr>
                <w:rFonts w:hint="eastAsia" w:ascii="宋体" w:hAnsi="宋体" w:eastAsia="宋体" w:cs="宋体"/>
                <w:b/>
                <w:bCs/>
                <w:color w:val="FF0000"/>
                <w:kern w:val="0"/>
                <w:sz w:val="24"/>
                <w:highlight w:val="none"/>
                <w:lang w:eastAsia="zh-CN"/>
              </w:rPr>
              <w:t>视频演示文件</w:t>
            </w:r>
            <w:r>
              <w:rPr>
                <w:rFonts w:hint="eastAsia" w:ascii="宋体" w:hAnsi="宋体" w:cs="宋体"/>
                <w:b/>
                <w:bCs/>
                <w:color w:val="FF0000"/>
                <w:kern w:val="0"/>
                <w:sz w:val="24"/>
                <w:highlight w:val="none"/>
                <w:lang w:val="en-US" w:eastAsia="zh-CN"/>
              </w:rPr>
              <w:t>送达</w:t>
            </w:r>
            <w:r>
              <w:rPr>
                <w:rFonts w:hint="eastAsia" w:ascii="宋体" w:hAnsi="宋体" w:eastAsia="宋体" w:cs="宋体"/>
                <w:b/>
                <w:bCs/>
                <w:color w:val="000000"/>
                <w:kern w:val="2"/>
                <w:sz w:val="24"/>
                <w:szCs w:val="24"/>
                <w:highlight w:val="none"/>
              </w:rPr>
              <w:t>截止时间：</w:t>
            </w:r>
            <w:r>
              <w:rPr>
                <w:rFonts w:hint="eastAsia" w:ascii="宋体" w:hAnsi="宋体" w:cs="宋体"/>
                <w:b/>
                <w:bCs/>
                <w:color w:val="000000"/>
                <w:kern w:val="2"/>
                <w:sz w:val="24"/>
                <w:szCs w:val="24"/>
                <w:highlight w:val="none"/>
                <w:lang w:val="en-US" w:eastAsia="zh-CN"/>
              </w:rPr>
              <w:t xml:space="preserve"> 2025年7月14日17:00</w:t>
            </w:r>
          </w:p>
          <w:p w14:paraId="7D594017">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jc w:val="both"/>
              <w:textAlignment w:val="auto"/>
              <w:rPr>
                <w:rFonts w:hint="eastAsia" w:ascii="宋体" w:hAnsi="宋体" w:cs="宋体"/>
                <w:b/>
                <w:bCs/>
                <w:color w:val="000000"/>
                <w:kern w:val="2"/>
                <w:sz w:val="24"/>
                <w:szCs w:val="24"/>
                <w:highlight w:val="none"/>
                <w:lang w:val="en-US" w:eastAsia="zh-CN"/>
              </w:rPr>
            </w:pPr>
            <w:r>
              <w:rPr>
                <w:rFonts w:hint="eastAsia" w:ascii="宋体" w:hAnsi="宋体" w:eastAsia="宋体" w:cs="宋体"/>
                <w:b/>
                <w:bCs/>
                <w:color w:val="FF0000"/>
                <w:kern w:val="0"/>
                <w:sz w:val="24"/>
                <w:highlight w:val="none"/>
                <w:lang w:eastAsia="zh-CN"/>
              </w:rPr>
              <w:t>视频演示文件</w:t>
            </w:r>
            <w:r>
              <w:rPr>
                <w:rFonts w:hint="eastAsia" w:ascii="宋体" w:hAnsi="宋体" w:eastAsia="宋体" w:cs="宋体"/>
                <w:b/>
                <w:bCs/>
                <w:color w:val="000000"/>
                <w:kern w:val="2"/>
                <w:sz w:val="24"/>
                <w:szCs w:val="24"/>
                <w:highlight w:val="none"/>
              </w:rPr>
              <w:t>递交方式：</w:t>
            </w:r>
            <w:r>
              <w:rPr>
                <w:rFonts w:hint="eastAsia" w:ascii="宋体" w:hAnsi="宋体" w:cs="宋体"/>
                <w:b/>
                <w:bCs/>
                <w:color w:val="000000"/>
                <w:kern w:val="2"/>
                <w:sz w:val="24"/>
                <w:szCs w:val="24"/>
                <w:highlight w:val="none"/>
                <w:lang w:val="en-US" w:eastAsia="zh-CN"/>
              </w:rPr>
              <w:t>邮寄形式或现场递交。</w:t>
            </w:r>
            <w:bookmarkStart w:id="41" w:name="_GoBack"/>
            <w:bookmarkEnd w:id="41"/>
          </w:p>
          <w:p w14:paraId="46051555">
            <w:pPr>
              <w:keepNext w:val="0"/>
              <w:keepLines w:val="0"/>
              <w:pageBreakBefore w:val="0"/>
              <w:widowControl w:val="0"/>
              <w:kinsoku/>
              <w:wordWrap/>
              <w:overflowPunct/>
              <w:topLinePunct w:val="0"/>
              <w:bidi w:val="0"/>
              <w:snapToGrid w:val="0"/>
              <w:spacing w:line="34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邮寄地址： 浙江省金华市金东区环城东路1777号宁远大厦11楼（招标代理部） 郑女士    18158798071</w:t>
            </w:r>
            <w:r>
              <w:rPr>
                <w:rFonts w:hint="eastAsia" w:ascii="宋体" w:hAnsi="宋体" w:eastAsia="宋体" w:cs="宋体"/>
                <w:b/>
                <w:bCs/>
                <w:color w:val="auto"/>
                <w:kern w:val="2"/>
                <w:sz w:val="24"/>
                <w:szCs w:val="24"/>
                <w:highlight w:val="none"/>
              </w:rPr>
              <w:t>。</w:t>
            </w:r>
          </w:p>
          <w:p w14:paraId="05124442">
            <w:pPr>
              <w:keepNext w:val="0"/>
              <w:keepLines w:val="0"/>
              <w:pageBreakBefore w:val="0"/>
              <w:widowControl w:val="0"/>
              <w:kinsoku/>
              <w:wordWrap/>
              <w:overflowPunct/>
              <w:topLinePunct w:val="0"/>
              <w:bidi w:val="0"/>
              <w:adjustRightInd w:val="0"/>
              <w:snapToGrid w:val="0"/>
              <w:spacing w:line="340" w:lineRule="exact"/>
              <w:textAlignment w:val="auto"/>
              <w:rPr>
                <w:rFonts w:hint="eastAsia" w:ascii="宋体" w:hAnsi="宋体" w:eastAsia="宋体" w:cs="宋体"/>
                <w:b/>
                <w:bCs/>
                <w:color w:val="auto"/>
                <w:sz w:val="24"/>
                <w:szCs w:val="24"/>
                <w:highlight w:val="none"/>
              </w:rPr>
            </w:pPr>
          </w:p>
        </w:tc>
      </w:tr>
    </w:tbl>
    <w:p w14:paraId="03076175">
      <w:pPr>
        <w:spacing w:line="360" w:lineRule="auto"/>
        <w:rPr>
          <w:rFonts w:hint="eastAsia" w:ascii="宋体" w:hAnsi="宋体" w:eastAsia="宋体" w:cs="宋体"/>
          <w:color w:val="auto"/>
          <w:highlight w:val="none"/>
        </w:rPr>
        <w:sectPr>
          <w:pgSz w:w="11906" w:h="16838"/>
          <w:pgMar w:top="1258" w:right="1286" w:bottom="1361" w:left="1620" w:header="709" w:footer="971" w:gutter="0"/>
          <w:cols w:space="720" w:num="1"/>
          <w:docGrid w:linePitch="360" w:charSpace="0"/>
        </w:sectPr>
      </w:pPr>
    </w:p>
    <w:p w14:paraId="75B60809">
      <w:pPr>
        <w:pStyle w:val="2"/>
        <w:spacing w:before="120" w:after="240" w:line="240" w:lineRule="auto"/>
        <w:jc w:val="center"/>
        <w:rPr>
          <w:rFonts w:hint="eastAsia" w:ascii="宋体" w:hAnsi="宋体" w:eastAsia="宋体" w:cs="宋体"/>
          <w:color w:val="auto"/>
          <w:highlight w:val="none"/>
        </w:rPr>
      </w:pPr>
      <w:bookmarkStart w:id="20" w:name="_Toc93668161"/>
      <w:r>
        <w:rPr>
          <w:rFonts w:hint="eastAsia" w:ascii="宋体" w:hAnsi="宋体" w:eastAsia="宋体" w:cs="宋体"/>
          <w:color w:val="auto"/>
          <w:highlight w:val="none"/>
        </w:rPr>
        <w:t>第三章  项目技术规范和要求</w:t>
      </w:r>
      <w:bookmarkEnd w:id="20"/>
    </w:p>
    <w:p w14:paraId="535022C4">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一、项目概况</w:t>
      </w:r>
    </w:p>
    <w:p w14:paraId="08B8EB8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（一）本项目为</w:t>
      </w:r>
      <w:r>
        <w:rPr>
          <w:rFonts w:hint="eastAsia" w:ascii="宋体" w:hAnsi="宋体" w:cs="宋体"/>
          <w:b w:val="0"/>
          <w:bCs/>
          <w:color w:val="auto"/>
          <w:sz w:val="21"/>
          <w:szCs w:val="21"/>
          <w:highlight w:val="none"/>
          <w:lang w:val="en-US" w:eastAsia="zh-CN"/>
        </w:rPr>
        <w:t>金华市建设技工学校交互式一体化黑板项目</w:t>
      </w:r>
      <w:r>
        <w:rPr>
          <w:rFonts w:hint="eastAsia" w:ascii="宋体" w:hAnsi="宋体" w:eastAsia="宋体" w:cs="宋体"/>
          <w:b w:val="0"/>
          <w:bCs/>
          <w:color w:val="auto"/>
          <w:sz w:val="21"/>
          <w:szCs w:val="21"/>
          <w:highlight w:val="none"/>
          <w:lang w:val="en-US" w:eastAsia="zh-CN"/>
        </w:rPr>
        <w:t>的采购。</w:t>
      </w:r>
    </w:p>
    <w:p w14:paraId="48110A8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（二）投标人参加报名后，必须就招标文件中全部货物（服务）进行投标。</w:t>
      </w:r>
    </w:p>
    <w:p w14:paraId="504B2B7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21"/>
          <w:szCs w:val="21"/>
          <w:highlight w:val="none"/>
          <w:lang w:val="en-US" w:eastAsia="zh-CN"/>
        </w:rPr>
        <w:t>（三）投标人在取得中标资格后，须负责货物运输、送货、人员劳务、人工费、材料费、保险、利润、税金、政策性文件规定及合同包含的所有风险及责任等各项应有费用。</w:t>
      </w:r>
    </w:p>
    <w:p w14:paraId="0042E741">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招标内容和技术要求</w:t>
      </w:r>
    </w:p>
    <w:bookmarkEnd w:id="19"/>
    <w:tbl>
      <w:tblPr>
        <w:tblStyle w:val="21"/>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09"/>
        <w:gridCol w:w="6379"/>
        <w:gridCol w:w="495"/>
        <w:gridCol w:w="851"/>
      </w:tblGrid>
      <w:tr w14:paraId="2021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2B8275AB">
            <w:pPr>
              <w:jc w:val="center"/>
              <w:rPr>
                <w:rFonts w:hint="eastAsia" w:ascii="宋体" w:hAnsi="宋体" w:eastAsia="宋体" w:cs="宋体"/>
                <w:color w:val="auto"/>
                <w:sz w:val="21"/>
                <w:szCs w:val="21"/>
                <w:highlight w:val="none"/>
              </w:rPr>
            </w:pPr>
            <w:bookmarkStart w:id="21" w:name="_Toc39239706"/>
            <w:bookmarkStart w:id="22" w:name="_Toc93668162"/>
            <w:r>
              <w:rPr>
                <w:rFonts w:hint="eastAsia" w:ascii="宋体" w:hAnsi="宋体" w:eastAsia="宋体" w:cs="宋体"/>
                <w:color w:val="auto"/>
                <w:sz w:val="21"/>
                <w:szCs w:val="21"/>
                <w:highlight w:val="none"/>
              </w:rPr>
              <w:t>编号</w:t>
            </w:r>
          </w:p>
        </w:tc>
        <w:tc>
          <w:tcPr>
            <w:tcW w:w="709" w:type="dxa"/>
            <w:noWrap w:val="0"/>
            <w:vAlign w:val="center"/>
          </w:tcPr>
          <w:p w14:paraId="4039DB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6379" w:type="dxa"/>
            <w:noWrap w:val="0"/>
            <w:vAlign w:val="center"/>
          </w:tcPr>
          <w:p w14:paraId="6FB7699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规格型号及技术参数</w:t>
            </w:r>
          </w:p>
        </w:tc>
        <w:tc>
          <w:tcPr>
            <w:tcW w:w="495" w:type="dxa"/>
            <w:noWrap w:val="0"/>
            <w:vAlign w:val="center"/>
          </w:tcPr>
          <w:p w14:paraId="7B52D0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51" w:type="dxa"/>
            <w:noWrap w:val="0"/>
            <w:vAlign w:val="center"/>
          </w:tcPr>
          <w:p w14:paraId="494CC9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r>
      <w:tr w14:paraId="003C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605BC2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noWrap w:val="0"/>
            <w:vAlign w:val="center"/>
          </w:tcPr>
          <w:p w14:paraId="278F19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交互式一体</w:t>
            </w:r>
            <w:r>
              <w:rPr>
                <w:rFonts w:hint="eastAsia" w:ascii="宋体" w:hAnsi="宋体" w:eastAsia="宋体" w:cs="宋体"/>
                <w:color w:val="auto"/>
                <w:sz w:val="21"/>
                <w:szCs w:val="21"/>
                <w:highlight w:val="none"/>
                <w:lang w:eastAsia="zh-CN"/>
              </w:rPr>
              <w:t>化</w:t>
            </w:r>
            <w:r>
              <w:rPr>
                <w:rFonts w:hint="eastAsia" w:ascii="宋体" w:hAnsi="宋体" w:eastAsia="宋体" w:cs="宋体"/>
                <w:color w:val="auto"/>
                <w:sz w:val="21"/>
                <w:szCs w:val="21"/>
                <w:highlight w:val="none"/>
              </w:rPr>
              <w:t>黑板</w:t>
            </w:r>
          </w:p>
        </w:tc>
        <w:tc>
          <w:tcPr>
            <w:tcW w:w="6379" w:type="dxa"/>
            <w:noWrap w:val="0"/>
            <w:vAlign w:val="center"/>
          </w:tcPr>
          <w:p w14:paraId="7D756271">
            <w:pPr>
              <w:adjustRightInd w:val="0"/>
              <w:snapToGrid w:val="0"/>
              <w:jc w:val="left"/>
              <w:rPr>
                <w:rFonts w:hint="eastAsia" w:ascii="宋体" w:hAnsi="宋体" w:eastAsia="宋体" w:cs="宋体"/>
                <w:color w:val="auto"/>
                <w:sz w:val="21"/>
                <w:szCs w:val="21"/>
                <w:highlight w:val="none"/>
              </w:rPr>
            </w:pPr>
          </w:p>
          <w:p w14:paraId="680ECB7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一、整体设计</w:t>
            </w:r>
          </w:p>
          <w:p w14:paraId="2623192E">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LED液晶屏体：A规屏，显示尺寸≥86英寸；采用两侧黑板+中间液晶屏体的三段式结构方式，整体尺寸：宽≥4200mm，高≥1100mm，厚≤130mm</w:t>
            </w:r>
          </w:p>
          <w:p w14:paraId="0BBB6B7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2.非OEM、ODM产品，产品通过国家3C强制认证，委托人、生产者和生产企业名称一致。</w:t>
            </w:r>
          </w:p>
          <w:p w14:paraId="45C1BCA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智慧黑板物理分辨率：3840×2160；最大可视角度≥178度；最高灰阶 256 灰阶。</w:t>
            </w:r>
          </w:p>
          <w:p w14:paraId="020819B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整机钢化玻璃厚度≤3.5mm，钢化玻璃表面硬度≥莫氏7级，屏体表面强度100MPa。（提供具有MA或者CNAS标识的检测报告复印件并加盖投标人公章）</w:t>
            </w:r>
          </w:p>
          <w:p w14:paraId="282CB0AF">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屏幕贴合方式：全贴合工艺技术，钢化玻璃和液晶显示层无间隙密贴合，无介质填充，更环保，无空气间隙，显示效果清晰。（提供具有MA或者CNAS标识的检测报告复印件以及提供交互平板全贴合工艺技术规范起草入围单位证明并加盖投标人公章）</w:t>
            </w:r>
          </w:p>
          <w:p w14:paraId="252FC0B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6.整机具有前置组合式针孔电脑还原物理按键并具有中文标识。（提供具有MA或者CNAS标识的检测报告复印件并加盖投标人公章）</w:t>
            </w:r>
          </w:p>
          <w:p w14:paraId="4933E4D2">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整机具有中文标识的前置接口：≥1路HDMI接口（非转接），≥2路USB接口，≥1路Type-C接口，同时Type-C接口具备音频、视频、数据、触控、充电等功能，外接电脑可调用屏体麦克风、音响、摄像头等数据。（提供具有MA或者CNAS标识的检测报告复印件并加盖投标人公章）</w:t>
            </w:r>
          </w:p>
          <w:p w14:paraId="126FB09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整机支持全通道纸质护眼模式，可实现画面纹理的实时调整;支持纸质纹理:素描纸、宣纸、水彩纸，支持透明度调节与色温调节，显示画面各像素点灰度不规则，减少背景于扰。（提供具有MA或者CNAS标识的检测报告复印件并加盖投标人公章）</w:t>
            </w:r>
          </w:p>
          <w:p w14:paraId="0F56C4C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前置≥8个快捷键,包括:“主页”、“触控开关”、“音量+”、“音量-”、“关闭窗口”、“护眼”、“多任务”、“电源”等；同时每个按键分别具有两种功能。（提供具有MA或者CNAS标识的检测报告复印件并加盖投标人公章）</w:t>
            </w:r>
          </w:p>
          <w:p w14:paraId="365F1DA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整机内置超高清一体化摄像头，摄像头支持≥1800万有效像素，可输出最大分辨率5104*3864 的图片与视频，并支持支持2D降噪;</w:t>
            </w:r>
          </w:p>
          <w:p w14:paraId="09640AE1">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11.摄像头支持扫描二维码功能，快速调用信息，支持搭配AI软件(自动点名、点数、击鼓传花、班里挑一)使用，识别距离≥12米，识别人数≥60 个，同时支持远程巡课系统。（提供具有MA或者CNAS标识的检测报告复印件并加盖投标人公章）</w:t>
            </w:r>
          </w:p>
          <w:p w14:paraId="6114378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12.整机采用针孔阵列发声设计，具备 2.2声道，总额定功率≥60W.（提供具有MA或者CNAS标识的检测报告复印件并加盖投标人公章）</w:t>
            </w:r>
          </w:p>
          <w:p w14:paraId="2FC86C01">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13.整机前置接口面板、前置按键面板屏体主板、屏体电源板、扬声器分别支持单独前拆，无需拆卸显示屏，方便后续维护。（提供具有MA或者CNAS标识的检测报告复印件并加盖投标人公章）</w:t>
            </w:r>
          </w:p>
          <w:p w14:paraId="1C1A3EA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14.整机内置蓝牙模块，蓝牙模块≥5.4标准，工作距离不低于12米；在Windows 系统下，交互设备可通过蓝牙模块与蓝牙音箱连接，播放交互设备音频;同时支持与具有蓝牙功能的手机连接，进行文件传输。（提供具有MA或者CNAS标识的检测报告复印件并加盖投标人公章）</w:t>
            </w:r>
          </w:p>
          <w:p w14:paraId="4119634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15.整机内置 Wi-Fi6无线网卡，在 Android、Windows、国产化系统下，可实现Wi-Fi无线上网连接AP无线热点发射，在 Android、Windows、国产化系统下支持无线设备同时连接数量≥32个，支持自定义设置热点名称和密码。（提供具有MA或者CNAS标识的检测报告复印件并加盖投标人公章）</w:t>
            </w:r>
          </w:p>
          <w:p w14:paraId="776550EE">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16.整机可通过五指抓取屏幕任意位置可调出多任务处理窗口，并对正在运行的应用进行浏览、快速切换或结束进程。</w:t>
            </w:r>
          </w:p>
          <w:p w14:paraId="7A68B04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17.整机在任意信号源下，从屏幕下方任意位置向上滑动，可调用快捷设置菜单；无需切换系统，可快速调节Windows 和Android 的设置，并支持拖拽到屏幕任意位置。</w:t>
            </w:r>
          </w:p>
          <w:p w14:paraId="1842C11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18.采用电容触控技术，支持三系统下 Windows、Android、国产化系统下使用统下≥ 40 点同时触控及书写划线。（提供具有MA或者CNAS标识的检测报告复印件并加盖投标人公章）</w:t>
            </w:r>
          </w:p>
          <w:p w14:paraId="4F3D5D42">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19.电容支持HID免驱协议，window7/8/10/Mac os/Linux/国产化系统下自动识别，无需额外安装驱动程序。</w:t>
            </w:r>
          </w:p>
          <w:p w14:paraId="370F8A9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二、主要功能</w:t>
            </w:r>
          </w:p>
          <w:p w14:paraId="6193104E">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1.内置安卓教学辅助系统，采用国产芯片，ROM不小于32G, RAM不小于4G,安卓系统版本不低于14.0；</w:t>
            </w:r>
          </w:p>
          <w:p w14:paraId="6E34B36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2.整机通过二至四指滑动屏幕和教学系统桌可实现</w:t>
            </w: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rPr>
              <w:t>indows面快速切换。</w:t>
            </w:r>
          </w:p>
          <w:p w14:paraId="4B978CA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3.整机内置2.2声道音响，额定总功率≥60W；</w:t>
            </w:r>
          </w:p>
          <w:p w14:paraId="356D3BA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4.为提高老师教学效率，在通电关机状态下，5秒内可完成极速开机。</w:t>
            </w:r>
          </w:p>
          <w:p w14:paraId="085078A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5.可一键进行硬体系统自动检测:对系统信息、系统内存、存储空间、截屏文件夹、屏体温度、触控系统、光感系统、内置电脑信息屏体信息、主板型号、CPU型号、CPU 使用情况、内存使用情况、设备名称等提供直观的状态,（提供具有MA或者CNAS标识的检测报告复印件并加盖投标人公章）</w:t>
            </w:r>
          </w:p>
          <w:p w14:paraId="0B7ABD8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6.整机可扫描系统提供的二维码进行报修:并可提供故障提示、固件版本信息、厂家信息、内置电脑序列号、驱动显卡信息查询服务。（提供具有MA或者CNAS标识的检测报告复印件并加盖投标人公章）</w:t>
            </w:r>
          </w:p>
          <w:p w14:paraId="786EE25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7.支持传屏功能，可以将外部电脑、平板PAD、手机等的屏幕画面通过无线方式传输到智慧黑板上显示。</w:t>
            </w:r>
          </w:p>
          <w:p w14:paraId="1EA3945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8.支持自定义开机通道，用户可设置默认通道，支持通道记忆功能，开机默认回到最近一次关机时的显示通道。</w:t>
            </w:r>
          </w:p>
          <w:p w14:paraId="05B339F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9..支持通道自动跳转功能，如整机处于正常使用状态，HDMI信号接入时，能自动识别、并切换到对应的HDMI信号源通道，且断开后能回到上一通道，自动跳转前支持选择确认，待确认后再跳转。</w:t>
            </w:r>
          </w:p>
          <w:p w14:paraId="47AABE4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双侧黑板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1.双侧黑板采用金属材质，具有磁性、吸附功能。（提供具有MA或者CNAS标识的检测报告复印件并加盖投标人公章）</w:t>
            </w:r>
          </w:p>
          <w:p w14:paraId="16C7493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2.黑板侧板板面光泽度符合 GB 28231-2011标准,不高于8光泽度以免产生眩光黑板。</w:t>
            </w:r>
          </w:p>
          <w:p w14:paraId="53C6931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3.涂层的抗冲击性符合GB/T 1732-2020测试方法，支持漆膜耐冲击测定法，无裂纹现象。</w:t>
            </w:r>
          </w:p>
          <w:p w14:paraId="78AF34A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4.支持教师常用的粉笔、液体粉笔书写，笔记线条清晰。</w:t>
            </w:r>
          </w:p>
          <w:p w14:paraId="4BBA9E7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5.侧板与智慧黑板应能无缝拼接，需与智慧黑板为同一品牌厂家。</w:t>
            </w:r>
          </w:p>
          <w:p w14:paraId="5D3EB16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6.黑板侧板要求与智慧黑板配套使用，形成三段式一体化结构.</w:t>
            </w:r>
          </w:p>
          <w:p w14:paraId="1CB7011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2）内置电脑</w:t>
            </w:r>
            <w:r>
              <w:rPr>
                <w:rFonts w:hint="eastAsia" w:ascii="宋体" w:hAnsi="宋体" w:eastAsia="宋体" w:cs="宋体"/>
                <w:color w:val="auto"/>
                <w:sz w:val="21"/>
                <w:szCs w:val="21"/>
                <w:highlight w:val="none"/>
              </w:rPr>
              <w:tab/>
            </w:r>
          </w:p>
          <w:p w14:paraId="5D6CDD1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1、CPU采用Intel第12代酷睿I5处理器或以上。</w:t>
            </w:r>
          </w:p>
          <w:p w14:paraId="4F1F910F">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 xml:space="preserve"> GB DDR4内存或以上配置；硬盘：256GB SSD硬盘或以上。</w:t>
            </w:r>
          </w:p>
          <w:p w14:paraId="6A29785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3、机身采用下插拔卡扣固定结构，无需拆卸显示屏、书写笔。（提供具有MA或者CNAS标识的检测报告复印件并加盖投标人公章）</w:t>
            </w:r>
          </w:p>
          <w:p w14:paraId="50EC39C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4、电脑模块可抽拉式插入智慧黑板整机，无单独外接线实现插拔。</w:t>
            </w:r>
          </w:p>
          <w:p w14:paraId="1695ACD6">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5、具有独立非外扩展的视频输出接口：≥1路HDMI，≥3路USB。 </w:t>
            </w:r>
          </w:p>
          <w:p w14:paraId="0041DDA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6、内置电脑模块品牌与整机品牌一致。</w:t>
            </w:r>
          </w:p>
          <w:p w14:paraId="04E7B6D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3）教学系统</w:t>
            </w:r>
            <w:r>
              <w:rPr>
                <w:rFonts w:hint="eastAsia" w:ascii="宋体" w:hAnsi="宋体" w:eastAsia="宋体" w:cs="宋体"/>
                <w:color w:val="auto"/>
                <w:sz w:val="21"/>
                <w:szCs w:val="21"/>
                <w:highlight w:val="none"/>
              </w:rPr>
              <w:tab/>
            </w:r>
          </w:p>
          <w:p w14:paraId="35113E2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1、支持在PC端、交互设备端以及网页端登录软件，均可生成、播放课件。</w:t>
            </w:r>
          </w:p>
          <w:p w14:paraId="3018E1A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2、账号密码支持登录PC端，手机验证码快捷登录，微信扫码登录；同时支持免登录打开本地课件。</w:t>
            </w:r>
          </w:p>
          <w:p w14:paraId="482B160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账号密码可以直接登录交互设备端，输入账号密码可以直接登录，微信扫码登录，微信扫码可以直接登录，书写登录，录入内容及笔迹，可在任意设备进行书写登录，U盘登录，插入U盘可以直接登录，快捷登录，鸿U软件登录可以直接自动登录，三方登录，支持对接第三方教育平台，可以直接实现统一认证登录。</w:t>
            </w:r>
          </w:p>
          <w:p w14:paraId="4DB0BC1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4、启动软件后，PC 端可以直接进入备课模式，交互设备端可以直接进入授课模式。网页端不具备此功能。</w:t>
            </w:r>
          </w:p>
          <w:p w14:paraId="20B6AEF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5、教学软件具有我的文件、回站、我的班级、操作指南、个人设置应用模块。</w:t>
            </w:r>
          </w:p>
          <w:p w14:paraId="6C1E19CF">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6、可以对已经创建好的课件进行修改和删除，删除后的课件可自行存放到回收站，默认情况下保存 30天，30天后自动清除，已经删除后的课件，可进行恢复和清除;回收站内的课件可以单个课件，和全部课件一键清除。</w:t>
            </w:r>
          </w:p>
          <w:p w14:paraId="5134C0D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7、老师个人账号无需完成特定任务，就具有200GB云端存储空间，最高可扩展至 3TB 云存储空间。</w:t>
            </w:r>
          </w:p>
          <w:p w14:paraId="1443E4F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8、具备单独 PPT 导入功能，并可以导入进度条提示功能，用户可查着当前导入进度上传完成后具有中文提示功能。</w:t>
            </w:r>
          </w:p>
          <w:p w14:paraId="1D6A37E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9、老师可直接导入白板软件生成的 HHTX格式的课件，导入后的文字、图片课件元素可编辑，导入后的音视频可播放。</w:t>
            </w:r>
          </w:p>
          <w:p w14:paraId="43DA063F">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10、老师可以在网页端、PC端、交互设备端对预置的课件素材进行内容的选择与组合，生成课件并浏览，所有制作的课件均实时保存至云端，老师只需登录即可查看。</w:t>
            </w:r>
          </w:p>
          <w:p w14:paraId="0FF22C9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11、根据教材章节目录、知识点选择对应的教学内容，老师仅需要按每个教学环节选择所需的教学模块即可生成一份课件，每个课时均提供教学内容模块；教师可以对课件知识点进行评价。</w:t>
            </w:r>
          </w:p>
          <w:p w14:paraId="137ECDD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12、教学模块具有教学设计和课件内容，部分课件提供课件批注。</w:t>
            </w:r>
          </w:p>
          <w:p w14:paraId="0C92927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13、可以将做好的课件打印成纸质版并导出成 PDF，可以将做好的课件以链接的形式分享，可以设置链接加密，可以设置1天、7天和 30天有效期，同时，还可以扫码分享，分享的链接可以被分享者将课件保存到π6-我的文件。</w:t>
            </w:r>
          </w:p>
          <w:p w14:paraId="3268C74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14、老师选择的课件组合可以自动生成与课件内容相匹配的个性化教案，并可以对教案的在线编辑及教案的保存和打印。</w:t>
            </w:r>
          </w:p>
          <w:p w14:paraId="0224280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15、内置常见问题及初级、高级使用说明，同时具有视频格式的教程。</w:t>
            </w:r>
          </w:p>
          <w:p w14:paraId="0D39B1A6">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16、空白课程建设包含 PPT 导入WORD 导入功能;制作完成后可进行课件预览，下载，打印功能教学设计模块可以二次编辑。</w:t>
            </w:r>
          </w:p>
          <w:p w14:paraId="655DAAF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4）学科软件</w:t>
            </w:r>
            <w:r>
              <w:rPr>
                <w:rFonts w:hint="eastAsia" w:ascii="宋体" w:hAnsi="宋体" w:eastAsia="宋体" w:cs="宋体"/>
                <w:color w:val="auto"/>
                <w:sz w:val="21"/>
                <w:szCs w:val="21"/>
                <w:highlight w:val="none"/>
              </w:rPr>
              <w:tab/>
            </w:r>
          </w:p>
          <w:p w14:paraId="6EF3EA4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模块化的课件素材和教案:学科涵盖小学语文、初中语文、小学数学、初中数学、高中数学、小学英语、初中英语、小学科学、初中物理、初中化学学科(教材版本覆盖统编版、人教版、教科版、外研新标准版、北师大版版本，冀教版、中图版小教材版本)，课件可以组选，课堂导入知识讲解，例题与变式，拓展延伸，课外活动，课件总课时量有3600个课时。</w:t>
            </w:r>
          </w:p>
          <w:p w14:paraId="1491576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2、鸿合云平台提供人教版、北师大版、苏教版、鲁教版多个教材版本，包含语数英 11个主要学科的教学资源，内置数百个交互式动画，提供 1000 个制作完成的语文、数学交互式动画课件素材，可直接选用插入到课件中。</w:t>
            </w:r>
          </w:p>
          <w:p w14:paraId="355739E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3、具有各省市高考、统考真题、学校考试真题，以及教辅书中的习题组成中学数学学科题库，题库自带答案及解析，题库内的题目可以筛选题型和试题难度。</w:t>
            </w:r>
          </w:p>
          <w:p w14:paraId="706166C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4、可以将自己的课件发布到校本空间，同校的老师都能在校本空间中查看和保存该课件;可以在PC 端、交互设备端及网页端播放和保存校本空间里的课件;校本空间里的课件会随着老师课件的更新实时同步。</w:t>
            </w:r>
          </w:p>
          <w:p w14:paraId="2F68239E">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管理员与教研员可以对校本资源进行结构化管理，针对不同的学段学科、最多可创建三级目录结构;可以以课程为单位整合教案、课件教学内容;可以导入PPT/PPTX、DOC/DOCX格式的教学资源，生成结构化的校本资源库;超级管理员可以对学校教师身份进行管理、权限分配;管理员可以通过链接邀请本校教师加入校园版;管理员通过数据看板统计该学校沉淀的校本资源数量和该校老师使用校本资源上课的情况。</w:t>
            </w:r>
          </w:p>
          <w:p w14:paraId="1334CAF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6、可直接将题库内容插入到课件中，题库内容插入到课件之后，可以对题、答案、解析进行二次编辑，还可以对文本、公式进行二次编辑。</w:t>
            </w:r>
          </w:p>
          <w:p w14:paraId="267FE32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7、具有语文生字卡片，输入常用字后自动匹配读音及笔顺演示，提供拼音标注工具，可以一键将纯文本转化为文本+拼音格式。</w:t>
            </w:r>
          </w:p>
          <w:p w14:paraId="70B9D0D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8、具有英语生词卡片，按不同年级提供同一单词的不同释义生词卡片，常用单词自动生成配图、发音、释义;配图可按照老师的需求进行切换。</w:t>
            </w:r>
          </w:p>
          <w:p w14:paraId="69A0F53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9、具有化学公武编辑器，化学公式上标、下标、反应符号反应条件、气体沉淀符号及快捷输入方式输入后的公式与文本处于同个文本框内，拖动文本框后公式随文本框变化位置。</w:t>
            </w:r>
          </w:p>
          <w:p w14:paraId="0140AAF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10、具有数学公式编辑器，有百种数学符号,有数学公式上标、下标、分式的快捷键输入方式，输入后的公式与文本处于同一个文本框内，拖动文本框后公式随文本框变化位置。</w:t>
            </w:r>
          </w:p>
          <w:p w14:paraId="3F83528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11、可以绘制任意平面图形;多边形，圆，圆锥曲线，向量函数图形，可以绘制任意几何图形，棱柱，棱锥，何体展开图，曲线曲面，可以制作任意3D动态课件，震荡，视图旋转，空间运动，投影。</w:t>
            </w:r>
          </w:p>
          <w:p w14:paraId="76CC561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12、可以插入四线三格，输入手写体英文字母。</w:t>
            </w:r>
          </w:p>
          <w:p w14:paraId="474A5FE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13、可以插入物理化学仿真实验，点击添加 3D交互仿真理化试验到课件中。</w:t>
            </w:r>
          </w:p>
          <w:p w14:paraId="3087B97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14、可将绘制的函数图像或图形键导出为图片，插入到课件中。</w:t>
            </w:r>
          </w:p>
          <w:p w14:paraId="4A8454E1">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15、可以出现、动作、消失共三种类型 29款的动画效果。</w:t>
            </w:r>
          </w:p>
          <w:p w14:paraId="0A6BEC22">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5）壁挂式高清展台</w:t>
            </w:r>
            <w:r>
              <w:rPr>
                <w:rFonts w:hint="eastAsia" w:ascii="宋体" w:hAnsi="宋体" w:eastAsia="宋体" w:cs="宋体"/>
                <w:color w:val="auto"/>
                <w:sz w:val="21"/>
                <w:szCs w:val="21"/>
                <w:highlight w:val="none"/>
              </w:rPr>
              <w:tab/>
            </w:r>
          </w:p>
          <w:p w14:paraId="5F562EE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1、支持壁挂和桌面两种安装方式、托板边角采用圆弧倒角设计，具有安全锁；（须提供MA或CNAS认证测机构出具的检测报告并加盖投标人公章）</w:t>
            </w:r>
          </w:p>
          <w:p w14:paraId="03D5D14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2、清晰度：≥1600万像素，中心≥1400线；拍摄幅面不小于A4；（须提供MA或CNAS认证测机构出具的检测报告并加盖投标人公章）</w:t>
            </w:r>
          </w:p>
          <w:p w14:paraId="07F211C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3、图像色彩：24位；输出格式：图片JPG，视频MP4；</w:t>
            </w:r>
          </w:p>
          <w:p w14:paraId="6BAA407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4、光源：LED灯补光；</w:t>
            </w:r>
          </w:p>
          <w:p w14:paraId="7132320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5、可在任意区域内批注书写，同屏对比时可对单张图片进行旋转、全屏、缩放、删除等操作；且支持本地图片导入功能；</w:t>
            </w:r>
          </w:p>
          <w:p w14:paraId="1C40E11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6、展台软件具有自检功能：硬件检测，检测连接线和硬件是否正常。</w:t>
            </w:r>
          </w:p>
          <w:p w14:paraId="51DDA03F">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7、展台软件兼容国产操作系统。（提供证明文件复印件并加盖投标人公章）</w:t>
            </w:r>
          </w:p>
          <w:p w14:paraId="37A0FB9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8、所投壁挂高清展台平均无故障时间≥100000小时；（提供证明文件复印件并加盖投标人公章）</w:t>
            </w:r>
          </w:p>
          <w:p w14:paraId="5603F00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9、为保证兼容性及稳定性，视频展台需与智慧黑板为同一品牌。</w:t>
            </w:r>
          </w:p>
          <w:p w14:paraId="32CE151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6）无线麦克风</w:t>
            </w:r>
            <w:r>
              <w:rPr>
                <w:rFonts w:hint="eastAsia" w:ascii="宋体" w:hAnsi="宋体" w:eastAsia="宋体" w:cs="宋体"/>
                <w:color w:val="auto"/>
                <w:sz w:val="21"/>
                <w:szCs w:val="21"/>
                <w:highlight w:val="none"/>
              </w:rPr>
              <w:tab/>
            </w:r>
          </w:p>
          <w:p w14:paraId="47E25D42">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1、为方便教师不同场景使用，无线麦克风支持多种使用方式，包括但不限于颈挂、手持、领夹等方式，领夹模式下可对佩戴角度进行0-180°旋转调节</w:t>
            </w:r>
          </w:p>
          <w:p w14:paraId="22CF7D3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2、无线麦克风接收器应采用 GH-05AB等专用接口与交互设备内嵌连接，保证使用稳定性，不接受以USB拔插方式连接。（提供第三方检测机构所出具的检测报告复印件）</w:t>
            </w:r>
          </w:p>
          <w:p w14:paraId="00FE0455">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3、采用2.4G无线传输协议，防止串频。</w:t>
            </w:r>
          </w:p>
          <w:p w14:paraId="777A1AB1">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4、有效传输距离≥12米，保证正常教室内每个角落均可正常使用</w:t>
            </w:r>
          </w:p>
          <w:p w14:paraId="24D69AA1">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5、支持两种充电方式， Type-C充电接口与磁吸充电，满电续航不少于8个小时</w:t>
            </w:r>
          </w:p>
          <w:p w14:paraId="588E8EF2">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6、无线麦克风支持快速充电，充电10分钟可连续使用60分钟，在电量为0时，1小时内可充满</w:t>
            </w:r>
          </w:p>
          <w:p w14:paraId="3EE5C13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7、具备全向拾音，拾音角度不低于120度，保证老师正常转头下的拾音效果</w:t>
            </w:r>
          </w:p>
          <w:p w14:paraId="011332D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8、无线麦克配备物理按键，且组合按键可实现一键静音、开关机功能</w:t>
            </w:r>
          </w:p>
          <w:p w14:paraId="7B711306">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9、无线麦克与交互设备断开连接后，无须任何操作，一分钟后自动关机，达到节约电量效果</w:t>
            </w:r>
          </w:p>
          <w:p w14:paraId="2F450F84">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10、一比一声音还原，整体延时在35MS以内，空中数据速率1-2Mbps，确保整体功放效果无回音</w:t>
            </w:r>
          </w:p>
          <w:p w14:paraId="3DB7159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11、高扩展性能，无线麦克风接受器连接外接电脑后，可用作独立声卡使用</w:t>
            </w:r>
          </w:p>
          <w:p w14:paraId="4F9CF63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12、具有过压过流、高温、低温电池保护功能</w:t>
            </w:r>
          </w:p>
          <w:p w14:paraId="0EADC4F2">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为确保系统兼容性，所投品牌与智慧黑板为同一品牌。</w:t>
            </w:r>
          </w:p>
          <w:p w14:paraId="3CDB6D6A">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7）智能笔</w:t>
            </w:r>
            <w:r>
              <w:rPr>
                <w:rFonts w:hint="eastAsia" w:ascii="宋体" w:hAnsi="宋体" w:eastAsia="宋体" w:cs="宋体"/>
                <w:color w:val="auto"/>
                <w:sz w:val="21"/>
                <w:szCs w:val="21"/>
                <w:highlight w:val="none"/>
              </w:rPr>
              <w:tab/>
            </w:r>
          </w:p>
          <w:p w14:paraId="5FAB634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1、笔身长度不低于15cm，可平稳放置平面，并支持金属及侧边黑板吸附；</w:t>
            </w:r>
          </w:p>
          <w:p w14:paraId="5019E2A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2、采用无线通信技术，标配无线dongle，有效传输距离不低于15米；</w:t>
            </w:r>
          </w:p>
          <w:p w14:paraId="2F6D626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3、可进行4段式自由伸缩，伸缩长度不低于15cm。（提供MA或CNAS认证测机构出具的检测报告并加盖投标人公章）</w:t>
            </w:r>
          </w:p>
          <w:p w14:paraId="38E5125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4、笔身不低于4个功能按键，包括翻页、PPT播放、一键关闭应用和返回桌面等功能；</w:t>
            </w:r>
          </w:p>
          <w:p w14:paraId="597B0F8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5、键具有图形标识，单个按键均具有两种以上功能；</w:t>
            </w:r>
          </w:p>
          <w:p w14:paraId="0292AC4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6、笔身采用Type-c接口充电，具有自动休眠节电功能，满电续航时间不低于24小时；</w:t>
            </w:r>
          </w:p>
          <w:p w14:paraId="0DED74DE">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7、支持自动连接，一个Dongle可搭配多支智能电子教鞭切换使用，对码式只需同时按上翻页+返回桌面按键2-3秒完成对码；</w:t>
            </w:r>
          </w:p>
          <w:p w14:paraId="672365F6">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8、笔尖采用POM复合耐磨材质，有效书写距离不低于2万米； </w:t>
            </w:r>
          </w:p>
          <w:p w14:paraId="1A32FD2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9、具有双色应用状态提示灯，便于用户查验产品状态；</w:t>
            </w:r>
          </w:p>
          <w:p w14:paraId="6EFAC40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10、兼容Win7、Win10及Win11操作系统，即插即用；</w:t>
            </w:r>
          </w:p>
          <w:p w14:paraId="6810C7B3">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11、为保证兼容性及稳定性，所投品牌需与触控</w:t>
            </w:r>
            <w:r>
              <w:rPr>
                <w:rFonts w:hint="eastAsia" w:ascii="宋体" w:hAnsi="宋体" w:eastAsia="宋体" w:cs="宋体"/>
                <w:color w:val="auto"/>
                <w:sz w:val="21"/>
                <w:szCs w:val="21"/>
                <w:highlight w:val="none"/>
                <w:lang w:eastAsia="zh-CN"/>
              </w:rPr>
              <w:t>一体化</w:t>
            </w:r>
            <w:r>
              <w:rPr>
                <w:rFonts w:hint="eastAsia" w:ascii="宋体" w:hAnsi="宋体" w:eastAsia="宋体" w:cs="宋体"/>
                <w:color w:val="auto"/>
                <w:sz w:val="21"/>
                <w:szCs w:val="21"/>
                <w:highlight w:val="none"/>
              </w:rPr>
              <w:t>为同一品牌。</w:t>
            </w:r>
          </w:p>
          <w:p w14:paraId="4D9E8375">
            <w:pPr>
              <w:adjustRightInd w:val="0"/>
              <w:snapToGrid w:val="0"/>
              <w:jc w:val="left"/>
              <w:rPr>
                <w:rFonts w:hint="eastAsia" w:ascii="宋体" w:hAnsi="宋体" w:eastAsia="宋体" w:cs="宋体"/>
                <w:color w:val="auto"/>
                <w:sz w:val="21"/>
                <w:szCs w:val="21"/>
                <w:highlight w:val="none"/>
                <w:lang w:val="en-US" w:eastAsia="zh-CN"/>
              </w:rPr>
            </w:pPr>
          </w:p>
        </w:tc>
        <w:tc>
          <w:tcPr>
            <w:tcW w:w="495" w:type="dxa"/>
            <w:noWrap w:val="0"/>
            <w:vAlign w:val="center"/>
          </w:tcPr>
          <w:p w14:paraId="1DB558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17套</w:t>
            </w:r>
          </w:p>
        </w:tc>
        <w:tc>
          <w:tcPr>
            <w:tcW w:w="851" w:type="dxa"/>
            <w:noWrap w:val="0"/>
            <w:vAlign w:val="center"/>
          </w:tcPr>
          <w:p w14:paraId="781909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500</w:t>
            </w:r>
          </w:p>
        </w:tc>
      </w:tr>
      <w:tr w14:paraId="7919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9" w:type="dxa"/>
            <w:gridSpan w:val="3"/>
            <w:noWrap w:val="0"/>
            <w:vAlign w:val="center"/>
          </w:tcPr>
          <w:p w14:paraId="07FD1EF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346" w:type="dxa"/>
            <w:gridSpan w:val="2"/>
            <w:noWrap w:val="0"/>
            <w:vAlign w:val="center"/>
          </w:tcPr>
          <w:p w14:paraId="56A9EF81">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382500</w:t>
            </w:r>
          </w:p>
        </w:tc>
      </w:tr>
    </w:tbl>
    <w:p w14:paraId="3855B2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sz w:val="24"/>
          <w:szCs w:val="24"/>
          <w:highlight w:val="none"/>
        </w:rPr>
      </w:pPr>
    </w:p>
    <w:p w14:paraId="2FF2EC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：投标人在取得中标资格后，须负责货物的运输、安装、调试、培训、售后等一切与中标</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有关的附随服务工作</w:t>
      </w:r>
      <w:r>
        <w:rPr>
          <w:rFonts w:hint="eastAsia" w:ascii="宋体" w:hAnsi="宋体" w:eastAsia="宋体" w:cs="宋体"/>
          <w:color w:val="auto"/>
          <w:sz w:val="24"/>
          <w:szCs w:val="24"/>
          <w:highlight w:val="none"/>
          <w:lang w:val="en-US" w:eastAsia="zh-CN"/>
        </w:rPr>
        <w:t>，且包含</w:t>
      </w:r>
      <w:r>
        <w:rPr>
          <w:rFonts w:hint="eastAsia" w:ascii="宋体" w:hAnsi="宋体" w:eastAsia="宋体" w:cs="宋体"/>
          <w:color w:val="auto"/>
          <w:sz w:val="24"/>
          <w:szCs w:val="24"/>
          <w:highlight w:val="none"/>
        </w:rPr>
        <w:t>原设备拆除、运输、线路铺设</w:t>
      </w:r>
      <w:r>
        <w:rPr>
          <w:rFonts w:hint="default" w:ascii="宋体" w:hAnsi="宋体" w:cs="宋体"/>
          <w:color w:val="auto"/>
          <w:sz w:val="24"/>
          <w:szCs w:val="24"/>
          <w:highlight w:val="none"/>
          <w:woUserID w:val="1"/>
        </w:rPr>
        <w:t>、教室墙地面修复</w:t>
      </w:r>
      <w:r>
        <w:rPr>
          <w:rFonts w:hint="eastAsia" w:ascii="宋体" w:hAnsi="宋体" w:eastAsia="宋体" w:cs="宋体"/>
          <w:color w:val="auto"/>
          <w:sz w:val="24"/>
          <w:szCs w:val="24"/>
          <w:highlight w:val="none"/>
        </w:rPr>
        <w:t>等施工前和施工过程中所有费用。本次采购的项目为“交钥匙工程”</w:t>
      </w:r>
      <w:r>
        <w:rPr>
          <w:rFonts w:hint="eastAsia" w:ascii="宋体" w:hAnsi="宋体" w:eastAsia="宋体" w:cs="宋体"/>
          <w:color w:val="auto"/>
          <w:sz w:val="24"/>
          <w:szCs w:val="24"/>
          <w:highlight w:val="none"/>
          <w:lang w:eastAsia="zh-CN"/>
        </w:rPr>
        <w:t>。</w:t>
      </w:r>
    </w:p>
    <w:p w14:paraId="2573FD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服务质量保证期</w:t>
      </w:r>
    </w:p>
    <w:p w14:paraId="64141B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服务质量保证期</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p>
    <w:p w14:paraId="34C222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）合同履行时间及履行地点</w:t>
      </w:r>
    </w:p>
    <w:p w14:paraId="2DE5C4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 履行时间：</w:t>
      </w:r>
      <w:r>
        <w:rPr>
          <w:rFonts w:hint="eastAsia" w:ascii="宋体" w:hAnsi="宋体" w:cs="宋体"/>
          <w:color w:val="auto"/>
          <w:sz w:val="24"/>
          <w:szCs w:val="24"/>
          <w:highlight w:val="none"/>
          <w:lang w:eastAsia="zh-CN"/>
        </w:rPr>
        <w:t>合同签订后</w:t>
      </w:r>
      <w:r>
        <w:rPr>
          <w:rFonts w:hint="default" w:ascii="宋体" w:hAnsi="宋体" w:cs="宋体"/>
          <w:color w:val="auto"/>
          <w:sz w:val="24"/>
          <w:szCs w:val="24"/>
          <w:highlight w:val="none"/>
          <w:lang w:eastAsia="zh-CN"/>
          <w:woUserID w:val="1"/>
        </w:rPr>
        <w:t>6</w:t>
      </w:r>
      <w:r>
        <w:rPr>
          <w:rFonts w:hint="eastAsia" w:ascii="宋体" w:hAnsi="宋体" w:cs="宋体"/>
          <w:color w:val="auto"/>
          <w:sz w:val="24"/>
          <w:szCs w:val="24"/>
          <w:highlight w:val="none"/>
          <w:lang w:eastAsia="zh-CN"/>
        </w:rPr>
        <w:t>0天内完成供货安装并调试完成。</w:t>
      </w:r>
    </w:p>
    <w:p w14:paraId="7E2B4B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 履行地点：金华市婺城区</w:t>
      </w:r>
      <w:r>
        <w:rPr>
          <w:rFonts w:hint="eastAsia" w:ascii="宋体" w:hAnsi="宋体" w:eastAsia="宋体" w:cs="宋体"/>
          <w:color w:val="auto"/>
          <w:sz w:val="24"/>
          <w:szCs w:val="24"/>
          <w:highlight w:val="none"/>
          <w:lang w:val="en-US" w:eastAsia="zh-CN"/>
        </w:rPr>
        <w:t>苏孟乡淳和路88号。</w:t>
      </w:r>
    </w:p>
    <w:p w14:paraId="2CBB2B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（三）付款方式：</w:t>
      </w:r>
    </w:p>
    <w:p w14:paraId="61653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合同签订后七日内，中标人须向采购人出具履约保证金保函（可在政采云平台购买）。</w:t>
      </w:r>
    </w:p>
    <w:p w14:paraId="5595CD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生效及具备实施条件后七个工作日内支付合同总款的40%为预付款（若中标人为大型企业，或合同签订时，中标人明确表示无需预付款或主动降低预付款比例的，采购单位可不适用前述规定；采购人根据项目特点、中标人诚信等因素，可要求中标人提供预付款保函或其他担保措施）</w:t>
      </w:r>
    </w:p>
    <w:p w14:paraId="1568A1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在所有货物交货安装完毕，经采购人验收合格后，采购人一次性支付至合同金额的9</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%，质保期满后支付至合同金额的100%。中标人应随付款进度提供正式税务发票。</w:t>
      </w:r>
    </w:p>
    <w:p w14:paraId="179893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预付款应在合同生效以及具备实施条件后7个工作日内支付。政府采购工程以及与工程建设有关的货物、服务，采用招标方式采购的，预付款从其相关规定。</w:t>
      </w:r>
    </w:p>
    <w:p w14:paraId="03D176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单位应当及时组织项目验收，不得以政府部门审计作为支付供应商款项的条件。采购单位对于满足合同约定支付条件的，自收到发票后7个工作日内完成向财政提交付款手续。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5289E8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（四）质量保证及后续服务</w:t>
      </w:r>
    </w:p>
    <w:p w14:paraId="3FF8EB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1.交货及完工时间：中标人在合同签订后</w:t>
      </w:r>
      <w:r>
        <w:rPr>
          <w:rFonts w:hint="default" w:ascii="宋体" w:hAnsi="宋体" w:cs="宋体"/>
          <w:color w:val="auto"/>
          <w:sz w:val="24"/>
          <w:szCs w:val="24"/>
          <w:highlight w:val="none"/>
          <w:woUserID w:val="1"/>
        </w:rPr>
        <w:t>6</w:t>
      </w:r>
      <w:r>
        <w:rPr>
          <w:rFonts w:hint="eastAsia" w:ascii="宋体" w:hAnsi="宋体" w:eastAsia="宋体" w:cs="宋体"/>
          <w:color w:val="auto"/>
          <w:sz w:val="24"/>
          <w:szCs w:val="24"/>
          <w:highlight w:val="none"/>
        </w:rPr>
        <w:t>0天内供货并安装调试完毕，同时提交完整的技术资料向采购人申请验收。</w:t>
      </w:r>
    </w:p>
    <w:p w14:paraId="3C6077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在所有货物交货安装完毕</w:t>
      </w:r>
      <w:r>
        <w:rPr>
          <w:rFonts w:hint="eastAsia" w:ascii="宋体" w:hAnsi="宋体" w:cs="宋体"/>
          <w:color w:val="auto"/>
          <w:sz w:val="24"/>
          <w:szCs w:val="24"/>
          <w:highlight w:val="none"/>
          <w:lang w:val="en-US" w:eastAsia="zh-CN"/>
        </w:rPr>
        <w:t>组织验收后，投标人需对采购使用人员进行培训。</w:t>
      </w:r>
    </w:p>
    <w:p w14:paraId="6756A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.质保期：投标人必须提供</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年的质保期。质保期从安装调试完毕、最终验收合格之日开始计算。除非采购人另有要求，质保期内的服务均为免费上门服务。</w:t>
      </w:r>
    </w:p>
    <w:p w14:paraId="1F72D9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响应时间：在质保期限内，接到用户报修电话通知后，应在4小时内上门服务，并在12小时内修复。出现故障后，中标人如未按上述要求进行响应，采购人可以采取必要的补救措施，由此产生的风险和费用全部由中标人承担。</w:t>
      </w:r>
      <w:r>
        <w:rPr>
          <w:rFonts w:hint="eastAsia" w:ascii="宋体" w:hAnsi="宋体" w:cs="宋体"/>
          <w:color w:val="auto"/>
          <w:sz w:val="24"/>
          <w:szCs w:val="24"/>
          <w:highlight w:val="none"/>
          <w:lang w:val="en-US" w:eastAsia="zh-CN"/>
        </w:rPr>
        <w:t>在质保期外，接到用户报修电话通知后，也应在4小时内上门服务，并在12小时内修复。</w:t>
      </w:r>
    </w:p>
    <w:p w14:paraId="0835FA15">
      <w:pPr>
        <w:pStyle w:val="2"/>
        <w:spacing w:before="120" w:after="24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第四章  投标人须知</w:t>
      </w:r>
      <w:bookmarkEnd w:id="21"/>
      <w:bookmarkEnd w:id="22"/>
    </w:p>
    <w:p w14:paraId="6C57E0B3">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540" w:firstLineChars="224"/>
        <w:jc w:val="both"/>
        <w:textAlignment w:val="auto"/>
        <w:rPr>
          <w:rFonts w:hint="eastAsia" w:ascii="宋体" w:hAnsi="宋体" w:eastAsia="宋体" w:cs="宋体"/>
          <w:b/>
          <w:bCs/>
          <w:color w:val="auto"/>
          <w:highlight w:val="none"/>
        </w:rPr>
      </w:pPr>
      <w:bookmarkStart w:id="23" w:name="_Toc198712702"/>
      <w:r>
        <w:rPr>
          <w:rFonts w:hint="eastAsia" w:ascii="宋体" w:hAnsi="宋体" w:eastAsia="宋体" w:cs="宋体"/>
          <w:b/>
          <w:bCs/>
          <w:color w:val="auto"/>
          <w:highlight w:val="none"/>
        </w:rPr>
        <w:t>一、总则</w:t>
      </w:r>
    </w:p>
    <w:p w14:paraId="5BA5F21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（一）适用范围</w:t>
      </w:r>
    </w:p>
    <w:p w14:paraId="04EC615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14:paraId="2DFE2B7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（二）定义</w:t>
      </w:r>
    </w:p>
    <w:p w14:paraId="2CD7EFB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1.“采购人”系指</w:t>
      </w:r>
      <w:r>
        <w:rPr>
          <w:rFonts w:hint="eastAsia" w:ascii="宋体" w:hAnsi="宋体" w:eastAsia="宋体" w:cs="宋体"/>
          <w:color w:val="auto"/>
          <w:highlight w:val="none"/>
          <w:lang w:eastAsia="zh-CN"/>
        </w:rPr>
        <w:t>金华市建设技工学校</w:t>
      </w:r>
      <w:r>
        <w:rPr>
          <w:rFonts w:hint="eastAsia" w:ascii="宋体" w:hAnsi="宋体" w:eastAsia="宋体" w:cs="宋体"/>
          <w:color w:val="auto"/>
          <w:highlight w:val="none"/>
        </w:rPr>
        <w:t>。</w:t>
      </w:r>
    </w:p>
    <w:p w14:paraId="1A82FFE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2.“投标人”系指是指响应招标、参加投标竞争的法人、其他组织或者自然人。</w:t>
      </w:r>
    </w:p>
    <w:p w14:paraId="1A9D170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3.“代理机构”系指组织招标活动的</w:t>
      </w:r>
      <w:r>
        <w:rPr>
          <w:rFonts w:hint="eastAsia" w:ascii="宋体" w:hAnsi="宋体" w:eastAsia="宋体" w:cs="宋体"/>
          <w:color w:val="auto"/>
          <w:highlight w:val="none"/>
          <w:lang w:eastAsia="zh-CN"/>
        </w:rPr>
        <w:t>浙江华杰工程咨询有限公司</w:t>
      </w:r>
      <w:r>
        <w:rPr>
          <w:rFonts w:hint="eastAsia" w:ascii="宋体" w:hAnsi="宋体" w:eastAsia="宋体" w:cs="宋体"/>
          <w:color w:val="auto"/>
          <w:highlight w:val="none"/>
        </w:rPr>
        <w:t>。</w:t>
      </w:r>
    </w:p>
    <w:p w14:paraId="40FFCE9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4.“负责人”系指法人企业的法定负责人，或其他组织为法律、行政法规规定代表单位行使职权的主要负责人，或自然人本人。</w:t>
      </w:r>
    </w:p>
    <w:p w14:paraId="67FEE804">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5.“服务”系指招标文件规定投标人须承担的与本项目有关的所有服务。</w:t>
      </w:r>
    </w:p>
    <w:p w14:paraId="487B1B4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6.“货物”系指招标文件规定投标人须向采购人提供的与本项目服务相关的一切材料、设备、机械、仪器仪表、工具及其它有关技术资料和文字材料。</w:t>
      </w:r>
    </w:p>
    <w:p w14:paraId="20C19C9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7. “电子签章”系指数据电文中以电子形式所含、所附用于识别签名人身份并表明签名人认可其中内容的数据。投标人在投标文件中的公章均为CA“电子签章”。本招标文件所涉及的法定代表人或其授权代表签字或盖章的容，如果投标单位没有法定代表人电子签章，涉及到法定代表或其授权代表签字或盖章的内容，投标单位可以线下签字或盖章后扫描上传。</w:t>
      </w:r>
    </w:p>
    <w:p w14:paraId="0704AF83">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8.“电子交易平台”是指本项目政府采购活动所依托的政府采购云平台（https://www.zcygov.cn/）。</w:t>
      </w:r>
    </w:p>
    <w:p w14:paraId="2849ED1B">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9.“★”系指实质性要求条款，“▲” 系指重要条款，“☑” 系指适用本项目的要求，“☐”系指不适用本项目的要求。</w:t>
      </w:r>
    </w:p>
    <w:p w14:paraId="6A03D35C">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（三）采购项目需要落实的政府采购政策</w:t>
      </w:r>
    </w:p>
    <w:p w14:paraId="33CFA3A5">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1.支持中小企业发展</w:t>
      </w:r>
    </w:p>
    <w:p w14:paraId="2CD5C4A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0906BE8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0207712A">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1.2在政府采购活动中，投标人提供的货物、工程或者服务符合下列情形的，享受中小企业扶持政策：</w:t>
      </w:r>
    </w:p>
    <w:p w14:paraId="365DAB27">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在服务采购项目中，服务由中小企业承接，即提供服务的人员为中小企业依照《中华人民共和国劳动合同法》订立劳动合同的从业人员。</w:t>
      </w:r>
    </w:p>
    <w:p w14:paraId="1EB01647">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1.3符合《关于促进残疾人就业政府采购政策的通知》（财库〔2017〕141号）规定的条件并提供《残疾人福利性单位声明函》的残疾人福利性单位视同小型、微型企业；</w:t>
      </w:r>
    </w:p>
    <w:p w14:paraId="1B76033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03E19C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1.5可享受中小企业扶持政策的投标人应按照采购文件格式要求提供《中小企业声明函》，投标人提供的《中小企业声明函》与实际情况不符的，不享受中小企业扶持政策。声明内容不实的，属于提供虚假材料谋取成交、成交的，依法承担法律责任。</w:t>
      </w:r>
    </w:p>
    <w:p w14:paraId="11A6EBA3">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1.6中小企业享受扶持政策获得政府采购合同的，小微企业不得将合同分包给大中型企业，中型企业不得将合同分包给大型企业。</w:t>
      </w:r>
    </w:p>
    <w:p w14:paraId="6C1A1F15">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r>
        <w:rPr>
          <w:rFonts w:hint="eastAsia" w:ascii="宋体" w:hAnsi="宋体" w:eastAsia="宋体" w:cs="宋体"/>
          <w:bCs/>
          <w:color w:val="auto"/>
          <w:highlight w:val="none"/>
        </w:rPr>
        <w:t>根据财库[2020]46 号文件《政府采购促进中小企业发展管理办法》和财库[2022]19号文件《关于进一步加大政府采购支持中小企业力度的通知》的要求，对小型和微型企业服务的价格给予20%扣除，用扣除后的价格参与评审（需主动提供小微企业声明函，否则不予扣），</w:t>
      </w:r>
      <w:r>
        <w:rPr>
          <w:rFonts w:hint="eastAsia" w:ascii="宋体" w:hAnsi="宋体" w:eastAsia="宋体" w:cs="宋体"/>
          <w:color w:val="auto"/>
          <w:highlight w:val="none"/>
        </w:rPr>
        <w:t>对于分包意向协议约定小微企业的合同份额占到合同总金额30%以上的，评审优惠幅度为6%</w:t>
      </w:r>
      <w:r>
        <w:rPr>
          <w:rFonts w:hint="eastAsia" w:ascii="宋体" w:hAnsi="宋体" w:eastAsia="宋体" w:cs="宋体"/>
          <w:bCs/>
          <w:color w:val="auto"/>
          <w:highlight w:val="none"/>
        </w:rPr>
        <w:t>。监狱企业提供由省级以上监狱管理局、戒毒管理局（含新疆生产建设兵团）出具的监狱企业的证明文件视同小微企业，残疾人福利性企业提供《残疾人福利性单位声明函》的视同小微企业，同样享受上述优惠扣除。</w:t>
      </w:r>
      <w:r>
        <w:rPr>
          <w:rFonts w:hint="eastAsia" w:ascii="宋体" w:hAnsi="宋体" w:eastAsia="宋体" w:cs="宋体"/>
          <w:color w:val="auto"/>
          <w:highlight w:val="none"/>
        </w:rPr>
        <w:t>政府采购工程的价格评审优惠按照财库〔2020〕46号文件的规定执行。</w:t>
      </w:r>
    </w:p>
    <w:p w14:paraId="41D68110">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（四）投标费用</w:t>
      </w:r>
    </w:p>
    <w:p w14:paraId="7128747A">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无论投标过程中的做法和结果如何，投标人自行承担所有与参加投标有关的费用，投标人取得中标资格后，须向招标代理机构支付中标服务费（详见前附表）。</w:t>
      </w:r>
      <w:r>
        <w:rPr>
          <w:rFonts w:hint="eastAsia" w:ascii="宋体" w:hAnsi="宋体" w:eastAsia="宋体" w:cs="宋体"/>
          <w:b/>
          <w:bCs/>
          <w:color w:val="auto"/>
          <w:highlight w:val="none"/>
        </w:rPr>
        <w:t>因中标人原因放弃中标资格的，须正常向代理机构支付服务费，并由代理机构上报财政，作相应处理。</w:t>
      </w:r>
    </w:p>
    <w:p w14:paraId="3B5774F2">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（五）特别说明：</w:t>
      </w:r>
    </w:p>
    <w:p w14:paraId="057C55E6">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1.投标人投标所使用的资格、信誉、荣誉、业绩与企业认证必须为本法人所拥有。</w:t>
      </w:r>
    </w:p>
    <w:p w14:paraId="2AD0E76C">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2.投标人应仔细阅读招标文件的所有内容，按照招标文件的要求提交投标文件，并对所提供的全部资料的真实性承担法律责任。</w:t>
      </w:r>
    </w:p>
    <w:p w14:paraId="03C8A60B">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3.投标人应仔细阅读</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的所有内容，按</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的要求提供投标文件，并保证所提供的全部资料的真实性，以使其投标对</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的实质性要求做出完全响应，否则其投标将被拒绝。</w:t>
      </w:r>
    </w:p>
    <w:p w14:paraId="2DCA3385">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4.投标人应按照招标文件要求及有关资料编制投标文件，并保证投标文件的正确性和真实性，所有文件资料必须是针对本次招标。</w:t>
      </w:r>
    </w:p>
    <w:p w14:paraId="268EEA8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（六）现场踏勘</w:t>
      </w:r>
    </w:p>
    <w:p w14:paraId="4E8BBE9C">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1.不组织集中踏勘，由各投标人自行安排。投标人在踏勘过程中发生的各类事件和所发生的各项费用，均由投标人自行承担，采购人和代理机构概不负责。</w:t>
      </w:r>
    </w:p>
    <w:p w14:paraId="15D5FC53">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2.采购人向投标人提供的有关现场的数据和资料，是采购人现有的能被投标人利用的资料，采购人对投标人据此做出的任何推论、理解和结论不负责任。</w:t>
      </w:r>
    </w:p>
    <w:p w14:paraId="2425D95F">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（七）询问、质疑、投诉</w:t>
      </w:r>
    </w:p>
    <w:p w14:paraId="51ED903A">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1.询问</w:t>
      </w:r>
    </w:p>
    <w:p w14:paraId="62D83DA8">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B94780">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w:t>
      </w:r>
    </w:p>
    <w:p w14:paraId="08C8BB17">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2.1提出质疑的供应商应当是参与所质疑项目采购活动的供应商。潜在供应商已依法获取其可质疑的招标文件的，可以对该文件提出质疑。</w:t>
      </w:r>
    </w:p>
    <w:p w14:paraId="15897AD3">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2</w:t>
      </w:r>
      <w:r>
        <w:rPr>
          <w:rFonts w:hint="eastAsia" w:ascii="宋体" w:hAnsi="宋体" w:eastAsia="宋体" w:cs="宋体"/>
          <w:color w:val="auto"/>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AB426DB">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highlight w:val="none"/>
        </w:rPr>
        <w:t>（1）</w:t>
      </w:r>
      <w:r>
        <w:rPr>
          <w:rFonts w:hint="eastAsia" w:ascii="宋体" w:hAnsi="宋体" w:eastAsia="宋体" w:cs="宋体"/>
          <w:color w:val="auto"/>
          <w:kern w:val="2"/>
          <w:highlight w:val="none"/>
        </w:rPr>
        <w:t>对招标文件提出质疑的，质疑期限为供应商获得招标文件之日或者招标文件公告期限届满之日起计算。</w:t>
      </w:r>
    </w:p>
    <w:p w14:paraId="4CBBF99B">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（2）对采购过程提出质疑的，质疑期限为各采购程序环节结束之日起计算。对同一采购程序环节的质疑，供应商须一次性提出。</w:t>
      </w:r>
    </w:p>
    <w:p w14:paraId="7A65A5DF">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（3）对采购结果提出质疑的，质疑期限自采购结果公告期限届满之日起计算。</w:t>
      </w:r>
    </w:p>
    <w:p w14:paraId="5DCE75A4">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2.3供应商提出质疑应当提交质疑函和必要的证明材料。质疑函应当包括下列内容：</w:t>
      </w:r>
    </w:p>
    <w:p w14:paraId="6B0DE173">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17BE3EC">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6EEFDD3">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64AEE63D">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9734FEC">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BD7CDD">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2702532">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2.4采购人或者采购代理机构应当在收到供应商的书面质疑后7个工作日内作出答复，并以书面形式通知质疑供应商和其他与质疑处理结果有利害关系的政府采购当事人，但答复的内容不得涉及商业秘密。</w:t>
      </w:r>
    </w:p>
    <w:p w14:paraId="3EB0C461">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2.5投标人须在法定质疑期内一次性提出针对同一采购程序环节的质疑。未按上述要求提供的质疑函，采购代理机构不予受理。</w:t>
      </w:r>
    </w:p>
    <w:p w14:paraId="7AE1D09F">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3.投诉</w:t>
      </w:r>
    </w:p>
    <w:p w14:paraId="5FC47475">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3.1质疑供应商对采购人、采购代理机构的答复不满意或者采购人、采购代理机构未在规定的时间内作出答复的，可以在答复期满后15个工作日内向同级政府采购监督管理部门提出投诉。</w:t>
      </w:r>
    </w:p>
    <w:p w14:paraId="3B2BD54E">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3.2供应商投诉的事项不得超出已质疑事项的范围，基于质疑答复内容提出的投诉事项除外。</w:t>
      </w:r>
    </w:p>
    <w:p w14:paraId="26A95B42">
      <w:pPr>
        <w:keepNext w:val="0"/>
        <w:keepLines w:val="0"/>
        <w:pageBreakBefore w:val="0"/>
        <w:kinsoku/>
        <w:wordWrap/>
        <w:overflowPunct/>
        <w:topLinePunct w:val="0"/>
        <w:autoSpaceDE/>
        <w:autoSpaceDN/>
        <w:bidi w:val="0"/>
        <w:spacing w:line="336"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3.3供应商投诉应当有明确的请求和必要的证明材料。</w:t>
      </w:r>
    </w:p>
    <w:p w14:paraId="0E638D2E">
      <w:pPr>
        <w:keepNext w:val="0"/>
        <w:keepLines w:val="0"/>
        <w:pageBreakBefore w:val="0"/>
        <w:kinsoku/>
        <w:wordWrap/>
        <w:overflowPunct/>
        <w:topLinePunct w:val="0"/>
        <w:autoSpaceDE/>
        <w:autoSpaceDN/>
        <w:bidi w:val="0"/>
        <w:spacing w:line="336"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质疑函范本、投诉书范本请到浙江政府采购网下载专区下载</w:t>
      </w:r>
      <w:r>
        <w:rPr>
          <w:rFonts w:hint="eastAsia" w:ascii="宋体" w:hAnsi="宋体" w:eastAsia="宋体" w:cs="宋体"/>
          <w:color w:val="auto"/>
          <w:highlight w:val="none"/>
        </w:rPr>
        <w:t>。</w:t>
      </w:r>
    </w:p>
    <w:p w14:paraId="09BBBEF3">
      <w:pPr>
        <w:keepNext w:val="0"/>
        <w:keepLines w:val="0"/>
        <w:pageBreakBefore w:val="0"/>
        <w:kinsoku/>
        <w:wordWrap/>
        <w:overflowPunct/>
        <w:topLinePunct w:val="0"/>
        <w:autoSpaceDE/>
        <w:autoSpaceDN/>
        <w:bidi w:val="0"/>
        <w:spacing w:line="336" w:lineRule="auto"/>
        <w:ind w:firstLine="48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二、招标文件构成、澄清、修改</w:t>
      </w:r>
    </w:p>
    <w:p w14:paraId="3785067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（一）招标文件的构成：</w:t>
      </w:r>
    </w:p>
    <w:p w14:paraId="66BBC6B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1FA20694">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2.前附表</w:t>
      </w:r>
    </w:p>
    <w:p w14:paraId="0CE654C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3.项目技术规范和要求</w:t>
      </w:r>
    </w:p>
    <w:p w14:paraId="670BF2C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4.投标人须知</w:t>
      </w:r>
    </w:p>
    <w:p w14:paraId="0FF7CDB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5.评标办法</w:t>
      </w:r>
    </w:p>
    <w:p w14:paraId="2CDE8989">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6.合同范本</w:t>
      </w:r>
    </w:p>
    <w:p w14:paraId="7DC8CD0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14:paraId="72A6F32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8.本项目招标文件的澄清、答复、修改、补充的内容</w:t>
      </w:r>
    </w:p>
    <w:p w14:paraId="2E3EF17B">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（二）招标文件的澄清与修改 </w:t>
      </w:r>
    </w:p>
    <w:p w14:paraId="43784370">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1.已获取招标文件的潜在投标人，若有问题需要澄清，应于投标截止时间前，以书面形式向采购代理机构提出。</w:t>
      </w:r>
    </w:p>
    <w:p w14:paraId="21B23830">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6893FE">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540" w:firstLineChars="224"/>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w:t>
      </w:r>
    </w:p>
    <w:p w14:paraId="374EE904">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（一）投标保证金</w:t>
      </w:r>
    </w:p>
    <w:p w14:paraId="55226F6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本项目不需缴纳投标保证金。</w:t>
      </w:r>
    </w:p>
    <w:p w14:paraId="1912B86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（二）投标文件的语言</w:t>
      </w:r>
    </w:p>
    <w:p w14:paraId="3AAAC873">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投标文件及投标人与采购有关的来往通知、函件和文件均应使用中文。</w:t>
      </w:r>
    </w:p>
    <w:p w14:paraId="1936426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（三）计量单位</w:t>
      </w:r>
    </w:p>
    <w:p w14:paraId="162145CC">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除在招标文件中另有规定外，计量单位应使用中华人民共和国法定计量单位（国际单位制和国家选定的其他计量单位）。</w:t>
      </w:r>
    </w:p>
    <w:p w14:paraId="4F300DB7">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（四）投标文件的组成</w:t>
      </w:r>
    </w:p>
    <w:p w14:paraId="2A4F7763">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bCs/>
          <w:color w:val="auto"/>
          <w:highlight w:val="none"/>
        </w:rPr>
      </w:pPr>
      <w:bookmarkStart w:id="24" w:name="_Hlk94089038"/>
      <w:r>
        <w:rPr>
          <w:rFonts w:hint="eastAsia" w:ascii="宋体" w:hAnsi="宋体" w:eastAsia="宋体" w:cs="宋体"/>
          <w:b/>
          <w:bCs/>
          <w:color w:val="auto"/>
          <w:highlight w:val="none"/>
        </w:rPr>
        <w:t>1.资格文件</w:t>
      </w:r>
      <w:r>
        <w:rPr>
          <w:rFonts w:hint="eastAsia" w:ascii="宋体" w:hAnsi="宋体" w:eastAsia="宋体" w:cs="宋体"/>
          <w:color w:val="auto"/>
          <w:highlight w:val="none"/>
        </w:rPr>
        <w:t>（</w:t>
      </w:r>
      <w:r>
        <w:rPr>
          <w:rFonts w:hint="eastAsia" w:ascii="宋体" w:hAnsi="宋体" w:eastAsia="宋体" w:cs="宋体"/>
          <w:b/>
          <w:color w:val="auto"/>
          <w:highlight w:val="none"/>
          <w:u w:val="single"/>
        </w:rPr>
        <w:t>未提供齐全将导致资格审查不通过，投标文件无效</w:t>
      </w:r>
      <w:r>
        <w:rPr>
          <w:rFonts w:hint="eastAsia" w:ascii="宋体" w:hAnsi="宋体" w:eastAsia="宋体" w:cs="宋体"/>
          <w:color w:val="auto"/>
          <w:highlight w:val="none"/>
        </w:rPr>
        <w:t>）</w:t>
      </w:r>
    </w:p>
    <w:p w14:paraId="0612D2B5">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bookmarkStart w:id="25" w:name="_Hlk114148040"/>
      <w:r>
        <w:rPr>
          <w:rFonts w:hint="eastAsia" w:ascii="宋体" w:hAnsi="宋体" w:eastAsia="宋体" w:cs="宋体"/>
          <w:color w:val="auto"/>
          <w:highlight w:val="none"/>
        </w:rPr>
        <w:t>（1）法定代表人（负责人）授权委托书（格式见附件1）；（法定代表人（负责人）作为投标人代表时，提供法定代表人（负责人）身份证明书即可，格式见附件1)；</w:t>
      </w:r>
    </w:p>
    <w:p w14:paraId="6D904FC3">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（2）符合投标人资格条件的审查材料：</w:t>
      </w:r>
    </w:p>
    <w:p w14:paraId="526C38F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2.1）营业执照（或事业法人登记证或其他工商等登记证明材料）；</w:t>
      </w:r>
    </w:p>
    <w:p w14:paraId="2AB18F6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2.2) 良好的商业信誉和健全的财务会计制度声明函（格式见附件2）；</w:t>
      </w:r>
    </w:p>
    <w:p w14:paraId="2FA6B63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2.3）依法缴纳税收和社会保障资金的材料（或有依法缴纳税收和社会保障资金的声明函，格式见附件3）；</w:t>
      </w:r>
    </w:p>
    <w:p w14:paraId="04DB779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2.4）符合资格条件的申明函（格式见附件4)；</w:t>
      </w:r>
    </w:p>
    <w:p w14:paraId="053D4F59">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2.5）与参加本次项目同一合同项下政府采购活动的其他供应商不存在单位负责人为同一人或者直接控股、管理关系的声明函（格式见附件5)；</w:t>
      </w:r>
    </w:p>
    <w:p w14:paraId="511032A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2.落实政府采购政策需满足的资格要求：详见公告</w:t>
      </w:r>
    </w:p>
    <w:p w14:paraId="17A1DCE9">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3.“本项目的特定资格要求”中规定的相关证书复印件：详见公告</w:t>
      </w:r>
    </w:p>
    <w:bookmarkEnd w:id="25"/>
    <w:p w14:paraId="7520B707">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2.商务技术文件</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含视频演示文件</w:t>
      </w:r>
      <w:r>
        <w:rPr>
          <w:rFonts w:hint="eastAsia" w:ascii="宋体" w:hAnsi="宋体" w:cs="宋体"/>
          <w:b/>
          <w:color w:val="auto"/>
          <w:highlight w:val="none"/>
          <w:lang w:eastAsia="zh-CN"/>
        </w:rPr>
        <w:t>）</w:t>
      </w:r>
    </w:p>
    <w:p w14:paraId="1EF94A67">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2.1投标函。</w:t>
      </w:r>
    </w:p>
    <w:p w14:paraId="513FAD43">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2.2法定代表人（负责人）授权委托书（法定代表人或负责人亲自参加的仅须提供身份证复印件）；</w:t>
      </w:r>
    </w:p>
    <w:p w14:paraId="642877B3">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2.3服务要求偏离表。（投标人拟提供的服务要求与</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中的要求不一致时，则必须在《服务要求偏离表》中予以明确，否则将视为投标人完全响应</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的要求，并以</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作为合同条件。）</w:t>
      </w:r>
    </w:p>
    <w:p w14:paraId="53E4C2BB">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2.4投标产品技术参数明细表（均不含报价）。</w:t>
      </w:r>
    </w:p>
    <w:p w14:paraId="7CB8A5FD">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2.5技术规格响应表。</w:t>
      </w:r>
    </w:p>
    <w:p w14:paraId="66CE53C3">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2.6项目实施人员一览表。</w:t>
      </w:r>
    </w:p>
    <w:p w14:paraId="717AC6BA">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2.7拟投入本项目的设备明细表。（如有）</w:t>
      </w:r>
    </w:p>
    <w:p w14:paraId="57D70205">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2.8服务</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（例：</w:t>
      </w:r>
      <w:r>
        <w:rPr>
          <w:rFonts w:hint="eastAsia" w:ascii="宋体" w:hAnsi="宋体" w:eastAsia="宋体" w:cs="宋体"/>
          <w:b w:val="0"/>
          <w:bCs w:val="0"/>
          <w:color w:val="auto"/>
          <w:sz w:val="24"/>
          <w:highlight w:val="none"/>
        </w:rPr>
        <w:t>供货保障和售后服务措施</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kern w:val="0"/>
          <w:sz w:val="24"/>
          <w:szCs w:val="24"/>
          <w:highlight w:val="none"/>
          <w:lang w:eastAsia="zh-CN"/>
        </w:rPr>
        <w:t>培训方案</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技术</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人员情况等</w:t>
      </w:r>
      <w:r>
        <w:rPr>
          <w:rFonts w:hint="eastAsia" w:ascii="宋体" w:hAnsi="宋体" w:eastAsia="宋体" w:cs="宋体"/>
          <w:color w:val="auto"/>
          <w:highlight w:val="none"/>
        </w:rPr>
        <w:t>，其他服务措施及承诺）。</w:t>
      </w:r>
    </w:p>
    <w:p w14:paraId="2A6D720E">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2.9投标人情况：</w:t>
      </w:r>
    </w:p>
    <w:p w14:paraId="7199B2E4">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（1）单位简介；</w:t>
      </w:r>
    </w:p>
    <w:p w14:paraId="5DA389D9">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 w:val="24"/>
          <w:szCs w:val="24"/>
          <w:highlight w:val="none"/>
        </w:rPr>
        <w:t>投标人质量管理和质量保证体系及信用等方面的认证证书</w:t>
      </w:r>
      <w:r>
        <w:rPr>
          <w:rFonts w:hint="eastAsia" w:ascii="宋体" w:hAnsi="宋体" w:eastAsia="宋体" w:cs="宋体"/>
          <w:color w:val="auto"/>
          <w:highlight w:val="none"/>
        </w:rPr>
        <w:t>（如有）</w:t>
      </w:r>
    </w:p>
    <w:p w14:paraId="07666B07">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val="0"/>
          <w:bCs w:val="0"/>
          <w:color w:val="auto"/>
          <w:sz w:val="24"/>
          <w:szCs w:val="24"/>
          <w:highlight w:val="none"/>
        </w:rPr>
        <w:t>与投标产品相关的各项检测报告</w:t>
      </w:r>
      <w:r>
        <w:rPr>
          <w:rFonts w:hint="eastAsia" w:ascii="宋体" w:hAnsi="宋体" w:eastAsia="宋体" w:cs="宋体"/>
          <w:b w:val="0"/>
          <w:bCs w:val="0"/>
          <w:color w:val="auto"/>
          <w:sz w:val="24"/>
          <w:szCs w:val="24"/>
          <w:highlight w:val="none"/>
          <w:lang w:eastAsia="zh-CN"/>
        </w:rPr>
        <w:t>（如有）</w:t>
      </w:r>
    </w:p>
    <w:p w14:paraId="52094300">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（3）同类业绩证明（如有）；</w:t>
      </w:r>
    </w:p>
    <w:p w14:paraId="76E5FA35">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2.10评标标准相应的商务技术资料。</w:t>
      </w:r>
    </w:p>
    <w:p w14:paraId="6408A02B">
      <w:pPr>
        <w:pStyle w:val="20"/>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2.11 评标办法中所述的其他评分证明资料。</w:t>
      </w:r>
    </w:p>
    <w:p w14:paraId="126D45FF">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3.报价文件</w:t>
      </w:r>
    </w:p>
    <w:p w14:paraId="7BEDA268">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（1）投标函；</w:t>
      </w:r>
    </w:p>
    <w:p w14:paraId="36AF1F3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（2）开标一览表 ；</w:t>
      </w:r>
    </w:p>
    <w:p w14:paraId="3244E4E9">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（3）投标人针对报价需要说明的其他文件和说明（如有）。</w:t>
      </w:r>
    </w:p>
    <w:p w14:paraId="25E8F288">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color w:val="auto"/>
          <w:highlight w:val="none"/>
        </w:rPr>
      </w:pPr>
      <w:r>
        <w:rPr>
          <w:rFonts w:hint="eastAsia" w:ascii="宋体" w:hAnsi="宋体" w:eastAsia="宋体" w:cs="宋体"/>
          <w:b/>
          <w:color w:val="auto"/>
          <w:highlight w:val="none"/>
        </w:rPr>
        <w:t>资格文件和商务技术文件不得出现报价，否则作无效标处理。</w:t>
      </w:r>
    </w:p>
    <w:bookmarkEnd w:id="24"/>
    <w:p w14:paraId="30BC926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★（五）投标报价</w:t>
      </w:r>
    </w:p>
    <w:p w14:paraId="7E5D904B">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有关本项目实施所需的所有费用包括但不限于人工费、服务费、系统费、材料配件费、差旅费、管理费、代理成交服务费、项目验收费、利润和税金、政策性文件规定及合同包含的所有风险及责任等各项应有费用均计入报价</w:t>
      </w:r>
      <w:r>
        <w:rPr>
          <w:rFonts w:hint="eastAsia" w:ascii="宋体" w:hAnsi="宋体" w:eastAsia="宋体" w:cs="宋体"/>
          <w:color w:val="auto"/>
          <w:highlight w:val="none"/>
        </w:rPr>
        <w:t>。招标文件未列明，而投标人认为必需的费用也需列入报价。</w:t>
      </w:r>
    </w:p>
    <w:p w14:paraId="50ED052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2.报价口径详见前附表。</w:t>
      </w:r>
    </w:p>
    <w:p w14:paraId="1468A05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3.投标人根据企业内部的管理水平，结合市场综合分析后自主确定。投标人报价时需考虑以下因素：</w:t>
      </w:r>
    </w:p>
    <w:p w14:paraId="6E3BC03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3.1因国家政策性调整或市场供求关系引起的各种材料、货物的价格调整。</w:t>
      </w:r>
    </w:p>
    <w:p w14:paraId="6058E690">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3.2其它各种风险和费用。</w:t>
      </w:r>
    </w:p>
    <w:p w14:paraId="5DCEF557">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4.</w:t>
      </w:r>
      <w:r>
        <w:rPr>
          <w:rFonts w:hint="eastAsia" w:ascii="宋体" w:hAnsi="宋体" w:eastAsia="宋体" w:cs="宋体"/>
          <w:b/>
          <w:color w:val="auto"/>
          <w:highlight w:val="none"/>
          <w:lang w:eastAsia="zh-CN"/>
        </w:rPr>
        <w:t>未按招标文件报价要求进行报价</w:t>
      </w:r>
      <w:r>
        <w:rPr>
          <w:rFonts w:hint="eastAsia" w:ascii="宋体" w:hAnsi="宋体" w:eastAsia="宋体" w:cs="宋体"/>
          <w:b/>
          <w:color w:val="auto"/>
          <w:highlight w:val="none"/>
        </w:rPr>
        <w:t>的投标作无效标处理。</w:t>
      </w:r>
    </w:p>
    <w:p w14:paraId="7AC2E488">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5.投标文件只允许有一个报价，有选择的或有条件的报价作无效标处理。</w:t>
      </w:r>
    </w:p>
    <w:p w14:paraId="63CD4237">
      <w:pPr>
        <w:keepNext w:val="0"/>
        <w:keepLines w:val="0"/>
        <w:pageBreakBefore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（六）投标文件的编制</w:t>
      </w:r>
    </w:p>
    <w:p w14:paraId="77C7F98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1.投标文件分为资格文件、商务技术文件、报价文件三部分。各投标人在编制投标文件时请参照招标文件第七章的格式进行，混乱的编排导致投标文件被误读或评标委员会查找不到有效文件是投标人的风险。</w:t>
      </w:r>
    </w:p>
    <w:p w14:paraId="1D46C8FA">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2.投标人进行电子投标应安装客户端软件—“政采云电子交易客户端”，并按照招标文件和电子交易平台的要求编制并加密投标文件。投标人未按规定加密的投标文件，电子交易平台将拒收并提示。</w:t>
      </w:r>
    </w:p>
    <w:p w14:paraId="6D1822D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3.使用“政采云电子交易客户端”需要提前申领CA数字证书，申领流程请自行前往“浙江政府采购网-下载专区-电子交易客户端-CA驱动和申领流程”进行查阅。</w:t>
      </w:r>
    </w:p>
    <w:p w14:paraId="1E47D314">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（七）投标文件的签署、盖章</w:t>
      </w:r>
    </w:p>
    <w:p w14:paraId="21F69FB5">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1.投标文件按照招标文件第七章格式要求进行签署、盖章。</w:t>
      </w:r>
      <w:r>
        <w:rPr>
          <w:rFonts w:hint="eastAsia" w:ascii="宋体" w:hAnsi="宋体" w:eastAsia="宋体" w:cs="宋体"/>
          <w:b/>
          <w:bCs/>
          <w:color w:val="auto"/>
          <w:highlight w:val="none"/>
        </w:rPr>
        <w:t>★投标人的投标文件未按照招标文件要求签署、盖章的，其投标无效。</w:t>
      </w:r>
    </w:p>
    <w:p w14:paraId="126ECE15">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2.为确保网上操作合法、有效和安全，投标人应当在投标截止时间前完成在“政府采购云平台”的身份认证，确保在电子投标过程中能够对相关数据电文进行加密和使用电子签章。</w:t>
      </w:r>
    </w:p>
    <w:p w14:paraId="7C5E9C3C">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3.招标文件对投标文件签署、盖章的要求适用于电子签章。</w:t>
      </w:r>
    </w:p>
    <w:p w14:paraId="3F770CD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bookmarkStart w:id="26" w:name="_Hlk93998502"/>
      <w:r>
        <w:rPr>
          <w:rFonts w:hint="eastAsia" w:ascii="宋体" w:hAnsi="宋体" w:eastAsia="宋体" w:cs="宋体"/>
          <w:color w:val="auto"/>
          <w:highlight w:val="none"/>
        </w:rPr>
        <w:t>（八） 投标文件的提交、补充、修改、撤回</w:t>
      </w:r>
    </w:p>
    <w:p w14:paraId="67248CBB">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A651B5">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2.电子交易平台收到投标文件，将妥善保存并即时向供应商发出确认回执通知。在投标截止时间前，除供应商补充、修改或者撤回投标文件外，任何单位和个人不得解密或提取投标文件。</w:t>
      </w:r>
    </w:p>
    <w:p w14:paraId="7A73C3E2">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3.采购人、采购代理机构可以视情况延长投标文件提交的截止时间。</w:t>
      </w:r>
    </w:p>
    <w:bookmarkEnd w:id="26"/>
    <w:p w14:paraId="3896A1D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（九）备份投标文件</w:t>
      </w:r>
    </w:p>
    <w:p w14:paraId="2112B07D">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1.投标人在电子交易平台传输递交投标文件后，可自行选择是否递交备份电子投标文件，递交事项详见前附表。</w:t>
      </w:r>
      <w:r>
        <w:rPr>
          <w:rFonts w:hint="eastAsia" w:ascii="宋体" w:hAnsi="宋体" w:eastAsia="宋体" w:cs="宋体"/>
          <w:b/>
          <w:bCs/>
          <w:color w:val="auto"/>
          <w:kern w:val="2"/>
          <w:highlight w:val="none"/>
        </w:rPr>
        <w:t>“电子备份投标文件”为非强制性要求，但如遇投标人未按时解密成功且未提供“电子备份投标文件”的，作投标无效处理，后果由投标人自负。</w:t>
      </w:r>
    </w:p>
    <w:p w14:paraId="5646C056">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color w:val="auto"/>
          <w:highlight w:val="none"/>
        </w:rPr>
      </w:pPr>
      <w:r>
        <w:rPr>
          <w:rFonts w:hint="eastAsia" w:ascii="宋体" w:hAnsi="宋体" w:eastAsia="宋体" w:cs="宋体"/>
          <w:b/>
          <w:color w:val="auto"/>
          <w:highlight w:val="none"/>
        </w:rPr>
        <w:t>2.投标人仅提交电子备份投标文件，没有在电子交易平台传输递交投标文件的，投标无效。</w:t>
      </w:r>
    </w:p>
    <w:p w14:paraId="63B287CC">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（十）投标有效期</w:t>
      </w:r>
    </w:p>
    <w:p w14:paraId="6EA9285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1.自投标截止日起90天投标文件应保持有效。</w:t>
      </w:r>
      <w:r>
        <w:rPr>
          <w:rFonts w:hint="eastAsia" w:ascii="宋体" w:hAnsi="宋体" w:eastAsia="宋体" w:cs="宋体"/>
          <w:b/>
          <w:color w:val="auto"/>
          <w:highlight w:val="none"/>
        </w:rPr>
        <w:t>投标人的投标文件中承诺的投标有效期少于招标文件中载明的投标有效期的，投标无效。</w:t>
      </w:r>
    </w:p>
    <w:p w14:paraId="46CD896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2.投标文件合格投递后，自投标截止日期起，在投标有效期内有效。</w:t>
      </w:r>
    </w:p>
    <w:p w14:paraId="7F84290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05DE413F">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（十一）投标无效的情形</w:t>
      </w:r>
    </w:p>
    <w:p w14:paraId="4FEBCB17">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1.投标人不具备招标文件中规定的资格要求的（投标人未提供有效的资格文件的，视为投标人不具备招标文件中规定的资格要求）；</w:t>
      </w:r>
    </w:p>
    <w:p w14:paraId="35CEAFAE">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2.投标人仅提交备份投标文件，没有在电子交易平台传输递交投标文件的；</w:t>
      </w:r>
    </w:p>
    <w:p w14:paraId="3AD4B3F4">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3.投标文件未按照招标文件要求签署、盖章的；</w:t>
      </w:r>
    </w:p>
    <w:p w14:paraId="77601E11">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4.投标文件不满足招标文件的实质性要求的；</w:t>
      </w:r>
    </w:p>
    <w:p w14:paraId="4206FDD5">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5.允许偏离的技术、性能指标或者辅助功能项目发生负偏离与招标文件的要求存在差异并严重影响项目实施的，经评标委员会集体（少数服从多数原则）认定确属的；</w:t>
      </w:r>
    </w:p>
    <w:p w14:paraId="15DAFF19">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6.投标方案不明确，存在一个或一个以上备选（替代）投标方案的；</w:t>
      </w:r>
    </w:p>
    <w:p w14:paraId="1B0F4891">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7.投标人提供虚假材料投标的；（包括中标后发现的）</w:t>
      </w:r>
    </w:p>
    <w:p w14:paraId="5AE3FF6C">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8.投标人所提供的样品（如有）参数与其投标文件承诺参数明显不符的；</w:t>
      </w:r>
    </w:p>
    <w:p w14:paraId="1C4960D5">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9.投标文件有采购人不能接受的附加条件的；</w:t>
      </w:r>
    </w:p>
    <w:p w14:paraId="27EACD92">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10.资格文件或商务技术文件中包含有本次投标报价内容的；</w:t>
      </w:r>
    </w:p>
    <w:p w14:paraId="3F8856C1">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11.投标报价未按照招标文件标明报价口径进行报价的；</w:t>
      </w:r>
    </w:p>
    <w:p w14:paraId="1457CA02">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12.投标报价</w:t>
      </w:r>
      <w:r>
        <w:rPr>
          <w:rFonts w:hint="eastAsia" w:ascii="宋体" w:hAnsi="宋体" w:eastAsia="宋体" w:cs="宋体"/>
          <w:color w:val="auto"/>
          <w:highlight w:val="none"/>
          <w:lang w:eastAsia="zh-CN"/>
        </w:rPr>
        <w:t>未按招标文件要求进行报价</w:t>
      </w:r>
      <w:r>
        <w:rPr>
          <w:rFonts w:hint="eastAsia" w:ascii="宋体" w:hAnsi="宋体" w:eastAsia="宋体" w:cs="宋体"/>
          <w:color w:val="auto"/>
          <w:highlight w:val="none"/>
        </w:rPr>
        <w:t>的；</w:t>
      </w:r>
    </w:p>
    <w:p w14:paraId="28EF8700">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13.投标报价具有选择性，投标人在一套投标文件中对同一项目有二个或多个报价，且未声明哪个有效的；</w:t>
      </w:r>
    </w:p>
    <w:p w14:paraId="7509B0B5">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14.投标报价出现计算或表达上的错误，投标人拒绝修正的；</w:t>
      </w:r>
    </w:p>
    <w:p w14:paraId="52CE2A49">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15.评标委员会认为投标人的报价</w:t>
      </w:r>
      <w:r>
        <w:rPr>
          <w:rFonts w:hint="eastAsia" w:ascii="宋体" w:hAnsi="宋体" w:eastAsia="宋体" w:cs="宋体"/>
          <w:color w:val="auto"/>
          <w:highlight w:val="none"/>
          <w:lang w:eastAsia="zh-CN"/>
        </w:rPr>
        <w:t>（下浮后的价格）</w:t>
      </w:r>
      <w:r>
        <w:rPr>
          <w:rFonts w:hint="eastAsia" w:ascii="宋体" w:hAnsi="宋体" w:eastAsia="宋体" w:cs="宋体"/>
          <w:color w:val="auto"/>
          <w:highlight w:val="none"/>
        </w:rPr>
        <w:t>明显低于其他通过符合性审查投标人的报价</w:t>
      </w:r>
      <w:r>
        <w:rPr>
          <w:rFonts w:hint="eastAsia" w:ascii="宋体" w:hAnsi="宋体" w:eastAsia="宋体" w:cs="宋体"/>
          <w:color w:val="auto"/>
          <w:highlight w:val="none"/>
          <w:lang w:eastAsia="zh-CN"/>
        </w:rPr>
        <w:t>（下浮后的价格）</w:t>
      </w:r>
      <w:r>
        <w:rPr>
          <w:rFonts w:hint="eastAsia" w:ascii="宋体" w:hAnsi="宋体" w:eastAsia="宋体" w:cs="宋体"/>
          <w:color w:val="auto"/>
          <w:highlight w:val="none"/>
        </w:rPr>
        <w:t>，有可能影响产品质量或者不能诚信履约的，应当要求其在评标现场合理的时间内提供书面说明，必要时提交相关证明材料；投标人不能证明其报价合理性的；。</w:t>
      </w:r>
    </w:p>
    <w:p w14:paraId="11DC2E02">
      <w:pPr>
        <w:pStyle w:val="9"/>
        <w:keepNext w:val="0"/>
        <w:keepLines w:val="0"/>
        <w:pageBreakBefore w:val="0"/>
        <w:kinsoku/>
        <w:wordWrap/>
        <w:overflowPunct/>
        <w:topLinePunct w:val="0"/>
        <w:autoSpaceDE/>
        <w:autoSpaceDN/>
        <w:bidi w:val="0"/>
        <w:snapToGrid w:val="0"/>
        <w:spacing w:line="336" w:lineRule="auto"/>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16.不符合法律、法规规定的其他要求的。</w:t>
      </w:r>
    </w:p>
    <w:p w14:paraId="68B9B26A">
      <w:pPr>
        <w:pStyle w:val="9"/>
        <w:keepNext w:val="0"/>
        <w:keepLines w:val="0"/>
        <w:pageBreakBefore w:val="0"/>
        <w:kinsoku/>
        <w:wordWrap/>
        <w:overflowPunct/>
        <w:topLinePunct w:val="0"/>
        <w:autoSpaceDE/>
        <w:autoSpaceDN/>
        <w:bidi w:val="0"/>
        <w:snapToGrid w:val="0"/>
        <w:spacing w:line="336" w:lineRule="auto"/>
        <w:ind w:firstLine="472"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（十二）废标</w:t>
      </w:r>
    </w:p>
    <w:p w14:paraId="52ED08DD">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1.根据《中华人民共和国政府采购法》第三十六条之规定，在采购中，出现下列情形之一的，应予废标：</w:t>
      </w:r>
    </w:p>
    <w:p w14:paraId="7446B8FD">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1.1符合专业条件的供应商或者对招标文件作实质响应的供应商不足3家的；</w:t>
      </w:r>
    </w:p>
    <w:p w14:paraId="48257B0D">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1.2出现影响采购公正的违法、违规行为的；</w:t>
      </w:r>
    </w:p>
    <w:p w14:paraId="390B37EF">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1.3投标人的报价均超过了采购预算，采购人不能支付的；</w:t>
      </w:r>
    </w:p>
    <w:p w14:paraId="2ADB7BD0">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1.4因重大变故，采购任务取消的。</w:t>
      </w:r>
    </w:p>
    <w:p w14:paraId="332AEB10">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5539EE47">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2.除采购任务取消情形外，按照以下方式处理：</w:t>
      </w:r>
    </w:p>
    <w:p w14:paraId="74DE3658">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2.1招标文件存在不合理条款或者招标程序不符合规定的，改正后依法重新招标；</w:t>
      </w:r>
    </w:p>
    <w:p w14:paraId="65D4F47E">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2.2招标文件没有不合理条款、招标程序符合规定，需要采用其他采购方式采购的，采购人应当依法报财政部门批准。</w:t>
      </w:r>
    </w:p>
    <w:p w14:paraId="3EAC6C66">
      <w:pPr>
        <w:pStyle w:val="9"/>
        <w:keepNext w:val="0"/>
        <w:keepLines w:val="0"/>
        <w:pageBreakBefore w:val="0"/>
        <w:kinsoku/>
        <w:wordWrap/>
        <w:overflowPunct/>
        <w:topLinePunct w:val="0"/>
        <w:autoSpaceDE/>
        <w:autoSpaceDN/>
        <w:bidi w:val="0"/>
        <w:snapToGrid w:val="0"/>
        <w:spacing w:line="336" w:lineRule="auto"/>
        <w:ind w:firstLine="48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（十三）修改招标文件，重新组织采购活动</w:t>
      </w:r>
    </w:p>
    <w:p w14:paraId="7B792E7A">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273D1F">
      <w:pPr>
        <w:pStyle w:val="9"/>
        <w:keepNext w:val="0"/>
        <w:keepLines w:val="0"/>
        <w:pageBreakBefore w:val="0"/>
        <w:kinsoku/>
        <w:wordWrap/>
        <w:overflowPunct/>
        <w:topLinePunct w:val="0"/>
        <w:autoSpaceDE/>
        <w:autoSpaceDN/>
        <w:bidi w:val="0"/>
        <w:snapToGrid w:val="0"/>
        <w:spacing w:line="336" w:lineRule="auto"/>
        <w:ind w:firstLine="590" w:firstLineChars="245"/>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（十四）重新开展采购</w:t>
      </w:r>
    </w:p>
    <w:p w14:paraId="4938014F">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1B4A4619">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1.未确定中标或者中标人的，终止本次政府采购活动，重新开展政府采购活动。</w:t>
      </w:r>
    </w:p>
    <w:p w14:paraId="53561B04">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14:paraId="6102DDC4">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3.政府采购合同已签订但尚未履行的，撤销合同，从合格的中标或者成交候选人中另行确定中标或者中标人；没有合格的中标或者成交候选人的，重新开展政府采购活动。</w:t>
      </w:r>
    </w:p>
    <w:p w14:paraId="725FDE74">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4.政府采购合同已经履行，给采购人、供应商造成损失的，由责任人承担赔偿责任。</w:t>
      </w:r>
    </w:p>
    <w:p w14:paraId="4B21C052">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5.政府采购当事人有其他违反政府采购法或者政府采购法实施条例等法律法规规定的行为，经改正后仍然影响或者可能影响中标、成交结果或者依法被认定为中标、成交无效的，依照1-4规定处理。</w:t>
      </w:r>
    </w:p>
    <w:p w14:paraId="39721D4C">
      <w:pPr>
        <w:pStyle w:val="9"/>
        <w:keepNext w:val="0"/>
        <w:keepLines w:val="0"/>
        <w:pageBreakBefore w:val="0"/>
        <w:kinsoku/>
        <w:wordWrap/>
        <w:overflowPunct/>
        <w:topLinePunct w:val="0"/>
        <w:autoSpaceDE/>
        <w:autoSpaceDN/>
        <w:bidi w:val="0"/>
        <w:snapToGrid w:val="0"/>
        <w:spacing w:line="336" w:lineRule="auto"/>
        <w:ind w:firstLine="48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四、开标、资格审查与信用信息查询</w:t>
      </w:r>
    </w:p>
    <w:p w14:paraId="2B0CC415">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（一）开标</w:t>
      </w:r>
    </w:p>
    <w:p w14:paraId="108793D1">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1.采购代理机构按照招标文件规定的时间通过电子交易平台组织开标，所有投标人均应当准时在线参加。投标人不足3家的，不得开标。</w:t>
      </w:r>
    </w:p>
    <w:p w14:paraId="2719975B">
      <w:pPr>
        <w:pStyle w:val="9"/>
        <w:keepNext w:val="0"/>
        <w:keepLines w:val="0"/>
        <w:pageBreakBefore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2.开标时，电子交易平台按开标时间自动提取所有投标文件。采购代理机构依托电子交易平台发起开始解密指令，投标人按照平台提示和招标文件的规定在半小时内完成在线解密。</w:t>
      </w:r>
    </w:p>
    <w:p w14:paraId="3B78669B">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3.投标文件未按时解密，投标人提供了备份投标文件的，以备份投标文件作为依据，否则视为投标文件撤回。投标文件已按时解密的，备份投标文件自动失效。</w:t>
      </w:r>
    </w:p>
    <w:p w14:paraId="1F1052A3">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（二）资格审查</w:t>
      </w:r>
    </w:p>
    <w:p w14:paraId="7F9BAC7C">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1.开标后，采购人或采购代理机构将依据法律法规和招标文件的规定，对投标人的基本资格条件、特定资格条件进行审查。</w:t>
      </w:r>
    </w:p>
    <w:p w14:paraId="2FC506C0">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2.投标人未按照招标文件要求提供与基本资格条件、特定资格条件相应的有效资格证明材料的，视为投标人不具备招标文件中规定的资格要求，其投标无效。</w:t>
      </w:r>
    </w:p>
    <w:p w14:paraId="7F969A0C">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3.对未通过资格审查的投标人，采购人或采购代理机构告知其未通过的原因。</w:t>
      </w:r>
    </w:p>
    <w:p w14:paraId="104B9C6F">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4.合格投标人不足3家的，不再评标，项目作流标处理。</w:t>
      </w:r>
    </w:p>
    <w:p w14:paraId="05ECC8A8">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（三）信用信息查询</w:t>
      </w:r>
    </w:p>
    <w:p w14:paraId="7A5DCEDF">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1.信用信息查询渠道及截止时间：截至投标截止时间前1个工作日17:00（北京时间），采购代理机构将通过“信用中国”网站(www.creditchina.gov.cn)、中国政府采购网(www.ccgp.gov.cn)渠道查询投标人的信用记录。</w:t>
      </w:r>
    </w:p>
    <w:p w14:paraId="21B7F28E">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2.信用信息查询记录和证据留存的具体方式：投标人的信用记录、查询结果经确认后将与采购文件一起存档。</w:t>
      </w:r>
    </w:p>
    <w:p w14:paraId="6B52E737">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3.信用信息的使用规则：经查询列入失信被执行人名单、重大税收违法案件当事人名单、政府采购严重违法失信行为记录名单的投标人将被拒绝参与政府采购活动。</w:t>
      </w:r>
    </w:p>
    <w:p w14:paraId="442B738A">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9" w:firstLineChars="199"/>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五、评标</w:t>
      </w:r>
    </w:p>
    <w:p w14:paraId="0BFB88D7">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auto"/>
          <w:highlight w:val="none"/>
        </w:rPr>
        <w:t>详见招标文件第五章评标办法。</w:t>
      </w:r>
    </w:p>
    <w:p w14:paraId="0A2C8D0D">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9" w:firstLineChars="199"/>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六、定标</w:t>
      </w:r>
    </w:p>
    <w:p w14:paraId="3AAF6327">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1.确定中标人</w:t>
      </w:r>
    </w:p>
    <w:p w14:paraId="2E0E875B">
      <w:pPr>
        <w:keepNext w:val="0"/>
        <w:keepLines w:val="0"/>
        <w:pageBreakBefore w:val="0"/>
        <w:widowControl w:val="0"/>
        <w:kinsoku/>
        <w:wordWrap/>
        <w:overflowPunct/>
        <w:topLinePunct w:val="0"/>
        <w:autoSpaceDE/>
        <w:autoSpaceDN/>
        <w:bidi w:val="0"/>
        <w:adjustRightInd w:val="0"/>
        <w:snapToGrid w:val="0"/>
        <w:spacing w:line="336" w:lineRule="auto"/>
        <w:ind w:firstLine="43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1.1评标委员会将根据综合得分由高到低排序推荐中标候选人。</w:t>
      </w:r>
    </w:p>
    <w:p w14:paraId="4CD6C822">
      <w:pPr>
        <w:keepNext w:val="0"/>
        <w:keepLines w:val="0"/>
        <w:pageBreakBefore w:val="0"/>
        <w:widowControl w:val="0"/>
        <w:kinsoku/>
        <w:wordWrap/>
        <w:overflowPunct/>
        <w:topLinePunct w:val="0"/>
        <w:autoSpaceDE/>
        <w:autoSpaceDN/>
        <w:bidi w:val="0"/>
        <w:adjustRightInd w:val="0"/>
        <w:snapToGrid w:val="0"/>
        <w:spacing w:line="336" w:lineRule="auto"/>
        <w:ind w:firstLine="435"/>
        <w:jc w:val="both"/>
        <w:textAlignment w:val="auto"/>
        <w:rPr>
          <w:rFonts w:hint="eastAsia" w:ascii="宋体" w:hAnsi="宋体" w:eastAsia="宋体" w:cs="宋体"/>
          <w:color w:val="auto"/>
          <w:kern w:val="2"/>
          <w:highlight w:val="none"/>
        </w:rPr>
      </w:pPr>
      <w:r>
        <w:rPr>
          <w:rFonts w:hint="eastAsia" w:ascii="宋体" w:hAnsi="宋体" w:eastAsia="宋体" w:cs="宋体"/>
          <w:color w:val="auto"/>
          <w:highlight w:val="none"/>
        </w:rPr>
        <w:t>1.2采购人自收到评审报告之日起2个工作日内通过电子交易平台在评审报告推荐的中标候选人中按顺序确定中标人。</w:t>
      </w:r>
    </w:p>
    <w:p w14:paraId="7381B5BD">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2.中标通知书与中标结果公告</w:t>
      </w:r>
    </w:p>
    <w:p w14:paraId="4B9951B3">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2.1自中标人确定之日起2个工作日内，采购代理机构在省级及以上财政部门指定媒体上发布采购结果公告。同时，采购代理机构也以书面形式发出中标通知书。</w:t>
      </w:r>
    </w:p>
    <w:p w14:paraId="5F665E57">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2.2公告期限为1个工作日。</w:t>
      </w:r>
    </w:p>
    <w:p w14:paraId="37EC879C">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2.3《中标通知书》一经发出即产生法律效力，采购人改变中标结果或中标人放弃中标的，应当依法承担法律责任。</w:t>
      </w:r>
    </w:p>
    <w:p w14:paraId="241AF887">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9" w:firstLineChars="199"/>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七、合同授予</w:t>
      </w:r>
    </w:p>
    <w:p w14:paraId="79D4BE98">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bookmarkStart w:id="27" w:name="_Hlk114495493"/>
      <w:r>
        <w:rPr>
          <w:rFonts w:hint="eastAsia" w:ascii="宋体" w:hAnsi="宋体" w:eastAsia="宋体" w:cs="宋体"/>
          <w:color w:val="auto"/>
          <w:highlight w:val="none"/>
        </w:rPr>
        <w:t>1.合同的签订</w:t>
      </w:r>
    </w:p>
    <w:p w14:paraId="4ECF3C18">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76DF55D0">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1.2中标人按规定的日期、时间、地点，由法定代表人或其授权代表与采购人代表签订合同。</w:t>
      </w:r>
    </w:p>
    <w:p w14:paraId="4E002844">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1.3如签订合同并生效后，供应商无故拒绝或延期，除按照合同条款处理外，列入不良行为记录一次，并给予通报。</w:t>
      </w:r>
    </w:p>
    <w:p w14:paraId="53891639">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1.4中标人拒绝与采购人签订合同的，采购人可以按照评审报告推荐的中标或者成交候选人名单排序，确定下一候选人为中标人，也可以重新开展政府采购活动。</w:t>
      </w:r>
    </w:p>
    <w:p w14:paraId="726297D8">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1.5政府采购货物和服务项目不得收取质量保证金。政府采购工程以及与工程建设有关的货物、服务，采用招标方式采购的，按国家和省有关规定执行。</w:t>
      </w:r>
    </w:p>
    <w:p w14:paraId="4EFCB7B8">
      <w:pPr>
        <w:pStyle w:val="13"/>
        <w:keepNext w:val="0"/>
        <w:keepLines w:val="0"/>
        <w:pageBreakBefore w:val="0"/>
        <w:widowControl w:val="0"/>
        <w:kinsoku/>
        <w:wordWrap/>
        <w:overflowPunct/>
        <w:topLinePunct w:val="0"/>
        <w:autoSpaceDE/>
        <w:autoSpaceDN/>
        <w:bidi w:val="0"/>
        <w:snapToGrid w:val="0"/>
        <w:spacing w:before="0" w:beforeAutospacing="0" w:after="0" w:afterAutospacing="0" w:line="336" w:lineRule="auto"/>
        <w:ind w:firstLine="477" w:firstLine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1.6招标文件、投标文件、投标人作出的承诺及其澄清文件、中标通知书等，均为合同的组成部分。</w:t>
      </w:r>
    </w:p>
    <w:p w14:paraId="7960E046">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2.履约保证金</w:t>
      </w:r>
    </w:p>
    <w:p w14:paraId="575802CC">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2.1缴纳规则详见前附表。</w:t>
      </w:r>
    </w:p>
    <w:p w14:paraId="238EB98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2.2签订合同后，如中标人不按双方合同约定履约，违反有关法律法规的规定及合同约定的条款，损害了采购人利益的，采购人将没收全部履约保证金。履约保证金不足以赔偿损失的，按实际损失赔偿。</w:t>
      </w:r>
    </w:p>
    <w:p w14:paraId="558F477C">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2.3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ECD6B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.资金支付</w:t>
      </w:r>
    </w:p>
    <w:p w14:paraId="4CD3C051">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bookmarkEnd w:id="27"/>
    <w:p w14:paraId="1347B58B">
      <w:pPr>
        <w:keepNext w:val="0"/>
        <w:keepLines w:val="0"/>
        <w:pageBreakBefore w:val="0"/>
        <w:widowControl w:val="0"/>
        <w:kinsoku/>
        <w:wordWrap/>
        <w:overflowPunct/>
        <w:topLinePunct w:val="0"/>
        <w:autoSpaceDE/>
        <w:autoSpaceDN/>
        <w:bidi w:val="0"/>
        <w:adjustRightInd w:val="0"/>
        <w:snapToGrid w:val="0"/>
        <w:spacing w:line="336" w:lineRule="auto"/>
        <w:ind w:firstLine="540" w:firstLineChars="224"/>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八、电子交易活动的中止</w:t>
      </w:r>
    </w:p>
    <w:p w14:paraId="72B1F8FA">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1.采购过程中出现以下情形，导致电子交易平台无法正常运行，或者无法保证电子交易的公平、公正和安全时，采购代理机构可中止电子交易活动：</w:t>
      </w:r>
    </w:p>
    <w:p w14:paraId="61FD4E13">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1.1电子交易平台发生故障而无法登录访问的； </w:t>
      </w:r>
    </w:p>
    <w:p w14:paraId="13358C08">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1.2电子交易平台应用或数据库出现错误，不能进行正常操作的；</w:t>
      </w:r>
    </w:p>
    <w:p w14:paraId="427420BF">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1.3电子交易平台发现严重安全漏洞，有潜在泄密危险的；</w:t>
      </w:r>
    </w:p>
    <w:p w14:paraId="15629AE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1.4病毒发作导致不能进行正常操作的； </w:t>
      </w:r>
    </w:p>
    <w:p w14:paraId="0F59168E">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1.5其他无法保证电子交易的公平、公正和安全的情况。</w:t>
      </w:r>
    </w:p>
    <w:p w14:paraId="475BF746">
      <w:pPr>
        <w:keepNext w:val="0"/>
        <w:keepLines w:val="0"/>
        <w:pageBreakBefore w:val="0"/>
        <w:widowControl w:val="0"/>
        <w:kinsoku/>
        <w:wordWrap/>
        <w:overflowPunct/>
        <w:topLinePunct w:val="0"/>
        <w:autoSpaceDE/>
        <w:autoSpaceDN/>
        <w:bidi w:val="0"/>
        <w:adjustRightInd w:val="0"/>
        <w:snapToGrid w:val="0"/>
        <w:spacing w:line="336" w:lineRule="auto"/>
        <w:ind w:firstLine="537" w:firstLineChars="224"/>
        <w:textAlignment w:val="auto"/>
        <w:rPr>
          <w:rFonts w:hint="eastAsia" w:ascii="宋体" w:hAnsi="宋体" w:eastAsia="宋体" w:cs="宋体"/>
          <w:color w:val="auto"/>
          <w:highlight w:val="none"/>
        </w:rPr>
      </w:pPr>
      <w:r>
        <w:rPr>
          <w:rFonts w:hint="eastAsia" w:ascii="宋体" w:hAnsi="宋体" w:eastAsia="宋体" w:cs="宋体"/>
          <w:color w:val="auto"/>
          <w:highlight w:val="none"/>
        </w:rPr>
        <w:t>2.出现以上情形，不影响采购公平、公正性的，采购组织机构可以待上述情形消除后继续组织电子交易活动；影响或可能影响采购公平、公正性的，应当重新采购。</w:t>
      </w:r>
    </w:p>
    <w:p w14:paraId="739D913C">
      <w:pPr>
        <w:pStyle w:val="13"/>
        <w:widowControl w:val="0"/>
        <w:snapToGrid w:val="0"/>
        <w:spacing w:before="0" w:beforeAutospacing="0" w:after="0" w:afterAutospacing="0" w:line="360" w:lineRule="auto"/>
        <w:ind w:firstLine="477" w:firstLineChars="199"/>
        <w:rPr>
          <w:rFonts w:hint="eastAsia" w:ascii="宋体" w:hAnsi="宋体" w:eastAsia="宋体" w:cs="宋体"/>
          <w:color w:val="auto"/>
          <w:highlight w:val="none"/>
        </w:rPr>
      </w:pPr>
    </w:p>
    <w:bookmarkEnd w:id="23"/>
    <w:p w14:paraId="6CA9FF54">
      <w:pPr>
        <w:pStyle w:val="9"/>
        <w:snapToGrid w:val="0"/>
        <w:spacing w:line="360" w:lineRule="auto"/>
        <w:ind w:left="0" w:leftChars="0" w:firstLine="0" w:firstLineChars="0"/>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color w:val="auto"/>
          <w:spacing w:val="60"/>
          <w:highlight w:val="none"/>
        </w:rPr>
        <w:br w:type="page"/>
      </w:r>
      <w:bookmarkStart w:id="28" w:name="_Toc39239707"/>
      <w:bookmarkStart w:id="29" w:name="_Toc93668163"/>
      <w:r>
        <w:rPr>
          <w:rFonts w:hint="eastAsia" w:ascii="宋体" w:hAnsi="宋体" w:eastAsia="宋体" w:cs="宋体"/>
          <w:b/>
          <w:bCs/>
          <w:color w:val="auto"/>
          <w:kern w:val="44"/>
          <w:sz w:val="44"/>
          <w:szCs w:val="44"/>
          <w:highlight w:val="none"/>
          <w:lang w:val="en-US" w:eastAsia="zh-CN" w:bidi="ar-SA"/>
        </w:rPr>
        <w:t xml:space="preserve">第五章  </w:t>
      </w:r>
      <w:bookmarkEnd w:id="28"/>
      <w:r>
        <w:rPr>
          <w:rFonts w:hint="eastAsia" w:ascii="宋体" w:hAnsi="宋体" w:eastAsia="宋体" w:cs="宋体"/>
          <w:b/>
          <w:bCs/>
          <w:color w:val="auto"/>
          <w:kern w:val="44"/>
          <w:sz w:val="44"/>
          <w:szCs w:val="44"/>
          <w:highlight w:val="none"/>
          <w:lang w:val="en-US" w:eastAsia="zh-CN" w:bidi="ar-SA"/>
        </w:rPr>
        <w:t>评标办法</w:t>
      </w:r>
      <w:bookmarkEnd w:id="29"/>
    </w:p>
    <w:p w14:paraId="3E5357E2">
      <w:pPr>
        <w:widowControl w:val="0"/>
        <w:adjustRightInd w:val="0"/>
        <w:snapToGrid w:val="0"/>
        <w:spacing w:line="360" w:lineRule="auto"/>
        <w:ind w:firstLine="435"/>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一、评标</w:t>
      </w:r>
    </w:p>
    <w:p w14:paraId="333210A6">
      <w:pPr>
        <w:pStyle w:val="13"/>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1.评标办法</w:t>
      </w:r>
    </w:p>
    <w:p w14:paraId="5B8D6CCE">
      <w:pPr>
        <w:pStyle w:val="13"/>
        <w:widowControl w:val="0"/>
        <w:adjustRightInd w:val="0"/>
        <w:snapToGrid w:val="0"/>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本项目采用综合评分法</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先进行资格审查和商务技术评审，评定计算商务技术分后再进行价格评审。</w:t>
      </w:r>
    </w:p>
    <w:p w14:paraId="074C9563">
      <w:pPr>
        <w:pStyle w:val="13"/>
        <w:widowControl w:val="0"/>
        <w:snapToGrid w:val="0"/>
        <w:spacing w:before="0" w:beforeAutospacing="0" w:after="0" w:afterAutospacing="0" w:line="360" w:lineRule="auto"/>
        <w:ind w:firstLine="477" w:firstLineChars="199"/>
        <w:rPr>
          <w:rFonts w:hint="eastAsia" w:ascii="宋体" w:hAnsi="宋体" w:eastAsia="宋体" w:cs="宋体"/>
          <w:color w:val="auto"/>
          <w:highlight w:val="none"/>
        </w:rPr>
      </w:pPr>
      <w:r>
        <w:rPr>
          <w:rFonts w:hint="eastAsia" w:ascii="宋体" w:hAnsi="宋体" w:eastAsia="宋体" w:cs="宋体"/>
          <w:color w:val="auto"/>
          <w:highlight w:val="none"/>
        </w:rPr>
        <w:t>2.评标组织</w:t>
      </w:r>
    </w:p>
    <w:p w14:paraId="5DD58553">
      <w:pPr>
        <w:pStyle w:val="13"/>
        <w:widowControl w:val="0"/>
        <w:snapToGrid w:val="0"/>
        <w:spacing w:before="0" w:beforeAutospacing="0" w:after="0" w:afterAutospacing="0" w:line="360" w:lineRule="auto"/>
        <w:ind w:firstLine="477" w:firstLineChars="199"/>
        <w:rPr>
          <w:rFonts w:hint="eastAsia" w:ascii="宋体" w:hAnsi="宋体" w:eastAsia="宋体" w:cs="宋体"/>
          <w:color w:val="auto"/>
          <w:highlight w:val="none"/>
        </w:rPr>
      </w:pPr>
      <w:r>
        <w:rPr>
          <w:rFonts w:hint="eastAsia" w:ascii="宋体" w:hAnsi="宋体" w:eastAsia="宋体" w:cs="宋体"/>
          <w:color w:val="auto"/>
          <w:highlight w:val="none"/>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14:paraId="1E4A05A0">
      <w:pPr>
        <w:pStyle w:val="13"/>
        <w:widowControl w:val="0"/>
        <w:snapToGrid w:val="0"/>
        <w:spacing w:before="0" w:beforeAutospacing="0" w:after="0" w:afterAutospacing="0" w:line="360" w:lineRule="auto"/>
        <w:ind w:firstLine="477" w:firstLineChars="199"/>
        <w:rPr>
          <w:rFonts w:hint="eastAsia" w:ascii="宋体" w:hAnsi="宋体" w:eastAsia="宋体" w:cs="宋体"/>
          <w:color w:val="auto"/>
          <w:highlight w:val="none"/>
        </w:rPr>
      </w:pPr>
      <w:r>
        <w:rPr>
          <w:rFonts w:hint="eastAsia" w:ascii="宋体" w:hAnsi="宋体" w:eastAsia="宋体" w:cs="宋体"/>
          <w:color w:val="auto"/>
          <w:highlight w:val="none"/>
        </w:rPr>
        <w:t>3.评标方式</w:t>
      </w:r>
    </w:p>
    <w:p w14:paraId="315B29E4">
      <w:pPr>
        <w:pStyle w:val="13"/>
        <w:widowControl w:val="0"/>
        <w:snapToGrid w:val="0"/>
        <w:spacing w:before="0" w:beforeAutospacing="0" w:after="0" w:afterAutospacing="0" w:line="360" w:lineRule="auto"/>
        <w:ind w:firstLine="477" w:firstLineChars="199"/>
        <w:rPr>
          <w:rFonts w:hint="eastAsia" w:ascii="宋体" w:hAnsi="宋体" w:eastAsia="宋体" w:cs="宋体"/>
          <w:color w:val="auto"/>
          <w:highlight w:val="none"/>
        </w:rPr>
      </w:pPr>
      <w:r>
        <w:rPr>
          <w:rFonts w:hint="eastAsia" w:ascii="宋体" w:hAnsi="宋体" w:eastAsia="宋体" w:cs="宋体"/>
          <w:color w:val="auto"/>
          <w:highlight w:val="none"/>
        </w:rPr>
        <w:t>3.1本项目采用电子评标，评标的依据为招标文件和投标文件。投标人在投标截止以后提供的资料不得作为评标依据，但应评标委员会要求提供的证明、说明不在此列。</w:t>
      </w:r>
    </w:p>
    <w:p w14:paraId="221AB6EA">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color w:val="auto"/>
          <w:highlight w:val="none"/>
        </w:rPr>
        <w:t>3.2评标是招标过程中的重要环节，评标工作在评标委员会成员内独立进行。评标委员会将遵照评标原则，公正、公平、客观地对待所有投标人。</w:t>
      </w:r>
    </w:p>
    <w:p w14:paraId="63A70731">
      <w:pPr>
        <w:widowControl w:val="0"/>
        <w:adjustRightInd w:val="0"/>
        <w:snapToGrid w:val="0"/>
        <w:spacing w:line="360" w:lineRule="auto"/>
        <w:ind w:firstLine="435"/>
        <w:rPr>
          <w:rFonts w:hint="eastAsia" w:ascii="宋体" w:hAnsi="宋体" w:eastAsia="宋体" w:cs="宋体"/>
          <w:color w:val="auto"/>
          <w:highlight w:val="none"/>
        </w:rPr>
      </w:pPr>
      <w:r>
        <w:rPr>
          <w:rFonts w:hint="eastAsia" w:ascii="宋体" w:hAnsi="宋体" w:eastAsia="宋体" w:cs="宋体"/>
          <w:color w:val="auto"/>
          <w:highlight w:val="none"/>
        </w:rPr>
        <w:t>3.3采购人、代理机构及评标委员会不向落标方解释落标原因。</w:t>
      </w:r>
    </w:p>
    <w:p w14:paraId="19BEC6C9">
      <w:p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3.4本项目评标过程实行全程录音、录像监控。</w:t>
      </w:r>
    </w:p>
    <w:p w14:paraId="7D27BB12">
      <w:pPr>
        <w:widowControl w:val="0"/>
        <w:adjustRightInd w:val="0"/>
        <w:snapToGrid w:val="0"/>
        <w:spacing w:line="360" w:lineRule="auto"/>
        <w:ind w:firstLine="435"/>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二、评标办法</w:t>
      </w:r>
    </w:p>
    <w:p w14:paraId="4788159F">
      <w:pPr>
        <w:widowControl w:val="0"/>
        <w:adjustRightInd w:val="0"/>
        <w:snapToGrid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1.商务技术评审：由评标委员会采用记名方式独立进行评审，此项评分计算方法为：商务技术得分=（评标委员会所有成员评分之和）÷（评标委员会组成人数）。</w:t>
      </w:r>
    </w:p>
    <w:p w14:paraId="486E90A4">
      <w:pPr>
        <w:pStyle w:val="18"/>
        <w:widowControl w:val="0"/>
        <w:adjustRightInd w:val="0"/>
        <w:snapToGrid w:val="0"/>
        <w:spacing w:before="0" w:beforeAutospacing="0" w:after="0" w:afterAutospacing="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商务技术评分明细表</w:t>
      </w:r>
    </w:p>
    <w:tbl>
      <w:tblPr>
        <w:tblStyle w:val="21"/>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22"/>
        <w:gridCol w:w="6582"/>
        <w:gridCol w:w="918"/>
      </w:tblGrid>
      <w:tr w14:paraId="0ACD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13EDF99">
            <w:pPr>
              <w:shd w:val="clear" w:color="auto" w:fill="FFFFFF"/>
              <w:spacing w:line="240" w:lineRule="auto"/>
              <w:ind w:left="0" w:leftChars="0"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22" w:type="dxa"/>
            <w:tcBorders>
              <w:top w:val="single" w:color="auto" w:sz="4" w:space="0"/>
              <w:left w:val="single" w:color="auto" w:sz="4" w:space="0"/>
              <w:bottom w:val="single" w:color="auto" w:sz="4" w:space="0"/>
              <w:right w:val="single" w:color="auto" w:sz="4" w:space="0"/>
            </w:tcBorders>
            <w:noWrap w:val="0"/>
            <w:vAlign w:val="center"/>
          </w:tcPr>
          <w:p w14:paraId="4CED6565">
            <w:pPr>
              <w:shd w:val="clear" w:color="auto" w:fill="FFFFFF"/>
              <w:spacing w:line="240" w:lineRule="auto"/>
              <w:ind w:left="0" w:leftChars="0"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分项内容</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2D05D7B6">
            <w:pPr>
              <w:shd w:val="clear" w:color="auto" w:fill="FFFFFF"/>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    分     说     明</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2F4EAB1">
            <w:pPr>
              <w:shd w:val="clear" w:color="auto" w:fill="FFFFFF"/>
              <w:spacing w:line="240" w:lineRule="auto"/>
              <w:ind w:left="0" w:leftChars="0"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7B52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2" w:type="dxa"/>
            <w:tcBorders>
              <w:top w:val="single" w:color="auto" w:sz="4" w:space="0"/>
              <w:left w:val="single" w:color="auto" w:sz="4" w:space="0"/>
              <w:right w:val="single" w:color="auto" w:sz="4" w:space="0"/>
            </w:tcBorders>
            <w:noWrap w:val="0"/>
            <w:vAlign w:val="center"/>
          </w:tcPr>
          <w:p w14:paraId="24CD5257">
            <w:pPr>
              <w:shd w:val="clear" w:color="auto" w:fill="FFFFFF"/>
              <w:spacing w:line="240" w:lineRule="auto"/>
              <w:ind w:left="0" w:leftChars="0"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1522" w:type="dxa"/>
            <w:tcBorders>
              <w:top w:val="single" w:color="auto" w:sz="4" w:space="0"/>
              <w:left w:val="single" w:color="auto" w:sz="4" w:space="0"/>
              <w:right w:val="single" w:color="auto" w:sz="4" w:space="0"/>
            </w:tcBorders>
            <w:noWrap w:val="0"/>
            <w:vAlign w:val="center"/>
          </w:tcPr>
          <w:p w14:paraId="5348DFA9">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投标人情况</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755124DD">
            <w:pPr>
              <w:bidi w:val="0"/>
              <w:jc w:val="both"/>
              <w:rPr>
                <w:rFonts w:hint="default"/>
                <w:color w:val="auto"/>
                <w:highlight w:val="none"/>
                <w:lang w:val="en-US" w:eastAsia="zh-CN"/>
              </w:rPr>
            </w:pPr>
            <w:r>
              <w:rPr>
                <w:rFonts w:hint="eastAsia"/>
                <w:color w:val="auto"/>
                <w:highlight w:val="none"/>
                <w:lang w:val="en-US" w:eastAsia="zh-CN"/>
              </w:rPr>
              <w:t>根据</w:t>
            </w:r>
            <w:r>
              <w:rPr>
                <w:rFonts w:hint="eastAsia"/>
                <w:color w:val="auto"/>
                <w:highlight w:val="none"/>
                <w:lang w:eastAsia="zh-CN"/>
              </w:rPr>
              <w:t>投标人</w:t>
            </w:r>
            <w:r>
              <w:rPr>
                <w:rFonts w:hint="eastAsia"/>
                <w:color w:val="auto"/>
                <w:highlight w:val="none"/>
                <w:lang w:val="en-US" w:eastAsia="zh-CN"/>
              </w:rPr>
              <w:t>的基本情况进行打分（2，1.5，1，0.5，0,）、对企业综合实力进行打分（2，1.5，1，0.5，0,）、对人员设备配备进行打分（1，0.5，0,）。本项目最高得5分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889CE09">
            <w:pPr>
              <w:shd w:val="clear" w:color="auto" w:fill="FFFFFF"/>
              <w:spacing w:line="240" w:lineRule="auto"/>
              <w:ind w:left="0" w:leftChars="0"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14:paraId="7103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2" w:type="dxa"/>
            <w:tcBorders>
              <w:left w:val="single" w:color="auto" w:sz="4" w:space="0"/>
              <w:bottom w:val="single" w:color="auto" w:sz="4" w:space="0"/>
              <w:right w:val="single" w:color="auto" w:sz="4" w:space="0"/>
            </w:tcBorders>
            <w:noWrap w:val="0"/>
            <w:vAlign w:val="center"/>
          </w:tcPr>
          <w:p w14:paraId="2B0F00D4">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522" w:type="dxa"/>
            <w:tcBorders>
              <w:left w:val="single" w:color="auto" w:sz="4" w:space="0"/>
              <w:bottom w:val="single" w:color="auto" w:sz="4" w:space="0"/>
              <w:right w:val="single" w:color="auto" w:sz="4" w:space="0"/>
            </w:tcBorders>
            <w:noWrap w:val="0"/>
            <w:vAlign w:val="center"/>
          </w:tcPr>
          <w:p w14:paraId="4268EEA7">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同类业绩</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4D7C8D5E">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投标人20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年1月1日以来具备的同类业绩，每笔有效业绩得1分，最高得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分。投标人未提供合同复印件、或提供的合同复印件字迹模糊无法辨识的、或提供的业绩无效的，该笔业绩均不予计分。有效业绩的判定以评标委员会集体判定为准。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2521A87">
            <w:pPr>
              <w:shd w:val="clear" w:color="auto" w:fill="FFFFFF"/>
              <w:spacing w:line="240" w:lineRule="auto"/>
              <w:ind w:left="0" w:leftChars="0"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p>
        </w:tc>
      </w:tr>
      <w:tr w14:paraId="3BBC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5D72DFB8">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522" w:type="dxa"/>
            <w:vMerge w:val="restart"/>
            <w:tcBorders>
              <w:top w:val="single" w:color="auto" w:sz="4" w:space="0"/>
              <w:left w:val="single" w:color="auto" w:sz="4" w:space="0"/>
              <w:right w:val="single" w:color="auto" w:sz="4" w:space="0"/>
            </w:tcBorders>
            <w:noWrap w:val="0"/>
            <w:vAlign w:val="center"/>
          </w:tcPr>
          <w:p w14:paraId="3F4100EA">
            <w:pPr>
              <w:shd w:val="clear" w:color="auto" w:fill="FFFFFF"/>
              <w:spacing w:line="240" w:lineRule="auto"/>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w:t>
            </w:r>
            <w:r>
              <w:rPr>
                <w:rFonts w:hint="eastAsia" w:ascii="宋体" w:hAnsi="宋体" w:eastAsia="宋体" w:cs="宋体"/>
                <w:color w:val="auto"/>
                <w:kern w:val="0"/>
                <w:sz w:val="24"/>
                <w:szCs w:val="24"/>
                <w:highlight w:val="none"/>
                <w:lang w:val="en-US" w:eastAsia="zh-CN"/>
              </w:rPr>
              <w:t>参数及</w:t>
            </w:r>
            <w:r>
              <w:rPr>
                <w:rFonts w:hint="eastAsia" w:ascii="宋体" w:hAnsi="宋体" w:eastAsia="宋体" w:cs="宋体"/>
                <w:color w:val="auto"/>
                <w:kern w:val="0"/>
                <w:sz w:val="24"/>
                <w:szCs w:val="24"/>
                <w:highlight w:val="none"/>
              </w:rPr>
              <w:t>质量</w:t>
            </w:r>
          </w:p>
        </w:tc>
        <w:tc>
          <w:tcPr>
            <w:tcW w:w="6582" w:type="dxa"/>
            <w:tcBorders>
              <w:top w:val="single" w:color="auto" w:sz="4" w:space="0"/>
              <w:left w:val="single" w:color="auto" w:sz="4" w:space="0"/>
              <w:right w:val="single" w:color="auto" w:sz="4" w:space="0"/>
            </w:tcBorders>
            <w:noWrap w:val="0"/>
            <w:vAlign w:val="center"/>
          </w:tcPr>
          <w:p w14:paraId="5EB24F6A">
            <w:pPr>
              <w:pStyle w:val="2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所投产品的技术</w:t>
            </w:r>
            <w:r>
              <w:rPr>
                <w:rFonts w:hint="eastAsia" w:ascii="宋体" w:hAnsi="宋体" w:eastAsia="宋体" w:cs="宋体"/>
                <w:color w:val="auto"/>
                <w:sz w:val="24"/>
                <w:szCs w:val="24"/>
                <w:highlight w:val="none"/>
                <w:lang w:eastAsia="zh-CN"/>
              </w:rPr>
              <w:t>参数</w:t>
            </w:r>
            <w:r>
              <w:rPr>
                <w:rFonts w:hint="eastAsia" w:ascii="宋体" w:hAnsi="宋体" w:cs="宋体"/>
                <w:color w:val="auto"/>
                <w:sz w:val="24"/>
                <w:szCs w:val="24"/>
                <w:highlight w:val="none"/>
                <w:lang w:val="en-US" w:eastAsia="zh-CN"/>
              </w:rPr>
              <w:t>明细，</w:t>
            </w:r>
            <w:r>
              <w:rPr>
                <w:rFonts w:hint="eastAsia" w:ascii="宋体" w:hAnsi="宋体" w:eastAsia="宋体" w:cs="宋体"/>
                <w:color w:val="auto"/>
                <w:sz w:val="24"/>
                <w:szCs w:val="24"/>
                <w:highlight w:val="none"/>
                <w:lang w:eastAsia="zh-CN"/>
              </w:rPr>
              <w:t>完全</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要求的得</w:t>
            </w:r>
            <w:r>
              <w:rPr>
                <w:rFonts w:hint="eastAsia" w:ascii="宋体" w:hAnsi="宋体" w:eastAsia="宋体" w:cs="宋体"/>
                <w:color w:val="auto"/>
                <w:sz w:val="24"/>
                <w:szCs w:val="24"/>
                <w:highlight w:val="none"/>
                <w:lang w:val="en-US" w:eastAsia="zh-CN"/>
              </w:rPr>
              <w:t>15分，存在缺陷、瑕疵的每项扣1分，扣完为止</w:t>
            </w:r>
            <w:r>
              <w:rPr>
                <w:rFonts w:hint="eastAsia" w:ascii="宋体" w:hAnsi="宋体" w:eastAsia="宋体" w:cs="宋体"/>
                <w:color w:val="auto"/>
                <w:sz w:val="24"/>
                <w:szCs w:val="24"/>
                <w:highlight w:val="none"/>
                <w:lang w:eastAsia="zh-CN"/>
              </w:rPr>
              <w:t>。</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430A878">
            <w:pPr>
              <w:shd w:val="clear" w:color="auto" w:fill="FFFFFF"/>
              <w:spacing w:line="240" w:lineRule="auto"/>
              <w:ind w:left="0" w:leftChars="0" w:firstLine="0" w:firstLineChars="0"/>
              <w:jc w:val="both"/>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0-15</w:t>
            </w:r>
          </w:p>
        </w:tc>
      </w:tr>
      <w:tr w14:paraId="3EA3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22" w:type="dxa"/>
            <w:vMerge w:val="continue"/>
            <w:tcBorders>
              <w:left w:val="single" w:color="auto" w:sz="4" w:space="0"/>
              <w:right w:val="single" w:color="auto" w:sz="4" w:space="0"/>
            </w:tcBorders>
            <w:noWrap w:val="0"/>
            <w:vAlign w:val="center"/>
          </w:tcPr>
          <w:p w14:paraId="512ACC67">
            <w:pPr>
              <w:shd w:val="clear" w:color="auto" w:fill="FFFFFF"/>
              <w:spacing w:line="240" w:lineRule="auto"/>
              <w:jc w:val="center"/>
              <w:rPr>
                <w:rFonts w:hint="eastAsia" w:ascii="宋体" w:hAnsi="宋体" w:eastAsia="宋体" w:cs="宋体"/>
                <w:color w:val="auto"/>
                <w:kern w:val="0"/>
                <w:sz w:val="24"/>
                <w:szCs w:val="24"/>
                <w:highlight w:val="none"/>
              </w:rPr>
            </w:pPr>
          </w:p>
        </w:tc>
        <w:tc>
          <w:tcPr>
            <w:tcW w:w="1522" w:type="dxa"/>
            <w:vMerge w:val="continue"/>
            <w:tcBorders>
              <w:left w:val="single" w:color="auto" w:sz="4" w:space="0"/>
              <w:right w:val="single" w:color="auto" w:sz="4" w:space="0"/>
            </w:tcBorders>
            <w:noWrap w:val="0"/>
            <w:vAlign w:val="center"/>
          </w:tcPr>
          <w:p w14:paraId="49293466">
            <w:pPr>
              <w:shd w:val="clear" w:color="auto" w:fill="FFFFFF"/>
              <w:spacing w:line="240" w:lineRule="auto"/>
              <w:rPr>
                <w:rFonts w:hint="eastAsia" w:ascii="宋体" w:hAnsi="宋体" w:eastAsia="宋体" w:cs="宋体"/>
                <w:color w:val="auto"/>
                <w:kern w:val="0"/>
                <w:sz w:val="24"/>
                <w:szCs w:val="24"/>
                <w:highlight w:val="none"/>
              </w:rPr>
            </w:pPr>
          </w:p>
        </w:tc>
        <w:tc>
          <w:tcPr>
            <w:tcW w:w="6582" w:type="dxa"/>
            <w:tcBorders>
              <w:top w:val="single" w:color="auto" w:sz="4" w:space="0"/>
              <w:left w:val="single" w:color="auto" w:sz="4" w:space="0"/>
              <w:bottom w:val="single" w:color="auto" w:sz="4" w:space="0"/>
              <w:right w:val="single" w:color="auto" w:sz="4" w:space="0"/>
            </w:tcBorders>
            <w:noWrap w:val="0"/>
            <w:vAlign w:val="center"/>
          </w:tcPr>
          <w:p w14:paraId="19072B46">
            <w:pPr>
              <w:shd w:val="clear" w:color="auto" w:fill="FFFFFF"/>
              <w:tabs>
                <w:tab w:val="left" w:pos="2530"/>
              </w:tabs>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投标人拟投标产品的检测报告，有报告的得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pacing w:val="-20"/>
                <w:kern w:val="0"/>
                <w:sz w:val="24"/>
                <w:szCs w:val="24"/>
                <w:highlight w:val="none"/>
              </w:rPr>
              <w:t>分。未</w:t>
            </w:r>
            <w:r>
              <w:rPr>
                <w:rFonts w:hint="eastAsia" w:ascii="宋体" w:hAnsi="宋体" w:eastAsia="宋体" w:cs="宋体"/>
                <w:color w:val="auto"/>
                <w:kern w:val="0"/>
                <w:sz w:val="24"/>
                <w:szCs w:val="24"/>
                <w:highlight w:val="none"/>
              </w:rPr>
              <w:t>提供检测报告或投标人承诺指标与检测报告不符的不计分。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419516A9">
            <w:pPr>
              <w:shd w:val="clear" w:color="auto" w:fill="FFFFFF"/>
              <w:tabs>
                <w:tab w:val="left" w:pos="2530"/>
              </w:tabs>
              <w:spacing w:line="240" w:lineRule="auto"/>
              <w:ind w:left="0" w:leftChars="0" w:right="31" w:rightChars="13"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0-5</w:t>
            </w:r>
          </w:p>
        </w:tc>
      </w:tr>
      <w:tr w14:paraId="2363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2" w:type="dxa"/>
            <w:vMerge w:val="restart"/>
            <w:tcBorders>
              <w:left w:val="single" w:color="auto" w:sz="4" w:space="0"/>
              <w:right w:val="single" w:color="auto" w:sz="4" w:space="0"/>
            </w:tcBorders>
            <w:noWrap w:val="0"/>
            <w:vAlign w:val="center"/>
          </w:tcPr>
          <w:p w14:paraId="56014C0D">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522" w:type="dxa"/>
            <w:vMerge w:val="restart"/>
            <w:tcBorders>
              <w:left w:val="single" w:color="auto" w:sz="4" w:space="0"/>
              <w:right w:val="single" w:color="auto" w:sz="4" w:space="0"/>
            </w:tcBorders>
            <w:noWrap w:val="0"/>
            <w:vAlign w:val="center"/>
          </w:tcPr>
          <w:p w14:paraId="41F6CAD1">
            <w:pPr>
              <w:shd w:val="clear" w:color="auto" w:fill="FFFFFF"/>
              <w:spacing w:line="240" w:lineRule="auto"/>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项目组织实施方案</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4FE2BD16">
            <w:pPr>
              <w:shd w:val="clear" w:color="auto" w:fill="FFFFFF"/>
              <w:spacing w:line="240" w:lineRule="auto"/>
              <w:ind w:left="0" w:leftChars="0" w:firstLine="0" w:firstLineChars="0"/>
              <w:rPr>
                <w:rFonts w:hint="eastAsia"/>
                <w:color w:val="auto"/>
                <w:highlight w:val="none"/>
              </w:rPr>
            </w:pPr>
            <w:r>
              <w:rPr>
                <w:rFonts w:hint="eastAsia"/>
                <w:color w:val="auto"/>
                <w:highlight w:val="none"/>
                <w:lang w:val="en-US" w:eastAsia="zh-CN"/>
              </w:rPr>
              <w:t>根据投标人</w:t>
            </w:r>
            <w:r>
              <w:rPr>
                <w:rFonts w:hint="eastAsia"/>
                <w:color w:val="auto"/>
                <w:highlight w:val="none"/>
              </w:rPr>
              <w:t>提供的服务方案</w:t>
            </w:r>
            <w:r>
              <w:rPr>
                <w:rFonts w:hint="eastAsia"/>
                <w:color w:val="auto"/>
                <w:highlight w:val="none"/>
                <w:lang w:val="en-US" w:eastAsia="zh-CN"/>
              </w:rPr>
              <w:t>的</w:t>
            </w:r>
            <w:r>
              <w:rPr>
                <w:rFonts w:hint="eastAsia"/>
                <w:color w:val="auto"/>
                <w:highlight w:val="none"/>
              </w:rPr>
              <w:t>合理性</w:t>
            </w:r>
            <w:r>
              <w:rPr>
                <w:rFonts w:hint="eastAsia"/>
                <w:color w:val="auto"/>
                <w:highlight w:val="none"/>
                <w:lang w:val="en-US" w:eastAsia="zh-CN"/>
              </w:rPr>
              <w:t>进行打分（2，1.5，1，0.5，0,）根据</w:t>
            </w:r>
            <w:r>
              <w:rPr>
                <w:rFonts w:hint="eastAsia" w:ascii="宋体" w:hAnsi="宋体" w:eastAsia="宋体" w:cs="宋体"/>
                <w:color w:val="auto"/>
                <w:sz w:val="24"/>
                <w:szCs w:val="24"/>
                <w:highlight w:val="none"/>
              </w:rPr>
              <w:t>方案的</w:t>
            </w:r>
            <w:r>
              <w:rPr>
                <w:rFonts w:hint="eastAsia" w:ascii="宋体" w:hAnsi="宋体" w:cs="宋体"/>
                <w:color w:val="auto"/>
                <w:sz w:val="24"/>
                <w:szCs w:val="24"/>
                <w:highlight w:val="none"/>
                <w:lang w:eastAsia="zh-CN"/>
              </w:rPr>
              <w:t>安全保障</w:t>
            </w:r>
            <w:r>
              <w:rPr>
                <w:rFonts w:hint="eastAsia" w:ascii="宋体" w:hAnsi="宋体" w:cs="宋体"/>
                <w:color w:val="auto"/>
                <w:sz w:val="24"/>
                <w:szCs w:val="24"/>
                <w:highlight w:val="none"/>
                <w:lang w:val="en-US" w:eastAsia="zh-CN"/>
              </w:rPr>
              <w:t>情况进行打分</w:t>
            </w:r>
            <w:r>
              <w:rPr>
                <w:rFonts w:hint="eastAsia"/>
                <w:color w:val="auto"/>
                <w:highlight w:val="none"/>
                <w:lang w:val="en-US" w:eastAsia="zh-CN"/>
              </w:rPr>
              <w:t>（1.5，1，0.5，0,）根据科学规划设备平面布置情况进行打分（1.5，1，0.5，0,）。本项最高得5分。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C4895A3">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14:paraId="1DB4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2" w:type="dxa"/>
            <w:vMerge w:val="continue"/>
            <w:tcBorders>
              <w:left w:val="single" w:color="auto" w:sz="4" w:space="0"/>
              <w:right w:val="single" w:color="auto" w:sz="4" w:space="0"/>
            </w:tcBorders>
            <w:noWrap w:val="0"/>
            <w:vAlign w:val="center"/>
          </w:tcPr>
          <w:p w14:paraId="36486282">
            <w:pPr>
              <w:shd w:val="clear" w:color="auto" w:fill="FFFFFF"/>
              <w:spacing w:line="240" w:lineRule="auto"/>
              <w:jc w:val="center"/>
              <w:rPr>
                <w:rFonts w:hint="eastAsia" w:ascii="宋体" w:hAnsi="宋体" w:eastAsia="宋体" w:cs="宋体"/>
                <w:color w:val="auto"/>
                <w:kern w:val="0"/>
                <w:sz w:val="24"/>
                <w:szCs w:val="24"/>
                <w:highlight w:val="none"/>
              </w:rPr>
            </w:pPr>
          </w:p>
        </w:tc>
        <w:tc>
          <w:tcPr>
            <w:tcW w:w="1522" w:type="dxa"/>
            <w:vMerge w:val="continue"/>
            <w:tcBorders>
              <w:left w:val="single" w:color="auto" w:sz="4" w:space="0"/>
              <w:right w:val="single" w:color="auto" w:sz="4" w:space="0"/>
            </w:tcBorders>
            <w:noWrap w:val="0"/>
            <w:vAlign w:val="center"/>
          </w:tcPr>
          <w:p w14:paraId="7E8F0F8A">
            <w:pPr>
              <w:shd w:val="clear" w:color="auto" w:fill="FFFFFF"/>
              <w:spacing w:line="240" w:lineRule="auto"/>
              <w:jc w:val="center"/>
              <w:rPr>
                <w:rFonts w:hint="eastAsia" w:ascii="宋体" w:hAnsi="宋体" w:eastAsia="宋体" w:cs="宋体"/>
                <w:color w:val="auto"/>
                <w:kern w:val="0"/>
                <w:sz w:val="24"/>
                <w:szCs w:val="24"/>
                <w:highlight w:val="none"/>
              </w:rPr>
            </w:pPr>
          </w:p>
        </w:tc>
        <w:tc>
          <w:tcPr>
            <w:tcW w:w="6582" w:type="dxa"/>
            <w:tcBorders>
              <w:top w:val="single" w:color="auto" w:sz="4" w:space="0"/>
              <w:left w:val="single" w:color="auto" w:sz="4" w:space="0"/>
              <w:bottom w:val="single" w:color="auto" w:sz="4" w:space="0"/>
              <w:right w:val="single" w:color="auto" w:sz="4" w:space="0"/>
            </w:tcBorders>
            <w:noWrap w:val="0"/>
            <w:vAlign w:val="center"/>
          </w:tcPr>
          <w:p w14:paraId="1AE98D27">
            <w:pPr>
              <w:rPr>
                <w:rFonts w:hint="eastAsia"/>
                <w:color w:val="auto"/>
                <w:highlight w:val="none"/>
              </w:rPr>
            </w:pPr>
            <w:r>
              <w:rPr>
                <w:rFonts w:hint="eastAsia"/>
                <w:color w:val="auto"/>
                <w:highlight w:val="none"/>
                <w:lang w:val="en-US" w:eastAsia="zh-CN"/>
              </w:rPr>
              <w:t>根据投标人的</w:t>
            </w:r>
            <w:r>
              <w:rPr>
                <w:rFonts w:hint="eastAsia"/>
                <w:color w:val="auto"/>
                <w:highlight w:val="none"/>
              </w:rPr>
              <w:t>供货</w:t>
            </w:r>
            <w:r>
              <w:rPr>
                <w:rFonts w:hint="eastAsia"/>
                <w:color w:val="auto"/>
                <w:highlight w:val="none"/>
                <w:lang w:val="en-US" w:eastAsia="zh-CN"/>
              </w:rPr>
              <w:t>计划进行打分（2，1.5，1，0.5，0,）、对供货保障</w:t>
            </w:r>
            <w:r>
              <w:rPr>
                <w:rFonts w:hint="eastAsia"/>
                <w:color w:val="auto"/>
                <w:highlight w:val="none"/>
              </w:rPr>
              <w:t>措施</w:t>
            </w:r>
            <w:r>
              <w:rPr>
                <w:rFonts w:hint="eastAsia"/>
                <w:color w:val="auto"/>
                <w:highlight w:val="none"/>
                <w:lang w:val="en-US" w:eastAsia="zh-CN"/>
              </w:rPr>
              <w:t>进行打分（1.5，1，0.5，0,）</w:t>
            </w:r>
            <w:r>
              <w:rPr>
                <w:rFonts w:hint="eastAsia"/>
                <w:color w:val="auto"/>
                <w:highlight w:val="none"/>
                <w:lang w:eastAsia="zh-CN"/>
              </w:rPr>
              <w:t>、</w:t>
            </w:r>
            <w:r>
              <w:rPr>
                <w:rFonts w:hint="eastAsia"/>
                <w:color w:val="auto"/>
                <w:highlight w:val="none"/>
                <w:lang w:val="en-US" w:eastAsia="zh-CN"/>
              </w:rPr>
              <w:t>对供货进度控制措施进行打分（1.5，1，0.5，0,）。本项最高得5分。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5A57896">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14:paraId="1BA1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22" w:type="dxa"/>
            <w:vMerge w:val="continue"/>
            <w:tcBorders>
              <w:left w:val="single" w:color="auto" w:sz="4" w:space="0"/>
              <w:right w:val="single" w:color="auto" w:sz="4" w:space="0"/>
            </w:tcBorders>
            <w:noWrap w:val="0"/>
            <w:vAlign w:val="center"/>
          </w:tcPr>
          <w:p w14:paraId="65F3B458">
            <w:pPr>
              <w:shd w:val="clear" w:color="auto" w:fill="FFFFFF"/>
              <w:spacing w:line="240" w:lineRule="auto"/>
              <w:jc w:val="center"/>
              <w:rPr>
                <w:rFonts w:hint="eastAsia" w:ascii="宋体" w:hAnsi="宋体" w:eastAsia="宋体" w:cs="宋体"/>
                <w:color w:val="auto"/>
                <w:kern w:val="0"/>
                <w:sz w:val="24"/>
                <w:szCs w:val="24"/>
                <w:highlight w:val="none"/>
              </w:rPr>
            </w:pPr>
          </w:p>
        </w:tc>
        <w:tc>
          <w:tcPr>
            <w:tcW w:w="1522" w:type="dxa"/>
            <w:vMerge w:val="continue"/>
            <w:tcBorders>
              <w:left w:val="single" w:color="auto" w:sz="4" w:space="0"/>
              <w:right w:val="single" w:color="auto" w:sz="4" w:space="0"/>
            </w:tcBorders>
            <w:noWrap w:val="0"/>
            <w:vAlign w:val="center"/>
          </w:tcPr>
          <w:p w14:paraId="109665F5">
            <w:pPr>
              <w:shd w:val="clear" w:color="auto" w:fill="FFFFFF"/>
              <w:spacing w:line="240" w:lineRule="auto"/>
              <w:jc w:val="center"/>
              <w:rPr>
                <w:rFonts w:hint="eastAsia" w:ascii="宋体" w:hAnsi="宋体" w:eastAsia="宋体" w:cs="宋体"/>
                <w:color w:val="auto"/>
                <w:kern w:val="0"/>
                <w:sz w:val="24"/>
                <w:szCs w:val="24"/>
                <w:highlight w:val="none"/>
              </w:rPr>
            </w:pPr>
          </w:p>
        </w:tc>
        <w:tc>
          <w:tcPr>
            <w:tcW w:w="6582" w:type="dxa"/>
            <w:tcBorders>
              <w:top w:val="single" w:color="auto" w:sz="4" w:space="0"/>
              <w:left w:val="single" w:color="auto" w:sz="4" w:space="0"/>
              <w:bottom w:val="single" w:color="auto" w:sz="4" w:space="0"/>
              <w:right w:val="single" w:color="auto" w:sz="4" w:space="0"/>
            </w:tcBorders>
            <w:noWrap w:val="0"/>
            <w:vAlign w:val="center"/>
          </w:tcPr>
          <w:p w14:paraId="601E3C53">
            <w:pPr>
              <w:shd w:val="clear" w:color="auto" w:fill="FFFFFF"/>
              <w:spacing w:line="240" w:lineRule="auto"/>
              <w:ind w:left="0" w:leftChars="0" w:firstLine="0" w:firstLineChars="0"/>
              <w:rPr>
                <w:rFonts w:hint="eastAsia"/>
                <w:color w:val="auto"/>
                <w:highlight w:val="none"/>
                <w:lang w:val="en-US" w:eastAsia="zh-CN"/>
              </w:rPr>
            </w:pPr>
            <w:r>
              <w:rPr>
                <w:rFonts w:hint="eastAsia"/>
                <w:color w:val="auto"/>
                <w:highlight w:val="none"/>
                <w:lang w:val="en-US" w:eastAsia="zh-CN"/>
              </w:rPr>
              <w:t>根据投标人拟定的</w:t>
            </w:r>
            <w:r>
              <w:rPr>
                <w:rFonts w:hint="eastAsia"/>
                <w:color w:val="auto"/>
                <w:highlight w:val="none"/>
              </w:rPr>
              <w:t>售后服务</w:t>
            </w:r>
            <w:r>
              <w:rPr>
                <w:rFonts w:hint="eastAsia"/>
                <w:color w:val="auto"/>
                <w:highlight w:val="none"/>
                <w:lang w:val="en-US" w:eastAsia="zh-CN"/>
              </w:rPr>
              <w:t>计划进行打分（2，1.5，1，0.5，0,）、维保计划进行打分（1.5，1，0.5，0,）、维修措施</w:t>
            </w:r>
            <w:r>
              <w:rPr>
                <w:rFonts w:hint="eastAsia"/>
                <w:color w:val="auto"/>
                <w:highlight w:val="none"/>
              </w:rPr>
              <w:t>及</w:t>
            </w:r>
            <w:r>
              <w:rPr>
                <w:rFonts w:hint="eastAsia"/>
                <w:color w:val="auto"/>
                <w:highlight w:val="none"/>
                <w:lang w:val="en-US" w:eastAsia="zh-CN"/>
              </w:rPr>
              <w:t>其他售后服务</w:t>
            </w:r>
            <w:r>
              <w:rPr>
                <w:rFonts w:hint="eastAsia"/>
                <w:color w:val="auto"/>
                <w:highlight w:val="none"/>
              </w:rPr>
              <w:t>承诺</w:t>
            </w:r>
            <w:r>
              <w:rPr>
                <w:rFonts w:hint="eastAsia"/>
                <w:color w:val="auto"/>
                <w:highlight w:val="none"/>
                <w:lang w:val="en-US" w:eastAsia="zh-CN"/>
              </w:rPr>
              <w:t>进行打分（1.5，1，0.5，0,）</w:t>
            </w:r>
            <w:r>
              <w:rPr>
                <w:rFonts w:hint="eastAsia"/>
                <w:color w:val="auto"/>
                <w:highlight w:val="none"/>
              </w:rPr>
              <w:t>。</w:t>
            </w:r>
            <w:r>
              <w:rPr>
                <w:rFonts w:hint="eastAsia"/>
                <w:color w:val="auto"/>
                <w:highlight w:val="none"/>
                <w:lang w:val="en-US" w:eastAsia="zh-CN"/>
              </w:rPr>
              <w:t>本项最高得5分。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156FBB9">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14:paraId="75BA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22" w:type="dxa"/>
            <w:vMerge w:val="continue"/>
            <w:tcBorders>
              <w:left w:val="single" w:color="auto" w:sz="4" w:space="0"/>
              <w:right w:val="single" w:color="auto" w:sz="4" w:space="0"/>
            </w:tcBorders>
            <w:noWrap w:val="0"/>
            <w:vAlign w:val="center"/>
          </w:tcPr>
          <w:p w14:paraId="20C767E0">
            <w:pPr>
              <w:shd w:val="clear" w:color="auto" w:fill="FFFFFF"/>
              <w:spacing w:line="240" w:lineRule="auto"/>
              <w:jc w:val="center"/>
              <w:rPr>
                <w:rFonts w:hint="eastAsia" w:ascii="宋体" w:hAnsi="宋体" w:eastAsia="宋体" w:cs="宋体"/>
                <w:color w:val="auto"/>
                <w:kern w:val="0"/>
                <w:sz w:val="24"/>
                <w:szCs w:val="24"/>
                <w:highlight w:val="none"/>
              </w:rPr>
            </w:pPr>
          </w:p>
        </w:tc>
        <w:tc>
          <w:tcPr>
            <w:tcW w:w="1522" w:type="dxa"/>
            <w:vMerge w:val="continue"/>
            <w:tcBorders>
              <w:left w:val="single" w:color="auto" w:sz="4" w:space="0"/>
              <w:right w:val="single" w:color="auto" w:sz="4" w:space="0"/>
            </w:tcBorders>
            <w:noWrap w:val="0"/>
            <w:vAlign w:val="center"/>
          </w:tcPr>
          <w:p w14:paraId="778E533F">
            <w:pPr>
              <w:shd w:val="clear" w:color="auto" w:fill="FFFFFF"/>
              <w:spacing w:line="240" w:lineRule="auto"/>
              <w:jc w:val="center"/>
              <w:rPr>
                <w:rFonts w:hint="eastAsia" w:ascii="宋体" w:hAnsi="宋体" w:eastAsia="宋体" w:cs="宋体"/>
                <w:color w:val="auto"/>
                <w:kern w:val="0"/>
                <w:sz w:val="24"/>
                <w:szCs w:val="24"/>
                <w:highlight w:val="none"/>
              </w:rPr>
            </w:pPr>
          </w:p>
        </w:tc>
        <w:tc>
          <w:tcPr>
            <w:tcW w:w="6582" w:type="dxa"/>
            <w:tcBorders>
              <w:top w:val="single" w:color="auto" w:sz="4" w:space="0"/>
              <w:left w:val="single" w:color="auto" w:sz="4" w:space="0"/>
              <w:bottom w:val="single" w:color="auto" w:sz="4" w:space="0"/>
              <w:right w:val="single" w:color="auto" w:sz="4" w:space="0"/>
            </w:tcBorders>
            <w:noWrap w:val="0"/>
            <w:vAlign w:val="center"/>
          </w:tcPr>
          <w:p w14:paraId="2FB64444">
            <w:pPr>
              <w:shd w:val="clear" w:color="auto" w:fill="FFFFFF"/>
              <w:spacing w:line="240" w:lineRule="auto"/>
              <w:ind w:left="0" w:leftChars="0" w:firstLine="0" w:firstLineChars="0"/>
              <w:rPr>
                <w:rFonts w:hint="eastAsia"/>
                <w:color w:val="auto"/>
                <w:highlight w:val="none"/>
                <w:lang w:eastAsia="zh-CN"/>
              </w:rPr>
            </w:pPr>
            <w:r>
              <w:rPr>
                <w:rFonts w:hint="eastAsia"/>
                <w:color w:val="auto"/>
                <w:highlight w:val="none"/>
                <w:lang w:eastAsia="zh-CN"/>
              </w:rPr>
              <w:t>根据</w:t>
            </w:r>
            <w:r>
              <w:rPr>
                <w:rFonts w:hint="eastAsia"/>
                <w:color w:val="auto"/>
                <w:highlight w:val="none"/>
                <w:lang w:val="en-US" w:eastAsia="zh-CN"/>
              </w:rPr>
              <w:t>投标人</w:t>
            </w:r>
            <w:r>
              <w:rPr>
                <w:rFonts w:hint="eastAsia"/>
                <w:color w:val="auto"/>
                <w:highlight w:val="none"/>
                <w:lang w:eastAsia="zh-CN"/>
              </w:rPr>
              <w:t>拟投入本项目团队实施人员证书</w:t>
            </w:r>
            <w:r>
              <w:rPr>
                <w:rFonts w:hint="eastAsia"/>
                <w:color w:val="auto"/>
                <w:highlight w:val="none"/>
                <w:lang w:val="en-US" w:eastAsia="zh-CN"/>
              </w:rPr>
              <w:t>进行打分（2，1.5，1，0.5，0,）</w:t>
            </w:r>
            <w:r>
              <w:rPr>
                <w:rFonts w:hint="eastAsia"/>
                <w:color w:val="auto"/>
                <w:highlight w:val="none"/>
                <w:lang w:eastAsia="zh-CN"/>
              </w:rPr>
              <w:t>、</w:t>
            </w:r>
            <w:r>
              <w:rPr>
                <w:rFonts w:hint="eastAsia"/>
                <w:color w:val="auto"/>
                <w:highlight w:val="none"/>
                <w:lang w:val="en-US" w:eastAsia="zh-CN"/>
              </w:rPr>
              <w:t>对提供的</w:t>
            </w:r>
            <w:r>
              <w:rPr>
                <w:rFonts w:hint="eastAsia"/>
                <w:color w:val="auto"/>
                <w:highlight w:val="none"/>
                <w:lang w:eastAsia="zh-CN"/>
              </w:rPr>
              <w:t>类似工作经验证明</w:t>
            </w:r>
            <w:r>
              <w:rPr>
                <w:rFonts w:hint="eastAsia"/>
                <w:color w:val="auto"/>
                <w:highlight w:val="none"/>
                <w:lang w:val="en-US" w:eastAsia="zh-CN"/>
              </w:rPr>
              <w:t>进行打分（1.5，1，0.5，0,）</w:t>
            </w:r>
            <w:r>
              <w:rPr>
                <w:rFonts w:hint="eastAsia"/>
                <w:color w:val="auto"/>
                <w:highlight w:val="none"/>
                <w:lang w:eastAsia="zh-CN"/>
              </w:rPr>
              <w:t>、</w:t>
            </w:r>
            <w:r>
              <w:rPr>
                <w:rFonts w:hint="eastAsia"/>
                <w:color w:val="auto"/>
                <w:highlight w:val="none"/>
                <w:lang w:val="en-US" w:eastAsia="zh-CN"/>
              </w:rPr>
              <w:t>对投入本项目</w:t>
            </w:r>
            <w:r>
              <w:rPr>
                <w:rFonts w:hint="eastAsia"/>
                <w:color w:val="auto"/>
                <w:highlight w:val="none"/>
                <w:lang w:eastAsia="zh-CN"/>
              </w:rPr>
              <w:t>技术能力总体水平</w:t>
            </w:r>
            <w:r>
              <w:rPr>
                <w:rFonts w:hint="eastAsia"/>
                <w:color w:val="auto"/>
                <w:highlight w:val="none"/>
                <w:lang w:val="en-US" w:eastAsia="zh-CN"/>
              </w:rPr>
              <w:t>进行打分（1.5，1，0.5，0,）。本项最高得5分。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F03C40E">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14:paraId="5478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22" w:type="dxa"/>
            <w:vMerge w:val="continue"/>
            <w:tcBorders>
              <w:left w:val="single" w:color="auto" w:sz="4" w:space="0"/>
              <w:right w:val="single" w:color="auto" w:sz="4" w:space="0"/>
            </w:tcBorders>
            <w:noWrap w:val="0"/>
            <w:vAlign w:val="center"/>
          </w:tcPr>
          <w:p w14:paraId="5894261A">
            <w:pPr>
              <w:shd w:val="clear" w:color="auto" w:fill="FFFFFF"/>
              <w:spacing w:line="240" w:lineRule="auto"/>
              <w:jc w:val="center"/>
              <w:rPr>
                <w:rFonts w:hint="eastAsia" w:ascii="宋体" w:hAnsi="宋体" w:eastAsia="宋体" w:cs="宋体"/>
                <w:color w:val="auto"/>
                <w:kern w:val="0"/>
                <w:sz w:val="24"/>
                <w:szCs w:val="24"/>
                <w:highlight w:val="none"/>
              </w:rPr>
            </w:pPr>
          </w:p>
        </w:tc>
        <w:tc>
          <w:tcPr>
            <w:tcW w:w="1522" w:type="dxa"/>
            <w:vMerge w:val="continue"/>
            <w:tcBorders>
              <w:left w:val="single" w:color="auto" w:sz="4" w:space="0"/>
              <w:right w:val="single" w:color="auto" w:sz="4" w:space="0"/>
            </w:tcBorders>
            <w:noWrap w:val="0"/>
            <w:vAlign w:val="center"/>
          </w:tcPr>
          <w:p w14:paraId="50B2D474">
            <w:pPr>
              <w:shd w:val="clear" w:color="auto" w:fill="FFFFFF"/>
              <w:spacing w:line="240" w:lineRule="auto"/>
              <w:jc w:val="center"/>
              <w:rPr>
                <w:rFonts w:hint="eastAsia" w:ascii="宋体" w:hAnsi="宋体" w:eastAsia="宋体" w:cs="宋体"/>
                <w:color w:val="auto"/>
                <w:kern w:val="0"/>
                <w:sz w:val="24"/>
                <w:szCs w:val="24"/>
                <w:highlight w:val="none"/>
              </w:rPr>
            </w:pPr>
          </w:p>
        </w:tc>
        <w:tc>
          <w:tcPr>
            <w:tcW w:w="6582" w:type="dxa"/>
            <w:tcBorders>
              <w:top w:val="single" w:color="auto" w:sz="4" w:space="0"/>
              <w:left w:val="single" w:color="auto" w:sz="4" w:space="0"/>
              <w:bottom w:val="single" w:color="auto" w:sz="4" w:space="0"/>
              <w:right w:val="single" w:color="auto" w:sz="4" w:space="0"/>
            </w:tcBorders>
            <w:noWrap w:val="0"/>
            <w:vAlign w:val="center"/>
          </w:tcPr>
          <w:p w14:paraId="65320760">
            <w:pPr>
              <w:shd w:val="clear" w:color="auto" w:fill="FFFFFF"/>
              <w:spacing w:line="240" w:lineRule="auto"/>
              <w:ind w:left="0" w:leftChars="0" w:firstLine="0" w:firstLineChars="0"/>
              <w:rPr>
                <w:rFonts w:hint="default"/>
                <w:color w:val="auto"/>
                <w:highlight w:val="none"/>
                <w:lang w:val="en-US" w:eastAsia="zh-CN"/>
              </w:rPr>
            </w:pPr>
            <w:r>
              <w:rPr>
                <w:rFonts w:hint="eastAsia"/>
                <w:color w:val="auto"/>
                <w:highlight w:val="none"/>
              </w:rPr>
              <w:t>投标人针对本项目提供的其它优惠</w:t>
            </w:r>
            <w:r>
              <w:rPr>
                <w:rFonts w:hint="eastAsia"/>
                <w:color w:val="auto"/>
                <w:highlight w:val="none"/>
                <w:lang w:val="en-US" w:eastAsia="zh-CN"/>
              </w:rPr>
              <w:t>承诺进行打分（2，1.5，1，0.5，0,）、对提供的</w:t>
            </w:r>
            <w:r>
              <w:rPr>
                <w:rFonts w:hint="eastAsia"/>
                <w:color w:val="auto"/>
                <w:highlight w:val="none"/>
              </w:rPr>
              <w:t>合理化建议</w:t>
            </w:r>
            <w:r>
              <w:rPr>
                <w:rFonts w:hint="eastAsia"/>
                <w:color w:val="auto"/>
                <w:highlight w:val="none"/>
                <w:lang w:val="en-US" w:eastAsia="zh-CN"/>
              </w:rPr>
              <w:t>进行打分（1.5，1，0.5，0,）对</w:t>
            </w:r>
            <w:r>
              <w:rPr>
                <w:rFonts w:hint="eastAsia"/>
                <w:color w:val="auto"/>
                <w:highlight w:val="none"/>
              </w:rPr>
              <w:t>改进措施</w:t>
            </w:r>
            <w:r>
              <w:rPr>
                <w:rFonts w:hint="eastAsia"/>
                <w:color w:val="auto"/>
                <w:highlight w:val="none"/>
                <w:lang w:val="en-US" w:eastAsia="zh-CN"/>
              </w:rPr>
              <w:t>进行打分（1.5，1，0.5，0,）。本项最高得5分。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3A727DB">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14:paraId="28C7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22" w:type="dxa"/>
            <w:tcBorders>
              <w:left w:val="single" w:color="auto" w:sz="4" w:space="0"/>
              <w:right w:val="single" w:color="auto" w:sz="4" w:space="0"/>
            </w:tcBorders>
            <w:noWrap w:val="0"/>
            <w:vAlign w:val="center"/>
          </w:tcPr>
          <w:p w14:paraId="710C23DA">
            <w:pPr>
              <w:shd w:val="clear" w:color="auto" w:fill="FFFFFF"/>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522" w:type="dxa"/>
            <w:tcBorders>
              <w:left w:val="single" w:color="auto" w:sz="4" w:space="0"/>
              <w:right w:val="single" w:color="auto" w:sz="4" w:space="0"/>
            </w:tcBorders>
            <w:noWrap w:val="0"/>
            <w:vAlign w:val="center"/>
          </w:tcPr>
          <w:p w14:paraId="23A25966">
            <w:pPr>
              <w:widowControl w:val="0"/>
              <w:kinsoku w:val="0"/>
              <w:spacing w:line="240" w:lineRule="auto"/>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政策分</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26A48988">
            <w:pPr>
              <w:widowControl w:val="0"/>
              <w:kinsoku w:val="0"/>
              <w:spacing w:line="240" w:lineRule="auto"/>
              <w:ind w:left="0" w:leftChars="0" w:right="-22" w:rightChars="-9"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或投标产品符合《政府采购货物和服务招标投标管理办法》第五条规定，属“节约能源、保护环境、扶持不发达地区和少数民族地区等”政府采购政策扶持对象的，提供相关证明材料和政策依据，根据其重要性每符合一项得0.5-1分，最高可得2分。未提供相关证明材料的不得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AA9E8F1">
            <w:pPr>
              <w:widowControl w:val="0"/>
              <w:kinsoku w:val="0"/>
              <w:spacing w:line="240" w:lineRule="auto"/>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w:t>
            </w:r>
          </w:p>
        </w:tc>
      </w:tr>
      <w:tr w14:paraId="51AA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22" w:type="dxa"/>
            <w:tcBorders>
              <w:left w:val="single" w:color="auto" w:sz="4" w:space="0"/>
              <w:right w:val="single" w:color="auto" w:sz="4" w:space="0"/>
            </w:tcBorders>
            <w:noWrap w:val="0"/>
            <w:vAlign w:val="center"/>
          </w:tcPr>
          <w:p w14:paraId="73F1ED06">
            <w:pPr>
              <w:shd w:val="clear" w:color="auto" w:fill="FFFFFF"/>
              <w:spacing w:line="240" w:lineRule="auto"/>
              <w:ind w:left="0" w:leftChars="0" w:firstLine="0" w:firstLineChars="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522" w:type="dxa"/>
            <w:tcBorders>
              <w:left w:val="single" w:color="auto" w:sz="4" w:space="0"/>
              <w:right w:val="single" w:color="auto" w:sz="4" w:space="0"/>
            </w:tcBorders>
            <w:noWrap w:val="0"/>
            <w:vAlign w:val="center"/>
          </w:tcPr>
          <w:p w14:paraId="3C01A7B2">
            <w:pPr>
              <w:widowControl w:val="0"/>
              <w:kinsoku w:val="0"/>
              <w:spacing w:line="240" w:lineRule="auto"/>
              <w:ind w:left="0" w:leftChars="0" w:firstLine="0" w:firstLineChars="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产品演示</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3167123E">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default" w:ascii="宋体" w:hAnsi="宋体" w:cs="宋体"/>
                <w:color w:val="auto"/>
                <w:sz w:val="24"/>
                <w:szCs w:val="24"/>
                <w:highlight w:val="none"/>
                <w:woUserID w:val="1"/>
              </w:rPr>
              <w:t>核心功能</w:t>
            </w:r>
            <w:r>
              <w:rPr>
                <w:rFonts w:hint="eastAsia" w:ascii="宋体" w:hAnsi="宋体" w:eastAsia="宋体" w:cs="宋体"/>
                <w:color w:val="auto"/>
                <w:sz w:val="24"/>
                <w:szCs w:val="24"/>
                <w:highlight w:val="none"/>
              </w:rPr>
              <w:t>视频演示：</w:t>
            </w:r>
          </w:p>
          <w:p w14:paraId="1B46A7BC">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1．教学软件授课模式下支持直接打开任意文件包括第三方网盘不局限于自己品牌及格式，打开文件类型多样，无需切换等复杂操作。点击"打开文件"即可达成方便老师应用操作，完全满足得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DAEF5AD">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素预置的高质量课件材，允许老师在网页端、移动端、电脑端进行内容的选择与组合，快速生成课件并浏览并提供教学设计和课件内容，所有制作的课件均实时保存至云端，老师只需登录即可查看，完全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F46B58D">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3．可用手机钉钉来提供教学设计，以模块方式生成带有文字以及动画效果的幻灯片课件，均实时保存至云端，课件支持一键全屏播放。有制作的课件均实时保存至云端，老师只需登录即可查看，完全满足得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1D638B0">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4．演示手势循环调用及隐藏教学云桌面，任意通道下可通过前置物理按键一键启动教学云桌面，支持定制应用并自动云端同步，应用支持分类显示，完全满足得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01375D0F">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无网络状况下在白板软件中直接打开几何画板，创建个人动态课件，提供相应作图工具包括运算区、立体图形绘制区及作图过程必须在同一界面同步显示绘图过程，分区画面大小可通过拖拽放大，所绘图形支持一键插入白板授课时直接打开，完全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06D656E9">
            <w:pPr>
              <w:widowControl w:val="0"/>
              <w:kinsoku w:val="0"/>
              <w:spacing w:line="240" w:lineRule="auto"/>
              <w:ind w:left="0" w:leftChars="0" w:right="-22" w:rightChars="-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55B237E">
            <w:pPr>
              <w:widowControl w:val="0"/>
              <w:kinsoku w:val="0"/>
              <w:spacing w:line="240" w:lineRule="auto"/>
              <w:ind w:left="0" w:leftChars="0" w:right="-22" w:rightChars="-9" w:firstLine="0" w:firstLineChars="0"/>
              <w:rPr>
                <w:rFonts w:hint="eastAsia"/>
                <w:color w:val="auto"/>
                <w:highlight w:val="none"/>
                <w:lang w:eastAsia="zh-CN"/>
              </w:rPr>
            </w:pPr>
            <w:r>
              <w:rPr>
                <w:rFonts w:hint="eastAsia"/>
                <w:color w:val="auto"/>
                <w:highlight w:val="none"/>
                <w:lang w:val="en-US" w:eastAsia="zh-CN"/>
              </w:rPr>
              <w:t>1、</w:t>
            </w:r>
            <w:r>
              <w:rPr>
                <w:rFonts w:hint="eastAsia"/>
                <w:color w:val="auto"/>
                <w:highlight w:val="none"/>
              </w:rPr>
              <w:t>供应商需根据演示要求录制视频，总共演示时间不超过</w:t>
            </w:r>
            <w:r>
              <w:rPr>
                <w:rFonts w:hint="default"/>
                <w:color w:val="auto"/>
                <w:highlight w:val="none"/>
              </w:rPr>
              <w:t>5</w:t>
            </w:r>
            <w:r>
              <w:rPr>
                <w:rFonts w:hint="eastAsia"/>
                <w:color w:val="auto"/>
                <w:highlight w:val="none"/>
              </w:rPr>
              <w:t>分钟，</w:t>
            </w:r>
            <w:r>
              <w:rPr>
                <w:rFonts w:hint="eastAsia" w:ascii="宋体" w:hAnsi="宋体" w:eastAsia="宋体" w:cs="宋体"/>
                <w:color w:val="auto"/>
                <w:sz w:val="24"/>
                <w:highlight w:val="none"/>
                <w:lang w:val="en-US" w:eastAsia="zh-CN"/>
              </w:rPr>
              <w:t>投标人可视情况采用视频文件（推荐采用MP4格式）</w:t>
            </w:r>
            <w:r>
              <w:rPr>
                <w:rFonts w:hint="eastAsia"/>
                <w:color w:val="auto"/>
                <w:highlight w:val="none"/>
              </w:rPr>
              <w:t>，存储于U盘，未提供不得分</w:t>
            </w:r>
            <w:r>
              <w:rPr>
                <w:rFonts w:hint="eastAsia"/>
                <w:color w:val="auto"/>
                <w:highlight w:val="none"/>
                <w:lang w:eastAsia="zh-CN"/>
              </w:rPr>
              <w:t>。</w:t>
            </w:r>
          </w:p>
          <w:p w14:paraId="70E720C8">
            <w:pPr>
              <w:widowControl w:val="0"/>
              <w:kinsoku w:val="0"/>
              <w:spacing w:line="240" w:lineRule="auto"/>
              <w:ind w:left="0" w:leftChars="0" w:right="-22" w:rightChars="-9" w:firstLine="0" w:firstLineChars="0"/>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注：因投标人自身原因导致无法演示或者演示效果不理想的，责任自负。</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1E07E45">
            <w:pPr>
              <w:widowControl w:val="0"/>
              <w:kinsoku w:val="0"/>
              <w:spacing w:line="240" w:lineRule="auto"/>
              <w:ind w:left="0" w:leftChars="0" w:firstLine="0" w:firstLineChars="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r>
    </w:tbl>
    <w:p w14:paraId="2853BEDC">
      <w:pPr>
        <w:pStyle w:val="18"/>
        <w:widowControl w:val="0"/>
        <w:numPr>
          <w:ilvl w:val="0"/>
          <w:numId w:val="0"/>
        </w:numPr>
        <w:adjustRightInd w:val="0"/>
        <w:snapToGrid w:val="0"/>
        <w:spacing w:before="0" w:beforeAutospacing="0" w:after="0" w:afterAutospacing="0" w:line="360" w:lineRule="auto"/>
        <w:ind w:firstLine="480" w:firstLineChars="200"/>
        <w:rPr>
          <w:rFonts w:hint="eastAsia" w:cs="宋体"/>
          <w:color w:val="auto"/>
          <w:highlight w:val="none"/>
          <w:lang w:val="en-US" w:eastAsia="zh-CN"/>
        </w:rPr>
      </w:pPr>
    </w:p>
    <w:p w14:paraId="67BC9204">
      <w:pPr>
        <w:pStyle w:val="18"/>
        <w:widowControl w:val="0"/>
        <w:adjustRightInd w:val="0"/>
        <w:snapToGrid w:val="0"/>
        <w:spacing w:before="0" w:beforeAutospacing="0" w:after="0" w:afterAutospacing="0"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2.价格评审：有效投标报价的最低价作为评标基准价，其最低报价为满分，其余各投标人价格得分的计算公式为：（评标基准价÷各投标人的有效报价）×</w:t>
      </w:r>
      <w:r>
        <w:rPr>
          <w:rFonts w:hint="eastAsia" w:cs="宋体"/>
          <w:color w:val="auto"/>
          <w:highlight w:val="none"/>
          <w:lang w:val="en-US" w:eastAsia="zh-CN"/>
        </w:rPr>
        <w:t>4</w:t>
      </w:r>
      <w:r>
        <w:rPr>
          <w:rFonts w:hint="eastAsia" w:ascii="宋体" w:hAnsi="宋体" w:eastAsia="宋体" w:cs="宋体"/>
          <w:color w:val="auto"/>
          <w:highlight w:val="none"/>
        </w:rPr>
        <w:t xml:space="preserve">0分。 </w:t>
      </w:r>
    </w:p>
    <w:p w14:paraId="7D348A71">
      <w:pPr>
        <w:widowControl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3.总分计算（满分为100分）</w:t>
      </w:r>
    </w:p>
    <w:p w14:paraId="1CB4CEE2">
      <w:pPr>
        <w:widowControl w:val="0"/>
        <w:adjustRightInd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投标人的最终得分=技术得分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60分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+价格得分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40分</w:t>
      </w:r>
      <w:r>
        <w:rPr>
          <w:rFonts w:hint="eastAsia" w:ascii="宋体" w:hAnsi="宋体" w:eastAsia="宋体" w:cs="宋体"/>
          <w:color w:val="auto"/>
          <w:highlight w:val="none"/>
          <w:lang w:eastAsia="zh-CN"/>
        </w:rPr>
        <w:t>）</w:t>
      </w:r>
    </w:p>
    <w:p w14:paraId="4FD23594">
      <w:pPr>
        <w:widowControl w:val="0"/>
        <w:adjustRightInd w:val="0"/>
        <w:snapToGrid w:val="0"/>
        <w:spacing w:line="360" w:lineRule="auto"/>
        <w:ind w:firstLine="435"/>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三、评标程序</w:t>
      </w:r>
    </w:p>
    <w:p w14:paraId="08E1F0CD">
      <w:pPr>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1.符合性审查。</w:t>
      </w:r>
      <w:r>
        <w:rPr>
          <w:rFonts w:hint="eastAsia" w:ascii="宋体" w:hAnsi="宋体" w:eastAsia="宋体" w:cs="宋体"/>
          <w:color w:val="auto"/>
          <w:highlight w:val="none"/>
        </w:rPr>
        <w:t>评标委员会应当对符合资格的投标人的投标文件进行符合性审查，以确定其是否满足招标文件的实质性要求。不满足招标文件的实质性要求的，投标无效。</w:t>
      </w:r>
    </w:p>
    <w:p w14:paraId="0FF8D0E8">
      <w:pPr>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2.比较与评价。</w:t>
      </w:r>
      <w:r>
        <w:rPr>
          <w:rFonts w:hint="eastAsia" w:ascii="宋体" w:hAnsi="宋体" w:eastAsia="宋体" w:cs="宋体"/>
          <w:color w:val="auto"/>
          <w:highlight w:val="none"/>
        </w:rPr>
        <w:t>评标委员会应当按照招标文件中规定的评标方法和标准，对符合性审查合格的投标文件进行商务技术评估，综合比较与评价。</w:t>
      </w:r>
    </w:p>
    <w:p w14:paraId="01D50BB7">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b/>
          <w:bCs/>
          <w:color w:val="auto"/>
          <w:highlight w:val="none"/>
        </w:rPr>
        <w:t>3.投标人澄清、说明或者补正。</w:t>
      </w:r>
      <w:r>
        <w:rPr>
          <w:rFonts w:hint="eastAsia" w:ascii="宋体" w:hAnsi="宋体" w:eastAsia="宋体" w:cs="宋体"/>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14:paraId="46642C48">
      <w:pPr>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4.汇总商务技术得分。</w:t>
      </w:r>
      <w:r>
        <w:rPr>
          <w:rFonts w:hint="eastAsia" w:ascii="宋体" w:hAnsi="宋体" w:eastAsia="宋体" w:cs="宋体"/>
          <w:color w:val="auto"/>
          <w:highlight w:val="none"/>
        </w:rPr>
        <w:t>评标委员会各成员应当独立对每个投标人的商务技术文件进行评价，并汇总商务技术得分情况。</w:t>
      </w:r>
    </w:p>
    <w:p w14:paraId="71B82A96">
      <w:pPr>
        <w:widowControl w:val="0"/>
        <w:adjustRightInd w:val="0"/>
        <w:snapToGrid w:val="0"/>
        <w:spacing w:line="360" w:lineRule="auto"/>
        <w:ind w:firstLine="435"/>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5.错误修正</w:t>
      </w:r>
    </w:p>
    <w:p w14:paraId="26ED2824">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color w:val="auto"/>
          <w:highlight w:val="none"/>
        </w:rPr>
        <w:t>报价文件如果出现计算或表达上的错误，修正错误的原则如下：</w:t>
      </w:r>
    </w:p>
    <w:p w14:paraId="2C1D5F53">
      <w:pPr>
        <w:widowControl w:val="0"/>
        <w:adjustRightInd w:val="0"/>
        <w:snapToGrid w:val="0"/>
        <w:spacing w:line="360" w:lineRule="auto"/>
        <w:ind w:firstLine="435"/>
        <w:jc w:val="both"/>
        <w:rPr>
          <w:rFonts w:hint="eastAsia" w:ascii="宋体" w:hAnsi="宋体" w:eastAsia="宋体" w:cs="宋体"/>
          <w:color w:val="auto"/>
          <w:highlight w:val="none"/>
        </w:rPr>
      </w:pPr>
      <w:bookmarkStart w:id="30" w:name="_Hlk92876645"/>
      <w:r>
        <w:rPr>
          <w:rFonts w:hint="eastAsia" w:ascii="宋体" w:hAnsi="宋体" w:eastAsia="宋体" w:cs="宋体"/>
          <w:color w:val="auto"/>
          <w:highlight w:val="none"/>
        </w:rPr>
        <w:t>5.1电子交易平台中“开标一览表”与投标人上传报价文件中“开标一览表”不一致的，以投标人上传报价文件的“开标一览表”为准。</w:t>
      </w:r>
    </w:p>
    <w:p w14:paraId="1D9D00FF">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color w:val="auto"/>
          <w:highlight w:val="none"/>
        </w:rPr>
        <w:t>5.2投标文件中开标一览表（报价表）内容与投标文件中相应内容不一致的，以开标一览表（报价表）为准；</w:t>
      </w:r>
    </w:p>
    <w:p w14:paraId="72F4B289">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color w:val="auto"/>
          <w:highlight w:val="none"/>
        </w:rPr>
        <w:t>5.3大写金额和小写金额不一致的，以大写金额为准；</w:t>
      </w:r>
    </w:p>
    <w:p w14:paraId="3F6F62B0">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color w:val="auto"/>
          <w:highlight w:val="none"/>
        </w:rPr>
        <w:t>5.4单价金额小数点或者百分比有明显错位的，以报价一览表的总价为准，并修改单价；</w:t>
      </w:r>
    </w:p>
    <w:p w14:paraId="283BC838">
      <w:pPr>
        <w:widowControl w:val="0"/>
        <w:adjustRightInd w:val="0"/>
        <w:snapToGrid w:val="0"/>
        <w:spacing w:line="360" w:lineRule="auto"/>
        <w:ind w:firstLine="435"/>
        <w:jc w:val="both"/>
        <w:rPr>
          <w:rFonts w:hint="eastAsia" w:ascii="宋体" w:hAnsi="宋体" w:eastAsia="宋体" w:cs="宋体"/>
          <w:color w:val="auto"/>
          <w:highlight w:val="none"/>
        </w:rPr>
      </w:pPr>
      <w:r>
        <w:rPr>
          <w:rFonts w:hint="eastAsia" w:ascii="宋体" w:hAnsi="宋体" w:eastAsia="宋体" w:cs="宋体"/>
          <w:color w:val="auto"/>
          <w:highlight w:val="none"/>
        </w:rPr>
        <w:t>5.5总价金额与按单价汇总金额不一致的，以单价金额计算结果为准。</w:t>
      </w:r>
    </w:p>
    <w:bookmarkEnd w:id="30"/>
    <w:p w14:paraId="3DE187F0">
      <w:pPr>
        <w:widowControl w:val="0"/>
        <w:adjustRightInd w:val="0"/>
        <w:snapToGrid w:val="0"/>
        <w:spacing w:line="360" w:lineRule="auto"/>
        <w:ind w:firstLine="435"/>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5.6</w:t>
      </w:r>
      <w:r>
        <w:rPr>
          <w:rFonts w:hint="eastAsia" w:ascii="宋体" w:hAnsi="宋体" w:eastAsia="宋体" w:cs="宋体"/>
          <w:color w:val="auto"/>
          <w:highlight w:val="none"/>
          <w:lang w:val="en-US" w:eastAsia="zh-CN"/>
        </w:rPr>
        <w:t>同时出现两种以上不一致的，按照顺序修正，修正后的报价按照财政部第87号令 《政府采购货物和服务招标投标管理办法》第五十一条第二款的规定经投标人确认后产生约束力。</w:t>
      </w:r>
    </w:p>
    <w:p w14:paraId="3C9E7FC5">
      <w:pPr>
        <w:widowControl w:val="0"/>
        <w:adjustRightInd w:val="0"/>
        <w:snapToGrid w:val="0"/>
        <w:spacing w:line="360" w:lineRule="auto"/>
        <w:ind w:firstLine="435"/>
        <w:jc w:val="both"/>
        <w:rPr>
          <w:rFonts w:hint="eastAsia" w:ascii="宋体" w:hAnsi="宋体" w:eastAsia="宋体" w:cs="宋体"/>
          <w:color w:val="auto"/>
          <w:kern w:val="2"/>
          <w:highlight w:val="none"/>
        </w:rPr>
      </w:pPr>
      <w:r>
        <w:rPr>
          <w:rFonts w:hint="eastAsia" w:ascii="宋体" w:hAnsi="宋体" w:eastAsia="宋体" w:cs="宋体"/>
          <w:b/>
          <w:bCs/>
          <w:color w:val="auto"/>
          <w:highlight w:val="none"/>
        </w:rPr>
        <w:t>6.</w:t>
      </w:r>
      <w:r>
        <w:rPr>
          <w:rFonts w:hint="eastAsia" w:ascii="宋体" w:hAnsi="宋体" w:eastAsia="宋体" w:cs="宋体"/>
          <w:b/>
          <w:color w:val="auto"/>
          <w:highlight w:val="none"/>
        </w:rPr>
        <w:t>排序与推荐。</w:t>
      </w:r>
      <w:r>
        <w:rPr>
          <w:rFonts w:hint="eastAsia" w:ascii="宋体" w:hAnsi="宋体" w:eastAsia="宋体" w:cs="宋体"/>
          <w:color w:val="auto"/>
          <w:highlight w:val="none"/>
        </w:rPr>
        <w:t>采用综合评分法的，评标结果按评审后得分由高到低顺序排列。如出现得分相同的，则按投标报价</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rPr>
        <w:t>由低到高顺序排列；得分且投标报价</w:t>
      </w:r>
      <w:r>
        <w:rPr>
          <w:rFonts w:hint="eastAsia" w:ascii="宋体" w:hAnsi="宋体" w:eastAsia="宋体" w:cs="宋体"/>
          <w:color w:val="auto"/>
          <w:highlight w:val="none"/>
          <w:lang w:eastAsia="zh-CN"/>
        </w:rPr>
        <w:t>（费率）</w:t>
      </w:r>
      <w:r>
        <w:rPr>
          <w:rFonts w:hint="eastAsia" w:ascii="宋体" w:hAnsi="宋体" w:eastAsia="宋体" w:cs="宋体"/>
          <w:color w:val="auto"/>
          <w:highlight w:val="none"/>
        </w:rPr>
        <w:t>相同的并列，由评标委员会采取抽签方式确定排序。</w:t>
      </w:r>
    </w:p>
    <w:p w14:paraId="457899A6">
      <w:pPr>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7.编写评标报告。</w:t>
      </w:r>
      <w:r>
        <w:rPr>
          <w:rFonts w:hint="eastAsia" w:ascii="宋体" w:hAnsi="宋体" w:eastAsia="宋体" w:cs="宋体"/>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bookmarkStart w:id="31" w:name="_Toc39239708"/>
    </w:p>
    <w:p w14:paraId="53665274">
      <w:pPr>
        <w:widowControl w:val="0"/>
        <w:adjustRightInd w:val="0"/>
        <w:snapToGrid w:val="0"/>
        <w:spacing w:line="360" w:lineRule="auto"/>
        <w:ind w:firstLine="435"/>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四、评审纪律和要求</w:t>
      </w:r>
    </w:p>
    <w:p w14:paraId="75FF527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1.评审专家必须公平、公正评审，遵纪守法，客观、廉洁地履行职责。</w:t>
      </w:r>
    </w:p>
    <w:p w14:paraId="7A5B1CC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2.评审专家在评审开始前，应关闭并上交随身携带的各种通信工具。</w:t>
      </w:r>
    </w:p>
    <w:p w14:paraId="4D5A268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3.评审专家在评审过程中，未经许可不得中途离开评审现场，不得迟到早退。</w:t>
      </w:r>
    </w:p>
    <w:p w14:paraId="048AB97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4.评审专家和工作人员不得透露评审过程中的讨论情况和评审结果。</w:t>
      </w:r>
    </w:p>
    <w:p w14:paraId="36CE431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27D079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6.采购人、采购代理机构不得向评审委员会的评审专家作倾向性、误导性的解释或者说明。</w:t>
      </w:r>
    </w:p>
    <w:p w14:paraId="19465F8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1D4F76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8.评审专家在评审过程中不得将自己的观点强加给其他评审专家，评审专家应自主发表见解，对评审意见承担个人责任。</w:t>
      </w:r>
    </w:p>
    <w:p w14:paraId="03E7FC4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15B8F5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6156AD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11.评审专家应当遵守评审工作纪律，不得泄露评审文件、评审情况和评审中获悉的商业秘密。</w:t>
      </w:r>
    </w:p>
    <w:p w14:paraId="4C38343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评审委员会在评审过程中发现投标人有行贿、提供虚假材料或者串通等违法行为的，应当及时向财政部门报告。</w:t>
      </w:r>
    </w:p>
    <w:p w14:paraId="5537511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12.招标文件内容违反国家有关强制性规定的，评审委员会应当停止评审并向采购代理机构说明情况。</w:t>
      </w:r>
    </w:p>
    <w:p w14:paraId="2538B59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13.评审专家应当配合采购代理机构答复投标人提出的质疑。</w:t>
      </w:r>
    </w:p>
    <w:p w14:paraId="211D3AD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14.评审专家应当配合财政部门的投诉处理工作。</w:t>
      </w:r>
    </w:p>
    <w:p w14:paraId="4E5FECF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15.评审专家有如下行为之一的，责令改正，给予警告，可以并处一千元以下的罚款：</w:t>
      </w:r>
    </w:p>
    <w:p w14:paraId="1414F3F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①明知应当回避而未主动回避的；</w:t>
      </w:r>
    </w:p>
    <w:p w14:paraId="5AD02B5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②在得知自己为评审专家身份后至评审结束前时段内私下接触投标人的；</w:t>
      </w:r>
    </w:p>
    <w:p w14:paraId="5C5B61D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③在评审过程中擅离职守，影响评审程序正常进行的；</w:t>
      </w:r>
    </w:p>
    <w:p w14:paraId="4DF8FBB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④在评审过程有明显不合理或者不正当倾向性的；</w:t>
      </w:r>
    </w:p>
    <w:p w14:paraId="6D32462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⑤未按招标文件规定的评审方法和标准进行评审的。</w:t>
      </w:r>
    </w:p>
    <w:p w14:paraId="42A2586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⑥上述①至⑤行为影响中标结果的，中标结果无效。</w:t>
      </w:r>
    </w:p>
    <w:p w14:paraId="1E7829F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213EA5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政府采购评审专家与投标人存在利害关系未回避的，处2万元以上5万元以下的罚款，禁止其参加政府采购评审活动。</w:t>
      </w:r>
    </w:p>
    <w:p w14:paraId="224BAD9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274EA9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政府采购评审专家有上述违法行为的，其评审意见无效，不得获取评审费；有违法所得的，没收违法所得；给他人造成损失的，依法承担民事责任。</w:t>
      </w:r>
    </w:p>
    <w:p w14:paraId="48CC3C8B">
      <w:pPr>
        <w:rPr>
          <w:rFonts w:hint="eastAsia" w:ascii="宋体" w:hAnsi="宋体" w:eastAsia="宋体" w:cs="宋体"/>
          <w:color w:val="auto"/>
          <w:highlight w:val="none"/>
        </w:rPr>
        <w:sectPr>
          <w:pgSz w:w="11906" w:h="16838"/>
          <w:pgMar w:top="1259" w:right="1287" w:bottom="1361" w:left="1622" w:header="709" w:footer="971" w:gutter="0"/>
          <w:cols w:space="720" w:num="1"/>
          <w:docGrid w:linePitch="360" w:charSpace="0"/>
        </w:sectPr>
      </w:pPr>
    </w:p>
    <w:p w14:paraId="11474496">
      <w:pPr>
        <w:pStyle w:val="2"/>
        <w:spacing w:before="120" w:after="240" w:line="240" w:lineRule="auto"/>
        <w:jc w:val="center"/>
        <w:rPr>
          <w:rFonts w:hint="eastAsia" w:ascii="宋体" w:hAnsi="宋体" w:eastAsia="宋体" w:cs="宋体"/>
          <w:color w:val="auto"/>
          <w:highlight w:val="none"/>
        </w:rPr>
      </w:pPr>
      <w:bookmarkStart w:id="32" w:name="_Toc93668164"/>
      <w:r>
        <w:rPr>
          <w:rFonts w:hint="eastAsia" w:ascii="宋体" w:hAnsi="宋体" w:eastAsia="宋体" w:cs="宋体"/>
          <w:color w:val="auto"/>
          <w:highlight w:val="none"/>
        </w:rPr>
        <w:t xml:space="preserve">第六章  </w:t>
      </w:r>
      <w:bookmarkEnd w:id="31"/>
      <w:bookmarkStart w:id="33" w:name="_Toc39239709"/>
      <w:r>
        <w:rPr>
          <w:rFonts w:hint="eastAsia" w:ascii="宋体" w:hAnsi="宋体" w:eastAsia="宋体" w:cs="宋体"/>
          <w:color w:val="auto"/>
          <w:highlight w:val="none"/>
        </w:rPr>
        <w:t>合同范本</w:t>
      </w:r>
      <w:bookmarkEnd w:id="32"/>
    </w:p>
    <w:p w14:paraId="6EF2AB28">
      <w:pPr>
        <w:widowControl w:val="0"/>
        <w:adjustRightInd w:val="0"/>
        <w:snapToGrid w:val="0"/>
        <w:spacing w:after="60" w:line="360" w:lineRule="auto"/>
        <w:ind w:firstLine="48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本合同为样稿，最终稿由甲乙双方协商后确定，但不允许偏离招投标文件。中标人须将合同电子版交由采购代理机构审核，审核后的合同经甲乙双方盖章签字后送至采购代理机构盖章备案。</w:t>
      </w:r>
    </w:p>
    <w:p w14:paraId="5BF5D038">
      <w:pPr>
        <w:pStyle w:val="20"/>
        <w:ind w:left="0" w:leftChars="0" w:firstLine="0" w:firstLineChars="0"/>
        <w:jc w:val="center"/>
        <w:rPr>
          <w:rFonts w:hint="eastAsia" w:ascii="宋体" w:hAnsi="宋体" w:eastAsia="宋体" w:cs="宋体"/>
          <w:color w:val="auto"/>
          <w:sz w:val="32"/>
          <w:szCs w:val="32"/>
          <w:highlight w:val="none"/>
        </w:rPr>
      </w:pPr>
      <w:bookmarkStart w:id="34" w:name="_Hlk94003826"/>
      <w:r>
        <w:rPr>
          <w:rFonts w:hint="eastAsia" w:ascii="宋体" w:hAnsi="宋体" w:eastAsia="宋体" w:cs="宋体"/>
          <w:color w:val="auto"/>
          <w:sz w:val="32"/>
          <w:szCs w:val="32"/>
          <w:highlight w:val="none"/>
        </w:rPr>
        <w:t>XXXX项目采购合同</w:t>
      </w:r>
    </w:p>
    <w:bookmarkEnd w:id="34"/>
    <w:p w14:paraId="3947B6F5">
      <w:pPr>
        <w:widowControl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668D4703">
      <w:pPr>
        <w:widowControl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项目编号：</w:t>
      </w:r>
    </w:p>
    <w:p w14:paraId="180C14DA">
      <w:pPr>
        <w:widowControl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：（采购人）</w:t>
      </w:r>
    </w:p>
    <w:p w14:paraId="7B99DB7C">
      <w:pPr>
        <w:widowControl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乙方：（中标人）</w:t>
      </w:r>
    </w:p>
    <w:p w14:paraId="332DF1F4">
      <w:pPr>
        <w:widowControl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的方式确定乙方为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项目的中标人，根据招标文件、投标文件，依据《中华人民共和国政府采购法》和《中华人民共和国民法典》及有关法规，结合项目实际，经双方协商，签订本合同。</w:t>
      </w:r>
    </w:p>
    <w:p w14:paraId="04F101E5">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（一）服务内容（可附清单）：</w:t>
      </w:r>
    </w:p>
    <w:p w14:paraId="3BC3112C">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（二）合同金额：本合同金额为（大写）：人民币__________元（￥______元）。</w:t>
      </w:r>
    </w:p>
    <w:p w14:paraId="011F607F">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1AB3CC2F">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1.乙方应按采购文件规定的时间向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提供有关技术资料。</w:t>
      </w:r>
    </w:p>
    <w:p w14:paraId="69564699">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2. 没有</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事先书面同意，乙方不得将由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提供的有关合同或任何合同条文、规格、计划、图纸、样品或资料提供给与履行本合同无关的任何其他人。即使向履行本合同有关的人员提供，也应注意保密并限于履行合同的必需范围。</w:t>
      </w:r>
    </w:p>
    <w:p w14:paraId="4E03983F">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（四）知识产权与保密要求</w:t>
      </w:r>
    </w:p>
    <w:p w14:paraId="3B8E7838">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1.乙方应保证提供服务过程中不会侵犯任何第三方的知识产权。</w:t>
      </w:r>
    </w:p>
    <w:p w14:paraId="3E0C2379">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2.乙方在履行合同过程及完成本合同所涉项目服务后须承担与此有关的技术情报和数据资料的保密责任。乙方对本项目有关的资料及数据成果中涉及国家秘密的内容，均要求按照《保密法》及相关法律法规执行。否则，应承担相应的法律责任。</w:t>
      </w:r>
    </w:p>
    <w:p w14:paraId="792B15CE">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（五）履约保证金</w:t>
      </w:r>
    </w:p>
    <w:p w14:paraId="3E36493B">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乙方交纳人民币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元作为本合同的履约保证金。（中标人应当以支票、汇票、本票或者金融机构、担保机构出具的保函等非现金形式提交）。履约保证金（或履约保函）在项目结束后退还。（或根据招标文件要求填写）</w:t>
      </w:r>
    </w:p>
    <w:p w14:paraId="2B59B0A8">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（六）转包或分包</w:t>
      </w:r>
    </w:p>
    <w:p w14:paraId="6536EBE5">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1.本合同范围的服务，应由乙方直接供应，不得转让他人供应；</w:t>
      </w:r>
    </w:p>
    <w:p w14:paraId="054127D2">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2.如有转让和未经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同意的分包行为，</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有权解除合同，没收履约保证金并追究乙方的违约责任。</w:t>
      </w:r>
    </w:p>
    <w:p w14:paraId="132AED40">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（七）服务质量保证期</w:t>
      </w:r>
    </w:p>
    <w:p w14:paraId="33D6B9D4">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 服务质量保证期</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59FBCA21">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（八）合同履行时间及履行地点</w:t>
      </w:r>
    </w:p>
    <w:p w14:paraId="687EBCF2">
      <w:pPr>
        <w:widowControl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履行时间：合同签订后</w:t>
      </w:r>
      <w:r>
        <w:rPr>
          <w:rFonts w:hint="eastAsia" w:ascii="宋体" w:hAnsi="宋体" w:cs="宋体"/>
          <w:color w:val="auto"/>
          <w:highlight w:val="none"/>
          <w:lang w:val="en-US" w:eastAsia="zh-CN"/>
        </w:rPr>
        <w:t>60</w:t>
      </w:r>
      <w:r>
        <w:rPr>
          <w:rFonts w:hint="eastAsia" w:ascii="宋体" w:hAnsi="宋体" w:eastAsia="宋体" w:cs="宋体"/>
          <w:color w:val="auto"/>
          <w:highlight w:val="none"/>
        </w:rPr>
        <w:t>天内完成供货安装并调试完成</w:t>
      </w:r>
    </w:p>
    <w:p w14:paraId="1DDEA36E">
      <w:pPr>
        <w:widowControl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履行地点：金华市婺城区苏孟乡淳和路88号。</w:t>
      </w:r>
    </w:p>
    <w:p w14:paraId="19AD1D73">
      <w:pPr>
        <w:widowControl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（九）付款方式：</w:t>
      </w:r>
    </w:p>
    <w:p w14:paraId="1AD53951">
      <w:pPr>
        <w:widowControl w:val="0"/>
        <w:spacing w:line="360" w:lineRule="auto"/>
        <w:ind w:firstLine="537" w:firstLineChars="224"/>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1.合同签订后七日内，中标人须向采购人出具履约保证金保函（可在政采云平台购买）。</w:t>
      </w:r>
    </w:p>
    <w:p w14:paraId="0BCBDF65">
      <w:pPr>
        <w:widowControl w:val="0"/>
        <w:spacing w:line="360" w:lineRule="auto"/>
        <w:ind w:firstLine="537" w:firstLineChars="224"/>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合同生效及具备实施条件后七个工作日内支付合同总款的40%为预付款（若中标人为大型企业，或合同签订时，中标人明确表示无需预付款或主动降低预付款比例的，采购单位可不适用前述规定；采购人根据项目特点、中标人诚信等因素，可要求中标人提供预付款保函或其他担保措施）</w:t>
      </w:r>
    </w:p>
    <w:p w14:paraId="3F8A8695">
      <w:pPr>
        <w:widowControl w:val="0"/>
        <w:spacing w:line="360" w:lineRule="auto"/>
        <w:ind w:firstLine="537" w:firstLineChars="224"/>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3.在所有货物交货安装完毕，经采购人验收合格后，采购人一次性支付至合同金额的97%，质保期满后支付至合同金额的100%。中标人应随付款进度提供正式税务发票。</w:t>
      </w:r>
    </w:p>
    <w:p w14:paraId="27F1C028">
      <w:pPr>
        <w:widowControl w:val="0"/>
        <w:spacing w:line="360" w:lineRule="auto"/>
        <w:ind w:firstLine="537" w:firstLineChars="224"/>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4.预付款应在合同生效以及具备实施条件后7个工作日内支付。政府采购工程以及与工程建设有关的货物、服务，采用招标方式采购的，预付款从其相关规定。</w:t>
      </w:r>
    </w:p>
    <w:p w14:paraId="724F64BA">
      <w:pPr>
        <w:widowControl w:val="0"/>
        <w:spacing w:line="360" w:lineRule="auto"/>
        <w:ind w:firstLine="537" w:firstLineChars="224"/>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采购单位应当及时组织项目验收，不得以政府部门审计作为支付供应商款项的条件。采购单位对于满足合同约定支付条件的，自收到发票后7个工作日内完成向财政提交付款手续。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403A9661">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（十）税费：本合同执行中相关的一切税费均由乙方负担。</w:t>
      </w:r>
    </w:p>
    <w:p w14:paraId="5CED4624">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55990910">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1.交货及完工时间：中标人在合同签订后</w:t>
      </w:r>
      <w:r>
        <w:rPr>
          <w:rFonts w:hint="eastAsia" w:ascii="宋体" w:hAnsi="宋体" w:cs="宋体"/>
          <w:color w:val="auto"/>
          <w:highlight w:val="none"/>
          <w:lang w:val="en-US" w:eastAsia="zh-CN"/>
        </w:rPr>
        <w:t>60</w:t>
      </w:r>
      <w:r>
        <w:rPr>
          <w:rFonts w:hint="eastAsia" w:ascii="宋体" w:hAnsi="宋体" w:eastAsia="宋体" w:cs="宋体"/>
          <w:color w:val="auto"/>
          <w:highlight w:val="none"/>
        </w:rPr>
        <w:t>天内供货并安装调试完毕，同时提交完整的技术资料向采购人申请验收。</w:t>
      </w:r>
    </w:p>
    <w:p w14:paraId="52C964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在所有货物交货安装完毕</w:t>
      </w:r>
      <w:r>
        <w:rPr>
          <w:rFonts w:hint="eastAsia" w:ascii="宋体" w:hAnsi="宋体" w:cs="宋体"/>
          <w:color w:val="auto"/>
          <w:sz w:val="24"/>
          <w:szCs w:val="24"/>
          <w:highlight w:val="none"/>
          <w:lang w:val="en-US" w:eastAsia="zh-CN"/>
        </w:rPr>
        <w:t>组织验收后，投标人需对采购使用人员进行培训。</w:t>
      </w:r>
    </w:p>
    <w:p w14:paraId="121B2CF0">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.质保期：投标人必须提供</w:t>
      </w:r>
      <w:r>
        <w:rPr>
          <w:rFonts w:hint="eastAsia" w:ascii="宋体" w:hAnsi="宋体" w:cs="宋体"/>
          <w:color w:val="auto"/>
          <w:highlight w:val="none"/>
          <w:lang w:val="en-US" w:eastAsia="zh-CN"/>
        </w:rPr>
        <w:t>5</w:t>
      </w:r>
      <w:r>
        <w:rPr>
          <w:rFonts w:hint="eastAsia" w:ascii="宋体" w:hAnsi="宋体" w:eastAsia="宋体" w:cs="宋体"/>
          <w:color w:val="auto"/>
          <w:highlight w:val="none"/>
        </w:rPr>
        <w:t>年的质保期。质保期从安装调试完毕、最终验收合格之日开始计算。除非采购人另有要求，质保期内的服务均为免费上门服务。</w:t>
      </w:r>
    </w:p>
    <w:p w14:paraId="46B1901C">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响应时间：在质保期限内，接到用户报修电话通知后，应在4小时内上门服务，并在12小时内修复。出现故障后，中标人如未按上述要求进行响应，采购人可以采取必要的补救措施，由此产生的风险和费用全部由中标人承担。</w:t>
      </w:r>
      <w:r>
        <w:rPr>
          <w:rFonts w:hint="eastAsia" w:ascii="宋体" w:hAnsi="宋体" w:cs="宋体"/>
          <w:color w:val="auto"/>
          <w:sz w:val="24"/>
          <w:szCs w:val="24"/>
          <w:highlight w:val="none"/>
          <w:lang w:val="en-US" w:eastAsia="zh-CN"/>
        </w:rPr>
        <w:t>在质保期外，接到用户报修电话通知后，也应在4小时内上门服务，并在12小时内修复。</w:t>
      </w:r>
    </w:p>
    <w:p w14:paraId="13C4A6EF">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665A0479">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1.除不可抗力外，如果乙方没有按照本合同约定履行服务，那么甲方可要求乙方支付违约金，违约金按每迟延一日的应完成而未完成项目价格的  0.05  %计算，最高限额为本合同总价的 20  %；迟延合同约定时间的违约金计算数额达到前述最高限额之日起，甲方有权在要求乙方支付违约金的同时，书面通知乙方解除本合同；</w:t>
      </w:r>
    </w:p>
    <w:p w14:paraId="176FD5D8">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17DC3007">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BB79F0">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4.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6867E5E6">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4F91E9">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0FBD9643">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（十三）不可抗力事件处理</w:t>
      </w:r>
    </w:p>
    <w:p w14:paraId="6950DA51">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1.在合同有效期内，任何一方因不可抗力事件导致不能履行合同，则合同履行期可延长，其延长期与不可抗力影响期相同。</w:t>
      </w:r>
    </w:p>
    <w:p w14:paraId="127A8340">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2.不可抗力事件发生后，应立即通知对方，并寄送有关权威机构出具的证明。</w:t>
      </w:r>
    </w:p>
    <w:p w14:paraId="2161CD1B">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3.不可抗力事件延续120天以上，双方应通过友好协商，确定是否继续履行合同。</w:t>
      </w:r>
    </w:p>
    <w:p w14:paraId="7CD272C5">
      <w:pPr>
        <w:widowControl w:val="0"/>
        <w:spacing w:line="360" w:lineRule="auto"/>
        <w:ind w:firstLine="537" w:firstLineChars="224"/>
        <w:jc w:val="both"/>
        <w:rPr>
          <w:rFonts w:hint="eastAsia" w:ascii="宋体" w:hAnsi="宋体" w:eastAsia="宋体" w:cs="宋体"/>
          <w:color w:val="auto"/>
          <w:highlight w:val="none"/>
        </w:rPr>
      </w:pPr>
      <w:r>
        <w:rPr>
          <w:rFonts w:hint="eastAsia" w:ascii="宋体" w:hAnsi="宋体" w:eastAsia="宋体" w:cs="宋体"/>
          <w:color w:val="auto"/>
          <w:highlight w:val="none"/>
        </w:rPr>
        <w:t>（十四）诉讼</w:t>
      </w:r>
    </w:p>
    <w:p w14:paraId="5FCCD741">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凡有关本合同或执行本合同而发生的一切争执应通过双方友好协商解决，如不能解决，双方均可将争议提交</w:t>
      </w:r>
      <w:r>
        <w:rPr>
          <w:rFonts w:hint="eastAsia" w:ascii="宋体" w:hAnsi="宋体" w:eastAsia="宋体" w:cs="宋体"/>
          <w:color w:val="auto"/>
          <w:highlight w:val="none"/>
          <w:u w:val="single"/>
        </w:rPr>
        <w:t xml:space="preserve"> 项目所在地</w:t>
      </w:r>
      <w:r>
        <w:rPr>
          <w:rFonts w:hint="eastAsia" w:ascii="宋体" w:hAnsi="宋体" w:eastAsia="宋体" w:cs="宋体"/>
          <w:color w:val="auto"/>
          <w:highlight w:val="none"/>
        </w:rPr>
        <w:t>人民法院裁决。</w:t>
      </w:r>
    </w:p>
    <w:p w14:paraId="37F63CBA">
      <w:pPr>
        <w:spacing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（十五）合同构成</w:t>
      </w:r>
    </w:p>
    <w:p w14:paraId="445E50B4">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下述文件是构成合同不可分割的部分，应一并阅读和理解。</w:t>
      </w:r>
    </w:p>
    <w:p w14:paraId="3BFB7620">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2529AB5B">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0E1E9722">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3.招标文件及附件；</w:t>
      </w:r>
    </w:p>
    <w:p w14:paraId="02F33120">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4.投标文件及附件；</w:t>
      </w:r>
    </w:p>
    <w:p w14:paraId="0693AA6E">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5.经双方协商一致达成的补充协议。</w:t>
      </w:r>
    </w:p>
    <w:p w14:paraId="7EA4329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上述文件应认为是互为补充和解释的，若有不明确及不一致之处，以上面所列顺序先后为准。</w:t>
      </w:r>
    </w:p>
    <w:p w14:paraId="07FD2731">
      <w:pPr>
        <w:widowControl w:val="0"/>
        <w:adjustRightInd w:val="0"/>
        <w:snapToGrid w:val="0"/>
        <w:spacing w:after="60" w:line="360" w:lineRule="auto"/>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highlight w:val="none"/>
        </w:rPr>
        <w:t>（十六）合同生效及其它</w:t>
      </w:r>
    </w:p>
    <w:p w14:paraId="7D7A34D5">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1.合同经双方法定代表人或授权代表签字并加盖单位公章后生效。</w:t>
      </w:r>
    </w:p>
    <w:p w14:paraId="5C5EFE8B">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2.合同执行中涉及采购资金和采购内容修改或补充的，须经财政部门审批，并签书面补充协议报政府采购监督管理部门备案，方可作为主合同不可分割的一部分。</w:t>
      </w:r>
    </w:p>
    <w:p w14:paraId="64D24F3B">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3.本合同未尽事宜，遵照《民法典》有关条文执行。</w:t>
      </w:r>
    </w:p>
    <w:p w14:paraId="5ED56323">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4.本合同壹式陆份，甲乙双方各执二份，招标代理机构二份（备案及资料归集）。本合同与招标文件、中标单位响应文件、中标通知书具有同等法律效力。</w:t>
      </w:r>
    </w:p>
    <w:p w14:paraId="722F7407">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（十七）其他补充条款：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8A4329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 xml:space="preserve">（盖章）：                                       乙方（盖章）：                            </w:t>
      </w:r>
    </w:p>
    <w:p w14:paraId="7110823E">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                                           法定代表人： </w:t>
      </w:r>
    </w:p>
    <w:p w14:paraId="69AAB07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委托代理人：                                           委托代理人：   </w:t>
      </w:r>
    </w:p>
    <w:p w14:paraId="6ED84D7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电话：                                                      电话：</w:t>
      </w:r>
    </w:p>
    <w:p w14:paraId="2B2F278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14:paraId="6C0EB72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银行账号：                                              银行账号：</w:t>
      </w:r>
    </w:p>
    <w:p w14:paraId="05205230">
      <w:pPr>
        <w:widowControl w:val="0"/>
        <w:adjustRightInd w:val="0"/>
        <w:snapToGrid w:val="0"/>
        <w:spacing w:after="60"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签订日期：  年  月  日                          签订日期：  年  月  日</w:t>
      </w:r>
    </w:p>
    <w:p w14:paraId="2E931EFD">
      <w:pPr>
        <w:widowControl w:val="0"/>
        <w:adjustRightInd w:val="0"/>
        <w:snapToGrid w:val="0"/>
        <w:spacing w:after="60"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7FF11EAF">
      <w:pPr>
        <w:widowControl w:val="0"/>
        <w:spacing w:line="360" w:lineRule="auto"/>
        <w:ind w:right="-120" w:rightChars="-50" w:firstLine="360" w:firstLineChars="150"/>
        <w:rPr>
          <w:rFonts w:hint="eastAsia" w:ascii="宋体" w:hAnsi="宋体" w:eastAsia="宋体" w:cs="宋体"/>
          <w:bCs/>
          <w:color w:val="auto"/>
          <w:highlight w:val="none"/>
        </w:rPr>
      </w:pPr>
      <w:r>
        <w:rPr>
          <w:rFonts w:hint="eastAsia" w:ascii="宋体" w:hAnsi="宋体" w:eastAsia="宋体" w:cs="宋体"/>
          <w:bCs/>
          <w:color w:val="auto"/>
          <w:highlight w:val="none"/>
        </w:rPr>
        <w:t>采购代理机构意见：</w:t>
      </w:r>
    </w:p>
    <w:p w14:paraId="47798ED4">
      <w:pPr>
        <w:widowControl w:val="0"/>
        <w:spacing w:line="360" w:lineRule="auto"/>
        <w:ind w:right="-120" w:rightChars="-50" w:firstLine="360" w:firstLineChars="150"/>
        <w:rPr>
          <w:rFonts w:hint="eastAsia" w:ascii="宋体" w:hAnsi="宋体" w:eastAsia="宋体" w:cs="宋体"/>
          <w:b/>
          <w:color w:val="auto"/>
          <w:sz w:val="48"/>
          <w:szCs w:val="48"/>
          <w:highlight w:val="none"/>
        </w:rPr>
        <w:sectPr>
          <w:pgSz w:w="11906" w:h="16838"/>
          <w:pgMar w:top="1259" w:right="1287" w:bottom="1361" w:left="1622" w:header="709" w:footer="971" w:gutter="0"/>
          <w:cols w:space="720" w:num="1"/>
          <w:docGrid w:linePitch="360" w:charSpace="0"/>
        </w:sectPr>
      </w:pPr>
      <w:r>
        <w:rPr>
          <w:rFonts w:hint="eastAsia" w:ascii="宋体" w:hAnsi="宋体" w:eastAsia="宋体" w:cs="宋体"/>
          <w:bCs/>
          <w:color w:val="auto"/>
          <w:highlight w:val="none"/>
        </w:rPr>
        <w:t>年  月  日</w:t>
      </w:r>
    </w:p>
    <w:p w14:paraId="2CD018C8">
      <w:pPr>
        <w:pStyle w:val="2"/>
        <w:spacing w:before="120" w:after="240" w:line="240" w:lineRule="auto"/>
        <w:jc w:val="center"/>
        <w:rPr>
          <w:rFonts w:hint="eastAsia" w:ascii="宋体" w:hAnsi="宋体" w:eastAsia="宋体" w:cs="宋体"/>
          <w:color w:val="auto"/>
          <w:highlight w:val="none"/>
        </w:rPr>
      </w:pPr>
      <w:bookmarkStart w:id="35" w:name="_Toc93668165"/>
      <w:r>
        <w:rPr>
          <w:rFonts w:hint="eastAsia" w:ascii="宋体" w:hAnsi="宋体" w:eastAsia="宋体" w:cs="宋体"/>
          <w:color w:val="auto"/>
          <w:highlight w:val="none"/>
        </w:rPr>
        <w:t>第七章  投标文件格式</w:t>
      </w:r>
      <w:bookmarkEnd w:id="33"/>
      <w:bookmarkEnd w:id="35"/>
    </w:p>
    <w:p w14:paraId="6B1A4F0A">
      <w:pPr>
        <w:widowControl w:val="0"/>
        <w:adjustRightInd w:val="0"/>
        <w:snapToGrid w:val="0"/>
        <w:spacing w:before="100" w:beforeAutospacing="1" w:after="100" w:afterAutospacing="1" w:line="276" w:lineRule="auto"/>
        <w:rPr>
          <w:rFonts w:hint="eastAsia" w:ascii="宋体" w:hAnsi="宋体" w:eastAsia="宋体" w:cs="宋体"/>
          <w:color w:val="auto"/>
          <w:kern w:val="2"/>
          <w:szCs w:val="28"/>
          <w:highlight w:val="none"/>
        </w:rPr>
      </w:pPr>
      <w:r>
        <w:rPr>
          <w:rFonts w:hint="eastAsia" w:ascii="宋体" w:hAnsi="宋体" w:eastAsia="宋体" w:cs="宋体"/>
          <w:color w:val="auto"/>
          <w:kern w:val="2"/>
          <w:szCs w:val="28"/>
          <w:highlight w:val="none"/>
        </w:rPr>
        <w:t>“电子备份投标文件”密封包装格式：</w:t>
      </w:r>
    </w:p>
    <w:p w14:paraId="60D558BB">
      <w:pPr>
        <w:widowControl w:val="0"/>
        <w:adjustRightInd w:val="0"/>
        <w:snapToGrid w:val="0"/>
        <w:spacing w:before="100" w:beforeAutospacing="1" w:after="100" w:afterAutospacing="1"/>
        <w:jc w:val="center"/>
        <w:rPr>
          <w:rFonts w:hint="eastAsia" w:ascii="宋体" w:hAnsi="宋体" w:eastAsia="宋体" w:cs="宋体"/>
          <w:b/>
          <w:color w:val="auto"/>
          <w:highlight w:val="none"/>
        </w:rPr>
      </w:pPr>
    </w:p>
    <w:p w14:paraId="03E5CB93">
      <w:pPr>
        <w:widowControl w:val="0"/>
        <w:snapToGrid w:val="0"/>
        <w:spacing w:before="50" w:after="50" w:line="360" w:lineRule="auto"/>
        <w:ind w:firstLine="1020" w:firstLineChars="425"/>
        <w:jc w:val="center"/>
        <w:rPr>
          <w:rFonts w:hint="eastAsia" w:ascii="宋体" w:hAnsi="宋体" w:eastAsia="宋体" w:cs="宋体"/>
          <w:color w:val="auto"/>
          <w:kern w:val="2"/>
          <w:szCs w:val="28"/>
          <w:highlight w:val="none"/>
        </w:rPr>
      </w:pPr>
      <w:r>
        <w:rPr>
          <w:rFonts w:hint="eastAsia" w:ascii="宋体" w:hAnsi="宋体" w:eastAsia="宋体" w:cs="宋体"/>
          <w:color w:val="auto"/>
          <w:kern w:val="2"/>
          <w:szCs w:val="28"/>
          <w:highlight w:val="none"/>
        </w:rPr>
        <w:t>电子备份投标文件</w:t>
      </w:r>
    </w:p>
    <w:p w14:paraId="0566ED9D">
      <w:pPr>
        <w:widowControl w:val="0"/>
        <w:snapToGrid w:val="0"/>
        <w:spacing w:before="50" w:after="50" w:line="360" w:lineRule="auto"/>
        <w:ind w:firstLine="1020" w:firstLineChars="425"/>
        <w:rPr>
          <w:rFonts w:hint="eastAsia" w:ascii="宋体" w:hAnsi="宋体" w:eastAsia="宋体" w:cs="宋体"/>
          <w:bCs/>
          <w:color w:val="auto"/>
          <w:kern w:val="1"/>
          <w:highlight w:val="none"/>
        </w:rPr>
      </w:pPr>
      <w:r>
        <w:rPr>
          <w:rFonts w:hint="eastAsia" w:ascii="宋体" w:hAnsi="宋体" w:eastAsia="宋体" w:cs="宋体"/>
          <w:bCs/>
          <w:color w:val="auto"/>
          <w:kern w:val="1"/>
          <w:highlight w:val="none"/>
        </w:rPr>
        <w:t>项目名称：</w:t>
      </w:r>
    </w:p>
    <w:p w14:paraId="0F7F6D5F">
      <w:pPr>
        <w:widowControl w:val="0"/>
        <w:snapToGrid w:val="0"/>
        <w:spacing w:before="50" w:after="50" w:line="360" w:lineRule="auto"/>
        <w:ind w:firstLine="1020" w:firstLineChars="425"/>
        <w:rPr>
          <w:rFonts w:hint="eastAsia" w:ascii="宋体" w:hAnsi="宋体" w:eastAsia="宋体" w:cs="宋体"/>
          <w:bCs/>
          <w:color w:val="auto"/>
          <w:kern w:val="1"/>
          <w:highlight w:val="none"/>
        </w:rPr>
      </w:pPr>
      <w:r>
        <w:rPr>
          <w:rFonts w:hint="eastAsia" w:ascii="宋体" w:hAnsi="宋体" w:eastAsia="宋体" w:cs="宋体"/>
          <w:bCs/>
          <w:color w:val="auto"/>
          <w:kern w:val="1"/>
          <w:highlight w:val="none"/>
        </w:rPr>
        <w:t>项目编号：</w:t>
      </w:r>
    </w:p>
    <w:p w14:paraId="717E376D">
      <w:pPr>
        <w:widowControl w:val="0"/>
        <w:snapToGrid w:val="0"/>
        <w:spacing w:before="50" w:after="50" w:line="360" w:lineRule="auto"/>
        <w:ind w:firstLine="1020" w:firstLineChars="425"/>
        <w:rPr>
          <w:rFonts w:hint="eastAsia" w:ascii="宋体" w:hAnsi="宋体" w:eastAsia="宋体" w:cs="宋体"/>
          <w:bCs/>
          <w:color w:val="auto"/>
          <w:kern w:val="1"/>
          <w:highlight w:val="none"/>
        </w:rPr>
      </w:pPr>
      <w:r>
        <w:rPr>
          <w:rFonts w:hint="eastAsia" w:ascii="宋体" w:hAnsi="宋体" w:eastAsia="宋体" w:cs="宋体"/>
          <w:bCs/>
          <w:color w:val="auto"/>
          <w:kern w:val="1"/>
          <w:highlight w:val="none"/>
        </w:rPr>
        <w:t>标段序号（如有）:</w:t>
      </w:r>
    </w:p>
    <w:p w14:paraId="025DFF11">
      <w:pPr>
        <w:widowControl w:val="0"/>
        <w:snapToGrid w:val="0"/>
        <w:spacing w:before="50" w:after="50" w:line="360" w:lineRule="auto"/>
        <w:ind w:firstLine="1020" w:firstLineChars="425"/>
        <w:rPr>
          <w:rFonts w:hint="eastAsia" w:ascii="宋体" w:hAnsi="宋体" w:eastAsia="宋体" w:cs="宋体"/>
          <w:bCs/>
          <w:color w:val="auto"/>
          <w:kern w:val="1"/>
          <w:highlight w:val="none"/>
        </w:rPr>
      </w:pPr>
      <w:r>
        <w:rPr>
          <w:rFonts w:hint="eastAsia" w:ascii="宋体" w:hAnsi="宋体" w:eastAsia="宋体" w:cs="宋体"/>
          <w:bCs/>
          <w:color w:val="auto"/>
          <w:kern w:val="1"/>
          <w:highlight w:val="none"/>
        </w:rPr>
        <w:t>投标人名称（盖章）：</w:t>
      </w:r>
    </w:p>
    <w:p w14:paraId="42D22131">
      <w:pPr>
        <w:widowControl w:val="0"/>
        <w:snapToGrid w:val="0"/>
        <w:spacing w:before="50" w:after="50" w:line="360" w:lineRule="auto"/>
        <w:ind w:firstLine="1036" w:firstLineChars="432"/>
        <w:rPr>
          <w:rFonts w:hint="eastAsia" w:ascii="宋体" w:hAnsi="宋体" w:eastAsia="宋体" w:cs="宋体"/>
          <w:bCs/>
          <w:color w:val="auto"/>
          <w:kern w:val="1"/>
          <w:highlight w:val="none"/>
        </w:rPr>
      </w:pPr>
      <w:r>
        <w:rPr>
          <w:rFonts w:hint="eastAsia" w:ascii="宋体" w:hAnsi="宋体" w:eastAsia="宋体" w:cs="宋体"/>
          <w:bCs/>
          <w:color w:val="auto"/>
          <w:kern w:val="1"/>
          <w:highlight w:val="none"/>
        </w:rPr>
        <w:t>在  年  月  日  时  分之前不得启封</w:t>
      </w:r>
    </w:p>
    <w:p w14:paraId="5979F395">
      <w:pPr>
        <w:widowControl w:val="0"/>
        <w:spacing w:line="360" w:lineRule="auto"/>
        <w:jc w:val="center"/>
        <w:rPr>
          <w:rFonts w:hint="eastAsia" w:ascii="宋体" w:hAnsi="宋体" w:eastAsia="宋体" w:cs="宋体"/>
          <w:b/>
          <w:color w:val="auto"/>
          <w:sz w:val="48"/>
          <w:szCs w:val="48"/>
          <w:highlight w:val="none"/>
        </w:rPr>
      </w:pPr>
    </w:p>
    <w:p w14:paraId="5AF43BC7">
      <w:pPr>
        <w:widowControl w:val="0"/>
        <w:adjustRightInd w:val="0"/>
        <w:snapToGrid w:val="0"/>
        <w:spacing w:before="100" w:beforeAutospacing="1" w:after="100" w:afterAutospacing="1" w:line="276"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备注：密封完成后可直接送达至采购代理机构。如需邮寄，完成此密封包装后再装入快递袋（盒）中进行邮寄。 </w:t>
      </w:r>
    </w:p>
    <w:p w14:paraId="11C31A90">
      <w:pPr>
        <w:widowControl w:val="0"/>
        <w:adjustRightInd w:val="0"/>
        <w:snapToGrid w:val="0"/>
        <w:spacing w:before="100" w:beforeAutospacing="1" w:after="100" w:afterAutospacing="1" w:line="276"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请务必确保密封完好，因运输等原因造成破损，本代理机构概不负责。</w:t>
      </w:r>
    </w:p>
    <w:p w14:paraId="04144919">
      <w:pPr>
        <w:widowControl w:val="0"/>
        <w:adjustRightInd w:val="0"/>
        <w:snapToGrid w:val="0"/>
        <w:spacing w:before="100" w:beforeAutospacing="1" w:after="100" w:afterAutospacing="1" w:line="276"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邮寄或送达地址：</w:t>
      </w:r>
      <w:r>
        <w:rPr>
          <w:rFonts w:hint="eastAsia" w:ascii="宋体" w:hAnsi="宋体" w:eastAsia="宋体" w:cs="宋体"/>
          <w:b/>
          <w:color w:val="auto"/>
          <w:sz w:val="28"/>
          <w:szCs w:val="28"/>
          <w:highlight w:val="none"/>
          <w:lang w:eastAsia="zh-CN"/>
        </w:rPr>
        <w:t>浙江华杰工程咨询有限公司</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金华市金东区环城东路1777号宁远大厦11楼代理部</w:t>
      </w:r>
      <w:r>
        <w:rPr>
          <w:rFonts w:hint="eastAsia" w:ascii="宋体" w:hAnsi="宋体" w:eastAsia="宋体" w:cs="宋体"/>
          <w:b/>
          <w:color w:val="auto"/>
          <w:sz w:val="28"/>
          <w:szCs w:val="28"/>
          <w:highlight w:val="none"/>
        </w:rPr>
        <w:t>）</w:t>
      </w:r>
    </w:p>
    <w:p w14:paraId="71CBB2FA">
      <w:pPr>
        <w:widowControl w:val="0"/>
        <w:adjustRightInd w:val="0"/>
        <w:snapToGrid w:val="0"/>
        <w:spacing w:before="100" w:beforeAutospacing="1" w:after="100" w:afterAutospacing="1" w:line="276"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收件人：</w:t>
      </w:r>
      <w:r>
        <w:rPr>
          <w:rFonts w:hint="eastAsia" w:ascii="宋体" w:hAnsi="宋体" w:eastAsia="宋体" w:cs="宋体"/>
          <w:b/>
          <w:color w:val="auto"/>
          <w:sz w:val="28"/>
          <w:szCs w:val="28"/>
          <w:highlight w:val="none"/>
          <w:lang w:val="en-US" w:eastAsia="zh-CN"/>
        </w:rPr>
        <w:t>郑女士</w:t>
      </w:r>
    </w:p>
    <w:p w14:paraId="2CC749DB">
      <w:pPr>
        <w:widowControl w:val="0"/>
        <w:adjustRightInd w:val="0"/>
        <w:snapToGrid w:val="0"/>
        <w:spacing w:before="100" w:beforeAutospacing="1" w:after="100" w:afterAutospacing="1" w:line="276" w:lineRule="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 xml:space="preserve">联系方式：0579-82411460   </w:t>
      </w:r>
    </w:p>
    <w:p w14:paraId="09866AAA">
      <w:pPr>
        <w:widowControl w:val="0"/>
        <w:adjustRightInd w:val="0"/>
        <w:snapToGrid w:val="0"/>
        <w:spacing w:before="100" w:beforeAutospacing="1" w:after="100" w:afterAutospacing="1" w:line="276" w:lineRule="auto"/>
        <w:rPr>
          <w:rFonts w:hint="eastAsia" w:ascii="宋体" w:hAnsi="宋体" w:eastAsia="宋体" w:cs="宋体"/>
          <w:color w:val="auto"/>
          <w:highlight w:val="none"/>
        </w:rPr>
      </w:pPr>
      <w:r>
        <w:rPr>
          <w:rFonts w:hint="eastAsia" w:ascii="宋体" w:hAnsi="宋体" w:eastAsia="宋体" w:cs="宋体"/>
          <w:b/>
          <w:color w:val="auto"/>
          <w:sz w:val="40"/>
          <w:szCs w:val="40"/>
          <w:highlight w:val="none"/>
          <w:lang w:val="en-US" w:eastAsia="zh-CN"/>
        </w:rPr>
        <w:br w:type="page"/>
      </w:r>
    </w:p>
    <w:p w14:paraId="68CA62A3">
      <w:pPr>
        <w:pStyle w:val="18"/>
        <w:widowControl w:val="0"/>
        <w:adjustRightInd w:val="0"/>
        <w:snapToGrid w:val="0"/>
        <w:spacing w:line="390" w:lineRule="atLeast"/>
        <w:rPr>
          <w:rFonts w:hint="eastAsia" w:ascii="宋体" w:hAnsi="宋体" w:eastAsia="宋体" w:cs="宋体"/>
          <w:b/>
          <w:color w:val="auto"/>
          <w:sz w:val="32"/>
          <w:szCs w:val="32"/>
          <w:highlight w:val="none"/>
        </w:rPr>
      </w:pPr>
      <w:bookmarkStart w:id="36" w:name="_Hlk94088670"/>
      <w:r>
        <w:rPr>
          <w:rFonts w:hint="eastAsia" w:ascii="宋体" w:hAnsi="宋体" w:eastAsia="宋体" w:cs="宋体"/>
          <w:b/>
          <w:color w:val="auto"/>
          <w:sz w:val="32"/>
          <w:szCs w:val="32"/>
          <w:highlight w:val="none"/>
        </w:rPr>
        <w:t>资格文件：</w:t>
      </w:r>
      <w:r>
        <w:rPr>
          <w:rFonts w:hint="eastAsia" w:ascii="宋体" w:hAnsi="宋体" w:eastAsia="宋体" w:cs="宋体"/>
          <w:color w:val="auto"/>
          <w:highlight w:val="none"/>
        </w:rPr>
        <w:t>（</w:t>
      </w:r>
      <w:r>
        <w:rPr>
          <w:rFonts w:hint="eastAsia" w:ascii="宋体" w:hAnsi="宋体" w:eastAsia="宋体" w:cs="宋体"/>
          <w:b/>
          <w:color w:val="auto"/>
          <w:highlight w:val="none"/>
          <w:u w:val="single"/>
        </w:rPr>
        <w:t>未提供齐全将导致资格审查不通过，投标文件无效</w:t>
      </w:r>
      <w:r>
        <w:rPr>
          <w:rFonts w:hint="eastAsia" w:ascii="宋体" w:hAnsi="宋体" w:eastAsia="宋体" w:cs="宋体"/>
          <w:color w:val="auto"/>
          <w:highlight w:val="none"/>
        </w:rPr>
        <w:t>）</w:t>
      </w:r>
    </w:p>
    <w:p w14:paraId="3AB26E74">
      <w:pPr>
        <w:adjustRightInd w:val="0"/>
        <w:snapToGrid w:val="0"/>
        <w:spacing w:line="36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授权委托书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法定代表人（负责人）作为投标人代表时，提供</w:t>
      </w:r>
      <w:r>
        <w:rPr>
          <w:rFonts w:hint="eastAsia" w:ascii="宋体" w:hAnsi="宋体" w:eastAsia="宋体" w:cs="宋体"/>
          <w:color w:val="auto"/>
          <w:sz w:val="24"/>
          <w:highlight w:val="none"/>
        </w:rPr>
        <w:t>法定代表人（负责人）身份证明书</w:t>
      </w:r>
      <w:r>
        <w:rPr>
          <w:rFonts w:hint="eastAsia" w:ascii="宋体" w:hAnsi="宋体" w:eastAsia="宋体" w:cs="宋体"/>
          <w:color w:val="auto"/>
          <w:sz w:val="24"/>
          <w:highlight w:val="none"/>
          <w:lang w:val="en-US" w:eastAsia="zh-CN"/>
        </w:rPr>
        <w:t>即可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p>
    <w:p w14:paraId="5CC81C79">
      <w:pPr>
        <w:adjustRightInd w:val="0"/>
        <w:snapToGrid w:val="0"/>
        <w:spacing w:line="36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符合投标人资格条件的</w:t>
      </w:r>
      <w:r>
        <w:rPr>
          <w:rFonts w:hint="eastAsia" w:ascii="宋体" w:hAnsi="宋体" w:eastAsia="宋体" w:cs="宋体"/>
          <w:color w:val="auto"/>
          <w:sz w:val="24"/>
          <w:highlight w:val="none"/>
          <w:lang w:val="en-US" w:eastAsia="zh-CN"/>
        </w:rPr>
        <w:t>审查</w:t>
      </w:r>
      <w:r>
        <w:rPr>
          <w:rFonts w:hint="eastAsia" w:ascii="宋体" w:hAnsi="宋体" w:eastAsia="宋体" w:cs="宋体"/>
          <w:color w:val="auto"/>
          <w:sz w:val="24"/>
          <w:highlight w:val="none"/>
        </w:rPr>
        <w:t>材料：</w:t>
      </w:r>
    </w:p>
    <w:p w14:paraId="4C829827">
      <w:pPr>
        <w:adjustRightInd w:val="0"/>
        <w:snapToGrid w:val="0"/>
        <w:spacing w:line="360" w:lineRule="auto"/>
        <w:ind w:firstLine="537" w:firstLineChars="22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1）营业执照（或事业法人登记证或其他工商等登记证明材料）</w:t>
      </w:r>
      <w:r>
        <w:rPr>
          <w:rFonts w:hint="eastAsia" w:ascii="宋体" w:hAnsi="宋体" w:eastAsia="宋体" w:cs="宋体"/>
          <w:color w:val="auto"/>
          <w:sz w:val="24"/>
          <w:highlight w:val="none"/>
          <w:lang w:eastAsia="zh-CN"/>
        </w:rPr>
        <w:t>；</w:t>
      </w:r>
    </w:p>
    <w:p w14:paraId="170B023E">
      <w:pPr>
        <w:adjustRightInd w:val="0"/>
        <w:snapToGrid w:val="0"/>
        <w:spacing w:line="36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良好的商业信誉和健全的财务会计制度声明函（格式见附件2）；</w:t>
      </w:r>
    </w:p>
    <w:p w14:paraId="1CD1ED62">
      <w:pPr>
        <w:adjustRightInd w:val="0"/>
        <w:snapToGrid w:val="0"/>
        <w:spacing w:line="36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3）依法缴纳税收和社会保障资金的材料（或有依法缴纳税收和社会保障资金的</w:t>
      </w:r>
      <w:r>
        <w:rPr>
          <w:rFonts w:hint="eastAsia" w:ascii="宋体" w:hAnsi="宋体" w:eastAsia="宋体" w:cs="宋体"/>
          <w:color w:val="auto"/>
          <w:sz w:val="24"/>
          <w:highlight w:val="none"/>
          <w:lang w:eastAsia="zh-CN"/>
        </w:rPr>
        <w:t>声明函</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0B52EC4E">
      <w:pPr>
        <w:adjustRightInd w:val="0"/>
        <w:snapToGrid w:val="0"/>
        <w:spacing w:line="360" w:lineRule="auto"/>
        <w:ind w:firstLine="537" w:firstLineChars="22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2.4）符合资格条件的申明函（格式见附件4)；</w:t>
      </w:r>
    </w:p>
    <w:p w14:paraId="38EB0F1B">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2.5）与参加本次项目同一合同项下政府采购活动的其他供应商不存在单位负责人为同一人或者直接控股、管理关系的声明函（格式见附件5)；</w:t>
      </w:r>
    </w:p>
    <w:p w14:paraId="0A020764">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2.落实政府采购政策需满足的资格要求：详见公告</w:t>
      </w:r>
    </w:p>
    <w:p w14:paraId="594FCA65">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3.“本项目的特定资格要求”中规定的相关证书复印件：详见公告</w:t>
      </w:r>
    </w:p>
    <w:p w14:paraId="4610EB25">
      <w:pPr>
        <w:pStyle w:val="18"/>
        <w:widowControl w:val="0"/>
        <w:adjustRightInd w:val="0"/>
        <w:snapToGrid w:val="0"/>
        <w:spacing w:line="390" w:lineRule="atLeast"/>
        <w:rPr>
          <w:rFonts w:hint="eastAsia" w:ascii="宋体" w:hAnsi="宋体" w:eastAsia="宋体" w:cs="宋体"/>
          <w:b/>
          <w:color w:val="auto"/>
          <w:sz w:val="32"/>
          <w:szCs w:val="32"/>
          <w:highlight w:val="none"/>
        </w:rPr>
        <w:sectPr>
          <w:pgSz w:w="11906" w:h="16838"/>
          <w:pgMar w:top="1259" w:right="1287" w:bottom="1361" w:left="1622" w:header="709" w:footer="975" w:gutter="0"/>
          <w:cols w:space="720" w:num="1"/>
          <w:docGrid w:linePitch="360" w:charSpace="0"/>
        </w:sectPr>
      </w:pPr>
    </w:p>
    <w:p w14:paraId="0E24FFE1">
      <w:pPr>
        <w:spacing w:line="500" w:lineRule="exact"/>
        <w:ind w:left="22" w:hanging="19" w:hangingChars="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25A6700A">
      <w:pPr>
        <w:spacing w:line="500" w:lineRule="exact"/>
        <w:ind w:left="26" w:hanging="26" w:hangingChars="6"/>
        <w:jc w:val="center"/>
        <w:rPr>
          <w:rFonts w:hint="eastAsia" w:ascii="宋体" w:hAnsi="宋体" w:eastAsia="宋体" w:cs="宋体"/>
          <w:color w:val="auto"/>
          <w:sz w:val="44"/>
          <w:szCs w:val="44"/>
          <w:highlight w:val="none"/>
        </w:rPr>
      </w:pPr>
    </w:p>
    <w:p w14:paraId="1C4C814F">
      <w:pPr>
        <w:keepNext w:val="0"/>
        <w:keepLines w:val="0"/>
        <w:pageBreakBefore w:val="0"/>
        <w:widowControl w:val="0"/>
        <w:kinsoku/>
        <w:wordWrap/>
        <w:overflowPunct/>
        <w:topLinePunct w:val="0"/>
        <w:autoSpaceDE/>
        <w:autoSpaceDN/>
        <w:bidi w:val="0"/>
        <w:adjustRightInd/>
        <w:snapToGrid/>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金华市建设技工学校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F9C929B">
      <w:pPr>
        <w:keepNext w:val="0"/>
        <w:keepLines w:val="0"/>
        <w:pageBreakBefore w:val="0"/>
        <w:widowControl w:val="0"/>
        <w:kinsoku/>
        <w:wordWrap/>
        <w:overflowPunct/>
        <w:topLinePunct w:val="0"/>
        <w:autoSpaceDE/>
        <w:autoSpaceDN/>
        <w:bidi w:val="0"/>
        <w:adjustRightInd/>
        <w:snapToGrid/>
        <w:spacing w:after="313" w:afterLines="100"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浙江华杰工程咨询有限公司 </w:t>
      </w:r>
      <w:r>
        <w:rPr>
          <w:rFonts w:hint="eastAsia" w:ascii="宋体" w:hAnsi="宋体" w:eastAsia="宋体" w:cs="宋体"/>
          <w:color w:val="auto"/>
          <w:sz w:val="24"/>
          <w:highlight w:val="none"/>
        </w:rPr>
        <w:t>：</w:t>
      </w:r>
    </w:p>
    <w:p w14:paraId="5149B456">
      <w:pPr>
        <w:keepNext w:val="0"/>
        <w:keepLines w:val="0"/>
        <w:pageBreakBefore w:val="0"/>
        <w:widowControl w:val="0"/>
        <w:kinsoku/>
        <w:wordWrap/>
        <w:overflowPunct/>
        <w:topLinePunct w:val="0"/>
        <w:autoSpaceDE/>
        <w:autoSpaceDN/>
        <w:bidi w:val="0"/>
        <w:adjustRightInd/>
        <w:snapToGrid w:val="0"/>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名称）的法定代表人（负责人），现授权委托本单位在职职工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金华市建设技工学校交互式一体化黑板项目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3C73D9AA">
      <w:pPr>
        <w:keepNext w:val="0"/>
        <w:keepLines w:val="0"/>
        <w:pageBreakBefore w:val="0"/>
        <w:widowControl w:val="0"/>
        <w:kinsoku/>
        <w:wordWrap/>
        <w:overflowPunct/>
        <w:topLinePunct w:val="0"/>
        <w:autoSpaceDE/>
        <w:autoSpaceDN/>
        <w:bidi w:val="0"/>
        <w:adjustRightInd/>
        <w:snapToGrid w:val="0"/>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w:t>
      </w: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的签名负全部责任。</w:t>
      </w:r>
    </w:p>
    <w:p w14:paraId="45FAA605">
      <w:pPr>
        <w:keepNext w:val="0"/>
        <w:keepLines w:val="0"/>
        <w:pageBreakBefore w:val="0"/>
        <w:widowControl w:val="0"/>
        <w:kinsoku/>
        <w:wordWrap/>
        <w:overflowPunct/>
        <w:topLinePunct w:val="0"/>
        <w:autoSpaceDE/>
        <w:autoSpaceDN/>
        <w:bidi w:val="0"/>
        <w:adjustRightInd/>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在撤销授权的书面通知以前，本授权书一直有效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在授权书有效期内签署的所有文件不因授权的撤销而失效。</w:t>
      </w:r>
    </w:p>
    <w:p w14:paraId="0231688C">
      <w:pPr>
        <w:keepNext w:val="0"/>
        <w:keepLines w:val="0"/>
        <w:pageBreakBefore w:val="0"/>
        <w:widowControl w:val="0"/>
        <w:kinsoku/>
        <w:wordWrap/>
        <w:overflowPunct/>
        <w:topLinePunct w:val="0"/>
        <w:autoSpaceDE/>
        <w:autoSpaceDN/>
        <w:bidi w:val="0"/>
        <w:adjustRightInd/>
        <w:snapToGrid w:val="0"/>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无转委托权，特此委托。</w:t>
      </w:r>
    </w:p>
    <w:p w14:paraId="7D407DF9">
      <w:pPr>
        <w:spacing w:line="500" w:lineRule="exact"/>
        <w:ind w:left="17" w:hanging="16" w:hangingChars="6"/>
        <w:rPr>
          <w:rFonts w:hint="eastAsia" w:ascii="宋体" w:hAnsi="宋体" w:eastAsia="宋体" w:cs="宋体"/>
          <w:color w:val="auto"/>
          <w:sz w:val="28"/>
          <w:szCs w:val="28"/>
          <w:highlight w:val="none"/>
        </w:rPr>
      </w:pPr>
    </w:p>
    <w:p w14:paraId="31C6D4F8">
      <w:pPr>
        <w:spacing w:line="50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77104B3E">
      <w:pPr>
        <w:spacing w:line="50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3FE7ED03">
      <w:pPr>
        <w:spacing w:line="50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法定代表人（负责人）身份证</w:t>
      </w:r>
      <w:r>
        <w:rPr>
          <w:rFonts w:hint="eastAsia" w:ascii="宋体" w:hAnsi="宋体" w:eastAsia="宋体" w:cs="宋体"/>
          <w:color w:val="auto"/>
          <w:sz w:val="24"/>
          <w:highlight w:val="none"/>
          <w:lang w:val="en-US" w:eastAsia="zh-CN"/>
        </w:rPr>
        <w:t>复印件（正反面）</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E1138C9">
      <w:pPr>
        <w:spacing w:line="52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D512B4E">
      <w:pPr>
        <w:spacing w:line="42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3F8C0EDD">
      <w:pPr>
        <w:spacing w:line="420" w:lineRule="exact"/>
        <w:ind w:left="14" w:hanging="14" w:hangingChars="6"/>
        <w:rPr>
          <w:rFonts w:hint="eastAsia" w:ascii="宋体" w:hAnsi="宋体" w:eastAsia="宋体" w:cs="宋体"/>
          <w:color w:val="auto"/>
          <w:sz w:val="24"/>
          <w:highlight w:val="none"/>
        </w:rPr>
      </w:pPr>
    </w:p>
    <w:p w14:paraId="31D8EE05">
      <w:pPr>
        <w:spacing w:line="42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 xml:space="preserve">姓名：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F2D45E8">
      <w:pPr>
        <w:spacing w:line="42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被授权人</w:t>
      </w:r>
      <w:r>
        <w:rPr>
          <w:rFonts w:hint="eastAsia" w:ascii="宋体" w:hAnsi="宋体" w:eastAsia="宋体" w:cs="宋体"/>
          <w:color w:val="auto"/>
          <w:sz w:val="24"/>
          <w:highlight w:val="none"/>
        </w:rPr>
        <w:t>身份证</w:t>
      </w:r>
      <w:r>
        <w:rPr>
          <w:rFonts w:hint="eastAsia" w:ascii="宋体" w:hAnsi="宋体" w:eastAsia="宋体" w:cs="宋体"/>
          <w:color w:val="auto"/>
          <w:sz w:val="24"/>
          <w:highlight w:val="none"/>
          <w:lang w:val="en-US" w:eastAsia="zh-CN"/>
        </w:rPr>
        <w:t>复印件（正反面）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8E7A4FD">
      <w:pPr>
        <w:spacing w:line="42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E92F088">
      <w:pPr>
        <w:spacing w:line="460" w:lineRule="exact"/>
        <w:ind w:left="14" w:hanging="14" w:hangingChars="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9DCAD27">
      <w:pPr>
        <w:spacing w:line="520" w:lineRule="exact"/>
        <w:ind w:left="14" w:hanging="14" w:hangingChars="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B58A366">
      <w:pPr>
        <w:spacing w:line="420" w:lineRule="exact"/>
        <w:ind w:left="14" w:hanging="14" w:hangingChars="6"/>
        <w:rPr>
          <w:rFonts w:hint="eastAsia" w:ascii="宋体" w:hAnsi="宋体" w:eastAsia="宋体" w:cs="宋体"/>
          <w:color w:val="auto"/>
          <w:sz w:val="24"/>
          <w:highlight w:val="none"/>
        </w:rPr>
      </w:pPr>
    </w:p>
    <w:p w14:paraId="69381FE1">
      <w:pPr>
        <w:spacing w:line="5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注：如投标人代表不是法定代表人（负责人），提供法定代表人（负责人）出具的授权委托书。</w:t>
      </w:r>
    </w:p>
    <w:p w14:paraId="287B9D6F">
      <w:pPr>
        <w:spacing w:line="520" w:lineRule="exact"/>
        <w:jc w:val="both"/>
        <w:rPr>
          <w:rFonts w:hint="eastAsia" w:ascii="宋体" w:hAnsi="宋体" w:eastAsia="宋体" w:cs="宋体"/>
          <w:bCs/>
          <w:color w:val="auto"/>
          <w:sz w:val="44"/>
          <w:szCs w:val="44"/>
          <w:highlight w:val="none"/>
        </w:rPr>
      </w:pPr>
    </w:p>
    <w:p w14:paraId="3BC65335">
      <w:pPr>
        <w:pStyle w:val="12"/>
        <w:rPr>
          <w:rFonts w:hint="eastAsia" w:ascii="宋体" w:hAnsi="宋体" w:eastAsia="宋体" w:cs="宋体"/>
          <w:color w:val="auto"/>
          <w:highlight w:val="none"/>
        </w:rPr>
      </w:pPr>
    </w:p>
    <w:p w14:paraId="66161F9F">
      <w:pPr>
        <w:spacing w:line="500" w:lineRule="exact"/>
        <w:ind w:left="22" w:hanging="19" w:hangingChars="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附件1、</w:t>
      </w:r>
      <w:r>
        <w:rPr>
          <w:rFonts w:hint="eastAsia" w:ascii="宋体" w:hAnsi="宋体" w:eastAsia="宋体" w:cs="宋体"/>
          <w:b/>
          <w:color w:val="auto"/>
          <w:sz w:val="32"/>
          <w:szCs w:val="32"/>
          <w:highlight w:val="none"/>
        </w:rPr>
        <w:t>法定代表人（负责人）身份证明书</w:t>
      </w:r>
    </w:p>
    <w:p w14:paraId="172FB168">
      <w:pPr>
        <w:spacing w:line="520" w:lineRule="exact"/>
        <w:jc w:val="both"/>
        <w:rPr>
          <w:rFonts w:hint="eastAsia" w:ascii="宋体" w:hAnsi="宋体" w:eastAsia="宋体" w:cs="宋体"/>
          <w:bCs/>
          <w:color w:val="auto"/>
          <w:sz w:val="44"/>
          <w:szCs w:val="44"/>
          <w:highlight w:val="none"/>
        </w:rPr>
      </w:pPr>
    </w:p>
    <w:p w14:paraId="2208A1CB">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B20E7A9">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0CEA893">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1A5E96F6">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F001A0">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 xml:space="preserve">    </w:t>
      </w:r>
    </w:p>
    <w:p w14:paraId="4E992975">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身份证号码：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 xml:space="preserve">           </w:t>
      </w:r>
    </w:p>
    <w:p w14:paraId="080BAC53">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名称）的法定代表人（负责人）。</w:t>
      </w:r>
    </w:p>
    <w:p w14:paraId="065812A8">
      <w:pPr>
        <w:keepNext w:val="0"/>
        <w:keepLines w:val="0"/>
        <w:pageBreakBefore w:val="0"/>
        <w:widowControl w:val="0"/>
        <w:kinsoku/>
        <w:wordWrap w:val="0"/>
        <w:overflowPunct/>
        <w:topLinePunct w:val="0"/>
        <w:autoSpaceDE/>
        <w:autoSpaceDN/>
        <w:bidi w:val="0"/>
        <w:adjustRightInd/>
        <w:snapToGrid/>
        <w:spacing w:line="700" w:lineRule="exact"/>
        <w:ind w:left="0" w:firstLine="480" w:firstLineChars="200"/>
        <w:jc w:val="left"/>
        <w:textAlignment w:val="auto"/>
        <w:rPr>
          <w:rFonts w:hint="eastAsia" w:ascii="宋体" w:hAnsi="宋体" w:eastAsia="宋体" w:cs="宋体"/>
          <w:bCs/>
          <w:color w:val="auto"/>
          <w:sz w:val="24"/>
          <w:szCs w:val="24"/>
          <w:highlight w:val="none"/>
        </w:rPr>
      </w:pPr>
    </w:p>
    <w:p w14:paraId="796857FE">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p>
    <w:p w14:paraId="5C5A560E">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14:paraId="046052A2">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法定代表人（负责人）身份证</w:t>
      </w:r>
      <w:r>
        <w:rPr>
          <w:rFonts w:hint="eastAsia" w:ascii="宋体" w:hAnsi="宋体" w:eastAsia="宋体" w:cs="宋体"/>
          <w:bCs/>
          <w:color w:val="auto"/>
          <w:sz w:val="24"/>
          <w:szCs w:val="24"/>
          <w:highlight w:val="none"/>
          <w:lang w:val="en-US" w:eastAsia="zh-CN"/>
        </w:rPr>
        <w:t>复印件（正反面）</w:t>
      </w:r>
      <w:r>
        <w:rPr>
          <w:rFonts w:hint="eastAsia" w:ascii="宋体" w:hAnsi="宋体" w:eastAsia="宋体" w:cs="宋体"/>
          <w:bCs/>
          <w:color w:val="auto"/>
          <w:sz w:val="24"/>
          <w:szCs w:val="24"/>
          <w:highlight w:val="none"/>
        </w:rPr>
        <w:t>：</w:t>
      </w:r>
    </w:p>
    <w:p w14:paraId="4AD8C9AF">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p>
    <w:p w14:paraId="2D007B39">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p>
    <w:p w14:paraId="1A509602">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（盖公章）</w:t>
      </w:r>
    </w:p>
    <w:p w14:paraId="5671DF62">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jc w:val="left"/>
        <w:textAlignment w:val="auto"/>
        <w:rPr>
          <w:rFonts w:hint="eastAsia" w:ascii="宋体" w:hAnsi="宋体" w:eastAsia="宋体" w:cs="宋体"/>
          <w:bCs/>
          <w:color w:val="auto"/>
          <w:sz w:val="24"/>
          <w:szCs w:val="24"/>
          <w:highlight w:val="none"/>
        </w:rPr>
      </w:pPr>
    </w:p>
    <w:p w14:paraId="136A5B51">
      <w:pPr>
        <w:spacing w:line="520" w:lineRule="exact"/>
        <w:ind w:left="14" w:hanging="14" w:hangingChars="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2D409F59">
      <w:pPr>
        <w:spacing w:line="460" w:lineRule="exact"/>
        <w:ind w:left="13" w:hanging="14" w:hangingChars="6"/>
        <w:rPr>
          <w:rFonts w:hint="eastAsia" w:ascii="宋体" w:hAnsi="宋体" w:eastAsia="宋体" w:cs="宋体"/>
          <w:bCs/>
          <w:color w:val="auto"/>
          <w:highlight w:val="none"/>
        </w:rPr>
      </w:pPr>
    </w:p>
    <w:p w14:paraId="2D9EA189">
      <w:pPr>
        <w:spacing w:line="5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4"/>
          <w:highlight w:val="none"/>
          <w:lang w:val="en-US" w:eastAsia="zh-CN"/>
        </w:rPr>
        <w:t>注：法定代表人（负责人）作为投标人代表时，提供</w:t>
      </w:r>
      <w:r>
        <w:rPr>
          <w:rFonts w:hint="eastAsia" w:ascii="宋体" w:hAnsi="宋体" w:eastAsia="宋体" w:cs="宋体"/>
          <w:b/>
          <w:bCs/>
          <w:color w:val="auto"/>
          <w:sz w:val="24"/>
          <w:highlight w:val="none"/>
        </w:rPr>
        <w:t>法定代表人（负责人）身份证明书</w:t>
      </w:r>
      <w:r>
        <w:rPr>
          <w:rFonts w:hint="eastAsia" w:ascii="宋体" w:hAnsi="宋体" w:eastAsia="宋体" w:cs="宋体"/>
          <w:b/>
          <w:bCs/>
          <w:color w:val="auto"/>
          <w:sz w:val="24"/>
          <w:highlight w:val="none"/>
          <w:lang w:val="en-US" w:eastAsia="zh-CN"/>
        </w:rPr>
        <w:t>即可。</w:t>
      </w:r>
    </w:p>
    <w:p w14:paraId="6A57F849">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26BBCFC4">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397A835B">
      <w:pPr>
        <w:pStyle w:val="11"/>
        <w:rPr>
          <w:rFonts w:hint="eastAsia" w:ascii="宋体" w:hAnsi="宋体" w:eastAsia="宋体" w:cs="宋体"/>
          <w:color w:val="auto"/>
          <w:highlight w:val="none"/>
          <w:lang w:val="en-US" w:eastAsia="zh-CN"/>
        </w:rPr>
      </w:pPr>
    </w:p>
    <w:p w14:paraId="3E30449D">
      <w:pPr>
        <w:spacing w:line="500" w:lineRule="exact"/>
        <w:ind w:left="19" w:hanging="19" w:hangingChars="6"/>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附件2、供应商具有良好的商业信誉和健全的财务会计制度声明函</w:t>
      </w:r>
    </w:p>
    <w:p w14:paraId="79A8710A">
      <w:pPr>
        <w:pStyle w:val="19"/>
        <w:rPr>
          <w:rFonts w:hint="eastAsia" w:ascii="宋体" w:hAnsi="宋体" w:eastAsia="宋体" w:cs="宋体"/>
          <w:color w:val="auto"/>
          <w:highlight w:val="none"/>
          <w:lang w:val="en-US" w:eastAsia="zh-CN"/>
        </w:rPr>
      </w:pPr>
    </w:p>
    <w:p w14:paraId="15BCDE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u w:val="single"/>
          <w:lang w:val="en-US" w:eastAsia="zh-CN"/>
        </w:rPr>
        <w:t xml:space="preserve">金华市建设技工学校 </w:t>
      </w:r>
      <w:r>
        <w:rPr>
          <w:rFonts w:hint="eastAsia" w:ascii="宋体" w:hAnsi="宋体" w:eastAsia="宋体" w:cs="宋体"/>
          <w:b w:val="0"/>
          <w:bCs w:val="0"/>
          <w:color w:val="auto"/>
          <w:sz w:val="24"/>
          <w:highlight w:val="none"/>
        </w:rPr>
        <w:t>：</w:t>
      </w:r>
    </w:p>
    <w:p w14:paraId="12517555">
      <w:pPr>
        <w:keepNext w:val="0"/>
        <w:keepLines w:val="0"/>
        <w:pageBreakBefore w:val="0"/>
        <w:widowControl w:val="0"/>
        <w:kinsoku/>
        <w:wordWrap/>
        <w:overflowPunct/>
        <w:topLinePunct w:val="0"/>
        <w:autoSpaceDE/>
        <w:autoSpaceDN/>
        <w:bidi w:val="0"/>
        <w:adjustRightInd/>
        <w:snapToGrid/>
        <w:spacing w:after="157" w:afterLines="50" w:line="360" w:lineRule="auto"/>
        <w:ind w:left="0" w:hanging="14" w:hangingChars="6"/>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u w:val="single"/>
          <w:lang w:val="en-US" w:eastAsia="zh-CN"/>
        </w:rPr>
        <w:t xml:space="preserve">浙江华杰工程咨询有限公司 </w:t>
      </w:r>
      <w:r>
        <w:rPr>
          <w:rFonts w:hint="eastAsia" w:ascii="宋体" w:hAnsi="宋体" w:eastAsia="宋体" w:cs="宋体"/>
          <w:b w:val="0"/>
          <w:bCs w:val="0"/>
          <w:color w:val="auto"/>
          <w:sz w:val="24"/>
          <w:highlight w:val="none"/>
        </w:rPr>
        <w:t>：</w:t>
      </w:r>
    </w:p>
    <w:p w14:paraId="173C1CBE">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我公司郑重声明，</w:t>
      </w:r>
      <w:r>
        <w:rPr>
          <w:rFonts w:hint="eastAsia" w:ascii="宋体" w:hAnsi="宋体" w:eastAsia="宋体" w:cs="宋体"/>
          <w:bCs/>
          <w:color w:val="auto"/>
          <w:sz w:val="24"/>
          <w:szCs w:val="24"/>
          <w:highlight w:val="none"/>
          <w:lang w:val="en-US" w:eastAsia="zh-CN"/>
        </w:rPr>
        <w:t>本公司在参加</w:t>
      </w:r>
      <w:r>
        <w:rPr>
          <w:rFonts w:hint="eastAsia" w:ascii="宋体" w:hAnsi="宋体" w:cs="宋体"/>
          <w:color w:val="auto"/>
          <w:sz w:val="24"/>
          <w:highlight w:val="none"/>
          <w:u w:val="single"/>
          <w:lang w:eastAsia="zh-CN"/>
        </w:rPr>
        <w:t>金华市建设技工学校交互式一体化黑板项目</w:t>
      </w:r>
      <w:r>
        <w:rPr>
          <w:rFonts w:hint="eastAsia" w:ascii="宋体" w:hAnsi="宋体" w:eastAsia="宋体" w:cs="宋体"/>
          <w:color w:val="auto"/>
          <w:sz w:val="24"/>
          <w:highlight w:val="none"/>
          <w:lang w:val="en-US" w:eastAsia="zh-CN"/>
        </w:rPr>
        <w:t>采购活动之前，在生产经营活动中始终做到遵纪守法，诚实守信，并具有良好的履约业绩；严格执行现行的财务会计管理制度，财务管理制度健全，账务清晰，能够按规定真实、全面的反映企业的生产经营活动，具有良好的商业信誉和健全的财务会计制度。</w:t>
      </w:r>
      <w:r>
        <w:rPr>
          <w:rFonts w:hint="eastAsia" w:ascii="宋体" w:hAnsi="宋体" w:eastAsia="宋体" w:cs="宋体"/>
          <w:bCs/>
          <w:color w:val="auto"/>
          <w:sz w:val="24"/>
          <w:szCs w:val="24"/>
          <w:highlight w:val="none"/>
        </w:rPr>
        <w:t>我方对上述声明的真实性负责。如有虚假，我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自愿被取消中标资格</w:t>
      </w:r>
      <w:r>
        <w:rPr>
          <w:rFonts w:hint="eastAsia" w:ascii="宋体" w:hAnsi="宋体" w:eastAsia="宋体" w:cs="宋体"/>
          <w:bCs/>
          <w:color w:val="auto"/>
          <w:sz w:val="24"/>
          <w:szCs w:val="24"/>
          <w:highlight w:val="none"/>
          <w:lang w:val="en-US" w:eastAsia="zh-CN"/>
        </w:rPr>
        <w:t>并承担一切由此造成的</w:t>
      </w:r>
      <w:r>
        <w:rPr>
          <w:rFonts w:hint="eastAsia" w:ascii="宋体" w:hAnsi="宋体" w:eastAsia="宋体" w:cs="宋体"/>
          <w:bCs/>
          <w:color w:val="auto"/>
          <w:sz w:val="24"/>
          <w:szCs w:val="24"/>
          <w:highlight w:val="none"/>
        </w:rPr>
        <w:t>责任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对此无任何异议</w:t>
      </w:r>
      <w:r>
        <w:rPr>
          <w:rFonts w:hint="eastAsia" w:ascii="宋体" w:hAnsi="宋体" w:eastAsia="宋体" w:cs="宋体"/>
          <w:bCs/>
          <w:color w:val="auto"/>
          <w:sz w:val="24"/>
          <w:szCs w:val="24"/>
          <w:highlight w:val="none"/>
        </w:rPr>
        <w:t>。</w:t>
      </w:r>
    </w:p>
    <w:p w14:paraId="33C93CB4">
      <w:pPr>
        <w:spacing w:line="460" w:lineRule="exact"/>
        <w:ind w:left="14" w:hanging="14" w:hangingChars="6"/>
        <w:rPr>
          <w:rFonts w:hint="eastAsia" w:ascii="宋体" w:hAnsi="宋体" w:eastAsia="宋体" w:cs="宋体"/>
          <w:bCs/>
          <w:color w:val="auto"/>
          <w:sz w:val="24"/>
          <w:szCs w:val="24"/>
          <w:highlight w:val="none"/>
        </w:rPr>
      </w:pPr>
    </w:p>
    <w:p w14:paraId="220F6ABA">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特此声明 </w:t>
      </w:r>
    </w:p>
    <w:p w14:paraId="6AD9FE53">
      <w:pPr>
        <w:spacing w:line="460" w:lineRule="exact"/>
        <w:ind w:left="14" w:hanging="14" w:hangingChars="6"/>
        <w:jc w:val="left"/>
        <w:rPr>
          <w:rFonts w:hint="eastAsia" w:ascii="宋体" w:hAnsi="宋体" w:eastAsia="宋体" w:cs="宋体"/>
          <w:bCs/>
          <w:color w:val="auto"/>
          <w:sz w:val="24"/>
          <w:szCs w:val="24"/>
          <w:highlight w:val="none"/>
        </w:rPr>
      </w:pPr>
    </w:p>
    <w:p w14:paraId="38F71CA9">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全称（公章）：</w:t>
      </w:r>
    </w:p>
    <w:p w14:paraId="11B68188">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法定代表人(负责人）或授权代表</w:t>
      </w:r>
      <w:r>
        <w:rPr>
          <w:rFonts w:hint="eastAsia" w:ascii="宋体" w:hAnsi="宋体" w:eastAsia="宋体" w:cs="宋体"/>
          <w:bCs/>
          <w:color w:val="auto"/>
          <w:sz w:val="24"/>
          <w:szCs w:val="24"/>
          <w:highlight w:val="none"/>
        </w:rPr>
        <w:t>（签字或盖章）：</w:t>
      </w:r>
    </w:p>
    <w:p w14:paraId="4DEC98B8">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日期：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w:t>
      </w:r>
    </w:p>
    <w:p w14:paraId="3C4305DF">
      <w:pPr>
        <w:spacing w:line="500" w:lineRule="exact"/>
        <w:jc w:val="left"/>
        <w:rPr>
          <w:rFonts w:hint="eastAsia" w:ascii="宋体" w:hAnsi="宋体" w:eastAsia="宋体" w:cs="宋体"/>
          <w:b/>
          <w:bCs/>
          <w:color w:val="auto"/>
          <w:sz w:val="24"/>
          <w:highlight w:val="none"/>
          <w:lang w:val="en-US" w:eastAsia="zh-CN"/>
        </w:rPr>
      </w:pPr>
    </w:p>
    <w:p w14:paraId="75E076A7">
      <w:pPr>
        <w:spacing w:line="5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注：供应商对其声明内容的真实性负责，声明函内容不实的，属于提供虚假材料谋取中标、成交，将依照《中华人民共和国政府采购法》等国家有关规定追究相应责任。</w:t>
      </w:r>
    </w:p>
    <w:p w14:paraId="78B73C49">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00816D81">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2EF46F80">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05B2FF74">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5049BAA2">
      <w:pPr>
        <w:spacing w:line="500" w:lineRule="exact"/>
        <w:jc w:val="both"/>
        <w:rPr>
          <w:rFonts w:hint="eastAsia" w:ascii="宋体" w:hAnsi="宋体" w:eastAsia="宋体" w:cs="宋体"/>
          <w:b/>
          <w:color w:val="auto"/>
          <w:sz w:val="32"/>
          <w:szCs w:val="32"/>
          <w:highlight w:val="none"/>
          <w:lang w:val="en-US" w:eastAsia="zh-CN"/>
        </w:rPr>
      </w:pPr>
    </w:p>
    <w:p w14:paraId="5AE3BF70">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73752ED4">
      <w:pPr>
        <w:spacing w:line="500" w:lineRule="exact"/>
        <w:ind w:left="19" w:hanging="19" w:hangingChars="6"/>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附件3、依法缴纳税收和社会保障资金的声明函</w:t>
      </w:r>
    </w:p>
    <w:p w14:paraId="1EC120E7">
      <w:pPr>
        <w:spacing w:line="460" w:lineRule="exact"/>
        <w:ind w:left="14" w:hanging="14" w:hangingChars="6"/>
        <w:rPr>
          <w:rFonts w:hint="eastAsia" w:ascii="宋体" w:hAnsi="宋体" w:eastAsia="宋体" w:cs="宋体"/>
          <w:bCs/>
          <w:color w:val="auto"/>
          <w:sz w:val="24"/>
          <w:highlight w:val="none"/>
          <w:lang w:eastAsia="zh-CN"/>
        </w:rPr>
      </w:pPr>
    </w:p>
    <w:p w14:paraId="5C1C1A48">
      <w:pPr>
        <w:keepNext w:val="0"/>
        <w:keepLines w:val="0"/>
        <w:pageBreakBefore w:val="0"/>
        <w:widowControl w:val="0"/>
        <w:kinsoku/>
        <w:wordWrap/>
        <w:overflowPunct/>
        <w:topLinePunct w:val="0"/>
        <w:autoSpaceDE/>
        <w:autoSpaceDN/>
        <w:bidi w:val="0"/>
        <w:adjustRightInd/>
        <w:snapToGrid/>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金华市建设技工学校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C46726B">
      <w:pPr>
        <w:keepNext w:val="0"/>
        <w:keepLines w:val="0"/>
        <w:pageBreakBefore w:val="0"/>
        <w:widowControl w:val="0"/>
        <w:kinsoku/>
        <w:wordWrap/>
        <w:overflowPunct/>
        <w:topLinePunct w:val="0"/>
        <w:autoSpaceDE/>
        <w:autoSpaceDN/>
        <w:bidi w:val="0"/>
        <w:adjustRightInd/>
        <w:snapToGrid/>
        <w:spacing w:after="157" w:afterLines="50"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浙江华杰工程咨询有限公司 </w:t>
      </w:r>
      <w:r>
        <w:rPr>
          <w:rFonts w:hint="eastAsia" w:ascii="宋体" w:hAnsi="宋体" w:eastAsia="宋体" w:cs="宋体"/>
          <w:color w:val="auto"/>
          <w:sz w:val="24"/>
          <w:highlight w:val="none"/>
        </w:rPr>
        <w:t>：</w:t>
      </w:r>
    </w:p>
    <w:p w14:paraId="1E1C4BAB">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我公司郑重声明，我</w:t>
      </w:r>
      <w:r>
        <w:rPr>
          <w:rFonts w:hint="eastAsia" w:ascii="宋体" w:hAnsi="宋体" w:eastAsia="宋体" w:cs="宋体"/>
          <w:bCs/>
          <w:color w:val="auto"/>
          <w:sz w:val="24"/>
          <w:szCs w:val="24"/>
          <w:highlight w:val="none"/>
          <w:lang w:val="en-US" w:eastAsia="zh-CN"/>
        </w:rPr>
        <w:t>方具有良好的商业信誉，</w:t>
      </w:r>
      <w:r>
        <w:rPr>
          <w:rFonts w:hint="eastAsia" w:ascii="宋体" w:hAnsi="宋体" w:eastAsia="宋体" w:cs="宋体"/>
          <w:bCs/>
          <w:color w:val="auto"/>
          <w:sz w:val="24"/>
          <w:szCs w:val="24"/>
          <w:highlight w:val="none"/>
        </w:rPr>
        <w:t>严格依法缴纳税收和社会保障资金，本文件中所提供的相关材料均真实有效，不存在虚假、造假行为。如本</w:t>
      </w:r>
      <w:r>
        <w:rPr>
          <w:rFonts w:hint="eastAsia" w:ascii="宋体" w:hAnsi="宋体" w:eastAsia="宋体" w:cs="宋体"/>
          <w:bCs/>
          <w:color w:val="auto"/>
          <w:sz w:val="24"/>
          <w:szCs w:val="24"/>
          <w:highlight w:val="none"/>
          <w:lang w:val="en-US" w:eastAsia="zh-CN"/>
        </w:rPr>
        <w:t>声明</w:t>
      </w:r>
      <w:r>
        <w:rPr>
          <w:rFonts w:hint="eastAsia" w:ascii="宋体" w:hAnsi="宋体" w:eastAsia="宋体" w:cs="宋体"/>
          <w:bCs/>
          <w:color w:val="auto"/>
          <w:sz w:val="24"/>
          <w:szCs w:val="24"/>
          <w:highlight w:val="none"/>
        </w:rPr>
        <w:t>失实，我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自愿被取消中标资格</w:t>
      </w:r>
      <w:r>
        <w:rPr>
          <w:rFonts w:hint="eastAsia" w:ascii="宋体" w:hAnsi="宋体" w:eastAsia="宋体" w:cs="宋体"/>
          <w:bCs/>
          <w:color w:val="auto"/>
          <w:sz w:val="24"/>
          <w:szCs w:val="24"/>
          <w:highlight w:val="none"/>
          <w:lang w:val="en-US" w:eastAsia="zh-CN"/>
        </w:rPr>
        <w:t>并承担一切由此造成的</w:t>
      </w:r>
      <w:r>
        <w:rPr>
          <w:rFonts w:hint="eastAsia" w:ascii="宋体" w:hAnsi="宋体" w:eastAsia="宋体" w:cs="宋体"/>
          <w:bCs/>
          <w:color w:val="auto"/>
          <w:sz w:val="24"/>
          <w:szCs w:val="24"/>
          <w:highlight w:val="none"/>
        </w:rPr>
        <w:t>责任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对此无任何异议</w:t>
      </w:r>
      <w:r>
        <w:rPr>
          <w:rFonts w:hint="eastAsia" w:ascii="宋体" w:hAnsi="宋体" w:eastAsia="宋体" w:cs="宋体"/>
          <w:bCs/>
          <w:color w:val="auto"/>
          <w:sz w:val="24"/>
          <w:szCs w:val="24"/>
          <w:highlight w:val="none"/>
          <w:lang w:eastAsia="zh-CN"/>
        </w:rPr>
        <w:t>。</w:t>
      </w:r>
    </w:p>
    <w:p w14:paraId="780D2DE0">
      <w:pPr>
        <w:spacing w:line="460" w:lineRule="exact"/>
        <w:ind w:left="14" w:hanging="14" w:hangingChars="6"/>
        <w:rPr>
          <w:rFonts w:hint="eastAsia" w:ascii="宋体" w:hAnsi="宋体" w:eastAsia="宋体" w:cs="宋体"/>
          <w:bCs/>
          <w:color w:val="auto"/>
          <w:sz w:val="24"/>
          <w:szCs w:val="24"/>
          <w:highlight w:val="none"/>
        </w:rPr>
      </w:pPr>
    </w:p>
    <w:p w14:paraId="7B1DBEDA">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特此声明 </w:t>
      </w:r>
    </w:p>
    <w:p w14:paraId="1799D609">
      <w:pPr>
        <w:spacing w:line="460" w:lineRule="exact"/>
        <w:ind w:left="14" w:hanging="14" w:hangingChars="6"/>
        <w:jc w:val="left"/>
        <w:rPr>
          <w:rFonts w:hint="eastAsia" w:ascii="宋体" w:hAnsi="宋体" w:eastAsia="宋体" w:cs="宋体"/>
          <w:bCs/>
          <w:color w:val="auto"/>
          <w:sz w:val="24"/>
          <w:szCs w:val="24"/>
          <w:highlight w:val="none"/>
        </w:rPr>
      </w:pPr>
    </w:p>
    <w:p w14:paraId="3690A91F">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全称（公章）：</w:t>
      </w:r>
    </w:p>
    <w:p w14:paraId="0180BF01">
      <w:pPr>
        <w:spacing w:line="460" w:lineRule="exact"/>
        <w:ind w:left="14" w:hanging="14" w:hangingChars="6"/>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法定代表人(负责人）或授权代表（签字或盖章）：</w:t>
      </w:r>
    </w:p>
    <w:p w14:paraId="033E3BC3">
      <w:pPr>
        <w:spacing w:line="460" w:lineRule="exact"/>
        <w:ind w:left="14" w:hanging="14" w:hangingChars="6"/>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日期：      </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日</w:t>
      </w:r>
    </w:p>
    <w:p w14:paraId="4527D2B4">
      <w:pPr>
        <w:spacing w:line="460" w:lineRule="exact"/>
        <w:ind w:left="13" w:hanging="14" w:hangingChars="6"/>
        <w:rPr>
          <w:rFonts w:hint="eastAsia" w:ascii="宋体" w:hAnsi="宋体" w:eastAsia="宋体" w:cs="宋体"/>
          <w:color w:val="auto"/>
          <w:szCs w:val="21"/>
          <w:highlight w:val="none"/>
        </w:rPr>
      </w:pPr>
    </w:p>
    <w:p w14:paraId="21359AC9">
      <w:pPr>
        <w:spacing w:line="500" w:lineRule="exact"/>
        <w:jc w:val="left"/>
        <w:rPr>
          <w:rFonts w:hint="eastAsia" w:ascii="宋体" w:hAnsi="宋体" w:eastAsia="宋体" w:cs="宋体"/>
          <w:b/>
          <w:bCs/>
          <w:color w:val="auto"/>
          <w:sz w:val="24"/>
          <w:highlight w:val="none"/>
          <w:lang w:val="en-US" w:eastAsia="zh-CN"/>
        </w:rPr>
      </w:pPr>
    </w:p>
    <w:p w14:paraId="302C2EEB">
      <w:pPr>
        <w:spacing w:line="5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投标人可按文件要求提供依法缴纳税收和社会保障资金的证明材料或依法缴纳税收和社会保障资金的声明函，投标人对其声明内容的真实性负责，声明函内容不实的，属于提供虚假材料谋取中标、成交，将依照《中华人民共和国政府采购法》等国家有关规定追究相应责任。</w:t>
      </w:r>
    </w:p>
    <w:p w14:paraId="36E3D50E">
      <w:pPr>
        <w:spacing w:line="460" w:lineRule="exact"/>
        <w:ind w:left="13" w:hanging="14" w:hangingChars="6"/>
        <w:rPr>
          <w:rFonts w:hint="eastAsia" w:ascii="宋体" w:hAnsi="宋体" w:eastAsia="宋体" w:cs="宋体"/>
          <w:color w:val="auto"/>
          <w:szCs w:val="21"/>
          <w:highlight w:val="none"/>
        </w:rPr>
      </w:pPr>
    </w:p>
    <w:p w14:paraId="2A7B611D">
      <w:pPr>
        <w:spacing w:line="460" w:lineRule="exact"/>
        <w:ind w:left="13" w:hanging="14" w:hangingChars="6"/>
        <w:rPr>
          <w:rFonts w:hint="eastAsia" w:ascii="宋体" w:hAnsi="宋体" w:eastAsia="宋体" w:cs="宋体"/>
          <w:color w:val="auto"/>
          <w:szCs w:val="21"/>
          <w:highlight w:val="none"/>
        </w:rPr>
      </w:pPr>
    </w:p>
    <w:p w14:paraId="69735E8E">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080E63DE">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2C2EF9FE">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410E1C0E">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1687121E">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130746E5">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49D974D1">
      <w:pPr>
        <w:pStyle w:val="12"/>
        <w:rPr>
          <w:rFonts w:hint="eastAsia" w:ascii="宋体" w:hAnsi="宋体" w:eastAsia="宋体" w:cs="宋体"/>
          <w:color w:val="auto"/>
          <w:highlight w:val="none"/>
          <w:lang w:val="en-US" w:eastAsia="zh-CN"/>
        </w:rPr>
      </w:pPr>
    </w:p>
    <w:p w14:paraId="23F7627A">
      <w:pPr>
        <w:spacing w:line="500" w:lineRule="exact"/>
        <w:jc w:val="both"/>
        <w:rPr>
          <w:rFonts w:hint="eastAsia" w:ascii="宋体" w:hAnsi="宋体" w:eastAsia="宋体" w:cs="宋体"/>
          <w:b/>
          <w:color w:val="auto"/>
          <w:sz w:val="32"/>
          <w:szCs w:val="32"/>
          <w:highlight w:val="none"/>
          <w:lang w:val="en-US" w:eastAsia="zh-CN"/>
        </w:rPr>
      </w:pPr>
    </w:p>
    <w:p w14:paraId="6EDC6136">
      <w:pPr>
        <w:spacing w:line="500" w:lineRule="exact"/>
        <w:ind w:left="19" w:hanging="19" w:hangingChars="6"/>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附件4、符合资格条件的声明函</w:t>
      </w:r>
    </w:p>
    <w:p w14:paraId="704DCAAA">
      <w:pPr>
        <w:spacing w:line="460" w:lineRule="exact"/>
        <w:ind w:left="14" w:hanging="14" w:hangingChars="6"/>
        <w:rPr>
          <w:rFonts w:hint="eastAsia" w:ascii="宋体" w:hAnsi="宋体" w:eastAsia="宋体" w:cs="宋体"/>
          <w:bCs/>
          <w:color w:val="auto"/>
          <w:sz w:val="24"/>
          <w:highlight w:val="none"/>
          <w:lang w:eastAsia="zh-CN"/>
        </w:rPr>
      </w:pPr>
    </w:p>
    <w:p w14:paraId="407E0AF7">
      <w:pPr>
        <w:keepNext w:val="0"/>
        <w:keepLines w:val="0"/>
        <w:pageBreakBefore w:val="0"/>
        <w:widowControl w:val="0"/>
        <w:kinsoku/>
        <w:wordWrap/>
        <w:overflowPunct/>
        <w:topLinePunct w:val="0"/>
        <w:autoSpaceDE/>
        <w:autoSpaceDN/>
        <w:bidi w:val="0"/>
        <w:adjustRightInd/>
        <w:snapToGrid/>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金华市建设技工学校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1CEA294">
      <w:pPr>
        <w:keepNext w:val="0"/>
        <w:keepLines w:val="0"/>
        <w:pageBreakBefore w:val="0"/>
        <w:widowControl w:val="0"/>
        <w:kinsoku/>
        <w:wordWrap/>
        <w:overflowPunct/>
        <w:topLinePunct w:val="0"/>
        <w:autoSpaceDE/>
        <w:autoSpaceDN/>
        <w:bidi w:val="0"/>
        <w:adjustRightInd/>
        <w:snapToGrid/>
        <w:spacing w:after="157" w:afterLines="50"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浙江华杰工程咨询有限公司 </w:t>
      </w:r>
      <w:r>
        <w:rPr>
          <w:rFonts w:hint="eastAsia" w:ascii="宋体" w:hAnsi="宋体" w:eastAsia="宋体" w:cs="宋体"/>
          <w:color w:val="auto"/>
          <w:sz w:val="24"/>
          <w:highlight w:val="none"/>
        </w:rPr>
        <w:t>：</w:t>
      </w:r>
    </w:p>
    <w:p w14:paraId="10C102EE">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我公司郑重声明，我方</w:t>
      </w:r>
      <w:r>
        <w:rPr>
          <w:rFonts w:hint="eastAsia" w:ascii="宋体" w:hAnsi="宋体" w:eastAsia="宋体" w:cs="宋体"/>
          <w:bCs/>
          <w:color w:val="auto"/>
          <w:sz w:val="24"/>
          <w:szCs w:val="24"/>
          <w:highlight w:val="none"/>
          <w:lang w:val="en-US" w:eastAsia="zh-CN"/>
        </w:rPr>
        <w:t>具有履行</w:t>
      </w:r>
      <w:r>
        <w:rPr>
          <w:rFonts w:hint="eastAsia" w:ascii="宋体" w:hAnsi="宋体" w:cs="宋体"/>
          <w:color w:val="auto"/>
          <w:sz w:val="24"/>
          <w:highlight w:val="none"/>
          <w:lang w:eastAsia="zh-CN"/>
        </w:rPr>
        <w:t>金华市建设技工学校交互式一体化黑板项目</w:t>
      </w:r>
      <w:r>
        <w:rPr>
          <w:rFonts w:hint="eastAsia" w:ascii="宋体" w:hAnsi="宋体" w:eastAsia="宋体" w:cs="宋体"/>
          <w:bCs/>
          <w:color w:val="auto"/>
          <w:sz w:val="24"/>
          <w:szCs w:val="24"/>
          <w:highlight w:val="none"/>
          <w:lang w:val="en-US" w:eastAsia="zh-CN"/>
        </w:rPr>
        <w:t>合同所必需的设备和专业技术能力，且我公司</w:t>
      </w:r>
      <w:r>
        <w:rPr>
          <w:rFonts w:hint="eastAsia" w:ascii="宋体" w:hAnsi="宋体" w:eastAsia="宋体" w:cs="宋体"/>
          <w:bCs/>
          <w:color w:val="auto"/>
          <w:sz w:val="24"/>
          <w:szCs w:val="24"/>
          <w:highlight w:val="none"/>
        </w:rPr>
        <w:t>未被列入失信被执行人名单、重大税收违法案件当事人名单、政府采购严重违法失信行为记录名单，</w:t>
      </w:r>
      <w:r>
        <w:rPr>
          <w:rFonts w:hint="eastAsia" w:ascii="宋体" w:hAnsi="宋体" w:eastAsia="宋体" w:cs="宋体"/>
          <w:bCs/>
          <w:color w:val="auto"/>
          <w:sz w:val="24"/>
          <w:szCs w:val="24"/>
          <w:highlight w:val="none"/>
          <w:lang w:val="en-US" w:eastAsia="zh-CN"/>
        </w:rPr>
        <w:t>在</w:t>
      </w:r>
      <w:r>
        <w:rPr>
          <w:rFonts w:hint="eastAsia" w:ascii="宋体" w:hAnsi="宋体" w:eastAsia="宋体" w:cs="宋体"/>
          <w:bCs/>
          <w:color w:val="auto"/>
          <w:sz w:val="24"/>
          <w:szCs w:val="24"/>
          <w:highlight w:val="none"/>
        </w:rPr>
        <w:t>参加本次政府采购活动前</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。我方对上述声明的真实性负责。如有虚假，我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自愿被取消中标资格</w:t>
      </w:r>
      <w:r>
        <w:rPr>
          <w:rFonts w:hint="eastAsia" w:ascii="宋体" w:hAnsi="宋体" w:eastAsia="宋体" w:cs="宋体"/>
          <w:bCs/>
          <w:color w:val="auto"/>
          <w:sz w:val="24"/>
          <w:szCs w:val="24"/>
          <w:highlight w:val="none"/>
          <w:lang w:val="en-US" w:eastAsia="zh-CN"/>
        </w:rPr>
        <w:t>并承担一切由此造成的</w:t>
      </w:r>
      <w:r>
        <w:rPr>
          <w:rFonts w:hint="eastAsia" w:ascii="宋体" w:hAnsi="宋体" w:eastAsia="宋体" w:cs="宋体"/>
          <w:bCs/>
          <w:color w:val="auto"/>
          <w:sz w:val="24"/>
          <w:szCs w:val="24"/>
          <w:highlight w:val="none"/>
        </w:rPr>
        <w:t>责任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对此无任何异议</w:t>
      </w:r>
      <w:r>
        <w:rPr>
          <w:rFonts w:hint="eastAsia" w:ascii="宋体" w:hAnsi="宋体" w:eastAsia="宋体" w:cs="宋体"/>
          <w:bCs/>
          <w:color w:val="auto"/>
          <w:sz w:val="24"/>
          <w:szCs w:val="24"/>
          <w:highlight w:val="none"/>
        </w:rPr>
        <w:t>。</w:t>
      </w:r>
    </w:p>
    <w:p w14:paraId="76BB8C3F">
      <w:pPr>
        <w:spacing w:line="460" w:lineRule="exact"/>
        <w:ind w:left="14" w:hanging="14" w:hangingChars="6"/>
        <w:rPr>
          <w:rFonts w:hint="eastAsia" w:ascii="宋体" w:hAnsi="宋体" w:eastAsia="宋体" w:cs="宋体"/>
          <w:bCs/>
          <w:color w:val="auto"/>
          <w:sz w:val="24"/>
          <w:szCs w:val="24"/>
          <w:highlight w:val="none"/>
        </w:rPr>
      </w:pPr>
    </w:p>
    <w:p w14:paraId="543E1E86">
      <w:pPr>
        <w:spacing w:line="460" w:lineRule="exact"/>
        <w:ind w:left="14" w:hanging="14" w:hangingChars="6"/>
        <w:rPr>
          <w:rFonts w:hint="eastAsia" w:ascii="宋体" w:hAnsi="宋体" w:eastAsia="宋体" w:cs="宋体"/>
          <w:bCs/>
          <w:color w:val="auto"/>
          <w:sz w:val="24"/>
          <w:szCs w:val="24"/>
          <w:highlight w:val="none"/>
        </w:rPr>
      </w:pPr>
    </w:p>
    <w:p w14:paraId="4C3A6FE8">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特此声明 </w:t>
      </w:r>
    </w:p>
    <w:p w14:paraId="7DCA3946">
      <w:pPr>
        <w:spacing w:line="460" w:lineRule="exact"/>
        <w:ind w:left="14" w:hanging="14" w:hangingChars="6"/>
        <w:jc w:val="left"/>
        <w:rPr>
          <w:rFonts w:hint="eastAsia" w:ascii="宋体" w:hAnsi="宋体" w:eastAsia="宋体" w:cs="宋体"/>
          <w:bCs/>
          <w:color w:val="auto"/>
          <w:sz w:val="24"/>
          <w:szCs w:val="24"/>
          <w:highlight w:val="none"/>
        </w:rPr>
      </w:pPr>
    </w:p>
    <w:p w14:paraId="306318F5">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全称（公章）：</w:t>
      </w:r>
    </w:p>
    <w:p w14:paraId="69B62898">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法定代表人(负责人）或授权代表</w:t>
      </w:r>
      <w:r>
        <w:rPr>
          <w:rFonts w:hint="eastAsia" w:ascii="宋体" w:hAnsi="宋体" w:eastAsia="宋体" w:cs="宋体"/>
          <w:bCs/>
          <w:color w:val="auto"/>
          <w:sz w:val="24"/>
          <w:szCs w:val="24"/>
          <w:highlight w:val="none"/>
        </w:rPr>
        <w:t>（签字或盖章）：</w:t>
      </w:r>
    </w:p>
    <w:p w14:paraId="2E6B1D92">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日期：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w:t>
      </w:r>
    </w:p>
    <w:p w14:paraId="463C37F6">
      <w:pPr>
        <w:spacing w:line="500" w:lineRule="exact"/>
        <w:jc w:val="left"/>
        <w:rPr>
          <w:rFonts w:hint="eastAsia" w:ascii="宋体" w:hAnsi="宋体" w:eastAsia="宋体" w:cs="宋体"/>
          <w:b/>
          <w:bCs/>
          <w:color w:val="auto"/>
          <w:sz w:val="24"/>
          <w:highlight w:val="none"/>
          <w:lang w:val="en-US" w:eastAsia="zh-CN"/>
        </w:rPr>
      </w:pPr>
    </w:p>
    <w:p w14:paraId="1E3636E6">
      <w:pPr>
        <w:spacing w:line="5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注：投标人对其声明内容的真实性负责，声明函内容不实的，属于提供虚假材料谋取中标、成交，将依照《中华人民共和国政府采购法》等国家有关规定追究相应责任。</w:t>
      </w:r>
    </w:p>
    <w:p w14:paraId="3134DF07">
      <w:pPr>
        <w:spacing w:line="460" w:lineRule="exact"/>
        <w:ind w:left="14" w:hanging="16" w:hangingChars="6"/>
        <w:rPr>
          <w:rFonts w:hint="eastAsia" w:ascii="宋体" w:hAnsi="宋体" w:eastAsia="宋体" w:cs="宋体"/>
          <w:bCs/>
          <w:color w:val="auto"/>
          <w:sz w:val="28"/>
          <w:szCs w:val="28"/>
          <w:highlight w:val="none"/>
        </w:rPr>
      </w:pPr>
    </w:p>
    <w:p w14:paraId="3882BCC0">
      <w:pPr>
        <w:pStyle w:val="11"/>
        <w:rPr>
          <w:rFonts w:hint="eastAsia" w:ascii="宋体" w:hAnsi="宋体" w:eastAsia="宋体" w:cs="宋体"/>
          <w:bCs/>
          <w:color w:val="auto"/>
          <w:sz w:val="28"/>
          <w:szCs w:val="28"/>
          <w:highlight w:val="none"/>
        </w:rPr>
      </w:pPr>
    </w:p>
    <w:p w14:paraId="6860D9EF">
      <w:pPr>
        <w:pStyle w:val="19"/>
        <w:rPr>
          <w:rFonts w:hint="eastAsia" w:ascii="宋体" w:hAnsi="宋体" w:eastAsia="宋体" w:cs="宋体"/>
          <w:bCs/>
          <w:color w:val="auto"/>
          <w:sz w:val="28"/>
          <w:szCs w:val="28"/>
          <w:highlight w:val="none"/>
        </w:rPr>
      </w:pPr>
    </w:p>
    <w:p w14:paraId="10374F82">
      <w:pPr>
        <w:rPr>
          <w:rFonts w:hint="eastAsia" w:ascii="宋体" w:hAnsi="宋体" w:eastAsia="宋体" w:cs="宋体"/>
          <w:bCs/>
          <w:color w:val="auto"/>
          <w:sz w:val="28"/>
          <w:szCs w:val="28"/>
          <w:highlight w:val="none"/>
        </w:rPr>
      </w:pPr>
    </w:p>
    <w:p w14:paraId="0EA8D57E">
      <w:pPr>
        <w:pStyle w:val="11"/>
        <w:rPr>
          <w:rFonts w:hint="eastAsia" w:ascii="宋体" w:hAnsi="宋体" w:eastAsia="宋体" w:cs="宋体"/>
          <w:bCs/>
          <w:color w:val="auto"/>
          <w:sz w:val="28"/>
          <w:szCs w:val="28"/>
          <w:highlight w:val="none"/>
        </w:rPr>
      </w:pPr>
    </w:p>
    <w:p w14:paraId="1CB0250E">
      <w:pPr>
        <w:pStyle w:val="19"/>
        <w:rPr>
          <w:rFonts w:hint="eastAsia" w:ascii="宋体" w:hAnsi="宋体" w:eastAsia="宋体" w:cs="宋体"/>
          <w:bCs/>
          <w:color w:val="auto"/>
          <w:sz w:val="28"/>
          <w:szCs w:val="28"/>
          <w:highlight w:val="none"/>
        </w:rPr>
      </w:pPr>
    </w:p>
    <w:p w14:paraId="12A11983">
      <w:pPr>
        <w:spacing w:line="500" w:lineRule="exact"/>
        <w:jc w:val="both"/>
        <w:rPr>
          <w:rFonts w:hint="eastAsia" w:ascii="宋体" w:hAnsi="宋体" w:eastAsia="宋体" w:cs="宋体"/>
          <w:b/>
          <w:color w:val="auto"/>
          <w:sz w:val="32"/>
          <w:szCs w:val="32"/>
          <w:highlight w:val="none"/>
          <w:lang w:val="en-US" w:eastAsia="zh-CN"/>
        </w:rPr>
      </w:pPr>
    </w:p>
    <w:p w14:paraId="41061168">
      <w:pPr>
        <w:spacing w:line="500" w:lineRule="exact"/>
        <w:ind w:left="19" w:hanging="19" w:hangingChars="6"/>
        <w:jc w:val="center"/>
        <w:rPr>
          <w:rFonts w:hint="eastAsia" w:ascii="宋体" w:hAnsi="宋体" w:eastAsia="宋体" w:cs="宋体"/>
          <w:b/>
          <w:color w:val="auto"/>
          <w:sz w:val="32"/>
          <w:szCs w:val="32"/>
          <w:highlight w:val="none"/>
          <w:lang w:val="en-US" w:eastAsia="zh-CN"/>
        </w:rPr>
      </w:pPr>
    </w:p>
    <w:p w14:paraId="0BCBEAF4">
      <w:pPr>
        <w:spacing w:line="500" w:lineRule="exact"/>
        <w:ind w:left="19" w:hanging="19" w:hangingChars="6"/>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附件5、与参加本次项目同一合同项下政府采购活动的其他供应商不存在单位负责人为同一人或者直接控股、管理关系的声明函</w:t>
      </w:r>
    </w:p>
    <w:p w14:paraId="228F62B2">
      <w:pPr>
        <w:spacing w:line="460" w:lineRule="exact"/>
        <w:ind w:left="14" w:hanging="14" w:hangingChars="6"/>
        <w:rPr>
          <w:rFonts w:hint="eastAsia" w:ascii="宋体" w:hAnsi="宋体" w:eastAsia="宋体" w:cs="宋体"/>
          <w:bCs/>
          <w:color w:val="auto"/>
          <w:sz w:val="24"/>
          <w:highlight w:val="none"/>
          <w:lang w:eastAsia="zh-CN"/>
        </w:rPr>
      </w:pPr>
    </w:p>
    <w:p w14:paraId="2BB3854D">
      <w:pPr>
        <w:keepNext w:val="0"/>
        <w:keepLines w:val="0"/>
        <w:pageBreakBefore w:val="0"/>
        <w:widowControl w:val="0"/>
        <w:kinsoku/>
        <w:wordWrap/>
        <w:overflowPunct/>
        <w:topLinePunct w:val="0"/>
        <w:autoSpaceDE/>
        <w:autoSpaceDN/>
        <w:bidi w:val="0"/>
        <w:adjustRightInd/>
        <w:snapToGrid/>
        <w:spacing w:line="360" w:lineRule="auto"/>
        <w:ind w:left="0" w:hanging="14" w:hangingChars="6"/>
        <w:textAlignment w:val="auto"/>
        <w:rPr>
          <w:rFonts w:hint="eastAsia" w:ascii="宋体" w:hAnsi="宋体" w:eastAsia="宋体" w:cs="宋体"/>
          <w:color w:val="auto"/>
          <w:sz w:val="24"/>
          <w:highlight w:val="none"/>
          <w:u w:val="single"/>
          <w:lang w:val="en-US" w:eastAsia="zh-CN"/>
        </w:rPr>
      </w:pPr>
    </w:p>
    <w:p w14:paraId="7B82A84E">
      <w:pPr>
        <w:keepNext w:val="0"/>
        <w:keepLines w:val="0"/>
        <w:pageBreakBefore w:val="0"/>
        <w:widowControl w:val="0"/>
        <w:kinsoku/>
        <w:wordWrap/>
        <w:overflowPunct/>
        <w:topLinePunct w:val="0"/>
        <w:autoSpaceDE/>
        <w:autoSpaceDN/>
        <w:bidi w:val="0"/>
        <w:adjustRightInd/>
        <w:snapToGrid/>
        <w:spacing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金华市建设技工学校</w:t>
      </w:r>
      <w:r>
        <w:rPr>
          <w:rFonts w:hint="eastAsia" w:ascii="宋体" w:hAnsi="宋体" w:eastAsia="宋体" w:cs="宋体"/>
          <w:color w:val="auto"/>
          <w:sz w:val="24"/>
          <w:highlight w:val="none"/>
        </w:rPr>
        <w:t>：</w:t>
      </w:r>
    </w:p>
    <w:p w14:paraId="63AF8884">
      <w:pPr>
        <w:keepNext w:val="0"/>
        <w:keepLines w:val="0"/>
        <w:pageBreakBefore w:val="0"/>
        <w:widowControl w:val="0"/>
        <w:kinsoku/>
        <w:wordWrap/>
        <w:overflowPunct/>
        <w:topLinePunct w:val="0"/>
        <w:autoSpaceDE/>
        <w:autoSpaceDN/>
        <w:bidi w:val="0"/>
        <w:adjustRightInd/>
        <w:snapToGrid/>
        <w:spacing w:after="157" w:afterLines="50" w:line="360" w:lineRule="auto"/>
        <w:ind w:left="0" w:hanging="14" w:hangingChars="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浙江华杰工程咨询有限公司 </w:t>
      </w:r>
      <w:r>
        <w:rPr>
          <w:rFonts w:hint="eastAsia" w:ascii="宋体" w:hAnsi="宋体" w:eastAsia="宋体" w:cs="宋体"/>
          <w:color w:val="auto"/>
          <w:sz w:val="24"/>
          <w:highlight w:val="none"/>
        </w:rPr>
        <w:t>：</w:t>
      </w:r>
    </w:p>
    <w:p w14:paraId="05A7E66A">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我公司郑重声明，我方此次参加</w:t>
      </w:r>
      <w:r>
        <w:rPr>
          <w:rFonts w:hint="eastAsia" w:ascii="宋体" w:hAnsi="宋体" w:cs="宋体"/>
          <w:color w:val="auto"/>
          <w:sz w:val="24"/>
          <w:highlight w:val="none"/>
          <w:lang w:eastAsia="zh-CN"/>
        </w:rPr>
        <w:t>金华市建设技工学校交互式一体化黑板项目</w:t>
      </w:r>
      <w:r>
        <w:rPr>
          <w:rFonts w:hint="eastAsia" w:ascii="宋体" w:hAnsi="宋体" w:eastAsia="宋体" w:cs="宋体"/>
          <w:bCs/>
          <w:color w:val="auto"/>
          <w:sz w:val="24"/>
          <w:szCs w:val="24"/>
          <w:highlight w:val="none"/>
        </w:rPr>
        <w:t>的投标，与参加本次项目同一合同项下政府采购活动的其他供应商不存在单位负责人为同一人或者直接控股、管理关系。如有虚假或隐瞒，愿意承担一切后果。我方对上述声明的真实性负责。如有虚假，我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自愿被取消中标资格</w:t>
      </w:r>
      <w:r>
        <w:rPr>
          <w:rFonts w:hint="eastAsia" w:ascii="宋体" w:hAnsi="宋体" w:eastAsia="宋体" w:cs="宋体"/>
          <w:bCs/>
          <w:color w:val="auto"/>
          <w:sz w:val="24"/>
          <w:szCs w:val="24"/>
          <w:highlight w:val="none"/>
          <w:lang w:val="en-US" w:eastAsia="zh-CN"/>
        </w:rPr>
        <w:t>并承担一切由此造成的</w:t>
      </w:r>
      <w:r>
        <w:rPr>
          <w:rFonts w:hint="eastAsia" w:ascii="宋体" w:hAnsi="宋体" w:eastAsia="宋体" w:cs="宋体"/>
          <w:bCs/>
          <w:color w:val="auto"/>
          <w:sz w:val="24"/>
          <w:szCs w:val="24"/>
          <w:highlight w:val="none"/>
        </w:rPr>
        <w:t>责任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对此无任何异议</w:t>
      </w:r>
      <w:r>
        <w:rPr>
          <w:rFonts w:hint="eastAsia" w:ascii="宋体" w:hAnsi="宋体" w:eastAsia="宋体" w:cs="宋体"/>
          <w:bCs/>
          <w:color w:val="auto"/>
          <w:sz w:val="24"/>
          <w:szCs w:val="24"/>
          <w:highlight w:val="none"/>
        </w:rPr>
        <w:t>。</w:t>
      </w:r>
    </w:p>
    <w:p w14:paraId="4BED3C2E">
      <w:pPr>
        <w:spacing w:line="460" w:lineRule="exact"/>
        <w:ind w:left="14" w:hanging="14" w:hangingChars="6"/>
        <w:rPr>
          <w:rFonts w:hint="eastAsia" w:ascii="宋体" w:hAnsi="宋体" w:eastAsia="宋体" w:cs="宋体"/>
          <w:bCs/>
          <w:color w:val="auto"/>
          <w:sz w:val="24"/>
          <w:szCs w:val="24"/>
          <w:highlight w:val="none"/>
        </w:rPr>
      </w:pPr>
    </w:p>
    <w:p w14:paraId="43005237">
      <w:pPr>
        <w:spacing w:line="460" w:lineRule="exact"/>
        <w:ind w:left="14" w:hanging="14" w:hangingChars="6"/>
        <w:rPr>
          <w:rFonts w:hint="eastAsia" w:ascii="宋体" w:hAnsi="宋体" w:eastAsia="宋体" w:cs="宋体"/>
          <w:bCs/>
          <w:color w:val="auto"/>
          <w:sz w:val="24"/>
          <w:szCs w:val="24"/>
          <w:highlight w:val="none"/>
        </w:rPr>
      </w:pPr>
    </w:p>
    <w:p w14:paraId="521D4211">
      <w:pPr>
        <w:spacing w:line="460" w:lineRule="exact"/>
        <w:ind w:left="14" w:hanging="14" w:hangingChars="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特此声明 </w:t>
      </w:r>
    </w:p>
    <w:p w14:paraId="3F635A1F">
      <w:pPr>
        <w:spacing w:line="460" w:lineRule="exact"/>
        <w:ind w:left="14" w:hanging="14" w:hangingChars="6"/>
        <w:jc w:val="left"/>
        <w:rPr>
          <w:rFonts w:hint="eastAsia" w:ascii="宋体" w:hAnsi="宋体" w:eastAsia="宋体" w:cs="宋体"/>
          <w:color w:val="auto"/>
          <w:highlight w:val="none"/>
          <w:lang w:eastAsia="zh-CN"/>
        </w:rPr>
      </w:pPr>
    </w:p>
    <w:p w14:paraId="70771A33">
      <w:pPr>
        <w:pStyle w:val="11"/>
        <w:rPr>
          <w:rFonts w:hint="eastAsia" w:ascii="宋体" w:hAnsi="宋体" w:eastAsia="宋体" w:cs="宋体"/>
          <w:color w:val="auto"/>
          <w:highlight w:val="none"/>
          <w:lang w:eastAsia="zh-CN"/>
        </w:rPr>
      </w:pPr>
    </w:p>
    <w:p w14:paraId="005F8815">
      <w:pPr>
        <w:pStyle w:val="19"/>
        <w:rPr>
          <w:rFonts w:hint="eastAsia" w:ascii="宋体" w:hAnsi="宋体" w:eastAsia="宋体" w:cs="宋体"/>
          <w:color w:val="auto"/>
          <w:highlight w:val="none"/>
          <w:lang w:eastAsia="zh-CN"/>
        </w:rPr>
      </w:pPr>
    </w:p>
    <w:p w14:paraId="33C314AD">
      <w:pPr>
        <w:rPr>
          <w:rFonts w:hint="eastAsia" w:ascii="宋体" w:hAnsi="宋体" w:eastAsia="宋体" w:cs="宋体"/>
          <w:color w:val="auto"/>
          <w:highlight w:val="none"/>
          <w:lang w:eastAsia="zh-CN"/>
        </w:rPr>
      </w:pPr>
    </w:p>
    <w:p w14:paraId="640ED8D7">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全称（公章）：</w:t>
      </w:r>
    </w:p>
    <w:p w14:paraId="50567BC5">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法定代表人(负责人）或授权代表</w:t>
      </w:r>
      <w:r>
        <w:rPr>
          <w:rFonts w:hint="eastAsia" w:ascii="宋体" w:hAnsi="宋体" w:eastAsia="宋体" w:cs="宋体"/>
          <w:bCs/>
          <w:color w:val="auto"/>
          <w:sz w:val="24"/>
          <w:szCs w:val="24"/>
          <w:highlight w:val="none"/>
        </w:rPr>
        <w:t>（签字或盖章）：</w:t>
      </w:r>
    </w:p>
    <w:p w14:paraId="7DDED0C4">
      <w:pPr>
        <w:spacing w:line="460" w:lineRule="exact"/>
        <w:ind w:left="14" w:hanging="14" w:hangingChars="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日期：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w:t>
      </w:r>
    </w:p>
    <w:p w14:paraId="1F9FDBD4">
      <w:pPr>
        <w:spacing w:line="500" w:lineRule="exact"/>
        <w:jc w:val="left"/>
        <w:rPr>
          <w:rFonts w:hint="eastAsia" w:ascii="宋体" w:hAnsi="宋体" w:eastAsia="宋体" w:cs="宋体"/>
          <w:b/>
          <w:bCs/>
          <w:color w:val="auto"/>
          <w:sz w:val="24"/>
          <w:highlight w:val="none"/>
          <w:lang w:val="en-US" w:eastAsia="zh-CN"/>
        </w:rPr>
      </w:pPr>
    </w:p>
    <w:p w14:paraId="75619597">
      <w:pPr>
        <w:snapToGrid w:val="0"/>
        <w:spacing w:line="360" w:lineRule="auto"/>
        <w:ind w:right="480"/>
        <w:jc w:val="left"/>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lang w:val="en-US" w:eastAsia="zh-CN"/>
        </w:rPr>
        <w:t>注：投标人对其声明内容的真实性负责，声明函内容不实的，属于提供虚假材料谋取中标、成交，将依照《中华人民共和国政府采购法》等国家有关规定追究相应责任。</w:t>
      </w:r>
    </w:p>
    <w:p w14:paraId="74674421">
      <w:pPr>
        <w:snapToGrid w:val="0"/>
        <w:spacing w:line="360" w:lineRule="auto"/>
        <w:ind w:right="480"/>
        <w:jc w:val="center"/>
        <w:rPr>
          <w:rFonts w:hint="eastAsia" w:ascii="宋体" w:hAnsi="宋体" w:eastAsia="宋体" w:cs="宋体"/>
          <w:b/>
          <w:color w:val="auto"/>
          <w:sz w:val="32"/>
          <w:szCs w:val="32"/>
          <w:highlight w:val="none"/>
        </w:rPr>
      </w:pPr>
    </w:p>
    <w:p w14:paraId="4B92EEA4">
      <w:pPr>
        <w:snapToGrid w:val="0"/>
        <w:spacing w:line="360" w:lineRule="auto"/>
        <w:ind w:right="480"/>
        <w:jc w:val="center"/>
        <w:rPr>
          <w:rFonts w:hint="eastAsia" w:ascii="宋体" w:hAnsi="宋体" w:eastAsia="宋体" w:cs="宋体"/>
          <w:b/>
          <w:color w:val="auto"/>
          <w:sz w:val="32"/>
          <w:szCs w:val="32"/>
          <w:highlight w:val="none"/>
        </w:rPr>
      </w:pPr>
    </w:p>
    <w:p w14:paraId="3CEC7748">
      <w:pPr>
        <w:snapToGrid w:val="0"/>
        <w:spacing w:line="360" w:lineRule="auto"/>
        <w:ind w:right="480"/>
        <w:jc w:val="center"/>
        <w:rPr>
          <w:rFonts w:hint="eastAsia" w:ascii="宋体" w:hAnsi="宋体" w:eastAsia="宋体" w:cs="宋体"/>
          <w:b/>
          <w:color w:val="auto"/>
          <w:sz w:val="32"/>
          <w:szCs w:val="32"/>
          <w:highlight w:val="none"/>
        </w:rPr>
      </w:pPr>
    </w:p>
    <w:p w14:paraId="4CD997CE">
      <w:pPr>
        <w:snapToGrid w:val="0"/>
        <w:spacing w:line="360" w:lineRule="auto"/>
        <w:ind w:right="480"/>
        <w:jc w:val="center"/>
        <w:rPr>
          <w:rFonts w:hint="eastAsia" w:ascii="宋体" w:hAnsi="宋体" w:eastAsia="宋体" w:cs="宋体"/>
          <w:b/>
          <w:color w:val="auto"/>
          <w:sz w:val="32"/>
          <w:szCs w:val="32"/>
          <w:highlight w:val="none"/>
        </w:rPr>
      </w:pPr>
    </w:p>
    <w:p w14:paraId="20083268">
      <w:pPr>
        <w:snapToGrid w:val="0"/>
        <w:spacing w:line="360" w:lineRule="auto"/>
        <w:ind w:right="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二、落实政府采购政策需满足的资格要求</w:t>
      </w:r>
    </w:p>
    <w:p w14:paraId="110D99E9">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（根据招标公告落实政府采购政策需满足的资格要求选择提供相应的材料；未要求的，无需提供）</w:t>
      </w:r>
    </w:p>
    <w:p w14:paraId="6FAB4B1B">
      <w:pPr>
        <w:spacing w:line="360" w:lineRule="auto"/>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sym w:font="Wingdings" w:char="F0FE"/>
      </w:r>
      <w:r>
        <w:rPr>
          <w:rFonts w:hint="eastAsia" w:ascii="宋体" w:hAnsi="宋体" w:eastAsia="宋体" w:cs="宋体"/>
          <w:color w:val="auto"/>
          <w:highlight w:val="none"/>
        </w:rPr>
        <w:t>专门面向中小企业： 货物全部由符合政策要求的中小企业制造，提供中小企业声明函。；</w:t>
      </w:r>
    </w:p>
    <w:p w14:paraId="2B6922CF">
      <w:pPr>
        <w:pStyle w:val="20"/>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中小企业声明函</w:t>
      </w:r>
    </w:p>
    <w:p w14:paraId="6544D1F1">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（单位名称）的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（项目名称）采购活动，</w:t>
      </w:r>
      <w:r>
        <w:rPr>
          <w:rFonts w:hint="eastAsia" w:ascii="宋体" w:hAnsi="宋体" w:eastAsia="宋体" w:cs="宋体"/>
          <w:color w:val="auto"/>
          <w:highlight w:val="none"/>
          <w:lang w:val="en-US" w:eastAsia="zh-CN"/>
        </w:rPr>
        <w:t>我公司提供的</w:t>
      </w:r>
      <w:r>
        <w:rPr>
          <w:rFonts w:hint="eastAsia" w:ascii="宋体" w:hAnsi="宋体" w:eastAsia="宋体" w:cs="宋体"/>
          <w:color w:val="auto"/>
          <w:highlight w:val="none"/>
        </w:rPr>
        <w:t>货物全部由符合政策要求的中小企业制造。相关企业的具体情况如下：</w:t>
      </w:r>
    </w:p>
    <w:p w14:paraId="40ED3A49">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1._____（标的名称），属于_____（采购文件中明确的所属行业）行业；货物</w:t>
      </w:r>
      <w:r>
        <w:rPr>
          <w:rFonts w:hint="eastAsia" w:ascii="宋体" w:hAnsi="宋体" w:eastAsia="宋体" w:cs="宋体"/>
          <w:color w:val="auto"/>
          <w:highlight w:val="none"/>
          <w:lang w:val="en-US" w:eastAsia="zh-CN"/>
        </w:rPr>
        <w:t>制造商</w:t>
      </w:r>
      <w:r>
        <w:rPr>
          <w:rFonts w:hint="eastAsia" w:ascii="宋体" w:hAnsi="宋体" w:eastAsia="宋体" w:cs="宋体"/>
          <w:color w:val="auto"/>
          <w:highlight w:val="none"/>
        </w:rPr>
        <w:t>为_____（企业名称），从业人员_____人，营业收入为_____万元¹，属于（中型企业、小型企业、微型企业）</w:t>
      </w:r>
    </w:p>
    <w:p w14:paraId="75B1EB69">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以上企业，不属于大型企业的分支机构，不存在控股股东为大型企业的情形，也不存在与大企业的负责人为同一人的情形。</w:t>
      </w:r>
    </w:p>
    <w:p w14:paraId="0DD40D12">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7F7A733C">
      <w:pPr>
        <w:shd w:val="clear" w:color="auto" w:fill="FFFFFF"/>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　　　　　　　　　　　　　　　　　　　　　　　　　企业名称（盖章）：</w:t>
      </w:r>
    </w:p>
    <w:p w14:paraId="0804C760">
      <w:pPr>
        <w:shd w:val="clear" w:color="auto" w:fill="FFFFFF"/>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　　　　　　　　　　　　　　　　　　　　　　　　　　　日  期：</w:t>
      </w:r>
    </w:p>
    <w:p w14:paraId="001C0643">
      <w:pPr>
        <w:spacing w:after="120"/>
        <w:ind w:left="200" w:firstLine="200"/>
        <w:rPr>
          <w:rFonts w:hint="eastAsia" w:ascii="宋体" w:hAnsi="宋体" w:eastAsia="宋体" w:cs="宋体"/>
          <w:color w:val="auto"/>
          <w:highlight w:val="none"/>
        </w:rPr>
      </w:pPr>
      <w:r>
        <w:rPr>
          <w:rFonts w:hint="eastAsia" w:ascii="宋体" w:hAnsi="宋体" w:eastAsia="宋体" w:cs="宋体"/>
          <w:color w:val="auto"/>
          <w:highlight w:val="none"/>
        </w:rPr>
        <w:t>-----------------------------------------------------------------------</w:t>
      </w:r>
    </w:p>
    <w:p w14:paraId="5802ECE0">
      <w:pPr>
        <w:pStyle w:val="13"/>
        <w:widowControl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¹从业人员、营业收入填报上一年度的数据，无上一年度数据的新成立企业可不填报。</w:t>
      </w:r>
    </w:p>
    <w:p w14:paraId="4BD7F26F">
      <w:pPr>
        <w:pStyle w:val="14"/>
        <w:rPr>
          <w:rFonts w:hint="eastAsia"/>
          <w:color w:val="auto"/>
          <w:highlight w:val="none"/>
        </w:rPr>
      </w:pPr>
    </w:p>
    <w:p w14:paraId="721D01EF">
      <w:pPr>
        <w:spacing w:line="360" w:lineRule="auto"/>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p>
    <w:p w14:paraId="1AEF399B">
      <w:pPr>
        <w:spacing w:line="360" w:lineRule="auto"/>
        <w:ind w:left="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三、本项目的特定资格要求</w:t>
      </w:r>
    </w:p>
    <w:p w14:paraId="103BAF5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（根据招标公告本项目的特定资格要求提供相应的材料；未要求的，无需提供）</w:t>
      </w:r>
    </w:p>
    <w:bookmarkEnd w:id="36"/>
    <w:p w14:paraId="7AB796F6">
      <w:pPr>
        <w:pStyle w:val="18"/>
        <w:widowControl w:val="0"/>
        <w:adjustRightInd w:val="0"/>
        <w:snapToGrid w:val="0"/>
        <w:spacing w:line="390" w:lineRule="atLeast"/>
        <w:rPr>
          <w:rFonts w:hint="eastAsia" w:ascii="宋体" w:hAnsi="宋体" w:eastAsia="宋体" w:cs="宋体"/>
          <w:b/>
          <w:color w:val="auto"/>
          <w:sz w:val="32"/>
          <w:szCs w:val="32"/>
          <w:highlight w:val="none"/>
        </w:rPr>
        <w:sectPr>
          <w:pgSz w:w="11906" w:h="16838"/>
          <w:pgMar w:top="1259" w:right="1287" w:bottom="1361" w:left="1622" w:header="709" w:footer="975" w:gutter="0"/>
          <w:cols w:space="720" w:num="1"/>
          <w:docGrid w:linePitch="360" w:charSpace="0"/>
        </w:sectPr>
      </w:pPr>
    </w:p>
    <w:p w14:paraId="155CDE11">
      <w:pPr>
        <w:pStyle w:val="18"/>
        <w:widowControl w:val="0"/>
        <w:adjustRightInd w:val="0"/>
        <w:snapToGrid w:val="0"/>
        <w:spacing w:line="390" w:lineRule="atLeast"/>
        <w:rPr>
          <w:rFonts w:hint="eastAsia" w:ascii="宋体" w:hAnsi="宋体" w:eastAsia="宋体" w:cs="宋体"/>
          <w:b/>
          <w:color w:val="auto"/>
          <w:sz w:val="32"/>
          <w:szCs w:val="32"/>
          <w:highlight w:val="none"/>
        </w:rPr>
      </w:pPr>
      <w:bookmarkStart w:id="37" w:name="_Hlk94088739"/>
      <w:r>
        <w:rPr>
          <w:rFonts w:hint="eastAsia" w:ascii="宋体" w:hAnsi="宋体" w:eastAsia="宋体" w:cs="宋体"/>
          <w:b/>
          <w:color w:val="auto"/>
          <w:sz w:val="32"/>
          <w:szCs w:val="32"/>
          <w:highlight w:val="none"/>
        </w:rPr>
        <w:t>商务技术文件：</w:t>
      </w:r>
    </w:p>
    <w:p w14:paraId="7308DB45">
      <w:pPr>
        <w:pStyle w:val="18"/>
        <w:widowControl w:val="0"/>
        <w:adjustRightInd w:val="0"/>
        <w:snapToGrid w:val="0"/>
        <w:spacing w:line="39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17798A9">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2.1投标函。</w:t>
      </w:r>
    </w:p>
    <w:p w14:paraId="7189A933">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2.2法定代表人（负责人）授权委托书（法定代表人或负责人亲自参加的仅须提供身份证复印件）；</w:t>
      </w:r>
    </w:p>
    <w:p w14:paraId="64B39C82">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2.3服务要求偏离表。（投标人拟提供的服务要求与</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中的要求不一致时，则必须在《服务要求偏离表》中予以明确，否则将视为投标人完全响应</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的要求，并以</w:t>
      </w: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作为合同条件。）</w:t>
      </w:r>
    </w:p>
    <w:p w14:paraId="4C90A820">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2.4投标产品技术参数明细表（均不含报价）。</w:t>
      </w:r>
    </w:p>
    <w:p w14:paraId="1A38A7C0">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2.5技术规格响应表。</w:t>
      </w:r>
    </w:p>
    <w:p w14:paraId="350CC9B3">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2.6项目实施人员一览表。</w:t>
      </w:r>
    </w:p>
    <w:p w14:paraId="5C9C9686">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2.7拟投入本项目的设备明细表。（如有）</w:t>
      </w:r>
    </w:p>
    <w:p w14:paraId="73333F70">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2.8服务</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（例：</w:t>
      </w:r>
      <w:r>
        <w:rPr>
          <w:rFonts w:hint="eastAsia" w:ascii="宋体" w:hAnsi="宋体" w:eastAsia="宋体" w:cs="宋体"/>
          <w:b w:val="0"/>
          <w:bCs w:val="0"/>
          <w:color w:val="auto"/>
          <w:sz w:val="24"/>
          <w:highlight w:val="none"/>
        </w:rPr>
        <w:t>供货保障和售后服务措施</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kern w:val="0"/>
          <w:sz w:val="24"/>
          <w:szCs w:val="24"/>
          <w:highlight w:val="none"/>
          <w:lang w:eastAsia="zh-CN"/>
        </w:rPr>
        <w:t>培训方案</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技术</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人员情况等</w:t>
      </w:r>
      <w:r>
        <w:rPr>
          <w:rFonts w:hint="eastAsia" w:ascii="宋体" w:hAnsi="宋体" w:eastAsia="宋体" w:cs="宋体"/>
          <w:color w:val="auto"/>
          <w:highlight w:val="none"/>
        </w:rPr>
        <w:t>，其他服务措施及承诺）。</w:t>
      </w:r>
    </w:p>
    <w:p w14:paraId="7421A28D">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2.9投标人情况：</w:t>
      </w:r>
    </w:p>
    <w:p w14:paraId="298ED437">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（1）单位简介；</w:t>
      </w:r>
    </w:p>
    <w:p w14:paraId="73B06789">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 w:val="24"/>
          <w:szCs w:val="24"/>
          <w:highlight w:val="none"/>
        </w:rPr>
        <w:t>投标人质量管理和质量保证体系及信用等方面的认证证书</w:t>
      </w:r>
      <w:r>
        <w:rPr>
          <w:rFonts w:hint="eastAsia" w:ascii="宋体" w:hAnsi="宋体" w:eastAsia="宋体" w:cs="宋体"/>
          <w:color w:val="auto"/>
          <w:highlight w:val="none"/>
        </w:rPr>
        <w:t>（如有）</w:t>
      </w:r>
    </w:p>
    <w:p w14:paraId="0FB1BCD9">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val="0"/>
          <w:bCs w:val="0"/>
          <w:color w:val="auto"/>
          <w:sz w:val="24"/>
          <w:szCs w:val="24"/>
          <w:highlight w:val="none"/>
        </w:rPr>
        <w:t>与投标产品相关的各项检测报告</w:t>
      </w:r>
      <w:r>
        <w:rPr>
          <w:rFonts w:hint="eastAsia" w:ascii="宋体" w:hAnsi="宋体" w:eastAsia="宋体" w:cs="宋体"/>
          <w:b w:val="0"/>
          <w:bCs w:val="0"/>
          <w:color w:val="auto"/>
          <w:sz w:val="24"/>
          <w:szCs w:val="24"/>
          <w:highlight w:val="none"/>
          <w:lang w:eastAsia="zh-CN"/>
        </w:rPr>
        <w:t>（如有）</w:t>
      </w:r>
    </w:p>
    <w:p w14:paraId="55EC26A5">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（3）同类业绩证明（如有）；</w:t>
      </w:r>
    </w:p>
    <w:p w14:paraId="44FD8124">
      <w:pPr>
        <w:widowControl w:val="0"/>
        <w:adjustRightInd w:val="0"/>
        <w:snapToGrid w:val="0"/>
        <w:spacing w:line="360" w:lineRule="auto"/>
        <w:ind w:firstLine="537" w:firstLineChars="224"/>
        <w:rPr>
          <w:rFonts w:hint="eastAsia" w:ascii="宋体" w:hAnsi="宋体" w:eastAsia="宋体" w:cs="宋体"/>
          <w:color w:val="auto"/>
          <w:highlight w:val="none"/>
        </w:rPr>
      </w:pPr>
      <w:r>
        <w:rPr>
          <w:rFonts w:hint="eastAsia" w:ascii="宋体" w:hAnsi="宋体" w:eastAsia="宋体" w:cs="宋体"/>
          <w:color w:val="auto"/>
          <w:highlight w:val="none"/>
        </w:rPr>
        <w:t>2.10评标标准相应的商务技术资料。</w:t>
      </w:r>
    </w:p>
    <w:p w14:paraId="62D26585">
      <w:pPr>
        <w:pStyle w:val="20"/>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2.11 评标办法中所述的其他评分证明资料。</w:t>
      </w:r>
    </w:p>
    <w:p w14:paraId="04D573F5">
      <w:pPr>
        <w:widowControl w:val="0"/>
        <w:adjustRightInd w:val="0"/>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资格文件和商务技术文件不得出现报价，否则作无效标处理。</w:t>
      </w:r>
    </w:p>
    <w:p w14:paraId="114E3A58">
      <w:pPr>
        <w:shd w:val="clear" w:color="auto" w:fill="FFFFFF"/>
        <w:snapToGrid w:val="0"/>
        <w:spacing w:after="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评分索引表</w:t>
      </w:r>
    </w:p>
    <w:tbl>
      <w:tblPr>
        <w:tblStyle w:val="21"/>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14:paraId="3D97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14:paraId="636C043B">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序号</w:t>
            </w:r>
          </w:p>
        </w:tc>
        <w:tc>
          <w:tcPr>
            <w:tcW w:w="645" w:type="dxa"/>
            <w:noWrap w:val="0"/>
            <w:vAlign w:val="center"/>
          </w:tcPr>
          <w:p w14:paraId="1B6C03D8">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项目</w:t>
            </w:r>
          </w:p>
        </w:tc>
        <w:tc>
          <w:tcPr>
            <w:tcW w:w="4821" w:type="dxa"/>
            <w:noWrap w:val="0"/>
            <w:vAlign w:val="center"/>
          </w:tcPr>
          <w:p w14:paraId="11874AAE">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评分标准</w:t>
            </w:r>
          </w:p>
        </w:tc>
        <w:tc>
          <w:tcPr>
            <w:tcW w:w="1270" w:type="dxa"/>
            <w:noWrap w:val="0"/>
            <w:vAlign w:val="center"/>
          </w:tcPr>
          <w:p w14:paraId="4D6D64C3">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分值</w:t>
            </w:r>
          </w:p>
        </w:tc>
        <w:tc>
          <w:tcPr>
            <w:tcW w:w="1858" w:type="dxa"/>
            <w:noWrap w:val="0"/>
            <w:vAlign w:val="center"/>
          </w:tcPr>
          <w:p w14:paraId="42210949">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自评分</w:t>
            </w:r>
          </w:p>
        </w:tc>
        <w:tc>
          <w:tcPr>
            <w:tcW w:w="721" w:type="dxa"/>
            <w:noWrap w:val="0"/>
            <w:vAlign w:val="center"/>
          </w:tcPr>
          <w:p w14:paraId="03D0A7DC">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页码</w:t>
            </w:r>
          </w:p>
        </w:tc>
      </w:tr>
      <w:tr w14:paraId="072A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14:paraId="125D3364">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645" w:type="dxa"/>
            <w:noWrap w:val="0"/>
            <w:vAlign w:val="center"/>
          </w:tcPr>
          <w:p w14:paraId="69C0CEFB">
            <w:pPr>
              <w:keepNext/>
              <w:tabs>
                <w:tab w:val="left" w:pos="3808"/>
              </w:tabs>
              <w:adjustRightInd w:val="0"/>
              <w:snapToGrid w:val="0"/>
              <w:spacing w:before="60" w:after="6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p>
        </w:tc>
        <w:tc>
          <w:tcPr>
            <w:tcW w:w="4821" w:type="dxa"/>
            <w:noWrap w:val="0"/>
            <w:vAlign w:val="center"/>
          </w:tcPr>
          <w:p w14:paraId="36FC818A">
            <w:pPr>
              <w:keepNext/>
              <w:tabs>
                <w:tab w:val="left" w:pos="3808"/>
              </w:tabs>
              <w:adjustRightInd w:val="0"/>
              <w:snapToGrid w:val="0"/>
              <w:spacing w:before="60" w:after="6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…（请按技术评分标准填写）</w:t>
            </w:r>
          </w:p>
        </w:tc>
        <w:tc>
          <w:tcPr>
            <w:tcW w:w="1270" w:type="dxa"/>
            <w:noWrap w:val="0"/>
            <w:vAlign w:val="center"/>
          </w:tcPr>
          <w:p w14:paraId="319B2A0C">
            <w:pPr>
              <w:keepNext/>
              <w:tabs>
                <w:tab w:val="left" w:pos="3808"/>
              </w:tabs>
              <w:adjustRightInd w:val="0"/>
              <w:snapToGrid w:val="0"/>
              <w:spacing w:before="60" w:after="60"/>
              <w:jc w:val="center"/>
              <w:rPr>
                <w:rFonts w:hint="eastAsia" w:ascii="宋体" w:hAnsi="宋体" w:eastAsia="宋体" w:cs="宋体"/>
                <w:bCs/>
                <w:color w:val="auto"/>
                <w:spacing w:val="20"/>
                <w:kern w:val="2"/>
                <w:sz w:val="21"/>
                <w:szCs w:val="21"/>
                <w:highlight w:val="none"/>
              </w:rPr>
            </w:pPr>
          </w:p>
        </w:tc>
        <w:tc>
          <w:tcPr>
            <w:tcW w:w="1858" w:type="dxa"/>
            <w:noWrap w:val="0"/>
            <w:vAlign w:val="center"/>
          </w:tcPr>
          <w:p w14:paraId="548E6FC7">
            <w:pPr>
              <w:keepNext/>
              <w:tabs>
                <w:tab w:val="left" w:pos="3808"/>
              </w:tabs>
              <w:adjustRightInd w:val="0"/>
              <w:snapToGrid w:val="0"/>
              <w:spacing w:before="60" w:after="60"/>
              <w:jc w:val="center"/>
              <w:rPr>
                <w:rFonts w:hint="eastAsia" w:ascii="宋体" w:hAnsi="宋体" w:eastAsia="宋体" w:cs="宋体"/>
                <w:bCs/>
                <w:color w:val="auto"/>
                <w:spacing w:val="20"/>
                <w:kern w:val="2"/>
                <w:sz w:val="21"/>
                <w:szCs w:val="21"/>
                <w:highlight w:val="none"/>
              </w:rPr>
            </w:pPr>
          </w:p>
        </w:tc>
        <w:tc>
          <w:tcPr>
            <w:tcW w:w="721" w:type="dxa"/>
            <w:noWrap w:val="0"/>
            <w:vAlign w:val="center"/>
          </w:tcPr>
          <w:p w14:paraId="0448D090">
            <w:pPr>
              <w:keepNext/>
              <w:tabs>
                <w:tab w:val="left" w:pos="3808"/>
              </w:tabs>
              <w:adjustRightInd w:val="0"/>
              <w:snapToGrid w:val="0"/>
              <w:spacing w:before="60" w:after="60"/>
              <w:jc w:val="center"/>
              <w:rPr>
                <w:rFonts w:hint="eastAsia" w:ascii="宋体" w:hAnsi="宋体" w:eastAsia="宋体" w:cs="宋体"/>
                <w:bCs/>
                <w:color w:val="auto"/>
                <w:spacing w:val="20"/>
                <w:kern w:val="2"/>
                <w:sz w:val="21"/>
                <w:szCs w:val="21"/>
                <w:highlight w:val="none"/>
              </w:rPr>
            </w:pPr>
          </w:p>
        </w:tc>
      </w:tr>
      <w:tr w14:paraId="7D15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14:paraId="6CE84B1B">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645" w:type="dxa"/>
            <w:noWrap w:val="0"/>
            <w:vAlign w:val="center"/>
          </w:tcPr>
          <w:p w14:paraId="511B993F">
            <w:pPr>
              <w:keepNext/>
              <w:tabs>
                <w:tab w:val="left" w:pos="3808"/>
              </w:tabs>
              <w:adjustRightInd w:val="0"/>
              <w:snapToGrid w:val="0"/>
              <w:spacing w:before="60" w:after="6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p>
        </w:tc>
        <w:tc>
          <w:tcPr>
            <w:tcW w:w="4821" w:type="dxa"/>
            <w:noWrap w:val="0"/>
            <w:vAlign w:val="center"/>
          </w:tcPr>
          <w:p w14:paraId="4D403F67">
            <w:pPr>
              <w:keepNext/>
              <w:tabs>
                <w:tab w:val="left" w:pos="3808"/>
              </w:tabs>
              <w:adjustRightInd w:val="0"/>
              <w:snapToGrid w:val="0"/>
              <w:spacing w:before="60" w:after="6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p>
        </w:tc>
        <w:tc>
          <w:tcPr>
            <w:tcW w:w="1270" w:type="dxa"/>
            <w:noWrap w:val="0"/>
            <w:vAlign w:val="center"/>
          </w:tcPr>
          <w:p w14:paraId="17049275">
            <w:pPr>
              <w:keepNext/>
              <w:tabs>
                <w:tab w:val="left" w:pos="3808"/>
              </w:tabs>
              <w:adjustRightInd w:val="0"/>
              <w:snapToGrid w:val="0"/>
              <w:spacing w:before="60" w:after="60"/>
              <w:jc w:val="center"/>
              <w:rPr>
                <w:rFonts w:hint="eastAsia" w:ascii="宋体" w:hAnsi="宋体" w:eastAsia="宋体" w:cs="宋体"/>
                <w:bCs/>
                <w:color w:val="auto"/>
                <w:spacing w:val="20"/>
                <w:kern w:val="2"/>
                <w:sz w:val="21"/>
                <w:szCs w:val="21"/>
                <w:highlight w:val="none"/>
              </w:rPr>
            </w:pPr>
          </w:p>
        </w:tc>
        <w:tc>
          <w:tcPr>
            <w:tcW w:w="1858" w:type="dxa"/>
            <w:noWrap w:val="0"/>
            <w:vAlign w:val="center"/>
          </w:tcPr>
          <w:p w14:paraId="6CB86A5E">
            <w:pPr>
              <w:keepNext/>
              <w:tabs>
                <w:tab w:val="left" w:pos="3808"/>
              </w:tabs>
              <w:adjustRightInd w:val="0"/>
              <w:snapToGrid w:val="0"/>
              <w:spacing w:before="60" w:after="60"/>
              <w:jc w:val="center"/>
              <w:rPr>
                <w:rFonts w:hint="eastAsia" w:ascii="宋体" w:hAnsi="宋体" w:eastAsia="宋体" w:cs="宋体"/>
                <w:bCs/>
                <w:color w:val="auto"/>
                <w:spacing w:val="20"/>
                <w:kern w:val="2"/>
                <w:sz w:val="21"/>
                <w:szCs w:val="21"/>
                <w:highlight w:val="none"/>
              </w:rPr>
            </w:pPr>
          </w:p>
        </w:tc>
        <w:tc>
          <w:tcPr>
            <w:tcW w:w="721" w:type="dxa"/>
            <w:noWrap w:val="0"/>
            <w:vAlign w:val="center"/>
          </w:tcPr>
          <w:p w14:paraId="10AAE1AC">
            <w:pPr>
              <w:keepNext/>
              <w:tabs>
                <w:tab w:val="left" w:pos="3808"/>
              </w:tabs>
              <w:adjustRightInd w:val="0"/>
              <w:snapToGrid w:val="0"/>
              <w:spacing w:before="60" w:after="60"/>
              <w:jc w:val="center"/>
              <w:rPr>
                <w:rFonts w:hint="eastAsia" w:ascii="宋体" w:hAnsi="宋体" w:eastAsia="宋体" w:cs="宋体"/>
                <w:bCs/>
                <w:color w:val="auto"/>
                <w:spacing w:val="20"/>
                <w:kern w:val="2"/>
                <w:sz w:val="21"/>
                <w:szCs w:val="21"/>
                <w:highlight w:val="none"/>
              </w:rPr>
            </w:pPr>
          </w:p>
        </w:tc>
      </w:tr>
    </w:tbl>
    <w:p w14:paraId="37707EA1">
      <w:pPr>
        <w:shd w:val="clear" w:color="auto" w:fill="FFFFFF"/>
        <w:snapToGrid w:val="0"/>
        <w:spacing w:after="50"/>
        <w:rPr>
          <w:rFonts w:hint="eastAsia" w:ascii="宋体" w:hAnsi="宋体" w:eastAsia="宋体" w:cs="宋体"/>
          <w:color w:val="auto"/>
          <w:szCs w:val="20"/>
          <w:highlight w:val="none"/>
        </w:rPr>
      </w:pPr>
      <w:r>
        <w:rPr>
          <w:rFonts w:hint="eastAsia" w:ascii="宋体" w:hAnsi="宋体" w:eastAsia="宋体" w:cs="宋体"/>
          <w:b/>
          <w:color w:val="auto"/>
          <w:spacing w:val="-4"/>
          <w:sz w:val="21"/>
          <w:szCs w:val="21"/>
          <w:highlight w:val="none"/>
        </w:rPr>
        <w:t>备注：该表格仅为方便评标之用，表格放置在技术文件目录的前页，以方便评标委员会进行评审。</w:t>
      </w:r>
    </w:p>
    <w:p w14:paraId="434FD599">
      <w:pPr>
        <w:shd w:val="clear" w:color="auto" w:fill="FFFFFF"/>
        <w:spacing w:before="100" w:beforeAutospacing="1" w:after="100" w:afterAutospacing="1" w:line="500" w:lineRule="atLeast"/>
        <w:jc w:val="center"/>
        <w:rPr>
          <w:rFonts w:hint="eastAsia" w:ascii="宋体" w:hAnsi="宋体" w:eastAsia="宋体" w:cs="宋体"/>
          <w:b/>
          <w:color w:val="auto"/>
          <w:sz w:val="32"/>
          <w:szCs w:val="32"/>
          <w:highlight w:val="none"/>
        </w:rPr>
        <w:sectPr>
          <w:pgSz w:w="11906" w:h="16838"/>
          <w:pgMar w:top="1259" w:right="1287" w:bottom="1361" w:left="1622" w:header="709" w:footer="975" w:gutter="0"/>
          <w:cols w:space="720" w:num="1"/>
          <w:docGrid w:linePitch="360" w:charSpace="0"/>
        </w:sectPr>
      </w:pPr>
    </w:p>
    <w:p w14:paraId="3A026040">
      <w:pPr>
        <w:shd w:val="clear" w:color="auto" w:fill="FFFFFF"/>
        <w:spacing w:before="100" w:beforeAutospacing="1" w:after="100" w:afterAutospacing="1" w:line="50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一、投标函</w:t>
      </w:r>
    </w:p>
    <w:p w14:paraId="3C81ED0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p>
    <w:p w14:paraId="6400069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我方参加你方组织的</w:t>
      </w:r>
      <w:r>
        <w:rPr>
          <w:rFonts w:hint="eastAsia" w:ascii="宋体" w:hAnsi="宋体" w:eastAsia="宋体" w:cs="宋体"/>
          <w:color w:val="auto"/>
          <w:highlight w:val="none"/>
          <w:u w:val="single"/>
        </w:rPr>
        <w:t>（项目名称）        （项目编号：      ）</w:t>
      </w:r>
      <w:r>
        <w:rPr>
          <w:rFonts w:hint="eastAsia" w:ascii="宋体" w:hAnsi="宋体" w:eastAsia="宋体" w:cs="宋体"/>
          <w:color w:val="auto"/>
          <w:highlight w:val="none"/>
        </w:rPr>
        <w:t>招标的有关活动，并对此项目进行投标。为此：</w:t>
      </w:r>
    </w:p>
    <w:p w14:paraId="3C9566C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1.我方承诺投标有效期从提交投标文件的截止之日起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14:paraId="429FFA3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2.我方的投标文件包括以下内容：</w:t>
      </w:r>
    </w:p>
    <w:p w14:paraId="1BE18F3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2.1资格文件</w:t>
      </w:r>
    </w:p>
    <w:p w14:paraId="297209C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14:paraId="4FEDF5A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14:paraId="5800611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3.我方承诺除偏离表列出的负偏离外，我方响应招标文件的全部要求。</w:t>
      </w:r>
    </w:p>
    <w:p w14:paraId="3F20E8E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14:paraId="324B979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4.1在收到中标通知书后，在中标通知书规定的期限内与你方签订合同； </w:t>
      </w:r>
    </w:p>
    <w:p w14:paraId="0462283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14:paraId="73B9AE0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4.3按照招标文件要求提交履约保证金； </w:t>
      </w:r>
    </w:p>
    <w:p w14:paraId="6FD0DA7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14:paraId="31972CA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416688">
      <w:pPr>
        <w:snapToGrid w:val="0"/>
        <w:spacing w:line="360" w:lineRule="auto"/>
        <w:ind w:firstLine="480" w:firstLineChars="200"/>
        <w:rPr>
          <w:rFonts w:hint="eastAsia" w:ascii="宋体" w:hAnsi="宋体" w:eastAsia="宋体" w:cs="宋体"/>
          <w:color w:val="auto"/>
          <w:highlight w:val="none"/>
        </w:rPr>
      </w:pPr>
    </w:p>
    <w:p w14:paraId="678F6738">
      <w:pPr>
        <w:pStyle w:val="13"/>
        <w:widowControl w:val="0"/>
        <w:adjustRightInd w:val="0"/>
        <w:snapToGrid w:val="0"/>
        <w:spacing w:before="0" w:beforeAutospacing="0" w:after="0" w:afterAutospacing="0"/>
        <w:ind w:firstLine="900" w:firstLineChars="375"/>
        <w:jc w:val="right"/>
        <w:rPr>
          <w:rFonts w:hint="eastAsia" w:ascii="宋体" w:hAnsi="宋体" w:eastAsia="宋体" w:cs="宋体"/>
          <w:color w:val="auto"/>
          <w:highlight w:val="none"/>
        </w:rPr>
      </w:pPr>
    </w:p>
    <w:p w14:paraId="4A01D791">
      <w:pPr>
        <w:pStyle w:val="13"/>
        <w:widowControl w:val="0"/>
        <w:adjustRightInd w:val="0"/>
        <w:snapToGrid w:val="0"/>
        <w:spacing w:before="0" w:beforeAutospacing="0" w:after="0" w:afterAutospacing="0"/>
        <w:ind w:firstLine="900" w:firstLineChars="375"/>
        <w:jc w:val="right"/>
        <w:rPr>
          <w:rFonts w:hint="eastAsia" w:ascii="宋体" w:hAnsi="宋体" w:eastAsia="宋体" w:cs="宋体"/>
          <w:color w:val="auto"/>
          <w:highlight w:val="none"/>
        </w:rPr>
      </w:pPr>
    </w:p>
    <w:p w14:paraId="64E1BE5E">
      <w:pPr>
        <w:pStyle w:val="13"/>
        <w:widowControl w:val="0"/>
        <w:adjustRightInd w:val="0"/>
        <w:snapToGrid w:val="0"/>
        <w:spacing w:before="0" w:beforeAutospacing="0" w:after="0" w:afterAutospacing="0"/>
        <w:ind w:firstLine="900" w:firstLineChars="375"/>
        <w:jc w:val="right"/>
        <w:rPr>
          <w:rFonts w:hint="eastAsia" w:ascii="宋体" w:hAnsi="宋体" w:eastAsia="宋体" w:cs="宋体"/>
          <w:color w:val="auto"/>
          <w:highlight w:val="none"/>
        </w:rPr>
      </w:pPr>
    </w:p>
    <w:p w14:paraId="5E1FEB94">
      <w:pPr>
        <w:pStyle w:val="13"/>
        <w:widowControl w:val="0"/>
        <w:adjustRightInd w:val="0"/>
        <w:snapToGrid w:val="0"/>
        <w:spacing w:before="0" w:beforeAutospacing="0" w:after="0" w:afterAutospacing="0" w:line="360" w:lineRule="auto"/>
        <w:ind w:firstLine="900" w:firstLineChars="375"/>
        <w:jc w:val="right"/>
        <w:rPr>
          <w:rFonts w:hint="eastAsia" w:ascii="宋体" w:hAnsi="宋体" w:eastAsia="宋体" w:cs="宋体"/>
          <w:color w:val="auto"/>
          <w:highlight w:val="none"/>
        </w:rPr>
      </w:pPr>
      <w:r>
        <w:rPr>
          <w:rFonts w:hint="eastAsia" w:ascii="宋体" w:hAnsi="宋体" w:eastAsia="宋体" w:cs="宋体"/>
          <w:color w:val="auto"/>
          <w:highlight w:val="none"/>
        </w:rPr>
        <w:t>投标人（电子签章）：__________________________</w:t>
      </w:r>
    </w:p>
    <w:p w14:paraId="6B565E75">
      <w:pPr>
        <w:pStyle w:val="13"/>
        <w:widowControl w:val="0"/>
        <w:adjustRightInd w:val="0"/>
        <w:snapToGrid w:val="0"/>
        <w:spacing w:before="0" w:beforeAutospacing="0" w:after="0" w:afterAutospacing="0"/>
        <w:ind w:firstLine="900" w:firstLineChars="375"/>
        <w:jc w:val="right"/>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r>
        <w:rPr>
          <w:rFonts w:hint="eastAsia" w:ascii="宋体" w:hAnsi="宋体" w:eastAsia="宋体" w:cs="宋体"/>
          <w:color w:val="auto"/>
          <w:highlight w:val="none"/>
        </w:rPr>
        <w:t>日期：____年____月____日</w:t>
      </w:r>
    </w:p>
    <w:p w14:paraId="1A32AFF3">
      <w:pPr>
        <w:pStyle w:val="18"/>
        <w:widowControl w:val="0"/>
        <w:adjustRightInd w:val="0"/>
        <w:snapToGrid w:val="0"/>
        <w:spacing w:line="39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二、授权委托书或法定代表人（单位负责人、自然人本人）身份证明</w:t>
      </w:r>
    </w:p>
    <w:p w14:paraId="11D15C7E">
      <w:pPr>
        <w:pStyle w:val="18"/>
        <w:widowControl w:val="0"/>
        <w:adjustRightInd w:val="0"/>
        <w:snapToGrid w:val="0"/>
        <w:spacing w:line="39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授权委托书（适用于非联合体投标）</w:t>
      </w:r>
    </w:p>
    <w:p w14:paraId="50E0133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14:paraId="2952687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现</w:t>
      </w:r>
      <w:r>
        <w:rPr>
          <w:rFonts w:hint="eastAsia" w:ascii="宋体" w:hAnsi="宋体" w:eastAsia="宋体" w:cs="宋体"/>
          <w:color w:val="auto"/>
          <w:highlight w:val="none"/>
          <w:lang w:val="zh-CN"/>
        </w:rPr>
        <w:t>委托</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（姓名）为我方代理人（身份证号码：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），以我方名义处理</w:t>
      </w:r>
      <w:r>
        <w:rPr>
          <w:rFonts w:hint="eastAsia" w:ascii="宋体" w:hAnsi="宋体" w:eastAsia="宋体" w:cs="宋体"/>
          <w:color w:val="auto"/>
          <w:highlight w:val="none"/>
          <w:u w:val="single"/>
        </w:rPr>
        <w:t>（项目名称）     （项目编号：</w:t>
      </w:r>
      <w:r>
        <w:rPr>
          <w:rFonts w:hint="eastAsia" w:ascii="宋体" w:hAnsi="宋体" w:eastAsia="宋体" w:cs="宋体"/>
          <w:color w:val="auto"/>
          <w:highlight w:val="none"/>
          <w:lang w:val="zh-CN"/>
        </w:rPr>
        <w:t>）政府采购投标的一切事项，其法律后果由我方承担。</w:t>
      </w:r>
    </w:p>
    <w:p w14:paraId="6981371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委托期限：自   年 月  日起至  年  月  日止。</w:t>
      </w:r>
    </w:p>
    <w:p w14:paraId="4964249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特此告知。</w:t>
      </w:r>
    </w:p>
    <w:p w14:paraId="5B48753A">
      <w:pPr>
        <w:pStyle w:val="20"/>
        <w:ind w:left="480" w:firstLine="480"/>
        <w:rPr>
          <w:rFonts w:hint="eastAsia" w:ascii="宋体" w:hAnsi="宋体" w:eastAsia="宋体" w:cs="宋体"/>
          <w:color w:val="auto"/>
          <w:highlight w:val="none"/>
        </w:rPr>
      </w:pPr>
    </w:p>
    <w:p w14:paraId="648D009C">
      <w:pPr>
        <w:pStyle w:val="20"/>
        <w:ind w:left="480" w:firstLine="480"/>
        <w:rPr>
          <w:rFonts w:hint="eastAsia" w:ascii="宋体" w:hAnsi="宋体" w:eastAsia="宋体" w:cs="宋体"/>
          <w:color w:val="auto"/>
          <w:highlight w:val="none"/>
        </w:rPr>
      </w:pPr>
    </w:p>
    <w:p w14:paraId="1EEF9EC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附：授权代表身份证复印件（正反面）</w:t>
      </w:r>
    </w:p>
    <w:p w14:paraId="774D1D5C">
      <w:pPr>
        <w:pStyle w:val="20"/>
        <w:ind w:left="480" w:firstLine="480"/>
        <w:rPr>
          <w:rFonts w:hint="eastAsia" w:ascii="宋体" w:hAnsi="宋体" w:eastAsia="宋体" w:cs="宋体"/>
          <w:color w:val="auto"/>
          <w:highlight w:val="none"/>
        </w:rPr>
      </w:pPr>
    </w:p>
    <w:p w14:paraId="41AED54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法定代表人身份证复印件（正反面）</w:t>
      </w:r>
    </w:p>
    <w:p w14:paraId="223D07A5">
      <w:pPr>
        <w:pStyle w:val="18"/>
        <w:widowControl w:val="0"/>
        <w:adjustRightInd w:val="0"/>
        <w:snapToGrid w:val="0"/>
        <w:spacing w:line="480" w:lineRule="auto"/>
        <w:rPr>
          <w:rFonts w:hint="eastAsia" w:ascii="宋体" w:hAnsi="宋体" w:eastAsia="宋体" w:cs="宋体"/>
          <w:color w:val="auto"/>
          <w:highlight w:val="none"/>
        </w:rPr>
      </w:pPr>
    </w:p>
    <w:p w14:paraId="7615525E">
      <w:pPr>
        <w:pStyle w:val="18"/>
        <w:widowControl w:val="0"/>
        <w:adjustRightInd w:val="0"/>
        <w:snapToGrid w:val="0"/>
        <w:spacing w:line="480" w:lineRule="auto"/>
        <w:rPr>
          <w:rFonts w:hint="eastAsia" w:ascii="宋体" w:hAnsi="宋体" w:eastAsia="宋体" w:cs="宋体"/>
          <w:color w:val="auto"/>
          <w:highlight w:val="none"/>
        </w:rPr>
      </w:pPr>
    </w:p>
    <w:p w14:paraId="5A0EF2D6">
      <w:pPr>
        <w:snapToGrid w:val="0"/>
        <w:spacing w:line="360" w:lineRule="auto"/>
        <w:ind w:left="4819" w:leftChars="2008"/>
        <w:rPr>
          <w:rFonts w:hint="eastAsia" w:ascii="宋体" w:hAnsi="宋体" w:eastAsia="宋体" w:cs="宋体"/>
          <w:color w:val="auto"/>
          <w:highlight w:val="none"/>
        </w:rPr>
      </w:pPr>
      <w:r>
        <w:rPr>
          <w:rFonts w:hint="eastAsia" w:ascii="宋体" w:hAnsi="宋体" w:eastAsia="宋体" w:cs="宋体"/>
          <w:color w:val="auto"/>
          <w:highlight w:val="none"/>
        </w:rPr>
        <w:t>单位名称（电子签章）：         </w:t>
      </w:r>
    </w:p>
    <w:p w14:paraId="67F91A3D">
      <w:pPr>
        <w:snapToGrid w:val="0"/>
        <w:spacing w:line="360" w:lineRule="auto"/>
        <w:ind w:left="4819" w:leftChars="2008"/>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法定代表人签字（或盖章或电子签章）：</w:t>
      </w:r>
    </w:p>
    <w:p w14:paraId="78723B13">
      <w:pPr>
        <w:pStyle w:val="20"/>
        <w:ind w:left="4819" w:leftChars="200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授权代表签字（或盖章或电子签章）：</w:t>
      </w:r>
    </w:p>
    <w:p w14:paraId="089549B0">
      <w:pPr>
        <w:snapToGrid w:val="0"/>
        <w:spacing w:line="360" w:lineRule="auto"/>
        <w:ind w:left="4819" w:leftChars="2008"/>
        <w:rPr>
          <w:rFonts w:hint="eastAsia" w:ascii="宋体" w:hAnsi="宋体" w:eastAsia="宋体" w:cs="宋体"/>
          <w:color w:val="auto"/>
          <w:highlight w:val="none"/>
        </w:rPr>
      </w:pPr>
      <w:r>
        <w:rPr>
          <w:rFonts w:hint="eastAsia" w:ascii="宋体" w:hAnsi="宋体" w:eastAsia="宋体" w:cs="宋体"/>
          <w:color w:val="auto"/>
          <w:highlight w:val="none"/>
        </w:rPr>
        <w:t> 年         月        日</w:t>
      </w:r>
    </w:p>
    <w:p w14:paraId="7AC5C655">
      <w:pPr>
        <w:snapToGrid w:val="0"/>
        <w:spacing w:line="360" w:lineRule="auto"/>
        <w:rPr>
          <w:rFonts w:hint="eastAsia" w:ascii="宋体" w:hAnsi="宋体" w:eastAsia="宋体" w:cs="宋体"/>
          <w:color w:val="auto"/>
          <w:highlight w:val="none"/>
        </w:rPr>
      </w:pPr>
    </w:p>
    <w:p w14:paraId="1001790F">
      <w:pPr>
        <w:snapToGrid w:val="0"/>
        <w:spacing w:line="360" w:lineRule="auto"/>
        <w:rPr>
          <w:rFonts w:hint="eastAsia" w:ascii="宋体" w:hAnsi="宋体" w:eastAsia="宋体" w:cs="宋体"/>
          <w:color w:val="auto"/>
          <w:highlight w:val="none"/>
        </w:rPr>
      </w:pPr>
    </w:p>
    <w:p w14:paraId="11ACB245">
      <w:pPr>
        <w:snapToGrid w:val="0"/>
        <w:spacing w:line="360" w:lineRule="auto"/>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p>
    <w:p w14:paraId="497FAE52">
      <w:pPr>
        <w:shd w:val="clear" w:color="auto" w:fill="FFFFFF"/>
        <w:spacing w:before="100" w:beforeAutospacing="1" w:after="100" w:afterAutospacing="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法定代表人、单位负责人或自然人本人的身份证明（适用于法定代表人、单位负责人或者自然人本人代表投标人参加投标）</w:t>
      </w:r>
    </w:p>
    <w:p w14:paraId="6CF2B54F">
      <w:pPr>
        <w:shd w:val="clear" w:color="auto" w:fill="FFFFFF"/>
        <w:spacing w:before="100" w:beforeAutospacing="1" w:after="100" w:afterAutospacing="1" w:line="500" w:lineRule="atLeast"/>
        <w:ind w:firstLine="358"/>
        <w:jc w:val="center"/>
        <w:rPr>
          <w:rFonts w:hint="eastAsia" w:ascii="宋体" w:hAnsi="宋体" w:eastAsia="宋体" w:cs="宋体"/>
          <w:color w:val="auto"/>
          <w:szCs w:val="28"/>
          <w:highlight w:val="none"/>
        </w:rPr>
        <w:sectPr>
          <w:headerReference r:id="rId8" w:type="default"/>
          <w:pgSz w:w="11906" w:h="16838"/>
          <w:pgMar w:top="1259" w:right="1287" w:bottom="1361" w:left="1622" w:header="709" w:footer="975" w:gutter="0"/>
          <w:cols w:space="720" w:num="1"/>
          <w:docGrid w:linePitch="360" w:charSpace="0"/>
        </w:sectPr>
      </w:pPr>
      <w:r>
        <w:rPr>
          <w:rFonts w:hint="eastAsia" w:ascii="宋体" w:hAnsi="宋体" w:eastAsia="宋体" w:cs="宋体"/>
          <w:color w:val="auto"/>
          <w:szCs w:val="28"/>
          <w:highlight w:val="none"/>
        </w:rPr>
        <w:t>仅提供身份证正反面即可</w:t>
      </w:r>
    </w:p>
    <w:p w14:paraId="54329522">
      <w:pPr>
        <w:pStyle w:val="18"/>
        <w:widowControl w:val="0"/>
        <w:adjustRightInd w:val="0"/>
        <w:snapToGrid w:val="0"/>
        <w:spacing w:line="39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三、服务条款偏离表</w:t>
      </w:r>
    </w:p>
    <w:p w14:paraId="13CD6F28">
      <w:pPr>
        <w:pStyle w:val="18"/>
        <w:widowControl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14:paraId="7F56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7C44D2F4">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80" w:type="dxa"/>
            <w:noWrap w:val="0"/>
            <w:vAlign w:val="center"/>
          </w:tcPr>
          <w:p w14:paraId="5E70F3A2">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要求</w:t>
            </w:r>
          </w:p>
        </w:tc>
        <w:tc>
          <w:tcPr>
            <w:tcW w:w="2773" w:type="dxa"/>
            <w:noWrap w:val="0"/>
            <w:vAlign w:val="center"/>
          </w:tcPr>
          <w:p w14:paraId="5681F8C7">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投标响应内容</w:t>
            </w:r>
          </w:p>
        </w:tc>
        <w:tc>
          <w:tcPr>
            <w:tcW w:w="1452" w:type="dxa"/>
            <w:noWrap w:val="0"/>
            <w:vAlign w:val="center"/>
          </w:tcPr>
          <w:p w14:paraId="6EA5E9C0">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c>
          <w:tcPr>
            <w:tcW w:w="1134" w:type="dxa"/>
            <w:noWrap w:val="0"/>
            <w:vAlign w:val="center"/>
          </w:tcPr>
          <w:p w14:paraId="505590EC">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89C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5CCB9780">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80" w:type="dxa"/>
            <w:noWrap w:val="0"/>
            <w:vAlign w:val="center"/>
          </w:tcPr>
          <w:p w14:paraId="4BC5A013">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（交货要求）</w:t>
            </w:r>
          </w:p>
        </w:tc>
        <w:tc>
          <w:tcPr>
            <w:tcW w:w="2773" w:type="dxa"/>
            <w:noWrap w:val="0"/>
            <w:vAlign w:val="center"/>
          </w:tcPr>
          <w:p w14:paraId="2443F26B">
            <w:pPr>
              <w:pStyle w:val="18"/>
              <w:widowControl w:val="0"/>
              <w:adjustRightInd w:val="0"/>
              <w:snapToGrid w:val="0"/>
              <w:jc w:val="both"/>
              <w:rPr>
                <w:rFonts w:hint="eastAsia" w:ascii="宋体" w:hAnsi="宋体" w:eastAsia="宋体" w:cs="宋体"/>
                <w:color w:val="auto"/>
                <w:highlight w:val="none"/>
              </w:rPr>
            </w:pPr>
          </w:p>
        </w:tc>
        <w:tc>
          <w:tcPr>
            <w:tcW w:w="1452" w:type="dxa"/>
            <w:noWrap w:val="0"/>
            <w:vAlign w:val="center"/>
          </w:tcPr>
          <w:p w14:paraId="25958BAE">
            <w:pPr>
              <w:pStyle w:val="18"/>
              <w:widowControl w:val="0"/>
              <w:adjustRightInd w:val="0"/>
              <w:snapToGrid w:val="0"/>
              <w:jc w:val="center"/>
              <w:rPr>
                <w:rFonts w:hint="eastAsia" w:ascii="宋体" w:hAnsi="宋体" w:eastAsia="宋体" w:cs="宋体"/>
                <w:color w:val="auto"/>
                <w:highlight w:val="none"/>
              </w:rPr>
            </w:pPr>
          </w:p>
        </w:tc>
        <w:tc>
          <w:tcPr>
            <w:tcW w:w="1134" w:type="dxa"/>
            <w:noWrap w:val="0"/>
            <w:vAlign w:val="center"/>
          </w:tcPr>
          <w:p w14:paraId="7532147F">
            <w:pPr>
              <w:pStyle w:val="18"/>
              <w:widowControl w:val="0"/>
              <w:adjustRightInd w:val="0"/>
              <w:snapToGrid w:val="0"/>
              <w:jc w:val="both"/>
              <w:rPr>
                <w:rFonts w:hint="eastAsia" w:ascii="宋体" w:hAnsi="宋体" w:eastAsia="宋体" w:cs="宋体"/>
                <w:color w:val="auto"/>
                <w:highlight w:val="none"/>
              </w:rPr>
            </w:pPr>
          </w:p>
        </w:tc>
      </w:tr>
      <w:tr w14:paraId="6F74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22260A96">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180" w:type="dxa"/>
            <w:noWrap w:val="0"/>
            <w:vAlign w:val="center"/>
          </w:tcPr>
          <w:p w14:paraId="00FED06F">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（售后要求）</w:t>
            </w:r>
          </w:p>
        </w:tc>
        <w:tc>
          <w:tcPr>
            <w:tcW w:w="2773" w:type="dxa"/>
            <w:noWrap w:val="0"/>
            <w:vAlign w:val="center"/>
          </w:tcPr>
          <w:p w14:paraId="57296DA8">
            <w:pPr>
              <w:pStyle w:val="18"/>
              <w:widowControl w:val="0"/>
              <w:adjustRightInd w:val="0"/>
              <w:snapToGrid w:val="0"/>
              <w:jc w:val="both"/>
              <w:rPr>
                <w:rFonts w:hint="eastAsia" w:ascii="宋体" w:hAnsi="宋体" w:eastAsia="宋体" w:cs="宋体"/>
                <w:color w:val="auto"/>
                <w:highlight w:val="none"/>
              </w:rPr>
            </w:pPr>
          </w:p>
        </w:tc>
        <w:tc>
          <w:tcPr>
            <w:tcW w:w="1452" w:type="dxa"/>
            <w:noWrap w:val="0"/>
            <w:vAlign w:val="center"/>
          </w:tcPr>
          <w:p w14:paraId="66EEE801">
            <w:pPr>
              <w:pStyle w:val="18"/>
              <w:widowControl w:val="0"/>
              <w:adjustRightInd w:val="0"/>
              <w:snapToGrid w:val="0"/>
              <w:jc w:val="center"/>
              <w:rPr>
                <w:rFonts w:hint="eastAsia" w:ascii="宋体" w:hAnsi="宋体" w:eastAsia="宋体" w:cs="宋体"/>
                <w:color w:val="auto"/>
                <w:highlight w:val="none"/>
              </w:rPr>
            </w:pPr>
          </w:p>
        </w:tc>
        <w:tc>
          <w:tcPr>
            <w:tcW w:w="1134" w:type="dxa"/>
            <w:noWrap w:val="0"/>
            <w:vAlign w:val="center"/>
          </w:tcPr>
          <w:p w14:paraId="64771472">
            <w:pPr>
              <w:pStyle w:val="18"/>
              <w:widowControl w:val="0"/>
              <w:adjustRightInd w:val="0"/>
              <w:snapToGrid w:val="0"/>
              <w:jc w:val="both"/>
              <w:rPr>
                <w:rFonts w:hint="eastAsia" w:ascii="宋体" w:hAnsi="宋体" w:eastAsia="宋体" w:cs="宋体"/>
                <w:color w:val="auto"/>
                <w:highlight w:val="none"/>
              </w:rPr>
            </w:pPr>
          </w:p>
        </w:tc>
      </w:tr>
      <w:tr w14:paraId="52D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090A3DA9">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180" w:type="dxa"/>
            <w:noWrap w:val="0"/>
            <w:vAlign w:val="center"/>
          </w:tcPr>
          <w:p w14:paraId="40A77F4B">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（付款方式）</w:t>
            </w:r>
          </w:p>
        </w:tc>
        <w:tc>
          <w:tcPr>
            <w:tcW w:w="2773" w:type="dxa"/>
            <w:noWrap w:val="0"/>
            <w:vAlign w:val="center"/>
          </w:tcPr>
          <w:p w14:paraId="7D6F3B65">
            <w:pPr>
              <w:pStyle w:val="18"/>
              <w:widowControl w:val="0"/>
              <w:adjustRightInd w:val="0"/>
              <w:snapToGrid w:val="0"/>
              <w:jc w:val="both"/>
              <w:rPr>
                <w:rFonts w:hint="eastAsia" w:ascii="宋体" w:hAnsi="宋体" w:eastAsia="宋体" w:cs="宋体"/>
                <w:color w:val="auto"/>
                <w:highlight w:val="none"/>
              </w:rPr>
            </w:pPr>
          </w:p>
        </w:tc>
        <w:tc>
          <w:tcPr>
            <w:tcW w:w="1452" w:type="dxa"/>
            <w:noWrap w:val="0"/>
            <w:vAlign w:val="center"/>
          </w:tcPr>
          <w:p w14:paraId="6CF0F7C0">
            <w:pPr>
              <w:pStyle w:val="18"/>
              <w:widowControl w:val="0"/>
              <w:adjustRightInd w:val="0"/>
              <w:snapToGrid w:val="0"/>
              <w:jc w:val="both"/>
              <w:rPr>
                <w:rFonts w:hint="eastAsia" w:ascii="宋体" w:hAnsi="宋体" w:eastAsia="宋体" w:cs="宋体"/>
                <w:color w:val="auto"/>
                <w:highlight w:val="none"/>
              </w:rPr>
            </w:pPr>
          </w:p>
        </w:tc>
        <w:tc>
          <w:tcPr>
            <w:tcW w:w="1134" w:type="dxa"/>
            <w:noWrap w:val="0"/>
            <w:vAlign w:val="center"/>
          </w:tcPr>
          <w:p w14:paraId="18E4AB7F">
            <w:pPr>
              <w:pStyle w:val="18"/>
              <w:widowControl w:val="0"/>
              <w:adjustRightInd w:val="0"/>
              <w:snapToGrid w:val="0"/>
              <w:jc w:val="both"/>
              <w:rPr>
                <w:rFonts w:hint="eastAsia" w:ascii="宋体" w:hAnsi="宋体" w:eastAsia="宋体" w:cs="宋体"/>
                <w:color w:val="auto"/>
                <w:highlight w:val="none"/>
              </w:rPr>
            </w:pPr>
          </w:p>
        </w:tc>
      </w:tr>
      <w:tr w14:paraId="5A71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36965337">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180" w:type="dxa"/>
            <w:noWrap w:val="0"/>
            <w:vAlign w:val="center"/>
          </w:tcPr>
          <w:p w14:paraId="2168BAEF">
            <w:pPr>
              <w:pStyle w:val="18"/>
              <w:widowControl w:val="0"/>
              <w:adjustRightInd w:val="0"/>
              <w:snapToGrid w:val="0"/>
              <w:jc w:val="center"/>
              <w:rPr>
                <w:rFonts w:hint="eastAsia" w:ascii="宋体" w:hAnsi="宋体" w:eastAsia="宋体" w:cs="宋体"/>
                <w:color w:val="auto"/>
                <w:highlight w:val="none"/>
              </w:rPr>
            </w:pPr>
          </w:p>
        </w:tc>
        <w:tc>
          <w:tcPr>
            <w:tcW w:w="2773" w:type="dxa"/>
            <w:noWrap w:val="0"/>
            <w:vAlign w:val="center"/>
          </w:tcPr>
          <w:p w14:paraId="06B48453">
            <w:pPr>
              <w:pStyle w:val="18"/>
              <w:widowControl w:val="0"/>
              <w:adjustRightInd w:val="0"/>
              <w:snapToGrid w:val="0"/>
              <w:jc w:val="both"/>
              <w:rPr>
                <w:rFonts w:hint="eastAsia" w:ascii="宋体" w:hAnsi="宋体" w:eastAsia="宋体" w:cs="宋体"/>
                <w:color w:val="auto"/>
                <w:highlight w:val="none"/>
              </w:rPr>
            </w:pPr>
          </w:p>
        </w:tc>
        <w:tc>
          <w:tcPr>
            <w:tcW w:w="1452" w:type="dxa"/>
            <w:noWrap w:val="0"/>
            <w:vAlign w:val="center"/>
          </w:tcPr>
          <w:p w14:paraId="7F19D91C">
            <w:pPr>
              <w:pStyle w:val="18"/>
              <w:widowControl w:val="0"/>
              <w:adjustRightInd w:val="0"/>
              <w:snapToGrid w:val="0"/>
              <w:jc w:val="both"/>
              <w:rPr>
                <w:rFonts w:hint="eastAsia" w:ascii="宋体" w:hAnsi="宋体" w:eastAsia="宋体" w:cs="宋体"/>
                <w:color w:val="auto"/>
                <w:highlight w:val="none"/>
              </w:rPr>
            </w:pPr>
          </w:p>
        </w:tc>
        <w:tc>
          <w:tcPr>
            <w:tcW w:w="1134" w:type="dxa"/>
            <w:noWrap w:val="0"/>
            <w:vAlign w:val="center"/>
          </w:tcPr>
          <w:p w14:paraId="2D1826E5">
            <w:pPr>
              <w:pStyle w:val="18"/>
              <w:widowControl w:val="0"/>
              <w:adjustRightInd w:val="0"/>
              <w:snapToGrid w:val="0"/>
              <w:jc w:val="both"/>
              <w:rPr>
                <w:rFonts w:hint="eastAsia" w:ascii="宋体" w:hAnsi="宋体" w:eastAsia="宋体" w:cs="宋体"/>
                <w:color w:val="auto"/>
                <w:highlight w:val="none"/>
              </w:rPr>
            </w:pPr>
          </w:p>
        </w:tc>
      </w:tr>
      <w:tr w14:paraId="2653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3697F318">
            <w:pPr>
              <w:pStyle w:val="18"/>
              <w:widowControl w:val="0"/>
              <w:adjustRightInd w:val="0"/>
              <w:snapToGrid w:val="0"/>
              <w:jc w:val="center"/>
              <w:rPr>
                <w:rFonts w:hint="eastAsia" w:ascii="宋体" w:hAnsi="宋体" w:eastAsia="宋体" w:cs="宋体"/>
                <w:color w:val="auto"/>
                <w:highlight w:val="none"/>
              </w:rPr>
            </w:pPr>
          </w:p>
        </w:tc>
        <w:tc>
          <w:tcPr>
            <w:tcW w:w="3180" w:type="dxa"/>
            <w:noWrap w:val="0"/>
            <w:vAlign w:val="center"/>
          </w:tcPr>
          <w:p w14:paraId="62C6AB62">
            <w:pPr>
              <w:pStyle w:val="18"/>
              <w:widowControl w:val="0"/>
              <w:adjustRightInd w:val="0"/>
              <w:snapToGrid w:val="0"/>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773" w:type="dxa"/>
            <w:noWrap w:val="0"/>
            <w:vAlign w:val="center"/>
          </w:tcPr>
          <w:p w14:paraId="2DF0E07C">
            <w:pPr>
              <w:pStyle w:val="18"/>
              <w:widowControl w:val="0"/>
              <w:adjustRightInd w:val="0"/>
              <w:snapToGrid w:val="0"/>
              <w:jc w:val="both"/>
              <w:rPr>
                <w:rFonts w:hint="eastAsia" w:ascii="宋体" w:hAnsi="宋体" w:eastAsia="宋体" w:cs="宋体"/>
                <w:color w:val="auto"/>
                <w:highlight w:val="none"/>
              </w:rPr>
            </w:pPr>
          </w:p>
        </w:tc>
        <w:tc>
          <w:tcPr>
            <w:tcW w:w="1452" w:type="dxa"/>
            <w:noWrap w:val="0"/>
            <w:vAlign w:val="center"/>
          </w:tcPr>
          <w:p w14:paraId="6CB97DCD">
            <w:pPr>
              <w:pStyle w:val="18"/>
              <w:widowControl w:val="0"/>
              <w:adjustRightInd w:val="0"/>
              <w:snapToGrid w:val="0"/>
              <w:jc w:val="both"/>
              <w:rPr>
                <w:rFonts w:hint="eastAsia" w:ascii="宋体" w:hAnsi="宋体" w:eastAsia="宋体" w:cs="宋体"/>
                <w:color w:val="auto"/>
                <w:highlight w:val="none"/>
              </w:rPr>
            </w:pPr>
          </w:p>
        </w:tc>
        <w:tc>
          <w:tcPr>
            <w:tcW w:w="1134" w:type="dxa"/>
            <w:noWrap w:val="0"/>
            <w:vAlign w:val="center"/>
          </w:tcPr>
          <w:p w14:paraId="0343A6C5">
            <w:pPr>
              <w:pStyle w:val="18"/>
              <w:widowControl w:val="0"/>
              <w:adjustRightInd w:val="0"/>
              <w:snapToGrid w:val="0"/>
              <w:jc w:val="both"/>
              <w:rPr>
                <w:rFonts w:hint="eastAsia" w:ascii="宋体" w:hAnsi="宋体" w:eastAsia="宋体" w:cs="宋体"/>
                <w:color w:val="auto"/>
                <w:highlight w:val="none"/>
              </w:rPr>
            </w:pPr>
          </w:p>
        </w:tc>
      </w:tr>
    </w:tbl>
    <w:p w14:paraId="081E3154">
      <w:pPr>
        <w:pStyle w:val="13"/>
        <w:widowControl w:val="0"/>
        <w:adjustRightInd w:val="0"/>
        <w:snapToGrid w:val="0"/>
        <w:spacing w:before="0" w:beforeAutospacing="0" w:after="0" w:afterAutospacing="0" w:line="360" w:lineRule="auto"/>
        <w:rPr>
          <w:rFonts w:hint="eastAsia" w:ascii="宋体" w:hAnsi="宋体" w:eastAsia="宋体" w:cs="宋体"/>
          <w:color w:val="auto"/>
          <w:highlight w:val="none"/>
        </w:rPr>
      </w:pPr>
    </w:p>
    <w:p w14:paraId="2BF6492D">
      <w:pPr>
        <w:pStyle w:val="13"/>
        <w:widowControl w:val="0"/>
        <w:adjustRightInd w:val="0"/>
        <w:snapToGrid w:val="0"/>
        <w:spacing w:before="0" w:beforeAutospacing="0" w:after="0" w:afterAutospacing="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说明：1.投标人拟提供的服务承诺与招标文件中的要求不一致时，则必须在此表中予以明确。否则将视为投标人完全响应招标文件的要求，并以招标文件作为合同条件。</w:t>
      </w:r>
    </w:p>
    <w:p w14:paraId="7923FD23">
      <w:pPr>
        <w:pStyle w:val="13"/>
        <w:widowControl w:val="0"/>
        <w:adjustRightInd w:val="0"/>
        <w:snapToGrid w:val="0"/>
        <w:spacing w:before="0" w:beforeAutospacing="0" w:after="0" w:afterAutospacing="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2.偏离情况分别为：正偏离、无偏离或负偏离。投标人可在备注栏内就偏离原因进行简要说明。</w:t>
      </w:r>
    </w:p>
    <w:p w14:paraId="60B974B7">
      <w:pPr>
        <w:pStyle w:val="13"/>
        <w:widowControl w:val="0"/>
        <w:adjustRightInd w:val="0"/>
        <w:snapToGrid w:val="0"/>
        <w:spacing w:before="0" w:beforeAutospacing="0" w:after="0" w:afterAutospacing="0"/>
        <w:rPr>
          <w:rFonts w:hint="eastAsia" w:ascii="宋体" w:hAnsi="宋体" w:eastAsia="宋体" w:cs="宋体"/>
          <w:color w:val="auto"/>
          <w:highlight w:val="none"/>
        </w:rPr>
      </w:pPr>
    </w:p>
    <w:p w14:paraId="50840DEF">
      <w:pPr>
        <w:pStyle w:val="13"/>
        <w:widowControl w:val="0"/>
        <w:adjustRightInd w:val="0"/>
        <w:snapToGrid w:val="0"/>
        <w:spacing w:before="0" w:beforeAutospacing="0" w:after="0" w:afterAutospacing="0"/>
        <w:rPr>
          <w:rFonts w:hint="eastAsia" w:ascii="宋体" w:hAnsi="宋体" w:eastAsia="宋体" w:cs="宋体"/>
          <w:color w:val="auto"/>
          <w:highlight w:val="none"/>
        </w:rPr>
      </w:pPr>
    </w:p>
    <w:p w14:paraId="537D34A4">
      <w:pPr>
        <w:pStyle w:val="13"/>
        <w:widowControl w:val="0"/>
        <w:adjustRightInd w:val="0"/>
        <w:snapToGrid w:val="0"/>
        <w:spacing w:before="0" w:beforeAutospacing="0" w:after="0" w:afterAutospacing="0"/>
        <w:rPr>
          <w:rFonts w:hint="eastAsia" w:ascii="宋体" w:hAnsi="宋体" w:eastAsia="宋体" w:cs="宋体"/>
          <w:color w:val="auto"/>
          <w:highlight w:val="none"/>
        </w:rPr>
      </w:pPr>
    </w:p>
    <w:p w14:paraId="2CE36791">
      <w:pPr>
        <w:pStyle w:val="13"/>
        <w:widowControl w:val="0"/>
        <w:adjustRightInd w:val="0"/>
        <w:snapToGrid w:val="0"/>
        <w:spacing w:before="0" w:beforeAutospacing="0" w:after="0" w:afterAutospacing="0" w:line="360" w:lineRule="auto"/>
        <w:ind w:firstLine="3120" w:firstLineChars="1300"/>
        <w:rPr>
          <w:rFonts w:hint="eastAsia" w:ascii="宋体" w:hAnsi="宋体" w:eastAsia="宋体" w:cs="宋体"/>
          <w:color w:val="auto"/>
          <w:highlight w:val="none"/>
        </w:rPr>
      </w:pPr>
      <w:r>
        <w:rPr>
          <w:rFonts w:hint="eastAsia" w:ascii="宋体" w:hAnsi="宋体" w:eastAsia="宋体" w:cs="宋体"/>
          <w:color w:val="auto"/>
          <w:highlight w:val="none"/>
        </w:rPr>
        <w:t>投标人（电子签章）：__________________________</w:t>
      </w:r>
    </w:p>
    <w:p w14:paraId="3DF03037">
      <w:pPr>
        <w:shd w:val="clear" w:color="auto" w:fill="FFFFFF"/>
        <w:spacing w:before="100" w:beforeAutospacing="1" w:after="100" w:afterAutospacing="1" w:line="500" w:lineRule="atLeast"/>
        <w:ind w:firstLine="358"/>
        <w:jc w:val="center"/>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r>
        <w:rPr>
          <w:rFonts w:hint="eastAsia" w:ascii="宋体" w:hAnsi="宋体" w:eastAsia="宋体" w:cs="宋体"/>
          <w:color w:val="auto"/>
          <w:highlight w:val="none"/>
        </w:rPr>
        <w:t>日期：____年____月____日</w:t>
      </w:r>
    </w:p>
    <w:p w14:paraId="40EC7BB9">
      <w:pPr>
        <w:pStyle w:val="18"/>
        <w:widowControl w:val="0"/>
        <w:adjustRightInd w:val="0"/>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四、投标货物技术参数明细表</w:t>
      </w:r>
    </w:p>
    <w:tbl>
      <w:tblPr>
        <w:tblStyle w:val="21"/>
        <w:tblW w:w="15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879"/>
        <w:gridCol w:w="1560"/>
        <w:gridCol w:w="4988"/>
      </w:tblGrid>
      <w:tr w14:paraId="16D8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6090CC3B">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序号</w:t>
            </w:r>
          </w:p>
        </w:tc>
        <w:tc>
          <w:tcPr>
            <w:tcW w:w="3135" w:type="dxa"/>
            <w:noWrap w:val="0"/>
            <w:vAlign w:val="center"/>
          </w:tcPr>
          <w:p w14:paraId="21BB92A3">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标的名称</w:t>
            </w:r>
          </w:p>
        </w:tc>
        <w:tc>
          <w:tcPr>
            <w:tcW w:w="1196" w:type="dxa"/>
            <w:noWrap w:val="0"/>
            <w:vAlign w:val="center"/>
          </w:tcPr>
          <w:p w14:paraId="305635BA">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品牌</w:t>
            </w:r>
          </w:p>
        </w:tc>
        <w:tc>
          <w:tcPr>
            <w:tcW w:w="1879" w:type="dxa"/>
            <w:noWrap w:val="0"/>
            <w:vAlign w:val="center"/>
          </w:tcPr>
          <w:p w14:paraId="216073FA">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制造商全称</w:t>
            </w:r>
          </w:p>
        </w:tc>
        <w:tc>
          <w:tcPr>
            <w:tcW w:w="1879" w:type="dxa"/>
            <w:noWrap w:val="0"/>
            <w:vAlign w:val="center"/>
          </w:tcPr>
          <w:p w14:paraId="619D08C7">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型号规格</w:t>
            </w:r>
          </w:p>
        </w:tc>
        <w:tc>
          <w:tcPr>
            <w:tcW w:w="1560" w:type="dxa"/>
            <w:noWrap w:val="0"/>
            <w:vAlign w:val="center"/>
          </w:tcPr>
          <w:p w14:paraId="168A7D65">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数量（单位）</w:t>
            </w:r>
          </w:p>
        </w:tc>
        <w:tc>
          <w:tcPr>
            <w:tcW w:w="4988" w:type="dxa"/>
            <w:noWrap w:val="0"/>
            <w:vAlign w:val="center"/>
          </w:tcPr>
          <w:p w14:paraId="0FDAB8A0">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详细技术参数</w:t>
            </w:r>
          </w:p>
        </w:tc>
      </w:tr>
      <w:tr w14:paraId="4C22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7A1111E5">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1</w:t>
            </w:r>
          </w:p>
        </w:tc>
        <w:tc>
          <w:tcPr>
            <w:tcW w:w="3135" w:type="dxa"/>
            <w:noWrap w:val="0"/>
            <w:vAlign w:val="center"/>
          </w:tcPr>
          <w:p w14:paraId="62B577F5">
            <w:pPr>
              <w:pStyle w:val="18"/>
              <w:widowControl w:val="0"/>
              <w:adjustRightInd w:val="0"/>
              <w:snapToGrid w:val="0"/>
              <w:rPr>
                <w:rFonts w:hint="eastAsia" w:ascii="宋体" w:hAnsi="宋体" w:eastAsia="宋体" w:cs="宋体"/>
                <w:color w:val="auto"/>
                <w:sz w:val="21"/>
                <w:szCs w:val="44"/>
                <w:highlight w:val="none"/>
              </w:rPr>
            </w:pPr>
            <w:r>
              <w:rPr>
                <w:rFonts w:hint="eastAsia" w:ascii="宋体" w:hAnsi="宋体" w:eastAsia="宋体" w:cs="宋体"/>
                <w:color w:val="auto"/>
                <w:sz w:val="21"/>
                <w:szCs w:val="44"/>
                <w:highlight w:val="none"/>
              </w:rPr>
              <w:t xml:space="preserve"> </w:t>
            </w:r>
          </w:p>
        </w:tc>
        <w:tc>
          <w:tcPr>
            <w:tcW w:w="1196" w:type="dxa"/>
            <w:noWrap w:val="0"/>
            <w:vAlign w:val="center"/>
          </w:tcPr>
          <w:p w14:paraId="63E70A23">
            <w:pPr>
              <w:pStyle w:val="18"/>
              <w:widowControl w:val="0"/>
              <w:adjustRightInd w:val="0"/>
              <w:snapToGrid w:val="0"/>
              <w:jc w:val="center"/>
              <w:rPr>
                <w:rFonts w:hint="eastAsia" w:ascii="宋体" w:hAnsi="宋体" w:eastAsia="宋体" w:cs="宋体"/>
                <w:color w:val="auto"/>
                <w:sz w:val="21"/>
                <w:szCs w:val="44"/>
                <w:highlight w:val="none"/>
              </w:rPr>
            </w:pPr>
          </w:p>
        </w:tc>
        <w:tc>
          <w:tcPr>
            <w:tcW w:w="1879" w:type="dxa"/>
            <w:noWrap w:val="0"/>
            <w:vAlign w:val="center"/>
          </w:tcPr>
          <w:p w14:paraId="5D7776E0">
            <w:pPr>
              <w:pStyle w:val="18"/>
              <w:widowControl w:val="0"/>
              <w:adjustRightInd w:val="0"/>
              <w:snapToGrid w:val="0"/>
              <w:jc w:val="center"/>
              <w:rPr>
                <w:rFonts w:hint="eastAsia" w:ascii="宋体" w:hAnsi="宋体" w:eastAsia="宋体" w:cs="宋体"/>
                <w:b/>
                <w:color w:val="auto"/>
                <w:sz w:val="21"/>
                <w:szCs w:val="44"/>
                <w:highlight w:val="none"/>
              </w:rPr>
            </w:pPr>
          </w:p>
        </w:tc>
        <w:tc>
          <w:tcPr>
            <w:tcW w:w="1879" w:type="dxa"/>
            <w:noWrap w:val="0"/>
            <w:vAlign w:val="center"/>
          </w:tcPr>
          <w:p w14:paraId="15AB0BA4">
            <w:pPr>
              <w:pStyle w:val="18"/>
              <w:widowControl w:val="0"/>
              <w:adjustRightInd w:val="0"/>
              <w:snapToGrid w:val="0"/>
              <w:jc w:val="center"/>
              <w:rPr>
                <w:rFonts w:hint="eastAsia" w:ascii="宋体" w:hAnsi="宋体" w:eastAsia="宋体" w:cs="宋体"/>
                <w:b/>
                <w:color w:val="auto"/>
                <w:sz w:val="21"/>
                <w:szCs w:val="44"/>
                <w:highlight w:val="none"/>
              </w:rPr>
            </w:pPr>
          </w:p>
        </w:tc>
        <w:tc>
          <w:tcPr>
            <w:tcW w:w="1560" w:type="dxa"/>
            <w:noWrap w:val="0"/>
            <w:vAlign w:val="center"/>
          </w:tcPr>
          <w:p w14:paraId="39E0D826">
            <w:pPr>
              <w:pStyle w:val="18"/>
              <w:widowControl w:val="0"/>
              <w:adjustRightInd w:val="0"/>
              <w:snapToGrid w:val="0"/>
              <w:jc w:val="center"/>
              <w:rPr>
                <w:rFonts w:hint="eastAsia" w:ascii="宋体" w:hAnsi="宋体" w:eastAsia="宋体" w:cs="宋体"/>
                <w:b/>
                <w:color w:val="auto"/>
                <w:sz w:val="21"/>
                <w:szCs w:val="44"/>
                <w:highlight w:val="none"/>
              </w:rPr>
            </w:pPr>
          </w:p>
        </w:tc>
        <w:tc>
          <w:tcPr>
            <w:tcW w:w="4988" w:type="dxa"/>
            <w:noWrap w:val="0"/>
            <w:vAlign w:val="center"/>
          </w:tcPr>
          <w:p w14:paraId="43BA5114">
            <w:pPr>
              <w:pStyle w:val="18"/>
              <w:widowControl w:val="0"/>
              <w:adjustRightInd w:val="0"/>
              <w:snapToGrid w:val="0"/>
              <w:jc w:val="center"/>
              <w:rPr>
                <w:rFonts w:hint="eastAsia" w:ascii="宋体" w:hAnsi="宋体" w:eastAsia="宋体" w:cs="宋体"/>
                <w:b/>
                <w:color w:val="auto"/>
                <w:sz w:val="21"/>
                <w:szCs w:val="44"/>
                <w:highlight w:val="none"/>
              </w:rPr>
            </w:pPr>
          </w:p>
        </w:tc>
      </w:tr>
      <w:tr w14:paraId="32C8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3DEFFA2A">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2</w:t>
            </w:r>
          </w:p>
        </w:tc>
        <w:tc>
          <w:tcPr>
            <w:tcW w:w="3135" w:type="dxa"/>
            <w:noWrap w:val="0"/>
            <w:vAlign w:val="center"/>
          </w:tcPr>
          <w:p w14:paraId="0447A10F">
            <w:pPr>
              <w:pStyle w:val="18"/>
              <w:widowControl w:val="0"/>
              <w:adjustRightInd w:val="0"/>
              <w:snapToGrid w:val="0"/>
              <w:jc w:val="both"/>
              <w:rPr>
                <w:rFonts w:hint="eastAsia" w:ascii="宋体" w:hAnsi="宋体" w:eastAsia="宋体" w:cs="宋体"/>
                <w:color w:val="auto"/>
                <w:sz w:val="21"/>
                <w:szCs w:val="44"/>
                <w:highlight w:val="none"/>
              </w:rPr>
            </w:pPr>
            <w:r>
              <w:rPr>
                <w:rFonts w:hint="eastAsia" w:ascii="宋体" w:hAnsi="宋体" w:eastAsia="宋体" w:cs="宋体"/>
                <w:color w:val="auto"/>
                <w:sz w:val="21"/>
                <w:szCs w:val="44"/>
                <w:highlight w:val="none"/>
              </w:rPr>
              <w:t xml:space="preserve"> </w:t>
            </w:r>
          </w:p>
        </w:tc>
        <w:tc>
          <w:tcPr>
            <w:tcW w:w="1196" w:type="dxa"/>
            <w:noWrap w:val="0"/>
            <w:vAlign w:val="center"/>
          </w:tcPr>
          <w:p w14:paraId="51E8674D">
            <w:pPr>
              <w:pStyle w:val="18"/>
              <w:widowControl w:val="0"/>
              <w:adjustRightInd w:val="0"/>
              <w:snapToGrid w:val="0"/>
              <w:jc w:val="center"/>
              <w:rPr>
                <w:rFonts w:hint="eastAsia" w:ascii="宋体" w:hAnsi="宋体" w:eastAsia="宋体" w:cs="宋体"/>
                <w:color w:val="auto"/>
                <w:sz w:val="21"/>
                <w:szCs w:val="44"/>
                <w:highlight w:val="none"/>
              </w:rPr>
            </w:pPr>
          </w:p>
        </w:tc>
        <w:tc>
          <w:tcPr>
            <w:tcW w:w="1879" w:type="dxa"/>
            <w:noWrap w:val="0"/>
            <w:vAlign w:val="center"/>
          </w:tcPr>
          <w:p w14:paraId="48317CC1">
            <w:pPr>
              <w:pStyle w:val="18"/>
              <w:widowControl w:val="0"/>
              <w:adjustRightInd w:val="0"/>
              <w:snapToGrid w:val="0"/>
              <w:jc w:val="center"/>
              <w:rPr>
                <w:rFonts w:hint="eastAsia" w:ascii="宋体" w:hAnsi="宋体" w:eastAsia="宋体" w:cs="宋体"/>
                <w:b/>
                <w:color w:val="auto"/>
                <w:sz w:val="21"/>
                <w:szCs w:val="44"/>
                <w:highlight w:val="none"/>
              </w:rPr>
            </w:pPr>
          </w:p>
        </w:tc>
        <w:tc>
          <w:tcPr>
            <w:tcW w:w="1879" w:type="dxa"/>
            <w:noWrap w:val="0"/>
            <w:vAlign w:val="center"/>
          </w:tcPr>
          <w:p w14:paraId="089EAD74">
            <w:pPr>
              <w:pStyle w:val="18"/>
              <w:widowControl w:val="0"/>
              <w:adjustRightInd w:val="0"/>
              <w:snapToGrid w:val="0"/>
              <w:jc w:val="center"/>
              <w:rPr>
                <w:rFonts w:hint="eastAsia" w:ascii="宋体" w:hAnsi="宋体" w:eastAsia="宋体" w:cs="宋体"/>
                <w:b/>
                <w:color w:val="auto"/>
                <w:sz w:val="21"/>
                <w:szCs w:val="44"/>
                <w:highlight w:val="none"/>
              </w:rPr>
            </w:pPr>
          </w:p>
        </w:tc>
        <w:tc>
          <w:tcPr>
            <w:tcW w:w="1560" w:type="dxa"/>
            <w:noWrap w:val="0"/>
            <w:vAlign w:val="center"/>
          </w:tcPr>
          <w:p w14:paraId="77695407">
            <w:pPr>
              <w:pStyle w:val="18"/>
              <w:widowControl w:val="0"/>
              <w:adjustRightInd w:val="0"/>
              <w:snapToGrid w:val="0"/>
              <w:jc w:val="center"/>
              <w:rPr>
                <w:rFonts w:hint="eastAsia" w:ascii="宋体" w:hAnsi="宋体" w:eastAsia="宋体" w:cs="宋体"/>
                <w:b/>
                <w:color w:val="auto"/>
                <w:sz w:val="21"/>
                <w:szCs w:val="44"/>
                <w:highlight w:val="none"/>
              </w:rPr>
            </w:pPr>
          </w:p>
        </w:tc>
        <w:tc>
          <w:tcPr>
            <w:tcW w:w="4988" w:type="dxa"/>
            <w:noWrap w:val="0"/>
            <w:vAlign w:val="center"/>
          </w:tcPr>
          <w:p w14:paraId="5B7CC25B">
            <w:pPr>
              <w:widowControl w:val="0"/>
              <w:adjustRightInd w:val="0"/>
              <w:snapToGrid w:val="0"/>
              <w:jc w:val="center"/>
              <w:rPr>
                <w:rFonts w:hint="eastAsia" w:ascii="宋体" w:hAnsi="宋体" w:eastAsia="宋体" w:cs="宋体"/>
                <w:b/>
                <w:color w:val="auto"/>
                <w:sz w:val="21"/>
                <w:szCs w:val="44"/>
                <w:highlight w:val="none"/>
              </w:rPr>
            </w:pPr>
          </w:p>
        </w:tc>
      </w:tr>
      <w:tr w14:paraId="7D35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51A0F260">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3</w:t>
            </w:r>
          </w:p>
        </w:tc>
        <w:tc>
          <w:tcPr>
            <w:tcW w:w="3135" w:type="dxa"/>
            <w:noWrap w:val="0"/>
            <w:vAlign w:val="center"/>
          </w:tcPr>
          <w:p w14:paraId="04418184">
            <w:pPr>
              <w:pStyle w:val="18"/>
              <w:widowControl w:val="0"/>
              <w:adjustRightInd w:val="0"/>
              <w:snapToGrid w:val="0"/>
              <w:jc w:val="both"/>
              <w:rPr>
                <w:rFonts w:hint="eastAsia" w:ascii="宋体" w:hAnsi="宋体" w:eastAsia="宋体" w:cs="宋体"/>
                <w:color w:val="auto"/>
                <w:sz w:val="21"/>
                <w:szCs w:val="44"/>
                <w:highlight w:val="none"/>
              </w:rPr>
            </w:pPr>
          </w:p>
        </w:tc>
        <w:tc>
          <w:tcPr>
            <w:tcW w:w="1196" w:type="dxa"/>
            <w:noWrap w:val="0"/>
            <w:vAlign w:val="center"/>
          </w:tcPr>
          <w:p w14:paraId="5CACABFF">
            <w:pPr>
              <w:pStyle w:val="18"/>
              <w:widowControl w:val="0"/>
              <w:adjustRightInd w:val="0"/>
              <w:snapToGrid w:val="0"/>
              <w:jc w:val="center"/>
              <w:rPr>
                <w:rFonts w:hint="eastAsia" w:ascii="宋体" w:hAnsi="宋体" w:eastAsia="宋体" w:cs="宋体"/>
                <w:color w:val="auto"/>
                <w:sz w:val="21"/>
                <w:szCs w:val="44"/>
                <w:highlight w:val="none"/>
              </w:rPr>
            </w:pPr>
          </w:p>
        </w:tc>
        <w:tc>
          <w:tcPr>
            <w:tcW w:w="1879" w:type="dxa"/>
            <w:noWrap w:val="0"/>
            <w:vAlign w:val="center"/>
          </w:tcPr>
          <w:p w14:paraId="0EFC40F8">
            <w:pPr>
              <w:pStyle w:val="18"/>
              <w:widowControl w:val="0"/>
              <w:adjustRightInd w:val="0"/>
              <w:snapToGrid w:val="0"/>
              <w:jc w:val="center"/>
              <w:rPr>
                <w:rFonts w:hint="eastAsia" w:ascii="宋体" w:hAnsi="宋体" w:eastAsia="宋体" w:cs="宋体"/>
                <w:b/>
                <w:color w:val="auto"/>
                <w:sz w:val="21"/>
                <w:szCs w:val="44"/>
                <w:highlight w:val="none"/>
              </w:rPr>
            </w:pPr>
          </w:p>
        </w:tc>
        <w:tc>
          <w:tcPr>
            <w:tcW w:w="1879" w:type="dxa"/>
            <w:noWrap w:val="0"/>
            <w:vAlign w:val="center"/>
          </w:tcPr>
          <w:p w14:paraId="01178CA0">
            <w:pPr>
              <w:pStyle w:val="18"/>
              <w:widowControl w:val="0"/>
              <w:adjustRightInd w:val="0"/>
              <w:snapToGrid w:val="0"/>
              <w:jc w:val="center"/>
              <w:rPr>
                <w:rFonts w:hint="eastAsia" w:ascii="宋体" w:hAnsi="宋体" w:eastAsia="宋体" w:cs="宋体"/>
                <w:b/>
                <w:color w:val="auto"/>
                <w:sz w:val="21"/>
                <w:szCs w:val="44"/>
                <w:highlight w:val="none"/>
              </w:rPr>
            </w:pPr>
          </w:p>
        </w:tc>
        <w:tc>
          <w:tcPr>
            <w:tcW w:w="1560" w:type="dxa"/>
            <w:noWrap w:val="0"/>
            <w:vAlign w:val="center"/>
          </w:tcPr>
          <w:p w14:paraId="0C734B70">
            <w:pPr>
              <w:pStyle w:val="18"/>
              <w:widowControl w:val="0"/>
              <w:adjustRightInd w:val="0"/>
              <w:snapToGrid w:val="0"/>
              <w:jc w:val="center"/>
              <w:rPr>
                <w:rFonts w:hint="eastAsia" w:ascii="宋体" w:hAnsi="宋体" w:eastAsia="宋体" w:cs="宋体"/>
                <w:b/>
                <w:color w:val="auto"/>
                <w:sz w:val="21"/>
                <w:szCs w:val="44"/>
                <w:highlight w:val="none"/>
              </w:rPr>
            </w:pPr>
          </w:p>
        </w:tc>
        <w:tc>
          <w:tcPr>
            <w:tcW w:w="4988" w:type="dxa"/>
            <w:noWrap w:val="0"/>
            <w:vAlign w:val="center"/>
          </w:tcPr>
          <w:p w14:paraId="4E0F5932">
            <w:pPr>
              <w:widowControl w:val="0"/>
              <w:adjustRightInd w:val="0"/>
              <w:snapToGrid w:val="0"/>
              <w:jc w:val="center"/>
              <w:rPr>
                <w:rFonts w:hint="eastAsia" w:ascii="宋体" w:hAnsi="宋体" w:eastAsia="宋体" w:cs="宋体"/>
                <w:b/>
                <w:color w:val="auto"/>
                <w:sz w:val="21"/>
                <w:szCs w:val="44"/>
                <w:highlight w:val="none"/>
              </w:rPr>
            </w:pPr>
          </w:p>
        </w:tc>
      </w:tr>
      <w:tr w14:paraId="3336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3BEF1479">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4</w:t>
            </w:r>
          </w:p>
        </w:tc>
        <w:tc>
          <w:tcPr>
            <w:tcW w:w="3135" w:type="dxa"/>
            <w:noWrap w:val="0"/>
            <w:vAlign w:val="center"/>
          </w:tcPr>
          <w:p w14:paraId="7941F0EF">
            <w:pPr>
              <w:pStyle w:val="18"/>
              <w:widowControl w:val="0"/>
              <w:adjustRightInd w:val="0"/>
              <w:snapToGrid w:val="0"/>
              <w:jc w:val="both"/>
              <w:rPr>
                <w:rFonts w:hint="eastAsia" w:ascii="宋体" w:hAnsi="宋体" w:eastAsia="宋体" w:cs="宋体"/>
                <w:color w:val="auto"/>
                <w:sz w:val="21"/>
                <w:szCs w:val="44"/>
                <w:highlight w:val="none"/>
              </w:rPr>
            </w:pPr>
          </w:p>
        </w:tc>
        <w:tc>
          <w:tcPr>
            <w:tcW w:w="1196" w:type="dxa"/>
            <w:noWrap w:val="0"/>
            <w:vAlign w:val="center"/>
          </w:tcPr>
          <w:p w14:paraId="6A056EAD">
            <w:pPr>
              <w:pStyle w:val="18"/>
              <w:widowControl w:val="0"/>
              <w:adjustRightInd w:val="0"/>
              <w:snapToGrid w:val="0"/>
              <w:jc w:val="center"/>
              <w:rPr>
                <w:rFonts w:hint="eastAsia" w:ascii="宋体" w:hAnsi="宋体" w:eastAsia="宋体" w:cs="宋体"/>
                <w:color w:val="auto"/>
                <w:sz w:val="21"/>
                <w:szCs w:val="44"/>
                <w:highlight w:val="none"/>
              </w:rPr>
            </w:pPr>
          </w:p>
        </w:tc>
        <w:tc>
          <w:tcPr>
            <w:tcW w:w="1879" w:type="dxa"/>
            <w:noWrap w:val="0"/>
            <w:vAlign w:val="center"/>
          </w:tcPr>
          <w:p w14:paraId="01D2D2C1">
            <w:pPr>
              <w:pStyle w:val="18"/>
              <w:widowControl w:val="0"/>
              <w:adjustRightInd w:val="0"/>
              <w:snapToGrid w:val="0"/>
              <w:jc w:val="center"/>
              <w:rPr>
                <w:rFonts w:hint="eastAsia" w:ascii="宋体" w:hAnsi="宋体" w:eastAsia="宋体" w:cs="宋体"/>
                <w:b/>
                <w:color w:val="auto"/>
                <w:sz w:val="21"/>
                <w:szCs w:val="44"/>
                <w:highlight w:val="none"/>
              </w:rPr>
            </w:pPr>
          </w:p>
        </w:tc>
        <w:tc>
          <w:tcPr>
            <w:tcW w:w="1879" w:type="dxa"/>
            <w:noWrap w:val="0"/>
            <w:vAlign w:val="center"/>
          </w:tcPr>
          <w:p w14:paraId="1956AAF3">
            <w:pPr>
              <w:pStyle w:val="18"/>
              <w:widowControl w:val="0"/>
              <w:adjustRightInd w:val="0"/>
              <w:snapToGrid w:val="0"/>
              <w:jc w:val="center"/>
              <w:rPr>
                <w:rFonts w:hint="eastAsia" w:ascii="宋体" w:hAnsi="宋体" w:eastAsia="宋体" w:cs="宋体"/>
                <w:b/>
                <w:color w:val="auto"/>
                <w:sz w:val="21"/>
                <w:szCs w:val="44"/>
                <w:highlight w:val="none"/>
              </w:rPr>
            </w:pPr>
          </w:p>
        </w:tc>
        <w:tc>
          <w:tcPr>
            <w:tcW w:w="1560" w:type="dxa"/>
            <w:noWrap w:val="0"/>
            <w:vAlign w:val="center"/>
          </w:tcPr>
          <w:p w14:paraId="0B2BD1A5">
            <w:pPr>
              <w:pStyle w:val="18"/>
              <w:widowControl w:val="0"/>
              <w:adjustRightInd w:val="0"/>
              <w:snapToGrid w:val="0"/>
              <w:jc w:val="center"/>
              <w:rPr>
                <w:rFonts w:hint="eastAsia" w:ascii="宋体" w:hAnsi="宋体" w:eastAsia="宋体" w:cs="宋体"/>
                <w:b/>
                <w:color w:val="auto"/>
                <w:sz w:val="21"/>
                <w:szCs w:val="44"/>
                <w:highlight w:val="none"/>
              </w:rPr>
            </w:pPr>
          </w:p>
        </w:tc>
        <w:tc>
          <w:tcPr>
            <w:tcW w:w="4988" w:type="dxa"/>
            <w:noWrap w:val="0"/>
            <w:vAlign w:val="center"/>
          </w:tcPr>
          <w:p w14:paraId="6990A278">
            <w:pPr>
              <w:widowControl w:val="0"/>
              <w:adjustRightInd w:val="0"/>
              <w:snapToGrid w:val="0"/>
              <w:jc w:val="center"/>
              <w:rPr>
                <w:rFonts w:hint="eastAsia" w:ascii="宋体" w:hAnsi="宋体" w:eastAsia="宋体" w:cs="宋体"/>
                <w:b/>
                <w:color w:val="auto"/>
                <w:sz w:val="21"/>
                <w:szCs w:val="44"/>
                <w:highlight w:val="none"/>
              </w:rPr>
            </w:pPr>
          </w:p>
        </w:tc>
      </w:tr>
      <w:tr w14:paraId="78F9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6376ADA6">
            <w:pPr>
              <w:pStyle w:val="18"/>
              <w:widowControl w:val="0"/>
              <w:adjustRightInd w:val="0"/>
              <w:snapToGrid w:val="0"/>
              <w:jc w:val="center"/>
              <w:rPr>
                <w:rFonts w:hint="eastAsia" w:ascii="宋体" w:hAnsi="宋体" w:eastAsia="宋体" w:cs="宋体"/>
                <w:b/>
                <w:color w:val="auto"/>
                <w:sz w:val="21"/>
                <w:szCs w:val="44"/>
                <w:highlight w:val="none"/>
              </w:rPr>
            </w:pPr>
            <w:r>
              <w:rPr>
                <w:rFonts w:hint="eastAsia" w:ascii="宋体" w:hAnsi="宋体" w:eastAsia="宋体" w:cs="宋体"/>
                <w:b/>
                <w:color w:val="auto"/>
                <w:sz w:val="21"/>
                <w:szCs w:val="44"/>
                <w:highlight w:val="none"/>
              </w:rPr>
              <w:t>5</w:t>
            </w:r>
          </w:p>
        </w:tc>
        <w:tc>
          <w:tcPr>
            <w:tcW w:w="3135" w:type="dxa"/>
            <w:noWrap w:val="0"/>
            <w:vAlign w:val="center"/>
          </w:tcPr>
          <w:p w14:paraId="4A716296">
            <w:pPr>
              <w:pStyle w:val="18"/>
              <w:widowControl w:val="0"/>
              <w:adjustRightInd w:val="0"/>
              <w:snapToGrid w:val="0"/>
              <w:jc w:val="both"/>
              <w:rPr>
                <w:rFonts w:hint="eastAsia" w:ascii="宋体" w:hAnsi="宋体" w:eastAsia="宋体" w:cs="宋体"/>
                <w:color w:val="auto"/>
                <w:sz w:val="21"/>
                <w:szCs w:val="44"/>
                <w:highlight w:val="none"/>
              </w:rPr>
            </w:pPr>
            <w:r>
              <w:rPr>
                <w:rFonts w:hint="eastAsia" w:ascii="宋体" w:hAnsi="宋体" w:eastAsia="宋体" w:cs="宋体"/>
                <w:color w:val="auto"/>
                <w:sz w:val="21"/>
                <w:szCs w:val="44"/>
                <w:highlight w:val="none"/>
              </w:rPr>
              <w:t>……</w:t>
            </w:r>
          </w:p>
        </w:tc>
        <w:tc>
          <w:tcPr>
            <w:tcW w:w="1196" w:type="dxa"/>
            <w:noWrap w:val="0"/>
            <w:vAlign w:val="center"/>
          </w:tcPr>
          <w:p w14:paraId="2F7DE68C">
            <w:pPr>
              <w:pStyle w:val="18"/>
              <w:widowControl w:val="0"/>
              <w:adjustRightInd w:val="0"/>
              <w:snapToGrid w:val="0"/>
              <w:jc w:val="center"/>
              <w:rPr>
                <w:rFonts w:hint="eastAsia" w:ascii="宋体" w:hAnsi="宋体" w:eastAsia="宋体" w:cs="宋体"/>
                <w:color w:val="auto"/>
                <w:sz w:val="21"/>
                <w:szCs w:val="44"/>
                <w:highlight w:val="none"/>
              </w:rPr>
            </w:pPr>
          </w:p>
        </w:tc>
        <w:tc>
          <w:tcPr>
            <w:tcW w:w="1879" w:type="dxa"/>
            <w:noWrap w:val="0"/>
            <w:vAlign w:val="center"/>
          </w:tcPr>
          <w:p w14:paraId="01BEE45F">
            <w:pPr>
              <w:pStyle w:val="18"/>
              <w:widowControl w:val="0"/>
              <w:adjustRightInd w:val="0"/>
              <w:snapToGrid w:val="0"/>
              <w:jc w:val="center"/>
              <w:rPr>
                <w:rFonts w:hint="eastAsia" w:ascii="宋体" w:hAnsi="宋体" w:eastAsia="宋体" w:cs="宋体"/>
                <w:b/>
                <w:color w:val="auto"/>
                <w:sz w:val="21"/>
                <w:szCs w:val="44"/>
                <w:highlight w:val="none"/>
              </w:rPr>
            </w:pPr>
          </w:p>
        </w:tc>
        <w:tc>
          <w:tcPr>
            <w:tcW w:w="1879" w:type="dxa"/>
            <w:noWrap w:val="0"/>
            <w:vAlign w:val="center"/>
          </w:tcPr>
          <w:p w14:paraId="019C97CC">
            <w:pPr>
              <w:pStyle w:val="18"/>
              <w:widowControl w:val="0"/>
              <w:adjustRightInd w:val="0"/>
              <w:snapToGrid w:val="0"/>
              <w:jc w:val="center"/>
              <w:rPr>
                <w:rFonts w:hint="eastAsia" w:ascii="宋体" w:hAnsi="宋体" w:eastAsia="宋体" w:cs="宋体"/>
                <w:b/>
                <w:color w:val="auto"/>
                <w:sz w:val="21"/>
                <w:szCs w:val="44"/>
                <w:highlight w:val="none"/>
              </w:rPr>
            </w:pPr>
          </w:p>
        </w:tc>
        <w:tc>
          <w:tcPr>
            <w:tcW w:w="1560" w:type="dxa"/>
            <w:noWrap w:val="0"/>
            <w:vAlign w:val="center"/>
          </w:tcPr>
          <w:p w14:paraId="4683E634">
            <w:pPr>
              <w:pStyle w:val="18"/>
              <w:widowControl w:val="0"/>
              <w:adjustRightInd w:val="0"/>
              <w:snapToGrid w:val="0"/>
              <w:jc w:val="center"/>
              <w:rPr>
                <w:rFonts w:hint="eastAsia" w:ascii="宋体" w:hAnsi="宋体" w:eastAsia="宋体" w:cs="宋体"/>
                <w:b/>
                <w:color w:val="auto"/>
                <w:sz w:val="21"/>
                <w:szCs w:val="44"/>
                <w:highlight w:val="none"/>
              </w:rPr>
            </w:pPr>
          </w:p>
        </w:tc>
        <w:tc>
          <w:tcPr>
            <w:tcW w:w="4988" w:type="dxa"/>
            <w:noWrap w:val="0"/>
            <w:vAlign w:val="center"/>
          </w:tcPr>
          <w:p w14:paraId="47E08BF8">
            <w:pPr>
              <w:widowControl w:val="0"/>
              <w:adjustRightInd w:val="0"/>
              <w:snapToGrid w:val="0"/>
              <w:jc w:val="center"/>
              <w:rPr>
                <w:rFonts w:hint="eastAsia" w:ascii="宋体" w:hAnsi="宋体" w:eastAsia="宋体" w:cs="宋体"/>
                <w:b/>
                <w:color w:val="auto"/>
                <w:sz w:val="21"/>
                <w:szCs w:val="44"/>
                <w:highlight w:val="none"/>
              </w:rPr>
            </w:pPr>
          </w:p>
        </w:tc>
      </w:tr>
      <w:tr w14:paraId="6F63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3E1A1696">
            <w:pPr>
              <w:pStyle w:val="18"/>
              <w:widowControl w:val="0"/>
              <w:adjustRightInd w:val="0"/>
              <w:snapToGrid w:val="0"/>
              <w:jc w:val="center"/>
              <w:rPr>
                <w:rFonts w:hint="eastAsia" w:ascii="宋体" w:hAnsi="宋体" w:eastAsia="宋体" w:cs="宋体"/>
                <w:b/>
                <w:color w:val="auto"/>
                <w:sz w:val="21"/>
                <w:szCs w:val="44"/>
                <w:highlight w:val="none"/>
              </w:rPr>
            </w:pPr>
          </w:p>
        </w:tc>
        <w:tc>
          <w:tcPr>
            <w:tcW w:w="3135" w:type="dxa"/>
            <w:noWrap w:val="0"/>
            <w:vAlign w:val="center"/>
          </w:tcPr>
          <w:p w14:paraId="342C0CB4">
            <w:pPr>
              <w:pStyle w:val="18"/>
              <w:widowControl w:val="0"/>
              <w:adjustRightInd w:val="0"/>
              <w:snapToGrid w:val="0"/>
              <w:jc w:val="both"/>
              <w:rPr>
                <w:rFonts w:hint="eastAsia" w:ascii="宋体" w:hAnsi="宋体" w:eastAsia="宋体" w:cs="宋体"/>
                <w:color w:val="auto"/>
                <w:sz w:val="21"/>
                <w:szCs w:val="44"/>
                <w:highlight w:val="none"/>
              </w:rPr>
            </w:pPr>
            <w:r>
              <w:rPr>
                <w:rFonts w:hint="eastAsia" w:ascii="宋体" w:hAnsi="宋体" w:eastAsia="宋体" w:cs="宋体"/>
                <w:color w:val="auto"/>
                <w:sz w:val="21"/>
                <w:szCs w:val="44"/>
                <w:highlight w:val="none"/>
              </w:rPr>
              <w:t>（按照第三章采购清单填写）</w:t>
            </w:r>
          </w:p>
        </w:tc>
        <w:tc>
          <w:tcPr>
            <w:tcW w:w="1196" w:type="dxa"/>
            <w:noWrap w:val="0"/>
            <w:vAlign w:val="center"/>
          </w:tcPr>
          <w:p w14:paraId="6CA61D8E">
            <w:pPr>
              <w:pStyle w:val="18"/>
              <w:widowControl w:val="0"/>
              <w:adjustRightInd w:val="0"/>
              <w:snapToGrid w:val="0"/>
              <w:jc w:val="center"/>
              <w:rPr>
                <w:rFonts w:hint="eastAsia" w:ascii="宋体" w:hAnsi="宋体" w:eastAsia="宋体" w:cs="宋体"/>
                <w:color w:val="auto"/>
                <w:sz w:val="21"/>
                <w:szCs w:val="44"/>
                <w:highlight w:val="none"/>
              </w:rPr>
            </w:pPr>
          </w:p>
        </w:tc>
        <w:tc>
          <w:tcPr>
            <w:tcW w:w="1879" w:type="dxa"/>
            <w:noWrap w:val="0"/>
            <w:vAlign w:val="center"/>
          </w:tcPr>
          <w:p w14:paraId="000FB1B9">
            <w:pPr>
              <w:pStyle w:val="18"/>
              <w:widowControl w:val="0"/>
              <w:adjustRightInd w:val="0"/>
              <w:snapToGrid w:val="0"/>
              <w:jc w:val="center"/>
              <w:rPr>
                <w:rFonts w:hint="eastAsia" w:ascii="宋体" w:hAnsi="宋体" w:eastAsia="宋体" w:cs="宋体"/>
                <w:b/>
                <w:color w:val="auto"/>
                <w:sz w:val="21"/>
                <w:szCs w:val="44"/>
                <w:highlight w:val="none"/>
              </w:rPr>
            </w:pPr>
          </w:p>
        </w:tc>
        <w:tc>
          <w:tcPr>
            <w:tcW w:w="1879" w:type="dxa"/>
            <w:noWrap w:val="0"/>
            <w:vAlign w:val="center"/>
          </w:tcPr>
          <w:p w14:paraId="18134E95">
            <w:pPr>
              <w:pStyle w:val="18"/>
              <w:widowControl w:val="0"/>
              <w:adjustRightInd w:val="0"/>
              <w:snapToGrid w:val="0"/>
              <w:jc w:val="center"/>
              <w:rPr>
                <w:rFonts w:hint="eastAsia" w:ascii="宋体" w:hAnsi="宋体" w:eastAsia="宋体" w:cs="宋体"/>
                <w:b/>
                <w:color w:val="auto"/>
                <w:sz w:val="21"/>
                <w:szCs w:val="44"/>
                <w:highlight w:val="none"/>
              </w:rPr>
            </w:pPr>
          </w:p>
        </w:tc>
        <w:tc>
          <w:tcPr>
            <w:tcW w:w="1560" w:type="dxa"/>
            <w:noWrap w:val="0"/>
            <w:vAlign w:val="center"/>
          </w:tcPr>
          <w:p w14:paraId="18E15912">
            <w:pPr>
              <w:pStyle w:val="18"/>
              <w:widowControl w:val="0"/>
              <w:adjustRightInd w:val="0"/>
              <w:snapToGrid w:val="0"/>
              <w:jc w:val="center"/>
              <w:rPr>
                <w:rFonts w:hint="eastAsia" w:ascii="宋体" w:hAnsi="宋体" w:eastAsia="宋体" w:cs="宋体"/>
                <w:b/>
                <w:color w:val="auto"/>
                <w:sz w:val="21"/>
                <w:szCs w:val="44"/>
                <w:highlight w:val="none"/>
              </w:rPr>
            </w:pPr>
          </w:p>
        </w:tc>
        <w:tc>
          <w:tcPr>
            <w:tcW w:w="4988" w:type="dxa"/>
            <w:noWrap w:val="0"/>
            <w:vAlign w:val="center"/>
          </w:tcPr>
          <w:p w14:paraId="73ABF2B3">
            <w:pPr>
              <w:widowControl w:val="0"/>
              <w:adjustRightInd w:val="0"/>
              <w:snapToGrid w:val="0"/>
              <w:jc w:val="center"/>
              <w:rPr>
                <w:rFonts w:hint="eastAsia" w:ascii="宋体" w:hAnsi="宋体" w:eastAsia="宋体" w:cs="宋体"/>
                <w:b/>
                <w:color w:val="auto"/>
                <w:sz w:val="21"/>
                <w:szCs w:val="44"/>
                <w:highlight w:val="none"/>
              </w:rPr>
            </w:pPr>
          </w:p>
        </w:tc>
      </w:tr>
    </w:tbl>
    <w:p w14:paraId="57093AAE">
      <w:pPr>
        <w:pStyle w:val="13"/>
        <w:widowControl w:val="0"/>
        <w:adjustRightInd w:val="0"/>
        <w:snapToGrid w:val="0"/>
        <w:spacing w:before="0" w:beforeAutospacing="0" w:after="0" w:afterAutospacing="0"/>
        <w:ind w:left="480" w:firstLine="978" w:firstLineChars="466"/>
        <w:rPr>
          <w:rFonts w:hint="eastAsia" w:ascii="宋体" w:hAnsi="宋体" w:eastAsia="宋体" w:cs="宋体"/>
          <w:color w:val="auto"/>
          <w:sz w:val="21"/>
          <w:szCs w:val="21"/>
          <w:highlight w:val="none"/>
        </w:rPr>
      </w:pPr>
    </w:p>
    <w:p w14:paraId="515CBE33">
      <w:pPr>
        <w:widowControl w:val="0"/>
        <w:tabs>
          <w:tab w:val="left" w:pos="3435"/>
        </w:tabs>
        <w:adjustRightInd w:val="0"/>
        <w:snapToGrid w:val="0"/>
        <w:ind w:firstLine="4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注：1.投标人须根据拟提供的货物参数详细填写此表，凡与《招标文件》要求不一致的内容，均详细在《技术要求偏离表》中填写。</w:t>
      </w:r>
    </w:p>
    <w:p w14:paraId="5111C792">
      <w:pPr>
        <w:widowControl w:val="0"/>
        <w:tabs>
          <w:tab w:val="left" w:pos="3435"/>
        </w:tabs>
        <w:adjustRightInd w:val="0"/>
        <w:snapToGrid w:val="0"/>
        <w:ind w:firstLine="4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4B4C1848">
      <w:pPr>
        <w:widowControl w:val="0"/>
        <w:tabs>
          <w:tab w:val="left" w:pos="3435"/>
        </w:tabs>
        <w:adjustRightInd w:val="0"/>
        <w:snapToGrid w:val="0"/>
        <w:spacing w:line="420" w:lineRule="exact"/>
        <w:ind w:firstLine="435"/>
        <w:rPr>
          <w:rFonts w:hint="eastAsia" w:ascii="宋体" w:hAnsi="宋体" w:eastAsia="宋体" w:cs="宋体"/>
          <w:b/>
          <w:color w:val="auto"/>
          <w:sz w:val="21"/>
          <w:szCs w:val="21"/>
          <w:highlight w:val="none"/>
        </w:rPr>
      </w:pPr>
    </w:p>
    <w:p w14:paraId="3580073A">
      <w:pPr>
        <w:pStyle w:val="13"/>
        <w:widowControl w:val="0"/>
        <w:adjustRightInd w:val="0"/>
        <w:snapToGrid w:val="0"/>
        <w:spacing w:before="0" w:beforeAutospacing="0" w:after="0" w:afterAutospacing="0" w:line="360" w:lineRule="auto"/>
        <w:ind w:left="480"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投标人（电子签名）：__________________________</w:t>
      </w:r>
    </w:p>
    <w:p w14:paraId="2168D2A2">
      <w:pPr>
        <w:pStyle w:val="13"/>
        <w:widowControl w:val="0"/>
        <w:adjustRightInd w:val="0"/>
        <w:snapToGrid w:val="0"/>
        <w:spacing w:before="0" w:beforeAutospacing="0" w:after="0" w:afterAutospacing="0"/>
        <w:ind w:left="480" w:firstLine="720" w:firstLineChars="300"/>
        <w:rPr>
          <w:rFonts w:hint="eastAsia" w:ascii="宋体" w:hAnsi="宋体" w:eastAsia="宋体" w:cs="宋体"/>
          <w:color w:val="auto"/>
          <w:highlight w:val="none"/>
          <w:u w:val="single"/>
        </w:rPr>
      </w:pPr>
      <w:r>
        <w:rPr>
          <w:rFonts w:hint="eastAsia" w:ascii="宋体" w:hAnsi="宋体" w:eastAsia="宋体" w:cs="宋体"/>
          <w:color w:val="auto"/>
          <w:highlight w:val="none"/>
        </w:rPr>
        <w:t>日期：____年____月____日</w:t>
      </w:r>
    </w:p>
    <w:p w14:paraId="611D8F0F">
      <w:pPr>
        <w:pStyle w:val="13"/>
        <w:widowControl w:val="0"/>
        <w:adjustRightInd w:val="0"/>
        <w:snapToGrid w:val="0"/>
        <w:jc w:val="center"/>
        <w:rPr>
          <w:rFonts w:hint="eastAsia" w:ascii="宋体" w:hAnsi="宋体" w:eastAsia="宋体" w:cs="宋体"/>
          <w:b/>
          <w:color w:val="auto"/>
          <w:sz w:val="32"/>
          <w:szCs w:val="32"/>
          <w:highlight w:val="none"/>
        </w:rPr>
        <w:sectPr>
          <w:pgSz w:w="16838" w:h="11906" w:orient="landscape"/>
          <w:pgMar w:top="1622" w:right="1259" w:bottom="1287" w:left="1361" w:header="709" w:footer="975" w:gutter="0"/>
          <w:cols w:space="720" w:num="1"/>
          <w:docGrid w:linePitch="360" w:charSpace="0"/>
        </w:sectPr>
      </w:pPr>
    </w:p>
    <w:p w14:paraId="1CE31BE1">
      <w:pPr>
        <w:pStyle w:val="18"/>
        <w:widowControl w:val="0"/>
        <w:adjustRightInd w:val="0"/>
        <w:snapToGrid w:val="0"/>
        <w:spacing w:line="39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w:t>
      </w:r>
      <w:bookmarkStart w:id="38" w:name="_Hlk93401427"/>
      <w:r>
        <w:rPr>
          <w:rFonts w:hint="eastAsia" w:ascii="宋体" w:hAnsi="宋体" w:eastAsia="宋体" w:cs="宋体"/>
          <w:b/>
          <w:color w:val="auto"/>
          <w:sz w:val="32"/>
          <w:szCs w:val="32"/>
          <w:highlight w:val="none"/>
        </w:rPr>
        <w:t>技术要求偏离表</w:t>
      </w:r>
    </w:p>
    <w:p w14:paraId="3167F1F5">
      <w:pPr>
        <w:pStyle w:val="18"/>
        <w:widowControl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9" w:name="_Hlk93401532"/>
    </w:p>
    <w:tbl>
      <w:tblPr>
        <w:tblStyle w:val="21"/>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14:paraId="77D7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7AF1F912">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54" w:type="dxa"/>
            <w:noWrap w:val="0"/>
            <w:vAlign w:val="center"/>
          </w:tcPr>
          <w:p w14:paraId="0E6B2105">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u w:val="thick" w:color="FFFFFF"/>
              </w:rPr>
              <w:t>招标文件</w:t>
            </w:r>
            <w:r>
              <w:rPr>
                <w:rFonts w:hint="eastAsia" w:ascii="宋体" w:hAnsi="宋体" w:eastAsia="宋体" w:cs="宋体"/>
                <w:color w:val="auto"/>
                <w:highlight w:val="none"/>
              </w:rPr>
              <w:t>要求</w:t>
            </w:r>
          </w:p>
        </w:tc>
        <w:tc>
          <w:tcPr>
            <w:tcW w:w="2812" w:type="dxa"/>
            <w:noWrap w:val="0"/>
            <w:vAlign w:val="center"/>
          </w:tcPr>
          <w:p w14:paraId="01E831B6">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投标响应参数</w:t>
            </w:r>
          </w:p>
        </w:tc>
        <w:tc>
          <w:tcPr>
            <w:tcW w:w="1522" w:type="dxa"/>
            <w:noWrap w:val="0"/>
            <w:vAlign w:val="center"/>
          </w:tcPr>
          <w:p w14:paraId="6A8E2368">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c>
          <w:tcPr>
            <w:tcW w:w="1572" w:type="dxa"/>
            <w:noWrap w:val="0"/>
            <w:vAlign w:val="center"/>
          </w:tcPr>
          <w:p w14:paraId="136F270C">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C93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565C5DC3">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754" w:type="dxa"/>
            <w:noWrap w:val="0"/>
            <w:vAlign w:val="center"/>
          </w:tcPr>
          <w:p w14:paraId="440664F7">
            <w:pPr>
              <w:pStyle w:val="18"/>
              <w:widowControl w:val="0"/>
              <w:adjustRightInd w:val="0"/>
              <w:snapToGrid w:val="0"/>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812" w:type="dxa"/>
            <w:noWrap w:val="0"/>
            <w:vAlign w:val="center"/>
          </w:tcPr>
          <w:p w14:paraId="2C4F4EA8">
            <w:pPr>
              <w:pStyle w:val="18"/>
              <w:widowControl w:val="0"/>
              <w:adjustRightInd w:val="0"/>
              <w:snapToGrid w:val="0"/>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22" w:type="dxa"/>
            <w:noWrap w:val="0"/>
            <w:vAlign w:val="center"/>
          </w:tcPr>
          <w:p w14:paraId="32A07AEA">
            <w:pPr>
              <w:pStyle w:val="18"/>
              <w:widowControl w:val="0"/>
              <w:adjustRightInd w:val="0"/>
              <w:snapToGrid w:val="0"/>
              <w:jc w:val="center"/>
              <w:rPr>
                <w:rFonts w:hint="eastAsia" w:ascii="宋体" w:hAnsi="宋体" w:eastAsia="宋体" w:cs="宋体"/>
                <w:color w:val="auto"/>
                <w:highlight w:val="none"/>
              </w:rPr>
            </w:pPr>
          </w:p>
        </w:tc>
        <w:tc>
          <w:tcPr>
            <w:tcW w:w="1572" w:type="dxa"/>
            <w:noWrap w:val="0"/>
            <w:vAlign w:val="center"/>
          </w:tcPr>
          <w:p w14:paraId="3A208336">
            <w:pPr>
              <w:pStyle w:val="18"/>
              <w:widowControl w:val="0"/>
              <w:adjustRightInd w:val="0"/>
              <w:snapToGrid w:val="0"/>
              <w:jc w:val="both"/>
              <w:rPr>
                <w:rFonts w:hint="eastAsia" w:ascii="宋体" w:hAnsi="宋体" w:eastAsia="宋体" w:cs="宋体"/>
                <w:color w:val="auto"/>
                <w:highlight w:val="none"/>
              </w:rPr>
            </w:pPr>
          </w:p>
        </w:tc>
      </w:tr>
      <w:tr w14:paraId="545D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0F12D039">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754" w:type="dxa"/>
            <w:noWrap w:val="0"/>
            <w:vAlign w:val="center"/>
          </w:tcPr>
          <w:p w14:paraId="26D3291D">
            <w:pPr>
              <w:widowControl w:val="0"/>
              <w:adjustRightInd w:val="0"/>
              <w:snapToGrid w:val="0"/>
              <w:jc w:val="both"/>
              <w:rPr>
                <w:rFonts w:hint="eastAsia" w:ascii="宋体" w:hAnsi="宋体" w:eastAsia="宋体" w:cs="宋体"/>
                <w:color w:val="auto"/>
                <w:sz w:val="21"/>
                <w:szCs w:val="21"/>
                <w:highlight w:val="none"/>
              </w:rPr>
            </w:pPr>
          </w:p>
        </w:tc>
        <w:tc>
          <w:tcPr>
            <w:tcW w:w="2812" w:type="dxa"/>
            <w:noWrap w:val="0"/>
            <w:vAlign w:val="center"/>
          </w:tcPr>
          <w:p w14:paraId="0163D63B">
            <w:pPr>
              <w:widowControl w:val="0"/>
              <w:adjustRightInd w:val="0"/>
              <w:snapToGrid w:val="0"/>
              <w:ind w:left="360" w:hanging="360" w:hangingChars="150"/>
              <w:jc w:val="both"/>
              <w:rPr>
                <w:rFonts w:hint="eastAsia" w:ascii="宋体" w:hAnsi="宋体" w:eastAsia="宋体" w:cs="宋体"/>
                <w:color w:val="auto"/>
                <w:highlight w:val="none"/>
              </w:rPr>
            </w:pPr>
          </w:p>
        </w:tc>
        <w:tc>
          <w:tcPr>
            <w:tcW w:w="1522" w:type="dxa"/>
            <w:noWrap w:val="0"/>
            <w:vAlign w:val="center"/>
          </w:tcPr>
          <w:p w14:paraId="47BF4BC8">
            <w:pPr>
              <w:pStyle w:val="18"/>
              <w:widowControl w:val="0"/>
              <w:adjustRightInd w:val="0"/>
              <w:snapToGrid w:val="0"/>
              <w:jc w:val="center"/>
              <w:rPr>
                <w:rFonts w:hint="eastAsia" w:ascii="宋体" w:hAnsi="宋体" w:eastAsia="宋体" w:cs="宋体"/>
                <w:color w:val="auto"/>
                <w:highlight w:val="none"/>
              </w:rPr>
            </w:pPr>
          </w:p>
        </w:tc>
        <w:tc>
          <w:tcPr>
            <w:tcW w:w="1572" w:type="dxa"/>
            <w:noWrap w:val="0"/>
            <w:vAlign w:val="center"/>
          </w:tcPr>
          <w:p w14:paraId="3F78E970">
            <w:pPr>
              <w:pStyle w:val="18"/>
              <w:widowControl w:val="0"/>
              <w:adjustRightInd w:val="0"/>
              <w:snapToGrid w:val="0"/>
              <w:jc w:val="both"/>
              <w:rPr>
                <w:rFonts w:hint="eastAsia" w:ascii="宋体" w:hAnsi="宋体" w:eastAsia="宋体" w:cs="宋体"/>
                <w:color w:val="auto"/>
                <w:highlight w:val="none"/>
              </w:rPr>
            </w:pPr>
          </w:p>
        </w:tc>
      </w:tr>
      <w:tr w14:paraId="4CCC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637A08BF">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754" w:type="dxa"/>
            <w:noWrap w:val="0"/>
            <w:vAlign w:val="center"/>
          </w:tcPr>
          <w:p w14:paraId="6F0CAAD1">
            <w:pPr>
              <w:pStyle w:val="18"/>
              <w:widowControl w:val="0"/>
              <w:adjustRightInd w:val="0"/>
              <w:snapToGrid w:val="0"/>
              <w:ind w:firstLine="840" w:firstLineChars="350"/>
              <w:jc w:val="both"/>
              <w:rPr>
                <w:rFonts w:hint="eastAsia" w:ascii="宋体" w:hAnsi="宋体" w:eastAsia="宋体" w:cs="宋体"/>
                <w:color w:val="auto"/>
                <w:highlight w:val="none"/>
              </w:rPr>
            </w:pPr>
          </w:p>
        </w:tc>
        <w:tc>
          <w:tcPr>
            <w:tcW w:w="2812" w:type="dxa"/>
            <w:noWrap w:val="0"/>
            <w:vAlign w:val="center"/>
          </w:tcPr>
          <w:p w14:paraId="52582339">
            <w:pPr>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0C06F4C1">
            <w:pPr>
              <w:pStyle w:val="18"/>
              <w:widowControl w:val="0"/>
              <w:adjustRightInd w:val="0"/>
              <w:snapToGrid w:val="0"/>
              <w:jc w:val="center"/>
              <w:rPr>
                <w:rFonts w:hint="eastAsia" w:ascii="宋体" w:hAnsi="宋体" w:eastAsia="宋体" w:cs="宋体"/>
                <w:color w:val="auto"/>
                <w:highlight w:val="none"/>
              </w:rPr>
            </w:pPr>
          </w:p>
        </w:tc>
        <w:tc>
          <w:tcPr>
            <w:tcW w:w="1572" w:type="dxa"/>
            <w:noWrap w:val="0"/>
            <w:vAlign w:val="center"/>
          </w:tcPr>
          <w:p w14:paraId="61688A0A">
            <w:pPr>
              <w:pStyle w:val="18"/>
              <w:widowControl w:val="0"/>
              <w:adjustRightInd w:val="0"/>
              <w:snapToGrid w:val="0"/>
              <w:jc w:val="both"/>
              <w:rPr>
                <w:rFonts w:hint="eastAsia" w:ascii="宋体" w:hAnsi="宋体" w:eastAsia="宋体" w:cs="宋体"/>
                <w:color w:val="auto"/>
                <w:highlight w:val="none"/>
              </w:rPr>
            </w:pPr>
          </w:p>
        </w:tc>
      </w:tr>
      <w:tr w14:paraId="4B04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46C83B2D">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754" w:type="dxa"/>
            <w:noWrap w:val="0"/>
            <w:vAlign w:val="center"/>
          </w:tcPr>
          <w:p w14:paraId="0F447BA8">
            <w:pPr>
              <w:pStyle w:val="18"/>
              <w:widowControl w:val="0"/>
              <w:adjustRightInd w:val="0"/>
              <w:snapToGrid w:val="0"/>
              <w:jc w:val="both"/>
              <w:rPr>
                <w:rFonts w:hint="eastAsia" w:ascii="宋体" w:hAnsi="宋体" w:eastAsia="宋体" w:cs="宋体"/>
                <w:color w:val="auto"/>
                <w:highlight w:val="none"/>
              </w:rPr>
            </w:pPr>
          </w:p>
        </w:tc>
        <w:tc>
          <w:tcPr>
            <w:tcW w:w="2812" w:type="dxa"/>
            <w:noWrap w:val="0"/>
            <w:vAlign w:val="center"/>
          </w:tcPr>
          <w:p w14:paraId="4C053C0D">
            <w:pPr>
              <w:pStyle w:val="18"/>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06FF8C09">
            <w:pPr>
              <w:pStyle w:val="18"/>
              <w:widowControl w:val="0"/>
              <w:adjustRightInd w:val="0"/>
              <w:snapToGrid w:val="0"/>
              <w:jc w:val="center"/>
              <w:rPr>
                <w:rFonts w:hint="eastAsia" w:ascii="宋体" w:hAnsi="宋体" w:eastAsia="宋体" w:cs="宋体"/>
                <w:color w:val="auto"/>
                <w:highlight w:val="none"/>
              </w:rPr>
            </w:pPr>
          </w:p>
        </w:tc>
        <w:tc>
          <w:tcPr>
            <w:tcW w:w="1572" w:type="dxa"/>
            <w:noWrap w:val="0"/>
            <w:vAlign w:val="center"/>
          </w:tcPr>
          <w:p w14:paraId="1F54867B">
            <w:pPr>
              <w:pStyle w:val="18"/>
              <w:widowControl w:val="0"/>
              <w:adjustRightInd w:val="0"/>
              <w:snapToGrid w:val="0"/>
              <w:jc w:val="both"/>
              <w:rPr>
                <w:rFonts w:hint="eastAsia" w:ascii="宋体" w:hAnsi="宋体" w:eastAsia="宋体" w:cs="宋体"/>
                <w:color w:val="auto"/>
                <w:highlight w:val="none"/>
              </w:rPr>
            </w:pPr>
          </w:p>
        </w:tc>
      </w:tr>
      <w:tr w14:paraId="20E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3B34CB88">
            <w:pPr>
              <w:pStyle w:val="18"/>
              <w:widowControl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754" w:type="dxa"/>
            <w:noWrap w:val="0"/>
            <w:vAlign w:val="center"/>
          </w:tcPr>
          <w:p w14:paraId="239C7261">
            <w:pPr>
              <w:pStyle w:val="18"/>
              <w:widowControl w:val="0"/>
              <w:adjustRightInd w:val="0"/>
              <w:snapToGrid w:val="0"/>
              <w:jc w:val="both"/>
              <w:rPr>
                <w:rFonts w:hint="eastAsia" w:ascii="宋体" w:hAnsi="宋体" w:eastAsia="宋体" w:cs="宋体"/>
                <w:color w:val="auto"/>
                <w:highlight w:val="none"/>
              </w:rPr>
            </w:pPr>
          </w:p>
        </w:tc>
        <w:tc>
          <w:tcPr>
            <w:tcW w:w="2812" w:type="dxa"/>
            <w:noWrap w:val="0"/>
            <w:vAlign w:val="center"/>
          </w:tcPr>
          <w:p w14:paraId="0FFF4F16">
            <w:pPr>
              <w:pStyle w:val="18"/>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0FF6F395">
            <w:pPr>
              <w:pStyle w:val="18"/>
              <w:widowControl w:val="0"/>
              <w:adjustRightInd w:val="0"/>
              <w:snapToGrid w:val="0"/>
              <w:jc w:val="both"/>
              <w:rPr>
                <w:rFonts w:hint="eastAsia" w:ascii="宋体" w:hAnsi="宋体" w:eastAsia="宋体" w:cs="宋体"/>
                <w:color w:val="auto"/>
                <w:highlight w:val="none"/>
              </w:rPr>
            </w:pPr>
          </w:p>
        </w:tc>
        <w:tc>
          <w:tcPr>
            <w:tcW w:w="1572" w:type="dxa"/>
            <w:noWrap w:val="0"/>
            <w:vAlign w:val="center"/>
          </w:tcPr>
          <w:p w14:paraId="4E18D173">
            <w:pPr>
              <w:pStyle w:val="18"/>
              <w:widowControl w:val="0"/>
              <w:adjustRightInd w:val="0"/>
              <w:snapToGrid w:val="0"/>
              <w:jc w:val="both"/>
              <w:rPr>
                <w:rFonts w:hint="eastAsia" w:ascii="宋体" w:hAnsi="宋体" w:eastAsia="宋体" w:cs="宋体"/>
                <w:color w:val="auto"/>
                <w:highlight w:val="none"/>
              </w:rPr>
            </w:pPr>
          </w:p>
        </w:tc>
      </w:tr>
      <w:tr w14:paraId="40CC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6B3F486C">
            <w:pPr>
              <w:pStyle w:val="18"/>
              <w:widowControl w:val="0"/>
              <w:adjustRightInd w:val="0"/>
              <w:snapToGrid w:val="0"/>
              <w:jc w:val="center"/>
              <w:rPr>
                <w:rFonts w:hint="eastAsia" w:ascii="宋体" w:hAnsi="宋体" w:eastAsia="宋体" w:cs="宋体"/>
                <w:color w:val="auto"/>
                <w:highlight w:val="none"/>
              </w:rPr>
            </w:pPr>
          </w:p>
        </w:tc>
        <w:tc>
          <w:tcPr>
            <w:tcW w:w="2754" w:type="dxa"/>
            <w:noWrap w:val="0"/>
            <w:vAlign w:val="center"/>
          </w:tcPr>
          <w:p w14:paraId="5695D6E4">
            <w:pPr>
              <w:pStyle w:val="18"/>
              <w:widowControl w:val="0"/>
              <w:adjustRightInd w:val="0"/>
              <w:snapToGrid w:val="0"/>
              <w:jc w:val="both"/>
              <w:rPr>
                <w:rFonts w:hint="eastAsia" w:ascii="宋体" w:hAnsi="宋体" w:eastAsia="宋体" w:cs="宋体"/>
                <w:color w:val="auto"/>
                <w:highlight w:val="none"/>
              </w:rPr>
            </w:pPr>
          </w:p>
        </w:tc>
        <w:tc>
          <w:tcPr>
            <w:tcW w:w="2812" w:type="dxa"/>
            <w:noWrap w:val="0"/>
            <w:vAlign w:val="center"/>
          </w:tcPr>
          <w:p w14:paraId="653B773B">
            <w:pPr>
              <w:pStyle w:val="18"/>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7470F76C">
            <w:pPr>
              <w:pStyle w:val="18"/>
              <w:widowControl w:val="0"/>
              <w:adjustRightInd w:val="0"/>
              <w:snapToGrid w:val="0"/>
              <w:jc w:val="both"/>
              <w:rPr>
                <w:rFonts w:hint="eastAsia" w:ascii="宋体" w:hAnsi="宋体" w:eastAsia="宋体" w:cs="宋体"/>
                <w:color w:val="auto"/>
                <w:highlight w:val="none"/>
              </w:rPr>
            </w:pPr>
          </w:p>
        </w:tc>
        <w:tc>
          <w:tcPr>
            <w:tcW w:w="1572" w:type="dxa"/>
            <w:noWrap w:val="0"/>
            <w:vAlign w:val="center"/>
          </w:tcPr>
          <w:p w14:paraId="7CC6845C">
            <w:pPr>
              <w:pStyle w:val="18"/>
              <w:widowControl w:val="0"/>
              <w:adjustRightInd w:val="0"/>
              <w:snapToGrid w:val="0"/>
              <w:jc w:val="both"/>
              <w:rPr>
                <w:rFonts w:hint="eastAsia" w:ascii="宋体" w:hAnsi="宋体" w:eastAsia="宋体" w:cs="宋体"/>
                <w:color w:val="auto"/>
                <w:highlight w:val="none"/>
              </w:rPr>
            </w:pPr>
          </w:p>
        </w:tc>
      </w:tr>
      <w:tr w14:paraId="76D8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5B77EA5A">
            <w:pPr>
              <w:pStyle w:val="18"/>
              <w:widowControl w:val="0"/>
              <w:adjustRightInd w:val="0"/>
              <w:snapToGrid w:val="0"/>
              <w:jc w:val="center"/>
              <w:rPr>
                <w:rFonts w:hint="eastAsia" w:ascii="宋体" w:hAnsi="宋体" w:eastAsia="宋体" w:cs="宋体"/>
                <w:color w:val="auto"/>
                <w:highlight w:val="none"/>
              </w:rPr>
            </w:pPr>
          </w:p>
        </w:tc>
        <w:tc>
          <w:tcPr>
            <w:tcW w:w="2754" w:type="dxa"/>
            <w:noWrap w:val="0"/>
            <w:vAlign w:val="center"/>
          </w:tcPr>
          <w:p w14:paraId="431BABD7">
            <w:pPr>
              <w:pStyle w:val="18"/>
              <w:widowControl w:val="0"/>
              <w:adjustRightInd w:val="0"/>
              <w:snapToGrid w:val="0"/>
              <w:jc w:val="both"/>
              <w:rPr>
                <w:rFonts w:hint="eastAsia" w:ascii="宋体" w:hAnsi="宋体" w:eastAsia="宋体" w:cs="宋体"/>
                <w:color w:val="auto"/>
                <w:highlight w:val="none"/>
              </w:rPr>
            </w:pPr>
          </w:p>
        </w:tc>
        <w:tc>
          <w:tcPr>
            <w:tcW w:w="2812" w:type="dxa"/>
            <w:noWrap w:val="0"/>
            <w:vAlign w:val="center"/>
          </w:tcPr>
          <w:p w14:paraId="41875CED">
            <w:pPr>
              <w:pStyle w:val="18"/>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71D9698C">
            <w:pPr>
              <w:pStyle w:val="18"/>
              <w:widowControl w:val="0"/>
              <w:adjustRightInd w:val="0"/>
              <w:snapToGrid w:val="0"/>
              <w:jc w:val="both"/>
              <w:rPr>
                <w:rFonts w:hint="eastAsia" w:ascii="宋体" w:hAnsi="宋体" w:eastAsia="宋体" w:cs="宋体"/>
                <w:color w:val="auto"/>
                <w:highlight w:val="none"/>
              </w:rPr>
            </w:pPr>
          </w:p>
        </w:tc>
        <w:tc>
          <w:tcPr>
            <w:tcW w:w="1572" w:type="dxa"/>
            <w:noWrap w:val="0"/>
            <w:vAlign w:val="center"/>
          </w:tcPr>
          <w:p w14:paraId="1A333499">
            <w:pPr>
              <w:pStyle w:val="18"/>
              <w:widowControl w:val="0"/>
              <w:adjustRightInd w:val="0"/>
              <w:snapToGrid w:val="0"/>
              <w:jc w:val="both"/>
              <w:rPr>
                <w:rFonts w:hint="eastAsia" w:ascii="宋体" w:hAnsi="宋体" w:eastAsia="宋体" w:cs="宋体"/>
                <w:color w:val="auto"/>
                <w:highlight w:val="none"/>
              </w:rPr>
            </w:pPr>
          </w:p>
        </w:tc>
      </w:tr>
      <w:tr w14:paraId="5E74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15143E2">
            <w:pPr>
              <w:pStyle w:val="18"/>
              <w:widowControl w:val="0"/>
              <w:adjustRightInd w:val="0"/>
              <w:snapToGrid w:val="0"/>
              <w:jc w:val="center"/>
              <w:rPr>
                <w:rFonts w:hint="eastAsia" w:ascii="宋体" w:hAnsi="宋体" w:eastAsia="宋体" w:cs="宋体"/>
                <w:color w:val="auto"/>
                <w:highlight w:val="none"/>
              </w:rPr>
            </w:pPr>
          </w:p>
        </w:tc>
        <w:tc>
          <w:tcPr>
            <w:tcW w:w="2754" w:type="dxa"/>
            <w:noWrap w:val="0"/>
            <w:vAlign w:val="center"/>
          </w:tcPr>
          <w:p w14:paraId="2BFC7405">
            <w:pPr>
              <w:pStyle w:val="18"/>
              <w:widowControl w:val="0"/>
              <w:adjustRightInd w:val="0"/>
              <w:snapToGrid w:val="0"/>
              <w:jc w:val="both"/>
              <w:rPr>
                <w:rFonts w:hint="eastAsia" w:ascii="宋体" w:hAnsi="宋体" w:eastAsia="宋体" w:cs="宋体"/>
                <w:color w:val="auto"/>
                <w:highlight w:val="none"/>
              </w:rPr>
            </w:pPr>
          </w:p>
        </w:tc>
        <w:tc>
          <w:tcPr>
            <w:tcW w:w="2812" w:type="dxa"/>
            <w:noWrap w:val="0"/>
            <w:vAlign w:val="center"/>
          </w:tcPr>
          <w:p w14:paraId="3F65340B">
            <w:pPr>
              <w:pStyle w:val="18"/>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5A667591">
            <w:pPr>
              <w:pStyle w:val="18"/>
              <w:widowControl w:val="0"/>
              <w:adjustRightInd w:val="0"/>
              <w:snapToGrid w:val="0"/>
              <w:jc w:val="both"/>
              <w:rPr>
                <w:rFonts w:hint="eastAsia" w:ascii="宋体" w:hAnsi="宋体" w:eastAsia="宋体" w:cs="宋体"/>
                <w:color w:val="auto"/>
                <w:highlight w:val="none"/>
              </w:rPr>
            </w:pPr>
          </w:p>
        </w:tc>
        <w:tc>
          <w:tcPr>
            <w:tcW w:w="1572" w:type="dxa"/>
            <w:noWrap w:val="0"/>
            <w:vAlign w:val="center"/>
          </w:tcPr>
          <w:p w14:paraId="12E7CB79">
            <w:pPr>
              <w:pStyle w:val="18"/>
              <w:widowControl w:val="0"/>
              <w:adjustRightInd w:val="0"/>
              <w:snapToGrid w:val="0"/>
              <w:jc w:val="both"/>
              <w:rPr>
                <w:rFonts w:hint="eastAsia" w:ascii="宋体" w:hAnsi="宋体" w:eastAsia="宋体" w:cs="宋体"/>
                <w:color w:val="auto"/>
                <w:highlight w:val="none"/>
              </w:rPr>
            </w:pPr>
          </w:p>
        </w:tc>
      </w:tr>
      <w:tr w14:paraId="35E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B3900A3">
            <w:pPr>
              <w:pStyle w:val="18"/>
              <w:widowControl w:val="0"/>
              <w:adjustRightInd w:val="0"/>
              <w:snapToGrid w:val="0"/>
              <w:jc w:val="center"/>
              <w:rPr>
                <w:rFonts w:hint="eastAsia" w:ascii="宋体" w:hAnsi="宋体" w:eastAsia="宋体" w:cs="宋体"/>
                <w:color w:val="auto"/>
                <w:highlight w:val="none"/>
              </w:rPr>
            </w:pPr>
          </w:p>
        </w:tc>
        <w:tc>
          <w:tcPr>
            <w:tcW w:w="2754" w:type="dxa"/>
            <w:noWrap w:val="0"/>
            <w:vAlign w:val="center"/>
          </w:tcPr>
          <w:p w14:paraId="36EF4F6D">
            <w:pPr>
              <w:pStyle w:val="18"/>
              <w:widowControl w:val="0"/>
              <w:adjustRightInd w:val="0"/>
              <w:snapToGrid w:val="0"/>
              <w:jc w:val="both"/>
              <w:rPr>
                <w:rFonts w:hint="eastAsia" w:ascii="宋体" w:hAnsi="宋体" w:eastAsia="宋体" w:cs="宋体"/>
                <w:color w:val="auto"/>
                <w:highlight w:val="none"/>
              </w:rPr>
            </w:pPr>
          </w:p>
        </w:tc>
        <w:tc>
          <w:tcPr>
            <w:tcW w:w="2812" w:type="dxa"/>
            <w:noWrap w:val="0"/>
            <w:vAlign w:val="center"/>
          </w:tcPr>
          <w:p w14:paraId="2CE906EC">
            <w:pPr>
              <w:pStyle w:val="18"/>
              <w:widowControl w:val="0"/>
              <w:adjustRightInd w:val="0"/>
              <w:snapToGrid w:val="0"/>
              <w:jc w:val="both"/>
              <w:rPr>
                <w:rFonts w:hint="eastAsia" w:ascii="宋体" w:hAnsi="宋体" w:eastAsia="宋体" w:cs="宋体"/>
                <w:color w:val="auto"/>
                <w:highlight w:val="none"/>
              </w:rPr>
            </w:pPr>
          </w:p>
        </w:tc>
        <w:tc>
          <w:tcPr>
            <w:tcW w:w="1522" w:type="dxa"/>
            <w:noWrap w:val="0"/>
            <w:vAlign w:val="center"/>
          </w:tcPr>
          <w:p w14:paraId="59B09F3E">
            <w:pPr>
              <w:pStyle w:val="18"/>
              <w:widowControl w:val="0"/>
              <w:adjustRightInd w:val="0"/>
              <w:snapToGrid w:val="0"/>
              <w:jc w:val="both"/>
              <w:rPr>
                <w:rFonts w:hint="eastAsia" w:ascii="宋体" w:hAnsi="宋体" w:eastAsia="宋体" w:cs="宋体"/>
                <w:color w:val="auto"/>
                <w:highlight w:val="none"/>
              </w:rPr>
            </w:pPr>
          </w:p>
        </w:tc>
        <w:tc>
          <w:tcPr>
            <w:tcW w:w="1572" w:type="dxa"/>
            <w:noWrap w:val="0"/>
            <w:vAlign w:val="center"/>
          </w:tcPr>
          <w:p w14:paraId="5EDDDA58">
            <w:pPr>
              <w:pStyle w:val="18"/>
              <w:widowControl w:val="0"/>
              <w:adjustRightInd w:val="0"/>
              <w:snapToGrid w:val="0"/>
              <w:jc w:val="both"/>
              <w:rPr>
                <w:rFonts w:hint="eastAsia" w:ascii="宋体" w:hAnsi="宋体" w:eastAsia="宋体" w:cs="宋体"/>
                <w:color w:val="auto"/>
                <w:highlight w:val="none"/>
              </w:rPr>
            </w:pPr>
          </w:p>
        </w:tc>
      </w:tr>
      <w:bookmarkEnd w:id="38"/>
    </w:tbl>
    <w:p w14:paraId="0CDF099F">
      <w:pPr>
        <w:widowControl w:val="0"/>
        <w:tabs>
          <w:tab w:val="left" w:pos="3435"/>
        </w:tabs>
        <w:adjustRightInd w:val="0"/>
        <w:snapToGrid w:val="0"/>
        <w:rPr>
          <w:rFonts w:hint="eastAsia" w:ascii="宋体" w:hAnsi="宋体" w:eastAsia="宋体" w:cs="宋体"/>
          <w:b/>
          <w:color w:val="auto"/>
          <w:sz w:val="21"/>
          <w:szCs w:val="21"/>
          <w:highlight w:val="none"/>
        </w:rPr>
      </w:pPr>
    </w:p>
    <w:p w14:paraId="6E18B541">
      <w:pPr>
        <w:widowControl w:val="0"/>
        <w:tabs>
          <w:tab w:val="left" w:pos="3435"/>
        </w:tabs>
        <w:adjustRightInd w:val="0"/>
        <w:snapToGrid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说明：1.投标人拟投的货物与招标文件中设置的技术参数不一致时，则必须在此表中予以明确。否则将视为投标人完全响应招标文件的要求，并以招标文件作为验收条件。</w:t>
      </w:r>
    </w:p>
    <w:p w14:paraId="4DBEED8F">
      <w:pPr>
        <w:widowControl w:val="0"/>
        <w:tabs>
          <w:tab w:val="left" w:pos="3435"/>
        </w:tabs>
        <w:adjustRightInd w:val="0"/>
        <w:snapToGrid w:val="0"/>
        <w:ind w:firstLine="620" w:firstLineChars="29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2.偏离情况分别为：正偏离、无偏离或负偏离。投标人可在备注栏内就偏离原因进行简要说明。</w:t>
      </w:r>
    </w:p>
    <w:p w14:paraId="0CCD39EE">
      <w:pPr>
        <w:pStyle w:val="13"/>
        <w:widowControl w:val="0"/>
        <w:adjustRightInd w:val="0"/>
        <w:snapToGrid w:val="0"/>
        <w:spacing w:before="0" w:beforeAutospacing="0" w:after="0" w:afterAutospacing="0" w:line="360" w:lineRule="auto"/>
        <w:ind w:left="480" w:firstLine="720" w:firstLineChars="300"/>
        <w:rPr>
          <w:rFonts w:hint="eastAsia" w:ascii="宋体" w:hAnsi="宋体" w:eastAsia="宋体" w:cs="宋体"/>
          <w:color w:val="auto"/>
          <w:highlight w:val="none"/>
        </w:rPr>
      </w:pPr>
    </w:p>
    <w:p w14:paraId="40D3BCAA">
      <w:pPr>
        <w:pStyle w:val="13"/>
        <w:widowControl w:val="0"/>
        <w:adjustRightInd w:val="0"/>
        <w:snapToGrid w:val="0"/>
        <w:spacing w:before="0" w:beforeAutospacing="0" w:after="0" w:afterAutospacing="0" w:line="360" w:lineRule="auto"/>
        <w:ind w:left="480" w:firstLine="720" w:firstLineChars="300"/>
        <w:rPr>
          <w:rFonts w:hint="eastAsia" w:ascii="宋体" w:hAnsi="宋体" w:eastAsia="宋体" w:cs="宋体"/>
          <w:color w:val="auto"/>
          <w:highlight w:val="none"/>
        </w:rPr>
      </w:pPr>
    </w:p>
    <w:p w14:paraId="1ADA3D03">
      <w:pPr>
        <w:pStyle w:val="13"/>
        <w:widowControl w:val="0"/>
        <w:adjustRightInd w:val="0"/>
        <w:snapToGrid w:val="0"/>
        <w:spacing w:before="0" w:beforeAutospacing="0" w:after="0" w:afterAutospacing="0" w:line="360" w:lineRule="auto"/>
        <w:ind w:left="480"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投标人（电子签名）：__________________________ </w:t>
      </w:r>
    </w:p>
    <w:p w14:paraId="758878E0">
      <w:pPr>
        <w:pStyle w:val="13"/>
        <w:widowControl w:val="0"/>
        <w:adjustRightInd w:val="0"/>
        <w:snapToGrid w:val="0"/>
        <w:spacing w:before="0" w:beforeAutospacing="0" w:after="0" w:afterAutospacing="0"/>
        <w:ind w:left="480" w:firstLine="720" w:firstLineChars="300"/>
        <w:rPr>
          <w:rFonts w:hint="eastAsia" w:ascii="宋体" w:hAnsi="宋体" w:eastAsia="宋体" w:cs="宋体"/>
          <w:color w:val="auto"/>
          <w:highlight w:val="none"/>
          <w:u w:val="single"/>
        </w:rPr>
      </w:pPr>
      <w:r>
        <w:rPr>
          <w:rFonts w:hint="eastAsia" w:ascii="宋体" w:hAnsi="宋体" w:eastAsia="宋体" w:cs="宋体"/>
          <w:color w:val="auto"/>
          <w:highlight w:val="none"/>
        </w:rPr>
        <w:t>日期：_</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年____月____日</w:t>
      </w:r>
    </w:p>
    <w:bookmarkEnd w:id="39"/>
    <w:p w14:paraId="52DE245B">
      <w:pPr>
        <w:pStyle w:val="13"/>
        <w:widowControl w:val="0"/>
        <w:adjustRightInd w:val="0"/>
        <w:snapToGrid w:val="0"/>
        <w:jc w:val="center"/>
        <w:rPr>
          <w:rFonts w:hint="eastAsia" w:ascii="宋体" w:hAnsi="宋体" w:eastAsia="宋体" w:cs="宋体"/>
          <w:b/>
          <w:color w:val="auto"/>
          <w:sz w:val="32"/>
          <w:szCs w:val="32"/>
          <w:highlight w:val="none"/>
        </w:rPr>
        <w:sectPr>
          <w:pgSz w:w="11906" w:h="16838"/>
          <w:pgMar w:top="1259" w:right="1287" w:bottom="1361" w:left="1622" w:header="709" w:footer="975" w:gutter="0"/>
          <w:cols w:space="720" w:num="1"/>
          <w:docGrid w:linePitch="360" w:charSpace="0"/>
        </w:sectPr>
      </w:pPr>
    </w:p>
    <w:p w14:paraId="7E9906D2">
      <w:pPr>
        <w:pStyle w:val="13"/>
        <w:widowControl w:val="0"/>
        <w:adjustRightInd w:val="0"/>
        <w:snapToGrid w:val="0"/>
        <w:jc w:val="center"/>
        <w:rPr>
          <w:rFonts w:hint="eastAsia" w:ascii="宋体" w:hAnsi="宋体" w:eastAsia="宋体" w:cs="宋体"/>
          <w:color w:val="auto"/>
          <w:spacing w:val="60"/>
          <w:sz w:val="32"/>
          <w:szCs w:val="32"/>
          <w:highlight w:val="none"/>
        </w:rPr>
      </w:pPr>
      <w:r>
        <w:rPr>
          <w:rFonts w:hint="eastAsia" w:ascii="宋体" w:hAnsi="宋体" w:eastAsia="宋体" w:cs="宋体"/>
          <w:b/>
          <w:color w:val="auto"/>
          <w:sz w:val="32"/>
          <w:szCs w:val="32"/>
          <w:highlight w:val="none"/>
        </w:rPr>
        <w:t>六、项目实施人员一览表</w:t>
      </w:r>
    </w:p>
    <w:tbl>
      <w:tblPr>
        <w:tblStyle w:val="21"/>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5B9B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2B903CC8">
            <w:pPr>
              <w:pStyle w:val="13"/>
              <w:widowControl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40" w:type="dxa"/>
            <w:noWrap w:val="0"/>
            <w:vAlign w:val="center"/>
          </w:tcPr>
          <w:p w14:paraId="4170A188">
            <w:pPr>
              <w:pStyle w:val="13"/>
              <w:widowControl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118" w:type="dxa"/>
            <w:noWrap w:val="0"/>
            <w:vAlign w:val="center"/>
          </w:tcPr>
          <w:p w14:paraId="50E3C964">
            <w:pPr>
              <w:pStyle w:val="13"/>
              <w:widowControl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职务/职称</w:t>
            </w:r>
          </w:p>
        </w:tc>
        <w:tc>
          <w:tcPr>
            <w:tcW w:w="2880" w:type="dxa"/>
            <w:noWrap w:val="0"/>
            <w:vAlign w:val="center"/>
          </w:tcPr>
          <w:p w14:paraId="51DBAB08">
            <w:pPr>
              <w:pStyle w:val="13"/>
              <w:widowControl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拟负责岗位</w:t>
            </w:r>
          </w:p>
        </w:tc>
        <w:tc>
          <w:tcPr>
            <w:tcW w:w="1482" w:type="dxa"/>
            <w:noWrap w:val="0"/>
            <w:vAlign w:val="center"/>
          </w:tcPr>
          <w:p w14:paraId="0C67955E">
            <w:pPr>
              <w:pStyle w:val="13"/>
              <w:widowControl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3EB3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2E38A47F">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5FB944A8">
            <w:pPr>
              <w:pStyle w:val="13"/>
              <w:widowControl w:val="0"/>
              <w:snapToGrid w:val="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18" w:type="dxa"/>
            <w:noWrap w:val="0"/>
            <w:vAlign w:val="center"/>
          </w:tcPr>
          <w:p w14:paraId="1F670AE4">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6CE6D808">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29379F73">
            <w:pPr>
              <w:pStyle w:val="13"/>
              <w:widowControl w:val="0"/>
              <w:snapToGrid w:val="0"/>
              <w:ind w:left="480" w:firstLine="480"/>
              <w:jc w:val="center"/>
              <w:rPr>
                <w:rFonts w:hint="eastAsia" w:ascii="宋体" w:hAnsi="宋体" w:eastAsia="宋体" w:cs="宋体"/>
                <w:color w:val="auto"/>
                <w:highlight w:val="none"/>
              </w:rPr>
            </w:pPr>
          </w:p>
        </w:tc>
      </w:tr>
      <w:tr w14:paraId="545E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0271AE5D">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4A90E4BA">
            <w:pPr>
              <w:pStyle w:val="13"/>
              <w:widowControl w:val="0"/>
              <w:snapToGrid w:val="0"/>
              <w:ind w:left="480" w:firstLine="480"/>
              <w:jc w:val="center"/>
              <w:rPr>
                <w:rFonts w:hint="eastAsia" w:ascii="宋体" w:hAnsi="宋体" w:eastAsia="宋体" w:cs="宋体"/>
                <w:color w:val="auto"/>
                <w:highlight w:val="none"/>
              </w:rPr>
            </w:pPr>
          </w:p>
        </w:tc>
        <w:tc>
          <w:tcPr>
            <w:tcW w:w="2118" w:type="dxa"/>
            <w:noWrap w:val="0"/>
            <w:vAlign w:val="center"/>
          </w:tcPr>
          <w:p w14:paraId="47630302">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2EC29FE8">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2918B814">
            <w:pPr>
              <w:pStyle w:val="13"/>
              <w:widowControl w:val="0"/>
              <w:snapToGrid w:val="0"/>
              <w:ind w:left="480" w:firstLine="480"/>
              <w:jc w:val="center"/>
              <w:rPr>
                <w:rFonts w:hint="eastAsia" w:ascii="宋体" w:hAnsi="宋体" w:eastAsia="宋体" w:cs="宋体"/>
                <w:color w:val="auto"/>
                <w:highlight w:val="none"/>
              </w:rPr>
            </w:pPr>
          </w:p>
        </w:tc>
      </w:tr>
      <w:tr w14:paraId="1F9F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4EC564B9">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3F6BEE4D">
            <w:pPr>
              <w:pStyle w:val="13"/>
              <w:widowControl w:val="0"/>
              <w:snapToGrid w:val="0"/>
              <w:ind w:left="480" w:firstLine="480"/>
              <w:jc w:val="center"/>
              <w:rPr>
                <w:rFonts w:hint="eastAsia" w:ascii="宋体" w:hAnsi="宋体" w:eastAsia="宋体" w:cs="宋体"/>
                <w:color w:val="auto"/>
                <w:highlight w:val="none"/>
              </w:rPr>
            </w:pPr>
          </w:p>
        </w:tc>
        <w:tc>
          <w:tcPr>
            <w:tcW w:w="2118" w:type="dxa"/>
            <w:noWrap w:val="0"/>
            <w:vAlign w:val="center"/>
          </w:tcPr>
          <w:p w14:paraId="7A6ABAAF">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2F69CAB3">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6DA35291">
            <w:pPr>
              <w:pStyle w:val="13"/>
              <w:widowControl w:val="0"/>
              <w:snapToGrid w:val="0"/>
              <w:ind w:left="480" w:firstLine="480"/>
              <w:jc w:val="center"/>
              <w:rPr>
                <w:rFonts w:hint="eastAsia" w:ascii="宋体" w:hAnsi="宋体" w:eastAsia="宋体" w:cs="宋体"/>
                <w:color w:val="auto"/>
                <w:highlight w:val="none"/>
              </w:rPr>
            </w:pPr>
          </w:p>
        </w:tc>
      </w:tr>
      <w:tr w14:paraId="3634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197BD831">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1901A483">
            <w:pPr>
              <w:pStyle w:val="13"/>
              <w:widowControl w:val="0"/>
              <w:snapToGrid w:val="0"/>
              <w:ind w:left="480" w:firstLine="480"/>
              <w:jc w:val="center"/>
              <w:rPr>
                <w:rFonts w:hint="eastAsia" w:ascii="宋体" w:hAnsi="宋体" w:eastAsia="宋体" w:cs="宋体"/>
                <w:color w:val="auto"/>
                <w:highlight w:val="none"/>
              </w:rPr>
            </w:pPr>
          </w:p>
        </w:tc>
        <w:tc>
          <w:tcPr>
            <w:tcW w:w="2118" w:type="dxa"/>
            <w:noWrap w:val="0"/>
            <w:vAlign w:val="center"/>
          </w:tcPr>
          <w:p w14:paraId="7B13E9DA">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46E61E91">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702C1A8C">
            <w:pPr>
              <w:pStyle w:val="13"/>
              <w:widowControl w:val="0"/>
              <w:snapToGrid w:val="0"/>
              <w:ind w:left="480" w:firstLine="480"/>
              <w:jc w:val="center"/>
              <w:rPr>
                <w:rFonts w:hint="eastAsia" w:ascii="宋体" w:hAnsi="宋体" w:eastAsia="宋体" w:cs="宋体"/>
                <w:color w:val="auto"/>
                <w:highlight w:val="none"/>
              </w:rPr>
            </w:pPr>
          </w:p>
        </w:tc>
      </w:tr>
      <w:tr w14:paraId="2CA7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45C65DAA">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2A2A66AB">
            <w:pPr>
              <w:pStyle w:val="13"/>
              <w:widowControl w:val="0"/>
              <w:snapToGrid w:val="0"/>
              <w:ind w:left="480" w:firstLine="480"/>
              <w:jc w:val="center"/>
              <w:rPr>
                <w:rFonts w:hint="eastAsia" w:ascii="宋体" w:hAnsi="宋体" w:eastAsia="宋体" w:cs="宋体"/>
                <w:color w:val="auto"/>
                <w:highlight w:val="none"/>
              </w:rPr>
            </w:pPr>
          </w:p>
        </w:tc>
        <w:tc>
          <w:tcPr>
            <w:tcW w:w="2118" w:type="dxa"/>
            <w:noWrap w:val="0"/>
            <w:vAlign w:val="center"/>
          </w:tcPr>
          <w:p w14:paraId="744F1664">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6654F5F0">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254CB91B">
            <w:pPr>
              <w:pStyle w:val="13"/>
              <w:widowControl w:val="0"/>
              <w:snapToGrid w:val="0"/>
              <w:ind w:left="480" w:firstLine="480"/>
              <w:jc w:val="center"/>
              <w:rPr>
                <w:rFonts w:hint="eastAsia" w:ascii="宋体" w:hAnsi="宋体" w:eastAsia="宋体" w:cs="宋体"/>
                <w:color w:val="auto"/>
                <w:highlight w:val="none"/>
              </w:rPr>
            </w:pPr>
          </w:p>
        </w:tc>
      </w:tr>
      <w:tr w14:paraId="0D4D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7DF40E61">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5051D805">
            <w:pPr>
              <w:pStyle w:val="13"/>
              <w:widowControl w:val="0"/>
              <w:snapToGrid w:val="0"/>
              <w:ind w:left="480" w:firstLine="480"/>
              <w:jc w:val="center"/>
              <w:rPr>
                <w:rFonts w:hint="eastAsia" w:ascii="宋体" w:hAnsi="宋体" w:eastAsia="宋体" w:cs="宋体"/>
                <w:color w:val="auto"/>
                <w:highlight w:val="none"/>
              </w:rPr>
            </w:pPr>
          </w:p>
        </w:tc>
        <w:tc>
          <w:tcPr>
            <w:tcW w:w="2118" w:type="dxa"/>
            <w:noWrap w:val="0"/>
            <w:vAlign w:val="center"/>
          </w:tcPr>
          <w:p w14:paraId="667D12B0">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06D48307">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2612DDB6">
            <w:pPr>
              <w:pStyle w:val="13"/>
              <w:widowControl w:val="0"/>
              <w:snapToGrid w:val="0"/>
              <w:ind w:left="480" w:firstLine="480"/>
              <w:jc w:val="center"/>
              <w:rPr>
                <w:rFonts w:hint="eastAsia" w:ascii="宋体" w:hAnsi="宋体" w:eastAsia="宋体" w:cs="宋体"/>
                <w:color w:val="auto"/>
                <w:highlight w:val="none"/>
              </w:rPr>
            </w:pPr>
          </w:p>
        </w:tc>
      </w:tr>
      <w:tr w14:paraId="2CEA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03B00426">
            <w:pPr>
              <w:pStyle w:val="13"/>
              <w:widowControl w:val="0"/>
              <w:snapToGrid w:val="0"/>
              <w:ind w:left="480" w:firstLine="480"/>
              <w:jc w:val="center"/>
              <w:rPr>
                <w:rFonts w:hint="eastAsia" w:ascii="宋体" w:hAnsi="宋体" w:eastAsia="宋体" w:cs="宋体"/>
                <w:color w:val="auto"/>
                <w:highlight w:val="none"/>
              </w:rPr>
            </w:pPr>
          </w:p>
        </w:tc>
        <w:tc>
          <w:tcPr>
            <w:tcW w:w="1740" w:type="dxa"/>
            <w:noWrap w:val="0"/>
            <w:vAlign w:val="center"/>
          </w:tcPr>
          <w:p w14:paraId="25FE43A1">
            <w:pPr>
              <w:pStyle w:val="13"/>
              <w:widowControl w:val="0"/>
              <w:snapToGrid w:val="0"/>
              <w:ind w:left="480" w:firstLine="480"/>
              <w:jc w:val="center"/>
              <w:rPr>
                <w:rFonts w:hint="eastAsia" w:ascii="宋体" w:hAnsi="宋体" w:eastAsia="宋体" w:cs="宋体"/>
                <w:color w:val="auto"/>
                <w:highlight w:val="none"/>
              </w:rPr>
            </w:pPr>
          </w:p>
        </w:tc>
        <w:tc>
          <w:tcPr>
            <w:tcW w:w="2118" w:type="dxa"/>
            <w:noWrap w:val="0"/>
            <w:vAlign w:val="center"/>
          </w:tcPr>
          <w:p w14:paraId="090C9804">
            <w:pPr>
              <w:pStyle w:val="13"/>
              <w:widowControl w:val="0"/>
              <w:snapToGrid w:val="0"/>
              <w:ind w:left="480" w:firstLine="480"/>
              <w:jc w:val="center"/>
              <w:rPr>
                <w:rFonts w:hint="eastAsia" w:ascii="宋体" w:hAnsi="宋体" w:eastAsia="宋体" w:cs="宋体"/>
                <w:color w:val="auto"/>
                <w:highlight w:val="none"/>
              </w:rPr>
            </w:pPr>
          </w:p>
        </w:tc>
        <w:tc>
          <w:tcPr>
            <w:tcW w:w="2880" w:type="dxa"/>
            <w:noWrap w:val="0"/>
            <w:vAlign w:val="center"/>
          </w:tcPr>
          <w:p w14:paraId="687557FA">
            <w:pPr>
              <w:pStyle w:val="13"/>
              <w:widowControl w:val="0"/>
              <w:snapToGrid w:val="0"/>
              <w:ind w:left="480" w:firstLine="480"/>
              <w:jc w:val="center"/>
              <w:rPr>
                <w:rFonts w:hint="eastAsia" w:ascii="宋体" w:hAnsi="宋体" w:eastAsia="宋体" w:cs="宋体"/>
                <w:color w:val="auto"/>
                <w:highlight w:val="none"/>
              </w:rPr>
            </w:pPr>
          </w:p>
        </w:tc>
        <w:tc>
          <w:tcPr>
            <w:tcW w:w="1482" w:type="dxa"/>
            <w:noWrap w:val="0"/>
            <w:vAlign w:val="center"/>
          </w:tcPr>
          <w:p w14:paraId="305DD62F">
            <w:pPr>
              <w:pStyle w:val="13"/>
              <w:widowControl w:val="0"/>
              <w:snapToGrid w:val="0"/>
              <w:ind w:left="480" w:firstLine="480"/>
              <w:jc w:val="center"/>
              <w:rPr>
                <w:rFonts w:hint="eastAsia" w:ascii="宋体" w:hAnsi="宋体" w:eastAsia="宋体" w:cs="宋体"/>
                <w:color w:val="auto"/>
                <w:highlight w:val="none"/>
              </w:rPr>
            </w:pPr>
          </w:p>
        </w:tc>
      </w:tr>
    </w:tbl>
    <w:p w14:paraId="1CD1A730">
      <w:pPr>
        <w:pStyle w:val="13"/>
        <w:widowControl w:val="0"/>
        <w:snapToGrid w:val="0"/>
        <w:rPr>
          <w:rFonts w:hint="eastAsia" w:ascii="宋体" w:hAnsi="宋体" w:eastAsia="宋体" w:cs="宋体"/>
          <w:color w:val="auto"/>
          <w:highlight w:val="none"/>
        </w:rPr>
      </w:pPr>
    </w:p>
    <w:p w14:paraId="368DC6CF">
      <w:pPr>
        <w:pStyle w:val="13"/>
        <w:widowControl w:val="0"/>
        <w:snapToGrid w:val="0"/>
        <w:rPr>
          <w:rFonts w:hint="eastAsia" w:ascii="宋体" w:hAnsi="宋体" w:eastAsia="宋体" w:cs="宋体"/>
          <w:color w:val="auto"/>
          <w:highlight w:val="none"/>
        </w:rPr>
      </w:pPr>
    </w:p>
    <w:p w14:paraId="1014CF3E">
      <w:pPr>
        <w:pStyle w:val="13"/>
        <w:widowControl w:val="0"/>
        <w:adjustRightInd w:val="0"/>
        <w:snapToGrid w:val="0"/>
        <w:spacing w:before="0" w:beforeAutospacing="0" w:after="0" w:afterAutospacing="0" w:line="360" w:lineRule="auto"/>
        <w:ind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投标人（电子签章）：__________________________</w:t>
      </w:r>
    </w:p>
    <w:p w14:paraId="4C7C1414">
      <w:pPr>
        <w:shd w:val="clear" w:color="auto" w:fill="FFFFFF"/>
        <w:spacing w:before="100" w:beforeAutospacing="1" w:after="100" w:afterAutospacing="1" w:line="500" w:lineRule="atLeast"/>
        <w:ind w:firstLine="358"/>
        <w:jc w:val="center"/>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r>
        <w:rPr>
          <w:rFonts w:hint="eastAsia" w:ascii="宋体" w:hAnsi="宋体" w:eastAsia="宋体" w:cs="宋体"/>
          <w:color w:val="auto"/>
          <w:highlight w:val="none"/>
        </w:rPr>
        <w:t>日期：____年____月____日</w:t>
      </w:r>
    </w:p>
    <w:p w14:paraId="1655F771">
      <w:pPr>
        <w:adjustRightInd w:val="0"/>
        <w:snapToGrid w:val="0"/>
        <w:spacing w:before="100" w:beforeAutospacing="1" w:after="100" w:afterAutospacing="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七、拟投入本项目的设备明细表（如有）</w:t>
      </w:r>
    </w:p>
    <w:tbl>
      <w:tblPr>
        <w:tblStyle w:val="21"/>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44"/>
        <w:gridCol w:w="2835"/>
        <w:gridCol w:w="1353"/>
        <w:gridCol w:w="1353"/>
      </w:tblGrid>
      <w:tr w14:paraId="7351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CB0EC2C">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E7DC8C">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1C0324E">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AA4ABD1">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54AD893">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BDC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C9FCF28">
            <w:pPr>
              <w:adjustRightInd w:val="0"/>
              <w:snapToGrid w:val="0"/>
              <w:spacing w:line="360" w:lineRule="auto"/>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2938C9">
            <w:pPr>
              <w:adjustRightInd w:val="0"/>
              <w:snapToGrid w:val="0"/>
              <w:spacing w:line="360" w:lineRule="auto"/>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66C7D33">
            <w:pPr>
              <w:adjustRightInd w:val="0"/>
              <w:snapToGrid w:val="0"/>
              <w:spacing w:line="360" w:lineRule="auto"/>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54DC12E">
            <w:pPr>
              <w:adjustRightInd w:val="0"/>
              <w:snapToGrid w:val="0"/>
              <w:spacing w:line="360" w:lineRule="auto"/>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8FA18D0">
            <w:pPr>
              <w:adjustRightInd w:val="0"/>
              <w:snapToGrid w:val="0"/>
              <w:spacing w:line="360" w:lineRule="auto"/>
              <w:rPr>
                <w:rFonts w:hint="eastAsia" w:ascii="宋体" w:hAnsi="宋体" w:eastAsia="宋体" w:cs="宋体"/>
                <w:color w:val="auto"/>
                <w:highlight w:val="none"/>
              </w:rPr>
            </w:pPr>
          </w:p>
        </w:tc>
      </w:tr>
      <w:tr w14:paraId="7238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5D6BFC0">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F188B2F">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02AE35">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91249E7">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64DBF23">
            <w:pPr>
              <w:spacing w:before="100" w:beforeAutospacing="1" w:after="100" w:afterAutospacing="1"/>
              <w:rPr>
                <w:rFonts w:hint="eastAsia" w:ascii="宋体" w:hAnsi="宋体" w:eastAsia="宋体" w:cs="宋体"/>
                <w:color w:val="auto"/>
                <w:highlight w:val="none"/>
              </w:rPr>
            </w:pPr>
          </w:p>
        </w:tc>
      </w:tr>
      <w:tr w14:paraId="34D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2F6F258">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FC6BE42">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5F4D57">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1E570DA">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A741A7C">
            <w:pPr>
              <w:spacing w:before="100" w:beforeAutospacing="1" w:after="100" w:afterAutospacing="1"/>
              <w:rPr>
                <w:rFonts w:hint="eastAsia" w:ascii="宋体" w:hAnsi="宋体" w:eastAsia="宋体" w:cs="宋体"/>
                <w:color w:val="auto"/>
                <w:highlight w:val="none"/>
              </w:rPr>
            </w:pPr>
          </w:p>
        </w:tc>
      </w:tr>
      <w:tr w14:paraId="0E39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601B282">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95AC85C">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680AA0">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2CB07BC">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4B4F2E9">
            <w:pPr>
              <w:spacing w:before="100" w:beforeAutospacing="1" w:after="100" w:afterAutospacing="1"/>
              <w:rPr>
                <w:rFonts w:hint="eastAsia" w:ascii="宋体" w:hAnsi="宋体" w:eastAsia="宋体" w:cs="宋体"/>
                <w:color w:val="auto"/>
                <w:highlight w:val="none"/>
              </w:rPr>
            </w:pPr>
          </w:p>
        </w:tc>
      </w:tr>
      <w:tr w14:paraId="4A05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4E0149F">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146608B">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5421CA">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E0D59A1">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BD1EBDB">
            <w:pPr>
              <w:spacing w:before="100" w:beforeAutospacing="1" w:after="100" w:afterAutospacing="1"/>
              <w:rPr>
                <w:rFonts w:hint="eastAsia" w:ascii="宋体" w:hAnsi="宋体" w:eastAsia="宋体" w:cs="宋体"/>
                <w:color w:val="auto"/>
                <w:highlight w:val="none"/>
              </w:rPr>
            </w:pPr>
          </w:p>
        </w:tc>
      </w:tr>
      <w:tr w14:paraId="4B93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417F7F0">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74AC64D">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17F98A">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E34BEAD">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B6D78D1">
            <w:pPr>
              <w:spacing w:before="100" w:beforeAutospacing="1" w:after="100" w:afterAutospacing="1"/>
              <w:rPr>
                <w:rFonts w:hint="eastAsia" w:ascii="宋体" w:hAnsi="宋体" w:eastAsia="宋体" w:cs="宋体"/>
                <w:color w:val="auto"/>
                <w:highlight w:val="none"/>
              </w:rPr>
            </w:pPr>
          </w:p>
        </w:tc>
      </w:tr>
      <w:tr w14:paraId="0534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D4B2D3C">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E831A8A">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2EF7F0">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BF14225">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088F845">
            <w:pPr>
              <w:spacing w:before="100" w:beforeAutospacing="1" w:after="100" w:afterAutospacing="1"/>
              <w:rPr>
                <w:rFonts w:hint="eastAsia" w:ascii="宋体" w:hAnsi="宋体" w:eastAsia="宋体" w:cs="宋体"/>
                <w:color w:val="auto"/>
                <w:highlight w:val="none"/>
              </w:rPr>
            </w:pPr>
          </w:p>
        </w:tc>
      </w:tr>
      <w:tr w14:paraId="6851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060A56F">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E031C20">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FEBF3A">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965C069">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6AB1035">
            <w:pPr>
              <w:spacing w:before="100" w:beforeAutospacing="1" w:after="100" w:afterAutospacing="1"/>
              <w:rPr>
                <w:rFonts w:hint="eastAsia" w:ascii="宋体" w:hAnsi="宋体" w:eastAsia="宋体" w:cs="宋体"/>
                <w:color w:val="auto"/>
                <w:highlight w:val="none"/>
              </w:rPr>
            </w:pPr>
          </w:p>
        </w:tc>
      </w:tr>
      <w:tr w14:paraId="43F7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0F76C61">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C123B7">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A06C67">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BF78FF1">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B4FDBF3">
            <w:pPr>
              <w:spacing w:before="100" w:beforeAutospacing="1" w:after="100" w:afterAutospacing="1"/>
              <w:rPr>
                <w:rFonts w:hint="eastAsia" w:ascii="宋体" w:hAnsi="宋体" w:eastAsia="宋体" w:cs="宋体"/>
                <w:color w:val="auto"/>
                <w:highlight w:val="none"/>
              </w:rPr>
            </w:pPr>
          </w:p>
        </w:tc>
      </w:tr>
      <w:tr w14:paraId="39ED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F683AF1">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96E36C">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97C089">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0195519">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9FC79DF">
            <w:pPr>
              <w:spacing w:before="100" w:beforeAutospacing="1" w:after="100" w:afterAutospacing="1"/>
              <w:rPr>
                <w:rFonts w:hint="eastAsia" w:ascii="宋体" w:hAnsi="宋体" w:eastAsia="宋体" w:cs="宋体"/>
                <w:color w:val="auto"/>
                <w:highlight w:val="none"/>
              </w:rPr>
            </w:pPr>
          </w:p>
        </w:tc>
      </w:tr>
      <w:tr w14:paraId="2049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7B076EA">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E348C8">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696607">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E5DF600">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8ACB070">
            <w:pPr>
              <w:spacing w:before="100" w:beforeAutospacing="1" w:after="100" w:afterAutospacing="1"/>
              <w:rPr>
                <w:rFonts w:hint="eastAsia" w:ascii="宋体" w:hAnsi="宋体" w:eastAsia="宋体" w:cs="宋体"/>
                <w:color w:val="auto"/>
                <w:highlight w:val="none"/>
              </w:rPr>
            </w:pPr>
          </w:p>
        </w:tc>
      </w:tr>
      <w:tr w14:paraId="5FCE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C7BF10C">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1A65CAC">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153BD9">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D5839C6">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8227A00">
            <w:pPr>
              <w:spacing w:before="100" w:beforeAutospacing="1" w:after="100" w:afterAutospacing="1"/>
              <w:rPr>
                <w:rFonts w:hint="eastAsia" w:ascii="宋体" w:hAnsi="宋体" w:eastAsia="宋体" w:cs="宋体"/>
                <w:color w:val="auto"/>
                <w:highlight w:val="none"/>
              </w:rPr>
            </w:pPr>
          </w:p>
        </w:tc>
      </w:tr>
      <w:tr w14:paraId="48A4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428AE5A">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884CBB3">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110B994">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7F5021B">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ABCCA75">
            <w:pPr>
              <w:spacing w:before="100" w:beforeAutospacing="1" w:after="100" w:afterAutospacing="1"/>
              <w:rPr>
                <w:rFonts w:hint="eastAsia" w:ascii="宋体" w:hAnsi="宋体" w:eastAsia="宋体" w:cs="宋体"/>
                <w:color w:val="auto"/>
                <w:highlight w:val="none"/>
              </w:rPr>
            </w:pPr>
          </w:p>
        </w:tc>
      </w:tr>
      <w:tr w14:paraId="6A21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AE0B74C">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35946C5">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BB357A5">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866B76A">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131BD53">
            <w:pPr>
              <w:spacing w:before="100" w:beforeAutospacing="1" w:after="100" w:afterAutospacing="1"/>
              <w:rPr>
                <w:rFonts w:hint="eastAsia" w:ascii="宋体" w:hAnsi="宋体" w:eastAsia="宋体" w:cs="宋体"/>
                <w:color w:val="auto"/>
                <w:highlight w:val="none"/>
              </w:rPr>
            </w:pPr>
          </w:p>
        </w:tc>
      </w:tr>
      <w:tr w14:paraId="7529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C3C1C5C">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804C6DE">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5FF69B">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5EE39BE">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5DB7621">
            <w:pPr>
              <w:spacing w:before="100" w:beforeAutospacing="1" w:after="100" w:afterAutospacing="1"/>
              <w:rPr>
                <w:rFonts w:hint="eastAsia" w:ascii="宋体" w:hAnsi="宋体" w:eastAsia="宋体" w:cs="宋体"/>
                <w:color w:val="auto"/>
                <w:highlight w:val="none"/>
              </w:rPr>
            </w:pPr>
          </w:p>
        </w:tc>
      </w:tr>
      <w:tr w14:paraId="7818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4B465B9">
            <w:pPr>
              <w:spacing w:before="100" w:beforeAutospacing="1" w:after="100" w:afterAutospacing="1"/>
              <w:rPr>
                <w:rFonts w:hint="eastAsia" w:ascii="宋体" w:hAnsi="宋体" w:eastAsia="宋体" w:cs="宋体"/>
                <w:color w:val="auto"/>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A008EF9">
            <w:pPr>
              <w:spacing w:before="100" w:beforeAutospacing="1" w:after="100" w:afterAutospacing="1"/>
              <w:rPr>
                <w:rFonts w:hint="eastAsia" w:ascii="宋体" w:hAnsi="宋体" w:eastAsia="宋体" w:cs="宋体"/>
                <w:color w:val="auto"/>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6D1E16">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92CFCD7">
            <w:pPr>
              <w:spacing w:before="100" w:beforeAutospacing="1" w:after="100" w:afterAutospacing="1"/>
              <w:rPr>
                <w:rFonts w:hint="eastAsia" w:ascii="宋体" w:hAnsi="宋体" w:eastAsia="宋体" w:cs="宋体"/>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FE4739C">
            <w:pPr>
              <w:spacing w:before="100" w:beforeAutospacing="1" w:after="100" w:afterAutospacing="1"/>
              <w:rPr>
                <w:rFonts w:hint="eastAsia" w:ascii="宋体" w:hAnsi="宋体" w:eastAsia="宋体" w:cs="宋体"/>
                <w:color w:val="auto"/>
                <w:highlight w:val="none"/>
              </w:rPr>
            </w:pPr>
          </w:p>
        </w:tc>
      </w:tr>
    </w:tbl>
    <w:p w14:paraId="31C97E82">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备注：数量可为预估数量。</w:t>
      </w:r>
    </w:p>
    <w:p w14:paraId="7CDD22BA">
      <w:pPr>
        <w:adjustRightInd w:val="0"/>
        <w:snapToGrid w:val="0"/>
        <w:spacing w:line="360" w:lineRule="auto"/>
        <w:ind w:firstLine="720" w:firstLineChars="300"/>
        <w:rPr>
          <w:rFonts w:hint="eastAsia" w:ascii="宋体" w:hAnsi="宋体" w:eastAsia="宋体" w:cs="宋体"/>
          <w:color w:val="auto"/>
          <w:highlight w:val="none"/>
        </w:rPr>
      </w:pPr>
    </w:p>
    <w:p w14:paraId="30DF7B55">
      <w:pPr>
        <w:adjustRightInd w:val="0"/>
        <w:snapToGrid w:val="0"/>
        <w:spacing w:line="360" w:lineRule="auto"/>
        <w:ind w:firstLine="720" w:firstLineChars="300"/>
        <w:rPr>
          <w:rFonts w:hint="eastAsia" w:ascii="宋体" w:hAnsi="宋体" w:eastAsia="宋体" w:cs="宋体"/>
          <w:color w:val="auto"/>
          <w:highlight w:val="none"/>
        </w:rPr>
      </w:pPr>
    </w:p>
    <w:p w14:paraId="6E8CD271">
      <w:pPr>
        <w:pStyle w:val="13"/>
        <w:widowControl w:val="0"/>
        <w:adjustRightInd w:val="0"/>
        <w:snapToGrid w:val="0"/>
        <w:spacing w:before="0" w:beforeAutospacing="0" w:after="0" w:afterAutospacing="0" w:line="360" w:lineRule="auto"/>
        <w:ind w:left="3259" w:leftChars="1358"/>
        <w:rPr>
          <w:rFonts w:hint="eastAsia" w:ascii="宋体" w:hAnsi="宋体" w:eastAsia="宋体" w:cs="宋体"/>
          <w:color w:val="auto"/>
          <w:highlight w:val="none"/>
        </w:rPr>
      </w:pPr>
      <w:r>
        <w:rPr>
          <w:rFonts w:hint="eastAsia" w:ascii="宋体" w:hAnsi="宋体" w:eastAsia="宋体" w:cs="宋体"/>
          <w:color w:val="auto"/>
          <w:highlight w:val="none"/>
        </w:rPr>
        <w:t>投标人（电子签章）：__________________________</w:t>
      </w:r>
    </w:p>
    <w:p w14:paraId="06137642">
      <w:pPr>
        <w:shd w:val="clear" w:color="auto" w:fill="FFFFFF"/>
        <w:spacing w:before="100" w:beforeAutospacing="1" w:after="100" w:afterAutospacing="1" w:line="500" w:lineRule="atLeast"/>
        <w:ind w:firstLine="358"/>
        <w:jc w:val="center"/>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r>
        <w:rPr>
          <w:rFonts w:hint="eastAsia" w:ascii="宋体" w:hAnsi="宋体" w:eastAsia="宋体" w:cs="宋体"/>
          <w:color w:val="auto"/>
          <w:highlight w:val="none"/>
        </w:rPr>
        <w:t>日期：____年____月____日</w:t>
      </w:r>
    </w:p>
    <w:p w14:paraId="562F1332">
      <w:pPr>
        <w:pStyle w:val="13"/>
        <w:widowControl w:val="0"/>
        <w:adjustRightInd w:val="0"/>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八、同类业绩</w:t>
      </w:r>
    </w:p>
    <w:tbl>
      <w:tblPr>
        <w:tblStyle w:val="21"/>
        <w:tblW w:w="8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14:paraId="4BC9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8" w:hRule="exact"/>
          <w:jc w:val="center"/>
        </w:trPr>
        <w:tc>
          <w:tcPr>
            <w:tcW w:w="2765" w:type="dxa"/>
            <w:noWrap w:val="0"/>
            <w:tcMar>
              <w:top w:w="0" w:type="dxa"/>
              <w:left w:w="108" w:type="dxa"/>
              <w:bottom w:w="0" w:type="dxa"/>
              <w:right w:w="108" w:type="dxa"/>
            </w:tcMar>
            <w:vAlign w:val="center"/>
          </w:tcPr>
          <w:p w14:paraId="66C7E91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sz w:val="27"/>
                <w:szCs w:val="27"/>
                <w:highlight w:val="none"/>
              </w:rPr>
              <w:t> </w:t>
            </w:r>
            <w:r>
              <w:rPr>
                <w:rFonts w:hint="eastAsia" w:ascii="宋体" w:hAnsi="宋体" w:eastAsia="宋体" w:cs="宋体"/>
                <w:color w:val="auto"/>
                <w:highlight w:val="none"/>
              </w:rPr>
              <w:t>项目名称</w:t>
            </w:r>
          </w:p>
        </w:tc>
        <w:tc>
          <w:tcPr>
            <w:tcW w:w="1456" w:type="dxa"/>
            <w:noWrap w:val="0"/>
            <w:tcMar>
              <w:top w:w="0" w:type="dxa"/>
              <w:left w:w="108" w:type="dxa"/>
              <w:bottom w:w="0" w:type="dxa"/>
              <w:right w:w="108" w:type="dxa"/>
            </w:tcMar>
            <w:vAlign w:val="center"/>
          </w:tcPr>
          <w:p w14:paraId="2588F4F9">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合同金额</w:t>
            </w:r>
          </w:p>
        </w:tc>
        <w:tc>
          <w:tcPr>
            <w:tcW w:w="1757" w:type="dxa"/>
            <w:noWrap w:val="0"/>
            <w:tcMar>
              <w:top w:w="0" w:type="dxa"/>
              <w:left w:w="108" w:type="dxa"/>
              <w:bottom w:w="0" w:type="dxa"/>
              <w:right w:w="108" w:type="dxa"/>
            </w:tcMar>
            <w:vAlign w:val="center"/>
          </w:tcPr>
          <w:p w14:paraId="0EAE1C41">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签订时间</w:t>
            </w:r>
          </w:p>
        </w:tc>
        <w:tc>
          <w:tcPr>
            <w:tcW w:w="1531" w:type="dxa"/>
            <w:noWrap w:val="0"/>
            <w:tcMar>
              <w:top w:w="0" w:type="dxa"/>
              <w:left w:w="108" w:type="dxa"/>
              <w:bottom w:w="0" w:type="dxa"/>
              <w:right w:w="108" w:type="dxa"/>
            </w:tcMar>
            <w:vAlign w:val="center"/>
          </w:tcPr>
          <w:p w14:paraId="35EABDEA">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业主名称及联系方式</w:t>
            </w:r>
          </w:p>
        </w:tc>
        <w:tc>
          <w:tcPr>
            <w:tcW w:w="1132" w:type="dxa"/>
            <w:noWrap w:val="0"/>
            <w:tcMar>
              <w:top w:w="0" w:type="dxa"/>
              <w:left w:w="108" w:type="dxa"/>
              <w:bottom w:w="0" w:type="dxa"/>
              <w:right w:w="108" w:type="dxa"/>
            </w:tcMar>
            <w:vAlign w:val="center"/>
          </w:tcPr>
          <w:p w14:paraId="7293F1AB">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DCB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7D221C6E">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456" w:type="dxa"/>
            <w:noWrap w:val="0"/>
            <w:tcMar>
              <w:top w:w="0" w:type="dxa"/>
              <w:left w:w="108" w:type="dxa"/>
              <w:bottom w:w="0" w:type="dxa"/>
              <w:right w:w="108" w:type="dxa"/>
            </w:tcMar>
            <w:vAlign w:val="center"/>
          </w:tcPr>
          <w:p w14:paraId="5365E25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757" w:type="dxa"/>
            <w:noWrap w:val="0"/>
            <w:tcMar>
              <w:top w:w="0" w:type="dxa"/>
              <w:left w:w="108" w:type="dxa"/>
              <w:bottom w:w="0" w:type="dxa"/>
              <w:right w:w="108" w:type="dxa"/>
            </w:tcMar>
            <w:vAlign w:val="center"/>
          </w:tcPr>
          <w:p w14:paraId="39B380DF">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531" w:type="dxa"/>
            <w:noWrap w:val="0"/>
            <w:tcMar>
              <w:top w:w="0" w:type="dxa"/>
              <w:left w:w="108" w:type="dxa"/>
              <w:bottom w:w="0" w:type="dxa"/>
              <w:right w:w="108" w:type="dxa"/>
            </w:tcMar>
            <w:vAlign w:val="center"/>
          </w:tcPr>
          <w:p w14:paraId="6599A616">
            <w:pPr>
              <w:spacing w:before="100" w:beforeAutospacing="1" w:after="100" w:afterAutospacing="1" w:line="360" w:lineRule="atLeast"/>
              <w:jc w:val="center"/>
              <w:rPr>
                <w:rFonts w:hint="eastAsia" w:ascii="宋体" w:hAnsi="宋体" w:eastAsia="宋体" w:cs="宋体"/>
                <w:color w:val="auto"/>
                <w:highlight w:val="none"/>
              </w:rPr>
            </w:pPr>
          </w:p>
        </w:tc>
        <w:tc>
          <w:tcPr>
            <w:tcW w:w="1132" w:type="dxa"/>
            <w:noWrap w:val="0"/>
            <w:tcMar>
              <w:top w:w="0" w:type="dxa"/>
              <w:left w:w="108" w:type="dxa"/>
              <w:bottom w:w="0" w:type="dxa"/>
              <w:right w:w="108" w:type="dxa"/>
            </w:tcMar>
            <w:vAlign w:val="center"/>
          </w:tcPr>
          <w:p w14:paraId="21742E1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7035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20B51CB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456" w:type="dxa"/>
            <w:noWrap w:val="0"/>
            <w:tcMar>
              <w:top w:w="0" w:type="dxa"/>
              <w:left w:w="108" w:type="dxa"/>
              <w:bottom w:w="0" w:type="dxa"/>
              <w:right w:w="108" w:type="dxa"/>
            </w:tcMar>
            <w:vAlign w:val="center"/>
          </w:tcPr>
          <w:p w14:paraId="21C4F4E7">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757" w:type="dxa"/>
            <w:noWrap w:val="0"/>
            <w:tcMar>
              <w:top w:w="0" w:type="dxa"/>
              <w:left w:w="108" w:type="dxa"/>
              <w:bottom w:w="0" w:type="dxa"/>
              <w:right w:w="108" w:type="dxa"/>
            </w:tcMar>
            <w:vAlign w:val="center"/>
          </w:tcPr>
          <w:p w14:paraId="2E17198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531" w:type="dxa"/>
            <w:noWrap w:val="0"/>
            <w:tcMar>
              <w:top w:w="0" w:type="dxa"/>
              <w:left w:w="108" w:type="dxa"/>
              <w:bottom w:w="0" w:type="dxa"/>
              <w:right w:w="108" w:type="dxa"/>
            </w:tcMar>
            <w:vAlign w:val="center"/>
          </w:tcPr>
          <w:p w14:paraId="0F57AE51">
            <w:pPr>
              <w:spacing w:before="100" w:beforeAutospacing="1" w:after="100" w:afterAutospacing="1" w:line="360" w:lineRule="atLeast"/>
              <w:jc w:val="center"/>
              <w:rPr>
                <w:rFonts w:hint="eastAsia" w:ascii="宋体" w:hAnsi="宋体" w:eastAsia="宋体" w:cs="宋体"/>
                <w:color w:val="auto"/>
                <w:highlight w:val="none"/>
              </w:rPr>
            </w:pPr>
          </w:p>
        </w:tc>
        <w:tc>
          <w:tcPr>
            <w:tcW w:w="1132" w:type="dxa"/>
            <w:noWrap w:val="0"/>
            <w:tcMar>
              <w:top w:w="0" w:type="dxa"/>
              <w:left w:w="108" w:type="dxa"/>
              <w:bottom w:w="0" w:type="dxa"/>
              <w:right w:w="108" w:type="dxa"/>
            </w:tcMar>
            <w:vAlign w:val="center"/>
          </w:tcPr>
          <w:p w14:paraId="7C6AF075">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71CA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2DF353BC">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456" w:type="dxa"/>
            <w:noWrap w:val="0"/>
            <w:tcMar>
              <w:top w:w="0" w:type="dxa"/>
              <w:left w:w="108" w:type="dxa"/>
              <w:bottom w:w="0" w:type="dxa"/>
              <w:right w:w="108" w:type="dxa"/>
            </w:tcMar>
            <w:vAlign w:val="center"/>
          </w:tcPr>
          <w:p w14:paraId="365E437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757" w:type="dxa"/>
            <w:noWrap w:val="0"/>
            <w:tcMar>
              <w:top w:w="0" w:type="dxa"/>
              <w:left w:w="108" w:type="dxa"/>
              <w:bottom w:w="0" w:type="dxa"/>
              <w:right w:w="108" w:type="dxa"/>
            </w:tcMar>
            <w:vAlign w:val="center"/>
          </w:tcPr>
          <w:p w14:paraId="697B2F53">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531" w:type="dxa"/>
            <w:noWrap w:val="0"/>
            <w:tcMar>
              <w:top w:w="0" w:type="dxa"/>
              <w:left w:w="108" w:type="dxa"/>
              <w:bottom w:w="0" w:type="dxa"/>
              <w:right w:w="108" w:type="dxa"/>
            </w:tcMar>
            <w:vAlign w:val="center"/>
          </w:tcPr>
          <w:p w14:paraId="07CB34D9">
            <w:pPr>
              <w:spacing w:before="100" w:beforeAutospacing="1" w:after="100" w:afterAutospacing="1" w:line="360" w:lineRule="atLeast"/>
              <w:jc w:val="center"/>
              <w:rPr>
                <w:rFonts w:hint="eastAsia" w:ascii="宋体" w:hAnsi="宋体" w:eastAsia="宋体" w:cs="宋体"/>
                <w:color w:val="auto"/>
                <w:highlight w:val="none"/>
              </w:rPr>
            </w:pPr>
          </w:p>
        </w:tc>
        <w:tc>
          <w:tcPr>
            <w:tcW w:w="1132" w:type="dxa"/>
            <w:noWrap w:val="0"/>
            <w:tcMar>
              <w:top w:w="0" w:type="dxa"/>
              <w:left w:w="108" w:type="dxa"/>
              <w:bottom w:w="0" w:type="dxa"/>
              <w:right w:w="108" w:type="dxa"/>
            </w:tcMar>
            <w:vAlign w:val="center"/>
          </w:tcPr>
          <w:p w14:paraId="070EDE55">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3068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51A023E4">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456" w:type="dxa"/>
            <w:noWrap w:val="0"/>
            <w:tcMar>
              <w:top w:w="0" w:type="dxa"/>
              <w:left w:w="108" w:type="dxa"/>
              <w:bottom w:w="0" w:type="dxa"/>
              <w:right w:w="108" w:type="dxa"/>
            </w:tcMar>
            <w:vAlign w:val="center"/>
          </w:tcPr>
          <w:p w14:paraId="34F14F40">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757" w:type="dxa"/>
            <w:noWrap w:val="0"/>
            <w:tcMar>
              <w:top w:w="0" w:type="dxa"/>
              <w:left w:w="108" w:type="dxa"/>
              <w:bottom w:w="0" w:type="dxa"/>
              <w:right w:w="108" w:type="dxa"/>
            </w:tcMar>
            <w:vAlign w:val="center"/>
          </w:tcPr>
          <w:p w14:paraId="1E11C0ED">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531" w:type="dxa"/>
            <w:noWrap w:val="0"/>
            <w:tcMar>
              <w:top w:w="0" w:type="dxa"/>
              <w:left w:w="108" w:type="dxa"/>
              <w:bottom w:w="0" w:type="dxa"/>
              <w:right w:w="108" w:type="dxa"/>
            </w:tcMar>
            <w:vAlign w:val="center"/>
          </w:tcPr>
          <w:p w14:paraId="15D253CE">
            <w:pPr>
              <w:spacing w:before="100" w:beforeAutospacing="1" w:after="100" w:afterAutospacing="1" w:line="360" w:lineRule="atLeast"/>
              <w:jc w:val="center"/>
              <w:rPr>
                <w:rFonts w:hint="eastAsia" w:ascii="宋体" w:hAnsi="宋体" w:eastAsia="宋体" w:cs="宋体"/>
                <w:color w:val="auto"/>
                <w:highlight w:val="none"/>
              </w:rPr>
            </w:pPr>
          </w:p>
        </w:tc>
        <w:tc>
          <w:tcPr>
            <w:tcW w:w="1132" w:type="dxa"/>
            <w:noWrap w:val="0"/>
            <w:tcMar>
              <w:top w:w="0" w:type="dxa"/>
              <w:left w:w="108" w:type="dxa"/>
              <w:bottom w:w="0" w:type="dxa"/>
              <w:right w:w="108" w:type="dxa"/>
            </w:tcMar>
            <w:vAlign w:val="center"/>
          </w:tcPr>
          <w:p w14:paraId="06EDAD55">
            <w:pPr>
              <w:spacing w:before="100" w:beforeAutospacing="1" w:after="100" w:afterAutospacing="1" w:line="36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bl>
    <w:p w14:paraId="071BEF6C">
      <w:pPr>
        <w:widowControl w:val="0"/>
        <w:adjustRightInd w:val="0"/>
        <w:snapToGrid w:val="0"/>
        <w:spacing w:line="44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注：须附合同复印件。</w:t>
      </w:r>
    </w:p>
    <w:p w14:paraId="0A20FB08">
      <w:pPr>
        <w:shd w:val="clear" w:color="auto" w:fill="FFFFFF"/>
        <w:spacing w:before="100" w:beforeAutospacing="1" w:after="100" w:afterAutospacing="1" w:line="500" w:lineRule="atLeast"/>
        <w:ind w:firstLine="358"/>
        <w:jc w:val="center"/>
        <w:rPr>
          <w:rFonts w:hint="eastAsia" w:ascii="宋体" w:hAnsi="宋体" w:eastAsia="宋体" w:cs="宋体"/>
          <w:color w:val="auto"/>
          <w:szCs w:val="28"/>
          <w:highlight w:val="none"/>
        </w:rPr>
        <w:sectPr>
          <w:pgSz w:w="11906" w:h="16838"/>
          <w:pgMar w:top="1259" w:right="1287" w:bottom="1361" w:left="1622" w:header="709" w:footer="975" w:gutter="0"/>
          <w:cols w:space="720" w:num="1"/>
          <w:docGrid w:linePitch="360" w:charSpace="0"/>
        </w:sectPr>
      </w:pPr>
    </w:p>
    <w:p w14:paraId="3C89C501">
      <w:pPr>
        <w:pStyle w:val="18"/>
        <w:widowControl w:val="0"/>
        <w:tabs>
          <w:tab w:val="left" w:pos="3277"/>
          <w:tab w:val="center" w:pos="4411"/>
        </w:tabs>
        <w:adjustRightInd w:val="0"/>
        <w:snapToGrid w:val="0"/>
        <w:spacing w:line="276" w:lineRule="auto"/>
        <w:rPr>
          <w:rFonts w:hint="eastAsia" w:ascii="宋体" w:hAnsi="宋体" w:eastAsia="宋体" w:cs="宋体"/>
          <w:b/>
          <w:color w:val="auto"/>
          <w:sz w:val="32"/>
          <w:szCs w:val="32"/>
          <w:highlight w:val="none"/>
        </w:rPr>
      </w:pPr>
      <w:bookmarkStart w:id="40" w:name="_Hlk94088800"/>
      <w:r>
        <w:rPr>
          <w:rFonts w:hint="eastAsia" w:ascii="宋体" w:hAnsi="宋体" w:eastAsia="宋体" w:cs="宋体"/>
          <w:b/>
          <w:color w:val="auto"/>
          <w:sz w:val="32"/>
          <w:szCs w:val="32"/>
          <w:highlight w:val="none"/>
        </w:rPr>
        <w:t>报价文件：</w:t>
      </w:r>
      <w:r>
        <w:rPr>
          <w:rFonts w:hint="eastAsia" w:ascii="宋体" w:hAnsi="宋体" w:eastAsia="宋体" w:cs="宋体"/>
          <w:color w:val="auto"/>
          <w:highlight w:val="none"/>
        </w:rPr>
        <w:tab/>
      </w:r>
      <w:r>
        <w:rPr>
          <w:rFonts w:hint="eastAsia" w:ascii="宋体" w:hAnsi="宋体" w:eastAsia="宋体" w:cs="宋体"/>
          <w:b/>
          <w:color w:val="auto"/>
          <w:sz w:val="32"/>
          <w:szCs w:val="32"/>
          <w:highlight w:val="none"/>
        </w:rPr>
        <w:t xml:space="preserve">    </w:t>
      </w:r>
    </w:p>
    <w:p w14:paraId="2D30B47E">
      <w:pPr>
        <w:pStyle w:val="13"/>
        <w:widowControl w:val="0"/>
        <w:adjustRightInd w:val="0"/>
        <w:snapToGrid w:val="0"/>
        <w:spacing w:before="0" w:beforeAutospacing="0" w:after="0" w:afterAutospacing="0" w:line="27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一、开标一览表（报价表）</w:t>
      </w:r>
    </w:p>
    <w:p w14:paraId="0A0B34EE">
      <w:pPr>
        <w:snapToGrid w:val="0"/>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14:paraId="7A11A4B2">
      <w:pPr>
        <w:snapToGrid w:val="0"/>
        <w:spacing w:line="276" w:lineRule="auto"/>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按你方招标文件要求，我方承诺按照如下开标一览表（报价表）的价格完成</w:t>
      </w:r>
      <w:r>
        <w:rPr>
          <w:rFonts w:hint="eastAsia" w:ascii="宋体" w:hAnsi="宋体" w:eastAsia="宋体" w:cs="宋体"/>
          <w:color w:val="auto"/>
          <w:highlight w:val="none"/>
          <w:u w:val="single"/>
          <w:lang w:val="zh-CN"/>
        </w:rPr>
        <w:t>（项目名称）          （项目编号：    ）</w:t>
      </w:r>
      <w:r>
        <w:rPr>
          <w:rFonts w:hint="eastAsia" w:ascii="宋体" w:hAnsi="宋体" w:eastAsia="宋体" w:cs="宋体"/>
          <w:color w:val="auto"/>
          <w:highlight w:val="none"/>
          <w:lang w:val="zh-CN"/>
        </w:rPr>
        <w:t>的实施。</w:t>
      </w:r>
    </w:p>
    <w:bookmarkEnd w:id="40"/>
    <w:tbl>
      <w:tblPr>
        <w:tblStyle w:val="21"/>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97"/>
        <w:gridCol w:w="4077"/>
        <w:gridCol w:w="3783"/>
      </w:tblGrid>
      <w:tr w14:paraId="145E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1" w:hRule="atLeast"/>
        </w:trPr>
        <w:tc>
          <w:tcPr>
            <w:tcW w:w="1197" w:type="dxa"/>
            <w:noWrap w:val="0"/>
            <w:vAlign w:val="center"/>
          </w:tcPr>
          <w:p w14:paraId="0BD9E2BD">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077" w:type="dxa"/>
            <w:noWrap w:val="0"/>
            <w:vAlign w:val="center"/>
          </w:tcPr>
          <w:p w14:paraId="509FB633">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3783" w:type="dxa"/>
            <w:tcBorders>
              <w:left w:val="single" w:color="auto" w:sz="4" w:space="0"/>
            </w:tcBorders>
            <w:noWrap w:val="0"/>
            <w:vAlign w:val="center"/>
          </w:tcPr>
          <w:p w14:paraId="018FF26B">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 （</w:t>
            </w:r>
            <w:r>
              <w:rPr>
                <w:rFonts w:hint="eastAsia" w:ascii="宋体" w:hAnsi="宋体" w:eastAsia="宋体" w:cs="宋体"/>
                <w:b/>
                <w:color w:val="auto"/>
                <w:szCs w:val="21"/>
                <w:highlight w:val="none"/>
                <w:lang w:eastAsia="zh-CN"/>
              </w:rPr>
              <w:t>元</w:t>
            </w:r>
            <w:r>
              <w:rPr>
                <w:rFonts w:hint="eastAsia" w:ascii="宋体" w:hAnsi="宋体" w:eastAsia="宋体" w:cs="宋体"/>
                <w:b/>
                <w:color w:val="auto"/>
                <w:szCs w:val="21"/>
                <w:highlight w:val="none"/>
              </w:rPr>
              <w:t>）</w:t>
            </w:r>
          </w:p>
        </w:tc>
      </w:tr>
      <w:tr w14:paraId="2A2C3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413" w:hRule="exact"/>
        </w:trPr>
        <w:tc>
          <w:tcPr>
            <w:tcW w:w="1197" w:type="dxa"/>
            <w:noWrap w:val="0"/>
            <w:vAlign w:val="center"/>
          </w:tcPr>
          <w:p w14:paraId="3BF5DFD8">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077" w:type="dxa"/>
            <w:noWrap w:val="0"/>
            <w:vAlign w:val="center"/>
          </w:tcPr>
          <w:p w14:paraId="2998C2B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tc>
        <w:tc>
          <w:tcPr>
            <w:tcW w:w="3783" w:type="dxa"/>
            <w:tcBorders>
              <w:left w:val="single" w:color="auto" w:sz="4" w:space="0"/>
            </w:tcBorders>
            <w:noWrap w:val="0"/>
            <w:vAlign w:val="center"/>
          </w:tcPr>
          <w:p w14:paraId="6AAAF7F5">
            <w:pPr>
              <w:autoSpaceDE w:val="0"/>
              <w:autoSpaceDN w:val="0"/>
              <w:adjustRightInd w:val="0"/>
              <w:jc w:val="left"/>
              <w:rPr>
                <w:rFonts w:hint="eastAsia" w:ascii="宋体" w:hAnsi="宋体" w:eastAsia="宋体" w:cs="宋体"/>
                <w:color w:val="auto"/>
                <w:highlight w:val="none"/>
              </w:rPr>
            </w:pPr>
            <w:r>
              <w:rPr>
                <w:rFonts w:hint="eastAsia" w:ascii="宋体" w:hAnsi="宋体" w:eastAsia="宋体" w:cs="宋体"/>
                <w:color w:val="auto"/>
                <w:highlight w:val="none"/>
              </w:rPr>
              <w:t>大写：</w:t>
            </w:r>
          </w:p>
          <w:p w14:paraId="57B4B821">
            <w:pPr>
              <w:autoSpaceDE w:val="0"/>
              <w:autoSpaceDN w:val="0"/>
              <w:adjustRightInd w:val="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小写：  </w:t>
            </w:r>
            <w:r>
              <w:rPr>
                <w:rFonts w:hint="eastAsia" w:ascii="宋体" w:hAnsi="宋体" w:eastAsia="宋体" w:cs="宋体"/>
                <w:color w:val="auto"/>
                <w:highlight w:val="none"/>
                <w:lang w:eastAsia="zh-CN"/>
              </w:rPr>
              <w:t>元</w:t>
            </w:r>
          </w:p>
        </w:tc>
      </w:tr>
    </w:tbl>
    <w:p w14:paraId="2DE06B4F">
      <w:pPr>
        <w:autoSpaceDE w:val="0"/>
        <w:autoSpaceDN w:val="0"/>
        <w:adjustRightInd w:val="0"/>
        <w:spacing w:line="360" w:lineRule="auto"/>
        <w:rPr>
          <w:rFonts w:hint="eastAsia" w:ascii="宋体" w:hAnsi="宋体" w:eastAsia="宋体" w:cs="宋体"/>
          <w:color w:val="auto"/>
          <w:highlight w:val="none"/>
        </w:rPr>
      </w:pPr>
    </w:p>
    <w:p w14:paraId="51EA457E">
      <w:pPr>
        <w:snapToGrid w:val="0"/>
        <w:spacing w:line="276" w:lineRule="auto"/>
        <w:ind w:left="480"/>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注：</w:t>
      </w:r>
    </w:p>
    <w:p w14:paraId="5A04D16C">
      <w:pPr>
        <w:spacing w:line="276" w:lineRule="auto"/>
        <w:ind w:left="-2" w:leftChars="-1"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1.投标人需按本表格式填写，不得自行更改。</w:t>
      </w:r>
    </w:p>
    <w:p w14:paraId="652FF888">
      <w:pPr>
        <w:spacing w:line="276"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2.有关本项目实施所涉及的一切费用均计入报价。</w:t>
      </w:r>
      <w:r>
        <w:rPr>
          <w:rFonts w:hint="eastAsia" w:ascii="宋体" w:hAnsi="宋体" w:eastAsia="宋体" w:cs="宋体"/>
          <w:b/>
          <w:color w:val="auto"/>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highlight w:val="none"/>
          <w:lang w:val="zh-CN"/>
        </w:rPr>
        <w:t>，</w:t>
      </w:r>
      <w:r>
        <w:rPr>
          <w:rFonts w:hint="eastAsia" w:ascii="宋体" w:hAnsi="宋体" w:eastAsia="宋体" w:cs="宋体"/>
          <w:b/>
          <w:color w:val="auto"/>
          <w:highlight w:val="none"/>
          <w:lang w:val="zh-CN"/>
        </w:rPr>
        <w:t>不得出现“0元”“免费赠送”等形式的无偿报价，</w:t>
      </w:r>
      <w:r>
        <w:rPr>
          <w:rFonts w:hint="eastAsia" w:ascii="宋体" w:hAnsi="宋体" w:eastAsia="宋体" w:cs="宋体"/>
          <w:b/>
          <w:color w:val="auto"/>
          <w:highlight w:val="none"/>
        </w:rPr>
        <w:t>否则视为投标文件含有采购人不能接受的附加条件的，投标无效</w:t>
      </w:r>
      <w:r>
        <w:rPr>
          <w:rFonts w:hint="eastAsia" w:ascii="宋体" w:hAnsi="宋体" w:eastAsia="宋体" w:cs="宋体"/>
          <w:b/>
          <w:color w:val="auto"/>
          <w:highlight w:val="none"/>
          <w:lang w:val="zh-CN"/>
        </w:rPr>
        <w:t>。</w:t>
      </w:r>
    </w:p>
    <w:p w14:paraId="059F5176">
      <w:pPr>
        <w:snapToGrid w:val="0"/>
        <w:spacing w:line="276"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3.特别提示：采购代理机构将对项目名称和项目编号，中标供应商名称、地址和中标金额，主要中标标的的名称、数量、单价、服务要求等予以公示。</w:t>
      </w:r>
    </w:p>
    <w:p w14:paraId="756EFED2">
      <w:pPr>
        <w:snapToGrid w:val="0"/>
        <w:spacing w:line="276"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Cs w:val="22"/>
          <w:highlight w:val="none"/>
          <w:lang w:val="zh-CN"/>
        </w:rPr>
        <w:t>4.</w:t>
      </w:r>
      <w:r>
        <w:rPr>
          <w:rFonts w:hint="eastAsia" w:ascii="宋体" w:hAnsi="宋体" w:eastAsia="宋体" w:cs="宋体"/>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66ED22">
      <w:pPr>
        <w:pStyle w:val="13"/>
        <w:widowControl w:val="0"/>
        <w:adjustRightInd w:val="0"/>
        <w:snapToGrid w:val="0"/>
        <w:spacing w:before="0" w:beforeAutospacing="0" w:after="0" w:afterAutospacing="0" w:line="360" w:lineRule="auto"/>
        <w:rPr>
          <w:rFonts w:hint="eastAsia" w:ascii="宋体" w:hAnsi="宋体" w:eastAsia="宋体" w:cs="宋体"/>
          <w:color w:val="auto"/>
          <w:highlight w:val="none"/>
        </w:rPr>
      </w:pPr>
    </w:p>
    <w:p w14:paraId="74757C3D">
      <w:pPr>
        <w:pStyle w:val="13"/>
        <w:widowControl w:val="0"/>
        <w:adjustRightInd w:val="0"/>
        <w:snapToGrid w:val="0"/>
        <w:spacing w:before="0" w:beforeAutospacing="0" w:after="0" w:afterAutospacing="0" w:line="360" w:lineRule="auto"/>
        <w:rPr>
          <w:rFonts w:hint="eastAsia" w:ascii="宋体" w:hAnsi="宋体" w:eastAsia="宋体" w:cs="宋体"/>
          <w:color w:val="auto"/>
          <w:highlight w:val="none"/>
        </w:rPr>
      </w:pPr>
    </w:p>
    <w:p w14:paraId="41432A4C">
      <w:pPr>
        <w:pStyle w:val="13"/>
        <w:widowControl w:val="0"/>
        <w:adjustRightInd w:val="0"/>
        <w:snapToGrid w:val="0"/>
        <w:spacing w:before="0" w:beforeAutospacing="0" w:after="0" w:afterAutospacing="0" w:line="360" w:lineRule="auto"/>
        <w:rPr>
          <w:rFonts w:hint="eastAsia" w:ascii="宋体" w:hAnsi="宋体" w:eastAsia="宋体" w:cs="宋体"/>
          <w:color w:val="auto"/>
          <w:highlight w:val="none"/>
        </w:rPr>
      </w:pPr>
    </w:p>
    <w:p w14:paraId="608347DD">
      <w:pPr>
        <w:pStyle w:val="13"/>
        <w:widowControl w:val="0"/>
        <w:adjustRightInd w:val="0"/>
        <w:snapToGrid w:val="0"/>
        <w:spacing w:before="0" w:beforeAutospacing="0" w:after="0" w:afterAutospacing="0" w:line="360" w:lineRule="auto"/>
        <w:rPr>
          <w:rFonts w:hint="eastAsia" w:ascii="宋体" w:hAnsi="宋体" w:eastAsia="宋体" w:cs="宋体"/>
          <w:color w:val="auto"/>
          <w:highlight w:val="none"/>
        </w:rPr>
      </w:pPr>
    </w:p>
    <w:p w14:paraId="7F00E821">
      <w:pPr>
        <w:pStyle w:val="13"/>
        <w:widowControl w:val="0"/>
        <w:adjustRightInd w:val="0"/>
        <w:snapToGrid w:val="0"/>
        <w:spacing w:before="0" w:beforeAutospacing="0" w:after="0" w:afterAutospacing="0" w:line="360" w:lineRule="auto"/>
        <w:ind w:firstLine="900" w:firstLineChars="375"/>
        <w:jc w:val="right"/>
        <w:rPr>
          <w:rFonts w:hint="eastAsia" w:ascii="宋体" w:hAnsi="宋体" w:eastAsia="宋体" w:cs="宋体"/>
          <w:color w:val="auto"/>
          <w:highlight w:val="none"/>
        </w:rPr>
      </w:pPr>
      <w:r>
        <w:rPr>
          <w:rFonts w:hint="eastAsia" w:ascii="宋体" w:hAnsi="宋体" w:eastAsia="宋体" w:cs="宋体"/>
          <w:color w:val="auto"/>
          <w:highlight w:val="none"/>
        </w:rPr>
        <w:t>投标人（电子签章）：__________________________</w:t>
      </w:r>
    </w:p>
    <w:p w14:paraId="4CF3DD61">
      <w:pPr>
        <w:pStyle w:val="13"/>
        <w:widowControl w:val="0"/>
        <w:adjustRightInd w:val="0"/>
        <w:snapToGrid w:val="0"/>
        <w:spacing w:before="0" w:beforeAutospacing="0" w:after="0" w:afterAutospacing="0" w:line="360" w:lineRule="auto"/>
        <w:ind w:firstLine="900" w:firstLineChars="375"/>
        <w:jc w:val="right"/>
        <w:rPr>
          <w:rFonts w:hint="eastAsia" w:ascii="宋体" w:hAnsi="宋体" w:eastAsia="宋体" w:cs="宋体"/>
          <w:color w:val="auto"/>
          <w:highlight w:val="none"/>
        </w:rPr>
        <w:sectPr>
          <w:pgSz w:w="11906" w:h="16838"/>
          <w:pgMar w:top="1259" w:right="1287" w:bottom="1361" w:left="1622" w:header="709" w:footer="975" w:gutter="0"/>
          <w:cols w:space="720" w:num="1"/>
          <w:docGrid w:linePitch="360" w:charSpace="0"/>
        </w:sectPr>
      </w:pPr>
      <w:r>
        <w:rPr>
          <w:rFonts w:hint="eastAsia" w:ascii="宋体" w:hAnsi="宋体" w:eastAsia="宋体" w:cs="宋体"/>
          <w:color w:val="auto"/>
          <w:highlight w:val="none"/>
        </w:rPr>
        <w:t>日期：____年____月____日</w:t>
      </w:r>
    </w:p>
    <w:p w14:paraId="1F996196">
      <w:pPr>
        <w:pStyle w:val="13"/>
        <w:widowControl w:val="0"/>
        <w:adjustRightInd w:val="0"/>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p>
    <w:p w14:paraId="56311C09">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p>
    <w:p w14:paraId="3DB75FDE">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（单位名称）的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（项目名称）采购活动，</w:t>
      </w:r>
      <w:r>
        <w:rPr>
          <w:rFonts w:hint="eastAsia" w:ascii="宋体" w:hAnsi="宋体" w:eastAsia="宋体" w:cs="宋体"/>
          <w:color w:val="auto"/>
          <w:highlight w:val="none"/>
          <w:lang w:val="en-US" w:eastAsia="zh-CN"/>
        </w:rPr>
        <w:t>我公司提供的</w:t>
      </w:r>
      <w:r>
        <w:rPr>
          <w:rFonts w:hint="eastAsia" w:ascii="宋体" w:hAnsi="宋体" w:eastAsia="宋体" w:cs="宋体"/>
          <w:color w:val="auto"/>
          <w:highlight w:val="none"/>
        </w:rPr>
        <w:t>货物全部由符合政策要求的中小企业制造。相关企业的具体情况如下：</w:t>
      </w:r>
    </w:p>
    <w:p w14:paraId="4957B307">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1._____（标的名称），属于_____（采购文件中明确的所属行业）行业；货物</w:t>
      </w:r>
      <w:r>
        <w:rPr>
          <w:rFonts w:hint="eastAsia" w:ascii="宋体" w:hAnsi="宋体" w:eastAsia="宋体" w:cs="宋体"/>
          <w:color w:val="auto"/>
          <w:highlight w:val="none"/>
          <w:lang w:val="en-US" w:eastAsia="zh-CN"/>
        </w:rPr>
        <w:t>制造商</w:t>
      </w:r>
      <w:r>
        <w:rPr>
          <w:rFonts w:hint="eastAsia" w:ascii="宋体" w:hAnsi="宋体" w:eastAsia="宋体" w:cs="宋体"/>
          <w:color w:val="auto"/>
          <w:highlight w:val="none"/>
        </w:rPr>
        <w:t>为_____（企业名称），从业人员_____人，营业收入为_____万元¹，属于（中型企业、小型企业、微型企业）</w:t>
      </w:r>
    </w:p>
    <w:p w14:paraId="180A8136">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以上企业，不属于大型企业的分支机构，不存在控股股东为大型企业的情形，也不存在与大企业的负责人为同一人的情形。</w:t>
      </w:r>
    </w:p>
    <w:p w14:paraId="5AF189E6">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04B9CE96">
      <w:pPr>
        <w:shd w:val="clear" w:color="auto" w:fill="FFFFFF"/>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　　　　　　　　　　　　　　　　　　　　　　　　　企业名称（盖章）：</w:t>
      </w:r>
    </w:p>
    <w:p w14:paraId="279B7452">
      <w:pPr>
        <w:shd w:val="clear" w:color="auto" w:fill="FFFFFF"/>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　　　　　　　　　　　　　　　　　　　　　　　　　　　日  期：</w:t>
      </w:r>
    </w:p>
    <w:p w14:paraId="1274AFE9">
      <w:pPr>
        <w:spacing w:after="120"/>
        <w:ind w:left="200" w:firstLine="200"/>
        <w:rPr>
          <w:rFonts w:hint="eastAsia" w:ascii="宋体" w:hAnsi="宋体" w:eastAsia="宋体" w:cs="宋体"/>
          <w:color w:val="auto"/>
          <w:highlight w:val="none"/>
        </w:rPr>
      </w:pPr>
      <w:r>
        <w:rPr>
          <w:rFonts w:hint="eastAsia" w:ascii="宋体" w:hAnsi="宋体" w:eastAsia="宋体" w:cs="宋体"/>
          <w:color w:val="auto"/>
          <w:highlight w:val="none"/>
        </w:rPr>
        <w:t>-----------------------------------------------------------------------</w:t>
      </w:r>
    </w:p>
    <w:p w14:paraId="6A6A3134">
      <w:pPr>
        <w:pStyle w:val="13"/>
        <w:widowControl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¹从业人员、营业收入填报上一年度的数据，无上一年度数据的新成立企业可不填报。</w:t>
      </w:r>
    </w:p>
    <w:p w14:paraId="72532448">
      <w:pPr>
        <w:widowControl w:val="0"/>
        <w:autoSpaceDE w:val="0"/>
        <w:autoSpaceDN w:val="0"/>
        <w:adjustRightIn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残疾人福利性单位声明函</w:t>
      </w:r>
    </w:p>
    <w:p w14:paraId="5E7A9222">
      <w:pPr>
        <w:shd w:val="clear" w:color="auto" w:fill="FFFFFF"/>
        <w:spacing w:before="100" w:beforeAutospacing="1" w:after="100" w:afterAutospacing="1"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AFE1DD">
      <w:pPr>
        <w:shd w:val="clear" w:color="auto" w:fill="FFFFFF"/>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78597ACD">
      <w:pPr>
        <w:shd w:val="clear" w:color="auto" w:fill="FFFFFF"/>
        <w:spacing w:before="100" w:beforeAutospacing="1" w:after="100" w:afterAutospacing="1" w:line="360" w:lineRule="auto"/>
        <w:rPr>
          <w:rFonts w:hint="eastAsia" w:ascii="宋体" w:hAnsi="宋体" w:eastAsia="宋体" w:cs="宋体"/>
          <w:color w:val="auto"/>
          <w:highlight w:val="none"/>
        </w:rPr>
      </w:pPr>
    </w:p>
    <w:p w14:paraId="42B4672D">
      <w:pPr>
        <w:shd w:val="clear" w:color="auto" w:fill="FFFFFF"/>
        <w:spacing w:before="100" w:beforeAutospacing="1" w:after="100" w:afterAutospacing="1" w:line="360" w:lineRule="auto"/>
        <w:ind w:firstLine="6360" w:firstLineChars="2650"/>
        <w:rPr>
          <w:rFonts w:hint="eastAsia" w:ascii="宋体" w:hAnsi="宋体" w:eastAsia="宋体" w:cs="宋体"/>
          <w:color w:val="auto"/>
          <w:highlight w:val="none"/>
        </w:rPr>
      </w:pPr>
      <w:r>
        <w:rPr>
          <w:rFonts w:hint="eastAsia" w:ascii="宋体" w:hAnsi="宋体" w:eastAsia="宋体" w:cs="宋体"/>
          <w:color w:val="auto"/>
          <w:highlight w:val="none"/>
        </w:rPr>
        <w:t>投标人（电子签章）：</w:t>
      </w:r>
    </w:p>
    <w:p w14:paraId="749E3641">
      <w:pPr>
        <w:shd w:val="clear" w:color="auto" w:fill="FFFFFF"/>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　　　　　　　　　　　　　　　　　　　　　　　　　　　日  期：</w:t>
      </w:r>
    </w:p>
    <w:p w14:paraId="2975401C">
      <w:pPr>
        <w:shd w:val="clear" w:color="auto" w:fill="FFFFFF"/>
        <w:spacing w:before="100" w:beforeAutospacing="1" w:after="100" w:afterAutospacing="1" w:line="360" w:lineRule="auto"/>
        <w:rPr>
          <w:rFonts w:hint="eastAsia" w:ascii="宋体" w:hAnsi="宋体" w:eastAsia="宋体" w:cs="宋体"/>
          <w:color w:val="auto"/>
          <w:highlight w:val="none"/>
        </w:rPr>
      </w:pPr>
    </w:p>
    <w:p w14:paraId="78B9B363">
      <w:pPr>
        <w:widowControl w:val="0"/>
        <w:autoSpaceDE w:val="0"/>
        <w:autoSpaceDN w:val="0"/>
        <w:adjustRightIn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监狱企业证明文件</w:t>
      </w:r>
    </w:p>
    <w:p w14:paraId="102B2C31">
      <w:pPr>
        <w:pStyle w:val="13"/>
        <w:widowControl w:val="0"/>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highlight w:val="none"/>
        </w:rPr>
        <w:t>注：监狱企业参加政府采购活动时，应当提供由省级以上监狱管理局、戒毒管理局（含新疆生产建设兵团）出具的属于监狱企业的证明文件。</w:t>
      </w:r>
    </w:p>
    <w:bookmarkEnd w:id="37"/>
    <w:p w14:paraId="06986331">
      <w:pPr>
        <w:tabs>
          <w:tab w:val="left" w:pos="3926"/>
        </w:tabs>
        <w:rPr>
          <w:rFonts w:hint="eastAsia" w:ascii="宋体" w:hAnsi="宋体" w:eastAsia="宋体" w:cs="宋体"/>
          <w:color w:val="auto"/>
          <w:highlight w:val="none"/>
          <w:lang w:val="zh-CN"/>
        </w:rPr>
      </w:pPr>
    </w:p>
    <w:p w14:paraId="61C421E8">
      <w:pPr>
        <w:pStyle w:val="13"/>
        <w:widowControl w:val="0"/>
        <w:adjustRightInd w:val="0"/>
        <w:snapToGrid w:val="0"/>
        <w:spacing w:before="0" w:beforeAutospacing="0" w:after="0" w:afterAutospacing="0" w:line="360" w:lineRule="auto"/>
        <w:jc w:val="center"/>
        <w:rPr>
          <w:rFonts w:hint="eastAsia" w:ascii="宋体" w:hAnsi="宋体" w:eastAsia="宋体" w:cs="宋体"/>
          <w:b/>
          <w:color w:val="auto"/>
          <w:sz w:val="32"/>
          <w:szCs w:val="32"/>
          <w:highlight w:val="none"/>
          <w:lang w:val="zh-CN"/>
        </w:rPr>
      </w:pPr>
    </w:p>
    <w:p w14:paraId="72DFC93C">
      <w:pPr>
        <w:rPr>
          <w:color w:val="auto"/>
          <w:highlight w:val="none"/>
        </w:rPr>
      </w:pPr>
      <w:r>
        <w:rPr>
          <w:color w:val="auto"/>
          <w:highlight w:val="none"/>
        </w:rPr>
        <w:br w:type="page"/>
      </w:r>
    </w:p>
    <w:p w14:paraId="03B10E06">
      <w:pPr>
        <w:pStyle w:val="37"/>
        <w:widowControl w:val="0"/>
        <w:numPr>
          <w:ilvl w:val="1"/>
          <w:numId w:val="0"/>
        </w:numPr>
        <w:snapToGrid w:val="0"/>
        <w:spacing w:after="156" w:afterLines="50" w:line="5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（此声明函不用编入投标文件）</w:t>
      </w:r>
    </w:p>
    <w:p w14:paraId="00D6E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2"/>
          <w:szCs w:val="32"/>
          <w:highlight w:val="none"/>
        </w:rPr>
      </w:pPr>
    </w:p>
    <w:p w14:paraId="6EA78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14:paraId="469979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537DC4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浙江华杰工程咨询有限公司:</w:t>
      </w:r>
    </w:p>
    <w:p w14:paraId="6A70D0E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本人 _________________（授权代表姓名 ），经由___________________________（单</w:t>
      </w:r>
    </w:p>
    <w:p w14:paraId="6BC0D7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位）_________________（法定代表人姓名）合法授权参加</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（编号：</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）政府采购活动．经与本单位法人代表（负责人）联系确认，现就有关公平竞争事项郑 重声明如下:</w:t>
      </w:r>
    </w:p>
    <w:p w14:paraId="32C327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一、本单位与采购人之间口不存在利害关系口存在下列利害关系:</w:t>
      </w:r>
    </w:p>
    <w:p w14:paraId="3A47D7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A．投资关系</w:t>
      </w:r>
    </w:p>
    <w:p w14:paraId="3C1C68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B．行政隶属关系</w:t>
      </w:r>
    </w:p>
    <w:p w14:paraId="1F8C36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C．业务指导关系</w:t>
      </w:r>
    </w:p>
    <w:p w14:paraId="324130A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D．其他可能影响采购公正的利害关系（如有，请如实说明）。</w:t>
      </w:r>
    </w:p>
    <w:p w14:paraId="4E4A68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二、现己清楚知道参加本项目采购活动的其他所有供应商名称，本单位 口与其他所有供应商之间均不存 在利害关系口与_________________（供应商名称）之间存在下列利害关系:</w:t>
      </w:r>
    </w:p>
    <w:p w14:paraId="43412C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A．法定代表人或负责人或实际控制人是同一人</w:t>
      </w:r>
    </w:p>
    <w:p w14:paraId="3B68D5C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B．法定代表人或负责人或实际控制人是夫妻关系</w:t>
      </w:r>
    </w:p>
    <w:p w14:paraId="71A647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C．法定代表人或负责人或实际控制人是直系血亲关系</w:t>
      </w:r>
    </w:p>
    <w:p w14:paraId="03D00B0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D．法定代表人或负责人或实际控制人存在三代以内旁系血亲关系</w:t>
      </w:r>
    </w:p>
    <w:p w14:paraId="4C52CF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E．法定代表人或负责人或实际控制人存在近姻亲关系</w:t>
      </w:r>
    </w:p>
    <w:p w14:paraId="156BEE2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F．法定代表人或负责人或实际控制人存在股份控制或实际控制关系</w:t>
      </w:r>
    </w:p>
    <w:p w14:paraId="1EC5DE9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G．存在共同直接或间接投资设立子公司、联营企业和合营企业情况</w:t>
      </w:r>
    </w:p>
    <w:p w14:paraId="56DCBC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H．存在分级代理或代销关系、同一生产制造商关系、管理关系、重要业务（ 占主营业务收入 50 % 以上）或重要财务往来关系（如融资）等其他实质性控制关系</w:t>
      </w:r>
    </w:p>
    <w:p w14:paraId="55A6292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I．其他利害关系情况____________________________________。</w:t>
      </w:r>
    </w:p>
    <w:p w14:paraId="323FE83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三、现己清楚知道并严格遵守政府采购法律法规和现场纪律。</w:t>
      </w:r>
    </w:p>
    <w:p w14:paraId="0F2955C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四、我发现_________________供应商之间存在或可能存在上述第二条第_________________项利害关系。 </w:t>
      </w:r>
    </w:p>
    <w:p w14:paraId="5AFC4C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2EC5C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供应商代表签名：</w:t>
      </w:r>
    </w:p>
    <w:p w14:paraId="7822B9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0EC6C2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49E8A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44D04A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269287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7EB639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70AC67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14:paraId="2AC2DF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说明：1、投标人解密投标文件及获知其他投标人信息进行如实声明章，以扫描件形式提交给采购代理机构，邮箱：</w:t>
      </w:r>
      <w:r>
        <w:rPr>
          <w:rFonts w:hint="eastAsia" w:ascii="宋体" w:hAnsi="宋体" w:eastAsia="宋体" w:cs="宋体"/>
          <w:b/>
          <w:bCs/>
          <w:color w:val="auto"/>
          <w:sz w:val="21"/>
          <w:szCs w:val="21"/>
          <w:highlight w:val="none"/>
          <w:lang w:val="en-US" w:eastAsia="zh-CN"/>
        </w:rPr>
        <w:t>2638807831@qq.com</w:t>
      </w:r>
      <w:r>
        <w:rPr>
          <w:rFonts w:hint="eastAsia" w:ascii="宋体" w:hAnsi="宋体" w:eastAsia="宋体" w:cs="宋体"/>
          <w:b/>
          <w:bCs/>
          <w:color w:val="auto"/>
          <w:sz w:val="21"/>
          <w:szCs w:val="21"/>
          <w:highlight w:val="none"/>
        </w:rPr>
        <w:t>,联系人：</w:t>
      </w:r>
      <w:r>
        <w:rPr>
          <w:rFonts w:hint="eastAsia" w:ascii="宋体" w:hAnsi="宋体" w:eastAsia="宋体" w:cs="宋体"/>
          <w:b/>
          <w:bCs/>
          <w:color w:val="auto"/>
          <w:sz w:val="21"/>
          <w:szCs w:val="21"/>
          <w:highlight w:val="none"/>
          <w:lang w:val="en-US" w:eastAsia="zh-CN"/>
        </w:rPr>
        <w:t>郑彩均</w:t>
      </w:r>
      <w:r>
        <w:rPr>
          <w:rFonts w:hint="eastAsia" w:ascii="宋体" w:hAnsi="宋体" w:eastAsia="宋体" w:cs="宋体"/>
          <w:b/>
          <w:bCs/>
          <w:color w:val="auto"/>
          <w:sz w:val="21"/>
          <w:szCs w:val="21"/>
          <w:highlight w:val="none"/>
        </w:rPr>
        <w:t>，联系方式：</w:t>
      </w:r>
      <w:r>
        <w:rPr>
          <w:rFonts w:hint="eastAsia" w:ascii="宋体" w:hAnsi="宋体" w:eastAsia="宋体" w:cs="宋体"/>
          <w:b/>
          <w:bCs/>
          <w:color w:val="auto"/>
          <w:sz w:val="21"/>
          <w:szCs w:val="21"/>
          <w:highlight w:val="none"/>
          <w:lang w:val="en-US" w:eastAsia="zh-CN"/>
        </w:rPr>
        <w:t>18158798071</w:t>
      </w:r>
      <w:r>
        <w:rPr>
          <w:rFonts w:hint="eastAsia" w:ascii="宋体" w:hAnsi="宋体" w:eastAsia="宋体" w:cs="宋体"/>
          <w:b/>
          <w:bCs/>
          <w:color w:val="auto"/>
          <w:sz w:val="21"/>
          <w:szCs w:val="21"/>
          <w:highlight w:val="none"/>
        </w:rPr>
        <w:t xml:space="preserve">。 </w:t>
      </w:r>
    </w:p>
    <w:p w14:paraId="7870F44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b/>
          <w:bCs/>
          <w:color w:val="auto"/>
          <w:sz w:val="21"/>
          <w:szCs w:val="21"/>
          <w:highlight w:val="none"/>
        </w:rPr>
        <w:t xml:space="preserve">2、此声明函不用编入投标文件。 </w:t>
      </w:r>
    </w:p>
    <w:p w14:paraId="19BB54CA">
      <w:pPr>
        <w:bidi w:val="0"/>
        <w:rPr>
          <w:color w:val="auto"/>
          <w:highlight w:val="none"/>
        </w:rPr>
      </w:pPr>
    </w:p>
    <w:sectPr>
      <w:footerReference r:id="rId10" w:type="first"/>
      <w:headerReference r:id="rId9" w:type="defaul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26C4">
    <w:pPr>
      <w:pStyle w:val="15"/>
      <w:ind w:right="360"/>
      <w:jc w:val="center"/>
      <w:rPr>
        <w:rFonts w:hint="eastAsia" w:ascii="宋体" w:hAnsi="宋体" w:cs="宋体"/>
        <w:szCs w:val="21"/>
        <w:u w:val="single"/>
      </w:rPr>
    </w:pPr>
    <w:r>
      <w:rPr>
        <w:rFonts w:hint="eastAsia" w:ascii="宋体" w:hAnsi="宋体"/>
        <w:szCs w:val="21"/>
        <w:lang w:eastAsia="zh-CN"/>
      </w:rPr>
      <w:t>浙江华杰工程咨询有限公司</w:t>
    </w:r>
    <w:r>
      <w:rPr>
        <w:rFonts w:hint="eastAsia" w:ascii="宋体" w:hAnsi="宋体"/>
        <w:szCs w:val="21"/>
      </w:rPr>
      <w:t xml:space="preserve">                                       </w:t>
    </w:r>
    <w:r>
      <w:rPr>
        <w:rFonts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HYPERLINK "mailto:jhygzb@qq.com" </w:instrText>
    </w:r>
    <w:r>
      <w:rPr>
        <w:rFonts w:hint="eastAsia" w:ascii="宋体" w:hAnsi="宋体" w:cs="宋体"/>
        <w:szCs w:val="21"/>
      </w:rPr>
      <w:fldChar w:fldCharType="separate"/>
    </w:r>
    <w:r>
      <w:rPr>
        <w:rStyle w:val="25"/>
        <w:rFonts w:hint="eastAsia" w:ascii="宋体" w:hAnsi="宋体" w:cs="宋体"/>
        <w:color w:val="auto"/>
        <w:szCs w:val="21"/>
        <w:u w:val="none"/>
        <w:lang w:eastAsia="zh-CN"/>
      </w:rPr>
      <w:t>2638807831@qq.com</w:t>
    </w:r>
    <w:r>
      <w:rPr>
        <w:rFonts w:hint="eastAsia" w:ascii="宋体" w:hAnsi="宋体" w:cs="宋体"/>
        <w:szCs w:val="21"/>
      </w:rPr>
      <w:fldChar w:fldCharType="end"/>
    </w:r>
  </w:p>
  <w:p w14:paraId="5990DDFF">
    <w:pPr>
      <w:pStyle w:val="15"/>
      <w:framePr w:wrap="around" w:vAnchor="text" w:hAnchor="page" w:x="5792" w:y="66"/>
      <w:jc w:val="center"/>
      <w:rPr>
        <w:rStyle w:val="24"/>
        <w:rFonts w:hint="eastAsia" w:ascii="宋体" w:hAnsi="宋体"/>
      </w:rPr>
    </w:pPr>
    <w:r>
      <w:rPr>
        <w:rStyle w:val="24"/>
        <w:rFonts w:hint="eastAsia" w:ascii="宋体" w:hAnsi="宋体"/>
        <w:szCs w:val="21"/>
      </w:rPr>
      <w:t xml:space="preserve">第 </w:t>
    </w:r>
    <w:r>
      <w:rPr>
        <w:rFonts w:ascii="宋体" w:hAnsi="宋体"/>
        <w:szCs w:val="21"/>
      </w:rPr>
      <w:fldChar w:fldCharType="begin"/>
    </w:r>
    <w:r>
      <w:rPr>
        <w:rStyle w:val="24"/>
        <w:rFonts w:ascii="宋体" w:hAnsi="宋体"/>
        <w:szCs w:val="21"/>
      </w:rPr>
      <w:instrText xml:space="preserve"> PAGE </w:instrText>
    </w:r>
    <w:r>
      <w:rPr>
        <w:rFonts w:ascii="宋体" w:hAnsi="宋体"/>
        <w:szCs w:val="21"/>
      </w:rPr>
      <w:fldChar w:fldCharType="separate"/>
    </w:r>
    <w:r>
      <w:rPr>
        <w:rStyle w:val="24"/>
        <w:rFonts w:ascii="宋体" w:hAnsi="宋体"/>
        <w:szCs w:val="21"/>
      </w:rPr>
      <w:t>24</w:t>
    </w:r>
    <w:r>
      <w:rPr>
        <w:rFonts w:ascii="宋体" w:hAnsi="宋体"/>
        <w:szCs w:val="21"/>
      </w:rPr>
      <w:fldChar w:fldCharType="end"/>
    </w:r>
    <w:r>
      <w:rPr>
        <w:rStyle w:val="24"/>
        <w:rFonts w:hint="eastAsia" w:ascii="宋体" w:hAnsi="宋体"/>
        <w:szCs w:val="21"/>
      </w:rPr>
      <w:t xml:space="preserve"> 页 共 </w:t>
    </w:r>
    <w:r>
      <w:rPr>
        <w:rFonts w:ascii="宋体" w:hAnsi="宋体"/>
        <w:szCs w:val="21"/>
      </w:rPr>
      <w:fldChar w:fldCharType="begin"/>
    </w:r>
    <w:r>
      <w:rPr>
        <w:rStyle w:val="24"/>
        <w:rFonts w:ascii="宋体" w:hAnsi="宋体"/>
        <w:szCs w:val="21"/>
      </w:rPr>
      <w:instrText xml:space="preserve"> NUMPAGES </w:instrText>
    </w:r>
    <w:r>
      <w:rPr>
        <w:rFonts w:ascii="宋体" w:hAnsi="宋体"/>
        <w:szCs w:val="21"/>
      </w:rPr>
      <w:fldChar w:fldCharType="separate"/>
    </w:r>
    <w:r>
      <w:rPr>
        <w:rStyle w:val="24"/>
        <w:rFonts w:ascii="宋体" w:hAnsi="宋体"/>
        <w:szCs w:val="21"/>
      </w:rPr>
      <w:t>61</w:t>
    </w:r>
    <w:r>
      <w:rPr>
        <w:rFonts w:ascii="宋体" w:hAnsi="宋体"/>
        <w:szCs w:val="21"/>
      </w:rPr>
      <w:fldChar w:fldCharType="end"/>
    </w:r>
    <w:r>
      <w:rPr>
        <w:rStyle w:val="24"/>
        <w:rFonts w:hint="eastAsia" w:ascii="宋体" w:hAnsi="宋体"/>
        <w:szCs w:val="21"/>
      </w:rPr>
      <w:t xml:space="preserve"> 页</w:t>
    </w:r>
  </w:p>
  <w:p w14:paraId="5B4A2949">
    <w:pPr>
      <w:pStyle w:val="15"/>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534">
    <w:pPr>
      <w:pStyle w:val="15"/>
      <w:framePr w:wrap="around" w:vAnchor="text" w:hAnchor="margin" w:xAlign="right" w:y="1"/>
      <w:rPr>
        <w:rStyle w:val="24"/>
      </w:rPr>
    </w:pPr>
    <w:r>
      <w:fldChar w:fldCharType="begin"/>
    </w:r>
    <w:r>
      <w:rPr>
        <w:rStyle w:val="24"/>
      </w:rPr>
      <w:instrText xml:space="preserve">PAGE  </w:instrText>
    </w:r>
    <w:r>
      <w:fldChar w:fldCharType="end"/>
    </w:r>
  </w:p>
  <w:p w14:paraId="6C456059">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39D5">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14:paraId="2B2040D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2F12C">
    <w:pPr>
      <w:pStyle w:val="16"/>
      <w:pBdr>
        <w:bottom w:val="single" w:color="auto" w:sz="6" w:space="0"/>
      </w:pBdr>
      <w:jc w:val="left"/>
      <w:rPr>
        <w:rFonts w:hint="eastAsia"/>
        <w:color w:val="auto"/>
      </w:rPr>
    </w:pPr>
    <w:r>
      <w:rPr>
        <w:rFonts w:hint="eastAsia"/>
        <w:color w:val="auto"/>
        <w:lang w:eastAsia="zh-CN"/>
      </w:rPr>
      <w:t>金华市建设技工学校交互式一体化黑板项目</w:t>
    </w:r>
    <w:r>
      <w:rPr>
        <w:rFonts w:hint="eastAsia"/>
        <w:color w:val="auto"/>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0D6">
    <w:pPr>
      <w:pStyle w:val="16"/>
    </w:pPr>
    <w:r>
      <w:pict>
        <v:shape id="_x0000_s4098" o:spid="_x0000_s4098"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1284">
    <w:pPr>
      <w:pStyle w:val="16"/>
      <w:jc w:val="left"/>
      <w:rPr>
        <w:rFonts w:hint="eastAsia"/>
      </w:rPr>
    </w:pPr>
    <w:r>
      <w:pict>
        <v:shape id="_x0000_s4097" o:spid="_x0000_s4097"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4ED6">
    <w:pPr>
      <w:pStyle w:val="16"/>
      <w:pBdr>
        <w:bottom w:val="single" w:color="auto" w:sz="6" w:space="0"/>
      </w:pBdr>
      <w:jc w:val="left"/>
      <w:rPr>
        <w:rFonts w:hint="eastAsia"/>
      </w:rPr>
    </w:pPr>
    <w:r>
      <w:rPr>
        <w:sz w:val="18"/>
      </w:rPr>
      <w:pict>
        <v:shape id="PowerPlusWaterMarkObject202862" o:spid="_x0000_s4099" o:spt="136" type="#_x0000_t136" style="position:absolute;left:0pt;height:55.15pt;width:581.1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浙江华杰工程咨询有限公司" style="font-family:宋体;font-size:36pt;v-same-letter-heights:f;v-text-align:center;"/>
        </v:shape>
      </w:pict>
    </w:r>
    <w:r>
      <w:rPr>
        <w:rFonts w:hint="eastAsia"/>
        <w:lang w:eastAsia="zh-CN"/>
      </w:rPr>
      <w:t>金华市建设技工学校交互式一体化黑板项目</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BC0E">
    <w:pPr>
      <w:pStyle w:val="16"/>
      <w:pBdr>
        <w:bottom w:val="single" w:color="auto" w:sz="6" w:space="0"/>
      </w:pBdr>
      <w:jc w:val="left"/>
      <w:rPr>
        <w:rFonts w:hint="eastAsia"/>
        <w:color w:val="auto"/>
      </w:rPr>
    </w:pPr>
    <w:r>
      <w:rPr>
        <w:rFonts w:hint="eastAsia"/>
        <w:color w:val="auto"/>
        <w:lang w:eastAsia="zh-CN"/>
      </w:rPr>
      <w:t>金华市建设技工学校交互式一体化黑板项目</w:t>
    </w:r>
    <w:r>
      <w:rPr>
        <w:rFonts w:hint="eastAsia"/>
        <w:color w:val="auto"/>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100CB"/>
    <w:multiLevelType w:val="multilevel"/>
    <w:tmpl w:val="590100CB"/>
    <w:lvl w:ilvl="0" w:tentative="0">
      <w:start w:val="1"/>
      <w:numFmt w:val="decimal"/>
      <w:lvlText w:val="（%1）"/>
      <w:lvlJc w:val="left"/>
      <w:pPr>
        <w:tabs>
          <w:tab w:val="left" w:pos="1271"/>
        </w:tabs>
        <w:ind w:left="1271" w:hanging="420"/>
      </w:pPr>
      <w:rPr>
        <w:rFonts w:ascii="Times New Roman" w:hAnsi="Times New Roman" w:eastAsia="Times New Roman" w:cs="Times New Roman"/>
      </w:rPr>
    </w:lvl>
    <w:lvl w:ilvl="1" w:tentative="0">
      <w:start w:val="1"/>
      <w:numFmt w:val="decimal"/>
      <w:pStyle w:val="29"/>
      <w:lvlText w:val="（%2）"/>
      <w:lvlJc w:val="left"/>
      <w:pPr>
        <w:tabs>
          <w:tab w:val="left" w:pos="1091"/>
        </w:tabs>
        <w:ind w:left="1440" w:hanging="720"/>
      </w:pPr>
      <w:rPr>
        <w:rFonts w:hint="default"/>
      </w:rPr>
    </w:lvl>
    <w:lvl w:ilvl="2" w:tentative="0">
      <w:start w:val="1"/>
      <w:numFmt w:val="lowerRoman"/>
      <w:lvlText w:val="%3."/>
      <w:lvlJc w:val="right"/>
      <w:pPr>
        <w:tabs>
          <w:tab w:val="left" w:pos="1211"/>
        </w:tabs>
        <w:ind w:left="1211" w:hanging="420"/>
      </w:pPr>
    </w:lvl>
    <w:lvl w:ilvl="3" w:tentative="0">
      <w:start w:val="1"/>
      <w:numFmt w:val="decimal"/>
      <w:pStyle w:val="30"/>
      <w:lvlText w:val="%4."/>
      <w:lvlJc w:val="left"/>
      <w:pPr>
        <w:tabs>
          <w:tab w:val="left" w:pos="1631"/>
        </w:tabs>
        <w:ind w:left="1631" w:hanging="420"/>
      </w:pPr>
    </w:lvl>
    <w:lvl w:ilvl="4" w:tentative="0">
      <w:start w:val="1"/>
      <w:numFmt w:val="lowerLetter"/>
      <w:pStyle w:val="31"/>
      <w:lvlText w:val="%5)"/>
      <w:lvlJc w:val="left"/>
      <w:pPr>
        <w:tabs>
          <w:tab w:val="left" w:pos="2051"/>
        </w:tabs>
        <w:ind w:left="2051" w:hanging="420"/>
      </w:pPr>
    </w:lvl>
    <w:lvl w:ilvl="5" w:tentative="0">
      <w:start w:val="1"/>
      <w:numFmt w:val="lowerRoman"/>
      <w:pStyle w:val="32"/>
      <w:lvlText w:val="%6."/>
      <w:lvlJc w:val="right"/>
      <w:pPr>
        <w:tabs>
          <w:tab w:val="left" w:pos="2471"/>
        </w:tabs>
        <w:ind w:left="2471" w:hanging="420"/>
      </w:pPr>
    </w:lvl>
    <w:lvl w:ilvl="6" w:tentative="0">
      <w:start w:val="1"/>
      <w:numFmt w:val="decimal"/>
      <w:pStyle w:val="5"/>
      <w:lvlText w:val="%7."/>
      <w:lvlJc w:val="left"/>
      <w:pPr>
        <w:tabs>
          <w:tab w:val="left" w:pos="2891"/>
        </w:tabs>
        <w:ind w:left="2891" w:hanging="420"/>
      </w:pPr>
    </w:lvl>
    <w:lvl w:ilvl="7" w:tentative="0">
      <w:start w:val="1"/>
      <w:numFmt w:val="lowerLetter"/>
      <w:pStyle w:val="6"/>
      <w:lvlText w:val="%8)"/>
      <w:lvlJc w:val="left"/>
      <w:pPr>
        <w:tabs>
          <w:tab w:val="left" w:pos="3311"/>
        </w:tabs>
        <w:ind w:left="3311" w:hanging="420"/>
      </w:pPr>
    </w:lvl>
    <w:lvl w:ilvl="8" w:tentative="0">
      <w:start w:val="1"/>
      <w:numFmt w:val="lowerRoman"/>
      <w:pStyle w:val="7"/>
      <w:lvlText w:val="%9."/>
      <w:lvlJc w:val="right"/>
      <w:pPr>
        <w:tabs>
          <w:tab w:val="left" w:pos="3731"/>
        </w:tabs>
        <w:ind w:left="3731" w:hanging="420"/>
      </w:pPr>
    </w:lvl>
  </w:abstractNum>
  <w:abstractNum w:abstractNumId="1">
    <w:nsid w:val="739A6132"/>
    <w:multiLevelType w:val="singleLevel"/>
    <w:tmpl w:val="739A613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TY4Y2ZiOGE2MzUyODZjNTc2NGFjYmI0OTE5ZjcifQ=="/>
    <w:docVar w:name="KSO_WPS_MARK_KEY" w:val="e46888e0-84c2-40ed-9422-cf2196b86f60"/>
  </w:docVars>
  <w:rsids>
    <w:rsidRoot w:val="4EBD563B"/>
    <w:rsid w:val="00576B92"/>
    <w:rsid w:val="0886701E"/>
    <w:rsid w:val="08D65E4B"/>
    <w:rsid w:val="0931187B"/>
    <w:rsid w:val="0C1C1222"/>
    <w:rsid w:val="0DA40AAA"/>
    <w:rsid w:val="0FE1571A"/>
    <w:rsid w:val="10680FB6"/>
    <w:rsid w:val="11AC4B3B"/>
    <w:rsid w:val="12CF313E"/>
    <w:rsid w:val="13581E53"/>
    <w:rsid w:val="173F5142"/>
    <w:rsid w:val="1A3B66B9"/>
    <w:rsid w:val="1D4E63A5"/>
    <w:rsid w:val="1DE0117D"/>
    <w:rsid w:val="1EB31B66"/>
    <w:rsid w:val="1F335B5A"/>
    <w:rsid w:val="202111D1"/>
    <w:rsid w:val="22B24A65"/>
    <w:rsid w:val="27DA6DB2"/>
    <w:rsid w:val="2AAE4F25"/>
    <w:rsid w:val="2BF87B94"/>
    <w:rsid w:val="2DCE6BAE"/>
    <w:rsid w:val="2E2229D5"/>
    <w:rsid w:val="2E8F1C21"/>
    <w:rsid w:val="3119131B"/>
    <w:rsid w:val="311E3A98"/>
    <w:rsid w:val="31850D18"/>
    <w:rsid w:val="319123BC"/>
    <w:rsid w:val="334F0AF4"/>
    <w:rsid w:val="351F09A7"/>
    <w:rsid w:val="37690D86"/>
    <w:rsid w:val="3769199A"/>
    <w:rsid w:val="379975C6"/>
    <w:rsid w:val="39FE250D"/>
    <w:rsid w:val="3BB0522A"/>
    <w:rsid w:val="3E62748B"/>
    <w:rsid w:val="40705D29"/>
    <w:rsid w:val="431020D4"/>
    <w:rsid w:val="468513C3"/>
    <w:rsid w:val="475C016D"/>
    <w:rsid w:val="480006F8"/>
    <w:rsid w:val="4A02381D"/>
    <w:rsid w:val="4CC87ABF"/>
    <w:rsid w:val="4EBD563B"/>
    <w:rsid w:val="53BF465F"/>
    <w:rsid w:val="557F4D14"/>
    <w:rsid w:val="55B63E53"/>
    <w:rsid w:val="55FF19E1"/>
    <w:rsid w:val="57E25AAF"/>
    <w:rsid w:val="5A5B4C6F"/>
    <w:rsid w:val="5B7F25DE"/>
    <w:rsid w:val="5BE16BB4"/>
    <w:rsid w:val="5C172AEF"/>
    <w:rsid w:val="5CD75175"/>
    <w:rsid w:val="5F0677CE"/>
    <w:rsid w:val="60DA3671"/>
    <w:rsid w:val="62DF75A1"/>
    <w:rsid w:val="63CA6726"/>
    <w:rsid w:val="645704D9"/>
    <w:rsid w:val="65005322"/>
    <w:rsid w:val="66F645AF"/>
    <w:rsid w:val="67990024"/>
    <w:rsid w:val="69585419"/>
    <w:rsid w:val="6B497A23"/>
    <w:rsid w:val="6B5D2DD7"/>
    <w:rsid w:val="6B612303"/>
    <w:rsid w:val="6CB30AE5"/>
    <w:rsid w:val="6D321F02"/>
    <w:rsid w:val="6F2F6F44"/>
    <w:rsid w:val="6F420FF0"/>
    <w:rsid w:val="6F8A73D8"/>
    <w:rsid w:val="70AC75DE"/>
    <w:rsid w:val="70FF3F0B"/>
    <w:rsid w:val="71637B14"/>
    <w:rsid w:val="72EE72C5"/>
    <w:rsid w:val="734E7199"/>
    <w:rsid w:val="73C108AF"/>
    <w:rsid w:val="74161789"/>
    <w:rsid w:val="77093848"/>
    <w:rsid w:val="7767447D"/>
    <w:rsid w:val="7887480D"/>
    <w:rsid w:val="78C25DA2"/>
    <w:rsid w:val="79421BA2"/>
    <w:rsid w:val="7C020578"/>
    <w:rsid w:val="7FAB5B75"/>
    <w:rsid w:val="7FEC655D"/>
    <w:rsid w:val="7FFB0A01"/>
    <w:rsid w:val="B5FFC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6"/>
    <w:qFormat/>
    <w:uiPriority w:val="0"/>
    <w:pPr>
      <w:keepNext/>
      <w:autoSpaceDE w:val="0"/>
      <w:autoSpaceDN w:val="0"/>
      <w:adjustRightInd w:val="0"/>
      <w:jc w:val="center"/>
      <w:textAlignment w:val="baseline"/>
      <w:outlineLvl w:val="0"/>
    </w:pPr>
    <w:rPr>
      <w:rFonts w:ascii="宋体" w:hAnsi="宋体" w:eastAsia="宋体"/>
      <w:b/>
      <w:color w:val="000000"/>
      <w:kern w:val="0"/>
      <w:sz w:val="32"/>
      <w:szCs w:val="20"/>
    </w:rPr>
  </w:style>
  <w:style w:type="paragraph" w:styleId="3">
    <w:name w:val="heading 2"/>
    <w:basedOn w:val="1"/>
    <w:next w:val="1"/>
    <w:link w:val="28"/>
    <w:semiHidden/>
    <w:unhideWhenUsed/>
    <w:qFormat/>
    <w:uiPriority w:val="0"/>
    <w:pPr>
      <w:keepNext/>
      <w:keepLines/>
      <w:adjustRightInd w:val="0"/>
      <w:snapToGrid w:val="0"/>
      <w:spacing w:before="260" w:after="260" w:line="240" w:lineRule="auto"/>
      <w:outlineLvl w:val="1"/>
    </w:pPr>
    <w:rPr>
      <w:rFonts w:ascii="Arial" w:hAnsi="Arial" w:eastAsia="宋体"/>
      <w:b/>
      <w:bCs/>
      <w:sz w:val="28"/>
      <w:szCs w:val="32"/>
    </w:rPr>
  </w:style>
  <w:style w:type="paragraph" w:styleId="4">
    <w:name w:val="heading 3"/>
    <w:basedOn w:val="1"/>
    <w:next w:val="1"/>
    <w:link w:val="27"/>
    <w:semiHidden/>
    <w:unhideWhenUsed/>
    <w:qFormat/>
    <w:uiPriority w:val="0"/>
    <w:pPr>
      <w:keepNext/>
      <w:keepLines/>
      <w:adjustRightInd w:val="0"/>
      <w:snapToGrid w:val="0"/>
      <w:spacing w:line="360" w:lineRule="auto"/>
      <w:ind w:left="420" w:firstLine="0" w:firstLineChars="0"/>
      <w:jc w:val="both"/>
      <w:outlineLvl w:val="2"/>
    </w:pPr>
    <w:rPr>
      <w:rFonts w:ascii="Times New Roman" w:hAnsi="Times New Roman" w:eastAsia="宋体"/>
      <w:b/>
      <w:bCs/>
      <w:sz w:val="24"/>
      <w:szCs w:val="32"/>
    </w:rPr>
  </w:style>
  <w:style w:type="paragraph" w:styleId="5">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2891" w:hanging="420"/>
      <w:outlineLvl w:val="6"/>
    </w:pPr>
    <w:rPr>
      <w:b/>
      <w:sz w:val="24"/>
    </w:rPr>
  </w:style>
  <w:style w:type="paragraph" w:styleId="6">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3311" w:hanging="420"/>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3731" w:hanging="420"/>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8">
    <w:name w:val="Normal Indent"/>
    <w:basedOn w:val="1"/>
    <w:next w:val="9"/>
    <w:qFormat/>
    <w:uiPriority w:val="0"/>
    <w:pPr>
      <w:widowControl w:val="0"/>
      <w:spacing w:line="360" w:lineRule="auto"/>
      <w:ind w:firstLine="200" w:firstLineChars="200"/>
    </w:pPr>
    <w:rPr>
      <w:kern w:val="2"/>
      <w:sz w:val="21"/>
      <w:szCs w:val="20"/>
    </w:rPr>
  </w:style>
  <w:style w:type="paragraph" w:styleId="9">
    <w:name w:val="Body Text Indent"/>
    <w:basedOn w:val="1"/>
    <w:next w:val="8"/>
    <w:qFormat/>
    <w:uiPriority w:val="0"/>
    <w:pPr>
      <w:spacing w:line="440" w:lineRule="exact"/>
      <w:ind w:firstLine="480" w:firstLineChars="200"/>
      <w:jc w:val="both"/>
    </w:pPr>
    <w:rPr>
      <w:rFonts w:ascii="Times New Roman" w:hAnsi="Times New Roman" w:eastAsia="仿宋_GB2312" w:cs="Times New Roman"/>
    </w:rPr>
  </w:style>
  <w:style w:type="paragraph" w:styleId="10">
    <w:name w:val="annotation text"/>
    <w:basedOn w:val="1"/>
    <w:qFormat/>
    <w:uiPriority w:val="0"/>
    <w:pPr>
      <w:jc w:val="left"/>
    </w:pPr>
  </w:style>
  <w:style w:type="paragraph" w:styleId="11">
    <w:name w:val="Body Text"/>
    <w:basedOn w:val="1"/>
    <w:qFormat/>
    <w:uiPriority w:val="0"/>
    <w:pPr>
      <w:widowControl w:val="0"/>
      <w:jc w:val="both"/>
    </w:pPr>
    <w:rPr>
      <w:rFonts w:ascii="Times New Roman" w:hAnsi="Times New Roman" w:eastAsia="宋体" w:cs="Times New Roman"/>
      <w:kern w:val="2"/>
      <w:sz w:val="28"/>
    </w:rPr>
  </w:style>
  <w:style w:type="paragraph" w:styleId="12">
    <w:name w:val="Block Text"/>
    <w:basedOn w:val="1"/>
    <w:qFormat/>
    <w:uiPriority w:val="99"/>
    <w:pPr>
      <w:spacing w:after="120"/>
      <w:ind w:left="1440" w:leftChars="700" w:right="1440" w:rightChars="700"/>
    </w:pPr>
  </w:style>
  <w:style w:type="paragraph" w:styleId="13">
    <w:name w:val="Plain Text"/>
    <w:basedOn w:val="1"/>
    <w:next w:val="14"/>
    <w:qFormat/>
    <w:uiPriority w:val="99"/>
    <w:pPr>
      <w:spacing w:before="100" w:beforeAutospacing="1" w:after="100" w:afterAutospacing="1"/>
    </w:pPr>
    <w:rPr>
      <w:rFonts w:ascii="宋体" w:hAnsi="宋体"/>
    </w:rPr>
  </w:style>
  <w:style w:type="paragraph" w:styleId="14">
    <w:name w:val="toc 2"/>
    <w:basedOn w:val="1"/>
    <w:next w:val="1"/>
    <w:qFormat/>
    <w:uiPriority w:val="39"/>
    <w:pPr>
      <w:ind w:left="240"/>
    </w:pPr>
    <w:rPr>
      <w:rFonts w:ascii="等线" w:eastAsia="等线"/>
      <w:smallCaps/>
      <w:sz w:val="20"/>
      <w:szCs w:val="20"/>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452"/>
      </w:tabs>
      <w:spacing w:before="120" w:after="120" w:line="480" w:lineRule="auto"/>
    </w:pPr>
    <w:rPr>
      <w:rFonts w:ascii="宋体" w:hAnsi="宋体" w:eastAsia="宋体" w:cs="Times New Roman"/>
      <w:b/>
      <w:bCs/>
      <w:caps/>
      <w:color w:val="000000" w:themeColor="text1"/>
      <w:sz w:val="21"/>
      <w:szCs w:val="21"/>
      <w14:textFill>
        <w14:solidFill>
          <w14:schemeClr w14:val="tx1"/>
        </w14:solidFill>
      </w14:textFill>
    </w:rPr>
  </w:style>
  <w:style w:type="paragraph" w:styleId="18">
    <w:name w:val="Normal (Web)"/>
    <w:basedOn w:val="1"/>
    <w:qFormat/>
    <w:uiPriority w:val="99"/>
    <w:pPr>
      <w:spacing w:before="100" w:beforeAutospacing="1" w:after="100" w:afterAutospacing="1"/>
    </w:pPr>
    <w:rPr>
      <w:rFonts w:hint="eastAsia" w:ascii="宋体" w:hAnsi="宋体" w:eastAsia="宋体" w:cs="Times New Roman"/>
    </w:rPr>
  </w:style>
  <w:style w:type="paragraph" w:styleId="19">
    <w:name w:val="Body Text First Indent"/>
    <w:basedOn w:val="11"/>
    <w:next w:val="1"/>
    <w:qFormat/>
    <w:uiPriority w:val="0"/>
    <w:pPr>
      <w:widowControl/>
      <w:spacing w:after="120"/>
      <w:ind w:firstLine="420" w:firstLineChars="100"/>
      <w:jc w:val="left"/>
    </w:pPr>
    <w:rPr>
      <w:rFonts w:ascii="Times New Roman" w:hAnsi="Times New Roman" w:eastAsia="宋体" w:cs="Times New Roman"/>
      <w:kern w:val="0"/>
      <w:sz w:val="24"/>
    </w:rPr>
  </w:style>
  <w:style w:type="paragraph" w:styleId="20">
    <w:name w:val="Body Text First Indent 2"/>
    <w:basedOn w:val="9"/>
    <w:next w:val="1"/>
    <w:qFormat/>
    <w:uiPriority w:val="0"/>
    <w:pPr>
      <w:spacing w:after="120" w:line="240" w:lineRule="auto"/>
      <w:ind w:left="420" w:leftChars="200" w:firstLine="420"/>
      <w:jc w:val="left"/>
    </w:pPr>
    <w:rPr>
      <w:rFonts w:ascii="Times New Roman" w:hAnsi="Times New Roman" w:eastAsia="宋体" w:cs="Times New Roman"/>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ascii="Times New Roman" w:hAnsi="Times New Roman" w:eastAsia="宋体" w:cs="Times New Roman"/>
    </w:rPr>
  </w:style>
  <w:style w:type="character" w:styleId="25">
    <w:name w:val="Hyperlink"/>
    <w:qFormat/>
    <w:uiPriority w:val="99"/>
    <w:rPr>
      <w:rFonts w:ascii="Times New Roman" w:hAnsi="Times New Roman" w:eastAsia="宋体" w:cs="Times New Roman"/>
      <w:color w:val="0000FF"/>
      <w:u w:val="single"/>
    </w:rPr>
  </w:style>
  <w:style w:type="character" w:customStyle="1" w:styleId="26">
    <w:name w:val="标题 1 Char"/>
    <w:link w:val="2"/>
    <w:qFormat/>
    <w:uiPriority w:val="0"/>
    <w:rPr>
      <w:rFonts w:ascii="宋体" w:hAnsi="宋体" w:eastAsia="宋体" w:cs="Times New Roman"/>
      <w:b/>
      <w:bCs/>
      <w:color w:val="000000"/>
      <w:kern w:val="44"/>
      <w:sz w:val="36"/>
      <w:szCs w:val="44"/>
      <w:lang w:val="en-US" w:eastAsia="zh-CN" w:bidi="ar-SA"/>
    </w:rPr>
  </w:style>
  <w:style w:type="character" w:customStyle="1" w:styleId="27">
    <w:name w:val="标题 3 Char"/>
    <w:basedOn w:val="23"/>
    <w:link w:val="4"/>
    <w:qFormat/>
    <w:uiPriority w:val="0"/>
    <w:rPr>
      <w:rFonts w:ascii="Times New Roman" w:hAnsi="Times New Roman" w:eastAsia="宋体"/>
      <w:b/>
      <w:bCs/>
      <w:kern w:val="2"/>
      <w:sz w:val="24"/>
      <w:szCs w:val="32"/>
    </w:rPr>
  </w:style>
  <w:style w:type="character" w:customStyle="1" w:styleId="28">
    <w:name w:val="标题 2 Char"/>
    <w:link w:val="3"/>
    <w:qFormat/>
    <w:uiPriority w:val="0"/>
    <w:rPr>
      <w:rFonts w:ascii="Arial" w:hAnsi="Arial" w:eastAsia="宋体" w:cs="Times New Roman"/>
      <w:b/>
      <w:bCs/>
      <w:color w:val="000000"/>
      <w:kern w:val="0"/>
      <w:sz w:val="28"/>
      <w:lang w:val="zh-CN"/>
    </w:rPr>
  </w:style>
  <w:style w:type="paragraph" w:customStyle="1" w:styleId="29">
    <w:name w:val="正文2"/>
    <w:basedOn w:val="1"/>
    <w:qFormat/>
    <w:uiPriority w:val="0"/>
    <w:pPr>
      <w:numPr>
        <w:ilvl w:val="1"/>
        <w:numId w:val="1"/>
      </w:numPr>
      <w:ind w:left="1091" w:hanging="720"/>
    </w:pPr>
  </w:style>
  <w:style w:type="paragraph" w:customStyle="1" w:styleId="30">
    <w:name w:val="答复缩进"/>
    <w:basedOn w:val="1"/>
    <w:qFormat/>
    <w:uiPriority w:val="0"/>
    <w:pPr>
      <w:numPr>
        <w:ilvl w:val="3"/>
        <w:numId w:val="1"/>
      </w:numPr>
      <w:ind w:left="1631" w:hanging="420"/>
    </w:pPr>
  </w:style>
  <w:style w:type="paragraph" w:customStyle="1" w:styleId="31">
    <w:name w:val="标准有序列表（L1）"/>
    <w:basedOn w:val="1"/>
    <w:qFormat/>
    <w:uiPriority w:val="0"/>
    <w:pPr>
      <w:numPr>
        <w:ilvl w:val="4"/>
        <w:numId w:val="1"/>
      </w:numPr>
      <w:ind w:left="2051" w:hanging="420"/>
    </w:pPr>
  </w:style>
  <w:style w:type="paragraph" w:customStyle="1" w:styleId="32">
    <w:name w:val="Table Description"/>
    <w:basedOn w:val="1"/>
    <w:qFormat/>
    <w:uiPriority w:val="0"/>
    <w:pPr>
      <w:numPr>
        <w:ilvl w:val="5"/>
        <w:numId w:val="1"/>
      </w:numPr>
      <w:ind w:left="2471" w:hanging="420"/>
    </w:pPr>
  </w:style>
  <w:style w:type="paragraph" w:customStyle="1" w:styleId="33">
    <w:name w:val=" Char Char Char"/>
    <w:basedOn w:val="1"/>
    <w:qFormat/>
    <w:uiPriority w:val="0"/>
    <w:pPr>
      <w:widowControl w:val="0"/>
      <w:jc w:val="both"/>
    </w:pPr>
    <w:rPr>
      <w:rFonts w:ascii="Times New Roman" w:hAnsi="Times New Roman" w:eastAsia="宋体" w:cs="Times New Roman"/>
      <w:kern w:val="2"/>
      <w:sz w:val="21"/>
    </w:rPr>
  </w:style>
  <w:style w:type="paragraph" w:styleId="34">
    <w:name w:val="List Paragraph"/>
    <w:basedOn w:val="1"/>
    <w:qFormat/>
    <w:uiPriority w:val="0"/>
    <w:pPr>
      <w:widowControl w:val="0"/>
      <w:ind w:firstLine="420" w:firstLineChars="200"/>
      <w:jc w:val="both"/>
    </w:pPr>
    <w:rPr>
      <w:rFonts w:ascii="Calibri" w:hAnsi="Calibri" w:eastAsia="宋体" w:cs="Times New Roman"/>
      <w:kern w:val="2"/>
      <w:sz w:val="21"/>
      <w:szCs w:val="22"/>
    </w:rPr>
  </w:style>
  <w:style w:type="character" w:customStyle="1" w:styleId="35">
    <w:name w:val="font21"/>
    <w:basedOn w:val="23"/>
    <w:qFormat/>
    <w:uiPriority w:val="0"/>
    <w:rPr>
      <w:rFonts w:hint="eastAsia" w:ascii="宋体" w:hAnsi="宋体" w:eastAsia="宋体" w:cs="宋体"/>
      <w:color w:val="000000"/>
      <w:sz w:val="21"/>
      <w:szCs w:val="21"/>
      <w:u w:val="none"/>
    </w:rPr>
  </w:style>
  <w:style w:type="character" w:customStyle="1" w:styleId="36">
    <w:name w:val="font61"/>
    <w:basedOn w:val="23"/>
    <w:qFormat/>
    <w:uiPriority w:val="0"/>
    <w:rPr>
      <w:rFonts w:ascii="Arial" w:hAnsi="Arial" w:cs="Arial"/>
      <w:color w:val="000000"/>
      <w:sz w:val="21"/>
      <w:szCs w:val="21"/>
      <w:u w:val="none"/>
    </w:rPr>
  </w:style>
  <w:style w:type="paragraph" w:customStyle="1" w:styleId="37">
    <w:name w:val="纯文本1"/>
    <w:basedOn w:val="29"/>
    <w:qFormat/>
    <w:uiPriority w:val="99"/>
    <w:rPr>
      <w:rFonts w:hAnsi="Courier New" w:eastAsia="Times New Roman"/>
      <w:sz w:val="26"/>
    </w:rPr>
  </w:style>
  <w:style w:type="paragraph" w:customStyle="1" w:styleId="38">
    <w:name w:val="Body Text First Indent1"/>
    <w:basedOn w:val="11"/>
    <w:next w:val="1"/>
    <w:qFormat/>
    <w:uiPriority w:val="0"/>
    <w:pPr>
      <w:ind w:firstLine="420" w:firstLineChars="100"/>
    </w:pPr>
    <w:rPr>
      <w:rFonts w:ascii="Calibri" w:hAnsi="Calibri"/>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25888</Words>
  <Characters>27939</Characters>
  <Lines>0</Lines>
  <Paragraphs>0</Paragraphs>
  <TotalTime>0</TotalTime>
  <ScaleCrop>false</ScaleCrop>
  <LinksUpToDate>false</LinksUpToDate>
  <CharactersWithSpaces>28213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2024-05-31T15:24:00Z</dcterms:created>
  <dc:creator>四月</dc:creator>
  <cp:lastModifiedBy>Cripple.</cp:lastModifiedBy>
  <dcterms:modified xsi:type="dcterms:W3CDTF">2025-06-23T02:15:47Z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E9B220C5828847C6810FE57E047ED791_13</vt:lpwstr>
  </property>
  <property fmtid="{D5CDD505-2E9C-101B-9397-08002B2CF9AE}" pid="4" name="KSOTemplateDocerSaveRecord">
    <vt:lpwstr>eyJoZGlkIjoiZGFhOTY4Y2ZiOGE2MzUyODZjNTc2NGFjYmI0OTE5ZjciLCJ1c2VySWQiOiIzNTU0Nzk5MDcifQ==</vt:lpwstr>
  </property>
</Properties>
</file>