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0FD91">
      <w:pPr>
        <w:spacing w:before="120" w:beforeLines="50"/>
        <w:jc w:val="center"/>
        <w:rPr>
          <w:rFonts w:hint="eastAsia" w:hAnsi="宋体" w:cs="宋体"/>
          <w:b/>
          <w:color w:val="auto"/>
          <w:sz w:val="52"/>
          <w:szCs w:val="52"/>
          <w:highlight w:val="none"/>
        </w:rPr>
      </w:pPr>
      <w:r>
        <w:rPr>
          <w:rFonts w:hint="eastAsia" w:hAnsi="宋体" w:cs="宋体"/>
          <w:b/>
          <w:color w:val="auto"/>
          <w:sz w:val="52"/>
          <w:szCs w:val="52"/>
          <w:highlight w:val="none"/>
        </w:rPr>
        <w:tab/>
      </w:r>
    </w:p>
    <w:p w14:paraId="792EAE0A">
      <w:pPr>
        <w:spacing w:before="120" w:beforeLines="50"/>
        <w:ind w:right="-195" w:rightChars="-93"/>
        <w:jc w:val="center"/>
        <w:rPr>
          <w:rFonts w:hint="eastAsia" w:hAnsi="宋体" w:eastAsia="宋体" w:cs="宋体"/>
          <w:b/>
          <w:color w:val="auto"/>
          <w:sz w:val="48"/>
          <w:szCs w:val="48"/>
          <w:highlight w:val="none"/>
          <w:lang w:eastAsia="zh-CN"/>
        </w:rPr>
      </w:pPr>
      <w:r>
        <w:rPr>
          <w:rFonts w:hint="eastAsia" w:hAnsi="宋体" w:cs="宋体"/>
          <w:b/>
          <w:color w:val="auto"/>
          <w:sz w:val="48"/>
          <w:szCs w:val="48"/>
          <w:highlight w:val="none"/>
          <w:lang w:eastAsia="zh-CN"/>
        </w:rPr>
        <w:t>金华市婺城区罗埠镇人民政府垃圾中转站运维采购</w:t>
      </w:r>
    </w:p>
    <w:p w14:paraId="1EE23E63">
      <w:pPr>
        <w:pStyle w:val="3"/>
        <w:ind w:firstLine="0"/>
        <w:rPr>
          <w:rFonts w:hint="eastAsia" w:hAnsi="宋体" w:cs="宋体"/>
          <w:b/>
          <w:color w:val="auto"/>
          <w:sz w:val="48"/>
          <w:szCs w:val="48"/>
          <w:highlight w:val="none"/>
        </w:rPr>
      </w:pPr>
    </w:p>
    <w:p w14:paraId="581E6C17">
      <w:pPr>
        <w:pStyle w:val="4"/>
        <w:rPr>
          <w:rFonts w:hint="eastAsia" w:hAnsi="宋体" w:cs="宋体"/>
          <w:b/>
          <w:color w:val="auto"/>
          <w:sz w:val="48"/>
          <w:szCs w:val="48"/>
          <w:highlight w:val="none"/>
        </w:rPr>
      </w:pPr>
    </w:p>
    <w:p w14:paraId="056278B3">
      <w:pPr>
        <w:pStyle w:val="3"/>
        <w:rPr>
          <w:rFonts w:hint="eastAsia"/>
          <w:color w:val="auto"/>
          <w:highlight w:val="none"/>
        </w:rPr>
      </w:pPr>
    </w:p>
    <w:p w14:paraId="2FE090F6">
      <w:pPr>
        <w:spacing w:before="120" w:beforeLines="50"/>
        <w:jc w:val="center"/>
        <w:rPr>
          <w:rFonts w:hint="eastAsia" w:hAnsi="宋体" w:cs="宋体"/>
          <w:b/>
          <w:color w:val="auto"/>
          <w:sz w:val="52"/>
          <w:szCs w:val="52"/>
          <w:highlight w:val="none"/>
        </w:rPr>
      </w:pPr>
      <w:r>
        <w:rPr>
          <w:rFonts w:hint="eastAsia" w:hAnsi="宋体" w:cs="宋体"/>
          <w:b/>
          <w:color w:val="auto"/>
          <w:sz w:val="52"/>
          <w:szCs w:val="52"/>
          <w:highlight w:val="none"/>
        </w:rPr>
        <w:t>公开招标采购文件</w:t>
      </w:r>
    </w:p>
    <w:p w14:paraId="264C399F">
      <w:pPr>
        <w:snapToGrid w:val="0"/>
        <w:spacing w:before="120" w:beforeLines="50" w:line="360" w:lineRule="auto"/>
        <w:rPr>
          <w:rFonts w:hint="eastAsia" w:hAnsi="宋体" w:cs="宋体"/>
          <w:color w:val="auto"/>
          <w:sz w:val="30"/>
          <w:szCs w:val="72"/>
          <w:highlight w:val="none"/>
        </w:rPr>
      </w:pPr>
    </w:p>
    <w:p w14:paraId="04CCAAB4">
      <w:pPr>
        <w:pStyle w:val="2"/>
        <w:ind w:left="680"/>
        <w:rPr>
          <w:rFonts w:hint="eastAsia" w:ascii="宋体" w:hAnsi="宋体" w:cs="宋体"/>
          <w:color w:val="auto"/>
          <w:sz w:val="30"/>
          <w:szCs w:val="72"/>
          <w:highlight w:val="none"/>
        </w:rPr>
      </w:pPr>
    </w:p>
    <w:p w14:paraId="2D821B62">
      <w:pPr>
        <w:rPr>
          <w:rFonts w:hint="eastAsia" w:hAnsi="宋体" w:cs="宋体"/>
          <w:color w:val="auto"/>
          <w:sz w:val="30"/>
          <w:szCs w:val="72"/>
          <w:highlight w:val="none"/>
        </w:rPr>
      </w:pPr>
    </w:p>
    <w:p w14:paraId="203E885E">
      <w:pPr>
        <w:rPr>
          <w:rFonts w:hint="eastAsia"/>
          <w:color w:val="auto"/>
          <w:highlight w:val="none"/>
        </w:rPr>
      </w:pPr>
    </w:p>
    <w:p w14:paraId="758B4FC2">
      <w:pPr>
        <w:pStyle w:val="24"/>
        <w:rPr>
          <w:rFonts w:hint="eastAsia" w:hAnsi="宋体" w:cs="宋体"/>
          <w:color w:val="auto"/>
          <w:sz w:val="30"/>
          <w:szCs w:val="72"/>
          <w:highlight w:val="none"/>
        </w:rPr>
      </w:pPr>
    </w:p>
    <w:p w14:paraId="72234C8B">
      <w:pPr>
        <w:snapToGrid w:val="0"/>
        <w:spacing w:line="480" w:lineRule="auto"/>
        <w:rPr>
          <w:rFonts w:hint="eastAsia" w:hAnsi="宋体" w:cs="宋体"/>
          <w:b/>
          <w:bCs/>
          <w:color w:val="auto"/>
          <w:w w:val="95"/>
          <w:sz w:val="30"/>
          <w:szCs w:val="30"/>
          <w:highlight w:val="none"/>
        </w:rPr>
      </w:pPr>
    </w:p>
    <w:p w14:paraId="3AD03880">
      <w:pPr>
        <w:snapToGrid w:val="0"/>
        <w:spacing w:line="480" w:lineRule="auto"/>
        <w:ind w:firstLine="572" w:firstLineChars="200"/>
        <w:rPr>
          <w:rFonts w:hint="eastAsia" w:hAnsi="宋体" w:cs="宋体"/>
          <w:b/>
          <w:bCs/>
          <w:color w:val="auto"/>
          <w:w w:val="95"/>
          <w:sz w:val="30"/>
          <w:szCs w:val="30"/>
          <w:highlight w:val="none"/>
        </w:rPr>
      </w:pPr>
      <w:r>
        <w:rPr>
          <w:rFonts w:hint="eastAsia" w:hAnsi="宋体" w:cs="宋体"/>
          <w:b/>
          <w:bCs/>
          <w:color w:val="auto"/>
          <w:w w:val="95"/>
          <w:sz w:val="30"/>
          <w:szCs w:val="30"/>
          <w:highlight w:val="none"/>
        </w:rPr>
        <w:t>项目编号：</w:t>
      </w:r>
      <w:r>
        <w:rPr>
          <w:rFonts w:hint="eastAsia" w:hAnsi="宋体" w:cs="宋体"/>
          <w:b/>
          <w:bCs/>
          <w:color w:val="auto"/>
          <w:w w:val="95"/>
          <w:sz w:val="30"/>
          <w:szCs w:val="30"/>
          <w:highlight w:val="none"/>
          <w:lang w:eastAsia="zh-CN"/>
        </w:rPr>
        <w:t>HJCG-2025-125</w:t>
      </w:r>
    </w:p>
    <w:p w14:paraId="7245690E">
      <w:pPr>
        <w:snapToGrid w:val="0"/>
        <w:spacing w:line="480" w:lineRule="auto"/>
        <w:ind w:firstLine="572" w:firstLineChars="200"/>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采购单位：</w:t>
      </w:r>
      <w:r>
        <w:rPr>
          <w:rFonts w:hint="eastAsia" w:hAnsi="宋体" w:cs="宋体"/>
          <w:b/>
          <w:bCs/>
          <w:color w:val="auto"/>
          <w:w w:val="95"/>
          <w:sz w:val="30"/>
          <w:szCs w:val="30"/>
          <w:highlight w:val="none"/>
          <w:lang w:eastAsia="zh-CN"/>
        </w:rPr>
        <w:t>金华市婺城区罗埠镇人民政府</w:t>
      </w:r>
    </w:p>
    <w:p w14:paraId="57D45BD5">
      <w:pPr>
        <w:snapToGrid w:val="0"/>
        <w:spacing w:line="480" w:lineRule="auto"/>
        <w:ind w:firstLine="572" w:firstLineChars="200"/>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代理机构：</w:t>
      </w:r>
      <w:r>
        <w:rPr>
          <w:rFonts w:hint="eastAsia" w:hAnsi="宋体" w:cs="宋体"/>
          <w:b/>
          <w:bCs/>
          <w:color w:val="auto"/>
          <w:w w:val="95"/>
          <w:sz w:val="30"/>
          <w:szCs w:val="30"/>
          <w:highlight w:val="none"/>
          <w:lang w:eastAsia="zh-CN"/>
        </w:rPr>
        <w:t>浙江华杰工程咨询有限公司</w:t>
      </w:r>
    </w:p>
    <w:p w14:paraId="77948EF3">
      <w:pPr>
        <w:snapToGrid w:val="0"/>
        <w:spacing w:line="480" w:lineRule="auto"/>
        <w:ind w:firstLine="572" w:firstLineChars="200"/>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监管单位：</w:t>
      </w:r>
      <w:r>
        <w:rPr>
          <w:rFonts w:hint="eastAsia" w:hAnsi="宋体" w:cs="宋体"/>
          <w:b/>
          <w:bCs/>
          <w:color w:val="auto"/>
          <w:w w:val="95"/>
          <w:sz w:val="30"/>
          <w:szCs w:val="30"/>
          <w:highlight w:val="none"/>
          <w:lang w:eastAsia="zh-CN"/>
        </w:rPr>
        <w:t>金华经济技术开发区财政金融部</w:t>
      </w:r>
    </w:p>
    <w:p w14:paraId="378B9865">
      <w:pPr>
        <w:snapToGrid w:val="0"/>
        <w:spacing w:line="480" w:lineRule="auto"/>
        <w:jc w:val="center"/>
        <w:rPr>
          <w:rFonts w:hint="eastAsia" w:hAnsi="宋体" w:cs="宋体"/>
          <w:b/>
          <w:bCs/>
          <w:color w:val="auto"/>
          <w:w w:val="95"/>
          <w:sz w:val="30"/>
          <w:szCs w:val="30"/>
          <w:highlight w:val="none"/>
        </w:rPr>
      </w:pPr>
    </w:p>
    <w:p w14:paraId="5AB3351F">
      <w:pPr>
        <w:snapToGrid w:val="0"/>
        <w:spacing w:line="480" w:lineRule="auto"/>
        <w:jc w:val="center"/>
        <w:rPr>
          <w:rFonts w:hint="eastAsia" w:hAnsi="宋体" w:cs="宋体"/>
          <w:color w:val="auto"/>
          <w:highlight w:val="none"/>
        </w:rPr>
        <w:sectPr>
          <w:headerReference r:id="rId3" w:type="default"/>
          <w:footerReference r:id="rId4" w:type="default"/>
          <w:pgSz w:w="11907" w:h="16840"/>
          <w:pgMar w:top="1351" w:right="1026" w:bottom="1029" w:left="1418" w:header="878" w:footer="903" w:gutter="0"/>
          <w:pgNumType w:fmt="decimal"/>
          <w:cols w:space="720" w:num="1"/>
        </w:sectPr>
      </w:pPr>
      <w:r>
        <w:rPr>
          <w:rFonts w:hint="eastAsia" w:hAnsi="宋体" w:cs="宋体"/>
          <w:b/>
          <w:bCs/>
          <w:color w:val="auto"/>
          <w:w w:val="95"/>
          <w:sz w:val="30"/>
          <w:szCs w:val="30"/>
          <w:highlight w:val="none"/>
        </w:rPr>
        <w:t>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4</w:t>
      </w:r>
      <w:r>
        <w:rPr>
          <w:rFonts w:hint="eastAsia" w:hAnsi="宋体" w:cs="宋体"/>
          <w:b/>
          <w:bCs/>
          <w:color w:val="auto"/>
          <w:w w:val="95"/>
          <w:sz w:val="30"/>
          <w:szCs w:val="30"/>
          <w:highlight w:val="none"/>
        </w:rPr>
        <w:t>月</w:t>
      </w:r>
    </w:p>
    <w:p w14:paraId="54CA8485">
      <w:pPr>
        <w:jc w:val="center"/>
        <w:rPr>
          <w:rFonts w:hint="eastAsia" w:hAnsi="宋体" w:cs="宋体"/>
          <w:b/>
          <w:bCs/>
          <w:color w:val="auto"/>
          <w:sz w:val="24"/>
          <w:szCs w:val="24"/>
          <w:highlight w:val="none"/>
        </w:rPr>
      </w:pPr>
      <w:r>
        <w:rPr>
          <w:rFonts w:hint="eastAsia" w:hAnsi="宋体" w:cs="宋体"/>
          <w:b/>
          <w:bCs/>
          <w:color w:val="auto"/>
          <w:sz w:val="32"/>
          <w:szCs w:val="32"/>
          <w:highlight w:val="none"/>
        </w:rPr>
        <w:t>目        录</w:t>
      </w:r>
      <w:bookmarkStart w:id="0" w:name="_Toc237182500"/>
    </w:p>
    <w:p w14:paraId="044070AA">
      <w:pPr>
        <w:pStyle w:val="15"/>
        <w:tabs>
          <w:tab w:val="right" w:leader="dot" w:pos="9298"/>
        </w:tabs>
        <w:spacing w:line="420" w:lineRule="exact"/>
        <w:rPr>
          <w:rFonts w:hint="eastAsia" w:ascii="宋体" w:hAnsi="宋体" w:cs="宋体"/>
          <w:color w:val="auto"/>
          <w:sz w:val="24"/>
          <w:szCs w:val="24"/>
          <w:highlight w:val="none"/>
        </w:rPr>
      </w:pP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TOC \o "1-3" \h \z \u </w:instrText>
      </w:r>
      <w:r>
        <w:rPr>
          <w:rFonts w:hint="eastAsia" w:ascii="宋体" w:hAnsi="宋体" w:cs="宋体"/>
          <w:b w:val="0"/>
          <w:bCs w:val="0"/>
          <w:color w:val="auto"/>
          <w:sz w:val="24"/>
          <w:szCs w:val="24"/>
          <w:highlight w:val="none"/>
        </w:rPr>
        <w:fldChar w:fldCharType="separate"/>
      </w: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_Toc1045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第一章  公开招标采购公告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_Toc1045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rPr>
        <w:fldChar w:fldCharType="end"/>
      </w:r>
      <w:r>
        <w:rPr>
          <w:rFonts w:hint="eastAsia" w:ascii="宋体" w:hAnsi="宋体" w:cs="宋体"/>
          <w:bCs w:val="0"/>
          <w:color w:val="auto"/>
          <w:sz w:val="24"/>
          <w:szCs w:val="24"/>
          <w:highlight w:val="none"/>
        </w:rPr>
        <w:fldChar w:fldCharType="end"/>
      </w:r>
    </w:p>
    <w:p w14:paraId="0FE8F4AE">
      <w:pPr>
        <w:pStyle w:val="15"/>
        <w:tabs>
          <w:tab w:val="right" w:leader="dot" w:pos="9298"/>
        </w:tabs>
        <w:spacing w:line="420" w:lineRule="exact"/>
        <w:rPr>
          <w:rFonts w:hint="eastAsia" w:ascii="宋体" w:hAnsi="宋体" w:cs="宋体"/>
          <w:color w:val="auto"/>
          <w:sz w:val="24"/>
          <w:szCs w:val="24"/>
          <w:highlight w:val="none"/>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_Toc10973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第二章  招标需求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_Toc10973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bCs w:val="0"/>
          <w:color w:val="auto"/>
          <w:sz w:val="24"/>
          <w:szCs w:val="24"/>
          <w:highlight w:val="none"/>
        </w:rPr>
        <w:fldChar w:fldCharType="end"/>
      </w:r>
    </w:p>
    <w:p w14:paraId="358BF5E7">
      <w:pPr>
        <w:pStyle w:val="15"/>
        <w:tabs>
          <w:tab w:val="right" w:leader="dot" w:pos="9298"/>
        </w:tabs>
        <w:spacing w:line="420" w:lineRule="exact"/>
        <w:rPr>
          <w:rFonts w:hint="eastAsia" w:ascii="宋体" w:hAnsi="宋体" w:eastAsia="宋体" w:cs="宋体"/>
          <w:color w:val="auto"/>
          <w:sz w:val="24"/>
          <w:szCs w:val="24"/>
          <w:highlight w:val="none"/>
          <w:lang w:eastAsia="zh-CN"/>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_Toc32144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第三章  投标人须知</w:t>
      </w:r>
      <w:r>
        <w:rPr>
          <w:rFonts w:hint="eastAsia" w:ascii="宋体" w:hAnsi="宋体" w:cs="宋体"/>
          <w:color w:val="auto"/>
          <w:sz w:val="24"/>
          <w:szCs w:val="24"/>
          <w:highlight w:val="none"/>
        </w:rPr>
        <w:tab/>
      </w:r>
      <w:r>
        <w:rPr>
          <w:rFonts w:hint="eastAsia" w:ascii="宋体" w:hAnsi="宋体" w:cs="宋体"/>
          <w:bCs w:val="0"/>
          <w:color w:val="auto"/>
          <w:sz w:val="24"/>
          <w:szCs w:val="24"/>
          <w:highlight w:val="none"/>
        </w:rPr>
        <w:fldChar w:fldCharType="end"/>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p>
    <w:p w14:paraId="3BBF081E">
      <w:pPr>
        <w:pStyle w:val="15"/>
        <w:tabs>
          <w:tab w:val="right" w:leader="dot" w:pos="9298"/>
        </w:tabs>
        <w:spacing w:line="420" w:lineRule="exact"/>
        <w:rPr>
          <w:rFonts w:hint="eastAsia" w:ascii="宋体" w:hAnsi="宋体" w:cs="宋体"/>
          <w:color w:val="auto"/>
          <w:sz w:val="24"/>
          <w:szCs w:val="24"/>
          <w:highlight w:val="none"/>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_Toc18629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前附表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_Toc18629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17</w:t>
      </w:r>
      <w:r>
        <w:rPr>
          <w:rFonts w:hint="eastAsia" w:ascii="宋体" w:hAnsi="宋体" w:cs="宋体"/>
          <w:color w:val="auto"/>
          <w:sz w:val="24"/>
          <w:szCs w:val="24"/>
          <w:highlight w:val="none"/>
        </w:rPr>
        <w:fldChar w:fldCharType="end"/>
      </w:r>
      <w:r>
        <w:rPr>
          <w:rFonts w:hint="eastAsia" w:ascii="宋体" w:hAnsi="宋体" w:cs="宋体"/>
          <w:bCs w:val="0"/>
          <w:color w:val="auto"/>
          <w:sz w:val="24"/>
          <w:szCs w:val="24"/>
          <w:highlight w:val="none"/>
        </w:rPr>
        <w:fldChar w:fldCharType="end"/>
      </w:r>
    </w:p>
    <w:p w14:paraId="755E9E03">
      <w:pPr>
        <w:pStyle w:val="15"/>
        <w:tabs>
          <w:tab w:val="right" w:leader="dot" w:pos="9298"/>
        </w:tabs>
        <w:spacing w:line="420" w:lineRule="exact"/>
        <w:rPr>
          <w:rFonts w:hint="eastAsia" w:ascii="宋体" w:hAnsi="宋体" w:cs="宋体"/>
          <w:color w:val="auto"/>
          <w:sz w:val="24"/>
          <w:szCs w:val="24"/>
          <w:highlight w:val="none"/>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_Toc5099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第四章  评标办法及评分标准</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31</w:t>
      </w:r>
      <w:r>
        <w:rPr>
          <w:rFonts w:hint="eastAsia" w:ascii="宋体" w:hAnsi="宋体" w:cs="宋体"/>
          <w:bCs w:val="0"/>
          <w:color w:val="auto"/>
          <w:sz w:val="24"/>
          <w:szCs w:val="24"/>
          <w:highlight w:val="none"/>
        </w:rPr>
        <w:fldChar w:fldCharType="end"/>
      </w:r>
    </w:p>
    <w:p w14:paraId="57618A75">
      <w:pPr>
        <w:pStyle w:val="15"/>
        <w:tabs>
          <w:tab w:val="right" w:leader="dot" w:pos="9298"/>
        </w:tabs>
        <w:spacing w:line="420" w:lineRule="exact"/>
        <w:rPr>
          <w:rFonts w:hint="eastAsia" w:ascii="宋体" w:hAnsi="宋体" w:eastAsia="宋体" w:cs="宋体"/>
          <w:color w:val="auto"/>
          <w:sz w:val="24"/>
          <w:szCs w:val="24"/>
          <w:highlight w:val="none"/>
          <w:lang w:eastAsia="zh-CN"/>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_Toc2072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第五章  合同文本</w:t>
      </w:r>
      <w:r>
        <w:rPr>
          <w:rFonts w:hint="eastAsia" w:ascii="宋体" w:hAnsi="宋体" w:cs="宋体"/>
          <w:color w:val="auto"/>
          <w:sz w:val="24"/>
          <w:szCs w:val="24"/>
          <w:highlight w:val="none"/>
        </w:rPr>
        <w:tab/>
      </w:r>
      <w:r>
        <w:rPr>
          <w:rFonts w:hint="eastAsia" w:ascii="宋体" w:hAnsi="宋体" w:cs="宋体"/>
          <w:color w:val="auto"/>
          <w:sz w:val="24"/>
          <w:szCs w:val="24"/>
          <w:highlight w:val="none"/>
        </w:rPr>
        <w:t>3</w:t>
      </w:r>
      <w:r>
        <w:rPr>
          <w:rFonts w:hint="eastAsia" w:ascii="宋体" w:hAnsi="宋体" w:cs="宋体"/>
          <w:bCs w:val="0"/>
          <w:color w:val="auto"/>
          <w:sz w:val="24"/>
          <w:szCs w:val="24"/>
          <w:highlight w:val="none"/>
        </w:rPr>
        <w:fldChar w:fldCharType="end"/>
      </w:r>
      <w:r>
        <w:rPr>
          <w:rFonts w:hint="eastAsia" w:ascii="宋体" w:hAnsi="宋体" w:cs="宋体"/>
          <w:bCs w:val="0"/>
          <w:color w:val="auto"/>
          <w:sz w:val="24"/>
          <w:szCs w:val="24"/>
          <w:highlight w:val="none"/>
          <w:lang w:val="en-US" w:eastAsia="zh-CN"/>
        </w:rPr>
        <w:t>9</w:t>
      </w:r>
    </w:p>
    <w:p w14:paraId="4652C734">
      <w:pPr>
        <w:pStyle w:val="15"/>
        <w:tabs>
          <w:tab w:val="right" w:leader="dot" w:pos="9298"/>
        </w:tabs>
        <w:spacing w:line="420" w:lineRule="exact"/>
        <w:rPr>
          <w:rFonts w:hint="eastAsia" w:ascii="宋体" w:hAnsi="宋体" w:cs="宋体"/>
          <w:color w:val="auto"/>
          <w:sz w:val="24"/>
          <w:szCs w:val="24"/>
          <w:highlight w:val="none"/>
        </w:rPr>
      </w:pPr>
      <w:r>
        <w:rPr>
          <w:rFonts w:hint="eastAsia" w:ascii="宋体" w:hAnsi="宋体" w:cs="宋体"/>
          <w:bCs w:val="0"/>
          <w:color w:val="auto"/>
          <w:sz w:val="24"/>
          <w:szCs w:val="24"/>
          <w:highlight w:val="none"/>
        </w:rPr>
        <w:fldChar w:fldCharType="begin"/>
      </w:r>
      <w:r>
        <w:rPr>
          <w:rFonts w:hint="eastAsia" w:ascii="宋体" w:hAnsi="宋体" w:cs="宋体"/>
          <w:bCs w:val="0"/>
          <w:color w:val="auto"/>
          <w:sz w:val="24"/>
          <w:szCs w:val="24"/>
          <w:highlight w:val="none"/>
        </w:rPr>
        <w:instrText xml:space="preserve"> HYPERLINK \l _Toc22248 </w:instrText>
      </w:r>
      <w:r>
        <w:rPr>
          <w:rFonts w:hint="eastAsia" w:ascii="宋体" w:hAnsi="宋体" w:cs="宋体"/>
          <w:bCs w:val="0"/>
          <w:color w:val="auto"/>
          <w:sz w:val="24"/>
          <w:szCs w:val="24"/>
          <w:highlight w:val="none"/>
        </w:rPr>
        <w:fldChar w:fldCharType="separate"/>
      </w:r>
      <w:r>
        <w:rPr>
          <w:rFonts w:hint="eastAsia" w:ascii="宋体" w:hAnsi="宋体" w:cs="宋体"/>
          <w:color w:val="auto"/>
          <w:sz w:val="24"/>
          <w:szCs w:val="24"/>
          <w:highlight w:val="none"/>
        </w:rPr>
        <w:t>第六章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_Toc22248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49</w:t>
      </w:r>
      <w:r>
        <w:rPr>
          <w:rFonts w:hint="eastAsia" w:ascii="宋体" w:hAnsi="宋体" w:cs="宋体"/>
          <w:color w:val="auto"/>
          <w:sz w:val="24"/>
          <w:szCs w:val="24"/>
          <w:highlight w:val="none"/>
        </w:rPr>
        <w:fldChar w:fldCharType="end"/>
      </w:r>
      <w:r>
        <w:rPr>
          <w:rFonts w:hint="eastAsia" w:ascii="宋体" w:hAnsi="宋体" w:cs="宋体"/>
          <w:bCs w:val="0"/>
          <w:color w:val="auto"/>
          <w:sz w:val="24"/>
          <w:szCs w:val="24"/>
          <w:highlight w:val="none"/>
        </w:rPr>
        <w:fldChar w:fldCharType="end"/>
      </w:r>
    </w:p>
    <w:p w14:paraId="2FFBEFB6">
      <w:pPr>
        <w:spacing w:line="380" w:lineRule="exact"/>
        <w:ind w:firstLine="241" w:firstLineChars="100"/>
        <w:jc w:val="both"/>
        <w:rPr>
          <w:rFonts w:hint="eastAsia" w:hAnsi="宋体" w:cs="宋体"/>
          <w:b/>
          <w:bCs/>
          <w:color w:val="auto"/>
          <w:sz w:val="24"/>
          <w:szCs w:val="24"/>
          <w:highlight w:val="none"/>
        </w:rPr>
      </w:pPr>
      <w:r>
        <w:rPr>
          <w:rFonts w:hint="eastAsia" w:hAnsi="宋体" w:cs="宋体"/>
          <w:b/>
          <w:bCs/>
          <w:color w:val="auto"/>
          <w:sz w:val="24"/>
          <w:szCs w:val="24"/>
          <w:highlight w:val="none"/>
        </w:rPr>
        <w:fldChar w:fldCharType="end"/>
      </w:r>
    </w:p>
    <w:p w14:paraId="28C0125D">
      <w:pPr>
        <w:pStyle w:val="10"/>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p>
    <w:p w14:paraId="76583123">
      <w:pPr>
        <w:pStyle w:val="10"/>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举报电话：</w:t>
      </w:r>
    </w:p>
    <w:p w14:paraId="16A393B3">
      <w:pPr>
        <w:pStyle w:val="10"/>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市扫黑办  0579-82495227</w:t>
      </w:r>
    </w:p>
    <w:p w14:paraId="155FBFEC">
      <w:pPr>
        <w:pStyle w:val="10"/>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市公安局  110、0579-82512110</w:t>
      </w:r>
    </w:p>
    <w:p w14:paraId="7977034A">
      <w:pPr>
        <w:pStyle w:val="10"/>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市检察院  0579-82537082</w:t>
      </w:r>
    </w:p>
    <w:p w14:paraId="1863AD73">
      <w:pPr>
        <w:pStyle w:val="10"/>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市 法 院  0579-82688725</w:t>
      </w:r>
    </w:p>
    <w:p w14:paraId="1971EE2D">
      <w:pPr>
        <w:pStyle w:val="10"/>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市公共资源交易管理办公室  0579-82469285</w:t>
      </w:r>
    </w:p>
    <w:p w14:paraId="122A5C44">
      <w:pPr>
        <w:pStyle w:val="10"/>
        <w:pBdr>
          <w:top w:val="single" w:color="auto" w:sz="4" w:space="1"/>
          <w:left w:val="single" w:color="auto" w:sz="4" w:space="4"/>
          <w:bottom w:val="single" w:color="auto" w:sz="4" w:space="1"/>
          <w:right w:val="single" w:color="auto" w:sz="4" w:space="4"/>
        </w:pBdr>
        <w:snapToGrid w:val="0"/>
        <w:spacing w:line="460" w:lineRule="exact"/>
        <w:ind w:firstLine="482" w:firstLineChars="200"/>
        <w:rPr>
          <w:rFonts w:hint="eastAsia" w:ascii="宋体" w:hAnsi="宋体" w:cs="宋体"/>
          <w:b/>
          <w:bCs/>
          <w:color w:val="auto"/>
          <w:sz w:val="24"/>
          <w:szCs w:val="24"/>
          <w:highlight w:val="none"/>
        </w:rPr>
      </w:pPr>
      <w:r>
        <w:rPr>
          <w:rFonts w:hint="eastAsia" w:ascii="宋体" w:hAnsi="宋体" w:cs="宋体"/>
          <w:b/>
          <w:color w:val="auto"/>
          <w:sz w:val="24"/>
          <w:szCs w:val="24"/>
          <w:highlight w:val="none"/>
        </w:rPr>
        <w:t>市公共资源交易中心  0579-83187211</w:t>
      </w:r>
    </w:p>
    <w:p w14:paraId="630D3216">
      <w:pPr>
        <w:spacing w:line="500" w:lineRule="exact"/>
        <w:ind w:firstLine="241" w:firstLineChars="100"/>
        <w:jc w:val="both"/>
        <w:rPr>
          <w:rFonts w:hint="eastAsia" w:hAnsi="宋体" w:cs="宋体"/>
          <w:b/>
          <w:color w:val="auto"/>
          <w:sz w:val="24"/>
          <w:szCs w:val="24"/>
          <w:highlight w:val="none"/>
        </w:rPr>
      </w:pPr>
      <w:r>
        <w:rPr>
          <w:rFonts w:hint="eastAsia" w:hAnsi="宋体" w:cs="宋体"/>
          <w:b/>
          <w:color w:val="auto"/>
          <w:sz w:val="24"/>
          <w:szCs w:val="24"/>
          <w:highlight w:val="none"/>
          <w:lang w:bidi="ar"/>
        </w:rPr>
        <w:t>投标供应商不得向招标人、政府采购工作人员、评标专家行贿，违者一经查实，将列入政府采购黑名单！</w:t>
      </w:r>
    </w:p>
    <w:p w14:paraId="1DB9CF8B">
      <w:pPr>
        <w:numPr>
          <w:ilvl w:val="0"/>
          <w:numId w:val="2"/>
        </w:numPr>
        <w:spacing w:line="500" w:lineRule="exact"/>
        <w:jc w:val="both"/>
        <w:textAlignment w:val="baseline"/>
        <w:rPr>
          <w:rFonts w:hint="eastAsia" w:hAnsi="宋体" w:cs="宋体"/>
          <w:b/>
          <w:color w:val="auto"/>
          <w:sz w:val="24"/>
          <w:szCs w:val="24"/>
          <w:highlight w:val="none"/>
        </w:rPr>
      </w:pPr>
      <w:r>
        <w:rPr>
          <w:rFonts w:hint="eastAsia" w:hAnsi="宋体" w:cs="宋体"/>
          <w:b/>
          <w:color w:val="auto"/>
          <w:sz w:val="24"/>
          <w:szCs w:val="24"/>
          <w:highlight w:val="none"/>
          <w:lang w:bidi="ar"/>
        </w:rPr>
        <w:t>投标供应商可在政采云平台（http://zfcg.czt.zj.gov.cn/）进行免费注册，具体详见网站投标人注册要求，投标供应商获取中标资格后应在合同签订前完成注册并成为正式注册投标人。否则将无法完成合同签订与付款程序。</w:t>
      </w:r>
    </w:p>
    <w:p w14:paraId="0E320697">
      <w:pPr>
        <w:spacing w:line="500" w:lineRule="exact"/>
        <w:ind w:firstLine="241" w:firstLineChars="100"/>
        <w:jc w:val="both"/>
        <w:rPr>
          <w:rFonts w:hint="eastAsia" w:hAnsi="宋体" w:cs="宋体"/>
          <w:b/>
          <w:bCs/>
          <w:color w:val="auto"/>
          <w:sz w:val="18"/>
          <w:szCs w:val="18"/>
          <w:highlight w:val="none"/>
        </w:rPr>
      </w:pPr>
      <w:r>
        <w:rPr>
          <w:rFonts w:hint="eastAsia" w:hAnsi="宋体" w:cs="宋体"/>
          <w:b/>
          <w:color w:val="auto"/>
          <w:sz w:val="24"/>
          <w:szCs w:val="24"/>
          <w:highlight w:val="none"/>
          <w:lang w:bidi="ar"/>
        </w:rPr>
        <w:t>（注：请认真阅读此招标文件，并按规定制作投标文件，否则我们的努力将是徒劳。）</w:t>
      </w:r>
    </w:p>
    <w:bookmarkEnd w:id="0"/>
    <w:p w14:paraId="43961D11">
      <w:pPr>
        <w:spacing w:line="500" w:lineRule="exact"/>
        <w:ind w:firstLine="210" w:firstLineChars="100"/>
        <w:jc w:val="both"/>
        <w:rPr>
          <w:rFonts w:hint="eastAsia" w:hAnsi="宋体" w:cs="宋体"/>
          <w:color w:val="auto"/>
          <w:highlight w:val="none"/>
        </w:rPr>
        <w:sectPr>
          <w:headerReference r:id="rId6" w:type="first"/>
          <w:footerReference r:id="rId8" w:type="first"/>
          <w:headerReference r:id="rId5" w:type="default"/>
          <w:footerReference r:id="rId7" w:type="default"/>
          <w:pgSz w:w="11906" w:h="16838"/>
          <w:pgMar w:top="1440" w:right="1304" w:bottom="1440" w:left="1304" w:header="567" w:footer="964" w:gutter="0"/>
          <w:pgNumType w:fmt="decimal"/>
          <w:cols w:space="720" w:num="1"/>
          <w:docGrid w:type="lines" w:linePitch="634" w:charSpace="0"/>
        </w:sectPr>
      </w:pPr>
    </w:p>
    <w:p w14:paraId="72F28E7A">
      <w:pPr>
        <w:pStyle w:val="5"/>
        <w:keepNext w:val="0"/>
        <w:spacing w:line="500" w:lineRule="exact"/>
        <w:jc w:val="center"/>
        <w:rPr>
          <w:rFonts w:hint="eastAsia" w:ascii="宋体" w:hAnsi="宋体" w:cs="宋体"/>
          <w:color w:val="auto"/>
          <w:sz w:val="30"/>
          <w:szCs w:val="30"/>
          <w:highlight w:val="none"/>
        </w:rPr>
      </w:pPr>
      <w:bookmarkStart w:id="1" w:name="_Toc1045"/>
      <w:bookmarkStart w:id="2" w:name="_Toc351559940"/>
      <w:bookmarkStart w:id="3" w:name="_Toc205638623"/>
      <w:bookmarkStart w:id="4" w:name="_Toc217289129"/>
      <w:bookmarkStart w:id="5" w:name="_Toc184785918"/>
      <w:bookmarkStart w:id="6" w:name="_Toc237176505"/>
      <w:r>
        <w:rPr>
          <w:rFonts w:hint="eastAsia" w:ascii="宋体" w:hAnsi="宋体" w:cs="宋体"/>
          <w:color w:val="auto"/>
          <w:sz w:val="30"/>
          <w:szCs w:val="30"/>
          <w:highlight w:val="none"/>
        </w:rPr>
        <w:t>第一章  公开招标采购公告</w:t>
      </w:r>
      <w:bookmarkEnd w:id="1"/>
      <w:bookmarkEnd w:id="2"/>
    </w:p>
    <w:p w14:paraId="6A04528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项目概况</w:t>
      </w:r>
    </w:p>
    <w:p w14:paraId="7F32E65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500" w:lineRule="exact"/>
        <w:ind w:firstLine="480" w:firstLineChars="200"/>
        <w:textAlignment w:val="auto"/>
        <w:rPr>
          <w:rFonts w:hint="eastAsia"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金华市婺城区罗埠镇人民政府垃圾中转站运维采购</w:t>
      </w:r>
      <w:r>
        <w:rPr>
          <w:rFonts w:hint="eastAsia" w:asciiTheme="minorEastAsia" w:hAnsiTheme="minorEastAsia" w:eastAsiaTheme="minorEastAsia" w:cstheme="minorEastAsia"/>
          <w:color w:val="auto"/>
          <w:sz w:val="24"/>
          <w:szCs w:val="24"/>
          <w:highlight w:val="none"/>
        </w:rPr>
        <w:t>的潜在投标人应在浙江省“政采云”平台</w:t>
      </w:r>
      <w:r>
        <w:rPr>
          <w:rFonts w:hint="eastAsia" w:asciiTheme="minorEastAsia" w:hAnsiTheme="minorEastAsia" w:eastAsiaTheme="minorEastAsia" w:cstheme="minorEastAsia"/>
          <w:b/>
          <w:bCs/>
          <w:color w:val="auto"/>
          <w:sz w:val="24"/>
          <w:szCs w:val="24"/>
          <w:highlight w:val="none"/>
        </w:rPr>
        <w:t>获取招标文件</w:t>
      </w:r>
      <w:r>
        <w:rPr>
          <w:rFonts w:hint="eastAsia" w:asciiTheme="minorEastAsia" w:hAnsiTheme="minorEastAsia" w:eastAsiaTheme="minorEastAsia" w:cstheme="minorEastAsia"/>
          <w:color w:val="auto"/>
          <w:sz w:val="24"/>
          <w:szCs w:val="24"/>
          <w:highlight w:val="none"/>
        </w:rPr>
        <w:t>，并于202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年</w:t>
      </w:r>
      <w:r>
        <w:rPr>
          <w:rFonts w:hint="eastAsia" w:asciiTheme="minorEastAsia" w:hAnsiTheme="minorEastAsia" w:eastAsiaTheme="minorEastAsia" w:cstheme="minorEastAsia"/>
          <w:bCs/>
          <w:color w:val="auto"/>
          <w:sz w:val="24"/>
          <w:szCs w:val="24"/>
          <w:highlight w:val="none"/>
          <w:lang w:val="en-US" w:eastAsia="zh-CN"/>
        </w:rPr>
        <w:t>8</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stheme="minorEastAsia"/>
          <w:bCs/>
          <w:color w:val="auto"/>
          <w:sz w:val="24"/>
          <w:szCs w:val="24"/>
          <w:highlight w:val="none"/>
          <w:lang w:val="en-US" w:eastAsia="zh-CN"/>
        </w:rPr>
        <w:t>6</w:t>
      </w:r>
      <w:bookmarkStart w:id="36" w:name="_GoBack"/>
      <w:bookmarkEnd w:id="36"/>
      <w:r>
        <w:rPr>
          <w:rFonts w:hint="eastAsia" w:asciiTheme="minorEastAsia" w:hAnsiTheme="minorEastAsia" w:eastAsiaTheme="minorEastAsia" w:cstheme="minorEastAsia"/>
          <w:bCs/>
          <w:color w:val="auto"/>
          <w:sz w:val="24"/>
          <w:szCs w:val="24"/>
          <w:highlight w:val="none"/>
        </w:rPr>
        <w:t>日</w:t>
      </w:r>
      <w:r>
        <w:rPr>
          <w:rFonts w:hint="eastAsia" w:asciiTheme="minorEastAsia" w:hAnsiTheme="minorEastAsia" w:eastAsiaTheme="minorEastAsia" w:cstheme="minorEastAsia"/>
          <w:bCs/>
          <w:color w:val="auto"/>
          <w:sz w:val="24"/>
          <w:szCs w:val="24"/>
          <w:highlight w:val="none"/>
          <w:lang w:val="en-US" w:eastAsia="zh-CN"/>
        </w:rPr>
        <w:t>9时00</w:t>
      </w:r>
      <w:r>
        <w:rPr>
          <w:rFonts w:hint="eastAsia" w:asciiTheme="minorEastAsia" w:hAnsiTheme="minorEastAsia" w:eastAsiaTheme="minorEastAsia" w:cstheme="minorEastAsia"/>
          <w:bCs/>
          <w:color w:val="auto"/>
          <w:sz w:val="24"/>
          <w:szCs w:val="24"/>
          <w:highlight w:val="none"/>
        </w:rPr>
        <w:t>分（北京时间）前上传投标文件</w:t>
      </w:r>
      <w:r>
        <w:rPr>
          <w:rFonts w:hint="eastAsia" w:asciiTheme="minorEastAsia" w:hAnsiTheme="minorEastAsia" w:eastAsiaTheme="minorEastAsia" w:cstheme="minorEastAsia"/>
          <w:color w:val="auto"/>
          <w:sz w:val="24"/>
          <w:szCs w:val="24"/>
          <w:highlight w:val="none"/>
        </w:rPr>
        <w:t>。</w:t>
      </w:r>
    </w:p>
    <w:p w14:paraId="57DD23AD">
      <w:pPr>
        <w:pStyle w:val="16"/>
        <w:keepNext w:val="0"/>
        <w:keepLines w:val="0"/>
        <w:widowControl/>
        <w:suppressLineNumbers w:val="0"/>
        <w:spacing w:before="300" w:beforeAutospacing="0" w:after="0" w:afterAutospacing="0"/>
        <w:ind w:left="0" w:right="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aps w:val="0"/>
          <w:color w:val="000000"/>
          <w:spacing w:val="0"/>
          <w:sz w:val="24"/>
          <w:szCs w:val="24"/>
        </w:rPr>
        <w:t>一、项目基本情况</w:t>
      </w:r>
    </w:p>
    <w:p w14:paraId="742B22B9">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i w:val="0"/>
          <w:iCs w:val="0"/>
          <w:caps w:val="0"/>
          <w:color w:val="000000"/>
          <w:spacing w:val="0"/>
          <w:sz w:val="24"/>
          <w:szCs w:val="24"/>
        </w:rPr>
        <w:t>项目编号：</w:t>
      </w:r>
      <w:r>
        <w:rPr>
          <w:rFonts w:hint="eastAsia" w:asciiTheme="minorEastAsia" w:hAnsiTheme="minorEastAsia" w:eastAsiaTheme="minorEastAsia" w:cstheme="minorEastAsia"/>
          <w:i w:val="0"/>
          <w:iCs w:val="0"/>
          <w:caps w:val="0"/>
          <w:color w:val="000000"/>
          <w:spacing w:val="0"/>
          <w:sz w:val="24"/>
          <w:szCs w:val="24"/>
          <w:lang w:eastAsia="zh-CN"/>
        </w:rPr>
        <w:t>HJCG-2025-125</w:t>
      </w:r>
    </w:p>
    <w:p w14:paraId="06B01442">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i w:val="0"/>
          <w:iCs w:val="0"/>
          <w:caps w:val="0"/>
          <w:color w:val="000000"/>
          <w:spacing w:val="0"/>
          <w:sz w:val="24"/>
          <w:szCs w:val="24"/>
        </w:rPr>
        <w:t>项目名称：</w:t>
      </w:r>
      <w:r>
        <w:rPr>
          <w:rFonts w:hint="eastAsia" w:asciiTheme="minorEastAsia" w:hAnsiTheme="minorEastAsia" w:eastAsiaTheme="minorEastAsia" w:cstheme="minorEastAsia"/>
          <w:i w:val="0"/>
          <w:iCs w:val="0"/>
          <w:caps w:val="0"/>
          <w:color w:val="000000"/>
          <w:spacing w:val="0"/>
          <w:sz w:val="24"/>
          <w:szCs w:val="24"/>
          <w:lang w:eastAsia="zh-CN"/>
        </w:rPr>
        <w:t>金华市婺城区罗埠镇人民政府垃圾中转站运维采购</w:t>
      </w:r>
    </w:p>
    <w:p w14:paraId="2A478D72">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i w:val="0"/>
          <w:iCs w:val="0"/>
          <w:caps w:val="0"/>
          <w:color w:val="000000"/>
          <w:spacing w:val="0"/>
          <w:sz w:val="24"/>
          <w:szCs w:val="24"/>
        </w:rPr>
        <w:t>预算金额（元）：1519100</w:t>
      </w:r>
    </w:p>
    <w:p w14:paraId="7F0040AD">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i w:val="0"/>
          <w:iCs w:val="0"/>
          <w:caps w:val="0"/>
          <w:color w:val="000000"/>
          <w:spacing w:val="0"/>
          <w:sz w:val="24"/>
          <w:szCs w:val="24"/>
        </w:rPr>
        <w:t>最高限价（元）：1519100</w:t>
      </w:r>
    </w:p>
    <w:p w14:paraId="2C0E6698">
      <w:pPr>
        <w:keepNext w:val="0"/>
        <w:keepLines w:val="0"/>
        <w:pageBreakBefore w:val="0"/>
        <w:widowControl/>
        <w:suppressLineNumbers w:val="0"/>
        <w:kinsoku/>
        <w:wordWrap/>
        <w:overflowPunct/>
        <w:topLinePunct w:val="0"/>
        <w:autoSpaceDE/>
        <w:autoSpaceDN/>
        <w:bidi w:val="0"/>
        <w:adjustRightInd/>
        <w:snapToGrid/>
        <w:spacing w:line="240" w:lineRule="auto"/>
        <w:ind w:left="0" w:firstLine="420"/>
        <w:jc w:val="left"/>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采购需求：</w:t>
      </w:r>
    </w:p>
    <w:p w14:paraId="01B9A1FC">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shd w:val="clear" w:fill="F7F7F7"/>
        </w:rPr>
        <w:t>标项名称：</w:t>
      </w:r>
      <w:r>
        <w:rPr>
          <w:rFonts w:hint="eastAsia" w:asciiTheme="minorEastAsia" w:hAnsiTheme="minorEastAsia" w:eastAsiaTheme="minorEastAsia" w:cstheme="minorEastAsia"/>
          <w:i w:val="0"/>
          <w:iCs w:val="0"/>
          <w:caps w:val="0"/>
          <w:color w:val="000000"/>
          <w:spacing w:val="0"/>
          <w:sz w:val="24"/>
          <w:szCs w:val="24"/>
          <w:lang w:eastAsia="zh-CN"/>
        </w:rPr>
        <w:t>金华市婺城区罗埠镇人民政府垃圾中转站运维采购</w:t>
      </w:r>
    </w:p>
    <w:p w14:paraId="5ACE4655">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shd w:val="clear" w:fill="F7F7F7"/>
        </w:rPr>
        <w:t>数量：</w:t>
      </w:r>
      <w:r>
        <w:rPr>
          <w:rFonts w:hint="eastAsia" w:asciiTheme="minorEastAsia" w:hAnsiTheme="minorEastAsia" w:eastAsiaTheme="minorEastAsia" w:cstheme="minorEastAsia"/>
          <w:b w:val="0"/>
          <w:bCs w:val="0"/>
          <w:i w:val="0"/>
          <w:iCs w:val="0"/>
          <w:caps w:val="0"/>
          <w:color w:val="000000"/>
          <w:spacing w:val="0"/>
          <w:sz w:val="24"/>
          <w:szCs w:val="24"/>
          <w:shd w:val="clear" w:fill="F7F7F7"/>
        </w:rPr>
        <w:t>不限</w:t>
      </w:r>
    </w:p>
    <w:p w14:paraId="76BE0C8B">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i w:val="0"/>
          <w:iCs w:val="0"/>
          <w:caps w:val="0"/>
          <w:color w:val="000000"/>
          <w:spacing w:val="0"/>
          <w:sz w:val="24"/>
          <w:szCs w:val="24"/>
          <w:shd w:val="clear" w:fill="F7F7F7"/>
        </w:rPr>
        <w:t>预算金额（元）：</w:t>
      </w:r>
      <w:r>
        <w:rPr>
          <w:rFonts w:hint="eastAsia" w:asciiTheme="minorEastAsia" w:hAnsiTheme="minorEastAsia" w:eastAsiaTheme="minorEastAsia" w:cstheme="minorEastAsia"/>
          <w:i w:val="0"/>
          <w:iCs w:val="0"/>
          <w:caps w:val="0"/>
          <w:color w:val="000000"/>
          <w:spacing w:val="0"/>
          <w:sz w:val="24"/>
          <w:szCs w:val="24"/>
        </w:rPr>
        <w:t>1519100</w:t>
      </w:r>
    </w:p>
    <w:p w14:paraId="139AA589">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shd w:val="clear" w:fill="F7F7F7"/>
        </w:rPr>
        <w:t>简要规格描述或项目基本概况介绍、用途：</w:t>
      </w:r>
      <w:r>
        <w:rPr>
          <w:rFonts w:hint="eastAsia" w:asciiTheme="minorEastAsia" w:hAnsiTheme="minorEastAsia" w:eastAsiaTheme="minorEastAsia" w:cstheme="minorEastAsia"/>
          <w:b w:val="0"/>
          <w:bCs w:val="0"/>
          <w:i w:val="0"/>
          <w:iCs w:val="0"/>
          <w:caps w:val="0"/>
          <w:color w:val="000000"/>
          <w:spacing w:val="0"/>
          <w:sz w:val="24"/>
          <w:szCs w:val="24"/>
          <w:shd w:val="clear" w:fill="F7F7F7"/>
          <w:lang w:eastAsia="zh-CN"/>
        </w:rPr>
        <w:t>金华市婺城区罗埠镇人民政府垃圾中转站运维</w:t>
      </w:r>
      <w:r>
        <w:rPr>
          <w:rFonts w:hint="eastAsia" w:asciiTheme="minorEastAsia" w:hAnsiTheme="minorEastAsia" w:eastAsiaTheme="minorEastAsia" w:cstheme="minorEastAsia"/>
          <w:b w:val="0"/>
          <w:bCs w:val="0"/>
          <w:i w:val="0"/>
          <w:iCs w:val="0"/>
          <w:caps w:val="0"/>
          <w:color w:val="000000"/>
          <w:spacing w:val="0"/>
          <w:sz w:val="24"/>
          <w:szCs w:val="24"/>
          <w:shd w:val="clear" w:fill="F7F7F7"/>
        </w:rPr>
        <w:t>服务，详见采购需求，具体以采购人要求为准</w:t>
      </w:r>
    </w:p>
    <w:p w14:paraId="7E7961D8">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shd w:val="clear" w:fill="F7F7F7"/>
        </w:rPr>
        <w:t>备注：</w:t>
      </w:r>
    </w:p>
    <w:p w14:paraId="328665A8">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合同履约期限：标项1，自合同签订之日起满两年</w:t>
      </w:r>
    </w:p>
    <w:p w14:paraId="1B305F8D">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本项目（否）接受联合体投标。</w:t>
      </w:r>
    </w:p>
    <w:p w14:paraId="674AD709">
      <w:pPr>
        <w:pStyle w:val="16"/>
        <w:keepNext w:val="0"/>
        <w:keepLines w:val="0"/>
        <w:widowControl/>
        <w:suppressLineNumbers w:val="0"/>
        <w:spacing w:before="300" w:beforeAutospacing="0" w:after="0" w:afterAutospacing="0"/>
        <w:ind w:left="0" w:right="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aps w:val="0"/>
          <w:color w:val="000000"/>
          <w:spacing w:val="0"/>
          <w:sz w:val="24"/>
          <w:szCs w:val="24"/>
        </w:rPr>
        <w:t>二、申请人的资格要求：</w:t>
      </w:r>
    </w:p>
    <w:p w14:paraId="6EB8DC65">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1F923082">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2.落实政府采购政策需满足的资格要求：标项1：服务全部由符合政策要求的中小企业承接，提供中小企业声明函</w:t>
      </w:r>
    </w:p>
    <w:p w14:paraId="2542B5C4">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3.本项目的特定资格要求：无</w:t>
      </w:r>
    </w:p>
    <w:p w14:paraId="1C4809FF">
      <w:pPr>
        <w:pStyle w:val="16"/>
        <w:keepNext w:val="0"/>
        <w:keepLines w:val="0"/>
        <w:widowControl/>
        <w:suppressLineNumbers w:val="0"/>
        <w:spacing w:before="300" w:beforeAutospacing="0" w:after="0" w:afterAutospacing="0"/>
        <w:ind w:left="0" w:right="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aps w:val="0"/>
          <w:color w:val="000000"/>
          <w:spacing w:val="0"/>
          <w:sz w:val="24"/>
          <w:szCs w:val="24"/>
        </w:rPr>
        <w:t>三、获取招标文件</w:t>
      </w:r>
    </w:p>
    <w:p w14:paraId="7E841F82">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时间：/至2025年</w:t>
      </w:r>
      <w:r>
        <w:rPr>
          <w:rFonts w:hint="eastAsia" w:asciiTheme="minorEastAsia" w:hAnsiTheme="minorEastAsia" w:eastAsiaTheme="minorEastAsia" w:cstheme="minorEastAsia"/>
          <w:i w:val="0"/>
          <w:iCs w:val="0"/>
          <w:caps w:val="0"/>
          <w:color w:val="000000"/>
          <w:spacing w:val="0"/>
          <w:sz w:val="24"/>
          <w:szCs w:val="24"/>
          <w:lang w:val="en-US" w:eastAsia="zh-CN"/>
        </w:rPr>
        <w:t>8</w:t>
      </w:r>
      <w:r>
        <w:rPr>
          <w:rFonts w:hint="eastAsia" w:asciiTheme="minorEastAsia" w:hAnsiTheme="minorEastAsia" w:eastAsiaTheme="minorEastAsia" w:cstheme="minorEastAsia"/>
          <w:i w:val="0"/>
          <w:iCs w:val="0"/>
          <w:caps w:val="0"/>
          <w:color w:val="000000"/>
          <w:spacing w:val="0"/>
          <w:sz w:val="24"/>
          <w:szCs w:val="24"/>
        </w:rPr>
        <w:t>月</w:t>
      </w:r>
      <w:r>
        <w:rPr>
          <w:rFonts w:hint="eastAsia" w:asciiTheme="minorEastAsia" w:hAnsiTheme="minorEastAsia" w:eastAsiaTheme="minorEastAsia" w:cstheme="minorEastAsia"/>
          <w:i w:val="0"/>
          <w:iCs w:val="0"/>
          <w:caps w:val="0"/>
          <w:color w:val="000000"/>
          <w:spacing w:val="0"/>
          <w:sz w:val="24"/>
          <w:szCs w:val="24"/>
          <w:lang w:val="en-US" w:eastAsia="zh-CN"/>
        </w:rPr>
        <w:t>6</w:t>
      </w:r>
      <w:r>
        <w:rPr>
          <w:rFonts w:hint="eastAsia" w:asciiTheme="minorEastAsia" w:hAnsiTheme="minorEastAsia" w:eastAsiaTheme="minorEastAsia" w:cstheme="minorEastAsia"/>
          <w:i w:val="0"/>
          <w:iCs w:val="0"/>
          <w:caps w:val="0"/>
          <w:color w:val="000000"/>
          <w:spacing w:val="0"/>
          <w:sz w:val="24"/>
          <w:szCs w:val="24"/>
        </w:rPr>
        <w:t>日，每天上午00:00至12:00，下午12:00至23:59（北京时间，线上获取法定节假日均可，线下获取文件法定节假日除外）</w:t>
      </w:r>
    </w:p>
    <w:p w14:paraId="7AB4E19F">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地点（网址）：政采云平台线上获取</w:t>
      </w:r>
    </w:p>
    <w:p w14:paraId="75B828AC">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方式：供应商登录政采云平台https://www.zcygov.cn/在线申请获取采购文件（进入“项目采购”应用，在获取采购文件菜单中选择项目，申请获取采购文件）</w:t>
      </w:r>
    </w:p>
    <w:p w14:paraId="1BED652E">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售价（元）：0</w:t>
      </w:r>
    </w:p>
    <w:p w14:paraId="48741F36">
      <w:pPr>
        <w:pStyle w:val="16"/>
        <w:keepNext w:val="0"/>
        <w:keepLines w:val="0"/>
        <w:widowControl/>
        <w:suppressLineNumbers w:val="0"/>
        <w:spacing w:before="300" w:beforeAutospacing="0" w:after="0" w:afterAutospacing="0"/>
        <w:ind w:left="0" w:right="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aps w:val="0"/>
          <w:color w:val="000000"/>
          <w:spacing w:val="0"/>
          <w:sz w:val="24"/>
          <w:szCs w:val="24"/>
        </w:rPr>
        <w:t>四、提交投标文件截止时间、开标时间和地点</w:t>
      </w:r>
    </w:p>
    <w:p w14:paraId="3ED4D079">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提交投标文件截止时间：2025年</w:t>
      </w:r>
      <w:r>
        <w:rPr>
          <w:rFonts w:hint="eastAsia" w:asciiTheme="minorEastAsia" w:hAnsiTheme="minorEastAsia" w:eastAsiaTheme="minorEastAsia" w:cstheme="minorEastAsia"/>
          <w:i w:val="0"/>
          <w:iCs w:val="0"/>
          <w:caps w:val="0"/>
          <w:color w:val="000000"/>
          <w:spacing w:val="0"/>
          <w:sz w:val="24"/>
          <w:szCs w:val="24"/>
          <w:lang w:val="en-US" w:eastAsia="zh-CN"/>
        </w:rPr>
        <w:t>8</w:t>
      </w:r>
      <w:r>
        <w:rPr>
          <w:rFonts w:hint="eastAsia" w:asciiTheme="minorEastAsia" w:hAnsiTheme="minorEastAsia" w:eastAsiaTheme="minorEastAsia" w:cstheme="minorEastAsia"/>
          <w:i w:val="0"/>
          <w:iCs w:val="0"/>
          <w:caps w:val="0"/>
          <w:color w:val="000000"/>
          <w:spacing w:val="0"/>
          <w:sz w:val="24"/>
          <w:szCs w:val="24"/>
        </w:rPr>
        <w:t>月</w:t>
      </w:r>
      <w:r>
        <w:rPr>
          <w:rFonts w:hint="eastAsia" w:asciiTheme="minorEastAsia" w:hAnsiTheme="minorEastAsia" w:eastAsiaTheme="minorEastAsia" w:cstheme="minorEastAsia"/>
          <w:i w:val="0"/>
          <w:iCs w:val="0"/>
          <w:caps w:val="0"/>
          <w:color w:val="000000"/>
          <w:spacing w:val="0"/>
          <w:sz w:val="24"/>
          <w:szCs w:val="24"/>
          <w:lang w:val="en-US" w:eastAsia="zh-CN"/>
        </w:rPr>
        <w:t>6</w:t>
      </w:r>
      <w:r>
        <w:rPr>
          <w:rFonts w:hint="eastAsia" w:asciiTheme="minorEastAsia" w:hAnsiTheme="minorEastAsia" w:eastAsiaTheme="minorEastAsia" w:cstheme="minorEastAsia"/>
          <w:i w:val="0"/>
          <w:iCs w:val="0"/>
          <w:caps w:val="0"/>
          <w:color w:val="000000"/>
          <w:spacing w:val="0"/>
          <w:sz w:val="24"/>
          <w:szCs w:val="24"/>
        </w:rPr>
        <w:t>日</w:t>
      </w:r>
      <w:r>
        <w:rPr>
          <w:rFonts w:hint="eastAsia" w:asciiTheme="minorEastAsia" w:hAnsiTheme="minorEastAsia" w:eastAsiaTheme="minorEastAsia" w:cstheme="minorEastAsia"/>
          <w:i w:val="0"/>
          <w:iCs w:val="0"/>
          <w:caps w:val="0"/>
          <w:color w:val="000000"/>
          <w:spacing w:val="0"/>
          <w:sz w:val="24"/>
          <w:szCs w:val="24"/>
          <w:lang w:val="en-US" w:eastAsia="zh-CN"/>
        </w:rPr>
        <w:t>9时00分</w:t>
      </w:r>
      <w:r>
        <w:rPr>
          <w:rFonts w:hint="eastAsia" w:asciiTheme="minorEastAsia" w:hAnsiTheme="minorEastAsia" w:eastAsiaTheme="minorEastAsia" w:cstheme="minorEastAsia"/>
          <w:i w:val="0"/>
          <w:iCs w:val="0"/>
          <w:caps w:val="0"/>
          <w:color w:val="000000"/>
          <w:spacing w:val="0"/>
          <w:sz w:val="24"/>
          <w:szCs w:val="24"/>
        </w:rPr>
        <w:t>（北京时间）</w:t>
      </w:r>
    </w:p>
    <w:p w14:paraId="2D057AF6">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投标地点（网址）：请登录政采云投标客户端投标</w:t>
      </w:r>
    </w:p>
    <w:p w14:paraId="3DBDD97B">
      <w:pPr>
        <w:pStyle w:val="16"/>
        <w:keepNext w:val="0"/>
        <w:keepLines w:val="0"/>
        <w:widowControl/>
        <w:suppressLineNumbers w:val="0"/>
        <w:spacing w:before="0" w:beforeAutospacing="0" w:after="0" w:afterAutospacing="0"/>
        <w:ind w:left="0" w:right="0" w:firstLine="42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i w:val="0"/>
          <w:iCs w:val="0"/>
          <w:caps w:val="0"/>
          <w:color w:val="000000"/>
          <w:spacing w:val="0"/>
          <w:sz w:val="24"/>
          <w:szCs w:val="24"/>
        </w:rPr>
        <w:t>开标时间：2025年</w:t>
      </w:r>
      <w:r>
        <w:rPr>
          <w:rFonts w:hint="eastAsia" w:asciiTheme="minorEastAsia" w:hAnsiTheme="minorEastAsia" w:eastAsiaTheme="minorEastAsia" w:cstheme="minorEastAsia"/>
          <w:i w:val="0"/>
          <w:iCs w:val="0"/>
          <w:caps w:val="0"/>
          <w:color w:val="000000"/>
          <w:spacing w:val="0"/>
          <w:sz w:val="24"/>
          <w:szCs w:val="24"/>
          <w:lang w:val="en-US" w:eastAsia="zh-CN"/>
        </w:rPr>
        <w:t>8</w:t>
      </w:r>
      <w:r>
        <w:rPr>
          <w:rFonts w:hint="eastAsia" w:asciiTheme="minorEastAsia" w:hAnsiTheme="minorEastAsia" w:eastAsiaTheme="minorEastAsia" w:cstheme="minorEastAsia"/>
          <w:i w:val="0"/>
          <w:iCs w:val="0"/>
          <w:caps w:val="0"/>
          <w:color w:val="000000"/>
          <w:spacing w:val="0"/>
          <w:sz w:val="24"/>
          <w:szCs w:val="24"/>
        </w:rPr>
        <w:t>月</w:t>
      </w:r>
      <w:r>
        <w:rPr>
          <w:rFonts w:hint="eastAsia" w:asciiTheme="minorEastAsia" w:hAnsiTheme="minorEastAsia" w:eastAsiaTheme="minorEastAsia" w:cstheme="minorEastAsia"/>
          <w:i w:val="0"/>
          <w:iCs w:val="0"/>
          <w:caps w:val="0"/>
          <w:color w:val="000000"/>
          <w:spacing w:val="0"/>
          <w:sz w:val="24"/>
          <w:szCs w:val="24"/>
          <w:lang w:val="en-US" w:eastAsia="zh-CN"/>
        </w:rPr>
        <w:t>6</w:t>
      </w:r>
      <w:r>
        <w:rPr>
          <w:rFonts w:hint="eastAsia" w:asciiTheme="minorEastAsia" w:hAnsiTheme="minorEastAsia" w:eastAsiaTheme="minorEastAsia" w:cstheme="minorEastAsia"/>
          <w:i w:val="0"/>
          <w:iCs w:val="0"/>
          <w:caps w:val="0"/>
          <w:color w:val="000000"/>
          <w:spacing w:val="0"/>
          <w:sz w:val="24"/>
          <w:szCs w:val="24"/>
        </w:rPr>
        <w:t>日</w:t>
      </w:r>
      <w:r>
        <w:rPr>
          <w:rFonts w:hint="eastAsia" w:asciiTheme="minorEastAsia" w:hAnsiTheme="minorEastAsia" w:eastAsiaTheme="minorEastAsia" w:cstheme="minorEastAsia"/>
          <w:i w:val="0"/>
          <w:iCs w:val="0"/>
          <w:caps w:val="0"/>
          <w:color w:val="000000"/>
          <w:spacing w:val="0"/>
          <w:sz w:val="24"/>
          <w:szCs w:val="24"/>
          <w:lang w:val="en-US" w:eastAsia="zh-CN"/>
        </w:rPr>
        <w:t>9时00分</w:t>
      </w:r>
    </w:p>
    <w:p w14:paraId="5E4ECF4C">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开标地点（网址）：金华市双龙南街858号金华财富大厦（金华市行政服务中心新办事大厅4楼开标室）</w:t>
      </w:r>
    </w:p>
    <w:p w14:paraId="17CCAA95">
      <w:pPr>
        <w:pStyle w:val="16"/>
        <w:keepNext w:val="0"/>
        <w:keepLines w:val="0"/>
        <w:widowControl/>
        <w:suppressLineNumbers w:val="0"/>
        <w:spacing w:before="300" w:beforeAutospacing="0" w:after="0" w:afterAutospacing="0"/>
        <w:ind w:left="0" w:right="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aps w:val="0"/>
          <w:color w:val="000000"/>
          <w:spacing w:val="0"/>
          <w:sz w:val="24"/>
          <w:szCs w:val="24"/>
        </w:rPr>
        <w:t>五、公告期限</w:t>
      </w:r>
    </w:p>
    <w:p w14:paraId="32E267B5">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自本公告发布之日起5个工作日。</w:t>
      </w:r>
    </w:p>
    <w:p w14:paraId="2CDEFC1F">
      <w:pPr>
        <w:pStyle w:val="16"/>
        <w:keepNext w:val="0"/>
        <w:keepLines w:val="0"/>
        <w:widowControl/>
        <w:suppressLineNumbers w:val="0"/>
        <w:spacing w:before="300" w:beforeAutospacing="0" w:after="0" w:afterAutospacing="0"/>
        <w:ind w:left="0" w:right="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aps w:val="0"/>
          <w:color w:val="000000"/>
          <w:spacing w:val="0"/>
          <w:sz w:val="24"/>
          <w:szCs w:val="24"/>
        </w:rPr>
        <w:t>六、其他补充事宜</w:t>
      </w:r>
    </w:p>
    <w:p w14:paraId="5BABCDE8">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EEDA15C">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709073D">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878F2C">
      <w:pPr>
        <w:pStyle w:val="16"/>
        <w:keepNext w:val="0"/>
        <w:keepLines w:val="0"/>
        <w:widowControl/>
        <w:suppressLineNumbers w:val="0"/>
        <w:spacing w:before="0" w:beforeAutospacing="0" w:after="0" w:afterAutospacing="0"/>
        <w:ind w:left="239" w:leftChars="114" w:right="0" w:firstLine="24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4.其他事项：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Theme="minorEastAsia" w:hAnsiTheme="minorEastAsia" w:eastAsiaTheme="minorEastAsia" w:cstheme="minorEastAsia"/>
          <w:i w:val="0"/>
          <w:iCs w:val="0"/>
          <w:caps w:val="0"/>
          <w:color w:val="000000"/>
          <w:spacing w:val="0"/>
          <w:sz w:val="24"/>
          <w:szCs w:val="24"/>
        </w:rPr>
        <w:br w:type="textWrapping"/>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r>
        <w:rPr>
          <w:rFonts w:hint="eastAsia" w:asciiTheme="minorEastAsia" w:hAnsiTheme="minorEastAsia" w:eastAsiaTheme="minorEastAsia" w:cstheme="minorEastAsia"/>
          <w:i w:val="0"/>
          <w:iCs w:val="0"/>
          <w:caps w:val="0"/>
          <w:color w:val="000000"/>
          <w:spacing w:val="0"/>
          <w:sz w:val="24"/>
          <w:szCs w:val="24"/>
        </w:rPr>
        <w:br w:type="textWrapping"/>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Theme="minorEastAsia" w:hAnsiTheme="minorEastAsia" w:eastAsiaTheme="minorEastAsia" w:cstheme="minorEastAsia"/>
          <w:i w:val="0"/>
          <w:iCs w:val="0"/>
          <w:caps w:val="0"/>
          <w:color w:val="000000"/>
          <w:spacing w:val="0"/>
          <w:sz w:val="24"/>
          <w:szCs w:val="24"/>
        </w:rPr>
        <w:br w:type="textWrapping"/>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4.其他事项：1.《浙江省财政厅关于进一步发挥政府采购政策功能全力推动经济稳进提质的通知》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r>
        <w:rPr>
          <w:rFonts w:hint="eastAsia" w:asciiTheme="minorEastAsia" w:hAnsiTheme="minorEastAsia" w:eastAsiaTheme="minorEastAsia" w:cstheme="minorEastAsia"/>
          <w:i w:val="0"/>
          <w:iCs w:val="0"/>
          <w:caps w:val="0"/>
          <w:color w:val="000000"/>
          <w:spacing w:val="0"/>
          <w:sz w:val="24"/>
          <w:szCs w:val="24"/>
        </w:rPr>
        <w:br w:type="textWrapping"/>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Theme="minorEastAsia" w:hAnsiTheme="minorEastAsia" w:eastAsiaTheme="minorEastAsia" w:cstheme="minorEastAsia"/>
          <w:i w:val="0"/>
          <w:iCs w:val="0"/>
          <w:caps w:val="0"/>
          <w:color w:val="000000"/>
          <w:spacing w:val="0"/>
          <w:sz w:val="24"/>
          <w:szCs w:val="24"/>
        </w:rPr>
        <w:br w:type="textWrapping"/>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r>
        <w:rPr>
          <w:rFonts w:hint="eastAsia" w:asciiTheme="minorEastAsia" w:hAnsiTheme="minorEastAsia" w:eastAsiaTheme="minorEastAsia" w:cstheme="minorEastAsia"/>
          <w:i w:val="0"/>
          <w:iCs w:val="0"/>
          <w:caps w:val="0"/>
          <w:color w:val="000000"/>
          <w:spacing w:val="0"/>
          <w:sz w:val="24"/>
          <w:szCs w:val="24"/>
        </w:rPr>
        <w:br w:type="textWrapping"/>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4.其他事项：见招标文件。 </w:t>
      </w:r>
      <w:r>
        <w:rPr>
          <w:rFonts w:hint="eastAsia" w:asciiTheme="minorEastAsia" w:hAnsiTheme="minorEastAsia" w:eastAsiaTheme="minorEastAsia" w:cstheme="minorEastAsia"/>
          <w:i w:val="0"/>
          <w:iCs w:val="0"/>
          <w:caps w:val="0"/>
          <w:color w:val="000000"/>
          <w:spacing w:val="0"/>
          <w:sz w:val="24"/>
          <w:szCs w:val="24"/>
        </w:rPr>
        <w:br w:type="textWrapping"/>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s://zfcg.czt.zj.gov.cn/)的中小企业信用融资栏目了解相关信息。供应商可以通过浙江政府采购网（https://zfcg.czt.zj.gov.cn/)首页的“政采云金融服务”模块进入申请，还可以通过政府采购云平台（https://www.zcygov.cn/)首页的“金融服务”模块进入申请。</w:t>
      </w:r>
      <w:r>
        <w:rPr>
          <w:rFonts w:hint="eastAsia" w:asciiTheme="minorEastAsia" w:hAnsiTheme="minorEastAsia" w:eastAsiaTheme="minorEastAsia" w:cstheme="minorEastAsia"/>
          <w:i w:val="0"/>
          <w:iCs w:val="0"/>
          <w:caps w:val="0"/>
          <w:color w:val="000000"/>
          <w:spacing w:val="0"/>
          <w:sz w:val="24"/>
          <w:szCs w:val="24"/>
        </w:rPr>
        <w:br w:type="textWrapping"/>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r>
        <w:rPr>
          <w:rFonts w:hint="eastAsia" w:asciiTheme="minorEastAsia" w:hAnsiTheme="minorEastAsia" w:eastAsiaTheme="minorEastAsia" w:cstheme="minorEastAsia"/>
          <w:i w:val="0"/>
          <w:iCs w:val="0"/>
          <w:caps w:val="0"/>
          <w:color w:val="000000"/>
          <w:spacing w:val="0"/>
          <w:sz w:val="24"/>
          <w:szCs w:val="24"/>
        </w:rPr>
        <w:br w:type="textWrapping"/>
      </w:r>
      <w:r>
        <w:rPr>
          <w:rFonts w:hint="eastAsia" w:asciiTheme="minorEastAsia" w:hAnsiTheme="minorEastAsia" w:eastAsiaTheme="minorEastAsia" w:cstheme="minorEastAsia"/>
          <w:i w:val="0"/>
          <w:iCs w:val="0"/>
          <w:caps w:val="0"/>
          <w:color w:val="000000"/>
          <w:spacing w:val="0"/>
          <w:sz w:val="24"/>
          <w:szCs w:val="24"/>
        </w:rPr>
        <w:t>政府采购金融服务提示：</w:t>
      </w:r>
      <w:r>
        <w:rPr>
          <w:rFonts w:hint="eastAsia" w:asciiTheme="minorEastAsia" w:hAnsiTheme="minorEastAsia" w:eastAsiaTheme="minorEastAsia" w:cstheme="minorEastAsia"/>
          <w:i w:val="0"/>
          <w:iCs w:val="0"/>
          <w:caps w:val="0"/>
          <w:color w:val="000000"/>
          <w:spacing w:val="0"/>
          <w:sz w:val="24"/>
          <w:szCs w:val="24"/>
        </w:rPr>
        <w:br w:type="textWrapping"/>
      </w:r>
      <w:r>
        <w:rPr>
          <w:rFonts w:hint="eastAsia" w:asciiTheme="minorEastAsia" w:hAnsiTheme="minorEastAsia" w:eastAsiaTheme="minorEastAsia" w:cstheme="minorEastAsia"/>
          <w:i w:val="0"/>
          <w:iCs w:val="0"/>
          <w:caps w:val="0"/>
          <w:color w:val="000000"/>
          <w:spacing w:val="0"/>
          <w:sz w:val="24"/>
          <w:szCs w:val="24"/>
        </w:rPr>
        <w:t>为扩大政府采购金融服务面，除政采云网上金融服务合作银行外，金华市范围增加线下合作银行两家，具体信息如下：</w:t>
      </w:r>
      <w:r>
        <w:rPr>
          <w:rFonts w:hint="eastAsia" w:asciiTheme="minorEastAsia" w:hAnsiTheme="minorEastAsia" w:eastAsiaTheme="minorEastAsia" w:cstheme="minorEastAsia"/>
          <w:i w:val="0"/>
          <w:iCs w:val="0"/>
          <w:caps w:val="0"/>
          <w:color w:val="000000"/>
          <w:spacing w:val="0"/>
          <w:sz w:val="24"/>
          <w:szCs w:val="24"/>
        </w:rPr>
        <w:br w:type="textWrapping"/>
      </w:r>
      <w:r>
        <w:rPr>
          <w:rFonts w:hint="eastAsia" w:asciiTheme="minorEastAsia" w:hAnsiTheme="minorEastAsia" w:eastAsiaTheme="minorEastAsia" w:cstheme="minorEastAsia"/>
          <w:i w:val="0"/>
          <w:iCs w:val="0"/>
          <w:caps w:val="0"/>
          <w:color w:val="000000"/>
          <w:spacing w:val="0"/>
          <w:sz w:val="24"/>
          <w:szCs w:val="24"/>
        </w:rPr>
        <w:t>金华银行文创支行 联系人： 姜 峰 联系电话： 13905792828 0579-82479020</w:t>
      </w:r>
      <w:r>
        <w:rPr>
          <w:rFonts w:hint="eastAsia" w:asciiTheme="minorEastAsia" w:hAnsiTheme="minorEastAsia" w:eastAsiaTheme="minorEastAsia" w:cstheme="minorEastAsia"/>
          <w:i w:val="0"/>
          <w:iCs w:val="0"/>
          <w:caps w:val="0"/>
          <w:color w:val="000000"/>
          <w:spacing w:val="0"/>
          <w:sz w:val="24"/>
          <w:szCs w:val="24"/>
        </w:rPr>
        <w:br w:type="textWrapping"/>
      </w:r>
      <w:r>
        <w:rPr>
          <w:rFonts w:hint="eastAsia" w:asciiTheme="minorEastAsia" w:hAnsiTheme="minorEastAsia" w:eastAsiaTheme="minorEastAsia" w:cstheme="minorEastAsia"/>
          <w:i w:val="0"/>
          <w:iCs w:val="0"/>
          <w:caps w:val="0"/>
          <w:color w:val="000000"/>
          <w:spacing w:val="0"/>
          <w:sz w:val="24"/>
          <w:szCs w:val="24"/>
        </w:rPr>
        <w:t>浙商银行金华分行 联系人： 朱晨祥 联系电话： 15857978811 0579-82999581</w:t>
      </w:r>
    </w:p>
    <w:p w14:paraId="7C84C549">
      <w:pPr>
        <w:pStyle w:val="16"/>
        <w:keepNext w:val="0"/>
        <w:keepLines w:val="0"/>
        <w:widowControl/>
        <w:suppressLineNumbers w:val="0"/>
        <w:spacing w:before="300" w:beforeAutospacing="0" w:after="0" w:afterAutospacing="0"/>
        <w:ind w:left="0" w:right="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aps w:val="0"/>
          <w:color w:val="000000"/>
          <w:spacing w:val="0"/>
          <w:sz w:val="24"/>
          <w:szCs w:val="24"/>
        </w:rPr>
        <w:t>七、对本次采购提出询问、质疑、投诉，请按以下方式联系</w:t>
      </w:r>
    </w:p>
    <w:p w14:paraId="1A3DDD18">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1.采购人信息</w:t>
      </w:r>
    </w:p>
    <w:p w14:paraId="4A4AFBC5">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名称：金华市婺城区罗埠镇人民政府</w:t>
      </w:r>
    </w:p>
    <w:p w14:paraId="255F0421">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地址：金华市婺城区罗埠镇</w:t>
      </w:r>
    </w:p>
    <w:p w14:paraId="2FB605FE">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i w:val="0"/>
          <w:iCs w:val="0"/>
          <w:caps w:val="0"/>
          <w:color w:val="000000"/>
          <w:spacing w:val="0"/>
          <w:sz w:val="24"/>
          <w:szCs w:val="24"/>
        </w:rPr>
        <w:t>传真：</w:t>
      </w:r>
      <w:r>
        <w:rPr>
          <w:rFonts w:hint="eastAsia" w:asciiTheme="minorEastAsia" w:hAnsiTheme="minorEastAsia" w:eastAsiaTheme="minorEastAsia" w:cstheme="minorEastAsia"/>
          <w:i w:val="0"/>
          <w:iCs w:val="0"/>
          <w:caps w:val="0"/>
          <w:color w:val="000000"/>
          <w:spacing w:val="0"/>
          <w:sz w:val="24"/>
          <w:szCs w:val="24"/>
          <w:lang w:val="en-US" w:eastAsia="zh-CN"/>
        </w:rPr>
        <w:t>/</w:t>
      </w:r>
    </w:p>
    <w:p w14:paraId="4F017DF4">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项目联系人（询问）：胡先生</w:t>
      </w:r>
    </w:p>
    <w:p w14:paraId="2FD3AE6A">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项目联系方式（询问）：13735780018</w:t>
      </w:r>
    </w:p>
    <w:p w14:paraId="40704E77">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质疑联系人：胡先生</w:t>
      </w:r>
    </w:p>
    <w:p w14:paraId="4CEE1958">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质疑联系方式：13735780018</w:t>
      </w:r>
    </w:p>
    <w:p w14:paraId="6598BEF1">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2.采购代理机构信息</w:t>
      </w:r>
    </w:p>
    <w:p w14:paraId="4CCE8A4C">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名称：浙江华杰工程咨询有限公司</w:t>
      </w:r>
    </w:p>
    <w:p w14:paraId="1ED893CF">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地址：金华市金东区环城东路1777号宁远大厦11楼</w:t>
      </w:r>
    </w:p>
    <w:p w14:paraId="76593DD0">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i w:val="0"/>
          <w:iCs w:val="0"/>
          <w:caps w:val="0"/>
          <w:color w:val="000000"/>
          <w:spacing w:val="0"/>
          <w:sz w:val="24"/>
          <w:szCs w:val="24"/>
        </w:rPr>
        <w:t>传真：</w:t>
      </w:r>
      <w:r>
        <w:rPr>
          <w:rFonts w:hint="eastAsia" w:asciiTheme="minorEastAsia" w:hAnsiTheme="minorEastAsia" w:eastAsiaTheme="minorEastAsia" w:cstheme="minorEastAsia"/>
          <w:i w:val="0"/>
          <w:iCs w:val="0"/>
          <w:caps w:val="0"/>
          <w:color w:val="000000"/>
          <w:spacing w:val="0"/>
          <w:sz w:val="24"/>
          <w:szCs w:val="24"/>
          <w:lang w:val="en-US" w:eastAsia="zh-CN"/>
        </w:rPr>
        <w:t>/</w:t>
      </w:r>
    </w:p>
    <w:p w14:paraId="6AE1DA75">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项目联系人（询问）：祝浩亮</w:t>
      </w:r>
    </w:p>
    <w:p w14:paraId="792875F0">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项目联系方式（询问）：15669561362</w:t>
      </w:r>
    </w:p>
    <w:p w14:paraId="3888E9C6">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质疑联系人：吴继豪</w:t>
      </w:r>
    </w:p>
    <w:p w14:paraId="0708FDBC">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质疑联系方式：0579-82411460</w:t>
      </w:r>
    </w:p>
    <w:p w14:paraId="51D9B09D">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3.</w:t>
      </w:r>
      <w:r>
        <w:rPr>
          <w:rStyle w:val="23"/>
          <w:rFonts w:hint="eastAsia" w:asciiTheme="minorEastAsia" w:hAnsiTheme="minorEastAsia" w:eastAsiaTheme="minorEastAsia" w:cstheme="minorEastAsia"/>
          <w:i w:val="0"/>
          <w:iCs w:val="0"/>
          <w:caps w:val="0"/>
          <w:color w:val="000000"/>
          <w:spacing w:val="0"/>
          <w:sz w:val="24"/>
          <w:szCs w:val="24"/>
        </w:rPr>
        <w:t>同级政府采购监督管理部门</w:t>
      </w:r>
    </w:p>
    <w:p w14:paraId="25B74CBE">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名称：金华经济技术开发区管理委员会财政局政府国库科</w:t>
      </w:r>
    </w:p>
    <w:p w14:paraId="25E63B4F">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地址：金华市李渔路1755号</w:t>
      </w:r>
    </w:p>
    <w:p w14:paraId="285F35E6">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i w:val="0"/>
          <w:iCs w:val="0"/>
          <w:caps w:val="0"/>
          <w:color w:val="000000"/>
          <w:spacing w:val="0"/>
          <w:sz w:val="24"/>
          <w:szCs w:val="24"/>
        </w:rPr>
        <w:t>传真：</w:t>
      </w:r>
      <w:r>
        <w:rPr>
          <w:rFonts w:hint="eastAsia" w:asciiTheme="minorEastAsia" w:hAnsiTheme="minorEastAsia" w:eastAsiaTheme="minorEastAsia" w:cstheme="minorEastAsia"/>
          <w:i w:val="0"/>
          <w:iCs w:val="0"/>
          <w:caps w:val="0"/>
          <w:color w:val="000000"/>
          <w:spacing w:val="0"/>
          <w:sz w:val="24"/>
          <w:szCs w:val="24"/>
          <w:lang w:val="en-US" w:eastAsia="zh-CN"/>
        </w:rPr>
        <w:t>/</w:t>
      </w:r>
    </w:p>
    <w:p w14:paraId="234A14D0">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联</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系</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人：陈老师</w:t>
      </w:r>
    </w:p>
    <w:p w14:paraId="6D1FAEFB">
      <w:pPr>
        <w:pStyle w:val="16"/>
        <w:keepNext w:val="0"/>
        <w:keepLines w:val="0"/>
        <w:widowControl/>
        <w:suppressLineNumbers w:val="0"/>
        <w:spacing w:before="0" w:beforeAutospacing="0" w:after="0" w:afterAutospacing="0"/>
        <w:ind w:left="0" w:right="0" w:firstLine="420"/>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监督投诉电话：0579-89155076</w:t>
      </w:r>
    </w:p>
    <w:p w14:paraId="0FD391E1">
      <w:pPr>
        <w:pStyle w:val="16"/>
        <w:keepNext w:val="0"/>
        <w:keepLines w:val="0"/>
        <w:widowControl/>
        <w:suppressLineNumbers w:val="0"/>
        <w:spacing w:before="600" w:beforeAutospacing="0" w:after="0" w:afterAutospacing="0"/>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若对项目采购电子交易系统操作有疑问，可登录政采云（https://www.zcygov.cn/），点击右侧咨询小采，获取采小蜜智能服务管家帮助，或拨打政采云服务热线95763获取热线服务帮助。</w:t>
      </w:r>
    </w:p>
    <w:p w14:paraId="2BE18E94">
      <w:pPr>
        <w:pStyle w:val="16"/>
        <w:keepNext w:val="0"/>
        <w:keepLines w:val="0"/>
        <w:widowControl/>
        <w:suppressLineNumbers w:val="0"/>
        <w:spacing w:before="0" w:beforeAutospacing="0" w:after="0" w:afterAutospacing="0"/>
        <w:ind w:left="0" w:right="0"/>
      </w:pPr>
      <w:r>
        <w:rPr>
          <w:rFonts w:hint="eastAsia" w:asciiTheme="minorEastAsia" w:hAnsiTheme="minorEastAsia" w:eastAsiaTheme="minorEastAsia" w:cstheme="minorEastAsia"/>
          <w:i w:val="0"/>
          <w:iCs w:val="0"/>
          <w:caps w:val="0"/>
          <w:color w:val="000000"/>
          <w:spacing w:val="0"/>
          <w:sz w:val="24"/>
          <w:szCs w:val="24"/>
        </w:rPr>
        <w:t>CA问题联系电话（人工）：汇信CA 400-888-4636；天谷CA 400-087-8198。</w:t>
      </w:r>
    </w:p>
    <w:p w14:paraId="3816EE1D">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pPr>
    </w:p>
    <w:p w14:paraId="3ADCFBE7">
      <w:pPr>
        <w:tabs>
          <w:tab w:val="left" w:pos="1260"/>
        </w:tabs>
        <w:autoSpaceDE/>
        <w:autoSpaceDN/>
        <w:adjustRightInd/>
        <w:snapToGrid w:val="0"/>
        <w:spacing w:line="50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　</w:t>
      </w:r>
    </w:p>
    <w:bookmarkEnd w:id="3"/>
    <w:bookmarkEnd w:id="4"/>
    <w:bookmarkEnd w:id="5"/>
    <w:bookmarkEnd w:id="6"/>
    <w:p w14:paraId="535DE9C9">
      <w:pPr>
        <w:pStyle w:val="5"/>
        <w:keepNext w:val="0"/>
        <w:spacing w:line="360" w:lineRule="auto"/>
        <w:jc w:val="center"/>
        <w:rPr>
          <w:rFonts w:hint="eastAsia" w:ascii="宋体" w:hAnsi="宋体" w:cs="宋体"/>
          <w:color w:val="auto"/>
          <w:sz w:val="30"/>
          <w:szCs w:val="30"/>
          <w:highlight w:val="none"/>
        </w:rPr>
        <w:sectPr>
          <w:headerReference r:id="rId9" w:type="default"/>
          <w:footerReference r:id="rId10" w:type="default"/>
          <w:pgSz w:w="11906" w:h="16838"/>
          <w:pgMar w:top="1440" w:right="1304" w:bottom="1440" w:left="1304" w:header="567" w:footer="964" w:gutter="0"/>
          <w:pgNumType w:fmt="decimal"/>
          <w:cols w:space="720" w:num="1"/>
          <w:docGrid w:type="lines" w:linePitch="634" w:charSpace="0"/>
        </w:sectPr>
      </w:pPr>
      <w:bookmarkStart w:id="7" w:name="_Toc351559941"/>
      <w:bookmarkStart w:id="8" w:name="_Toc10973"/>
    </w:p>
    <w:p w14:paraId="2F2BD903">
      <w:pPr>
        <w:pStyle w:val="5"/>
        <w:keepNext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第二章  招标需求</w:t>
      </w:r>
      <w:bookmarkEnd w:id="7"/>
      <w:bookmarkEnd w:id="8"/>
    </w:p>
    <w:p w14:paraId="67E6FC08">
      <w:pPr>
        <w:spacing w:line="360" w:lineRule="auto"/>
        <w:rPr>
          <w:rFonts w:ascii="宋体" w:hAnsi="宋体" w:cs="宋体"/>
          <w:b/>
          <w:color w:val="000000"/>
          <w:highlight w:val="none"/>
        </w:rPr>
      </w:pPr>
      <w:bookmarkStart w:id="9" w:name="_Toc487792261"/>
      <w:bookmarkStart w:id="10" w:name="_Toc157047657"/>
      <w:bookmarkStart w:id="11" w:name="_Toc32525"/>
      <w:bookmarkStart w:id="12" w:name="_Toc35415328"/>
      <w:bookmarkStart w:id="13" w:name="_Toc16467"/>
      <w:bookmarkStart w:id="14" w:name="_Toc141164482"/>
      <w:bookmarkStart w:id="15" w:name="_Toc25588"/>
      <w:bookmarkStart w:id="16" w:name="_Toc487792301"/>
      <w:bookmarkStart w:id="17" w:name="_Toc157047703"/>
      <w:bookmarkStart w:id="18" w:name="_Toc30200"/>
      <w:bookmarkStart w:id="19" w:name="_Toc287611930"/>
      <w:bookmarkStart w:id="20" w:name="_Toc32144"/>
      <w:bookmarkStart w:id="21" w:name="_Toc351559942"/>
      <w:r>
        <w:rPr>
          <w:rFonts w:hint="eastAsia" w:ascii="宋体" w:hAnsi="宋体" w:cs="宋体"/>
          <w:b/>
          <w:color w:val="000000"/>
          <w:highlight w:val="none"/>
        </w:rPr>
        <w:t>（一）项目建设内容及功能要求</w:t>
      </w:r>
    </w:p>
    <w:p w14:paraId="2D254C8D">
      <w:pPr>
        <w:spacing w:line="500" w:lineRule="exact"/>
        <w:ind w:firstLine="420" w:firstLineChars="200"/>
        <w:rPr>
          <w:rFonts w:ascii="宋体" w:hAnsi="宋体" w:cs="宋体"/>
          <w:color w:val="000000"/>
          <w:highlight w:val="none"/>
        </w:rPr>
      </w:pPr>
      <w:r>
        <w:rPr>
          <w:rFonts w:hint="eastAsia" w:ascii="宋体" w:hAnsi="宋体" w:cs="宋体"/>
          <w:color w:val="000000"/>
          <w:highlight w:val="none"/>
        </w:rPr>
        <w:t>1、生活垃圾清运及转运站管理（含1名管理员和1名操作工），转运站内生活垃圾要做到日产日清。中标方不得以任何理由囤积垃圾，如遇发生请自派车辆及人员清运干净，费用不再另行增加。</w:t>
      </w:r>
    </w:p>
    <w:p w14:paraId="2E33504E">
      <w:pPr>
        <w:spacing w:line="500" w:lineRule="exact"/>
        <w:ind w:firstLine="420" w:firstLineChars="200"/>
        <w:rPr>
          <w:rFonts w:ascii="宋体" w:hAnsi="宋体" w:cs="宋体"/>
          <w:color w:val="000000"/>
          <w:highlight w:val="none"/>
        </w:rPr>
      </w:pPr>
      <w:r>
        <w:rPr>
          <w:rFonts w:hint="eastAsia" w:ascii="宋体" w:hAnsi="宋体" w:cs="宋体"/>
          <w:color w:val="000000"/>
          <w:highlight w:val="none"/>
        </w:rPr>
        <w:t>2、生活垃圾清运及转运站管理的通用质量要求应符合《罗埠镇生活垃圾清运及转运站管理项目考核评分细则》的作业标准要求：月考核不合格每下降一分扣当月经费的1％，以此类推。</w:t>
      </w:r>
    </w:p>
    <w:p w14:paraId="7CEF6BEA">
      <w:pPr>
        <w:spacing w:line="500" w:lineRule="exact"/>
        <w:ind w:firstLine="420" w:firstLineChars="200"/>
        <w:rPr>
          <w:rFonts w:ascii="宋体" w:hAnsi="宋体" w:cs="宋体"/>
          <w:color w:val="000000"/>
          <w:highlight w:val="none"/>
        </w:rPr>
      </w:pPr>
      <w:r>
        <w:rPr>
          <w:rFonts w:hint="eastAsia" w:ascii="宋体" w:hAnsi="宋体" w:cs="宋体"/>
          <w:color w:val="000000"/>
          <w:highlight w:val="none"/>
        </w:rPr>
        <w:t>3、按规定的时间上、下班，在作业时间内，作业人员不得聚集闲聊；</w:t>
      </w:r>
    </w:p>
    <w:p w14:paraId="07F297B6">
      <w:pPr>
        <w:spacing w:line="500" w:lineRule="exact"/>
        <w:ind w:firstLine="420" w:firstLineChars="200"/>
        <w:rPr>
          <w:rFonts w:ascii="宋体" w:hAnsi="宋体" w:cs="宋体"/>
          <w:color w:val="000000"/>
          <w:highlight w:val="none"/>
        </w:rPr>
      </w:pPr>
      <w:r>
        <w:rPr>
          <w:rFonts w:hint="eastAsia" w:ascii="宋体" w:hAnsi="宋体" w:cs="宋体"/>
          <w:color w:val="000000"/>
          <w:highlight w:val="none"/>
        </w:rPr>
        <w:t>4、服从各项突击性任务和指令，如遇重大活动和重要检查工作，听从甲方统一安排和调度，并在规定的时间内完成所指示的任务和指令；</w:t>
      </w:r>
    </w:p>
    <w:p w14:paraId="6D4ABAB2">
      <w:pPr>
        <w:spacing w:line="500" w:lineRule="exact"/>
        <w:ind w:firstLine="420" w:firstLineChars="200"/>
        <w:rPr>
          <w:rFonts w:ascii="宋体" w:hAnsi="宋体" w:cs="宋体"/>
          <w:color w:val="000000"/>
          <w:highlight w:val="none"/>
        </w:rPr>
      </w:pPr>
      <w:r>
        <w:rPr>
          <w:rFonts w:hint="eastAsia" w:ascii="宋体" w:hAnsi="宋体" w:cs="宋体"/>
          <w:color w:val="000000"/>
          <w:highlight w:val="none"/>
        </w:rPr>
        <w:t>5、有详细的工作管理制度和具体操作实施方案，如需变动及时上报主管单位。</w:t>
      </w:r>
    </w:p>
    <w:p w14:paraId="13112738">
      <w:pPr>
        <w:spacing w:line="500" w:lineRule="exact"/>
        <w:ind w:firstLine="420" w:firstLineChars="200"/>
        <w:rPr>
          <w:rFonts w:ascii="宋体" w:hAnsi="宋体" w:cs="宋体"/>
          <w:color w:val="000000"/>
          <w:highlight w:val="none"/>
        </w:rPr>
      </w:pPr>
      <w:r>
        <w:rPr>
          <w:rFonts w:hint="eastAsia" w:ascii="宋体" w:hAnsi="宋体" w:cs="宋体"/>
          <w:color w:val="000000"/>
          <w:highlight w:val="none"/>
        </w:rPr>
        <w:t>6、确保24小时能及时联系到乙方，以防各类突发事件的发生能及时处理（白天6时至18时，路上抛洒物要求接到电话后1小时内处理完毕；晚上18时至次日6时，路上抛洒物要求接到电话后2小时内处理完毕）。</w:t>
      </w:r>
    </w:p>
    <w:p w14:paraId="15C7BB29">
      <w:pPr>
        <w:spacing w:line="500" w:lineRule="exact"/>
        <w:ind w:firstLine="420" w:firstLineChars="200"/>
        <w:rPr>
          <w:rFonts w:ascii="宋体" w:hAnsi="宋体" w:cs="宋体"/>
          <w:color w:val="000000"/>
          <w:highlight w:val="none"/>
        </w:rPr>
      </w:pPr>
      <w:r>
        <w:rPr>
          <w:rFonts w:hint="eastAsia" w:ascii="宋体" w:hAnsi="宋体" w:cs="宋体"/>
          <w:color w:val="000000"/>
          <w:highlight w:val="none"/>
        </w:rPr>
        <w:t>7、中标方必须为其聘用的作业人员购买人身意外伤害保险，并签订劳务合同。劳务工资应不得低于劳动部门规定的最低工资标准，应按时发放，不得拖欠。在承包期内中标方发生的一切纠纷、交通安全伤亡等事故均由中标方负责，与招标方无涉。中标方必须按规定程序和安全文明服务有关要求进行实施本项目，承包过程中发生的各种意外，其责任由中标方承担。</w:t>
      </w:r>
    </w:p>
    <w:p w14:paraId="3AA16736">
      <w:pPr>
        <w:spacing w:line="500" w:lineRule="exact"/>
        <w:ind w:firstLine="420" w:firstLineChars="200"/>
        <w:rPr>
          <w:rFonts w:ascii="宋体" w:hAnsi="宋体" w:cs="宋体"/>
          <w:color w:val="000000"/>
          <w:highlight w:val="none"/>
        </w:rPr>
      </w:pPr>
      <w:r>
        <w:rPr>
          <w:rFonts w:hint="eastAsia" w:ascii="宋体" w:hAnsi="宋体" w:cs="宋体"/>
          <w:color w:val="000000"/>
          <w:highlight w:val="none"/>
        </w:rPr>
        <w:t>8、采购人的房产和设备不得随便改动，并对中标方自带机具、设备、安全防护用品等进行监督，合格者方可进入施工现场；承包方未完成甲方交办的任务，甲方除扣分外，还要进行相应的处罚；对某些需紧急处置的情况，在接到甲方通知后，乙方如不及时处置，甲方有权指派其他人员进行处置，其费用在承包款中扣除。</w:t>
      </w:r>
    </w:p>
    <w:p w14:paraId="175E10B8">
      <w:pPr>
        <w:spacing w:line="500" w:lineRule="exact"/>
        <w:ind w:firstLine="420" w:firstLineChars="200"/>
        <w:rPr>
          <w:rFonts w:ascii="宋体" w:hAnsi="宋体" w:cs="宋体"/>
          <w:color w:val="000000"/>
          <w:highlight w:val="none"/>
        </w:rPr>
      </w:pPr>
      <w:r>
        <w:rPr>
          <w:rFonts w:hint="eastAsia" w:ascii="宋体" w:hAnsi="宋体" w:cs="宋体"/>
          <w:color w:val="000000"/>
          <w:highlight w:val="none"/>
        </w:rPr>
        <w:t>9、如遇公共建设等不可抗拒因素，需对原承包范围做变更时，甲方将提前一个月通知乙方，乙方须无条件服从，生活垃圾清运及转运站管理费用按照人工比例做出相应调整。</w:t>
      </w:r>
    </w:p>
    <w:p w14:paraId="0736DE5F">
      <w:pPr>
        <w:spacing w:line="500" w:lineRule="exact"/>
        <w:ind w:firstLine="420" w:firstLineChars="200"/>
        <w:rPr>
          <w:rFonts w:hint="eastAsia" w:ascii="宋体" w:hAnsi="宋体" w:cs="宋体"/>
          <w:color w:val="000000"/>
          <w:highlight w:val="none"/>
        </w:rPr>
      </w:pPr>
      <w:r>
        <w:rPr>
          <w:rFonts w:hint="eastAsia" w:ascii="宋体" w:hAnsi="宋体" w:cs="宋体"/>
          <w:color w:val="000000"/>
          <w:highlight w:val="none"/>
        </w:rPr>
        <w:t>10、本项目所需的机器设备及车辆由招标人提供（如遇发生特殊紧急情况请自派车辆及人员清运干净，费用不再另行增加），中标单位须提供大货车驾驶员不得少于2人。在承包期间费用：含设备维修所有材料费、人工工时费、车旅费等（由中标单位自行联系厂家配备原厂配件）、车辆保险费、一切运行维护费及发生的安全事故责任等产生的一切费用，都由中标单位自行承担费用，在报价中自行考虑。押金待合同期满后机器设备及车辆无质量问题的将全额无息退还。</w:t>
      </w:r>
    </w:p>
    <w:p w14:paraId="092A1F35">
      <w:pPr>
        <w:spacing w:line="500" w:lineRule="exact"/>
        <w:ind w:firstLine="420" w:firstLineChars="200"/>
        <w:rPr>
          <w:rFonts w:hint="eastAsia" w:ascii="宋体" w:hAnsi="宋体" w:cs="宋体"/>
          <w:color w:val="000000"/>
          <w:highlight w:val="none"/>
        </w:rPr>
      </w:pPr>
      <w:r>
        <w:rPr>
          <w:rFonts w:hint="eastAsia" w:ascii="宋体" w:hAnsi="宋体" w:cs="宋体"/>
          <w:color w:val="000000"/>
          <w:highlight w:val="none"/>
        </w:rPr>
        <w:t>11.实施人员应按规范行运车辆和操作机器设备，招标人提供的2辆钩臂运输车辆和3只压缩设备，中标单位不得超负荷使用。因中标单位使用不当造成车辆或设备损坏的，按实际情况扣罚押金。如采购人在其合同期限内新增垃圾设备，中标方应无条件进行操作运行，费用不再另行增加。</w:t>
      </w:r>
    </w:p>
    <w:p w14:paraId="23B9424B">
      <w:pPr>
        <w:spacing w:line="500" w:lineRule="exact"/>
        <w:ind w:firstLine="420" w:firstLineChars="200"/>
        <w:rPr>
          <w:rFonts w:ascii="宋体" w:hAnsi="宋体" w:cs="宋体"/>
          <w:color w:val="000000"/>
          <w:highlight w:val="none"/>
        </w:rPr>
      </w:pPr>
      <w:r>
        <w:rPr>
          <w:rFonts w:hint="eastAsia" w:ascii="宋体" w:hAnsi="宋体" w:cs="宋体"/>
          <w:color w:val="000000"/>
          <w:highlight w:val="none"/>
        </w:rPr>
        <w:t>12、中标方必须自觉配合接受采购人检查及考核，如有疑问，事后需举证说明正当理由；中标方必须快速、高效完成采购人交办或群众投诉的工作，并自觉接受社会和上级有关部门的监督。</w:t>
      </w:r>
    </w:p>
    <w:p w14:paraId="436F4F83">
      <w:pPr>
        <w:spacing w:line="500" w:lineRule="exact"/>
        <w:ind w:firstLine="420" w:firstLineChars="200"/>
        <w:rPr>
          <w:rFonts w:ascii="宋体" w:hAnsi="宋体" w:cs="宋体"/>
          <w:color w:val="000000"/>
          <w:highlight w:val="none"/>
        </w:rPr>
      </w:pPr>
      <w:r>
        <w:rPr>
          <w:rFonts w:hint="eastAsia" w:ascii="宋体" w:hAnsi="宋体" w:cs="宋体"/>
          <w:color w:val="000000"/>
          <w:highlight w:val="none"/>
        </w:rPr>
        <w:t>13、累计考核两次不合格，检查四次不合格或在上级部门考核评比中不达标，甲方有权清退乙方，承包方一经清退，由此造成的一切损失由乙方自负。</w:t>
      </w:r>
    </w:p>
    <w:p w14:paraId="296CEB9B">
      <w:pPr>
        <w:spacing w:line="500" w:lineRule="exact"/>
        <w:ind w:firstLine="420" w:firstLineChars="200"/>
        <w:rPr>
          <w:rFonts w:ascii="宋体" w:hAnsi="宋体" w:cs="宋体"/>
          <w:bCs/>
          <w:color w:val="000000"/>
          <w:sz w:val="28"/>
          <w:szCs w:val="28"/>
          <w:highlight w:val="none"/>
        </w:rPr>
      </w:pPr>
      <w:r>
        <w:rPr>
          <w:rFonts w:hint="eastAsia" w:ascii="宋体" w:hAnsi="宋体" w:cs="宋体"/>
          <w:color w:val="000000"/>
          <w:highlight w:val="none"/>
        </w:rPr>
        <w:t>15、运输车辆必须专车专用，每车须装有GPS定位系统（费用由中标单位承担），所以清运车辆必须统一停放在转运站内，招标人负责监控，若发现专车私用，处500元/次罚款。</w:t>
      </w:r>
    </w:p>
    <w:p w14:paraId="4AA8711B">
      <w:pPr>
        <w:spacing w:line="500" w:lineRule="exact"/>
        <w:ind w:firstLine="420" w:firstLineChars="200"/>
        <w:rPr>
          <w:rFonts w:hint="default" w:ascii="宋体" w:hAnsi="宋体" w:eastAsia="宋体" w:cs="宋体"/>
          <w:color w:val="000000"/>
          <w:highlight w:val="none"/>
          <w:lang w:val="en-US" w:eastAsia="zh-CN"/>
        </w:rPr>
        <w:sectPr>
          <w:footerReference r:id="rId11" w:type="default"/>
          <w:pgSz w:w="11906" w:h="16838"/>
          <w:pgMar w:top="1440" w:right="1800" w:bottom="1440" w:left="1800" w:header="851" w:footer="992" w:gutter="0"/>
          <w:pgNumType w:fmt="decimal" w:start="1"/>
          <w:cols w:space="720" w:num="1"/>
          <w:docGrid w:type="lines" w:linePitch="312" w:charSpace="0"/>
        </w:sectPr>
      </w:pPr>
      <w:r>
        <w:rPr>
          <w:rFonts w:hint="eastAsia" w:ascii="宋体" w:hAnsi="宋体" w:eastAsia="宋体" w:cs="宋体"/>
          <w:color w:val="000000"/>
          <w:highlight w:val="none"/>
          <w:lang w:val="en-US" w:eastAsia="zh-CN"/>
        </w:rPr>
        <w:t>16.垃圾须统一运送至采购人指定地点。</w:t>
      </w:r>
    </w:p>
    <w:p w14:paraId="44A47C6E">
      <w:pPr>
        <w:spacing w:line="340" w:lineRule="exact"/>
        <w:jc w:val="center"/>
        <w:rPr>
          <w:rFonts w:ascii="宋体" w:hAnsi="宋体"/>
          <w:b/>
          <w:bCs/>
          <w:color w:val="000000"/>
          <w:sz w:val="30"/>
          <w:szCs w:val="30"/>
          <w:highlight w:val="none"/>
        </w:rPr>
      </w:pPr>
      <w:r>
        <w:rPr>
          <w:rFonts w:hint="eastAsia" w:ascii="宋体" w:hAnsi="宋体"/>
          <w:b/>
          <w:bCs/>
          <w:color w:val="000000"/>
          <w:sz w:val="30"/>
          <w:szCs w:val="30"/>
          <w:highlight w:val="none"/>
        </w:rPr>
        <w:t>罗埠镇生活垃圾清运及转运站管理项目考核评分细则</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29"/>
        <w:gridCol w:w="3593"/>
        <w:gridCol w:w="13"/>
        <w:gridCol w:w="652"/>
        <w:gridCol w:w="6146"/>
        <w:gridCol w:w="13"/>
        <w:gridCol w:w="529"/>
        <w:gridCol w:w="13"/>
        <w:gridCol w:w="529"/>
        <w:gridCol w:w="13"/>
        <w:gridCol w:w="529"/>
        <w:gridCol w:w="13"/>
      </w:tblGrid>
      <w:tr w14:paraId="166C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atLeast"/>
        </w:trPr>
        <w:tc>
          <w:tcPr>
            <w:tcW w:w="704" w:type="dxa"/>
            <w:noWrap w:val="0"/>
            <w:vAlign w:val="center"/>
          </w:tcPr>
          <w:p w14:paraId="1D4A6268">
            <w:pPr>
              <w:spacing w:line="340" w:lineRule="exact"/>
              <w:jc w:val="center"/>
              <w:rPr>
                <w:rFonts w:ascii="宋体" w:hAnsi="宋体"/>
                <w:b/>
                <w:color w:val="000000"/>
                <w:sz w:val="22"/>
                <w:szCs w:val="22"/>
                <w:highlight w:val="none"/>
              </w:rPr>
            </w:pPr>
            <w:r>
              <w:rPr>
                <w:rFonts w:hint="eastAsia" w:ascii="宋体" w:hAnsi="宋体"/>
                <w:b/>
                <w:color w:val="000000"/>
                <w:sz w:val="22"/>
                <w:szCs w:val="22"/>
                <w:highlight w:val="none"/>
              </w:rPr>
              <w:t>序号</w:t>
            </w:r>
          </w:p>
        </w:tc>
        <w:tc>
          <w:tcPr>
            <w:tcW w:w="1129" w:type="dxa"/>
            <w:noWrap w:val="0"/>
            <w:vAlign w:val="center"/>
          </w:tcPr>
          <w:p w14:paraId="37BC314C">
            <w:pPr>
              <w:spacing w:line="340" w:lineRule="exact"/>
              <w:jc w:val="center"/>
              <w:rPr>
                <w:rFonts w:ascii="宋体" w:hAnsi="宋体"/>
                <w:b/>
                <w:color w:val="000000"/>
                <w:sz w:val="22"/>
                <w:szCs w:val="22"/>
                <w:highlight w:val="none"/>
              </w:rPr>
            </w:pPr>
            <w:r>
              <w:rPr>
                <w:rFonts w:hint="eastAsia" w:ascii="宋体" w:hAnsi="宋体"/>
                <w:b/>
                <w:color w:val="000000"/>
                <w:sz w:val="22"/>
                <w:szCs w:val="22"/>
                <w:highlight w:val="none"/>
              </w:rPr>
              <w:t>考核项目</w:t>
            </w:r>
          </w:p>
        </w:tc>
        <w:tc>
          <w:tcPr>
            <w:tcW w:w="3593" w:type="dxa"/>
            <w:noWrap w:val="0"/>
            <w:vAlign w:val="center"/>
          </w:tcPr>
          <w:p w14:paraId="255F3FAA">
            <w:pPr>
              <w:spacing w:line="340" w:lineRule="exact"/>
              <w:jc w:val="center"/>
              <w:rPr>
                <w:rFonts w:ascii="宋体" w:hAnsi="宋体"/>
                <w:b/>
                <w:color w:val="000000"/>
                <w:sz w:val="22"/>
                <w:szCs w:val="22"/>
                <w:highlight w:val="none"/>
              </w:rPr>
            </w:pPr>
            <w:r>
              <w:rPr>
                <w:rFonts w:hint="eastAsia" w:ascii="宋体" w:hAnsi="宋体"/>
                <w:b/>
                <w:color w:val="000000"/>
                <w:sz w:val="22"/>
                <w:szCs w:val="22"/>
                <w:highlight w:val="none"/>
              </w:rPr>
              <w:t>具体要求</w:t>
            </w:r>
          </w:p>
        </w:tc>
        <w:tc>
          <w:tcPr>
            <w:tcW w:w="665" w:type="dxa"/>
            <w:gridSpan w:val="2"/>
            <w:noWrap w:val="0"/>
            <w:vAlign w:val="center"/>
          </w:tcPr>
          <w:p w14:paraId="79964B4F">
            <w:pPr>
              <w:spacing w:line="340" w:lineRule="exact"/>
              <w:jc w:val="center"/>
              <w:rPr>
                <w:rFonts w:ascii="宋体" w:hAnsi="宋体"/>
                <w:b/>
                <w:color w:val="000000"/>
                <w:sz w:val="22"/>
                <w:szCs w:val="22"/>
                <w:highlight w:val="none"/>
              </w:rPr>
            </w:pPr>
            <w:r>
              <w:rPr>
                <w:rFonts w:hint="eastAsia" w:ascii="宋体" w:hAnsi="宋体"/>
                <w:b/>
                <w:color w:val="000000"/>
                <w:sz w:val="22"/>
                <w:szCs w:val="22"/>
                <w:highlight w:val="none"/>
              </w:rPr>
              <w:t>分值</w:t>
            </w:r>
          </w:p>
        </w:tc>
        <w:tc>
          <w:tcPr>
            <w:tcW w:w="6146" w:type="dxa"/>
            <w:noWrap w:val="0"/>
            <w:vAlign w:val="center"/>
          </w:tcPr>
          <w:p w14:paraId="6332DCA5">
            <w:pPr>
              <w:spacing w:line="340" w:lineRule="exact"/>
              <w:jc w:val="center"/>
              <w:rPr>
                <w:rFonts w:ascii="宋体" w:hAnsi="宋体"/>
                <w:b/>
                <w:color w:val="000000"/>
                <w:sz w:val="22"/>
                <w:szCs w:val="22"/>
                <w:highlight w:val="none"/>
              </w:rPr>
            </w:pPr>
            <w:r>
              <w:rPr>
                <w:rFonts w:hint="eastAsia" w:ascii="宋体" w:hAnsi="宋体"/>
                <w:b/>
                <w:color w:val="000000"/>
                <w:sz w:val="22"/>
                <w:szCs w:val="22"/>
                <w:highlight w:val="none"/>
              </w:rPr>
              <w:t>评分标准</w:t>
            </w:r>
          </w:p>
        </w:tc>
        <w:tc>
          <w:tcPr>
            <w:tcW w:w="542" w:type="dxa"/>
            <w:gridSpan w:val="2"/>
            <w:noWrap w:val="0"/>
            <w:vAlign w:val="center"/>
          </w:tcPr>
          <w:p w14:paraId="4387CFB7">
            <w:pPr>
              <w:spacing w:line="340" w:lineRule="exact"/>
              <w:jc w:val="center"/>
              <w:rPr>
                <w:rFonts w:ascii="宋体" w:hAnsi="宋体"/>
                <w:b/>
                <w:color w:val="000000"/>
                <w:sz w:val="22"/>
                <w:szCs w:val="22"/>
                <w:highlight w:val="none"/>
              </w:rPr>
            </w:pPr>
            <w:r>
              <w:rPr>
                <w:rFonts w:hint="eastAsia" w:ascii="宋体" w:hAnsi="宋体"/>
                <w:b/>
                <w:color w:val="000000"/>
                <w:sz w:val="22"/>
                <w:szCs w:val="22"/>
                <w:highlight w:val="none"/>
              </w:rPr>
              <w:t>扣分</w:t>
            </w:r>
          </w:p>
        </w:tc>
        <w:tc>
          <w:tcPr>
            <w:tcW w:w="542" w:type="dxa"/>
            <w:gridSpan w:val="2"/>
            <w:noWrap w:val="0"/>
            <w:vAlign w:val="center"/>
          </w:tcPr>
          <w:p w14:paraId="4B4F0D7D">
            <w:pPr>
              <w:spacing w:line="340" w:lineRule="exact"/>
              <w:jc w:val="center"/>
              <w:rPr>
                <w:rFonts w:ascii="宋体" w:hAnsi="宋体"/>
                <w:b/>
                <w:color w:val="000000"/>
                <w:sz w:val="22"/>
                <w:szCs w:val="22"/>
                <w:highlight w:val="none"/>
              </w:rPr>
            </w:pPr>
            <w:r>
              <w:rPr>
                <w:rFonts w:hint="eastAsia" w:ascii="宋体" w:hAnsi="宋体"/>
                <w:b/>
                <w:color w:val="000000"/>
                <w:sz w:val="22"/>
                <w:szCs w:val="22"/>
                <w:highlight w:val="none"/>
              </w:rPr>
              <w:t>得分</w:t>
            </w:r>
          </w:p>
        </w:tc>
        <w:tc>
          <w:tcPr>
            <w:tcW w:w="542" w:type="dxa"/>
            <w:gridSpan w:val="2"/>
            <w:noWrap w:val="0"/>
            <w:vAlign w:val="center"/>
          </w:tcPr>
          <w:p w14:paraId="2C4E21CD">
            <w:pPr>
              <w:spacing w:line="340" w:lineRule="exact"/>
              <w:jc w:val="center"/>
              <w:rPr>
                <w:rFonts w:ascii="宋体" w:hAnsi="宋体"/>
                <w:b/>
                <w:color w:val="000000"/>
                <w:sz w:val="22"/>
                <w:szCs w:val="22"/>
                <w:highlight w:val="none"/>
              </w:rPr>
            </w:pPr>
            <w:r>
              <w:rPr>
                <w:rFonts w:hint="eastAsia" w:ascii="宋体" w:hAnsi="宋体"/>
                <w:b/>
                <w:color w:val="000000"/>
                <w:sz w:val="22"/>
                <w:szCs w:val="22"/>
                <w:highlight w:val="none"/>
              </w:rPr>
              <w:t>备注</w:t>
            </w:r>
          </w:p>
        </w:tc>
      </w:tr>
      <w:tr w14:paraId="402E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atLeast"/>
        </w:trPr>
        <w:tc>
          <w:tcPr>
            <w:tcW w:w="704" w:type="dxa"/>
            <w:noWrap w:val="0"/>
            <w:vAlign w:val="center"/>
          </w:tcPr>
          <w:p w14:paraId="7630CDCF">
            <w:pPr>
              <w:spacing w:line="340" w:lineRule="exact"/>
              <w:jc w:val="center"/>
              <w:rPr>
                <w:rFonts w:ascii="宋体" w:hAnsi="宋体"/>
                <w:bCs/>
                <w:color w:val="000000"/>
                <w:sz w:val="22"/>
                <w:szCs w:val="22"/>
                <w:highlight w:val="none"/>
              </w:rPr>
            </w:pPr>
            <w:r>
              <w:rPr>
                <w:rFonts w:hint="eastAsia" w:ascii="宋体" w:hAnsi="宋体"/>
                <w:bCs/>
                <w:color w:val="000000"/>
                <w:sz w:val="22"/>
                <w:szCs w:val="22"/>
                <w:highlight w:val="none"/>
              </w:rPr>
              <w:t>1</w:t>
            </w:r>
          </w:p>
        </w:tc>
        <w:tc>
          <w:tcPr>
            <w:tcW w:w="1129" w:type="dxa"/>
            <w:noWrap w:val="0"/>
            <w:vAlign w:val="center"/>
          </w:tcPr>
          <w:p w14:paraId="4D03D196">
            <w:pPr>
              <w:spacing w:line="340" w:lineRule="exact"/>
              <w:jc w:val="center"/>
              <w:rPr>
                <w:rFonts w:ascii="宋体" w:hAnsi="宋体"/>
                <w:bCs/>
                <w:color w:val="000000"/>
                <w:sz w:val="22"/>
                <w:szCs w:val="22"/>
                <w:highlight w:val="none"/>
              </w:rPr>
            </w:pPr>
            <w:r>
              <w:rPr>
                <w:rFonts w:hint="eastAsia" w:ascii="宋体" w:hAnsi="宋体"/>
                <w:bCs/>
                <w:color w:val="000000"/>
                <w:sz w:val="22"/>
                <w:szCs w:val="22"/>
                <w:highlight w:val="none"/>
              </w:rPr>
              <w:t>人员</w:t>
            </w:r>
          </w:p>
        </w:tc>
        <w:tc>
          <w:tcPr>
            <w:tcW w:w="3593" w:type="dxa"/>
            <w:noWrap w:val="0"/>
            <w:vAlign w:val="center"/>
          </w:tcPr>
          <w:p w14:paraId="68682AA7">
            <w:pPr>
              <w:spacing w:line="340" w:lineRule="exact"/>
              <w:ind w:left="315" w:hanging="315" w:hangingChars="150"/>
              <w:rPr>
                <w:rFonts w:ascii="宋体" w:hAnsi="宋体"/>
                <w:bCs/>
                <w:color w:val="000000"/>
                <w:szCs w:val="21"/>
                <w:highlight w:val="none"/>
              </w:rPr>
            </w:pPr>
            <w:r>
              <w:rPr>
                <w:rFonts w:hint="eastAsia" w:ascii="宋体" w:hAnsi="宋体"/>
                <w:bCs/>
                <w:color w:val="000000"/>
                <w:szCs w:val="21"/>
                <w:highlight w:val="none"/>
              </w:rPr>
              <w:t>1）大货车驾驶员不得少于2名</w:t>
            </w:r>
          </w:p>
          <w:p w14:paraId="497F74B9">
            <w:pPr>
              <w:spacing w:line="340" w:lineRule="exact"/>
              <w:ind w:left="315" w:hanging="315" w:hangingChars="150"/>
              <w:rPr>
                <w:rFonts w:ascii="宋体" w:hAnsi="宋体"/>
                <w:bCs/>
                <w:color w:val="000000"/>
                <w:szCs w:val="21"/>
                <w:highlight w:val="none"/>
              </w:rPr>
            </w:pPr>
            <w:r>
              <w:rPr>
                <w:rFonts w:hint="eastAsia" w:ascii="宋体" w:hAnsi="宋体"/>
                <w:bCs/>
                <w:color w:val="000000"/>
                <w:szCs w:val="21"/>
                <w:highlight w:val="none"/>
              </w:rPr>
              <w:t>2）生活垃圾清理及转运站管理专业操作人员3名</w:t>
            </w:r>
          </w:p>
        </w:tc>
        <w:tc>
          <w:tcPr>
            <w:tcW w:w="665" w:type="dxa"/>
            <w:gridSpan w:val="2"/>
            <w:noWrap w:val="0"/>
            <w:vAlign w:val="center"/>
          </w:tcPr>
          <w:p w14:paraId="4935C252">
            <w:pPr>
              <w:spacing w:line="340" w:lineRule="exact"/>
              <w:rPr>
                <w:rFonts w:ascii="宋体" w:hAnsi="宋体"/>
                <w:bCs/>
                <w:color w:val="000000"/>
                <w:szCs w:val="21"/>
                <w:highlight w:val="none"/>
              </w:rPr>
            </w:pPr>
            <w:r>
              <w:rPr>
                <w:rFonts w:hint="eastAsia" w:ascii="宋体" w:hAnsi="宋体"/>
                <w:bCs/>
                <w:color w:val="000000"/>
                <w:szCs w:val="21"/>
                <w:highlight w:val="none"/>
              </w:rPr>
              <w:t>20</w:t>
            </w:r>
          </w:p>
        </w:tc>
        <w:tc>
          <w:tcPr>
            <w:tcW w:w="6146" w:type="dxa"/>
            <w:noWrap w:val="0"/>
            <w:vAlign w:val="center"/>
          </w:tcPr>
          <w:p w14:paraId="50B9D6EE">
            <w:pPr>
              <w:spacing w:line="340" w:lineRule="exact"/>
              <w:ind w:left="315" w:hanging="315" w:hangingChars="150"/>
              <w:rPr>
                <w:rFonts w:ascii="宋体" w:hAnsi="宋体"/>
                <w:bCs/>
                <w:color w:val="000000"/>
                <w:szCs w:val="21"/>
                <w:highlight w:val="none"/>
              </w:rPr>
            </w:pPr>
            <w:r>
              <w:rPr>
                <w:rFonts w:hint="eastAsia" w:ascii="宋体" w:hAnsi="宋体"/>
                <w:bCs/>
                <w:color w:val="000000"/>
                <w:szCs w:val="21"/>
                <w:highlight w:val="none"/>
              </w:rPr>
              <w:t>1）驾驶员少于2名的，每少一人扣3分。</w:t>
            </w:r>
          </w:p>
          <w:p w14:paraId="5769375E">
            <w:pPr>
              <w:spacing w:line="340" w:lineRule="exact"/>
              <w:ind w:left="315" w:hanging="315" w:hangingChars="150"/>
              <w:rPr>
                <w:rFonts w:ascii="宋体" w:hAnsi="宋体"/>
                <w:bCs/>
                <w:color w:val="000000"/>
                <w:szCs w:val="21"/>
                <w:highlight w:val="none"/>
              </w:rPr>
            </w:pPr>
            <w:r>
              <w:rPr>
                <w:rFonts w:hint="eastAsia" w:ascii="宋体" w:hAnsi="宋体"/>
                <w:bCs/>
                <w:color w:val="000000"/>
                <w:szCs w:val="21"/>
                <w:highlight w:val="none"/>
              </w:rPr>
              <w:t>2）专业操作人员少于3名的，每少一人扣3分。</w:t>
            </w:r>
          </w:p>
          <w:p w14:paraId="5E9472F8">
            <w:pPr>
              <w:spacing w:line="340" w:lineRule="exact"/>
              <w:ind w:left="315" w:hanging="315" w:hangingChars="150"/>
              <w:rPr>
                <w:rFonts w:ascii="宋体" w:hAnsi="宋体"/>
                <w:bCs/>
                <w:color w:val="000000"/>
                <w:szCs w:val="21"/>
                <w:highlight w:val="none"/>
              </w:rPr>
            </w:pPr>
            <w:r>
              <w:rPr>
                <w:rFonts w:hint="eastAsia" w:ascii="宋体" w:hAnsi="宋体"/>
                <w:bCs/>
                <w:color w:val="000000"/>
                <w:szCs w:val="21"/>
                <w:highlight w:val="none"/>
              </w:rPr>
              <w:t>3）未按规定时间上、下班或在作业时间内，人员不按规定穿戴工作服或安全防护用品的，发现一次扣3分。</w:t>
            </w:r>
          </w:p>
        </w:tc>
        <w:tc>
          <w:tcPr>
            <w:tcW w:w="542" w:type="dxa"/>
            <w:gridSpan w:val="2"/>
            <w:noWrap w:val="0"/>
            <w:vAlign w:val="center"/>
          </w:tcPr>
          <w:p w14:paraId="3AAC1A0F">
            <w:pPr>
              <w:spacing w:line="340" w:lineRule="exact"/>
              <w:jc w:val="center"/>
              <w:rPr>
                <w:rFonts w:ascii="宋体" w:hAnsi="宋体"/>
                <w:bCs/>
                <w:color w:val="000000"/>
                <w:sz w:val="22"/>
                <w:szCs w:val="22"/>
                <w:highlight w:val="none"/>
              </w:rPr>
            </w:pPr>
          </w:p>
        </w:tc>
        <w:tc>
          <w:tcPr>
            <w:tcW w:w="542" w:type="dxa"/>
            <w:gridSpan w:val="2"/>
            <w:noWrap w:val="0"/>
            <w:vAlign w:val="center"/>
          </w:tcPr>
          <w:p w14:paraId="4CDC5209">
            <w:pPr>
              <w:spacing w:line="340" w:lineRule="exact"/>
              <w:jc w:val="center"/>
              <w:rPr>
                <w:rFonts w:ascii="宋体" w:hAnsi="宋体"/>
                <w:bCs/>
                <w:color w:val="000000"/>
                <w:sz w:val="22"/>
                <w:szCs w:val="22"/>
                <w:highlight w:val="none"/>
              </w:rPr>
            </w:pPr>
          </w:p>
        </w:tc>
        <w:tc>
          <w:tcPr>
            <w:tcW w:w="542" w:type="dxa"/>
            <w:gridSpan w:val="2"/>
            <w:noWrap w:val="0"/>
            <w:vAlign w:val="center"/>
          </w:tcPr>
          <w:p w14:paraId="47DBAE59">
            <w:pPr>
              <w:spacing w:line="340" w:lineRule="exact"/>
              <w:jc w:val="center"/>
              <w:rPr>
                <w:rFonts w:ascii="宋体" w:hAnsi="宋体"/>
                <w:bCs/>
                <w:color w:val="000000"/>
                <w:sz w:val="22"/>
                <w:szCs w:val="22"/>
                <w:highlight w:val="none"/>
              </w:rPr>
            </w:pPr>
          </w:p>
        </w:tc>
      </w:tr>
      <w:tr w14:paraId="5367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atLeast"/>
        </w:trPr>
        <w:tc>
          <w:tcPr>
            <w:tcW w:w="704" w:type="dxa"/>
            <w:noWrap w:val="0"/>
            <w:vAlign w:val="center"/>
          </w:tcPr>
          <w:p w14:paraId="1FF8B2D4">
            <w:pPr>
              <w:spacing w:line="340" w:lineRule="exact"/>
              <w:jc w:val="center"/>
              <w:rPr>
                <w:rFonts w:ascii="宋体" w:hAnsi="宋体"/>
                <w:bCs/>
                <w:color w:val="000000"/>
                <w:sz w:val="22"/>
                <w:szCs w:val="22"/>
                <w:highlight w:val="none"/>
              </w:rPr>
            </w:pPr>
            <w:r>
              <w:rPr>
                <w:rFonts w:hint="eastAsia" w:ascii="宋体" w:hAnsi="宋体"/>
                <w:bCs/>
                <w:color w:val="000000"/>
                <w:sz w:val="22"/>
                <w:szCs w:val="22"/>
                <w:highlight w:val="none"/>
              </w:rPr>
              <w:t>2</w:t>
            </w:r>
          </w:p>
        </w:tc>
        <w:tc>
          <w:tcPr>
            <w:tcW w:w="1129" w:type="dxa"/>
            <w:noWrap w:val="0"/>
            <w:vAlign w:val="center"/>
          </w:tcPr>
          <w:p w14:paraId="4E602643">
            <w:pPr>
              <w:spacing w:line="340" w:lineRule="exact"/>
              <w:jc w:val="center"/>
              <w:rPr>
                <w:rFonts w:ascii="宋体" w:hAnsi="宋体"/>
                <w:bCs/>
                <w:color w:val="000000"/>
                <w:sz w:val="22"/>
                <w:szCs w:val="22"/>
                <w:highlight w:val="none"/>
              </w:rPr>
            </w:pPr>
            <w:r>
              <w:rPr>
                <w:rFonts w:hint="eastAsia" w:ascii="宋体" w:hAnsi="宋体"/>
                <w:bCs/>
                <w:color w:val="000000"/>
                <w:sz w:val="22"/>
                <w:szCs w:val="22"/>
                <w:highlight w:val="none"/>
              </w:rPr>
              <w:t>设备</w:t>
            </w:r>
          </w:p>
        </w:tc>
        <w:tc>
          <w:tcPr>
            <w:tcW w:w="3593" w:type="dxa"/>
            <w:noWrap w:val="0"/>
            <w:vAlign w:val="center"/>
          </w:tcPr>
          <w:p w14:paraId="2A882CDF">
            <w:pPr>
              <w:spacing w:line="340" w:lineRule="exact"/>
              <w:ind w:left="315" w:hanging="315" w:hangingChars="150"/>
              <w:rPr>
                <w:rFonts w:ascii="宋体" w:hAnsi="宋体"/>
                <w:bCs/>
                <w:color w:val="000000"/>
                <w:szCs w:val="21"/>
                <w:highlight w:val="none"/>
              </w:rPr>
            </w:pPr>
            <w:r>
              <w:rPr>
                <w:rFonts w:hint="eastAsia" w:ascii="宋体" w:hAnsi="宋体"/>
                <w:bCs/>
                <w:color w:val="000000"/>
                <w:szCs w:val="21"/>
                <w:highlight w:val="none"/>
              </w:rPr>
              <w:t>1）垃圾收集车不少于3辆</w:t>
            </w:r>
          </w:p>
          <w:p w14:paraId="312CD761">
            <w:pPr>
              <w:spacing w:line="340" w:lineRule="exact"/>
              <w:ind w:left="315" w:hanging="315" w:hangingChars="150"/>
              <w:rPr>
                <w:rFonts w:ascii="宋体" w:hAnsi="宋体"/>
                <w:bCs/>
                <w:color w:val="000000"/>
                <w:szCs w:val="21"/>
                <w:highlight w:val="none"/>
              </w:rPr>
            </w:pPr>
            <w:r>
              <w:rPr>
                <w:rFonts w:hint="eastAsia" w:ascii="宋体" w:hAnsi="宋体"/>
                <w:bCs/>
                <w:color w:val="000000"/>
                <w:szCs w:val="21"/>
                <w:highlight w:val="none"/>
              </w:rPr>
              <w:t>2）实施人员必须配备工作服及安全防护用品等</w:t>
            </w:r>
          </w:p>
        </w:tc>
        <w:tc>
          <w:tcPr>
            <w:tcW w:w="665" w:type="dxa"/>
            <w:gridSpan w:val="2"/>
            <w:noWrap w:val="0"/>
            <w:vAlign w:val="center"/>
          </w:tcPr>
          <w:p w14:paraId="37735746">
            <w:pPr>
              <w:spacing w:line="340" w:lineRule="exact"/>
              <w:rPr>
                <w:rFonts w:ascii="宋体" w:hAnsi="宋体"/>
                <w:bCs/>
                <w:color w:val="000000"/>
                <w:szCs w:val="21"/>
                <w:highlight w:val="none"/>
              </w:rPr>
            </w:pPr>
            <w:r>
              <w:rPr>
                <w:rFonts w:hint="eastAsia" w:ascii="宋体" w:hAnsi="宋体"/>
                <w:bCs/>
                <w:color w:val="000000"/>
                <w:szCs w:val="21"/>
                <w:highlight w:val="none"/>
              </w:rPr>
              <w:t>20</w:t>
            </w:r>
          </w:p>
        </w:tc>
        <w:tc>
          <w:tcPr>
            <w:tcW w:w="6146" w:type="dxa"/>
            <w:noWrap w:val="0"/>
            <w:vAlign w:val="center"/>
          </w:tcPr>
          <w:p w14:paraId="60F0E45E">
            <w:pPr>
              <w:spacing w:line="340" w:lineRule="exact"/>
              <w:ind w:left="315" w:hanging="315" w:hangingChars="150"/>
              <w:rPr>
                <w:rFonts w:ascii="宋体" w:hAnsi="宋体"/>
                <w:bCs/>
                <w:color w:val="000000"/>
                <w:szCs w:val="21"/>
                <w:highlight w:val="none"/>
              </w:rPr>
            </w:pPr>
            <w:r>
              <w:rPr>
                <w:rFonts w:hint="eastAsia" w:ascii="宋体" w:hAnsi="宋体"/>
                <w:bCs/>
                <w:color w:val="000000"/>
                <w:szCs w:val="21"/>
                <w:highlight w:val="none"/>
              </w:rPr>
              <w:t>1）垃圾收集车少于3辆的，每少一辆扣3分。</w:t>
            </w:r>
          </w:p>
          <w:p w14:paraId="4D2CC1F5">
            <w:pPr>
              <w:spacing w:line="340" w:lineRule="exact"/>
              <w:ind w:left="210" w:hanging="210" w:hangingChars="100"/>
              <w:rPr>
                <w:rFonts w:ascii="宋体" w:hAnsi="宋体"/>
                <w:bCs/>
                <w:color w:val="000000"/>
                <w:szCs w:val="21"/>
                <w:highlight w:val="none"/>
              </w:rPr>
            </w:pPr>
            <w:r>
              <w:rPr>
                <w:rFonts w:hint="eastAsia" w:ascii="宋体" w:hAnsi="宋体"/>
                <w:bCs/>
                <w:color w:val="000000"/>
                <w:szCs w:val="21"/>
                <w:highlight w:val="none"/>
              </w:rPr>
              <w:t>2）未提供实施人员工作服及安全防护用品的发现一次扣3分。</w:t>
            </w:r>
          </w:p>
        </w:tc>
        <w:tc>
          <w:tcPr>
            <w:tcW w:w="542" w:type="dxa"/>
            <w:gridSpan w:val="2"/>
            <w:noWrap w:val="0"/>
            <w:vAlign w:val="center"/>
          </w:tcPr>
          <w:p w14:paraId="35D04403">
            <w:pPr>
              <w:spacing w:line="340" w:lineRule="exact"/>
              <w:jc w:val="center"/>
              <w:rPr>
                <w:rFonts w:ascii="宋体" w:hAnsi="宋体"/>
                <w:bCs/>
                <w:color w:val="000000"/>
                <w:sz w:val="22"/>
                <w:szCs w:val="22"/>
                <w:highlight w:val="none"/>
              </w:rPr>
            </w:pPr>
          </w:p>
        </w:tc>
        <w:tc>
          <w:tcPr>
            <w:tcW w:w="542" w:type="dxa"/>
            <w:gridSpan w:val="2"/>
            <w:noWrap w:val="0"/>
            <w:vAlign w:val="center"/>
          </w:tcPr>
          <w:p w14:paraId="0DC9C6E2">
            <w:pPr>
              <w:spacing w:line="340" w:lineRule="exact"/>
              <w:jc w:val="center"/>
              <w:rPr>
                <w:rFonts w:ascii="宋体" w:hAnsi="宋体"/>
                <w:bCs/>
                <w:color w:val="000000"/>
                <w:sz w:val="22"/>
                <w:szCs w:val="22"/>
                <w:highlight w:val="none"/>
              </w:rPr>
            </w:pPr>
          </w:p>
        </w:tc>
        <w:tc>
          <w:tcPr>
            <w:tcW w:w="542" w:type="dxa"/>
            <w:gridSpan w:val="2"/>
            <w:noWrap w:val="0"/>
            <w:vAlign w:val="center"/>
          </w:tcPr>
          <w:p w14:paraId="73A9ACFB">
            <w:pPr>
              <w:spacing w:line="340" w:lineRule="exact"/>
              <w:jc w:val="center"/>
              <w:rPr>
                <w:rFonts w:ascii="宋体" w:hAnsi="宋体"/>
                <w:bCs/>
                <w:color w:val="000000"/>
                <w:sz w:val="22"/>
                <w:szCs w:val="22"/>
                <w:highlight w:val="none"/>
              </w:rPr>
            </w:pPr>
          </w:p>
        </w:tc>
      </w:tr>
      <w:tr w14:paraId="7A55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atLeast"/>
        </w:trPr>
        <w:tc>
          <w:tcPr>
            <w:tcW w:w="704" w:type="dxa"/>
            <w:noWrap w:val="0"/>
            <w:vAlign w:val="center"/>
          </w:tcPr>
          <w:p w14:paraId="504A6D3B">
            <w:pPr>
              <w:spacing w:line="340" w:lineRule="exact"/>
              <w:jc w:val="center"/>
              <w:rPr>
                <w:rFonts w:ascii="宋体" w:hAnsi="宋体"/>
                <w:bCs/>
                <w:color w:val="000000"/>
                <w:sz w:val="22"/>
                <w:szCs w:val="22"/>
                <w:highlight w:val="none"/>
              </w:rPr>
            </w:pPr>
            <w:r>
              <w:rPr>
                <w:rFonts w:hint="eastAsia" w:ascii="宋体" w:hAnsi="宋体"/>
                <w:bCs/>
                <w:color w:val="000000"/>
                <w:sz w:val="22"/>
                <w:szCs w:val="22"/>
                <w:highlight w:val="none"/>
              </w:rPr>
              <w:t>3</w:t>
            </w:r>
          </w:p>
        </w:tc>
        <w:tc>
          <w:tcPr>
            <w:tcW w:w="1129" w:type="dxa"/>
            <w:noWrap w:val="0"/>
            <w:vAlign w:val="center"/>
          </w:tcPr>
          <w:p w14:paraId="5E5C368D">
            <w:pPr>
              <w:spacing w:line="340" w:lineRule="exact"/>
              <w:jc w:val="center"/>
              <w:rPr>
                <w:rFonts w:ascii="宋体" w:hAnsi="宋体"/>
                <w:bCs/>
                <w:color w:val="000000"/>
                <w:sz w:val="22"/>
                <w:szCs w:val="22"/>
                <w:highlight w:val="none"/>
              </w:rPr>
            </w:pPr>
            <w:r>
              <w:rPr>
                <w:rFonts w:hint="eastAsia" w:ascii="宋体" w:hAnsi="宋体"/>
                <w:bCs/>
                <w:color w:val="000000"/>
                <w:sz w:val="22"/>
                <w:szCs w:val="22"/>
                <w:highlight w:val="none"/>
              </w:rPr>
              <w:t>文明作业</w:t>
            </w:r>
          </w:p>
        </w:tc>
        <w:tc>
          <w:tcPr>
            <w:tcW w:w="3593" w:type="dxa"/>
            <w:noWrap w:val="0"/>
            <w:vAlign w:val="center"/>
          </w:tcPr>
          <w:p w14:paraId="4A991177">
            <w:pPr>
              <w:spacing w:line="340" w:lineRule="exact"/>
              <w:ind w:left="315" w:hanging="315" w:hangingChars="150"/>
              <w:rPr>
                <w:rFonts w:ascii="宋体" w:hAnsi="宋体"/>
                <w:bCs/>
                <w:color w:val="000000"/>
                <w:szCs w:val="21"/>
                <w:highlight w:val="none"/>
              </w:rPr>
            </w:pPr>
            <w:r>
              <w:rPr>
                <w:rFonts w:hint="eastAsia" w:ascii="宋体" w:hAnsi="宋体"/>
                <w:bCs/>
                <w:color w:val="000000"/>
                <w:szCs w:val="21"/>
                <w:highlight w:val="none"/>
              </w:rPr>
              <w:t>1）垃圾清运采用密闭化运输或篷布覆盖，保持道路整洁</w:t>
            </w:r>
          </w:p>
          <w:p w14:paraId="0F4B8412">
            <w:pPr>
              <w:spacing w:line="340" w:lineRule="exact"/>
              <w:ind w:left="315" w:hanging="315" w:hangingChars="150"/>
              <w:rPr>
                <w:rFonts w:ascii="宋体" w:hAnsi="宋体"/>
                <w:bCs/>
                <w:color w:val="000000"/>
                <w:szCs w:val="21"/>
                <w:highlight w:val="none"/>
              </w:rPr>
            </w:pPr>
            <w:r>
              <w:rPr>
                <w:rFonts w:hint="eastAsia" w:ascii="宋体" w:hAnsi="宋体"/>
                <w:bCs/>
                <w:color w:val="000000"/>
                <w:szCs w:val="21"/>
                <w:highlight w:val="none"/>
              </w:rPr>
              <w:t>2）转运站内生活垃圾日产日清</w:t>
            </w:r>
          </w:p>
          <w:p w14:paraId="7862B692">
            <w:pPr>
              <w:spacing w:line="340" w:lineRule="exact"/>
              <w:ind w:left="315" w:hanging="315" w:hangingChars="150"/>
              <w:rPr>
                <w:rFonts w:ascii="宋体" w:hAnsi="宋体"/>
                <w:bCs/>
                <w:color w:val="000000"/>
                <w:szCs w:val="21"/>
                <w:highlight w:val="none"/>
              </w:rPr>
            </w:pPr>
            <w:r>
              <w:rPr>
                <w:rFonts w:hint="eastAsia" w:ascii="宋体" w:hAnsi="宋体"/>
                <w:bCs/>
                <w:color w:val="000000"/>
                <w:szCs w:val="21"/>
                <w:highlight w:val="none"/>
              </w:rPr>
              <w:t>3）转运站内车辆按规定停放，车辆及压缩设备保持整洁、完好</w:t>
            </w:r>
          </w:p>
          <w:p w14:paraId="5FF2C46C">
            <w:pPr>
              <w:spacing w:line="340" w:lineRule="exact"/>
              <w:ind w:left="210" w:hanging="210" w:hangingChars="100"/>
              <w:rPr>
                <w:rFonts w:ascii="宋体" w:hAnsi="宋体"/>
                <w:bCs/>
                <w:color w:val="000000"/>
                <w:szCs w:val="21"/>
                <w:highlight w:val="none"/>
              </w:rPr>
            </w:pPr>
            <w:r>
              <w:rPr>
                <w:rFonts w:hint="eastAsia" w:ascii="宋体" w:hAnsi="宋体"/>
                <w:bCs/>
                <w:color w:val="000000"/>
                <w:szCs w:val="21"/>
                <w:highlight w:val="none"/>
              </w:rPr>
              <w:t>4）转运站室内外卫生整洁有序</w:t>
            </w:r>
          </w:p>
        </w:tc>
        <w:tc>
          <w:tcPr>
            <w:tcW w:w="665" w:type="dxa"/>
            <w:gridSpan w:val="2"/>
            <w:noWrap w:val="0"/>
            <w:vAlign w:val="center"/>
          </w:tcPr>
          <w:p w14:paraId="45B27C3B">
            <w:pPr>
              <w:spacing w:line="340" w:lineRule="exact"/>
              <w:rPr>
                <w:rFonts w:ascii="宋体" w:hAnsi="宋体"/>
                <w:bCs/>
                <w:color w:val="000000"/>
                <w:szCs w:val="21"/>
                <w:highlight w:val="none"/>
              </w:rPr>
            </w:pPr>
            <w:r>
              <w:rPr>
                <w:rFonts w:hint="eastAsia" w:ascii="宋体" w:hAnsi="宋体"/>
                <w:bCs/>
                <w:color w:val="000000"/>
                <w:szCs w:val="21"/>
                <w:highlight w:val="none"/>
              </w:rPr>
              <w:t>30</w:t>
            </w:r>
          </w:p>
        </w:tc>
        <w:tc>
          <w:tcPr>
            <w:tcW w:w="6146" w:type="dxa"/>
            <w:noWrap w:val="0"/>
            <w:vAlign w:val="center"/>
          </w:tcPr>
          <w:p w14:paraId="07994258">
            <w:pPr>
              <w:numPr>
                <w:ilvl w:val="0"/>
                <w:numId w:val="3"/>
              </w:numPr>
              <w:spacing w:line="340" w:lineRule="exact"/>
              <w:rPr>
                <w:rFonts w:ascii="宋体" w:hAnsi="宋体"/>
                <w:bCs/>
                <w:color w:val="000000"/>
                <w:szCs w:val="21"/>
                <w:highlight w:val="none"/>
              </w:rPr>
            </w:pPr>
            <w:r>
              <w:rPr>
                <w:rFonts w:hint="eastAsia" w:ascii="宋体" w:hAnsi="宋体"/>
                <w:bCs/>
                <w:color w:val="000000"/>
                <w:szCs w:val="21"/>
                <w:highlight w:val="none"/>
              </w:rPr>
              <w:t>垃圾清运未采用密闭化运输或未使用篷布覆盖而造成滴漏或抛洒的发现一次扣5分。</w:t>
            </w:r>
          </w:p>
          <w:p w14:paraId="6DC34235">
            <w:pPr>
              <w:numPr>
                <w:ilvl w:val="0"/>
                <w:numId w:val="3"/>
              </w:numPr>
              <w:spacing w:line="340" w:lineRule="exact"/>
              <w:rPr>
                <w:rFonts w:ascii="宋体" w:hAnsi="宋体"/>
                <w:bCs/>
                <w:color w:val="000000"/>
                <w:szCs w:val="21"/>
                <w:highlight w:val="none"/>
              </w:rPr>
            </w:pPr>
            <w:r>
              <w:rPr>
                <w:rFonts w:hint="eastAsia" w:ascii="宋体" w:hAnsi="宋体"/>
                <w:bCs/>
                <w:color w:val="000000"/>
                <w:szCs w:val="21"/>
                <w:highlight w:val="none"/>
              </w:rPr>
              <w:t>转运站内生活垃圾未达到日产日清的，发现一次扣5分。</w:t>
            </w:r>
          </w:p>
          <w:p w14:paraId="1DC38CE7">
            <w:pPr>
              <w:numPr>
                <w:ilvl w:val="0"/>
                <w:numId w:val="3"/>
              </w:numPr>
              <w:spacing w:line="340" w:lineRule="exact"/>
              <w:rPr>
                <w:rFonts w:ascii="宋体" w:hAnsi="宋体"/>
                <w:bCs/>
                <w:color w:val="000000"/>
                <w:szCs w:val="21"/>
                <w:highlight w:val="none"/>
              </w:rPr>
            </w:pPr>
            <w:r>
              <w:rPr>
                <w:rFonts w:hint="eastAsia" w:ascii="宋体" w:hAnsi="宋体"/>
                <w:bCs/>
                <w:color w:val="000000"/>
                <w:szCs w:val="21"/>
                <w:highlight w:val="none"/>
              </w:rPr>
              <w:t>车辆不按规定停放的，发现一次扣5分；车辆或压缩设备污损未及时清理或修复的，发现一次扣5分。</w:t>
            </w:r>
          </w:p>
          <w:p w14:paraId="1A09D09A">
            <w:pPr>
              <w:numPr>
                <w:ilvl w:val="0"/>
                <w:numId w:val="3"/>
              </w:numPr>
              <w:spacing w:line="340" w:lineRule="exact"/>
              <w:rPr>
                <w:rFonts w:ascii="宋体" w:hAnsi="宋体"/>
                <w:bCs/>
                <w:color w:val="000000"/>
                <w:szCs w:val="21"/>
                <w:highlight w:val="none"/>
              </w:rPr>
            </w:pPr>
            <w:r>
              <w:rPr>
                <w:rFonts w:hint="eastAsia" w:ascii="宋体" w:hAnsi="宋体"/>
                <w:bCs/>
                <w:color w:val="000000"/>
                <w:szCs w:val="21"/>
                <w:highlight w:val="none"/>
              </w:rPr>
              <w:t>未保持转运站室内外卫生整洁的，发现一次扣5分。</w:t>
            </w:r>
          </w:p>
        </w:tc>
        <w:tc>
          <w:tcPr>
            <w:tcW w:w="542" w:type="dxa"/>
            <w:gridSpan w:val="2"/>
            <w:noWrap w:val="0"/>
            <w:vAlign w:val="center"/>
          </w:tcPr>
          <w:p w14:paraId="32D7A080">
            <w:pPr>
              <w:spacing w:line="340" w:lineRule="exact"/>
              <w:jc w:val="center"/>
              <w:rPr>
                <w:rFonts w:ascii="宋体" w:hAnsi="宋体"/>
                <w:bCs/>
                <w:color w:val="000000"/>
                <w:sz w:val="22"/>
                <w:szCs w:val="22"/>
                <w:highlight w:val="none"/>
              </w:rPr>
            </w:pPr>
          </w:p>
        </w:tc>
        <w:tc>
          <w:tcPr>
            <w:tcW w:w="542" w:type="dxa"/>
            <w:gridSpan w:val="2"/>
            <w:noWrap w:val="0"/>
            <w:vAlign w:val="center"/>
          </w:tcPr>
          <w:p w14:paraId="50058434">
            <w:pPr>
              <w:spacing w:line="340" w:lineRule="exact"/>
              <w:jc w:val="center"/>
              <w:rPr>
                <w:rFonts w:ascii="宋体" w:hAnsi="宋体"/>
                <w:bCs/>
                <w:color w:val="000000"/>
                <w:sz w:val="22"/>
                <w:szCs w:val="22"/>
                <w:highlight w:val="none"/>
              </w:rPr>
            </w:pPr>
          </w:p>
        </w:tc>
        <w:tc>
          <w:tcPr>
            <w:tcW w:w="542" w:type="dxa"/>
            <w:gridSpan w:val="2"/>
            <w:noWrap w:val="0"/>
            <w:vAlign w:val="center"/>
          </w:tcPr>
          <w:p w14:paraId="2794CAFE">
            <w:pPr>
              <w:spacing w:line="340" w:lineRule="exact"/>
              <w:jc w:val="center"/>
              <w:rPr>
                <w:rFonts w:ascii="宋体" w:hAnsi="宋体"/>
                <w:bCs/>
                <w:color w:val="000000"/>
                <w:sz w:val="22"/>
                <w:szCs w:val="22"/>
                <w:highlight w:val="none"/>
              </w:rPr>
            </w:pPr>
          </w:p>
        </w:tc>
      </w:tr>
      <w:tr w14:paraId="76CA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atLeast"/>
        </w:trPr>
        <w:tc>
          <w:tcPr>
            <w:tcW w:w="704" w:type="dxa"/>
            <w:noWrap w:val="0"/>
            <w:vAlign w:val="center"/>
          </w:tcPr>
          <w:p w14:paraId="19E23493">
            <w:pPr>
              <w:spacing w:line="340" w:lineRule="exact"/>
              <w:jc w:val="center"/>
              <w:rPr>
                <w:rFonts w:ascii="宋体" w:hAnsi="宋体"/>
                <w:bCs/>
                <w:color w:val="000000"/>
                <w:sz w:val="22"/>
                <w:szCs w:val="22"/>
                <w:highlight w:val="none"/>
              </w:rPr>
            </w:pPr>
            <w:r>
              <w:rPr>
                <w:rFonts w:hint="eastAsia" w:ascii="宋体" w:hAnsi="宋体"/>
                <w:bCs/>
                <w:color w:val="000000"/>
                <w:sz w:val="22"/>
                <w:szCs w:val="22"/>
                <w:highlight w:val="none"/>
              </w:rPr>
              <w:t>4</w:t>
            </w:r>
          </w:p>
        </w:tc>
        <w:tc>
          <w:tcPr>
            <w:tcW w:w="1129" w:type="dxa"/>
            <w:noWrap w:val="0"/>
            <w:vAlign w:val="center"/>
          </w:tcPr>
          <w:p w14:paraId="44B7781E">
            <w:pPr>
              <w:spacing w:line="340" w:lineRule="exact"/>
              <w:jc w:val="center"/>
              <w:rPr>
                <w:rFonts w:ascii="宋体" w:hAnsi="宋体"/>
                <w:bCs/>
                <w:color w:val="000000"/>
                <w:sz w:val="22"/>
                <w:szCs w:val="22"/>
                <w:highlight w:val="none"/>
              </w:rPr>
            </w:pPr>
            <w:r>
              <w:rPr>
                <w:rFonts w:hint="eastAsia" w:ascii="宋体" w:hAnsi="宋体"/>
                <w:bCs/>
                <w:color w:val="000000"/>
                <w:sz w:val="22"/>
                <w:szCs w:val="22"/>
                <w:highlight w:val="none"/>
              </w:rPr>
              <w:t>交办任务完成情况</w:t>
            </w:r>
          </w:p>
        </w:tc>
        <w:tc>
          <w:tcPr>
            <w:tcW w:w="3593" w:type="dxa"/>
            <w:noWrap w:val="0"/>
            <w:vAlign w:val="center"/>
          </w:tcPr>
          <w:p w14:paraId="262CCA6A">
            <w:pPr>
              <w:spacing w:line="340" w:lineRule="exact"/>
              <w:rPr>
                <w:rFonts w:ascii="宋体" w:hAnsi="宋体"/>
                <w:bCs/>
                <w:color w:val="000000"/>
                <w:szCs w:val="21"/>
                <w:highlight w:val="none"/>
              </w:rPr>
            </w:pPr>
            <w:r>
              <w:rPr>
                <w:rFonts w:hint="eastAsia" w:ascii="宋体" w:hAnsi="宋体"/>
                <w:bCs/>
                <w:color w:val="000000"/>
                <w:szCs w:val="21"/>
                <w:highlight w:val="none"/>
              </w:rPr>
              <w:t>重大节假日、重大活动或有关部门检查，必须按有关部门交办及上级领导指示及时完成任务</w:t>
            </w:r>
          </w:p>
        </w:tc>
        <w:tc>
          <w:tcPr>
            <w:tcW w:w="665" w:type="dxa"/>
            <w:gridSpan w:val="2"/>
            <w:noWrap w:val="0"/>
            <w:vAlign w:val="center"/>
          </w:tcPr>
          <w:p w14:paraId="0F0D1521">
            <w:pPr>
              <w:spacing w:line="340" w:lineRule="exact"/>
              <w:rPr>
                <w:rFonts w:ascii="宋体" w:hAnsi="宋体"/>
                <w:bCs/>
                <w:color w:val="000000"/>
                <w:szCs w:val="21"/>
                <w:highlight w:val="none"/>
              </w:rPr>
            </w:pPr>
            <w:r>
              <w:rPr>
                <w:rFonts w:hint="eastAsia" w:ascii="宋体" w:hAnsi="宋体"/>
                <w:bCs/>
                <w:color w:val="000000"/>
                <w:szCs w:val="21"/>
                <w:highlight w:val="none"/>
              </w:rPr>
              <w:t>30</w:t>
            </w:r>
          </w:p>
        </w:tc>
        <w:tc>
          <w:tcPr>
            <w:tcW w:w="6146" w:type="dxa"/>
            <w:noWrap w:val="0"/>
            <w:vAlign w:val="center"/>
          </w:tcPr>
          <w:p w14:paraId="7B7D2DAD">
            <w:pPr>
              <w:numPr>
                <w:ilvl w:val="0"/>
                <w:numId w:val="4"/>
              </w:numPr>
              <w:spacing w:line="340" w:lineRule="exact"/>
              <w:rPr>
                <w:rFonts w:ascii="宋体" w:hAnsi="宋体"/>
                <w:bCs/>
                <w:color w:val="000000"/>
                <w:szCs w:val="21"/>
                <w:highlight w:val="none"/>
              </w:rPr>
            </w:pPr>
            <w:r>
              <w:rPr>
                <w:rFonts w:hint="eastAsia" w:ascii="宋体" w:hAnsi="宋体"/>
                <w:bCs/>
                <w:color w:val="000000"/>
                <w:szCs w:val="21"/>
                <w:highlight w:val="none"/>
              </w:rPr>
              <w:t>遇有关部门检查或重大节假日、重大活动期间未能按要求完成突击性任务造成不良影响的，每次扣5分。</w:t>
            </w:r>
          </w:p>
          <w:p w14:paraId="518FCE5E">
            <w:pPr>
              <w:numPr>
                <w:ilvl w:val="0"/>
                <w:numId w:val="4"/>
              </w:numPr>
              <w:spacing w:line="340" w:lineRule="exact"/>
              <w:rPr>
                <w:rFonts w:ascii="宋体" w:hAnsi="宋体"/>
                <w:bCs/>
                <w:color w:val="000000"/>
                <w:szCs w:val="21"/>
                <w:highlight w:val="none"/>
              </w:rPr>
            </w:pPr>
            <w:r>
              <w:rPr>
                <w:rFonts w:hint="eastAsia" w:ascii="宋体" w:hAnsi="宋体"/>
                <w:bCs/>
                <w:color w:val="000000"/>
                <w:szCs w:val="21"/>
                <w:highlight w:val="none"/>
              </w:rPr>
              <w:t>新闻媒体公开曝光或群众举报投诉的，每次扣5分</w:t>
            </w:r>
          </w:p>
          <w:p w14:paraId="15F23D08">
            <w:pPr>
              <w:numPr>
                <w:ilvl w:val="0"/>
                <w:numId w:val="4"/>
              </w:numPr>
              <w:spacing w:line="340" w:lineRule="exact"/>
              <w:rPr>
                <w:rFonts w:ascii="宋体" w:hAnsi="宋体"/>
                <w:bCs/>
                <w:color w:val="000000"/>
                <w:szCs w:val="21"/>
                <w:highlight w:val="none"/>
              </w:rPr>
            </w:pPr>
            <w:r>
              <w:rPr>
                <w:rFonts w:hint="eastAsia" w:ascii="宋体" w:hAnsi="宋体"/>
                <w:bCs/>
                <w:color w:val="000000"/>
                <w:szCs w:val="21"/>
                <w:highlight w:val="none"/>
              </w:rPr>
              <w:t>对领导批示、媒体曝光、群众举报和部门检查所揭示的问题未能及时落实整改的，每次扣5分。</w:t>
            </w:r>
          </w:p>
        </w:tc>
        <w:tc>
          <w:tcPr>
            <w:tcW w:w="542" w:type="dxa"/>
            <w:gridSpan w:val="2"/>
            <w:noWrap w:val="0"/>
            <w:vAlign w:val="center"/>
          </w:tcPr>
          <w:p w14:paraId="0CAFA6FE">
            <w:pPr>
              <w:spacing w:line="340" w:lineRule="exact"/>
              <w:jc w:val="center"/>
              <w:rPr>
                <w:rFonts w:ascii="宋体" w:hAnsi="宋体"/>
                <w:bCs/>
                <w:color w:val="000000"/>
                <w:sz w:val="22"/>
                <w:szCs w:val="22"/>
                <w:highlight w:val="none"/>
              </w:rPr>
            </w:pPr>
          </w:p>
        </w:tc>
        <w:tc>
          <w:tcPr>
            <w:tcW w:w="542" w:type="dxa"/>
            <w:gridSpan w:val="2"/>
            <w:noWrap w:val="0"/>
            <w:vAlign w:val="center"/>
          </w:tcPr>
          <w:p w14:paraId="129FDA84">
            <w:pPr>
              <w:spacing w:line="340" w:lineRule="exact"/>
              <w:jc w:val="center"/>
              <w:rPr>
                <w:rFonts w:ascii="宋体" w:hAnsi="宋体"/>
                <w:bCs/>
                <w:color w:val="000000"/>
                <w:sz w:val="22"/>
                <w:szCs w:val="22"/>
                <w:highlight w:val="none"/>
              </w:rPr>
            </w:pPr>
          </w:p>
        </w:tc>
        <w:tc>
          <w:tcPr>
            <w:tcW w:w="542" w:type="dxa"/>
            <w:gridSpan w:val="2"/>
            <w:noWrap w:val="0"/>
            <w:vAlign w:val="center"/>
          </w:tcPr>
          <w:p w14:paraId="677271E7">
            <w:pPr>
              <w:spacing w:line="340" w:lineRule="exact"/>
              <w:jc w:val="center"/>
              <w:rPr>
                <w:rFonts w:ascii="宋体" w:hAnsi="宋体"/>
                <w:bCs/>
                <w:color w:val="000000"/>
                <w:sz w:val="22"/>
                <w:szCs w:val="22"/>
                <w:highlight w:val="none"/>
              </w:rPr>
            </w:pPr>
          </w:p>
        </w:tc>
      </w:tr>
      <w:tr w14:paraId="2B52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9" w:type="dxa"/>
            <w:gridSpan w:val="4"/>
            <w:noWrap w:val="0"/>
            <w:vAlign w:val="center"/>
          </w:tcPr>
          <w:p w14:paraId="24641DF5">
            <w:pPr>
              <w:spacing w:line="340" w:lineRule="exact"/>
              <w:jc w:val="center"/>
              <w:rPr>
                <w:rFonts w:ascii="宋体" w:hAnsi="宋体"/>
                <w:bCs/>
                <w:color w:val="000000"/>
                <w:sz w:val="22"/>
                <w:szCs w:val="22"/>
                <w:highlight w:val="none"/>
              </w:rPr>
            </w:pPr>
            <w:r>
              <w:rPr>
                <w:rFonts w:hint="eastAsia" w:ascii="宋体" w:hAnsi="宋体"/>
                <w:bCs/>
                <w:color w:val="000000"/>
                <w:sz w:val="22"/>
                <w:szCs w:val="22"/>
                <w:highlight w:val="none"/>
              </w:rPr>
              <w:t>合计</w:t>
            </w:r>
          </w:p>
        </w:tc>
        <w:tc>
          <w:tcPr>
            <w:tcW w:w="652" w:type="dxa"/>
            <w:noWrap w:val="0"/>
            <w:vAlign w:val="center"/>
          </w:tcPr>
          <w:p w14:paraId="5047F4B0">
            <w:pPr>
              <w:spacing w:line="340" w:lineRule="exact"/>
              <w:jc w:val="center"/>
              <w:rPr>
                <w:rFonts w:ascii="宋体" w:hAnsi="宋体"/>
                <w:bCs/>
                <w:color w:val="000000"/>
                <w:sz w:val="22"/>
                <w:szCs w:val="22"/>
                <w:highlight w:val="none"/>
              </w:rPr>
            </w:pPr>
            <w:r>
              <w:rPr>
                <w:rFonts w:hint="eastAsia" w:ascii="宋体" w:hAnsi="宋体"/>
                <w:bCs/>
                <w:color w:val="000000"/>
                <w:sz w:val="22"/>
                <w:szCs w:val="22"/>
                <w:highlight w:val="none"/>
              </w:rPr>
              <w:t>100</w:t>
            </w:r>
          </w:p>
        </w:tc>
        <w:tc>
          <w:tcPr>
            <w:tcW w:w="6159" w:type="dxa"/>
            <w:gridSpan w:val="2"/>
            <w:noWrap w:val="0"/>
            <w:vAlign w:val="center"/>
          </w:tcPr>
          <w:p w14:paraId="39049F3D">
            <w:pPr>
              <w:spacing w:line="340" w:lineRule="exact"/>
              <w:jc w:val="center"/>
              <w:rPr>
                <w:rFonts w:ascii="宋体" w:hAnsi="宋体"/>
                <w:bCs/>
                <w:color w:val="000000"/>
                <w:sz w:val="22"/>
                <w:szCs w:val="22"/>
                <w:highlight w:val="none"/>
              </w:rPr>
            </w:pPr>
          </w:p>
        </w:tc>
        <w:tc>
          <w:tcPr>
            <w:tcW w:w="542" w:type="dxa"/>
            <w:gridSpan w:val="2"/>
            <w:noWrap w:val="0"/>
            <w:vAlign w:val="center"/>
          </w:tcPr>
          <w:p w14:paraId="1C22D5A8">
            <w:pPr>
              <w:spacing w:line="340" w:lineRule="exact"/>
              <w:jc w:val="center"/>
              <w:rPr>
                <w:rFonts w:ascii="宋体" w:hAnsi="宋体"/>
                <w:bCs/>
                <w:color w:val="000000"/>
                <w:sz w:val="22"/>
                <w:szCs w:val="22"/>
                <w:highlight w:val="none"/>
              </w:rPr>
            </w:pPr>
          </w:p>
        </w:tc>
        <w:tc>
          <w:tcPr>
            <w:tcW w:w="542" w:type="dxa"/>
            <w:gridSpan w:val="2"/>
            <w:noWrap w:val="0"/>
            <w:vAlign w:val="center"/>
          </w:tcPr>
          <w:p w14:paraId="784EF34A">
            <w:pPr>
              <w:spacing w:line="340" w:lineRule="exact"/>
              <w:jc w:val="center"/>
              <w:rPr>
                <w:rFonts w:ascii="宋体" w:hAnsi="宋体"/>
                <w:bCs/>
                <w:color w:val="000000"/>
                <w:sz w:val="22"/>
                <w:szCs w:val="22"/>
                <w:highlight w:val="none"/>
              </w:rPr>
            </w:pPr>
          </w:p>
        </w:tc>
        <w:tc>
          <w:tcPr>
            <w:tcW w:w="542" w:type="dxa"/>
            <w:gridSpan w:val="2"/>
            <w:noWrap w:val="0"/>
            <w:vAlign w:val="center"/>
          </w:tcPr>
          <w:p w14:paraId="6C6A6B7D">
            <w:pPr>
              <w:spacing w:line="340" w:lineRule="exact"/>
              <w:jc w:val="center"/>
              <w:rPr>
                <w:rFonts w:ascii="宋体" w:hAnsi="宋体"/>
                <w:bCs/>
                <w:color w:val="000000"/>
                <w:sz w:val="22"/>
                <w:szCs w:val="22"/>
                <w:highlight w:val="none"/>
              </w:rPr>
            </w:pPr>
          </w:p>
        </w:tc>
      </w:tr>
    </w:tbl>
    <w:p w14:paraId="026858FF">
      <w:pPr>
        <w:rPr>
          <w:color w:val="000000"/>
          <w:highlight w:val="none"/>
        </w:rPr>
        <w:sectPr>
          <w:pgSz w:w="16838" w:h="11906" w:orient="landscape"/>
          <w:pgMar w:top="1797" w:right="1440" w:bottom="1797" w:left="1440" w:header="851" w:footer="992" w:gutter="0"/>
          <w:pgNumType w:fmt="decimal"/>
          <w:cols w:space="720" w:num="1"/>
          <w:docGrid w:type="linesAndChars" w:linePitch="312" w:charSpace="0"/>
        </w:sectPr>
      </w:pPr>
    </w:p>
    <w:p w14:paraId="51E3CBB9">
      <w:pPr>
        <w:spacing w:line="360" w:lineRule="auto"/>
        <w:ind w:firstLine="422" w:firstLineChars="200"/>
        <w:rPr>
          <w:rFonts w:ascii="宋体" w:hAnsi="宋体" w:cs="宋体"/>
          <w:b/>
          <w:color w:val="000000"/>
          <w:highlight w:val="none"/>
        </w:rPr>
      </w:pPr>
      <w:r>
        <w:rPr>
          <w:rFonts w:hint="eastAsia" w:ascii="宋体" w:hAnsi="宋体" w:cs="宋体"/>
          <w:b/>
          <w:color w:val="000000"/>
          <w:szCs w:val="21"/>
          <w:highlight w:val="none"/>
        </w:rPr>
        <w:t>（二）</w:t>
      </w:r>
      <w:r>
        <w:rPr>
          <w:rFonts w:hint="eastAsia" w:ascii="宋体" w:hAnsi="宋体" w:cs="宋体"/>
          <w:b/>
          <w:color w:val="000000"/>
          <w:highlight w:val="none"/>
        </w:rPr>
        <w:t>工作要求</w:t>
      </w:r>
    </w:p>
    <w:p w14:paraId="46851F09">
      <w:pPr>
        <w:spacing w:line="360" w:lineRule="auto"/>
        <w:ind w:firstLine="420" w:firstLineChars="200"/>
        <w:rPr>
          <w:rFonts w:ascii="宋体" w:hAnsi="宋体" w:cs="宋体"/>
          <w:color w:val="000000"/>
          <w:highlight w:val="none"/>
        </w:rPr>
      </w:pPr>
      <w:r>
        <w:rPr>
          <w:rFonts w:hint="eastAsia" w:ascii="宋体" w:hAnsi="宋体" w:cs="宋体"/>
          <w:color w:val="000000"/>
          <w:highlight w:val="none"/>
        </w:rPr>
        <w:t>1、清扫的垃圾、细土禁止放到绿化带内，应直接运往统一指定的垃圾中转站，节假日期间应增加人员。</w:t>
      </w:r>
    </w:p>
    <w:p w14:paraId="3554A4BB">
      <w:pPr>
        <w:spacing w:line="360" w:lineRule="auto"/>
        <w:ind w:firstLine="420" w:firstLineChars="200"/>
        <w:rPr>
          <w:rFonts w:ascii="宋体" w:hAnsi="宋体" w:cs="宋体"/>
          <w:color w:val="000000"/>
          <w:highlight w:val="none"/>
        </w:rPr>
      </w:pPr>
      <w:r>
        <w:rPr>
          <w:rFonts w:hint="eastAsia" w:ascii="宋体" w:hAnsi="宋体" w:cs="宋体"/>
          <w:color w:val="000000"/>
          <w:highlight w:val="none"/>
        </w:rPr>
        <w:t>2、作业人员必须穿戴有安全标识的服饰，车辆的运载、停放应遵守交通规则，做好安全防范工作。</w:t>
      </w:r>
    </w:p>
    <w:p w14:paraId="70A107C1">
      <w:pPr>
        <w:spacing w:line="360" w:lineRule="auto"/>
        <w:ind w:firstLine="420" w:firstLineChars="200"/>
        <w:rPr>
          <w:rFonts w:ascii="宋体" w:hAnsi="宋体" w:cs="宋体"/>
          <w:color w:val="000000"/>
          <w:highlight w:val="none"/>
        </w:rPr>
      </w:pPr>
      <w:r>
        <w:rPr>
          <w:rFonts w:hint="eastAsia" w:ascii="宋体" w:hAnsi="宋体" w:cs="宋体"/>
          <w:color w:val="000000"/>
          <w:highlight w:val="none"/>
        </w:rPr>
        <w:t>3、按规定时间上、下班，在作业时间内，作业人员不得集聚闲聊。</w:t>
      </w:r>
    </w:p>
    <w:p w14:paraId="530AA12D">
      <w:pPr>
        <w:spacing w:line="360" w:lineRule="auto"/>
        <w:ind w:firstLine="420" w:firstLineChars="200"/>
        <w:rPr>
          <w:rFonts w:ascii="宋体" w:hAnsi="宋体" w:cs="宋体"/>
          <w:color w:val="000000"/>
          <w:highlight w:val="none"/>
        </w:rPr>
      </w:pPr>
      <w:r>
        <w:rPr>
          <w:rFonts w:hint="eastAsia" w:ascii="宋体" w:hAnsi="宋体" w:cs="宋体"/>
          <w:color w:val="000000"/>
          <w:highlight w:val="none"/>
        </w:rPr>
        <w:t>4、服从各项突发性任务和指令，如遇重大活动和重要检查，听从采购人统一安排和调度，并在规定时间内完成所指定的任务和指令。</w:t>
      </w:r>
    </w:p>
    <w:p w14:paraId="6F050DBF">
      <w:pPr>
        <w:spacing w:line="360" w:lineRule="auto"/>
        <w:ind w:firstLine="420" w:firstLineChars="200"/>
        <w:rPr>
          <w:rFonts w:ascii="宋体" w:hAnsi="宋体" w:cs="宋体"/>
          <w:color w:val="000000"/>
          <w:highlight w:val="none"/>
        </w:rPr>
      </w:pPr>
      <w:r>
        <w:rPr>
          <w:rFonts w:hint="eastAsia" w:ascii="宋体" w:hAnsi="宋体" w:cs="宋体"/>
          <w:color w:val="000000"/>
          <w:highlight w:val="none"/>
        </w:rPr>
        <w:t>5、有详细的工作管理制度和具体操作实施方案，如须变动及时上报采购人。</w:t>
      </w:r>
    </w:p>
    <w:p w14:paraId="4213384A">
      <w:pPr>
        <w:spacing w:line="560" w:lineRule="exact"/>
        <w:ind w:firstLine="405" w:firstLineChars="192"/>
        <w:rPr>
          <w:rFonts w:ascii="宋体" w:hAnsi="宋体" w:cs="宋体"/>
          <w:b/>
          <w:color w:val="000000"/>
          <w:szCs w:val="21"/>
          <w:highlight w:val="none"/>
        </w:rPr>
      </w:pPr>
      <w:r>
        <w:rPr>
          <w:rFonts w:hint="eastAsia" w:ascii="宋体" w:hAnsi="宋体" w:cs="宋体"/>
          <w:b/>
          <w:color w:val="000000"/>
          <w:szCs w:val="21"/>
          <w:highlight w:val="none"/>
        </w:rPr>
        <w:t>（三）服务期限：</w:t>
      </w:r>
    </w:p>
    <w:p w14:paraId="4A2E9995">
      <w:pPr>
        <w:spacing w:line="560" w:lineRule="exact"/>
        <w:ind w:firstLine="403" w:firstLineChars="192"/>
        <w:rPr>
          <w:rFonts w:ascii="宋体" w:hAnsi="宋体" w:cs="宋体"/>
          <w:color w:val="000000"/>
          <w:highlight w:val="none"/>
        </w:rPr>
      </w:pPr>
      <w:r>
        <w:rPr>
          <w:rFonts w:hint="eastAsia" w:ascii="宋体" w:hAnsi="宋体" w:cs="宋体"/>
          <w:color w:val="000000"/>
          <w:highlight w:val="none"/>
        </w:rPr>
        <w:t>自合同签订之日起满2年。</w:t>
      </w:r>
    </w:p>
    <w:p w14:paraId="7A8F974E">
      <w:pPr>
        <w:tabs>
          <w:tab w:val="left" w:pos="540"/>
        </w:tabs>
        <w:spacing w:line="360" w:lineRule="auto"/>
        <w:ind w:firstLine="422" w:firstLineChars="200"/>
        <w:rPr>
          <w:rFonts w:ascii="宋体" w:hAnsi="宋体" w:cs="宋体"/>
          <w:b/>
          <w:color w:val="000000"/>
          <w:sz w:val="30"/>
          <w:szCs w:val="30"/>
          <w:highlight w:val="none"/>
        </w:rPr>
      </w:pPr>
      <w:r>
        <w:rPr>
          <w:rFonts w:hint="eastAsia" w:ascii="宋体" w:hAnsi="宋体" w:cs="宋体"/>
          <w:b/>
          <w:color w:val="000000"/>
          <w:highlight w:val="none"/>
        </w:rPr>
        <w:t>（四）付款方式</w:t>
      </w:r>
    </w:p>
    <w:p w14:paraId="0A8F9131">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1、合同签订前，中标人需缴纳</w:t>
      </w:r>
      <w:r>
        <w:rPr>
          <w:rFonts w:hint="eastAsia" w:ascii="宋体" w:hAnsi="宋体" w:cs="宋体"/>
          <w:color w:val="000000"/>
          <w:highlight w:val="none"/>
          <w:lang w:val="en-US" w:eastAsia="zh-CN"/>
        </w:rPr>
        <w:t>合同总价1</w:t>
      </w:r>
      <w:r>
        <w:rPr>
          <w:rFonts w:hint="eastAsia" w:ascii="宋体" w:hAnsi="宋体" w:cs="宋体"/>
          <w:color w:val="000000"/>
          <w:highlight w:val="none"/>
        </w:rPr>
        <w:t>%计收的履约保证金。待合同正常终止后无息退还履约保证金。</w:t>
      </w:r>
    </w:p>
    <w:p w14:paraId="1D5E62C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2、项目合同签订且人员经甲方认可，合同生效以及具备实施条件后7个工作日内预付合同费用的40%</w:t>
      </w:r>
      <w:r>
        <w:rPr>
          <w:rFonts w:hint="eastAsia" w:ascii="宋体" w:hAnsi="宋体" w:cs="宋体"/>
          <w:color w:val="000000"/>
          <w:highlight w:val="none"/>
          <w:lang w:val="en-US" w:eastAsia="zh-CN"/>
        </w:rPr>
        <w:t>作为预付款</w:t>
      </w:r>
      <w:r>
        <w:rPr>
          <w:rFonts w:hint="eastAsia" w:ascii="宋体" w:hAnsi="宋体" w:cs="宋体"/>
          <w:color w:val="000000"/>
          <w:highlight w:val="none"/>
        </w:rPr>
        <w:t>，剩余费用根据考核标准采用季度结款方式进行结款。</w:t>
      </w:r>
    </w:p>
    <w:p w14:paraId="6D742A93">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3、中标人须提供正式的税务发票并凭税务发票付款。</w:t>
      </w:r>
    </w:p>
    <w:p w14:paraId="6CA2AD30">
      <w:pPr>
        <w:spacing w:line="360" w:lineRule="auto"/>
        <w:ind w:firstLine="420" w:firstLineChars="200"/>
        <w:rPr>
          <w:rFonts w:hint="eastAsia" w:ascii="宋体" w:hAnsi="宋体" w:cs="宋体"/>
          <w:color w:val="000000"/>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cs="宋体"/>
          <w:color w:val="000000"/>
          <w:highlight w:val="none"/>
          <w:lang w:val="en-US" w:eastAsia="zh-CN"/>
        </w:rPr>
        <w:t>4、付款方式不允许负偏离，投标人任何关于负偏离于付款方式的承诺将导致其投标无效。</w:t>
      </w:r>
    </w:p>
    <w:bookmarkEnd w:id="9"/>
    <w:bookmarkEnd w:id="10"/>
    <w:bookmarkEnd w:id="11"/>
    <w:bookmarkEnd w:id="12"/>
    <w:bookmarkEnd w:id="13"/>
    <w:bookmarkEnd w:id="14"/>
    <w:bookmarkEnd w:id="15"/>
    <w:bookmarkEnd w:id="16"/>
    <w:bookmarkEnd w:id="17"/>
    <w:bookmarkEnd w:id="18"/>
    <w:bookmarkEnd w:id="19"/>
    <w:p w14:paraId="239563B6">
      <w:pPr>
        <w:pStyle w:val="5"/>
        <w:jc w:val="center"/>
        <w:rPr>
          <w:rFonts w:hint="eastAsia"/>
          <w:color w:val="auto"/>
          <w:sz w:val="30"/>
          <w:szCs w:val="30"/>
          <w:highlight w:val="none"/>
        </w:rPr>
      </w:pPr>
      <w:r>
        <w:rPr>
          <w:rFonts w:hint="eastAsia"/>
          <w:color w:val="auto"/>
          <w:sz w:val="30"/>
          <w:szCs w:val="30"/>
          <w:highlight w:val="none"/>
        </w:rPr>
        <w:t>第三章  投标人须知</w:t>
      </w:r>
      <w:bookmarkEnd w:id="20"/>
      <w:bookmarkEnd w:id="21"/>
    </w:p>
    <w:p w14:paraId="638B0BFF">
      <w:pPr>
        <w:pStyle w:val="5"/>
        <w:jc w:val="center"/>
        <w:rPr>
          <w:rFonts w:hint="eastAsia"/>
          <w:color w:val="auto"/>
          <w:sz w:val="30"/>
          <w:szCs w:val="30"/>
          <w:highlight w:val="none"/>
        </w:rPr>
      </w:pPr>
      <w:bookmarkStart w:id="22" w:name="_Toc351559943"/>
      <w:bookmarkStart w:id="23" w:name="_Toc18629"/>
      <w:r>
        <w:rPr>
          <w:rFonts w:hint="eastAsia"/>
          <w:color w:val="auto"/>
          <w:sz w:val="30"/>
          <w:szCs w:val="30"/>
          <w:highlight w:val="none"/>
        </w:rPr>
        <w:t>前附表</w:t>
      </w:r>
      <w:bookmarkEnd w:id="22"/>
      <w:bookmarkEnd w:id="23"/>
    </w:p>
    <w:tbl>
      <w:tblPr>
        <w:tblStyle w:val="17"/>
        <w:tblW w:w="93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2"/>
        <w:gridCol w:w="2173"/>
        <w:gridCol w:w="6511"/>
      </w:tblGrid>
      <w:tr w14:paraId="5D376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4C07CC7A">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序号</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1893081A">
            <w:pPr>
              <w:snapToGrid w:val="0"/>
              <w:spacing w:line="460" w:lineRule="exact"/>
              <w:ind w:firstLine="2940" w:firstLineChars="1400"/>
              <w:rPr>
                <w:rFonts w:hint="eastAsia" w:hAnsi="宋体" w:cs="宋体"/>
                <w:color w:val="auto"/>
                <w:sz w:val="21"/>
                <w:szCs w:val="21"/>
                <w:highlight w:val="none"/>
              </w:rPr>
            </w:pPr>
            <w:r>
              <w:rPr>
                <w:rFonts w:hint="eastAsia" w:hAnsi="宋体" w:cs="宋体"/>
                <w:color w:val="auto"/>
                <w:sz w:val="21"/>
                <w:szCs w:val="21"/>
                <w:highlight w:val="none"/>
              </w:rPr>
              <w:t>内容、要求</w:t>
            </w:r>
          </w:p>
        </w:tc>
      </w:tr>
      <w:tr w14:paraId="763CE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4A7C7A75">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1F7F69B1">
            <w:pPr>
              <w:snapToGrid w:val="0"/>
              <w:spacing w:line="460" w:lineRule="exact"/>
              <w:rPr>
                <w:rFonts w:hint="eastAsia" w:hAnsi="宋体" w:eastAsia="宋体" w:cs="宋体"/>
                <w:color w:val="auto"/>
                <w:sz w:val="21"/>
                <w:szCs w:val="21"/>
                <w:highlight w:val="none"/>
                <w:lang w:eastAsia="zh-CN"/>
              </w:rPr>
            </w:pPr>
            <w:r>
              <w:rPr>
                <w:rFonts w:hint="eastAsia" w:hAnsi="宋体" w:cs="宋体"/>
                <w:color w:val="auto"/>
                <w:sz w:val="21"/>
                <w:szCs w:val="21"/>
                <w:highlight w:val="none"/>
              </w:rPr>
              <w:t>项目名称：</w:t>
            </w:r>
            <w:r>
              <w:rPr>
                <w:rFonts w:hint="eastAsia" w:hAnsi="宋体" w:cs="宋体"/>
                <w:color w:val="auto"/>
                <w:sz w:val="21"/>
                <w:szCs w:val="21"/>
                <w:highlight w:val="none"/>
                <w:lang w:eastAsia="zh-CN"/>
              </w:rPr>
              <w:t>金华市婺城区罗埠镇人民政府垃圾中转站运维采购</w:t>
            </w:r>
          </w:p>
        </w:tc>
      </w:tr>
      <w:tr w14:paraId="54683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5524A35A">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2</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4EA6AACA">
            <w:pPr>
              <w:snapToGrid w:val="0"/>
              <w:spacing w:line="46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投标报价及费用：</w:t>
            </w:r>
          </w:p>
          <w:p w14:paraId="6754FA02">
            <w:pPr>
              <w:snapToGrid w:val="0"/>
              <w:spacing w:line="46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1.本项目投标应以人民币报价；</w:t>
            </w:r>
          </w:p>
          <w:p w14:paraId="0936AA74">
            <w:pPr>
              <w:snapToGrid w:val="0"/>
              <w:spacing w:line="46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2.不论投标结果如何，投标人均应自行承担所有与投标有关的全部费用；</w:t>
            </w:r>
          </w:p>
          <w:p w14:paraId="0CC111F5">
            <w:pPr>
              <w:snapToGrid w:val="0"/>
              <w:spacing w:line="460" w:lineRule="exact"/>
              <w:ind w:firstLine="422" w:firstLineChars="200"/>
              <w:rPr>
                <w:rFonts w:hint="eastAsia" w:hAnsi="宋体" w:cs="宋体"/>
                <w:b/>
                <w:bCs/>
                <w:color w:val="auto"/>
                <w:sz w:val="21"/>
                <w:szCs w:val="21"/>
                <w:highlight w:val="none"/>
              </w:rPr>
            </w:pPr>
            <w:r>
              <w:rPr>
                <w:rFonts w:hint="eastAsia" w:hAnsi="宋体" w:cs="宋体"/>
                <w:b/>
                <w:color w:val="auto"/>
                <w:sz w:val="21"/>
                <w:szCs w:val="21"/>
                <w:highlight w:val="none"/>
              </w:rPr>
              <w:t>3.投标人取得中标资格后，须</w:t>
            </w:r>
            <w:r>
              <w:rPr>
                <w:rFonts w:hint="eastAsia" w:hAnsi="宋体" w:cs="宋体"/>
                <w:b/>
                <w:color w:val="auto"/>
                <w:sz w:val="21"/>
                <w:szCs w:val="21"/>
                <w:highlight w:val="none"/>
                <w:lang w:val="en-US" w:eastAsia="zh-CN"/>
              </w:rPr>
              <w:t>缴纳17553元招标代理服务费</w:t>
            </w:r>
            <w:r>
              <w:rPr>
                <w:rFonts w:hint="eastAsia" w:hAnsi="宋体" w:cs="宋体"/>
                <w:b/>
                <w:color w:val="auto"/>
                <w:sz w:val="21"/>
                <w:szCs w:val="21"/>
                <w:highlight w:val="none"/>
              </w:rPr>
              <w:t>，中标人在收到中标通知书的同时向招标代理机构以银行转账等形式支付采购代理服务费。</w:t>
            </w:r>
          </w:p>
        </w:tc>
      </w:tr>
      <w:tr w14:paraId="6E292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2CAF5EFE">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3</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27AF521C">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答疑与澄清：投标人如认为招标文件表述不清晰、存在歧视性、排他性或者其他违法内容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tc>
      </w:tr>
      <w:tr w14:paraId="6C978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72D7BC7C">
            <w:pPr>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4</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056F4B8A">
            <w:pPr>
              <w:widowControl/>
              <w:snapToGrid w:val="0"/>
              <w:spacing w:line="460" w:lineRule="exact"/>
              <w:rPr>
                <w:rFonts w:hint="eastAsia" w:hAnsi="宋体" w:cs="宋体"/>
                <w:b/>
                <w:bCs/>
                <w:color w:val="auto"/>
                <w:sz w:val="21"/>
                <w:szCs w:val="21"/>
                <w:highlight w:val="none"/>
              </w:rPr>
            </w:pPr>
            <w:r>
              <w:rPr>
                <w:rFonts w:hint="eastAsia" w:hAnsi="宋体" w:cs="宋体"/>
                <w:b/>
                <w:bCs/>
                <w:color w:val="auto"/>
                <w:sz w:val="21"/>
                <w:szCs w:val="21"/>
                <w:highlight w:val="none"/>
              </w:rPr>
              <w:t>政策落实：</w:t>
            </w:r>
          </w:p>
          <w:p w14:paraId="257E790D">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1.扶持中小企业（监狱企业、残疾人福利性单位）：</w:t>
            </w:r>
          </w:p>
          <w:p w14:paraId="321D5F16">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27257FE0">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（1）项目预算：</w:t>
            </w:r>
            <w:r>
              <w:rPr>
                <w:rFonts w:hint="eastAsia" w:hAnsi="宋体" w:cs="宋体"/>
                <w:color w:val="auto"/>
                <w:sz w:val="21"/>
                <w:szCs w:val="21"/>
                <w:highlight w:val="none"/>
                <w:u w:val="single"/>
                <w:lang w:eastAsia="zh-CN"/>
              </w:rPr>
              <w:t>1519100元</w:t>
            </w:r>
            <w:r>
              <w:rPr>
                <w:rFonts w:hint="eastAsia" w:hAnsi="宋体" w:cs="宋体"/>
                <w:color w:val="auto"/>
                <w:sz w:val="21"/>
                <w:szCs w:val="21"/>
                <w:highlight w:val="none"/>
                <w:u w:val="none"/>
              </w:rPr>
              <w:t>；</w:t>
            </w:r>
            <w:r>
              <w:rPr>
                <w:rFonts w:hint="eastAsia" w:hAnsi="宋体" w:cs="宋体"/>
                <w:color w:val="auto"/>
                <w:sz w:val="21"/>
                <w:szCs w:val="21"/>
                <w:highlight w:val="none"/>
              </w:rPr>
              <w:t>最高限价：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1519100</w:t>
            </w:r>
            <w:r>
              <w:rPr>
                <w:rFonts w:hint="eastAsia" w:ascii="宋体" w:hAnsi="宋体" w:eastAsia="宋体" w:cs="宋体"/>
                <w:color w:val="auto"/>
                <w:sz w:val="21"/>
                <w:szCs w:val="21"/>
                <w:highlight w:val="none"/>
                <w:u w:val="single"/>
                <w:lang w:val="en-US" w:eastAsia="zh-CN"/>
              </w:rPr>
              <w:t xml:space="preserve"> 元</w:t>
            </w:r>
            <w:r>
              <w:rPr>
                <w:rFonts w:hint="eastAsia" w:hAnsi="宋体" w:cs="宋体"/>
                <w:color w:val="auto"/>
                <w:sz w:val="21"/>
                <w:szCs w:val="21"/>
                <w:highlight w:val="none"/>
              </w:rPr>
              <w:t>。</w:t>
            </w:r>
          </w:p>
          <w:p w14:paraId="2A484C33">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（2）项目属性：</w:t>
            </w:r>
            <w:r>
              <w:rPr>
                <w:rFonts w:hint="eastAsia" w:hAnsi="宋体" w:cs="宋体"/>
                <w:color w:val="auto"/>
                <w:sz w:val="21"/>
                <w:szCs w:val="21"/>
                <w:highlight w:val="none"/>
                <w:u w:val="single"/>
              </w:rPr>
              <w:t>②</w:t>
            </w:r>
            <w:r>
              <w:rPr>
                <w:rFonts w:hint="eastAsia" w:hAnsi="宋体" w:cs="宋体"/>
                <w:color w:val="auto"/>
                <w:sz w:val="21"/>
                <w:szCs w:val="21"/>
                <w:highlight w:val="none"/>
              </w:rPr>
              <w:t>（①货物类/②服务类/③工程类）</w:t>
            </w:r>
          </w:p>
          <w:p w14:paraId="2B6D94D0">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（3）项目对应的中小企业划分标准所属行业：</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其他未列明行业</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（具体根据《中小企业划型标准规定》执行）</w:t>
            </w:r>
          </w:p>
          <w:p w14:paraId="1DB4A050">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（4）本项目</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是  </w:t>
            </w:r>
            <w:r>
              <w:rPr>
                <w:rFonts w:hint="eastAsia" w:hAnsi="宋体" w:cs="宋体"/>
                <w:color w:val="auto"/>
                <w:sz w:val="21"/>
                <w:szCs w:val="21"/>
                <w:highlight w:val="none"/>
              </w:rPr>
              <w:t>（是/否）属于预留份额专门面向中小企业采购的项目。</w:t>
            </w:r>
          </w:p>
          <w:p w14:paraId="0E477FF4">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（5）上述第4项中确定为“是”的采购项目，预留份额通过</w:t>
            </w:r>
            <w:r>
              <w:rPr>
                <w:rFonts w:hint="eastAsia" w:hAnsi="宋体" w:cs="宋体"/>
                <w:color w:val="auto"/>
                <w:sz w:val="21"/>
                <w:szCs w:val="21"/>
                <w:highlight w:val="none"/>
                <w:u w:val="single"/>
              </w:rPr>
              <w:t xml:space="preserve">  （①）  </w:t>
            </w:r>
            <w:r>
              <w:rPr>
                <w:rFonts w:hint="eastAsia" w:hAnsi="宋体" w:cs="宋体"/>
                <w:color w:val="auto"/>
                <w:sz w:val="21"/>
                <w:szCs w:val="21"/>
                <w:highlight w:val="none"/>
              </w:rPr>
              <w:t>措施进行：</w:t>
            </w:r>
          </w:p>
          <w:p w14:paraId="3F03DCB7">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①将采购项目整体或者设置采购包专门面向中小企业采购； </w:t>
            </w:r>
          </w:p>
          <w:p w14:paraId="648B3923">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②要求供应商以联合体形式参加采购活动，且联合体中中小企业承担的部分达到</w:t>
            </w:r>
            <w:r>
              <w:rPr>
                <w:rFonts w:hint="eastAsia" w:hAnsi="宋体" w:cs="宋体"/>
                <w:color w:val="auto"/>
                <w:sz w:val="21"/>
                <w:szCs w:val="21"/>
                <w:highlight w:val="none"/>
                <w:u w:val="single"/>
              </w:rPr>
              <w:t>/（</w:t>
            </w:r>
            <w:r>
              <w:rPr>
                <w:rFonts w:hint="eastAsia" w:hAnsi="宋体" w:cs="宋体"/>
                <w:color w:val="auto"/>
                <w:sz w:val="21"/>
                <w:szCs w:val="21"/>
                <w:highlight w:val="none"/>
              </w:rPr>
              <w:t xml:space="preserve">比例）； </w:t>
            </w:r>
          </w:p>
          <w:p w14:paraId="65757E7B">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③要求获得采购合同的供应商将采购项目中的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比例）分包给一家或者多家中小企业。</w:t>
            </w:r>
          </w:p>
          <w:p w14:paraId="22CABE77">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专门面向中小企业采购的项目或者标项，不再执行价格评审优惠的扶持政策。</w:t>
            </w:r>
          </w:p>
          <w:p w14:paraId="72397BA9">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2.节能产品、环境标志产品的强制采购政策</w:t>
            </w:r>
          </w:p>
          <w:p w14:paraId="3DFDC0BB">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不适用。）</w:t>
            </w:r>
          </w:p>
          <w:p w14:paraId="31DA9F2F">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3.节能产品、环境标志产品的优先采购政策</w:t>
            </w:r>
          </w:p>
          <w:p w14:paraId="621C61A1">
            <w:pPr>
              <w:widowControl/>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不适用。）</w:t>
            </w:r>
          </w:p>
        </w:tc>
      </w:tr>
      <w:tr w14:paraId="4D570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63F51CFB">
            <w:pPr>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5</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75838DD5">
            <w:pPr>
              <w:snapToGrid w:val="0"/>
              <w:spacing w:line="460" w:lineRule="exact"/>
              <w:rPr>
                <w:rFonts w:hint="eastAsia" w:hAnsi="宋体" w:cs="宋体"/>
                <w:color w:val="auto"/>
                <w:sz w:val="21"/>
                <w:szCs w:val="21"/>
                <w:highlight w:val="none"/>
              </w:rPr>
            </w:pPr>
            <w:r>
              <w:rPr>
                <w:rFonts w:hint="eastAsia" w:hAnsi="宋体" w:cs="宋体"/>
                <w:b/>
                <w:bCs/>
                <w:color w:val="auto"/>
                <w:sz w:val="21"/>
                <w:szCs w:val="21"/>
                <w:highlight w:val="none"/>
                <w:lang w:bidi="ar"/>
              </w:rPr>
              <w:t>信用查询：</w:t>
            </w:r>
          </w:p>
          <w:p w14:paraId="7EDBE24B">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根据《关于在政府采购活动中查询及使用信用记录有关问题的通知》财库[2016]125号的规定：</w:t>
            </w:r>
          </w:p>
          <w:p w14:paraId="29EA061F">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（1）招标人或采购代理机构将对本项目供应商的信用记录进行查询。查询渠道为信用中国网站（www.creditchina.gov.cn）、中国政府采购网（www.ccgp.gov.cn）；</w:t>
            </w:r>
          </w:p>
          <w:p w14:paraId="167F6F6F">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（2）截止时点：提交投标文件（响应文件）截止时间前3年内；</w:t>
            </w:r>
          </w:p>
          <w:p w14:paraId="76F2AA75">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（3）查询记录和证据的留存：信用信息查询记录和证据以网页截图等方式留存。</w:t>
            </w:r>
          </w:p>
          <w:p w14:paraId="366CB8F5">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（4）使用规则：被列入失信被执行人、重大税收违法案件当事人名单、政府采购严重违法失信行为记录名单及其他不符合《中华人民共和国政府采购法》第二十二条规定条件的，其投标将被拒绝。</w:t>
            </w:r>
          </w:p>
          <w:p w14:paraId="348E63FA">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（5）联合体成员任意一方存在不良信用记录的，视同联合体存在不良信用记录。（</w:t>
            </w:r>
            <w:r>
              <w:rPr>
                <w:rFonts w:hint="eastAsia" w:hAnsi="宋体" w:cs="宋体"/>
                <w:color w:val="auto"/>
                <w:sz w:val="21"/>
                <w:szCs w:val="21"/>
                <w:highlight w:val="none"/>
                <w:shd w:val="clear" w:color="auto" w:fill="FFFFFF"/>
              </w:rPr>
              <w:t>注：本项目接受联合体投标</w:t>
            </w:r>
            <w:r>
              <w:rPr>
                <w:rFonts w:hint="eastAsia" w:hAnsi="宋体" w:cs="宋体"/>
                <w:color w:val="auto"/>
                <w:sz w:val="21"/>
                <w:szCs w:val="21"/>
                <w:highlight w:val="none"/>
              </w:rPr>
              <w:t>）</w:t>
            </w:r>
          </w:p>
        </w:tc>
      </w:tr>
      <w:tr w14:paraId="0C2DB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157B4633">
            <w:pPr>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6</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0BB772CA">
            <w:pPr>
              <w:snapToGrid w:val="0"/>
              <w:spacing w:line="500" w:lineRule="exact"/>
              <w:rPr>
                <w:rFonts w:hint="eastAsia" w:hAnsi="宋体" w:cs="宋体"/>
                <w:color w:val="auto"/>
                <w:sz w:val="21"/>
                <w:szCs w:val="21"/>
                <w:highlight w:val="none"/>
              </w:rPr>
            </w:pPr>
            <w:r>
              <w:rPr>
                <w:rFonts w:hint="eastAsia" w:hAnsi="宋体" w:cs="宋体"/>
                <w:snapToGrid w:val="0"/>
                <w:color w:val="auto"/>
                <w:sz w:val="21"/>
                <w:szCs w:val="21"/>
                <w:highlight w:val="none"/>
              </w:rPr>
              <w:t>本项目对应的中小企业划分标准所属行业</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2FDDF293">
            <w:pPr>
              <w:snapToGrid w:val="0"/>
              <w:spacing w:line="500" w:lineRule="exact"/>
              <w:rPr>
                <w:rFonts w:hint="eastAsia" w:hAnsi="宋体" w:cs="宋体"/>
                <w:color w:val="auto"/>
                <w:highlight w:val="none"/>
              </w:rPr>
            </w:pPr>
            <w:r>
              <w:rPr>
                <w:rFonts w:hint="eastAsia" w:hAnsi="宋体" w:cs="宋体"/>
                <w:color w:val="auto"/>
                <w:sz w:val="21"/>
                <w:szCs w:val="21"/>
                <w:highlight w:val="none"/>
              </w:rPr>
              <w:t>根据《关于印发中小企业划型标准规定的通知》（工信部联企业〔2011〕300号），本项目</w:t>
            </w:r>
            <w:r>
              <w:rPr>
                <w:rFonts w:hint="eastAsia" w:hAnsi="宋体" w:cs="宋体"/>
                <w:snapToGrid w:val="0"/>
                <w:color w:val="auto"/>
                <w:sz w:val="21"/>
                <w:szCs w:val="21"/>
                <w:highlight w:val="none"/>
              </w:rPr>
              <w:t>对应的中小企业</w:t>
            </w:r>
            <w:r>
              <w:rPr>
                <w:rFonts w:hint="eastAsia" w:hAnsi="宋体" w:cs="宋体"/>
                <w:color w:val="auto"/>
                <w:sz w:val="21"/>
                <w:szCs w:val="21"/>
                <w:highlight w:val="none"/>
              </w:rPr>
              <w:t>按所属行业为</w:t>
            </w:r>
            <w:r>
              <w:rPr>
                <w:rFonts w:hint="eastAsia" w:hAnsi="宋体" w:cs="宋体"/>
                <w:color w:val="auto"/>
                <w:sz w:val="21"/>
                <w:szCs w:val="21"/>
                <w:highlight w:val="none"/>
                <w:u w:val="single"/>
                <w:lang w:eastAsia="zh-CN"/>
              </w:rPr>
              <w:t>其他未列明行业</w:t>
            </w:r>
            <w:r>
              <w:rPr>
                <w:rFonts w:hint="eastAsia" w:hAnsi="宋体" w:cs="宋体"/>
                <w:color w:val="auto"/>
                <w:sz w:val="21"/>
                <w:szCs w:val="21"/>
                <w:highlight w:val="none"/>
              </w:rPr>
              <w:t>。</w:t>
            </w:r>
          </w:p>
        </w:tc>
      </w:tr>
      <w:tr w14:paraId="54660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455B24E6">
            <w:pPr>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7</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4DA3E3EF">
            <w:pPr>
              <w:snapToGrid w:val="0"/>
              <w:spacing w:line="460" w:lineRule="exact"/>
              <w:rPr>
                <w:rFonts w:hint="eastAsia" w:hAnsi="宋体" w:cs="宋体"/>
                <w:color w:val="auto"/>
                <w:sz w:val="21"/>
                <w:szCs w:val="21"/>
                <w:highlight w:val="none"/>
              </w:rPr>
            </w:pPr>
            <w:r>
              <w:rPr>
                <w:rFonts w:hint="eastAsia" w:hAnsi="宋体" w:cs="宋体"/>
                <w:snapToGrid w:val="0"/>
                <w:color w:val="auto"/>
                <w:sz w:val="21"/>
                <w:szCs w:val="21"/>
                <w:highlight w:val="none"/>
              </w:rPr>
              <w:t>节能产品</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437CA798">
            <w:pPr>
              <w:snapToGrid w:val="0"/>
              <w:spacing w:line="460" w:lineRule="exact"/>
              <w:rPr>
                <w:rFonts w:hint="eastAsia" w:hAnsi="宋体" w:cs="宋体"/>
                <w:color w:val="auto"/>
                <w:sz w:val="21"/>
                <w:szCs w:val="21"/>
                <w:highlight w:val="none"/>
              </w:rPr>
            </w:pPr>
            <w:r>
              <w:rPr>
                <w:rFonts w:hint="eastAsia" w:hAnsi="宋体" w:cs="宋体"/>
                <w:color w:val="auto"/>
                <w:kern w:val="2"/>
                <w:sz w:val="21"/>
                <w:highlight w:val="none"/>
              </w:rPr>
              <w:t>□</w:t>
            </w:r>
            <w:r>
              <w:rPr>
                <w:rFonts w:hint="eastAsia" w:hAnsi="宋体" w:cs="宋体"/>
                <w:color w:val="auto"/>
                <w:sz w:val="21"/>
                <w:szCs w:val="21"/>
                <w:highlight w:val="none"/>
              </w:rPr>
              <w:t xml:space="preserve"> 强制采购节能产品</w:t>
            </w:r>
          </w:p>
          <w:p w14:paraId="0A305D13">
            <w:pPr>
              <w:pStyle w:val="28"/>
              <w:snapToGrid w:val="0"/>
              <w:spacing w:before="0" w:line="460" w:lineRule="exact"/>
              <w:ind w:firstLine="0" w:firstLineChars="0"/>
              <w:rPr>
                <w:rFonts w:hint="eastAsia" w:hAnsi="宋体" w:eastAsia="宋体" w:cs="宋体"/>
                <w:color w:val="auto"/>
                <w:sz w:val="21"/>
                <w:highlight w:val="none"/>
              </w:rPr>
            </w:pPr>
            <w:r>
              <w:rPr>
                <w:rFonts w:hint="eastAsia" w:hAnsi="宋体" w:eastAsia="宋体" w:cs="宋体"/>
                <w:color w:val="auto"/>
                <w:sz w:val="21"/>
                <w:highlight w:val="none"/>
              </w:rPr>
              <w:t>□ 优先采购节能产品</w:t>
            </w:r>
          </w:p>
          <w:p w14:paraId="481161CF">
            <w:pPr>
              <w:snapToGrid w:val="0"/>
              <w:spacing w:line="460" w:lineRule="exact"/>
              <w:rPr>
                <w:rFonts w:hint="eastAsia" w:hAnsi="宋体" w:cs="宋体"/>
                <w:color w:val="auto"/>
                <w:highlight w:val="none"/>
              </w:rPr>
            </w:pPr>
            <w:r>
              <w:rPr>
                <w:rFonts w:hint="eastAsia" w:hAnsi="宋体" w:cs="宋体"/>
                <w:color w:val="auto"/>
                <w:kern w:val="2"/>
                <w:sz w:val="21"/>
                <w:szCs w:val="21"/>
                <w:highlight w:val="none"/>
              </w:rPr>
              <w:sym w:font="Wingdings" w:char="00FE"/>
            </w:r>
            <w:r>
              <w:rPr>
                <w:rFonts w:hint="eastAsia" w:hAnsi="宋体" w:cs="宋体"/>
                <w:color w:val="auto"/>
                <w:kern w:val="2"/>
                <w:sz w:val="21"/>
                <w:szCs w:val="21"/>
                <w:highlight w:val="none"/>
              </w:rPr>
              <w:t xml:space="preserve"> 不适用</w:t>
            </w:r>
          </w:p>
        </w:tc>
      </w:tr>
      <w:tr w14:paraId="250C8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701078B2">
            <w:pPr>
              <w:snapToGrid w:val="0"/>
              <w:spacing w:line="500" w:lineRule="exact"/>
              <w:jc w:val="center"/>
              <w:rPr>
                <w:rFonts w:hint="eastAsia" w:hAnsi="宋体" w:cs="宋体"/>
                <w:color w:val="auto"/>
                <w:sz w:val="21"/>
                <w:szCs w:val="21"/>
                <w:highlight w:val="none"/>
              </w:rPr>
            </w:pPr>
            <w:r>
              <w:rPr>
                <w:rFonts w:hint="eastAsia" w:hAnsi="宋体" w:cs="宋体"/>
                <w:color w:val="auto"/>
                <w:sz w:val="21"/>
                <w:szCs w:val="21"/>
                <w:highlight w:val="none"/>
              </w:rPr>
              <w:t>8</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5D941E4C">
            <w:pPr>
              <w:snapToGrid w:val="0"/>
              <w:spacing w:line="460" w:lineRule="exact"/>
              <w:rPr>
                <w:rFonts w:hint="eastAsia" w:hAnsi="宋体" w:cs="宋体"/>
                <w:color w:val="auto"/>
                <w:sz w:val="21"/>
                <w:szCs w:val="21"/>
                <w:highlight w:val="none"/>
              </w:rPr>
            </w:pPr>
            <w:r>
              <w:rPr>
                <w:rFonts w:hint="eastAsia" w:hAnsi="宋体" w:cs="宋体"/>
                <w:snapToGrid w:val="0"/>
                <w:color w:val="auto"/>
                <w:sz w:val="21"/>
                <w:szCs w:val="21"/>
                <w:highlight w:val="none"/>
              </w:rPr>
              <w:t>环境标志产品</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6A8009BA">
            <w:pPr>
              <w:pStyle w:val="28"/>
              <w:snapToGrid w:val="0"/>
              <w:spacing w:before="0" w:line="460" w:lineRule="exact"/>
              <w:ind w:firstLine="0" w:firstLineChars="0"/>
              <w:rPr>
                <w:rFonts w:hint="eastAsia" w:hAnsi="宋体" w:eastAsia="宋体" w:cs="宋体"/>
                <w:color w:val="auto"/>
                <w:sz w:val="21"/>
                <w:highlight w:val="none"/>
              </w:rPr>
            </w:pPr>
            <w:r>
              <w:rPr>
                <w:rFonts w:hint="eastAsia" w:hAnsi="宋体" w:eastAsia="宋体" w:cs="宋体"/>
                <w:color w:val="auto"/>
                <w:sz w:val="21"/>
                <w:highlight w:val="none"/>
              </w:rPr>
              <w:t>□ 优先采购环境标志产品</w:t>
            </w:r>
          </w:p>
          <w:p w14:paraId="1A797DC2">
            <w:pPr>
              <w:snapToGrid w:val="0"/>
              <w:spacing w:line="460" w:lineRule="exact"/>
              <w:rPr>
                <w:rFonts w:hint="eastAsia" w:hAnsi="宋体" w:cs="宋体"/>
                <w:color w:val="auto"/>
                <w:highlight w:val="none"/>
              </w:rPr>
            </w:pPr>
            <w:r>
              <w:rPr>
                <w:rFonts w:hint="eastAsia" w:hAnsi="宋体" w:cs="宋体"/>
                <w:color w:val="auto"/>
                <w:sz w:val="21"/>
                <w:szCs w:val="21"/>
                <w:highlight w:val="none"/>
              </w:rPr>
              <w:sym w:font="Wingdings" w:char="00FE"/>
            </w:r>
            <w:r>
              <w:rPr>
                <w:rFonts w:hint="eastAsia" w:hAnsi="宋体" w:cs="宋体"/>
                <w:color w:val="auto"/>
                <w:sz w:val="21"/>
                <w:szCs w:val="21"/>
                <w:highlight w:val="none"/>
              </w:rPr>
              <w:t xml:space="preserve"> 不适用</w:t>
            </w:r>
          </w:p>
        </w:tc>
      </w:tr>
      <w:tr w14:paraId="7D26F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2A5DE626">
            <w:pPr>
              <w:snapToGrid w:val="0"/>
              <w:spacing w:line="460" w:lineRule="exact"/>
              <w:jc w:val="center"/>
              <w:rPr>
                <w:rFonts w:hint="eastAsia" w:hAnsi="宋体" w:cs="宋体"/>
                <w:color w:val="auto"/>
                <w:sz w:val="21"/>
                <w:szCs w:val="21"/>
                <w:highlight w:val="none"/>
              </w:rPr>
            </w:pPr>
            <w:r>
              <w:rPr>
                <w:rFonts w:hint="eastAsia" w:hAnsi="宋体" w:cs="宋体"/>
                <w:color w:val="auto"/>
                <w:sz w:val="21"/>
                <w:szCs w:val="21"/>
                <w:highlight w:val="none"/>
              </w:rPr>
              <w:t>9</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78E8D1EF">
            <w:pPr>
              <w:snapToGrid w:val="0"/>
              <w:spacing w:line="460" w:lineRule="exact"/>
              <w:jc w:val="both"/>
              <w:textAlignment w:val="bottom"/>
              <w:rPr>
                <w:rFonts w:hint="eastAsia" w:hAnsi="宋体" w:cs="宋体"/>
                <w:bCs/>
                <w:color w:val="auto"/>
                <w:sz w:val="21"/>
                <w:szCs w:val="21"/>
                <w:highlight w:val="none"/>
              </w:rPr>
            </w:pPr>
            <w:r>
              <w:rPr>
                <w:rFonts w:hint="eastAsia" w:hAnsi="宋体" w:cs="宋体"/>
                <w:b/>
                <w:color w:val="auto"/>
                <w:sz w:val="21"/>
                <w:szCs w:val="21"/>
                <w:highlight w:val="none"/>
              </w:rPr>
              <w:t>投标文件的递交：</w:t>
            </w:r>
          </w:p>
          <w:p w14:paraId="34E1D3D7">
            <w:pPr>
              <w:snapToGrid w:val="0"/>
              <w:spacing w:line="460" w:lineRule="exact"/>
              <w:jc w:val="both"/>
              <w:textAlignment w:val="bottom"/>
              <w:rPr>
                <w:rFonts w:hint="eastAsia" w:hAnsi="宋体" w:cs="宋体"/>
                <w:bCs/>
                <w:color w:val="auto"/>
                <w:sz w:val="21"/>
                <w:szCs w:val="21"/>
                <w:highlight w:val="none"/>
              </w:rPr>
            </w:pPr>
            <w:r>
              <w:rPr>
                <w:rFonts w:hint="eastAsia" w:hAnsi="宋体" w:cs="宋体"/>
                <w:bCs/>
                <w:color w:val="auto"/>
                <w:sz w:val="21"/>
                <w:szCs w:val="21"/>
                <w:highlight w:val="none"/>
              </w:rPr>
              <w:t>本项目投标文件分</w:t>
            </w:r>
            <w:r>
              <w:rPr>
                <w:rFonts w:hint="eastAsia" w:hAnsi="宋体" w:cs="宋体"/>
                <w:b/>
                <w:color w:val="auto"/>
                <w:sz w:val="21"/>
                <w:szCs w:val="21"/>
                <w:highlight w:val="none"/>
              </w:rPr>
              <w:t>资格文件、商务技术文件</w:t>
            </w:r>
            <w:r>
              <w:rPr>
                <w:rFonts w:hint="eastAsia" w:hAnsi="宋体" w:cs="宋体"/>
                <w:b/>
                <w:bCs/>
                <w:color w:val="auto"/>
                <w:sz w:val="21"/>
                <w:szCs w:val="21"/>
                <w:highlight w:val="none"/>
              </w:rPr>
              <w:t>、</w:t>
            </w:r>
            <w:r>
              <w:rPr>
                <w:rFonts w:hint="eastAsia" w:hAnsi="宋体" w:cs="宋体"/>
                <w:b/>
                <w:color w:val="auto"/>
                <w:sz w:val="21"/>
                <w:szCs w:val="21"/>
                <w:highlight w:val="none"/>
              </w:rPr>
              <w:t>报价文件</w:t>
            </w:r>
            <w:r>
              <w:rPr>
                <w:rFonts w:hint="eastAsia" w:hAnsi="宋体" w:cs="宋体"/>
                <w:color w:val="auto"/>
                <w:sz w:val="21"/>
                <w:szCs w:val="21"/>
                <w:highlight w:val="none"/>
              </w:rPr>
              <w:t>三部分。</w:t>
            </w:r>
            <w:r>
              <w:rPr>
                <w:rFonts w:hint="eastAsia" w:hAnsi="宋体" w:cs="宋体"/>
                <w:bCs/>
                <w:color w:val="auto"/>
                <w:sz w:val="21"/>
                <w:szCs w:val="21"/>
                <w:highlight w:val="none"/>
              </w:rPr>
              <w:t>投标人应以以下方式递交投标文件：</w:t>
            </w:r>
          </w:p>
          <w:p w14:paraId="42F79C85">
            <w:pPr>
              <w:pStyle w:val="2"/>
              <w:snapToGrid w:val="0"/>
              <w:spacing w:after="0" w:line="460" w:lineRule="exact"/>
              <w:ind w:left="0" w:leftChars="0" w:firstLine="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★1.本项目实行“网上</w:t>
            </w:r>
            <w:r>
              <w:rPr>
                <w:rFonts w:hint="eastAsia" w:ascii="宋体" w:hAnsi="宋体" w:cs="宋体"/>
                <w:snapToGrid w:val="0"/>
                <w:color w:val="auto"/>
                <w:sz w:val="21"/>
                <w:szCs w:val="21"/>
                <w:highlight w:val="none"/>
              </w:rPr>
              <w:t>电子</w:t>
            </w:r>
            <w:r>
              <w:rPr>
                <w:rFonts w:hint="eastAsia" w:ascii="宋体" w:hAnsi="宋体" w:cs="宋体"/>
                <w:bCs/>
                <w:color w:val="auto"/>
                <w:sz w:val="21"/>
                <w:szCs w:val="21"/>
                <w:highlight w:val="none"/>
              </w:rPr>
              <w:t>投标、电子评标”，投标人应于投标截止时间前在“政采云”（</w:t>
            </w:r>
            <w:r>
              <w:rPr>
                <w:rFonts w:hint="eastAsia" w:ascii="宋体" w:hAnsi="宋体" w:cs="宋体"/>
                <w:color w:val="auto"/>
                <w:sz w:val="21"/>
                <w:szCs w:val="21"/>
                <w:highlight w:val="none"/>
                <w:shd w:val="clear" w:color="auto" w:fill="FFFFFF"/>
              </w:rPr>
              <w:t>电子交易客户端</w:t>
            </w:r>
            <w:r>
              <w:rPr>
                <w:rFonts w:hint="eastAsia" w:ascii="宋体" w:hAnsi="宋体" w:cs="宋体"/>
                <w:bCs/>
                <w:color w:val="auto"/>
                <w:sz w:val="21"/>
                <w:szCs w:val="21"/>
                <w:highlight w:val="none"/>
              </w:rPr>
              <w:t>）上传输、递交电子版投标文件（包括资格文件、商务技术文件和报价文件）。</w:t>
            </w:r>
          </w:p>
          <w:p w14:paraId="5BAD7D6F">
            <w:pPr>
              <w:snapToGrid w:val="0"/>
              <w:spacing w:line="460" w:lineRule="exact"/>
              <w:jc w:val="both"/>
              <w:textAlignment w:val="bottom"/>
              <w:rPr>
                <w:rFonts w:hint="eastAsia" w:hAnsi="宋体" w:cs="宋体"/>
                <w:bCs/>
                <w:color w:val="auto"/>
                <w:sz w:val="21"/>
                <w:szCs w:val="21"/>
                <w:highlight w:val="none"/>
              </w:rPr>
            </w:pPr>
            <w:r>
              <w:rPr>
                <w:rFonts w:hint="eastAsia" w:hAnsi="宋体" w:cs="宋体"/>
                <w:bCs/>
                <w:color w:val="auto"/>
                <w:sz w:val="21"/>
                <w:szCs w:val="21"/>
                <w:highlight w:val="none"/>
              </w:rPr>
              <w:t xml:space="preserve">2.本招标文件所涉及的法定代表人或其授权代表签字或盖章的内容，如果投标人没有法定代表人电子签章，涉及法定代表人或其授权代表签字或盖章的内容，投标人可以线下签字或盖章后扫描上传。  </w:t>
            </w:r>
          </w:p>
          <w:p w14:paraId="04A0B96F">
            <w:pPr>
              <w:snapToGrid w:val="0"/>
              <w:spacing w:line="460" w:lineRule="exact"/>
              <w:jc w:val="both"/>
              <w:textAlignment w:val="bottom"/>
              <w:rPr>
                <w:rFonts w:hint="eastAsia" w:hAnsi="宋体" w:cs="宋体"/>
                <w:b/>
                <w:color w:val="auto"/>
                <w:sz w:val="21"/>
                <w:szCs w:val="21"/>
                <w:highlight w:val="none"/>
              </w:rPr>
            </w:pPr>
            <w:r>
              <w:rPr>
                <w:rFonts w:hint="eastAsia" w:hAnsi="宋体" w:cs="宋体"/>
                <w:color w:val="auto"/>
                <w:sz w:val="21"/>
                <w:szCs w:val="21"/>
                <w:highlight w:val="none"/>
                <w:shd w:val="clear" w:color="auto" w:fill="FFFFFF"/>
              </w:rPr>
              <w:t>★3.联合体投标的，须以联合体投标人的牵头单位的CA进行投标文件制作。</w:t>
            </w:r>
          </w:p>
        </w:tc>
      </w:tr>
      <w:tr w14:paraId="7F219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7299CF89">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10</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40027266">
            <w:pPr>
              <w:snapToGrid w:val="0"/>
              <w:spacing w:line="460" w:lineRule="exact"/>
              <w:rPr>
                <w:rFonts w:hint="eastAsia" w:hAnsi="宋体" w:cs="宋体"/>
                <w:bCs/>
                <w:color w:val="auto"/>
                <w:sz w:val="21"/>
                <w:szCs w:val="21"/>
                <w:highlight w:val="none"/>
              </w:rPr>
            </w:pPr>
            <w:r>
              <w:rPr>
                <w:rFonts w:hint="eastAsia" w:hAnsi="宋体" w:cs="宋体"/>
                <w:color w:val="auto"/>
                <w:sz w:val="21"/>
                <w:szCs w:val="21"/>
                <w:highlight w:val="none"/>
              </w:rPr>
              <w:t>投标人应当在投标截止时间前在“政采云”（电子交易平台）上自行上传加密的电子投标（响应）文件。投标截止时间后递交的电子投标（响应）文件，将被政采云平台拒收。</w:t>
            </w:r>
          </w:p>
        </w:tc>
      </w:tr>
      <w:tr w14:paraId="13483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183AD6D7">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11</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1E17166E">
            <w:pPr>
              <w:snapToGrid w:val="0"/>
              <w:spacing w:line="460" w:lineRule="exact"/>
              <w:jc w:val="both"/>
              <w:textAlignment w:val="bottom"/>
              <w:rPr>
                <w:rFonts w:hint="eastAsia" w:hAnsi="宋体" w:cs="宋体"/>
                <w:bCs/>
                <w:color w:val="auto"/>
                <w:sz w:val="21"/>
                <w:szCs w:val="21"/>
                <w:highlight w:val="none"/>
              </w:rPr>
            </w:pPr>
            <w:r>
              <w:rPr>
                <w:rFonts w:hint="eastAsia" w:hAnsi="宋体" w:cs="宋体"/>
                <w:color w:val="auto"/>
                <w:sz w:val="21"/>
                <w:szCs w:val="21"/>
                <w:highlight w:val="none"/>
              </w:rPr>
              <w:t>截止开标时间，政采云（电子交易平台）自动提取所有投标文件，投标人须在解密时限内完成解密，解密时限为30分钟，投标人在规定的时间内都已解密完成，则系统自动结束解密，采购代理机构开启投标文件；除另有规定外，投标人未能在约定的解密时限内完成解密的，系统将默认其自动放弃投标。</w:t>
            </w:r>
          </w:p>
        </w:tc>
      </w:tr>
      <w:tr w14:paraId="6F053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6AFB8F45">
            <w:pPr>
              <w:snapToGrid w:val="0"/>
              <w:spacing w:line="460" w:lineRule="exact"/>
              <w:jc w:val="center"/>
              <w:rPr>
                <w:rFonts w:hAnsi="宋体" w:cs="宋体"/>
                <w:color w:val="auto"/>
                <w:sz w:val="18"/>
                <w:szCs w:val="18"/>
                <w:highlight w:val="none"/>
              </w:rPr>
            </w:pPr>
            <w:r>
              <w:rPr>
                <w:rFonts w:hint="eastAsia" w:hAnsi="宋体" w:cs="宋体"/>
                <w:color w:val="auto"/>
                <w:sz w:val="21"/>
                <w:szCs w:val="21"/>
                <w:highlight w:val="none"/>
              </w:rPr>
              <w:t>12</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62F0AD49">
            <w:pPr>
              <w:snapToGrid w:val="0"/>
              <w:spacing w:line="460" w:lineRule="exact"/>
              <w:textAlignment w:val="bottom"/>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履约保证金的收取及退还: </w:t>
            </w:r>
          </w:p>
          <w:p w14:paraId="69DB6E9F">
            <w:pPr>
              <w:widowControl/>
              <w:snapToGrid w:val="0"/>
              <w:spacing w:line="50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中标人在签订合同后，需向采购人提供合同总价1%的履约保证金，投标人需以支票、汇票、本票或者金融机构、保险公司、担保机构出具的保函/保险（可在政采云平台购买，咨询热线</w:t>
            </w:r>
            <w:r>
              <w:rPr>
                <w:rFonts w:hint="eastAsia" w:ascii="宋体" w:hAnsi="宋体" w:eastAsia="宋体" w:cs="宋体"/>
                <w:b w:val="0"/>
                <w:bCs/>
                <w:color w:val="auto"/>
                <w:sz w:val="21"/>
                <w:szCs w:val="21"/>
                <w:highlight w:val="none"/>
                <w:shd w:val="clear" w:color="auto" w:fill="FFFFFF"/>
              </w:rPr>
              <w:t>95763</w:t>
            </w:r>
            <w:r>
              <w:rPr>
                <w:rFonts w:hint="eastAsia" w:ascii="宋体" w:hAnsi="宋体" w:eastAsia="宋体" w:cs="宋体"/>
                <w:b w:val="0"/>
                <w:bCs/>
                <w:color w:val="auto"/>
                <w:sz w:val="21"/>
                <w:szCs w:val="21"/>
                <w:highlight w:val="none"/>
              </w:rPr>
              <w:t>）等非现金形式提交。履约保证金（或履约保函）在服务完成且验收合格后无息退还</w:t>
            </w:r>
            <w:r>
              <w:rPr>
                <w:rFonts w:hint="eastAsia" w:ascii="宋体" w:hAnsi="宋体" w:eastAsia="宋体" w:cs="宋体"/>
                <w:b w:val="0"/>
                <w:bCs/>
                <w:color w:val="auto"/>
                <w:sz w:val="21"/>
                <w:highlight w:val="none"/>
              </w:rPr>
              <w:t>（或撤销履约保函）</w:t>
            </w:r>
            <w:r>
              <w:rPr>
                <w:rFonts w:hint="eastAsia" w:hAnsi="宋体" w:eastAsia="宋体" w:cs="宋体"/>
                <w:b w:val="0"/>
                <w:bCs/>
                <w:color w:val="auto"/>
                <w:sz w:val="21"/>
                <w:highlight w:val="none"/>
                <w:lang w:eastAsia="zh-CN"/>
              </w:rPr>
              <w:t>，</w:t>
            </w:r>
            <w:r>
              <w:rPr>
                <w:rFonts w:hint="eastAsia" w:ascii="宋体" w:hAnsi="宋体" w:eastAsia="宋体" w:cs="宋体"/>
                <w:b w:val="0"/>
                <w:bCs/>
                <w:color w:val="auto"/>
                <w:sz w:val="21"/>
                <w:highlight w:val="none"/>
              </w:rPr>
              <w:t>若有违约，则按合同约定或依法认定的金额予以扣除</w:t>
            </w:r>
            <w:r>
              <w:rPr>
                <w:rFonts w:hint="eastAsia" w:ascii="宋体" w:hAnsi="宋体" w:eastAsia="宋体" w:cs="宋体"/>
                <w:b w:val="0"/>
                <w:bCs/>
                <w:color w:val="auto"/>
                <w:sz w:val="21"/>
                <w:szCs w:val="21"/>
                <w:highlight w:val="none"/>
              </w:rPr>
              <w:t>。</w:t>
            </w:r>
          </w:p>
          <w:p w14:paraId="07565A3D">
            <w:pPr>
              <w:snapToGrid w:val="0"/>
              <w:spacing w:line="460" w:lineRule="exact"/>
              <w:textAlignment w:val="bottom"/>
              <w:rPr>
                <w:rFonts w:hint="eastAsia" w:hAnsi="宋体" w:cs="宋体"/>
                <w:color w:val="auto"/>
                <w:sz w:val="18"/>
                <w:szCs w:val="18"/>
                <w:highlight w:val="none"/>
              </w:rPr>
            </w:pPr>
            <w:r>
              <w:rPr>
                <w:rFonts w:hint="eastAsia" w:ascii="宋体" w:hAnsi="宋体" w:eastAsia="宋体" w:cs="宋体"/>
                <w:b w:val="0"/>
                <w:bCs/>
                <w:color w:val="auto"/>
                <w:sz w:val="21"/>
                <w:szCs w:val="21"/>
                <w:highlight w:val="none"/>
              </w:rPr>
              <w:t>为支持和促进中小企业发展，进一步发挥政府采购政策功能，浙江省财政厅出台浙财采监〔2020〕3 号文件，企业若有购买保险/保函或者融资意向，可登录政采云平台融资服务（https://jinrong.zcygov.cn/），查看相应融资政策文件及各相关服务方案，咨询热线</w:t>
            </w:r>
            <w:r>
              <w:rPr>
                <w:rFonts w:hint="eastAsia" w:ascii="宋体" w:hAnsi="宋体" w:eastAsia="宋体" w:cs="宋体"/>
                <w:b w:val="0"/>
                <w:bCs/>
                <w:color w:val="auto"/>
                <w:sz w:val="21"/>
                <w:szCs w:val="21"/>
                <w:highlight w:val="none"/>
                <w:shd w:val="clear" w:color="auto" w:fill="FFFFFF"/>
              </w:rPr>
              <w:t>95763</w:t>
            </w:r>
            <w:r>
              <w:rPr>
                <w:rFonts w:hint="eastAsia" w:ascii="宋体" w:hAnsi="宋体" w:eastAsia="宋体" w:cs="宋体"/>
                <w:b w:val="0"/>
                <w:bCs/>
                <w:color w:val="auto"/>
                <w:sz w:val="21"/>
                <w:szCs w:val="21"/>
                <w:highlight w:val="none"/>
              </w:rPr>
              <w:t>。</w:t>
            </w:r>
          </w:p>
        </w:tc>
      </w:tr>
      <w:tr w14:paraId="24F29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2E536C3D">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13</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7256F78C">
            <w:pPr>
              <w:snapToGrid w:val="0"/>
              <w:spacing w:line="460" w:lineRule="exact"/>
              <w:textAlignment w:val="bottom"/>
              <w:rPr>
                <w:rFonts w:hint="eastAsia" w:hAnsi="宋体" w:cs="宋体"/>
                <w:color w:val="auto"/>
                <w:sz w:val="21"/>
                <w:szCs w:val="21"/>
                <w:highlight w:val="none"/>
              </w:rPr>
            </w:pPr>
            <w:r>
              <w:rPr>
                <w:rFonts w:hint="eastAsia" w:hAnsi="宋体" w:cs="宋体"/>
                <w:color w:val="auto"/>
                <w:sz w:val="21"/>
                <w:szCs w:val="21"/>
                <w:highlight w:val="none"/>
              </w:rPr>
              <w:t>评标办法：综合评分法。</w:t>
            </w:r>
          </w:p>
        </w:tc>
      </w:tr>
      <w:tr w14:paraId="55BC0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2D46BA36">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14</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34E5246F">
            <w:pPr>
              <w:snapToGrid w:val="0"/>
              <w:spacing w:line="460" w:lineRule="exact"/>
              <w:textAlignment w:val="bottom"/>
              <w:rPr>
                <w:rFonts w:hint="eastAsia" w:hAnsi="宋体" w:cs="宋体"/>
                <w:color w:val="auto"/>
                <w:sz w:val="21"/>
                <w:szCs w:val="21"/>
                <w:highlight w:val="none"/>
              </w:rPr>
            </w:pPr>
            <w:r>
              <w:rPr>
                <w:rFonts w:hint="eastAsia" w:hAnsi="宋体" w:cs="宋体"/>
                <w:color w:val="auto"/>
                <w:sz w:val="21"/>
                <w:szCs w:val="21"/>
                <w:highlight w:val="none"/>
              </w:rPr>
              <w:t>结果公示：结果公示于浙江政府采购网（</w:t>
            </w:r>
            <w:r>
              <w:rPr>
                <w:rFonts w:hint="eastAsia" w:hAnsi="宋体" w:cs="宋体"/>
                <w:color w:val="auto"/>
                <w:sz w:val="21"/>
                <w:szCs w:val="21"/>
                <w:highlight w:val="none"/>
              </w:rPr>
              <w:fldChar w:fldCharType="begin"/>
            </w:r>
            <w:r>
              <w:rPr>
                <w:rFonts w:hint="eastAsia" w:hAnsi="宋体" w:cs="宋体"/>
                <w:color w:val="auto"/>
                <w:sz w:val="21"/>
                <w:szCs w:val="21"/>
                <w:highlight w:val="none"/>
              </w:rPr>
              <w:instrText xml:space="preserve"> HYPERLINK "http://www.zjzfcg.gov.cn/" </w:instrText>
            </w:r>
            <w:r>
              <w:rPr>
                <w:rFonts w:hint="eastAsia" w:hAnsi="宋体" w:cs="宋体"/>
                <w:color w:val="auto"/>
                <w:sz w:val="21"/>
                <w:szCs w:val="21"/>
                <w:highlight w:val="none"/>
              </w:rPr>
              <w:fldChar w:fldCharType="separate"/>
            </w:r>
            <w:r>
              <w:rPr>
                <w:rFonts w:hint="eastAsia" w:hAnsi="宋体" w:cs="宋体"/>
                <w:color w:val="auto"/>
                <w:sz w:val="21"/>
                <w:szCs w:val="21"/>
                <w:highlight w:val="none"/>
              </w:rPr>
              <w:t>http://zfcg.czt.zj.gov.cn/</w:t>
            </w:r>
            <w:r>
              <w:rPr>
                <w:rFonts w:hint="eastAsia" w:hAnsi="宋体" w:cs="宋体"/>
                <w:color w:val="auto"/>
                <w:sz w:val="21"/>
                <w:szCs w:val="21"/>
                <w:highlight w:val="none"/>
              </w:rPr>
              <w:fldChar w:fldCharType="end"/>
            </w:r>
            <w:r>
              <w:rPr>
                <w:rFonts w:hint="eastAsia" w:hAnsi="宋体" w:cs="宋体"/>
                <w:color w:val="auto"/>
                <w:sz w:val="21"/>
                <w:szCs w:val="21"/>
                <w:highlight w:val="none"/>
              </w:rPr>
              <w:t>）</w:t>
            </w:r>
          </w:p>
        </w:tc>
      </w:tr>
      <w:tr w14:paraId="6F7DB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54DA0D76">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15</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7E127221">
            <w:pPr>
              <w:snapToGrid w:val="0"/>
              <w:spacing w:line="460" w:lineRule="exact"/>
              <w:textAlignment w:val="bottom"/>
              <w:rPr>
                <w:rFonts w:hint="eastAsia" w:hAnsi="宋体" w:cs="宋体"/>
                <w:color w:val="auto"/>
                <w:sz w:val="21"/>
                <w:szCs w:val="21"/>
                <w:highlight w:val="none"/>
              </w:rPr>
            </w:pPr>
            <w:r>
              <w:rPr>
                <w:rFonts w:hint="eastAsia" w:hAnsi="宋体" w:cs="宋体"/>
                <w:color w:val="auto"/>
                <w:sz w:val="21"/>
                <w:szCs w:val="21"/>
                <w:highlight w:val="none"/>
              </w:rPr>
              <w:t>签订合同时间：中标通知书发出后20日内。</w:t>
            </w:r>
          </w:p>
        </w:tc>
      </w:tr>
      <w:tr w14:paraId="7BDEE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3D9AB4F0">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16</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3087765E">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投标文件有效期：90天。</w:t>
            </w:r>
          </w:p>
        </w:tc>
      </w:tr>
      <w:tr w14:paraId="00A44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6572D737">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17</w:t>
            </w:r>
          </w:p>
        </w:tc>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1B268CEF">
            <w:pPr>
              <w:snapToGrid w:val="0"/>
              <w:spacing w:line="460" w:lineRule="exact"/>
              <w:rPr>
                <w:rFonts w:hint="eastAsia" w:hAnsi="宋体" w:cs="宋体"/>
                <w:color w:val="auto"/>
                <w:sz w:val="21"/>
                <w:szCs w:val="21"/>
                <w:highlight w:val="none"/>
              </w:rPr>
            </w:pPr>
            <w:r>
              <w:rPr>
                <w:rFonts w:hint="eastAsia" w:hAnsi="宋体" w:cs="宋体"/>
                <w:color w:val="auto"/>
                <w:sz w:val="21"/>
                <w:szCs w:val="21"/>
                <w:highlight w:val="none"/>
              </w:rPr>
              <w:t>解释：本招标文件的解释权属于招标采购单位。</w:t>
            </w:r>
          </w:p>
        </w:tc>
      </w:tr>
    </w:tbl>
    <w:p w14:paraId="4637F4B3">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一、总则</w:t>
      </w:r>
    </w:p>
    <w:p w14:paraId="0FAA864A">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（一）适用范围</w:t>
      </w:r>
    </w:p>
    <w:p w14:paraId="0322585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本招标文件适用于</w:t>
      </w:r>
      <w:r>
        <w:rPr>
          <w:rFonts w:hint="eastAsia" w:hAnsi="宋体" w:cs="宋体"/>
          <w:color w:val="auto"/>
          <w:sz w:val="21"/>
          <w:szCs w:val="21"/>
          <w:highlight w:val="none"/>
          <w:lang w:eastAsia="zh-CN"/>
        </w:rPr>
        <w:t>金华市婺城区罗埠镇人民政府垃圾中转站运维采购</w:t>
      </w:r>
      <w:r>
        <w:rPr>
          <w:rFonts w:hint="eastAsia" w:hAnsi="宋体" w:cs="宋体"/>
          <w:color w:val="auto"/>
          <w:sz w:val="21"/>
          <w:szCs w:val="21"/>
          <w:highlight w:val="none"/>
        </w:rPr>
        <w:t>的招标、投标、评标、定标、验收、合同履约、付款等行为（法律、法规另有规定的，从其规定）。</w:t>
      </w:r>
    </w:p>
    <w:p w14:paraId="3EAFFBD3">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（二）定义</w:t>
      </w:r>
    </w:p>
    <w:p w14:paraId="67DA97C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1.招标采购单位系指组织本次招标的代理机构和招标人（或称采购人、采购单位）。</w:t>
      </w:r>
    </w:p>
    <w:p w14:paraId="197D0BE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2.“投标人”系指向招标人提交投标文件的单位或个人（或称供应商）。</w:t>
      </w:r>
    </w:p>
    <w:p w14:paraId="52023BA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3.“服务” 系指供方按招标文件规定，须向招标人提供的</w:t>
      </w:r>
      <w:r>
        <w:rPr>
          <w:rFonts w:hint="eastAsia" w:hAnsi="宋体" w:cs="宋体"/>
          <w:color w:val="auto"/>
          <w:sz w:val="21"/>
          <w:szCs w:val="21"/>
          <w:highlight w:val="none"/>
          <w:lang w:eastAsia="zh-CN"/>
        </w:rPr>
        <w:t>金华市婺城区罗埠镇人民政府垃圾中转站运维采购</w:t>
      </w:r>
      <w:r>
        <w:rPr>
          <w:rFonts w:hint="eastAsia" w:hAnsi="宋体" w:cs="宋体"/>
          <w:color w:val="auto"/>
          <w:sz w:val="21"/>
          <w:szCs w:val="21"/>
          <w:highlight w:val="none"/>
        </w:rPr>
        <w:t>的相关服务等。</w:t>
      </w:r>
    </w:p>
    <w:p w14:paraId="34334D4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4.“项目”系指投标人按招标文件规定向招标人提供合格的服务成果。</w:t>
      </w:r>
    </w:p>
    <w:p w14:paraId="0925BA8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5.“书面形式”包括信函、传真、电报等。</w:t>
      </w:r>
    </w:p>
    <w:p w14:paraId="718AE9B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6.“</w:t>
      </w:r>
      <w:r>
        <w:rPr>
          <w:rFonts w:hint="eastAsia" w:hAnsi="宋体" w:cs="宋体"/>
          <w:bCs/>
          <w:color w:val="auto"/>
          <w:sz w:val="21"/>
          <w:szCs w:val="21"/>
          <w:highlight w:val="none"/>
        </w:rPr>
        <w:t>★</w:t>
      </w:r>
      <w:r>
        <w:rPr>
          <w:rFonts w:hint="eastAsia" w:hAnsi="宋体" w:cs="宋体"/>
          <w:color w:val="auto"/>
          <w:sz w:val="21"/>
          <w:szCs w:val="21"/>
          <w:highlight w:val="none"/>
        </w:rPr>
        <w:t>”系指实质性要求指标，“</w:t>
      </w:r>
      <w:r>
        <w:rPr>
          <w:rFonts w:hint="eastAsia" w:hAnsi="宋体" w:cs="宋体"/>
          <w:b/>
          <w:color w:val="auto"/>
          <w:sz w:val="21"/>
          <w:szCs w:val="21"/>
          <w:highlight w:val="none"/>
        </w:rPr>
        <w:t>▲</w:t>
      </w:r>
      <w:r>
        <w:rPr>
          <w:rFonts w:hint="eastAsia" w:hAnsi="宋体" w:cs="宋体"/>
          <w:color w:val="auto"/>
          <w:sz w:val="21"/>
          <w:szCs w:val="21"/>
          <w:highlight w:val="none"/>
        </w:rPr>
        <w:t>”系指重要性指标条款（如有）。</w:t>
      </w:r>
    </w:p>
    <w:p w14:paraId="55064379">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（三）招标方式</w:t>
      </w:r>
    </w:p>
    <w:p w14:paraId="646EFF9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本次招标采用公开招标方式进行。</w:t>
      </w:r>
    </w:p>
    <w:p w14:paraId="047F4886">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（四）投标委托</w:t>
      </w:r>
    </w:p>
    <w:p w14:paraId="5662509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如投标人代表不是法定代表人，须有法定代表人出具的授权委托书。</w:t>
      </w:r>
    </w:p>
    <w:p w14:paraId="2203E6B9">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（五）投标费用</w:t>
      </w:r>
    </w:p>
    <w:p w14:paraId="2C69875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不论投标结果如何，投标人均应自行承担所有与投标有关的全部费用（招标文件有相反规定除外）。</w:t>
      </w:r>
    </w:p>
    <w:p w14:paraId="18C5BDB8">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（六）勘察现场</w:t>
      </w:r>
    </w:p>
    <w:p w14:paraId="12AF85E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人可进行现场考察，以获取有关投标、签署合同和其他所需的资料。不组织集中考察，由各投标人自行安排，但必须在开标5天前进行。投标人在考察过程中发生的各类事件和所发生的各项费用，均由投标人自行承担，招标人和代理机构概不负责。</w:t>
      </w:r>
    </w:p>
    <w:p w14:paraId="7736AF7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2.招标人向投标人提供的有关现场的数据和资料，是招标人现有的能被投标人利用的资料，招标方对投标人据此做出的任何推论、理解和结论不负责任。</w:t>
      </w:r>
    </w:p>
    <w:p w14:paraId="0E14E228">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（七）联合体投标</w:t>
      </w:r>
    </w:p>
    <w:p w14:paraId="14430CC8">
      <w:pPr>
        <w:autoSpaceDE/>
        <w:autoSpaceDN/>
        <w:adjustRightInd/>
        <w:spacing w:line="500" w:lineRule="exact"/>
        <w:ind w:firstLine="420" w:firstLineChars="200"/>
        <w:jc w:val="both"/>
        <w:rPr>
          <w:rFonts w:hint="default" w:hAnsi="宋体" w:eastAsia="宋体" w:cs="宋体"/>
          <w:color w:val="auto"/>
          <w:sz w:val="21"/>
          <w:szCs w:val="21"/>
          <w:highlight w:val="none"/>
          <w:lang w:val="en-US" w:eastAsia="zh-CN"/>
        </w:rPr>
      </w:pPr>
      <w:r>
        <w:rPr>
          <w:rFonts w:hint="eastAsia" w:hAnsi="宋体" w:cs="宋体"/>
          <w:color w:val="auto"/>
          <w:sz w:val="21"/>
          <w:szCs w:val="21"/>
          <w:highlight w:val="none"/>
        </w:rPr>
        <w:t>1.本项目专门面向中小企业采购，</w:t>
      </w:r>
      <w:r>
        <w:rPr>
          <w:rFonts w:hint="eastAsia" w:hAnsi="宋体" w:cs="宋体"/>
          <w:color w:val="auto"/>
          <w:sz w:val="21"/>
          <w:szCs w:val="21"/>
          <w:highlight w:val="none"/>
          <w:lang w:val="en-US" w:eastAsia="zh-CN"/>
        </w:rPr>
        <w:t>不接受联合体。</w:t>
      </w:r>
    </w:p>
    <w:p w14:paraId="211D7581">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（八）转包与分包</w:t>
      </w:r>
    </w:p>
    <w:p w14:paraId="5BA9978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1.转包：本项目不允许转包。</w:t>
      </w:r>
    </w:p>
    <w:p w14:paraId="2050AB0B">
      <w:pPr>
        <w:autoSpaceDE/>
        <w:autoSpaceDN/>
        <w:adjustRightInd/>
        <w:spacing w:line="500" w:lineRule="exact"/>
        <w:ind w:firstLine="420" w:firstLineChars="200"/>
        <w:jc w:val="both"/>
        <w:rPr>
          <w:rFonts w:hint="eastAsia" w:hAnsi="宋体" w:cs="宋体"/>
          <w:b/>
          <w:color w:val="auto"/>
          <w:sz w:val="21"/>
          <w:szCs w:val="21"/>
          <w:highlight w:val="none"/>
        </w:rPr>
      </w:pPr>
      <w:r>
        <w:rPr>
          <w:rFonts w:hint="eastAsia" w:hAnsi="宋体" w:cs="宋体"/>
          <w:color w:val="auto"/>
          <w:sz w:val="21"/>
          <w:szCs w:val="21"/>
          <w:highlight w:val="none"/>
        </w:rPr>
        <w:t>2.分包：</w:t>
      </w:r>
      <w:r>
        <w:rPr>
          <w:rFonts w:hint="eastAsia" w:hAnsi="宋体" w:cs="宋体"/>
          <w:color w:val="auto"/>
          <w:sz w:val="21"/>
          <w:szCs w:val="21"/>
          <w:highlight w:val="none"/>
          <w:lang w:val="en-US" w:eastAsia="zh-CN"/>
        </w:rPr>
        <w:t>不允许分包</w:t>
      </w:r>
      <w:r>
        <w:rPr>
          <w:rFonts w:hint="eastAsia" w:hAnsi="宋体" w:cs="宋体"/>
          <w:color w:val="auto"/>
          <w:sz w:val="21"/>
          <w:szCs w:val="21"/>
          <w:highlight w:val="none"/>
        </w:rPr>
        <w:t>。</w:t>
      </w:r>
    </w:p>
    <w:p w14:paraId="22ABA2D4">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（九）特别说明</w:t>
      </w:r>
    </w:p>
    <w:p w14:paraId="3298B509">
      <w:pPr>
        <w:autoSpaceDE/>
        <w:autoSpaceDN/>
        <w:adjustRightInd/>
        <w:spacing w:line="500" w:lineRule="exact"/>
        <w:ind w:firstLine="420" w:firstLineChars="200"/>
        <w:jc w:val="both"/>
        <w:rPr>
          <w:rFonts w:hint="eastAsia" w:hAnsi="宋体" w:cs="宋体"/>
          <w:b/>
          <w:color w:val="auto"/>
          <w:sz w:val="21"/>
          <w:highlight w:val="none"/>
        </w:rPr>
      </w:pPr>
      <w:r>
        <w:rPr>
          <w:rFonts w:hint="eastAsia" w:hAnsi="宋体" w:cs="宋体"/>
          <w:bCs/>
          <w:color w:val="auto"/>
          <w:sz w:val="21"/>
          <w:szCs w:val="21"/>
          <w:highlight w:val="none"/>
        </w:rPr>
        <w:t>★1.投标单位负责人为同一人或者存在直接控股、管理关系的不同投标人，不得参加同一合同项下的政府采购活动。如在评标过程（或标后质疑投诉期内）中发现投标人间存在上述关系，存在上述关系的全部投标人均做无效投标（或无效中标）处理。</w:t>
      </w:r>
    </w:p>
    <w:p w14:paraId="51376C47">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highlight w:val="none"/>
        </w:rPr>
        <w:t>2.</w:t>
      </w:r>
      <w:r>
        <w:rPr>
          <w:rFonts w:hint="eastAsia" w:hAnsi="宋体" w:cs="宋体"/>
          <w:b/>
          <w:color w:val="auto"/>
          <w:sz w:val="21"/>
          <w:szCs w:val="21"/>
          <w:highlight w:val="none"/>
        </w:rPr>
        <w:t>“政采云”平台运营机构，以及与该机构有直接控股或者管理关系可能影响采购公正性的任何单位和个人，不得在该平台进行的政府采购项目电子交易中投标、响应政府采购项目。</w:t>
      </w:r>
    </w:p>
    <w:p w14:paraId="530E168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3.投标人投标所使用的资格、信誉、业绩与企业认证必须为本法人所拥有。投标人投标所使用的采购项目实施人员必须为本法人员工（或必须为本法人或控股公司正式员工）。</w:t>
      </w:r>
    </w:p>
    <w:p w14:paraId="3928FE4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投标人应仔细阅读招标文件的所有内容，按照招标文件的要求提交投标文件。投标人必须对投标文件所提供的全部资料的真实性承担法律责任，并无条件接受采购代理机构、招标人及政府采购监督管理部门等对其中任何资料进行核实的要求。</w:t>
      </w:r>
    </w:p>
    <w:p w14:paraId="633A0486">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5.投标人在投标活动中提供任何虚假材料，其投标无效，并报监管部门查处；中标后发现的，中标人须依照相关法律法规的规定赔偿招标人，且民事赔偿并不免除违法投标人的行政与刑事责任。</w:t>
      </w:r>
    </w:p>
    <w:p w14:paraId="6771C68A">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（十）质疑和投诉</w:t>
      </w:r>
    </w:p>
    <w:p w14:paraId="1AB5DF9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人认为招标文件、招标过程或中标结果使自己的合法权益受到损害的，应当在知道或者应知其权益受到损害之日起七个工作日内，以书面形式向招标人、采购代理机构提出质疑。投标人对招标采购单位的质疑答复不满意或者招标采购单位未在规定时间内作出答复的，可以在答复期满后十五个工作日内向同级采购监管部门投诉。</w:t>
      </w:r>
    </w:p>
    <w:p w14:paraId="1B34E696">
      <w:pPr>
        <w:autoSpaceDE/>
        <w:autoSpaceDN/>
        <w:adjustRightInd/>
        <w:spacing w:line="500" w:lineRule="exact"/>
        <w:ind w:firstLine="420" w:firstLineChars="200"/>
        <w:jc w:val="both"/>
        <w:rPr>
          <w:rFonts w:hint="eastAsia" w:hAnsi="宋体" w:cs="宋体"/>
          <w:color w:val="auto"/>
          <w:sz w:val="21"/>
          <w:szCs w:val="21"/>
          <w:highlight w:val="none"/>
          <w:lang w:eastAsia="zh-TW"/>
        </w:rPr>
      </w:pPr>
      <w:r>
        <w:rPr>
          <w:rFonts w:hint="eastAsia" w:hAnsi="宋体" w:cs="宋体"/>
          <w:color w:val="auto"/>
          <w:sz w:val="21"/>
          <w:szCs w:val="21"/>
          <w:highlight w:val="none"/>
        </w:rPr>
        <w:t>2.质疑、投诉应当符合中华人民共和国财政部令第94号《政府采购质疑和投诉办法》的规定，并分别采用财政部发布的《政府采购供应商质疑函范本》和《政府采购供应商投诉书范本》等书面形式，质疑书、投诉书均应明确阐述招标文件、招标过程或中标结果中使自己合法权益受到损害的实质性内容，提供相关事实、依据和证据及其来源或线索，便于有关单位调查、答复和处理。</w:t>
      </w:r>
      <w:r>
        <w:rPr>
          <w:rFonts w:hint="eastAsia" w:hAnsi="宋体" w:cs="宋体"/>
          <w:bCs/>
          <w:color w:val="auto"/>
          <w:sz w:val="21"/>
          <w:szCs w:val="21"/>
          <w:highlight w:val="none"/>
        </w:rPr>
        <w:t>质疑函范本、投诉书范本请到浙江政府采购网下载专区下载。</w:t>
      </w:r>
    </w:p>
    <w:p w14:paraId="40F9937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w:t>
      </w:r>
      <w:r>
        <w:rPr>
          <w:rFonts w:hint="eastAsia" w:hAnsi="宋体" w:cs="宋体"/>
          <w:color w:val="auto"/>
          <w:sz w:val="21"/>
          <w:szCs w:val="21"/>
          <w:highlight w:val="none"/>
          <w:lang w:val="zh-CN"/>
        </w:rPr>
        <w:t>投标人须在法定质疑期内一次性提出针对同一采购程序环节的质疑。未按上述要求提供的质疑函，采购代理机构有权不予受理。</w:t>
      </w:r>
    </w:p>
    <w:p w14:paraId="36C01CE4">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二、招标文件</w:t>
      </w:r>
    </w:p>
    <w:p w14:paraId="4E760766">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（一）招标文件的构成。本招标文件由以下部分组成：</w:t>
      </w:r>
    </w:p>
    <w:p w14:paraId="50C7F21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1.招标公告</w:t>
      </w:r>
    </w:p>
    <w:p w14:paraId="7BF120B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2.招标需求</w:t>
      </w:r>
    </w:p>
    <w:p w14:paraId="4BBE178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3.投标人须知</w:t>
      </w:r>
    </w:p>
    <w:p w14:paraId="2A5A818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4.评标办法及评分标准</w:t>
      </w:r>
    </w:p>
    <w:p w14:paraId="70B4E18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5.合同主要条款</w:t>
      </w:r>
    </w:p>
    <w:p w14:paraId="2ABD23F6">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6.投标文件格式</w:t>
      </w:r>
    </w:p>
    <w:p w14:paraId="40BA7C4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7.本项目招标文件的澄清、答复、修改、补充的内容（如有）</w:t>
      </w:r>
    </w:p>
    <w:p w14:paraId="59DC27F6">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（二）投标人的风险</w:t>
      </w:r>
    </w:p>
    <w:p w14:paraId="290DF32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投标人没有按照招标文件要求提供全部资料，或者投标人没有对招标文件在各方面作出实质性响应是投标人的风险，并可能导致其投标被拒绝。</w:t>
      </w:r>
    </w:p>
    <w:p w14:paraId="504FDA2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招标人、采购代理机构不保证所有已完成报名的投标人都符合资格要求。</w:t>
      </w:r>
    </w:p>
    <w:p w14:paraId="4A361F80">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（三）招标文件的澄清与修改</w:t>
      </w:r>
    </w:p>
    <w:p w14:paraId="5C5A72FD">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投标人应认真阅读本招标文件，发现其中有误或有不合理要求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p w14:paraId="29C32611">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2.采购代理机构必须以书面形式答复投标人要求澄清的问题，并将不包含问题来源的答复书面通知所有购买招标文件的投标人，除书面答复以外的其他澄清方式及澄清内容均无效。</w:t>
      </w:r>
    </w:p>
    <w:p w14:paraId="3C346739">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3.招标文件澄清、答复、修改、补充的内容为招标文件的组成部分。当招标文件与招标文件的答复、澄清、修改、补充通知就同一内容的表述不一致时，以最后发出的书面文件为准。</w:t>
      </w:r>
    </w:p>
    <w:p w14:paraId="0F9963B6">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4.招标文件的澄清、答复、修改或补充都应该通过本代理机构以法定形式发布，招标人非通过本机构，不得擅自澄清、答复、修改或补充招标文件。</w:t>
      </w:r>
    </w:p>
    <w:p w14:paraId="02C9AC1F">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三、投标文件的编制</w:t>
      </w:r>
    </w:p>
    <w:p w14:paraId="51764796">
      <w:pPr>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注：投标人应保证所提供文件资料的真实性，所有文件资料必须是针对本次投标的。如发现投标人提供了虚假文件资料，其投标将被拒绝，并自行承担相应的法律责任。</w:t>
      </w:r>
    </w:p>
    <w:p w14:paraId="622CD21A">
      <w:pPr>
        <w:tabs>
          <w:tab w:val="left" w:pos="6955"/>
        </w:tabs>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（一）投标文件的形式</w:t>
      </w:r>
      <w:r>
        <w:rPr>
          <w:rFonts w:hint="eastAsia" w:hAnsi="宋体" w:cs="宋体"/>
          <w:b/>
          <w:color w:val="auto"/>
          <w:sz w:val="21"/>
          <w:szCs w:val="21"/>
          <w:highlight w:val="none"/>
        </w:rPr>
        <w:tab/>
      </w:r>
    </w:p>
    <w:p w14:paraId="59F0223E">
      <w:pPr>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1.投标文件为电子投标文件。</w:t>
      </w:r>
    </w:p>
    <w:p w14:paraId="14E7AE64">
      <w:pPr>
        <w:wordWrap w:val="0"/>
        <w:topLinePunct/>
        <w:autoSpaceDE/>
        <w:autoSpaceDN/>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1.1电子投标文件：电子投标文件按政采云平台供应商项目采购－电子交易操作指南（</w:t>
      </w:r>
      <w:r>
        <w:rPr>
          <w:rFonts w:hint="eastAsia" w:hAnsi="宋体" w:cs="宋体"/>
          <w:color w:val="auto"/>
          <w:sz w:val="21"/>
          <w:szCs w:val="21"/>
          <w:highlight w:val="none"/>
          <w:shd w:val="clear" w:color="auto" w:fill="FFFFFF"/>
        </w:rPr>
        <w:t>https://edu.zcygov.cn/luban/e-biding?utm=a0004.2ef5001f.0001.0109.da8b35e0da8611e98d8937b7ef8a3544</w:t>
      </w:r>
      <w:r>
        <w:rPr>
          <w:rFonts w:hint="eastAsia" w:hAnsi="宋体" w:cs="宋体"/>
          <w:b/>
          <w:color w:val="auto"/>
          <w:sz w:val="21"/>
          <w:szCs w:val="21"/>
          <w:highlight w:val="none"/>
        </w:rPr>
        <w:t>）及本招标文件要求制作、加密并递交；</w:t>
      </w:r>
    </w:p>
    <w:p w14:paraId="418D7401">
      <w:pPr>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（二）投标文件的组成</w:t>
      </w:r>
    </w:p>
    <w:p w14:paraId="5F5E01B2">
      <w:pPr>
        <w:snapToGrid w:val="0"/>
        <w:spacing w:line="500" w:lineRule="exact"/>
        <w:ind w:firstLine="420" w:firstLineChars="200"/>
        <w:rPr>
          <w:rFonts w:hint="eastAsia" w:hAnsi="宋体" w:cs="宋体"/>
          <w:color w:val="auto"/>
          <w:sz w:val="21"/>
          <w:szCs w:val="21"/>
          <w:highlight w:val="none"/>
        </w:rPr>
      </w:pPr>
      <w:r>
        <w:rPr>
          <w:rFonts w:hint="eastAsia" w:hAnsi="宋体" w:cs="宋体"/>
          <w:bCs/>
          <w:color w:val="auto"/>
          <w:sz w:val="21"/>
          <w:szCs w:val="21"/>
          <w:highlight w:val="none"/>
        </w:rPr>
        <w:t>★</w:t>
      </w:r>
      <w:r>
        <w:rPr>
          <w:rFonts w:hint="eastAsia" w:hAnsi="宋体" w:cs="宋体"/>
          <w:b/>
          <w:color w:val="auto"/>
          <w:sz w:val="21"/>
          <w:szCs w:val="21"/>
          <w:highlight w:val="none"/>
        </w:rPr>
        <w:t>投标文件（电子投标文件）由资格文件、商务技术文件、报价文件三部分组成。本项目投标价格的信息只允许出现在“报价文件”中，不得出现在资格文件、商务技术文件中。</w:t>
      </w:r>
    </w:p>
    <w:p w14:paraId="73877968">
      <w:pPr>
        <w:snapToGrid w:val="0"/>
        <w:spacing w:line="500" w:lineRule="exact"/>
        <w:ind w:firstLine="422" w:firstLineChars="200"/>
        <w:textAlignment w:val="bottom"/>
        <w:rPr>
          <w:rFonts w:hint="eastAsia" w:hAnsi="宋体" w:cs="宋体"/>
          <w:b/>
          <w:color w:val="auto"/>
          <w:sz w:val="21"/>
          <w:szCs w:val="21"/>
          <w:highlight w:val="none"/>
        </w:rPr>
      </w:pPr>
      <w:r>
        <w:rPr>
          <w:rFonts w:hint="eastAsia" w:hAnsi="宋体" w:cs="宋体"/>
          <w:b/>
          <w:color w:val="auto"/>
          <w:sz w:val="21"/>
          <w:szCs w:val="21"/>
          <w:highlight w:val="none"/>
        </w:rPr>
        <w:t>1.资格文件部分</w:t>
      </w:r>
    </w:p>
    <w:p w14:paraId="0B6389BF">
      <w:pPr>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（1）投标人（包括投标联合体各方）有效期内的营业执照副本</w:t>
      </w:r>
      <w:r>
        <w:rPr>
          <w:rFonts w:hint="eastAsia" w:hAnsi="宋体"/>
          <w:color w:val="auto"/>
          <w:sz w:val="21"/>
          <w:szCs w:val="21"/>
          <w:highlight w:val="none"/>
        </w:rPr>
        <w:t>扫描件或</w:t>
      </w:r>
      <w:r>
        <w:rPr>
          <w:rFonts w:hint="eastAsia" w:hAnsi="宋体" w:cs="宋体"/>
          <w:color w:val="auto"/>
          <w:sz w:val="21"/>
          <w:szCs w:val="21"/>
          <w:highlight w:val="none"/>
        </w:rPr>
        <w:t>复印件；</w:t>
      </w:r>
    </w:p>
    <w:p w14:paraId="181C0F9D">
      <w:pPr>
        <w:widowControl/>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（2）投标人（包括投标联合体各方）</w:t>
      </w:r>
      <w:r>
        <w:rPr>
          <w:rFonts w:hint="eastAsia" w:hAnsi="宋体"/>
          <w:color w:val="auto"/>
          <w:sz w:val="21"/>
          <w:szCs w:val="21"/>
          <w:highlight w:val="none"/>
        </w:rPr>
        <w:t>符合参加政府采购活动应当具备的一般条件的承诺函</w:t>
      </w:r>
      <w:r>
        <w:rPr>
          <w:rFonts w:hint="eastAsia" w:hAnsi="宋体" w:cs="宋体"/>
          <w:color w:val="auto"/>
          <w:sz w:val="21"/>
          <w:szCs w:val="21"/>
          <w:highlight w:val="none"/>
        </w:rPr>
        <w:t>；（格式见附件）</w:t>
      </w:r>
    </w:p>
    <w:p w14:paraId="27A30F71">
      <w:pPr>
        <w:widowControl/>
        <w:autoSpaceDE/>
        <w:autoSpaceDN/>
        <w:adjustRightInd/>
        <w:spacing w:line="500" w:lineRule="exact"/>
        <w:ind w:firstLine="420" w:firstLineChars="200"/>
        <w:jc w:val="both"/>
        <w:rPr>
          <w:rFonts w:hint="eastAsia" w:hAnsi="宋体"/>
          <w:color w:val="auto"/>
          <w:sz w:val="21"/>
          <w:szCs w:val="21"/>
          <w:highlight w:val="none"/>
        </w:rPr>
      </w:pPr>
      <w:r>
        <w:rPr>
          <w:rFonts w:hint="eastAsia" w:hAnsi="宋体" w:cs="宋体"/>
          <w:color w:val="auto"/>
          <w:sz w:val="21"/>
          <w:szCs w:val="21"/>
          <w:highlight w:val="none"/>
        </w:rPr>
        <w:t>（3）联合协议（联合体投标时须提供）、</w:t>
      </w:r>
      <w:r>
        <w:rPr>
          <w:rFonts w:hint="eastAsia" w:hAnsi="宋体"/>
          <w:color w:val="auto"/>
          <w:sz w:val="21"/>
          <w:szCs w:val="21"/>
          <w:highlight w:val="none"/>
        </w:rPr>
        <w:t>分包意向协议（分包时</w:t>
      </w:r>
      <w:r>
        <w:rPr>
          <w:rFonts w:hint="eastAsia" w:hAnsi="宋体" w:cs="宋体"/>
          <w:color w:val="auto"/>
          <w:sz w:val="21"/>
          <w:szCs w:val="21"/>
          <w:highlight w:val="none"/>
        </w:rPr>
        <w:t>须提供）；（格式见附件）</w:t>
      </w:r>
    </w:p>
    <w:p w14:paraId="1E5FFB68">
      <w:pPr>
        <w:widowControl/>
        <w:autoSpaceDE/>
        <w:autoSpaceDN/>
        <w:adjustRightInd/>
        <w:spacing w:line="500" w:lineRule="exact"/>
        <w:ind w:firstLine="420" w:firstLineChars="200"/>
        <w:rPr>
          <w:rFonts w:hint="eastAsia" w:hAnsi="宋体" w:cs="宋体"/>
          <w:color w:val="auto"/>
          <w:sz w:val="21"/>
          <w:szCs w:val="21"/>
          <w:highlight w:val="none"/>
        </w:rPr>
      </w:pPr>
      <w:r>
        <w:rPr>
          <w:rFonts w:hint="eastAsia" w:hAnsi="宋体"/>
          <w:color w:val="auto"/>
          <w:sz w:val="21"/>
          <w:szCs w:val="21"/>
          <w:highlight w:val="none"/>
        </w:rPr>
        <w:t>（4）落实政府采购政策需满足的资格要求</w:t>
      </w:r>
      <w:r>
        <w:rPr>
          <w:rFonts w:hint="eastAsia" w:hAnsi="宋体" w:cs="宋体"/>
          <w:color w:val="auto"/>
          <w:sz w:val="21"/>
          <w:szCs w:val="21"/>
          <w:highlight w:val="none"/>
        </w:rPr>
        <w:t>；（格式见附件）</w:t>
      </w:r>
    </w:p>
    <w:p w14:paraId="5DBC8D41">
      <w:pPr>
        <w:widowControl/>
        <w:autoSpaceDE/>
        <w:autoSpaceDN/>
        <w:adjustRightInd/>
        <w:snapToGrid w:val="0"/>
        <w:spacing w:line="460" w:lineRule="exact"/>
        <w:ind w:firstLine="422" w:firstLineChars="200"/>
        <w:jc w:val="both"/>
        <w:rPr>
          <w:rFonts w:hint="eastAsia" w:hAnsi="宋体" w:cs="宋体"/>
          <w:color w:val="auto"/>
          <w:sz w:val="21"/>
          <w:szCs w:val="21"/>
          <w:highlight w:val="none"/>
        </w:rPr>
      </w:pPr>
      <w:r>
        <w:rPr>
          <w:rFonts w:hint="eastAsia" w:hAnsi="宋体" w:cs="宋体"/>
          <w:b/>
          <w:color w:val="auto"/>
          <w:sz w:val="21"/>
          <w:szCs w:val="21"/>
          <w:highlight w:val="none"/>
        </w:rPr>
        <w:t>★注：</w:t>
      </w:r>
      <w:r>
        <w:rPr>
          <w:rFonts w:hint="eastAsia" w:hAnsi="宋体"/>
          <w:color w:val="auto"/>
          <w:sz w:val="21"/>
          <w:szCs w:val="21"/>
          <w:highlight w:val="none"/>
        </w:rPr>
        <w:t>以上证明材料中，材料要求为“</w:t>
      </w:r>
      <w:r>
        <w:rPr>
          <w:rFonts w:hint="eastAsia" w:hAnsi="宋体" w:cs="宋体"/>
          <w:color w:val="auto"/>
          <w:sz w:val="21"/>
          <w:szCs w:val="21"/>
          <w:highlight w:val="none"/>
          <w:lang w:bidi="ar"/>
        </w:rPr>
        <w:t>包括投标联合体各方</w:t>
      </w:r>
      <w:r>
        <w:rPr>
          <w:rFonts w:hint="eastAsia" w:hAnsi="宋体"/>
          <w:color w:val="auto"/>
          <w:sz w:val="21"/>
          <w:szCs w:val="21"/>
          <w:highlight w:val="none"/>
        </w:rPr>
        <w:t>”的，则投标联合体各方均须提供相关材料，仅提供联合体牵头人盖章材料的，则投标无效。</w:t>
      </w:r>
    </w:p>
    <w:p w14:paraId="01F056D5">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2.</w:t>
      </w:r>
      <w:r>
        <w:rPr>
          <w:rFonts w:hint="eastAsia" w:hAnsi="宋体" w:cs="宋体"/>
          <w:b/>
          <w:bCs/>
          <w:color w:val="auto"/>
          <w:sz w:val="21"/>
          <w:szCs w:val="21"/>
          <w:highlight w:val="none"/>
        </w:rPr>
        <w:t>商务技术文件</w:t>
      </w:r>
    </w:p>
    <w:p w14:paraId="644E7BC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（1）投标人技术商务标自评得分汇总表（格式内容参照技术商务评分表）；（格式见附件）</w:t>
      </w:r>
    </w:p>
    <w:p w14:paraId="4CD84399">
      <w:pPr>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（2）投标人（或投标联合体牵头人）法定代表人授权委托书（格式见附件，如法定代表人本人参加的，则提供法定代表人身份证明及法定代表人身份证复印件）；</w:t>
      </w:r>
    </w:p>
    <w:p w14:paraId="0DC2C18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（3）投标人（包括投标联合体各方）情况介绍；（格式见附件）</w:t>
      </w:r>
    </w:p>
    <w:p w14:paraId="5E42FE5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（4）投标人（包括投标联合体各方）相关资质证书及获得的相关荣誉证书；（如有，复印件加盖单位公章）</w:t>
      </w:r>
    </w:p>
    <w:p w14:paraId="7D1153B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（5）投标人（包括投标联合体各方）202</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月1日以来承担过的同类项目服务业绩（提供合同复印件加盖单位公章）；（格式见附件）</w:t>
      </w:r>
    </w:p>
    <w:p w14:paraId="03B46F1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（6）服务条款对比表；（格式见附件）</w:t>
      </w:r>
    </w:p>
    <w:p w14:paraId="5966756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（7）投标人项目组成人员一览表；（格式见附件）</w:t>
      </w:r>
    </w:p>
    <w:p w14:paraId="7CF3948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8</w:t>
      </w:r>
      <w:r>
        <w:rPr>
          <w:rFonts w:hint="eastAsia" w:hAnsi="宋体" w:cs="宋体"/>
          <w:color w:val="auto"/>
          <w:sz w:val="21"/>
          <w:szCs w:val="21"/>
          <w:highlight w:val="none"/>
        </w:rPr>
        <w:t>）评分标准及投标人认为需要提供的其他文件和说明。（格式自拟）</w:t>
      </w:r>
    </w:p>
    <w:p w14:paraId="3351A46C">
      <w:pPr>
        <w:autoSpaceDE/>
        <w:autoSpaceDN/>
        <w:adjustRightInd/>
        <w:spacing w:line="500" w:lineRule="exact"/>
        <w:ind w:firstLine="420" w:firstLineChars="200"/>
        <w:jc w:val="both"/>
        <w:rPr>
          <w:rFonts w:hint="eastAsia" w:hAnsi="宋体" w:cs="宋体"/>
          <w:b/>
          <w:color w:val="auto"/>
          <w:sz w:val="21"/>
          <w:szCs w:val="21"/>
          <w:highlight w:val="none"/>
        </w:rPr>
      </w:pPr>
      <w:r>
        <w:rPr>
          <w:rFonts w:hint="eastAsia" w:hAnsi="宋体" w:cs="宋体"/>
          <w:bCs/>
          <w:color w:val="auto"/>
          <w:sz w:val="21"/>
          <w:szCs w:val="21"/>
          <w:highlight w:val="none"/>
        </w:rPr>
        <w:t>★</w:t>
      </w:r>
      <w:r>
        <w:rPr>
          <w:rFonts w:hint="eastAsia" w:hAnsi="宋体" w:cs="宋体"/>
          <w:b/>
          <w:color w:val="auto"/>
          <w:sz w:val="21"/>
          <w:szCs w:val="21"/>
          <w:highlight w:val="none"/>
        </w:rPr>
        <w:t>注：</w:t>
      </w:r>
      <w:r>
        <w:rPr>
          <w:rFonts w:hint="eastAsia" w:hAnsi="宋体" w:cs="宋体"/>
          <w:b/>
          <w:bCs/>
          <w:color w:val="auto"/>
          <w:sz w:val="21"/>
          <w:szCs w:val="21"/>
          <w:highlight w:val="none"/>
        </w:rPr>
        <w:t>商务技术标</w:t>
      </w:r>
      <w:r>
        <w:rPr>
          <w:rFonts w:hint="eastAsia" w:hAnsi="宋体" w:cs="宋体"/>
          <w:b/>
          <w:color w:val="auto"/>
          <w:sz w:val="21"/>
          <w:szCs w:val="21"/>
          <w:highlight w:val="none"/>
        </w:rPr>
        <w:t>中不得含有报价的信息，否则按投标无效处理。</w:t>
      </w:r>
    </w:p>
    <w:p w14:paraId="116D118B">
      <w:pPr>
        <w:snapToGrid w:val="0"/>
        <w:spacing w:line="50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3.报价文件</w:t>
      </w:r>
    </w:p>
    <w:p w14:paraId="5F48E2A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（1）投标函；（格式见附件）</w:t>
      </w:r>
    </w:p>
    <w:p w14:paraId="6621C18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（2）开标（报价）一览表；（格式见附件）</w:t>
      </w:r>
    </w:p>
    <w:p w14:paraId="4530F102">
      <w:pPr>
        <w:autoSpaceDE/>
        <w:autoSpaceDN/>
        <w:snapToGrid w:val="0"/>
        <w:spacing w:line="480" w:lineRule="exact"/>
        <w:ind w:firstLine="420" w:firstLineChars="200"/>
        <w:jc w:val="both"/>
        <w:rPr>
          <w:rFonts w:hint="eastAsia" w:hAnsi="宋体" w:cs="宋体"/>
          <w:color w:val="auto"/>
          <w:sz w:val="21"/>
          <w:szCs w:val="21"/>
          <w:highlight w:val="none"/>
          <w:lang w:eastAsia="zh-CN"/>
        </w:rPr>
      </w:pPr>
      <w:r>
        <w:rPr>
          <w:rFonts w:hint="eastAsia" w:hAnsi="宋体" w:cs="宋体"/>
          <w:color w:val="auto"/>
          <w:sz w:val="21"/>
          <w:szCs w:val="21"/>
          <w:highlight w:val="none"/>
        </w:rPr>
        <w:t>（3）投标报价明细表（</w:t>
      </w:r>
      <w:r>
        <w:rPr>
          <w:rFonts w:hint="eastAsia" w:hAnsi="宋体" w:cs="宋体"/>
          <w:color w:val="auto"/>
          <w:sz w:val="21"/>
          <w:szCs w:val="21"/>
          <w:highlight w:val="none"/>
          <w:lang w:val="en-US" w:eastAsia="zh-CN"/>
        </w:rPr>
        <w:t>如有</w:t>
      </w:r>
      <w:r>
        <w:rPr>
          <w:rFonts w:hint="eastAsia" w:hAnsi="宋体" w:cs="宋体"/>
          <w:color w:val="auto"/>
          <w:sz w:val="21"/>
          <w:szCs w:val="21"/>
          <w:highlight w:val="none"/>
        </w:rPr>
        <w:t>）</w:t>
      </w:r>
      <w:r>
        <w:rPr>
          <w:rFonts w:hint="eastAsia" w:hAnsi="宋体" w:cs="宋体"/>
          <w:color w:val="auto"/>
          <w:sz w:val="21"/>
          <w:szCs w:val="21"/>
          <w:highlight w:val="none"/>
          <w:lang w:eastAsia="zh-CN"/>
        </w:rPr>
        <w:t>；</w:t>
      </w:r>
    </w:p>
    <w:p w14:paraId="4BA5CA4F">
      <w:pPr>
        <w:autoSpaceDE/>
        <w:autoSpaceDN/>
        <w:snapToGrid w:val="0"/>
        <w:spacing w:line="48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lang w:eastAsia="zh-CN"/>
        </w:rPr>
        <w:t>）</w:t>
      </w:r>
      <w:r>
        <w:rPr>
          <w:rFonts w:hint="eastAsia" w:hAnsi="宋体" w:cs="宋体"/>
          <w:color w:val="auto"/>
          <w:sz w:val="21"/>
          <w:szCs w:val="21"/>
          <w:highlight w:val="none"/>
        </w:rPr>
        <w:t>投标人针对报价需要说明的其他文件和说明（格式自拟）。</w:t>
      </w:r>
    </w:p>
    <w:p w14:paraId="43071423">
      <w:pPr>
        <w:autoSpaceDE/>
        <w:autoSpaceDN/>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备注：投标人必须按后附表规定的格式完整、清晰、正确的填写，开标（报价）一览表中不得填报有选择性的报价方案。</w:t>
      </w:r>
    </w:p>
    <w:p w14:paraId="24813855">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（三）投标文件的语言及计量</w:t>
      </w:r>
    </w:p>
    <w:p w14:paraId="0A73A3A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1.投标文件以及投标人与招标人就有关投标事宜的所有来往函电，均应以中文汉语书写。除签名、盖章、专用名称等特殊情形外，以中文汉语以外的文字表述的投标文件视同未提供。</w:t>
      </w:r>
    </w:p>
    <w:p w14:paraId="149B473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2.投标计量单位，招标文件已有明确规定的，使用招标文件规定的计量单位。招标文件没有规定的，应采用中华人民共和国法定计量单位（货币单位：人民币元），否则视同未响应。</w:t>
      </w:r>
    </w:p>
    <w:p w14:paraId="60765B72">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（四）投标报价</w:t>
      </w:r>
    </w:p>
    <w:p w14:paraId="259E153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bCs/>
          <w:color w:val="auto"/>
          <w:sz w:val="21"/>
          <w:highlight w:val="none"/>
        </w:rPr>
        <w:t>本项目</w:t>
      </w:r>
      <w:r>
        <w:rPr>
          <w:rFonts w:hint="eastAsia" w:hAnsi="宋体" w:cs="宋体"/>
          <w:color w:val="auto"/>
          <w:sz w:val="21"/>
          <w:szCs w:val="21"/>
          <w:highlight w:val="none"/>
        </w:rPr>
        <w:t>投标报价应按招标文件中相关附表格式填写。</w:t>
      </w:r>
    </w:p>
    <w:p w14:paraId="266E9BBC">
      <w:pPr>
        <w:widowControl/>
        <w:autoSpaceDE/>
        <w:autoSpaceDN/>
        <w:snapToGrid w:val="0"/>
        <w:spacing w:line="500" w:lineRule="exact"/>
        <w:ind w:firstLine="420" w:firstLineChars="200"/>
        <w:rPr>
          <w:rFonts w:hint="eastAsia" w:hAnsi="宋体" w:cs="宋体"/>
          <w:bCs/>
          <w:color w:val="auto"/>
          <w:sz w:val="21"/>
          <w:szCs w:val="21"/>
          <w:highlight w:val="none"/>
        </w:rPr>
      </w:pPr>
      <w:r>
        <w:rPr>
          <w:rFonts w:hint="eastAsia" w:hAnsi="宋体" w:cs="Arial"/>
          <w:color w:val="auto"/>
          <w:sz w:val="21"/>
          <w:szCs w:val="21"/>
          <w:highlight w:val="none"/>
        </w:rPr>
        <w:t>★</w:t>
      </w:r>
      <w:r>
        <w:rPr>
          <w:rFonts w:hint="eastAsia" w:hAnsi="宋体" w:cs="宋体"/>
          <w:color w:val="auto"/>
          <w:sz w:val="21"/>
          <w:szCs w:val="21"/>
          <w:highlight w:val="none"/>
        </w:rPr>
        <w:t>2.投标报价是履行合同的最终价格，即投标人的报价是投标人响应本项目要求的各项工作内容的价格体现，投标报价包括但不限于维修养护费、设备使用费、备品备件、专用工具、包装、运输、装卸、保险、税金、保修、、政策性文件规定和合同包含的所有风险责任及各项乙方承担的检测费、验收费、招标代理费等直至交付使用所发生的一切费用，投标人应参照国家的相应标准，结合自身综合实力、市场行情、本项目具体特点和技术维护要求进行报价。除政策性文件规定以外，中标价格在合同实施期间不因市场变化因素而变动</w:t>
      </w:r>
      <w:r>
        <w:rPr>
          <w:rFonts w:hint="eastAsia" w:hAnsi="宋体" w:cs="宋体"/>
          <w:bCs/>
          <w:color w:val="auto"/>
          <w:sz w:val="21"/>
          <w:szCs w:val="21"/>
          <w:highlight w:val="none"/>
        </w:rPr>
        <w:t>。</w:t>
      </w:r>
    </w:p>
    <w:p w14:paraId="7ECA4D43">
      <w:pPr>
        <w:numPr>
          <w:ilvl w:val="0"/>
          <w:numId w:val="0"/>
        </w:num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b/>
          <w:bCs/>
          <w:color w:val="auto"/>
          <w:sz w:val="21"/>
          <w:szCs w:val="21"/>
          <w:highlight w:val="none"/>
        </w:rPr>
        <w:t>3.</w:t>
      </w:r>
      <w:r>
        <w:rPr>
          <w:rFonts w:hAnsi="宋体"/>
          <w:b/>
          <w:bCs/>
          <w:color w:val="auto"/>
          <w:sz w:val="21"/>
          <w:szCs w:val="21"/>
          <w:highlight w:val="none"/>
        </w:rPr>
        <w:t>本项目设有</w:t>
      </w:r>
      <w:r>
        <w:rPr>
          <w:rFonts w:hint="eastAsia" w:hAnsi="宋体"/>
          <w:b/>
          <w:bCs/>
          <w:color w:val="auto"/>
          <w:sz w:val="21"/>
          <w:szCs w:val="21"/>
          <w:highlight w:val="none"/>
        </w:rPr>
        <w:t>最高限价（人民币</w:t>
      </w:r>
      <w:r>
        <w:rPr>
          <w:rFonts w:hint="eastAsia" w:hAnsi="宋体"/>
          <w:b/>
          <w:bCs/>
          <w:color w:val="auto"/>
          <w:sz w:val="21"/>
          <w:szCs w:val="21"/>
          <w:highlight w:val="none"/>
          <w:u w:val="single"/>
          <w:lang w:eastAsia="zh-CN"/>
        </w:rPr>
        <w:t>1519100</w:t>
      </w:r>
      <w:r>
        <w:rPr>
          <w:rFonts w:hint="eastAsia" w:hAnsi="宋体" w:cs="宋体"/>
          <w:b/>
          <w:color w:val="auto"/>
          <w:sz w:val="21"/>
          <w:szCs w:val="21"/>
          <w:highlight w:val="none"/>
          <w:lang w:val="en-US" w:eastAsia="zh-CN"/>
        </w:rPr>
        <w:t>元</w:t>
      </w:r>
      <w:r>
        <w:rPr>
          <w:rFonts w:hint="eastAsia" w:hAnsi="宋体"/>
          <w:b/>
          <w:bCs/>
          <w:color w:val="auto"/>
          <w:sz w:val="21"/>
          <w:szCs w:val="21"/>
          <w:highlight w:val="none"/>
        </w:rPr>
        <w:t>）</w:t>
      </w:r>
      <w:r>
        <w:rPr>
          <w:rFonts w:hAnsi="宋体"/>
          <w:b/>
          <w:bCs/>
          <w:color w:val="auto"/>
          <w:sz w:val="21"/>
          <w:szCs w:val="21"/>
          <w:highlight w:val="none"/>
        </w:rPr>
        <w:t>，</w:t>
      </w:r>
      <w:r>
        <w:rPr>
          <w:rFonts w:hint="eastAsia" w:hAnsi="宋体"/>
          <w:b/>
          <w:bCs/>
          <w:color w:val="auto"/>
          <w:sz w:val="21"/>
          <w:szCs w:val="21"/>
          <w:highlight w:val="none"/>
          <w:lang w:eastAsia="zh-CN"/>
        </w:rPr>
        <w:t>详见招标需求</w:t>
      </w:r>
      <w:r>
        <w:rPr>
          <w:rFonts w:hint="eastAsia" w:ascii="宋体" w:hAnsi="宋体" w:eastAsia="宋体" w:cs="宋体"/>
          <w:b/>
          <w:bCs/>
          <w:color w:val="auto"/>
          <w:sz w:val="21"/>
          <w:szCs w:val="21"/>
          <w:highlight w:val="none"/>
          <w:lang w:eastAsia="zh-CN"/>
        </w:rPr>
        <w:t>，</w:t>
      </w:r>
      <w:r>
        <w:rPr>
          <w:rFonts w:hint="eastAsia" w:hAnsi="宋体"/>
          <w:b/>
          <w:bCs/>
          <w:color w:val="auto"/>
          <w:sz w:val="21"/>
          <w:szCs w:val="21"/>
          <w:highlight w:val="none"/>
        </w:rPr>
        <w:t>超过投标报价最高限价时，</w:t>
      </w:r>
      <w:r>
        <w:rPr>
          <w:rFonts w:hAnsi="宋体"/>
          <w:b/>
          <w:bCs/>
          <w:color w:val="auto"/>
          <w:sz w:val="21"/>
          <w:szCs w:val="21"/>
          <w:highlight w:val="none"/>
        </w:rPr>
        <w:t>其投标作无效标处理</w:t>
      </w:r>
      <w:r>
        <w:rPr>
          <w:rFonts w:hint="eastAsia" w:hAnsi="宋体"/>
          <w:b/>
          <w:bCs/>
          <w:color w:val="auto"/>
          <w:sz w:val="21"/>
          <w:szCs w:val="21"/>
          <w:highlight w:val="none"/>
        </w:rPr>
        <w:t>。</w:t>
      </w:r>
    </w:p>
    <w:p w14:paraId="5CB900A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bCs/>
          <w:color w:val="auto"/>
          <w:sz w:val="21"/>
          <w:szCs w:val="21"/>
          <w:highlight w:val="none"/>
        </w:rPr>
        <w:t>★</w:t>
      </w:r>
      <w:r>
        <w:rPr>
          <w:rFonts w:hint="eastAsia" w:hAnsi="宋体" w:cs="宋体"/>
          <w:color w:val="auto"/>
          <w:sz w:val="21"/>
          <w:szCs w:val="21"/>
          <w:highlight w:val="none"/>
        </w:rPr>
        <w:t>4.投标文件只允许有一个报价，有选择的或有条件的报价将不予接受。</w:t>
      </w:r>
    </w:p>
    <w:p w14:paraId="716CAB29">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（五）投标文件的有效期</w:t>
      </w:r>
    </w:p>
    <w:p w14:paraId="5233732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bCs/>
          <w:color w:val="auto"/>
          <w:sz w:val="21"/>
          <w:szCs w:val="21"/>
          <w:highlight w:val="none"/>
        </w:rPr>
        <w:t>★</w:t>
      </w:r>
      <w:r>
        <w:rPr>
          <w:rFonts w:hint="eastAsia" w:hAnsi="宋体" w:cs="宋体"/>
          <w:color w:val="auto"/>
          <w:sz w:val="21"/>
          <w:szCs w:val="21"/>
          <w:highlight w:val="none"/>
        </w:rPr>
        <w:t>1.自投标截止日起90天投标文件应保持有效。有效期不足的投标文件将被拒绝。</w:t>
      </w:r>
    </w:p>
    <w:p w14:paraId="1037176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2.在特殊情况下，招标人可与投标人协商延长投标书的有效期，这种要求和答复均以书面形式进行。</w:t>
      </w:r>
    </w:p>
    <w:p w14:paraId="1629D472">
      <w:pPr>
        <w:spacing w:line="500" w:lineRule="exact"/>
        <w:ind w:firstLine="420" w:firstLineChars="200"/>
        <w:rPr>
          <w:rFonts w:hint="eastAsia" w:hAnsi="宋体" w:cs="宋体"/>
          <w:color w:val="auto"/>
          <w:highlight w:val="none"/>
        </w:rPr>
      </w:pPr>
      <w:r>
        <w:rPr>
          <w:rFonts w:hint="eastAsia" w:hAnsi="宋体" w:cs="宋体"/>
          <w:color w:val="auto"/>
          <w:sz w:val="21"/>
          <w:szCs w:val="21"/>
          <w:highlight w:val="none"/>
        </w:rPr>
        <w:t>3.投标人可拒绝接受延期要求。同意延长有效期的，不能以此为由修改投标文件。</w:t>
      </w:r>
    </w:p>
    <w:p w14:paraId="186C80E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4.中标人的投标文件自开标之日起至合同履行完毕止均应保持有效。</w:t>
      </w:r>
    </w:p>
    <w:p w14:paraId="2236E05E">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（六）投标文件的签署和份数</w:t>
      </w:r>
    </w:p>
    <w:p w14:paraId="5D3702FC">
      <w:pPr>
        <w:widowControl/>
        <w:snapToGrid w:val="0"/>
        <w:spacing w:line="500" w:lineRule="exact"/>
        <w:ind w:firstLine="420"/>
        <w:rPr>
          <w:rFonts w:hint="eastAsia" w:hAnsi="宋体" w:cs="宋体"/>
          <w:color w:val="auto"/>
          <w:sz w:val="21"/>
          <w:highlight w:val="none"/>
        </w:rPr>
      </w:pPr>
      <w:r>
        <w:rPr>
          <w:rFonts w:hint="eastAsia" w:hAnsi="宋体" w:cs="宋体"/>
          <w:color w:val="auto"/>
          <w:sz w:val="21"/>
          <w:szCs w:val="24"/>
          <w:highlight w:val="none"/>
        </w:rPr>
        <w:t>1.</w:t>
      </w:r>
      <w:r>
        <w:rPr>
          <w:rFonts w:hint="eastAsia" w:hAnsi="宋体" w:cs="宋体"/>
          <w:color w:val="auto"/>
          <w:sz w:val="21"/>
          <w:highlight w:val="none"/>
        </w:rPr>
        <w:t>电子投标文件部分：</w:t>
      </w:r>
    </w:p>
    <w:p w14:paraId="0985F80A">
      <w:pPr>
        <w:widowControl/>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投标人应根据“政采云供应商项目采购－电子交易操作指南”及本招标文件规定的格式和顺序编制电子投标文件并进行关联定位。</w:t>
      </w:r>
    </w:p>
    <w:p w14:paraId="09E4E88E">
      <w:pPr>
        <w:widowControl/>
        <w:autoSpaceDE/>
        <w:autoSpaceDN/>
        <w:adjustRightInd/>
        <w:snapToGrid w:val="0"/>
        <w:spacing w:line="500" w:lineRule="exact"/>
        <w:ind w:firstLine="420" w:firstLineChars="200"/>
        <w:rPr>
          <w:rFonts w:hint="eastAsia" w:hAnsi="宋体" w:cs="宋体"/>
          <w:color w:val="auto"/>
          <w:sz w:val="21"/>
          <w:highlight w:val="none"/>
        </w:rPr>
      </w:pPr>
      <w:r>
        <w:rPr>
          <w:rFonts w:hint="eastAsia" w:hAnsi="宋体" w:cs="宋体"/>
          <w:color w:val="auto"/>
          <w:sz w:val="21"/>
          <w:highlight w:val="none"/>
        </w:rPr>
        <w:t>2.投标文件的盖章：投标文件中所涉及的加盖公章均可采用CA电子签章，或投标单位可以线下盖章后扫描上传。</w:t>
      </w:r>
    </w:p>
    <w:p w14:paraId="174923E7">
      <w:pPr>
        <w:autoSpaceDE/>
        <w:autoSpaceDN/>
        <w:adjustRightInd/>
        <w:spacing w:line="500" w:lineRule="exact"/>
        <w:ind w:firstLine="420" w:firstLineChars="200"/>
        <w:jc w:val="both"/>
        <w:rPr>
          <w:rFonts w:hint="eastAsia" w:hAnsi="宋体" w:cs="宋体"/>
          <w:b/>
          <w:color w:val="auto"/>
          <w:sz w:val="21"/>
          <w:szCs w:val="21"/>
          <w:highlight w:val="none"/>
        </w:rPr>
      </w:pPr>
      <w:r>
        <w:rPr>
          <w:rFonts w:hint="eastAsia" w:hAnsi="宋体" w:cs="宋体"/>
          <w:color w:val="auto"/>
          <w:sz w:val="21"/>
          <w:highlight w:val="none"/>
        </w:rPr>
        <w:t>3.法定代表人或其授权代表签字或盖章：本招标文件所涉及的法定代表人或其授权代表签字或盖章的内容，投标单位可采用法定代表人电子签章，也可以线下签字或盖章后扫描上传。</w:t>
      </w:r>
    </w:p>
    <w:p w14:paraId="1EE5E4FE">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（七）投标文件的包装、递交、修改和撤回</w:t>
      </w:r>
    </w:p>
    <w:p w14:paraId="01D04416">
      <w:pPr>
        <w:widowControl/>
        <w:autoSpaceDE/>
        <w:autoSpaceDN/>
        <w:adjustRightInd/>
        <w:snapToGrid w:val="0"/>
        <w:spacing w:line="500" w:lineRule="exact"/>
        <w:ind w:firstLine="420"/>
        <w:jc w:val="both"/>
        <w:rPr>
          <w:rFonts w:hint="eastAsia" w:hAnsi="宋体" w:cs="宋体"/>
          <w:b/>
          <w:bCs/>
          <w:color w:val="auto"/>
          <w:sz w:val="21"/>
          <w:szCs w:val="21"/>
          <w:highlight w:val="none"/>
        </w:rPr>
      </w:pPr>
      <w:r>
        <w:rPr>
          <w:rFonts w:hint="eastAsia" w:hAnsi="宋体" w:cs="宋体"/>
          <w:b/>
          <w:bCs/>
          <w:color w:val="auto"/>
          <w:sz w:val="21"/>
          <w:szCs w:val="21"/>
          <w:highlight w:val="none"/>
        </w:rPr>
        <w:t>1.投标人应当在投标截止时间前在“政采云”（电子交易平台）上自行上传加密的电子投标文件。</w:t>
      </w:r>
    </w:p>
    <w:p w14:paraId="13B9236D">
      <w:pPr>
        <w:autoSpaceDE/>
        <w:autoSpaceDN/>
        <w:adjustRightInd/>
        <w:snapToGrid w:val="0"/>
        <w:spacing w:line="500" w:lineRule="exact"/>
        <w:ind w:firstLine="420" w:firstLineChars="200"/>
        <w:jc w:val="both"/>
        <w:rPr>
          <w:rFonts w:hint="eastAsia" w:hAnsi="宋体" w:cs="宋体"/>
          <w:b/>
          <w:bCs/>
          <w:color w:val="auto"/>
          <w:sz w:val="21"/>
          <w:szCs w:val="21"/>
          <w:highlight w:val="none"/>
        </w:rPr>
      </w:pPr>
      <w:r>
        <w:rPr>
          <w:rFonts w:hint="eastAsia" w:hAnsi="宋体" w:cs="宋体"/>
          <w:color w:val="auto"/>
          <w:sz w:val="21"/>
          <w:szCs w:val="21"/>
          <w:highlight w:val="none"/>
        </w:rPr>
        <w:t>★2.投标人未在“政采云”（电子交易平台）上自行上传加密的电子投标文件，投标无效。</w:t>
      </w:r>
    </w:p>
    <w:p w14:paraId="180A1A59">
      <w:pPr>
        <w:autoSpaceDE/>
        <w:autoSpaceDN/>
        <w:adjustRightInd/>
        <w:snapToGrid w:val="0"/>
        <w:spacing w:line="500" w:lineRule="exact"/>
        <w:ind w:firstLine="422" w:firstLineChars="200"/>
        <w:jc w:val="both"/>
        <w:rPr>
          <w:rFonts w:hint="eastAsia" w:hAnsi="宋体" w:cs="宋体"/>
          <w:b/>
          <w:bCs/>
          <w:color w:val="auto"/>
          <w:sz w:val="21"/>
          <w:szCs w:val="21"/>
          <w:highlight w:val="none"/>
        </w:rPr>
      </w:pPr>
      <w:r>
        <w:rPr>
          <w:rFonts w:hint="eastAsia" w:hAnsi="宋体" w:cs="宋体"/>
          <w:b/>
          <w:bCs/>
          <w:color w:val="auto"/>
          <w:sz w:val="21"/>
          <w:szCs w:val="21"/>
          <w:highlight w:val="none"/>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C9AAD67">
      <w:pPr>
        <w:widowControl/>
        <w:tabs>
          <w:tab w:val="left" w:pos="1260"/>
        </w:tabs>
        <w:autoSpaceDE/>
        <w:autoSpaceDN/>
        <w:adjustRightInd/>
        <w:snapToGrid w:val="0"/>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截止开标时间，政采云（电子交易平台）自动提取所有投标文件，投标人须在解密时限内完成解密，解密时限由财政部门设置，投标人在规定的时间内都已解密完成，则系统自动结束解密，采购代理机构开启投标文件；投标人超过解密时限的，系统默认自动放弃。</w:t>
      </w:r>
    </w:p>
    <w:p w14:paraId="0C915CC3">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（八）投标无效的情形</w:t>
      </w:r>
    </w:p>
    <w:p w14:paraId="54139952">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2689F4F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1.在符合性审查和商务评审时，如发现下列情形之一的，投标文件将被视为无效：</w:t>
      </w:r>
    </w:p>
    <w:p w14:paraId="4727C3E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（1）资格证明文件不全的，或者不符合招标文件标明的资格要求的；</w:t>
      </w:r>
    </w:p>
    <w:p w14:paraId="37AF9AD6">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（2）投标文件无法定代表人或其授权代表签字，或未提供法定代表人授权委托书或者填写项目不齐全的；</w:t>
      </w:r>
    </w:p>
    <w:p w14:paraId="4CA7A5B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（3）投标代表人未能出具身份证明或与法定代表人授权委托人身份不符的；</w:t>
      </w:r>
    </w:p>
    <w:p w14:paraId="04351802">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（4）投标文件格式不规范、项目不齐全或者内容虚假的；</w:t>
      </w:r>
    </w:p>
    <w:p w14:paraId="669A463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（5）投标文件的实质性内容未使用中文表述、意思表述不明确、前后矛盾或者使用计量单位不符合招标文件要求的（经评标委员会认定并允许其当场更正的笔误除外）；</w:t>
      </w:r>
    </w:p>
    <w:p w14:paraId="278C23D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（6）</w:t>
      </w:r>
      <w:r>
        <w:rPr>
          <w:rFonts w:hint="eastAsia" w:hAnsi="宋体" w:cs="宋体"/>
          <w:color w:val="auto"/>
          <w:sz w:val="21"/>
          <w:highlight w:val="none"/>
        </w:rPr>
        <w:t>投标有效期、服务时间、付款方式等商务条款不能满足招标文件要求的</w:t>
      </w:r>
      <w:r>
        <w:rPr>
          <w:rFonts w:hint="eastAsia" w:hAnsi="宋体" w:cs="宋体"/>
          <w:color w:val="auto"/>
          <w:sz w:val="21"/>
          <w:szCs w:val="21"/>
          <w:highlight w:val="none"/>
        </w:rPr>
        <w:t>；</w:t>
      </w:r>
    </w:p>
    <w:p w14:paraId="054C54E9">
      <w:pPr>
        <w:autoSpaceDE/>
        <w:autoSpaceDN/>
        <w:adjustRightInd/>
        <w:spacing w:line="500" w:lineRule="exact"/>
        <w:ind w:firstLine="420" w:firstLineChars="200"/>
        <w:jc w:val="both"/>
        <w:rPr>
          <w:rFonts w:hint="eastAsia" w:hAnsi="宋体" w:cs="Arial"/>
          <w:color w:val="auto"/>
          <w:sz w:val="21"/>
          <w:szCs w:val="21"/>
          <w:highlight w:val="none"/>
        </w:rPr>
      </w:pPr>
      <w:r>
        <w:rPr>
          <w:rFonts w:hint="eastAsia" w:hAnsi="宋体" w:cs="宋体"/>
          <w:color w:val="auto"/>
          <w:sz w:val="21"/>
          <w:highlight w:val="none"/>
        </w:rPr>
        <w:t>（7）</w:t>
      </w:r>
      <w:r>
        <w:rPr>
          <w:rFonts w:hint="eastAsia" w:hAnsi="宋体" w:cs="Arial"/>
          <w:color w:val="auto"/>
          <w:sz w:val="21"/>
          <w:szCs w:val="21"/>
          <w:highlight w:val="none"/>
        </w:rPr>
        <w:t>联合体投标的没有提交共同投标协议（联合协议）的；</w:t>
      </w:r>
    </w:p>
    <w:p w14:paraId="2B138D1C">
      <w:pPr>
        <w:autoSpaceDE/>
        <w:autoSpaceDN/>
        <w:adjustRightInd/>
        <w:spacing w:line="500" w:lineRule="exact"/>
        <w:ind w:firstLine="420" w:firstLineChars="200"/>
        <w:jc w:val="both"/>
        <w:rPr>
          <w:rFonts w:hint="eastAsia" w:hAnsi="宋体" w:cs="Arial"/>
          <w:color w:val="auto"/>
          <w:sz w:val="21"/>
          <w:szCs w:val="21"/>
          <w:highlight w:val="none"/>
        </w:rPr>
      </w:pPr>
      <w:r>
        <w:rPr>
          <w:rFonts w:hint="eastAsia" w:hAnsi="宋体"/>
          <w:color w:val="auto"/>
          <w:sz w:val="21"/>
          <w:szCs w:val="21"/>
          <w:highlight w:val="none"/>
        </w:rPr>
        <w:t>（8）分包时</w:t>
      </w:r>
      <w:r>
        <w:rPr>
          <w:rFonts w:hint="eastAsia" w:hAnsi="宋体" w:cs="宋体"/>
          <w:color w:val="auto"/>
          <w:sz w:val="21"/>
          <w:szCs w:val="21"/>
          <w:highlight w:val="none"/>
        </w:rPr>
        <w:t>没有提供</w:t>
      </w:r>
      <w:r>
        <w:rPr>
          <w:rFonts w:hint="eastAsia" w:hAnsi="宋体"/>
          <w:color w:val="auto"/>
          <w:sz w:val="21"/>
          <w:szCs w:val="21"/>
          <w:highlight w:val="none"/>
        </w:rPr>
        <w:t>分包意向协议的</w:t>
      </w:r>
      <w:r>
        <w:rPr>
          <w:rFonts w:hint="eastAsia" w:hAnsi="宋体" w:cs="宋体"/>
          <w:color w:val="auto"/>
          <w:sz w:val="21"/>
          <w:szCs w:val="21"/>
          <w:highlight w:val="none"/>
        </w:rPr>
        <w:t>；</w:t>
      </w:r>
    </w:p>
    <w:p w14:paraId="2EDBB807">
      <w:pPr>
        <w:autoSpaceDE/>
        <w:autoSpaceDN/>
        <w:adjustRightInd/>
        <w:spacing w:line="500" w:lineRule="exact"/>
        <w:ind w:firstLine="420" w:firstLineChars="200"/>
        <w:jc w:val="both"/>
        <w:rPr>
          <w:rFonts w:hint="eastAsia" w:hAnsi="宋体" w:cs="Arial"/>
          <w:color w:val="auto"/>
          <w:sz w:val="21"/>
          <w:szCs w:val="21"/>
          <w:highlight w:val="none"/>
        </w:rPr>
      </w:pPr>
      <w:r>
        <w:rPr>
          <w:rFonts w:hint="eastAsia" w:hAnsi="宋体" w:cs="Arial"/>
          <w:color w:val="auto"/>
          <w:sz w:val="21"/>
          <w:szCs w:val="21"/>
          <w:highlight w:val="none"/>
        </w:rPr>
        <w:t>（9）电子投标文件解密失败的；</w:t>
      </w:r>
    </w:p>
    <w:p w14:paraId="5FBD59A8">
      <w:pPr>
        <w:autoSpaceDE/>
        <w:autoSpaceDN/>
        <w:adjustRightInd/>
        <w:spacing w:line="500" w:lineRule="exact"/>
        <w:ind w:firstLine="420" w:firstLineChars="200"/>
        <w:jc w:val="both"/>
        <w:rPr>
          <w:rFonts w:hint="eastAsia" w:hAnsi="宋体" w:cs="宋体"/>
          <w:color w:val="auto"/>
          <w:sz w:val="21"/>
          <w:szCs w:val="21"/>
          <w:highlight w:val="none"/>
        </w:rPr>
      </w:pPr>
      <w:r>
        <w:rPr>
          <w:rFonts w:hAnsi="宋体" w:cs="Arial"/>
          <w:color w:val="auto"/>
          <w:sz w:val="21"/>
          <w:szCs w:val="21"/>
          <w:highlight w:val="none"/>
        </w:rPr>
        <w:t>（</w:t>
      </w:r>
      <w:r>
        <w:rPr>
          <w:rFonts w:hint="eastAsia" w:hAnsi="宋体" w:cs="Arial"/>
          <w:color w:val="auto"/>
          <w:sz w:val="21"/>
          <w:szCs w:val="21"/>
          <w:highlight w:val="none"/>
        </w:rPr>
        <w:t>10</w:t>
      </w:r>
      <w:r>
        <w:rPr>
          <w:rFonts w:hAnsi="宋体" w:cs="Arial"/>
          <w:color w:val="auto"/>
          <w:sz w:val="21"/>
          <w:szCs w:val="21"/>
          <w:highlight w:val="none"/>
        </w:rPr>
        <w:t>）</w:t>
      </w:r>
      <w:r>
        <w:rPr>
          <w:rFonts w:hint="eastAsia" w:hAnsi="宋体" w:cs="Arial"/>
          <w:color w:val="auto"/>
          <w:sz w:val="21"/>
          <w:szCs w:val="21"/>
          <w:highlight w:val="none"/>
        </w:rPr>
        <w:t>未实质性</w:t>
      </w:r>
      <w:r>
        <w:rPr>
          <w:rFonts w:hAnsi="宋体" w:cs="Arial"/>
          <w:color w:val="auto"/>
          <w:sz w:val="21"/>
          <w:szCs w:val="21"/>
          <w:highlight w:val="none"/>
        </w:rPr>
        <w:t>响应招标文件要求或者投标文件有招标</w:t>
      </w:r>
      <w:r>
        <w:rPr>
          <w:rFonts w:hint="eastAsia" w:hAnsi="宋体" w:cs="Arial"/>
          <w:color w:val="auto"/>
          <w:sz w:val="21"/>
          <w:szCs w:val="21"/>
          <w:highlight w:val="none"/>
        </w:rPr>
        <w:t>人</w:t>
      </w:r>
      <w:r>
        <w:rPr>
          <w:rFonts w:hAnsi="宋体" w:cs="Arial"/>
          <w:color w:val="auto"/>
          <w:sz w:val="21"/>
          <w:szCs w:val="21"/>
          <w:highlight w:val="none"/>
        </w:rPr>
        <w:t>不能接受的附加条件的</w:t>
      </w:r>
      <w:r>
        <w:rPr>
          <w:rFonts w:hint="eastAsia" w:hAnsi="宋体" w:cs="Arial"/>
          <w:color w:val="auto"/>
          <w:sz w:val="21"/>
          <w:szCs w:val="21"/>
          <w:highlight w:val="none"/>
        </w:rPr>
        <w:t>。</w:t>
      </w:r>
    </w:p>
    <w:p w14:paraId="480B0FB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2.在技术评审时，如发现下列情形之一的，投标文件将被视为无效：</w:t>
      </w:r>
    </w:p>
    <w:p w14:paraId="33BFF8F2">
      <w:pPr>
        <w:autoSpaceDE/>
        <w:autoSpaceDN/>
        <w:adjustRightInd/>
        <w:spacing w:line="50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（1）不符合法律法规和招标文件中规定的其他实质性要求的（评标委员会一致认定）的；</w:t>
      </w:r>
    </w:p>
    <w:p w14:paraId="728D40F3">
      <w:pPr>
        <w:autoSpaceDE/>
        <w:autoSpaceDN/>
        <w:adjustRightInd/>
        <w:spacing w:line="500" w:lineRule="exact"/>
        <w:ind w:firstLine="315" w:firstLineChars="150"/>
        <w:jc w:val="both"/>
        <w:rPr>
          <w:rFonts w:hint="eastAsia" w:hAnsi="宋体" w:cs="宋体"/>
          <w:color w:val="auto"/>
          <w:sz w:val="21"/>
          <w:szCs w:val="21"/>
          <w:highlight w:val="none"/>
        </w:rPr>
      </w:pPr>
      <w:r>
        <w:rPr>
          <w:rFonts w:hint="eastAsia" w:hAnsi="宋体" w:cs="宋体"/>
          <w:color w:val="auto"/>
          <w:sz w:val="21"/>
          <w:szCs w:val="21"/>
          <w:highlight w:val="none"/>
        </w:rPr>
        <w:t>（2）明显不符合招标文件服务要求、服务质量标准，或者与招标文件中标“★”的服务要求项目发生实质性偏离的；</w:t>
      </w:r>
    </w:p>
    <w:p w14:paraId="3FEB875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（3）允许偏离的技术、性能指标或者辅助功能项目发生负偏离达10项（含）以上的；</w:t>
      </w:r>
    </w:p>
    <w:p w14:paraId="7C0C98A4">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（4）投标技术方案不明确，存在一个或一个以上备选（替代）投标方案的；</w:t>
      </w:r>
    </w:p>
    <w:p w14:paraId="0D1E459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（5）与其他参加本次投标供应商的投标文件（技术文件）的文字表述内容相同连续20行以上或者差错相同2处以上的。</w:t>
      </w:r>
    </w:p>
    <w:p w14:paraId="54F8624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3.在报价评审时，如发现下列情形之一的，投标文件将被视为无效：</w:t>
      </w:r>
    </w:p>
    <w:p w14:paraId="00B144F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（1）未采用人民币报价或者未按照招标文件标明的币种报价的；</w:t>
      </w:r>
    </w:p>
    <w:p w14:paraId="766CC75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（2）投标报价具有选择性，或者开标价格与投标文件承诺的优惠（折扣）价格不一致</w:t>
      </w:r>
      <w:r>
        <w:rPr>
          <w:rFonts w:hint="eastAsia" w:hAnsi="宋体" w:cs="Arial"/>
          <w:color w:val="auto"/>
          <w:sz w:val="21"/>
          <w:szCs w:val="21"/>
          <w:highlight w:val="none"/>
        </w:rPr>
        <w:t>且未按要求进行修正</w:t>
      </w:r>
      <w:r>
        <w:rPr>
          <w:rFonts w:hAnsi="宋体" w:cs="Arial"/>
          <w:color w:val="auto"/>
          <w:sz w:val="21"/>
          <w:szCs w:val="21"/>
          <w:highlight w:val="none"/>
        </w:rPr>
        <w:t>的</w:t>
      </w:r>
      <w:r>
        <w:rPr>
          <w:rFonts w:hint="eastAsia" w:hAnsi="宋体" w:cs="宋体"/>
          <w:color w:val="auto"/>
          <w:sz w:val="21"/>
          <w:szCs w:val="21"/>
          <w:highlight w:val="none"/>
        </w:rPr>
        <w:t>；</w:t>
      </w:r>
    </w:p>
    <w:p w14:paraId="2DA2C87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（3）投标报价明细表总额与开标（报价）一览表总价不一致，且投标人拒绝按招标文件规定的方式进行错误修正的；</w:t>
      </w:r>
    </w:p>
    <w:p w14:paraId="0509FF79">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（4）投标人的投标报价超过最高限价的；</w:t>
      </w:r>
    </w:p>
    <w:p w14:paraId="0334E2D4">
      <w:pPr>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评标委员会一致认为将获得中标候选资格的投标人报价或某些分项报价明显不合理，有降低质量、不能诚信履约的可能，且该投标人未在规定期限内作出解释，或所作解释不合理，经评标委员会取得一致意见后，确定该投标无效的；</w:t>
      </w:r>
    </w:p>
    <w:p w14:paraId="58A48DB0">
      <w:pPr>
        <w:autoSpaceDE/>
        <w:autoSpaceDN/>
        <w:adjustRightInd/>
        <w:snapToGrid w:val="0"/>
        <w:spacing w:line="500" w:lineRule="exact"/>
        <w:ind w:firstLine="420"/>
        <w:rPr>
          <w:rFonts w:hint="eastAsia" w:hAnsi="宋体" w:cs="宋体"/>
          <w:color w:val="auto"/>
          <w:sz w:val="21"/>
          <w:szCs w:val="21"/>
          <w:highlight w:val="none"/>
        </w:rPr>
      </w:pPr>
      <w:r>
        <w:rPr>
          <w:rFonts w:hint="eastAsia" w:hAnsi="宋体" w:cs="宋体"/>
          <w:color w:val="auto"/>
          <w:sz w:val="21"/>
          <w:highlight w:val="none"/>
        </w:rPr>
        <w:t>（6）投标人在线制作投标文件时《开标（报价）一览表》中填写的金额与解密后“电子加密投标文件”中《开标（报价）一览表》填写的金额不一致的，以解密后“电子加密投标文件”中《开标（报价）一览表》填写的金额为准，投标供应商拒绝接受此调整的，按无效投标处理；</w:t>
      </w:r>
    </w:p>
    <w:p w14:paraId="7DCDBA16">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szCs w:val="21"/>
          <w:highlight w:val="none"/>
        </w:rPr>
        <w:t>4.</w:t>
      </w:r>
      <w:r>
        <w:rPr>
          <w:rFonts w:hint="eastAsia" w:hAnsi="宋体" w:cs="宋体"/>
          <w:color w:val="auto"/>
          <w:sz w:val="21"/>
          <w:highlight w:val="none"/>
        </w:rPr>
        <w:t>有下列情形之一的，视为投标人串通投标，其投标无效：</w:t>
      </w:r>
    </w:p>
    <w:p w14:paraId="3E7239C9">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（1）不同投标人的投标文件由同一单位或者个人编制（同一IP地址上传投标、响应文件）；</w:t>
      </w:r>
    </w:p>
    <w:p w14:paraId="4CF62DC7">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（2）不同投标人委托同一单位或者个人办理投标事宜；</w:t>
      </w:r>
    </w:p>
    <w:p w14:paraId="6289F4C3">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（3）不同投标人的投标文件载明的项目管理成员或者联系人员为同一人；</w:t>
      </w:r>
    </w:p>
    <w:p w14:paraId="50F9CCB0">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（4）不同投标人的投标文件异常一致或者投标报价呈规律性差异；</w:t>
      </w:r>
    </w:p>
    <w:p w14:paraId="00AF79CD">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（5）不同投标人的投标文件相互混装；</w:t>
      </w:r>
    </w:p>
    <w:p w14:paraId="086DC69E">
      <w:pPr>
        <w:autoSpaceDE/>
        <w:autoSpaceDN/>
        <w:adjustRightInd/>
        <w:snapToGrid w:val="0"/>
        <w:spacing w:line="500" w:lineRule="exact"/>
        <w:ind w:firstLine="420"/>
        <w:rPr>
          <w:rFonts w:hint="eastAsia" w:hAnsi="宋体" w:cs="宋体"/>
          <w:color w:val="auto"/>
          <w:sz w:val="21"/>
          <w:highlight w:val="none"/>
        </w:rPr>
      </w:pPr>
      <w:r>
        <w:rPr>
          <w:rFonts w:hint="eastAsia" w:hAnsi="宋体" w:cs="宋体"/>
          <w:color w:val="auto"/>
          <w:sz w:val="21"/>
          <w:highlight w:val="none"/>
        </w:rPr>
        <w:t>（6）不同投标人的投标保证金从同一单位或者个人的账户转出。</w:t>
      </w:r>
    </w:p>
    <w:p w14:paraId="7276FD07">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5.被拒绝的投标文件为无效投标文件。</w:t>
      </w:r>
    </w:p>
    <w:p w14:paraId="36077AA6">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四、开标</w:t>
      </w:r>
    </w:p>
    <w:p w14:paraId="4C7EDA3B">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1.开标会由采购代理机构主持，宣布开标会议开始；</w:t>
      </w:r>
    </w:p>
    <w:p w14:paraId="5AD4D7F3">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2.在开标后投标供应商登录“政采云”平台，用“项目采购－开标评标”功能进行解密投标文件。</w:t>
      </w:r>
    </w:p>
    <w:p w14:paraId="75749298">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若投标供应商在规定时间内无法解密或解密失败的，视为投标文件撤回。</w:t>
      </w:r>
    </w:p>
    <w:p w14:paraId="5E77507C">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3.采购人或采购代理机构先对投标人的资格进行审查，如评审小组对投标文件有疑问，对投标人进行在线询标，投标人须在澄清截止时间前上传澄清函，若在澄清截止时间前未进行有效澄清的，逾期将不再接受澄清。资格审查不合格的投标人不再进入商务技术文件及报价文件的评审。</w:t>
      </w:r>
    </w:p>
    <w:p w14:paraId="6F584A41">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4.评标委员会先对商务技术文件进行评审，如对投标文件有疑问，对投标人进行在线询标，投标人须在发起的澄清截止时间前上传澄清函，若在发起的澄清截止时间前未进行有效澄清的，逾期将不再接受澄清。商务技术文件不合格的投标人不再进入报价文件评审。</w:t>
      </w:r>
    </w:p>
    <w:p w14:paraId="238FE3D5">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5.资信商务技术文件评审结果在线公布后，在线开启报价文件，并由评标委员会进行报价评审。</w:t>
      </w:r>
      <w:r>
        <w:rPr>
          <w:rFonts w:hint="eastAsia" w:hAnsi="宋体" w:cs="宋体"/>
          <w:color w:val="auto"/>
          <w:sz w:val="21"/>
          <w:highlight w:val="none"/>
        </w:rPr>
        <w:t>投标供应商在线制作投标</w:t>
      </w:r>
      <w:r>
        <w:rPr>
          <w:rFonts w:hint="eastAsia" w:hAnsi="宋体" w:cs="宋体"/>
          <w:color w:val="auto"/>
          <w:sz w:val="21"/>
          <w:szCs w:val="21"/>
          <w:highlight w:val="none"/>
        </w:rPr>
        <w:t>报价</w:t>
      </w:r>
      <w:r>
        <w:rPr>
          <w:rFonts w:hint="eastAsia" w:hAnsi="宋体" w:cs="宋体"/>
          <w:color w:val="auto"/>
          <w:sz w:val="21"/>
          <w:highlight w:val="none"/>
        </w:rPr>
        <w:t>文件中填写的金额与解密后“电子加密投标</w:t>
      </w:r>
      <w:r>
        <w:rPr>
          <w:rFonts w:hint="eastAsia" w:hAnsi="宋体" w:cs="宋体"/>
          <w:color w:val="auto"/>
          <w:sz w:val="21"/>
          <w:szCs w:val="21"/>
          <w:highlight w:val="none"/>
        </w:rPr>
        <w:t>报价</w:t>
      </w:r>
      <w:r>
        <w:rPr>
          <w:rFonts w:hint="eastAsia" w:hAnsi="宋体" w:cs="宋体"/>
          <w:color w:val="auto"/>
          <w:sz w:val="21"/>
          <w:highlight w:val="none"/>
        </w:rPr>
        <w:t>文件”中填写的金额不一致时，以解密后“电子加密投标</w:t>
      </w:r>
      <w:r>
        <w:rPr>
          <w:rFonts w:hint="eastAsia" w:hAnsi="宋体" w:cs="宋体"/>
          <w:color w:val="auto"/>
          <w:sz w:val="21"/>
          <w:szCs w:val="21"/>
          <w:highlight w:val="none"/>
        </w:rPr>
        <w:t>报价</w:t>
      </w:r>
      <w:r>
        <w:rPr>
          <w:rFonts w:hint="eastAsia" w:hAnsi="宋体" w:cs="宋体"/>
          <w:color w:val="auto"/>
          <w:sz w:val="21"/>
          <w:highlight w:val="none"/>
        </w:rPr>
        <w:t>文件”中填写的金额为准，投标供应商拒绝接受此规定的，按无效标处理。</w:t>
      </w:r>
    </w:p>
    <w:p w14:paraId="0641A551">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6.综合评审结果在线公布各投标人得分汇总，并在线提交（宣布）中标候选人。</w:t>
      </w:r>
    </w:p>
    <w:p w14:paraId="72FABACA">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7.评审结束后，代理机构宣布开标结束，并公布采购结果。</w:t>
      </w:r>
    </w:p>
    <w:p w14:paraId="6C05F306">
      <w:pPr>
        <w:autoSpaceDE/>
        <w:autoSpaceDN/>
        <w:adjustRightInd/>
        <w:spacing w:line="500" w:lineRule="exact"/>
        <w:ind w:firstLine="525" w:firstLineChars="250"/>
        <w:jc w:val="both"/>
        <w:rPr>
          <w:rFonts w:hint="eastAsia" w:hAnsi="宋体" w:cs="宋体"/>
          <w:color w:val="auto"/>
          <w:sz w:val="21"/>
          <w:szCs w:val="21"/>
          <w:highlight w:val="none"/>
        </w:rPr>
      </w:pPr>
      <w:r>
        <w:rPr>
          <w:rFonts w:hint="eastAsia" w:hAnsi="宋体" w:cs="宋体"/>
          <w:color w:val="auto"/>
          <w:sz w:val="21"/>
          <w:szCs w:val="21"/>
          <w:highlight w:val="none"/>
        </w:rPr>
        <w:t>注：政采云公司如对电子化开标及评审程序有调整的，按调整后的程序操作。</w:t>
      </w:r>
    </w:p>
    <w:p w14:paraId="2A1C6F7F">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五、评标</w:t>
      </w:r>
    </w:p>
    <w:p w14:paraId="1B25FA7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（一）组建评标委员会</w:t>
      </w:r>
    </w:p>
    <w:p w14:paraId="0F2043F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招标单位和代理机构将根据本项目的特点依法组建评标委员会，评标委员会由招标单位和有关技术、经济等方面五名以上（含五名）单数的专家组成，其中技术、经济等方面的专家不少于成员总数的三分之二。专家统一在浙江省政府采购专家管理系统（政采云）的专家库中随机抽取。</w:t>
      </w:r>
    </w:p>
    <w:p w14:paraId="6384A35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（二）评标的方式</w:t>
      </w:r>
    </w:p>
    <w:p w14:paraId="76B93A8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本项目采用不公开方式评标，评标的依据为招标文件和投标文件。</w:t>
      </w:r>
    </w:p>
    <w:p w14:paraId="42464FC2">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（三）评标程序</w:t>
      </w:r>
    </w:p>
    <w:p w14:paraId="4C94BFE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1.形式审查</w:t>
      </w:r>
    </w:p>
    <w:p w14:paraId="2CF50993">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招标人代表和代理机构工作人员协助评标委员会对投标人的资格和投标文件的完整性、合法性等进行审查。</w:t>
      </w:r>
    </w:p>
    <w:p w14:paraId="1511AF7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2.实质审查与比较</w:t>
      </w:r>
    </w:p>
    <w:p w14:paraId="28B498C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（1）评标委员会审查投标文件的实质性内容是否符合招标文件的实质性要求。</w:t>
      </w:r>
    </w:p>
    <w:p w14:paraId="05E2873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（2）评标委员会将根据投标人的投标文件进行审查、核对，如有疑问，将对投标人进行询标，投标人要向评标委员会澄清有关问题，并最终以书面形式进行答复。</w:t>
      </w:r>
    </w:p>
    <w:p w14:paraId="6066BDF5">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投标人代表未到场或者拒绝澄清或者澄清的内容改变了投标文件的实质性内容的，评标委员会有权对该投标文件作出不利于投标人的评判。</w:t>
      </w:r>
    </w:p>
    <w:p w14:paraId="1D662A5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（3）各投标人的技术商务得分为所有评委的有效评分的算术平均数，由指定专人进行计算复核。</w:t>
      </w:r>
    </w:p>
    <w:p w14:paraId="54554E5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（4）代理机构工作人员协助评标委员会根据本项目的评分标准计算各投标人的投标报价得分。</w:t>
      </w:r>
    </w:p>
    <w:p w14:paraId="4F64386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（5）评标委员会完成评标后，评委对各部分得分汇总，计算出本项目最终得分、评标价等。评标委员会按评标原则推荐中标候选人同时起草评标报告。</w:t>
      </w:r>
    </w:p>
    <w:p w14:paraId="648197D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（四）澄清问题的形式</w:t>
      </w:r>
    </w:p>
    <w:p w14:paraId="3EC159C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038BCA79">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（五）错误修正</w:t>
      </w:r>
    </w:p>
    <w:p w14:paraId="0B848E86">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投标文件如果出现计算或表达上的错误，修正错误的原则如下：</w:t>
      </w:r>
    </w:p>
    <w:p w14:paraId="43A410D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1.开标（报价）一览表总价与投标报价明细表汇总数不一致的，以开标（报价）一览表为准；</w:t>
      </w:r>
    </w:p>
    <w:p w14:paraId="2D0A5A2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2.投标文件的大写金额和小写金额不一致的，以大写金额为准；</w:t>
      </w:r>
    </w:p>
    <w:p w14:paraId="26ED7A2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3.总价金额与按单价汇总金额不一致的，以单价金额计算结果为准；</w:t>
      </w:r>
    </w:p>
    <w:p w14:paraId="17F239F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4.对不同文字文本投标文件的解释发生异议的，以中文文本为准。</w:t>
      </w:r>
    </w:p>
    <w:p w14:paraId="0A46045C">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0852D7B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（六）评标原则和评标办法</w:t>
      </w:r>
    </w:p>
    <w:p w14:paraId="1DDE3C48">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E76EF7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2.评标办法。具体评标内容及评分标准等详见《第四章：评标办法及评分标准》。</w:t>
      </w:r>
    </w:p>
    <w:p w14:paraId="30A4C19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（七）评标过程的监控</w:t>
      </w:r>
    </w:p>
    <w:p w14:paraId="5211036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本项目评标过程实行全程录音、录像监控，投标人在评标过程中所进行的试图影响评标结果的不公正活动，可能导致其投标被拒绝。</w:t>
      </w:r>
    </w:p>
    <w:p w14:paraId="3530844E">
      <w:pPr>
        <w:autoSpaceDE/>
        <w:autoSpaceDN/>
        <w:adjustRightInd/>
        <w:spacing w:line="500" w:lineRule="exact"/>
        <w:ind w:firstLine="422" w:firstLineChars="200"/>
        <w:jc w:val="both"/>
        <w:rPr>
          <w:rFonts w:hint="eastAsia" w:hAnsi="宋体" w:cs="宋体"/>
          <w:b/>
          <w:bCs/>
          <w:color w:val="auto"/>
          <w:sz w:val="21"/>
          <w:szCs w:val="21"/>
          <w:highlight w:val="none"/>
        </w:rPr>
      </w:pPr>
      <w:r>
        <w:rPr>
          <w:rFonts w:hint="eastAsia" w:hAnsi="宋体" w:cs="宋体"/>
          <w:b/>
          <w:bCs/>
          <w:color w:val="auto"/>
          <w:sz w:val="21"/>
          <w:szCs w:val="21"/>
          <w:highlight w:val="none"/>
        </w:rPr>
        <w:t>（八）中止电子交易活动的情形</w:t>
      </w:r>
    </w:p>
    <w:p w14:paraId="658EABAC">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采购过程中出现以下情形，导致电子交易平台无法正常运行，或者无法保证电子交易的公平、公正和安全时，中止电子交易活动：</w:t>
      </w:r>
    </w:p>
    <w:p w14:paraId="5369A700">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1.电子交易平台发生故障而无法登录访问的；</w:t>
      </w:r>
    </w:p>
    <w:p w14:paraId="17C31735">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2.电子交易平台应用或数据库出现错误，不能进行正常操作的；</w:t>
      </w:r>
    </w:p>
    <w:p w14:paraId="03409A13">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3.电子交易平台发现严重安全漏洞，有潜在泄密危险的；</w:t>
      </w:r>
    </w:p>
    <w:p w14:paraId="2AC30938">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4.病毒发作导致不能进行正常操作的；</w:t>
      </w:r>
    </w:p>
    <w:p w14:paraId="20FA43F5">
      <w:pPr>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5.其他无法保证电子交易的公平、公正和安全的情况。</w:t>
      </w:r>
    </w:p>
    <w:p w14:paraId="229E15E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出现前款规定情形，不影响采购公平、公正性的，采购组织机构可以待上述情形消除后继续组织电子交易活动，也可以决定某些环节以纸质形式进行评审；影响或可能影响采购公平、公正性的，应当重新采购。</w:t>
      </w:r>
    </w:p>
    <w:p w14:paraId="0C013F3D">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六、定标</w:t>
      </w:r>
    </w:p>
    <w:p w14:paraId="4547FA2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（一）确定中标人。本项目由招标人（或招标人事先授权评标委员会）确定中标人。</w:t>
      </w:r>
    </w:p>
    <w:p w14:paraId="7B23621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1.采购代理机构在评标结束后2个工作日内将评标报告交招标人确认。</w:t>
      </w:r>
    </w:p>
    <w:p w14:paraId="4B818DF2">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2.投标人对评标结果无异议的，招标人应在收到评标报告后5个工作日内对评标结果进行确认。如有投标人对评标结果提出质疑的，招标人可在质疑处理完毕后确定中标人。</w:t>
      </w:r>
    </w:p>
    <w:p w14:paraId="083FAD8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3.中标结果公示期：1个工作日。</w:t>
      </w:r>
    </w:p>
    <w:p w14:paraId="40E854D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4.中标结果公示的同时采购代理机构以书面形式发出《中标通知书》。</w:t>
      </w:r>
    </w:p>
    <w:p w14:paraId="7BD23ABB">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七、合同授予</w:t>
      </w:r>
    </w:p>
    <w:p w14:paraId="493AF675">
      <w:pPr>
        <w:pStyle w:val="3"/>
        <w:adjustRightInd w:val="0"/>
        <w:snapToGrid w:val="0"/>
        <w:spacing w:line="50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 合同的签订</w:t>
      </w:r>
    </w:p>
    <w:p w14:paraId="2B6CE8F2">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1.1除不可抗力等特殊情况外，招标人原则上应当在中标通知书发出之日起20日内，与中标人按照采购文件确定的事项签订政府采购合同，并在签订之日起2个工作日内将政府采购合同在浙江政府采购网上公告。</w:t>
      </w:r>
    </w:p>
    <w:p w14:paraId="33B468F8">
      <w:pPr>
        <w:pStyle w:val="29"/>
        <w:snapToGrid w:val="0"/>
        <w:spacing w:line="500" w:lineRule="exact"/>
        <w:ind w:firstLine="420"/>
        <w:rPr>
          <w:rFonts w:hAnsi="宋体" w:cs="宋体"/>
          <w:color w:val="auto"/>
          <w:sz w:val="21"/>
          <w:szCs w:val="21"/>
          <w:highlight w:val="none"/>
        </w:rPr>
      </w:pPr>
      <w:r>
        <w:rPr>
          <w:rFonts w:hAnsi="宋体" w:cs="宋体"/>
          <w:color w:val="auto"/>
          <w:sz w:val="21"/>
          <w:szCs w:val="21"/>
          <w:highlight w:val="none"/>
        </w:rPr>
        <w:t>1</w:t>
      </w:r>
      <w:r>
        <w:rPr>
          <w:rFonts w:hAnsi="宋体" w:cs="宋体"/>
          <w:color w:val="auto"/>
          <w:sz w:val="21"/>
          <w:szCs w:val="21"/>
          <w:highlight w:val="none"/>
          <w:lang w:val="zh-CN"/>
        </w:rPr>
        <w:t>.2</w:t>
      </w:r>
      <w:r>
        <w:rPr>
          <w:rFonts w:hint="eastAsia" w:hAnsi="宋体" w:cs="宋体"/>
          <w:color w:val="auto"/>
          <w:sz w:val="21"/>
          <w:szCs w:val="21"/>
          <w:highlight w:val="none"/>
        </w:rPr>
        <w:t>中标</w:t>
      </w:r>
      <w:r>
        <w:rPr>
          <w:rFonts w:hAnsi="宋体" w:cs="宋体"/>
          <w:color w:val="auto"/>
          <w:sz w:val="21"/>
          <w:szCs w:val="21"/>
          <w:highlight w:val="none"/>
          <w:lang w:val="zh-CN"/>
        </w:rPr>
        <w:t>人按规定的日期、时间、地点，由法定代表人或其授权代表与</w:t>
      </w:r>
      <w:r>
        <w:rPr>
          <w:rFonts w:hint="eastAsia" w:hAnsi="宋体" w:cs="宋体"/>
          <w:color w:val="auto"/>
          <w:sz w:val="21"/>
          <w:szCs w:val="21"/>
          <w:highlight w:val="none"/>
        </w:rPr>
        <w:t>招标人</w:t>
      </w:r>
      <w:r>
        <w:rPr>
          <w:rFonts w:hAnsi="宋体" w:cs="宋体"/>
          <w:color w:val="auto"/>
          <w:sz w:val="21"/>
          <w:szCs w:val="21"/>
          <w:highlight w:val="none"/>
          <w:lang w:val="zh-CN"/>
        </w:rPr>
        <w:t>代表签订合同。如</w:t>
      </w:r>
      <w:r>
        <w:rPr>
          <w:rFonts w:hint="eastAsia" w:hAnsi="宋体" w:cs="宋体"/>
          <w:color w:val="auto"/>
          <w:sz w:val="21"/>
          <w:szCs w:val="21"/>
          <w:highlight w:val="none"/>
        </w:rPr>
        <w:t>中标</w:t>
      </w:r>
      <w:r>
        <w:rPr>
          <w:rFonts w:hAnsi="宋体" w:cs="宋体"/>
          <w:color w:val="auto"/>
          <w:sz w:val="21"/>
          <w:szCs w:val="21"/>
          <w:highlight w:val="none"/>
          <w:lang w:val="zh-CN"/>
        </w:rPr>
        <w:t>人为联合体的，由联合体成员各方法定代表人或其授权代表与</w:t>
      </w:r>
      <w:r>
        <w:rPr>
          <w:rFonts w:hint="eastAsia" w:hAnsi="宋体" w:cs="宋体"/>
          <w:color w:val="auto"/>
          <w:sz w:val="21"/>
          <w:szCs w:val="21"/>
          <w:highlight w:val="none"/>
        </w:rPr>
        <w:t>招标</w:t>
      </w:r>
      <w:r>
        <w:rPr>
          <w:rFonts w:hAnsi="宋体" w:cs="宋体"/>
          <w:color w:val="auto"/>
          <w:sz w:val="21"/>
          <w:szCs w:val="21"/>
          <w:highlight w:val="none"/>
          <w:lang w:val="zh-CN"/>
        </w:rPr>
        <w:t>人代表签订合同。</w:t>
      </w:r>
    </w:p>
    <w:p w14:paraId="444017A0">
      <w:pPr>
        <w:pStyle w:val="16"/>
        <w:adjustRightInd w:val="0"/>
        <w:snapToGrid w:val="0"/>
        <w:spacing w:before="0" w:beforeAutospacing="0" w:after="0" w:afterAutospacing="0" w:line="500" w:lineRule="exact"/>
        <w:ind w:firstLine="420" w:firstLineChars="200"/>
        <w:rPr>
          <w:color w:val="auto"/>
          <w:sz w:val="21"/>
          <w:szCs w:val="21"/>
          <w:highlight w:val="none"/>
        </w:rPr>
      </w:pPr>
      <w:r>
        <w:rPr>
          <w:rFonts w:cs="宋体"/>
          <w:color w:val="auto"/>
          <w:sz w:val="21"/>
          <w:szCs w:val="21"/>
          <w:highlight w:val="none"/>
        </w:rPr>
        <w:t>本项目由</w:t>
      </w:r>
      <w:r>
        <w:rPr>
          <w:rFonts w:hint="eastAsia" w:cs="宋体"/>
          <w:color w:val="auto"/>
          <w:sz w:val="21"/>
          <w:szCs w:val="21"/>
          <w:highlight w:val="none"/>
        </w:rPr>
        <w:t>中标</w:t>
      </w:r>
      <w:r>
        <w:rPr>
          <w:rFonts w:cs="宋体"/>
          <w:color w:val="auto"/>
          <w:sz w:val="21"/>
          <w:szCs w:val="21"/>
          <w:highlight w:val="none"/>
          <w:lang w:val="zh-CN"/>
        </w:rPr>
        <w:t>人</w:t>
      </w:r>
      <w:r>
        <w:rPr>
          <w:rFonts w:cs="宋体"/>
          <w:color w:val="auto"/>
          <w:sz w:val="21"/>
          <w:szCs w:val="21"/>
          <w:highlight w:val="none"/>
        </w:rPr>
        <w:t>与</w:t>
      </w:r>
      <w:r>
        <w:rPr>
          <w:rFonts w:hint="eastAsia"/>
          <w:color w:val="auto"/>
          <w:sz w:val="21"/>
          <w:szCs w:val="21"/>
          <w:highlight w:val="none"/>
          <w:lang w:eastAsia="zh-CN"/>
        </w:rPr>
        <w:t>金华市婺城区罗埠镇人民政府</w:t>
      </w:r>
      <w:r>
        <w:rPr>
          <w:color w:val="auto"/>
          <w:sz w:val="21"/>
          <w:szCs w:val="21"/>
          <w:highlight w:val="none"/>
        </w:rPr>
        <w:t>签订合同。</w:t>
      </w:r>
    </w:p>
    <w:p w14:paraId="21907E51">
      <w:pPr>
        <w:pStyle w:val="29"/>
        <w:snapToGrid w:val="0"/>
        <w:spacing w:line="500" w:lineRule="exact"/>
        <w:ind w:firstLine="420"/>
        <w:rPr>
          <w:rFonts w:hAnsi="宋体" w:cs="宋体"/>
          <w:color w:val="auto"/>
          <w:sz w:val="21"/>
          <w:szCs w:val="21"/>
          <w:highlight w:val="none"/>
        </w:rPr>
      </w:pPr>
      <w:r>
        <w:rPr>
          <w:rFonts w:hAnsi="宋体" w:cs="宋体"/>
          <w:color w:val="auto"/>
          <w:sz w:val="21"/>
          <w:szCs w:val="21"/>
          <w:highlight w:val="none"/>
        </w:rPr>
        <w:t>1.3如签订合同并生效后，供应商无故拒绝或延期，除按照合同条款处理外，列入不良行为记录一次，并给予通报。</w:t>
      </w:r>
    </w:p>
    <w:p w14:paraId="7852CC3B">
      <w:pPr>
        <w:pStyle w:val="29"/>
        <w:snapToGrid w:val="0"/>
        <w:spacing w:line="500" w:lineRule="exact"/>
        <w:ind w:firstLine="420"/>
        <w:rPr>
          <w:rFonts w:hAnsi="宋体" w:cs="宋体"/>
          <w:color w:val="auto"/>
          <w:sz w:val="21"/>
          <w:szCs w:val="21"/>
          <w:highlight w:val="none"/>
        </w:rPr>
      </w:pPr>
      <w:r>
        <w:rPr>
          <w:rFonts w:hAnsi="宋体" w:cs="宋体"/>
          <w:color w:val="auto"/>
          <w:sz w:val="21"/>
          <w:szCs w:val="21"/>
          <w:highlight w:val="none"/>
        </w:rPr>
        <w:t>1.4</w:t>
      </w:r>
      <w:r>
        <w:rPr>
          <w:rFonts w:hint="eastAsia" w:hAnsi="宋体" w:cs="宋体"/>
          <w:color w:val="auto"/>
          <w:sz w:val="21"/>
          <w:szCs w:val="21"/>
          <w:highlight w:val="none"/>
        </w:rPr>
        <w:t>中标</w:t>
      </w:r>
      <w:r>
        <w:rPr>
          <w:rFonts w:hAnsi="宋体" w:cs="宋体"/>
          <w:color w:val="auto"/>
          <w:sz w:val="21"/>
          <w:szCs w:val="21"/>
          <w:highlight w:val="none"/>
        </w:rPr>
        <w:t>人拒绝与</w:t>
      </w:r>
      <w:r>
        <w:rPr>
          <w:rFonts w:hint="eastAsia" w:hAnsi="宋体" w:cs="宋体"/>
          <w:color w:val="auto"/>
          <w:kern w:val="2"/>
          <w:sz w:val="21"/>
          <w:szCs w:val="21"/>
          <w:highlight w:val="none"/>
          <w:lang w:bidi="ar"/>
        </w:rPr>
        <w:t>招标人</w:t>
      </w:r>
      <w:r>
        <w:rPr>
          <w:rFonts w:hAnsi="宋体" w:cs="宋体"/>
          <w:color w:val="auto"/>
          <w:sz w:val="21"/>
          <w:szCs w:val="21"/>
          <w:highlight w:val="none"/>
        </w:rPr>
        <w:t>签订合同的，</w:t>
      </w:r>
      <w:r>
        <w:rPr>
          <w:rFonts w:hint="eastAsia" w:hAnsi="宋体" w:cs="宋体"/>
          <w:color w:val="auto"/>
          <w:sz w:val="21"/>
          <w:szCs w:val="21"/>
          <w:highlight w:val="none"/>
        </w:rPr>
        <w:t>招标</w:t>
      </w:r>
      <w:r>
        <w:rPr>
          <w:rFonts w:hAnsi="宋体" w:cs="宋体"/>
          <w:color w:val="auto"/>
          <w:sz w:val="21"/>
          <w:szCs w:val="21"/>
          <w:highlight w:val="none"/>
        </w:rPr>
        <w:t>人可以按照评审报告推荐的中标或者成交候选人名单排序，确定下一候选人为</w:t>
      </w:r>
      <w:r>
        <w:rPr>
          <w:rFonts w:hint="eastAsia" w:hAnsi="宋体" w:cs="宋体"/>
          <w:color w:val="auto"/>
          <w:sz w:val="21"/>
          <w:szCs w:val="21"/>
          <w:highlight w:val="none"/>
        </w:rPr>
        <w:t>中标</w:t>
      </w:r>
      <w:r>
        <w:rPr>
          <w:rFonts w:hAnsi="宋体" w:cs="宋体"/>
          <w:color w:val="auto"/>
          <w:sz w:val="21"/>
          <w:szCs w:val="21"/>
          <w:highlight w:val="none"/>
        </w:rPr>
        <w:t>人，也可以重新开展政府采购活动。</w:t>
      </w:r>
    </w:p>
    <w:p w14:paraId="0837D365">
      <w:pPr>
        <w:pStyle w:val="29"/>
        <w:snapToGrid w:val="0"/>
        <w:spacing w:line="500" w:lineRule="exact"/>
        <w:ind w:firstLine="420"/>
        <w:rPr>
          <w:rFonts w:hAnsi="宋体" w:cs="宋体"/>
          <w:color w:val="auto"/>
          <w:sz w:val="21"/>
          <w:szCs w:val="21"/>
          <w:highlight w:val="none"/>
        </w:rPr>
      </w:pPr>
      <w:r>
        <w:rPr>
          <w:rFonts w:hAnsi="宋体" w:cs="宋体"/>
          <w:color w:val="auto"/>
          <w:sz w:val="21"/>
          <w:szCs w:val="21"/>
          <w:highlight w:val="none"/>
        </w:rPr>
        <w:t>1.5采购合同由</w:t>
      </w:r>
      <w:r>
        <w:rPr>
          <w:rFonts w:hint="eastAsia" w:hAnsi="宋体" w:cs="宋体"/>
          <w:color w:val="auto"/>
          <w:sz w:val="21"/>
          <w:szCs w:val="21"/>
          <w:highlight w:val="none"/>
        </w:rPr>
        <w:t>招标</w:t>
      </w:r>
      <w:r>
        <w:rPr>
          <w:rFonts w:hAnsi="宋体" w:cs="宋体"/>
          <w:color w:val="auto"/>
          <w:sz w:val="21"/>
          <w:szCs w:val="21"/>
          <w:highlight w:val="none"/>
        </w:rPr>
        <w:t>人与</w:t>
      </w:r>
      <w:r>
        <w:rPr>
          <w:rFonts w:hint="eastAsia" w:hAnsi="宋体" w:cs="宋体"/>
          <w:color w:val="auto"/>
          <w:sz w:val="21"/>
          <w:szCs w:val="21"/>
          <w:highlight w:val="none"/>
        </w:rPr>
        <w:t>中标</w:t>
      </w:r>
      <w:r>
        <w:rPr>
          <w:rFonts w:hAnsi="宋体" w:cs="宋体"/>
          <w:color w:val="auto"/>
          <w:sz w:val="21"/>
          <w:szCs w:val="21"/>
          <w:highlight w:val="none"/>
        </w:rPr>
        <w:t>人根据</w:t>
      </w:r>
      <w:r>
        <w:rPr>
          <w:rFonts w:hint="eastAsia" w:hAnsi="宋体" w:cs="宋体"/>
          <w:color w:val="auto"/>
          <w:sz w:val="21"/>
          <w:szCs w:val="21"/>
          <w:highlight w:val="none"/>
        </w:rPr>
        <w:t>招标</w:t>
      </w:r>
      <w:r>
        <w:rPr>
          <w:rFonts w:hAnsi="宋体" w:cs="宋体"/>
          <w:color w:val="auto"/>
          <w:sz w:val="21"/>
          <w:szCs w:val="21"/>
          <w:highlight w:val="none"/>
        </w:rPr>
        <w:t>文件、</w:t>
      </w:r>
      <w:r>
        <w:rPr>
          <w:rFonts w:hint="eastAsia" w:hAnsi="宋体" w:cs="宋体"/>
          <w:color w:val="auto"/>
          <w:sz w:val="21"/>
          <w:szCs w:val="21"/>
          <w:highlight w:val="none"/>
        </w:rPr>
        <w:t>投标</w:t>
      </w:r>
      <w:r>
        <w:rPr>
          <w:rFonts w:hAnsi="宋体" w:cs="宋体"/>
          <w:color w:val="auto"/>
          <w:sz w:val="21"/>
          <w:szCs w:val="21"/>
          <w:highlight w:val="none"/>
        </w:rPr>
        <w:t>文件等内容通过政府采购电子交易平台在线签订，自动备案。</w:t>
      </w:r>
    </w:p>
    <w:p w14:paraId="0CCEB054">
      <w:pPr>
        <w:pStyle w:val="29"/>
        <w:snapToGrid w:val="0"/>
        <w:spacing w:line="500" w:lineRule="exact"/>
        <w:ind w:firstLine="420"/>
        <w:rPr>
          <w:rFonts w:hAnsi="宋体" w:cs="宋体"/>
          <w:color w:val="auto"/>
          <w:sz w:val="21"/>
          <w:szCs w:val="21"/>
          <w:highlight w:val="none"/>
        </w:rPr>
      </w:pPr>
      <w:r>
        <w:rPr>
          <w:rFonts w:hAnsi="宋体" w:cs="宋体"/>
          <w:color w:val="auto"/>
          <w:sz w:val="21"/>
          <w:szCs w:val="21"/>
          <w:highlight w:val="none"/>
        </w:rPr>
        <w:t>1.6政府采购货物和服务项目不得收取质量保证金。政府采购工程以及与工程建设有关的货物、服务，采用招标</w:t>
      </w:r>
      <w:r>
        <w:rPr>
          <w:rFonts w:hint="eastAsia" w:hAnsi="宋体" w:cs="宋体"/>
          <w:color w:val="auto"/>
          <w:sz w:val="21"/>
          <w:szCs w:val="21"/>
          <w:highlight w:val="none"/>
        </w:rPr>
        <w:t>方</w:t>
      </w:r>
      <w:r>
        <w:rPr>
          <w:rFonts w:hAnsi="宋体" w:cs="宋体"/>
          <w:color w:val="auto"/>
          <w:sz w:val="21"/>
          <w:szCs w:val="21"/>
          <w:highlight w:val="none"/>
        </w:rPr>
        <w:t>式采购的，按国家和省有关规定执行。</w:t>
      </w:r>
    </w:p>
    <w:p w14:paraId="06F0CD18">
      <w:pPr>
        <w:pStyle w:val="3"/>
        <w:adjustRightInd w:val="0"/>
        <w:snapToGrid w:val="0"/>
        <w:spacing w:line="50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2.履约保证金</w:t>
      </w:r>
    </w:p>
    <w:p w14:paraId="3AB75710">
      <w:pPr>
        <w:pStyle w:val="16"/>
        <w:adjustRightInd w:val="0"/>
        <w:snapToGrid w:val="0"/>
        <w:spacing w:beforeAutospacing="0" w:afterAutospacing="0" w:line="500" w:lineRule="exact"/>
        <w:ind w:firstLine="422" w:firstLineChars="200"/>
        <w:rPr>
          <w:rFonts w:cs="宋体"/>
          <w:b/>
          <w:bCs/>
          <w:color w:val="auto"/>
          <w:sz w:val="21"/>
          <w:szCs w:val="21"/>
          <w:highlight w:val="none"/>
        </w:rPr>
      </w:pPr>
      <w:r>
        <w:rPr>
          <w:rFonts w:cs="宋体"/>
          <w:b/>
          <w:color w:val="auto"/>
          <w:sz w:val="21"/>
          <w:szCs w:val="21"/>
          <w:highlight w:val="none"/>
        </w:rPr>
        <w:t xml:space="preserve">2.1 </w:t>
      </w:r>
      <w:r>
        <w:rPr>
          <w:rFonts w:cs="宋体"/>
          <w:b/>
          <w:bCs/>
          <w:color w:val="auto"/>
          <w:sz w:val="21"/>
          <w:szCs w:val="21"/>
          <w:highlight w:val="none"/>
        </w:rPr>
        <w:t>拟签订的合同文本要求</w:t>
      </w:r>
      <w:r>
        <w:rPr>
          <w:rFonts w:hint="eastAsia" w:cs="宋体"/>
          <w:b/>
          <w:bCs/>
          <w:color w:val="auto"/>
          <w:sz w:val="21"/>
          <w:szCs w:val="21"/>
          <w:highlight w:val="none"/>
        </w:rPr>
        <w:t>中标</w:t>
      </w:r>
      <w:r>
        <w:rPr>
          <w:rFonts w:cs="宋体"/>
          <w:b/>
          <w:bCs/>
          <w:color w:val="auto"/>
          <w:sz w:val="21"/>
          <w:szCs w:val="21"/>
          <w:highlight w:val="none"/>
        </w:rPr>
        <w:t>人提交履约保证金的，</w:t>
      </w:r>
      <w:r>
        <w:rPr>
          <w:rFonts w:hint="eastAsia" w:cs="宋体"/>
          <w:b/>
          <w:bCs/>
          <w:color w:val="auto"/>
          <w:sz w:val="21"/>
          <w:szCs w:val="21"/>
          <w:highlight w:val="none"/>
        </w:rPr>
        <w:t>供应商</w:t>
      </w:r>
      <w:r>
        <w:rPr>
          <w:rFonts w:cs="宋体"/>
          <w:b/>
          <w:bCs/>
          <w:color w:val="auto"/>
          <w:sz w:val="21"/>
          <w:szCs w:val="21"/>
          <w:highlight w:val="none"/>
        </w:rPr>
        <w:t>应当以转账、支票、汇票、本票或者金融机构、担保机构出具的保函等非现金形式提交。履约保证金的数额不得超过政府采购合同金额的1%。鼓励和支持供应商以履约保函形式提供履约保证金。</w:t>
      </w:r>
    </w:p>
    <w:p w14:paraId="17833DAA">
      <w:pPr>
        <w:tabs>
          <w:tab w:val="left" w:pos="0"/>
        </w:tabs>
        <w:autoSpaceDE/>
        <w:autoSpaceDN/>
        <w:snapToGrid w:val="0"/>
        <w:spacing w:line="500" w:lineRule="exact"/>
        <w:ind w:firstLine="482"/>
        <w:rPr>
          <w:rFonts w:hint="eastAsia" w:hAnsi="宋体" w:cs="宋体"/>
          <w:color w:val="auto"/>
          <w:sz w:val="21"/>
          <w:szCs w:val="21"/>
          <w:highlight w:val="none"/>
        </w:rPr>
      </w:pPr>
      <w:r>
        <w:rPr>
          <w:rFonts w:hint="eastAsia" w:hAnsi="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8381FE1">
      <w:pPr>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2.2 签订合同后，如中标人不按双方合同约定履约，则没收其全部履约保证金，履约保证金不足以赔偿损失的，按实际损失赔偿。</w:t>
      </w:r>
    </w:p>
    <w:p w14:paraId="6581F241">
      <w:pPr>
        <w:autoSpaceDE/>
        <w:autoSpaceDN/>
        <w:adjustRightInd/>
        <w:spacing w:line="500" w:lineRule="exact"/>
        <w:ind w:firstLine="420" w:firstLineChars="200"/>
        <w:jc w:val="both"/>
        <w:rPr>
          <w:rFonts w:hint="eastAsia" w:hAnsi="宋体" w:cs="宋体"/>
          <w:color w:val="auto"/>
          <w:sz w:val="21"/>
          <w:szCs w:val="21"/>
          <w:highlight w:val="none"/>
          <w:lang w:bidi="ar"/>
        </w:rPr>
      </w:pPr>
      <w:r>
        <w:rPr>
          <w:rFonts w:hint="eastAsia" w:hAnsi="宋体" w:cs="宋体"/>
          <w:color w:val="auto"/>
          <w:sz w:val="21"/>
          <w:szCs w:val="21"/>
          <w:highlight w:val="none"/>
          <w:lang w:bidi="ar"/>
        </w:rPr>
        <w:t>2.3 中标人履约期满，履约保证金在中标人按合同约定履行完毕，无违约并经验收合格后无息退还。</w:t>
      </w:r>
    </w:p>
    <w:p w14:paraId="6EF3811A">
      <w:pPr>
        <w:pStyle w:val="10"/>
        <w:autoSpaceDE/>
        <w:adjustRightInd/>
        <w:snapToGrid w:val="0"/>
        <w:spacing w:line="500" w:lineRule="exact"/>
        <w:ind w:firstLine="422" w:firstLineChars="200"/>
        <w:rPr>
          <w:rFonts w:hint="eastAsia" w:ascii="宋体" w:hAnsi="宋体" w:eastAsia="宋体" w:cs="宋体"/>
          <w:color w:val="auto"/>
          <w:sz w:val="30"/>
          <w:szCs w:val="30"/>
          <w:highlight w:val="none"/>
        </w:rPr>
      </w:pPr>
      <w:r>
        <w:rPr>
          <w:rFonts w:hint="eastAsia" w:ascii="宋体" w:hAnsi="宋体" w:eastAsia="宋体" w:cs="宋体"/>
          <w:b/>
          <w:bCs/>
          <w:color w:val="auto"/>
          <w:sz w:val="21"/>
          <w:highlight w:val="none"/>
        </w:rPr>
        <w:t>中标人必须在合同签订后向采购人提供合同总价1%的履约保证金，可以转账、支票、汇票、本票或者金融机构、保险公司、担保机构出具的保函/保险（可在政采云平台购买，咨询热线95763）等非现金形式提交。</w:t>
      </w:r>
    </w:p>
    <w:p w14:paraId="0DAEE743">
      <w:pPr>
        <w:pStyle w:val="3"/>
        <w:snapToGrid w:val="0"/>
        <w:spacing w:line="50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3. 预付款</w:t>
      </w:r>
    </w:p>
    <w:p w14:paraId="49D9CF5E">
      <w:pPr>
        <w:tabs>
          <w:tab w:val="left" w:pos="0"/>
        </w:tabs>
        <w:autoSpaceDE/>
        <w:autoSpaceDN/>
        <w:snapToGrid w:val="0"/>
        <w:spacing w:line="500" w:lineRule="exact"/>
        <w:ind w:firstLine="482"/>
        <w:rPr>
          <w:rFonts w:hint="eastAsia" w:hAnsi="宋体" w:cs="宋体"/>
          <w:color w:val="auto"/>
          <w:sz w:val="21"/>
          <w:szCs w:val="21"/>
          <w:highlight w:val="none"/>
        </w:rPr>
      </w:pPr>
      <w:r>
        <w:rPr>
          <w:rFonts w:hint="eastAsia" w:hAnsi="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hAnsi="宋体" w:cs="宋体"/>
          <w:b/>
          <w:bCs/>
          <w:color w:val="auto"/>
          <w:sz w:val="21"/>
          <w:szCs w:val="21"/>
          <w:highlight w:val="none"/>
        </w:rPr>
        <w:t>人工投入为主</w:t>
      </w:r>
      <w:r>
        <w:rPr>
          <w:rFonts w:hint="eastAsia" w:hAnsi="宋体" w:cs="宋体"/>
          <w:color w:val="auto"/>
          <w:sz w:val="21"/>
          <w:szCs w:val="21"/>
          <w:highlight w:val="none"/>
        </w:rPr>
        <w:t>的，可适当降低预付款比例，但不得低于</w:t>
      </w:r>
      <w:r>
        <w:rPr>
          <w:rFonts w:hint="eastAsia" w:hAnsi="宋体" w:cs="宋体"/>
          <w:b/>
          <w:bCs/>
          <w:color w:val="auto"/>
          <w:sz w:val="21"/>
          <w:szCs w:val="21"/>
          <w:highlight w:val="none"/>
        </w:rPr>
        <w:t>30%。</w:t>
      </w:r>
      <w:r>
        <w:rPr>
          <w:rFonts w:hint="eastAsia" w:hAnsi="宋体" w:cs="宋体"/>
          <w:color w:val="auto"/>
          <w:sz w:val="21"/>
          <w:szCs w:val="21"/>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w:t>
      </w:r>
      <w:r>
        <w:rPr>
          <w:rFonts w:hint="eastAsia" w:hAnsi="宋体" w:cs="宋体"/>
          <w:color w:val="auto"/>
          <w:sz w:val="21"/>
          <w:szCs w:val="21"/>
          <w:highlight w:val="none"/>
          <w:u w:val="single"/>
        </w:rPr>
        <w:t>合同生效以及具备实施条件后</w:t>
      </w:r>
      <w:r>
        <w:rPr>
          <w:rFonts w:hint="eastAsia" w:hAnsi="宋体" w:cs="宋体"/>
          <w:b/>
          <w:bCs/>
          <w:color w:val="auto"/>
          <w:sz w:val="21"/>
          <w:szCs w:val="21"/>
          <w:highlight w:val="none"/>
        </w:rPr>
        <w:t>7个工作日内</w:t>
      </w:r>
      <w:r>
        <w:rPr>
          <w:rFonts w:hint="eastAsia" w:hAnsi="宋体" w:cs="宋体"/>
          <w:color w:val="auto"/>
          <w:sz w:val="21"/>
          <w:szCs w:val="21"/>
          <w:highlight w:val="none"/>
        </w:rPr>
        <w:t>支付。政府采购工程以及与工程建设有关的货物、服务，采用招标方式采购的，预付款从其相关规定。</w:t>
      </w:r>
    </w:p>
    <w:p w14:paraId="7BA54E64">
      <w:pPr>
        <w:tabs>
          <w:tab w:val="left" w:pos="0"/>
        </w:tabs>
        <w:autoSpaceDE/>
        <w:autoSpaceDN/>
        <w:snapToGrid w:val="0"/>
        <w:spacing w:line="500" w:lineRule="exact"/>
        <w:ind w:firstLine="482"/>
        <w:rPr>
          <w:rFonts w:hint="eastAsia" w:hAnsi="宋体" w:cs="宋体"/>
          <w:color w:val="auto"/>
          <w:sz w:val="21"/>
          <w:szCs w:val="21"/>
          <w:highlight w:val="none"/>
        </w:rPr>
      </w:pPr>
      <w:r>
        <w:rPr>
          <w:rFonts w:hint="eastAsia" w:hAnsi="宋体" w:cs="宋体"/>
          <w:color w:val="auto"/>
          <w:sz w:val="21"/>
          <w:szCs w:val="21"/>
          <w:highlight w:val="none"/>
        </w:rPr>
        <w:t>★如在签订合同时，中标人明确表示无需预付款或者主动要求降低预付款比例的，可降低预付款比例（预付款保函同步调整）。</w:t>
      </w:r>
    </w:p>
    <w:p w14:paraId="61D750A1">
      <w:pPr>
        <w:pStyle w:val="3"/>
        <w:snapToGrid w:val="0"/>
        <w:spacing w:line="50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4.资金支付</w:t>
      </w:r>
    </w:p>
    <w:p w14:paraId="09622873">
      <w:pPr>
        <w:pStyle w:val="3"/>
        <w:spacing w:line="500" w:lineRule="exact"/>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采购单位应当及时</w:t>
      </w:r>
      <w:r>
        <w:rPr>
          <w:rFonts w:hint="eastAsia" w:ascii="宋体" w:hAnsi="宋体" w:cs="宋体"/>
          <w:color w:val="auto"/>
          <w:sz w:val="21"/>
          <w:szCs w:val="21"/>
          <w:highlight w:val="none"/>
        </w:rPr>
        <w:t>组织项目验收，</w:t>
      </w:r>
      <w:r>
        <w:rPr>
          <w:rFonts w:hint="eastAsia" w:ascii="宋体" w:hAnsi="宋体" w:cs="宋体"/>
          <w:b/>
          <w:bCs/>
          <w:color w:val="auto"/>
          <w:sz w:val="21"/>
          <w:szCs w:val="21"/>
          <w:highlight w:val="none"/>
        </w:rPr>
        <w:t>不得以政府部门审计作为支付供应商款项的条件。</w:t>
      </w:r>
      <w:r>
        <w:rPr>
          <w:rFonts w:hint="eastAsia" w:ascii="宋体" w:hAnsi="宋体" w:cs="宋体"/>
          <w:color w:val="auto"/>
          <w:sz w:val="21"/>
          <w:szCs w:val="21"/>
          <w:highlight w:val="none"/>
        </w:rPr>
        <w:t>采购单位对于满足合同约定支付条件的，</w:t>
      </w:r>
      <w:r>
        <w:rPr>
          <w:rFonts w:hint="eastAsia" w:ascii="宋体" w:hAnsi="宋体" w:cs="宋体"/>
          <w:b/>
          <w:bCs/>
          <w:color w:val="auto"/>
          <w:sz w:val="21"/>
          <w:szCs w:val="21"/>
          <w:highlight w:val="none"/>
        </w:rPr>
        <w:t>自收到发票后7个工作日内</w:t>
      </w:r>
      <w:r>
        <w:rPr>
          <w:rFonts w:hint="eastAsia" w:ascii="宋体" w:hAnsi="宋体" w:cs="宋体"/>
          <w:color w:val="auto"/>
          <w:sz w:val="21"/>
          <w:szCs w:val="21"/>
          <w:highlight w:val="none"/>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1D3C543D">
      <w:pPr>
        <w:spacing w:line="500" w:lineRule="exact"/>
        <w:ind w:firstLine="420"/>
        <w:rPr>
          <w:rFonts w:hint="eastAsia" w:hAnsi="宋体" w:cs="宋体"/>
          <w:b/>
          <w:bCs/>
          <w:color w:val="auto"/>
          <w:sz w:val="21"/>
          <w:szCs w:val="21"/>
          <w:highlight w:val="none"/>
          <w:lang w:bidi="ar"/>
        </w:rPr>
      </w:pPr>
      <w:r>
        <w:rPr>
          <w:rFonts w:hint="eastAsia" w:hAnsi="宋体" w:cs="宋体"/>
          <w:b/>
          <w:color w:val="auto"/>
          <w:sz w:val="21"/>
          <w:szCs w:val="21"/>
          <w:highlight w:val="none"/>
          <w:lang w:bidi="ar"/>
        </w:rPr>
        <w:t>八、项目验收</w:t>
      </w:r>
    </w:p>
    <w:p w14:paraId="76AD3A04">
      <w:pPr>
        <w:tabs>
          <w:tab w:val="left" w:pos="0"/>
        </w:tabs>
        <w:snapToGrid w:val="0"/>
        <w:spacing w:line="500" w:lineRule="exact"/>
        <w:ind w:firstLine="480"/>
        <w:rPr>
          <w:rFonts w:hint="eastAsia" w:hAnsi="宋体" w:cs="宋体"/>
          <w:color w:val="auto"/>
          <w:sz w:val="21"/>
          <w:szCs w:val="21"/>
          <w:highlight w:val="none"/>
        </w:rPr>
      </w:pPr>
      <w:r>
        <w:rPr>
          <w:rFonts w:hint="eastAsia" w:hAnsi="宋体" w:cs="宋体"/>
          <w:color w:val="auto"/>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B37C601">
      <w:pPr>
        <w:tabs>
          <w:tab w:val="left" w:pos="0"/>
        </w:tabs>
        <w:snapToGrid w:val="0"/>
        <w:spacing w:line="500" w:lineRule="exact"/>
        <w:ind w:firstLine="480"/>
        <w:rPr>
          <w:rFonts w:hint="eastAsia" w:hAnsi="宋体" w:cs="宋体"/>
          <w:color w:val="auto"/>
          <w:sz w:val="21"/>
          <w:szCs w:val="21"/>
          <w:highlight w:val="none"/>
        </w:rPr>
      </w:pPr>
      <w:r>
        <w:rPr>
          <w:rFonts w:hint="eastAsia" w:hAnsi="宋体" w:cs="宋体"/>
          <w:color w:val="auto"/>
          <w:sz w:val="21"/>
          <w:szCs w:val="21"/>
          <w:highlight w:val="none"/>
        </w:rPr>
        <w:t>2.采购人可以邀请参加本项目的其他供应商或者第三方机构参与验收。参与验收的供应商或者第三方机构的意见作为验收书的参考资料一并存档。</w:t>
      </w:r>
    </w:p>
    <w:p w14:paraId="368C60F9">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A017B8C">
      <w:pPr>
        <w:autoSpaceDE/>
        <w:autoSpaceDN/>
        <w:snapToGrid w:val="0"/>
        <w:spacing w:line="500" w:lineRule="exact"/>
        <w:ind w:firstLine="420" w:firstLineChars="200"/>
        <w:rPr>
          <w:rFonts w:hint="eastAsia" w:hAnsi="宋体" w:cs="宋体"/>
          <w:b/>
          <w:bCs/>
          <w:color w:val="auto"/>
          <w:sz w:val="21"/>
          <w:szCs w:val="21"/>
          <w:highlight w:val="none"/>
        </w:rPr>
      </w:pPr>
      <w:r>
        <w:rPr>
          <w:rFonts w:hint="eastAsia" w:hAnsi="宋体" w:cs="宋体"/>
          <w:color w:val="auto"/>
          <w:sz w:val="21"/>
          <w:szCs w:val="21"/>
          <w:highlight w:val="none"/>
        </w:rPr>
        <w:t>4.采购人原则上应当在</w:t>
      </w:r>
      <w:r>
        <w:rPr>
          <w:rFonts w:hint="eastAsia" w:hAnsi="宋体" w:cs="宋体"/>
          <w:b/>
          <w:bCs/>
          <w:color w:val="auto"/>
          <w:sz w:val="21"/>
          <w:szCs w:val="21"/>
          <w:highlight w:val="none"/>
        </w:rPr>
        <w:t>履约验收之日起2个工作日内</w:t>
      </w:r>
      <w:r>
        <w:rPr>
          <w:rFonts w:hint="eastAsia" w:hAnsi="宋体" w:cs="宋体"/>
          <w:color w:val="auto"/>
          <w:sz w:val="21"/>
          <w:szCs w:val="21"/>
          <w:highlight w:val="none"/>
        </w:rPr>
        <w:t>，将</w:t>
      </w:r>
      <w:r>
        <w:rPr>
          <w:rFonts w:hint="eastAsia" w:hAnsi="宋体" w:cs="宋体"/>
          <w:b/>
          <w:bCs/>
          <w:color w:val="auto"/>
          <w:sz w:val="21"/>
          <w:szCs w:val="21"/>
          <w:highlight w:val="none"/>
        </w:rPr>
        <w:t>履约验收结果在浙江政府采购网上公告。</w:t>
      </w:r>
    </w:p>
    <w:p w14:paraId="6FDC825F">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5.验收合格的项目，采购人将根据采购合同的约定及时向供应商支付采购资金、退还履约保证金。</w:t>
      </w:r>
    </w:p>
    <w:p w14:paraId="3DFA050C">
      <w:pPr>
        <w:tabs>
          <w:tab w:val="left" w:pos="0"/>
        </w:tabs>
        <w:snapToGrid w:val="0"/>
        <w:spacing w:line="500" w:lineRule="exact"/>
        <w:ind w:firstLine="480"/>
        <w:rPr>
          <w:rFonts w:hint="eastAsia" w:hAnsi="宋体" w:cs="宋体"/>
          <w:color w:val="auto"/>
          <w:sz w:val="21"/>
          <w:szCs w:val="21"/>
          <w:highlight w:val="none"/>
        </w:rPr>
      </w:pPr>
      <w:r>
        <w:rPr>
          <w:rFonts w:hint="eastAsia" w:hAnsi="宋体" w:cs="宋体"/>
          <w:color w:val="auto"/>
          <w:sz w:val="21"/>
          <w:szCs w:val="21"/>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0FBFAFC">
      <w:pPr>
        <w:widowControl/>
        <w:snapToGrid w:val="0"/>
        <w:spacing w:line="500" w:lineRule="exact"/>
        <w:ind w:firstLine="420"/>
        <w:rPr>
          <w:rFonts w:hint="eastAsia" w:hAnsi="宋体" w:cs="宋体"/>
          <w:b/>
          <w:color w:val="auto"/>
          <w:sz w:val="21"/>
          <w:szCs w:val="21"/>
          <w:highlight w:val="none"/>
        </w:rPr>
      </w:pPr>
      <w:r>
        <w:rPr>
          <w:rFonts w:hint="eastAsia" w:hAnsi="宋体" w:cs="宋体"/>
          <w:b/>
          <w:color w:val="auto"/>
          <w:sz w:val="21"/>
          <w:szCs w:val="21"/>
          <w:highlight w:val="none"/>
        </w:rPr>
        <w:t>九、电子投标特别提醒</w:t>
      </w:r>
    </w:p>
    <w:p w14:paraId="6C17FE63">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1.请所有供应商在政采云系统准时参加线上开标活动，并且要求法定代表人或授权委托人全程在线。</w:t>
      </w:r>
    </w:p>
    <w:p w14:paraId="229E768D">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2.投标截止时间后，代理机构将线上开启解密，供应商需及时用CA锁在线解密，解密时间一般为半小时（解密时限由财政部门设置），逾期解密，供应商自行承担风险。</w:t>
      </w:r>
    </w:p>
    <w:p w14:paraId="0FAC146D">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3.解密响应文件的CA锁必须跟制作响应文件的CA锁为同一个，否则将导致解密失败。</w:t>
      </w:r>
    </w:p>
    <w:p w14:paraId="28755695">
      <w:pPr>
        <w:widowControl/>
        <w:snapToGrid w:val="0"/>
        <w:spacing w:line="500" w:lineRule="exact"/>
        <w:ind w:firstLine="420"/>
        <w:rPr>
          <w:rFonts w:hint="eastAsia" w:hAnsi="宋体" w:cs="宋体"/>
          <w:color w:val="auto"/>
          <w:sz w:val="21"/>
          <w:szCs w:val="21"/>
          <w:highlight w:val="none"/>
        </w:rPr>
      </w:pPr>
      <w:r>
        <w:rPr>
          <w:rFonts w:hint="eastAsia" w:hAnsi="宋体" w:cs="宋体"/>
          <w:color w:val="auto"/>
          <w:sz w:val="21"/>
          <w:szCs w:val="21"/>
          <w:highlight w:val="none"/>
        </w:rPr>
        <w:t>4.</w:t>
      </w:r>
      <w:r>
        <w:rPr>
          <w:rFonts w:hint="eastAsia" w:hAnsi="宋体" w:cs="宋体"/>
          <w:color w:val="auto"/>
          <w:sz w:val="21"/>
          <w:szCs w:val="21"/>
          <w:highlight w:val="none"/>
          <w:lang w:val="zh-CN"/>
        </w:rPr>
        <w:t>请务必确保投标文件制作客户端为最新版本，旧版本可能导致投标文件解密失败</w:t>
      </w:r>
      <w:r>
        <w:rPr>
          <w:rFonts w:hint="eastAsia" w:hAnsi="宋体" w:cs="宋体"/>
          <w:color w:val="auto"/>
          <w:sz w:val="21"/>
          <w:highlight w:val="none"/>
        </w:rPr>
        <w:t>。</w:t>
      </w:r>
      <w:bookmarkStart w:id="24" w:name="_Toc351559944"/>
    </w:p>
    <w:p w14:paraId="3E561885">
      <w:pPr>
        <w:widowControl/>
        <w:snapToGrid w:val="0"/>
        <w:spacing w:line="500" w:lineRule="exact"/>
        <w:ind w:firstLine="420"/>
        <w:jc w:val="center"/>
        <w:outlineLvl w:val="0"/>
        <w:rPr>
          <w:rFonts w:hint="eastAsia" w:hAnsi="宋体" w:cs="宋体"/>
          <w:color w:val="auto"/>
          <w:sz w:val="30"/>
          <w:szCs w:val="30"/>
          <w:highlight w:val="none"/>
        </w:rPr>
      </w:pPr>
      <w:bookmarkStart w:id="25" w:name="_Toc5099"/>
      <w:r>
        <w:rPr>
          <w:rFonts w:hint="eastAsia" w:hAnsi="宋体" w:cs="宋体"/>
          <w:b/>
          <w:bCs/>
          <w:color w:val="auto"/>
          <w:sz w:val="30"/>
          <w:szCs w:val="30"/>
          <w:highlight w:val="none"/>
        </w:rPr>
        <w:br w:type="page"/>
      </w:r>
      <w:r>
        <w:rPr>
          <w:rFonts w:hint="eastAsia" w:hAnsi="宋体" w:cs="宋体"/>
          <w:b/>
          <w:bCs/>
          <w:color w:val="auto"/>
          <w:sz w:val="30"/>
          <w:szCs w:val="30"/>
          <w:highlight w:val="none"/>
        </w:rPr>
        <w:t>第四章  评标办法及评分标准</w:t>
      </w:r>
      <w:bookmarkEnd w:id="24"/>
      <w:bookmarkEnd w:id="25"/>
    </w:p>
    <w:p w14:paraId="3DE0277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为公正、公平、科学地选择中标人，根据《中华人民共和国政府采购法》等有关法律法规的规定，并结合本项目的实际，制定本办法。</w:t>
      </w:r>
    </w:p>
    <w:p w14:paraId="509B0CB0">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本办法仅适用本项目的评标。</w:t>
      </w:r>
    </w:p>
    <w:p w14:paraId="79B413C1">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一、总则</w:t>
      </w:r>
    </w:p>
    <w:p w14:paraId="50D646DE">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本次评标采用综合评分法，总分为100分，其中价格分</w:t>
      </w:r>
      <w:r>
        <w:rPr>
          <w:rFonts w:hint="eastAsia" w:hAnsi="宋体" w:cs="宋体"/>
          <w:color w:val="auto"/>
          <w:sz w:val="21"/>
          <w:szCs w:val="21"/>
          <w:highlight w:val="none"/>
          <w:lang w:val="en-US" w:eastAsia="zh-CN"/>
        </w:rPr>
        <w:t>20</w:t>
      </w:r>
      <w:r>
        <w:rPr>
          <w:rFonts w:hint="eastAsia" w:hAnsi="宋体" w:cs="宋体"/>
          <w:color w:val="auto"/>
          <w:sz w:val="21"/>
          <w:szCs w:val="21"/>
          <w:highlight w:val="none"/>
        </w:rPr>
        <w:t>分、技术商务分</w:t>
      </w:r>
      <w:r>
        <w:rPr>
          <w:rFonts w:hint="eastAsia" w:hAnsi="宋体" w:cs="宋体"/>
          <w:color w:val="auto"/>
          <w:sz w:val="21"/>
          <w:szCs w:val="21"/>
          <w:highlight w:val="none"/>
          <w:lang w:val="en-US" w:eastAsia="zh-CN"/>
        </w:rPr>
        <w:t>80</w:t>
      </w:r>
      <w:r>
        <w:rPr>
          <w:rFonts w:hint="eastAsia" w:hAnsi="宋体" w:cs="宋体"/>
          <w:color w:val="auto"/>
          <w:sz w:val="21"/>
          <w:szCs w:val="21"/>
          <w:highlight w:val="none"/>
        </w:rPr>
        <w:t>分二部分。合格投标人的评标得分为各项目汇总得分，中标候选资格按评标</w:t>
      </w:r>
      <w:r>
        <w:rPr>
          <w:rFonts w:hint="eastAsia" w:hAnsi="宋体" w:cs="宋体"/>
          <w:color w:val="auto"/>
          <w:sz w:val="21"/>
          <w:szCs w:val="21"/>
          <w:highlight w:val="none"/>
          <w:lang w:val="en-US" w:eastAsia="zh-CN"/>
        </w:rPr>
        <w:t>总</w:t>
      </w:r>
      <w:r>
        <w:rPr>
          <w:rFonts w:hint="eastAsia" w:hAnsi="宋体" w:cs="宋体"/>
          <w:color w:val="auto"/>
          <w:sz w:val="21"/>
          <w:szCs w:val="21"/>
          <w:highlight w:val="none"/>
        </w:rPr>
        <w:t>得分由高到低顺序排列，</w:t>
      </w:r>
      <w:r>
        <w:rPr>
          <w:rFonts w:hint="eastAsia" w:hAnsi="宋体" w:cs="宋体"/>
          <w:color w:val="auto"/>
          <w:sz w:val="21"/>
          <w:szCs w:val="21"/>
          <w:highlight w:val="none"/>
          <w:lang w:val="en-US" w:eastAsia="zh-CN"/>
        </w:rPr>
        <w:t>总</w:t>
      </w:r>
      <w:r>
        <w:rPr>
          <w:rFonts w:hint="eastAsia" w:hAnsi="宋体" w:cs="宋体"/>
          <w:color w:val="auto"/>
          <w:sz w:val="21"/>
          <w:szCs w:val="21"/>
          <w:highlight w:val="none"/>
        </w:rPr>
        <w:t>得分相同的，按投标报价由低到高顺序排列；总得分且投标报价均相同的，</w:t>
      </w:r>
      <w:r>
        <w:rPr>
          <w:rFonts w:hint="eastAsia" w:hAnsi="宋体" w:cs="宋体"/>
          <w:color w:val="auto"/>
          <w:sz w:val="21"/>
          <w:szCs w:val="21"/>
          <w:highlight w:val="none"/>
          <w:lang w:val="en-US" w:eastAsia="zh-CN"/>
        </w:rPr>
        <w:t>则由采购人代表以抽签的方式确定</w:t>
      </w:r>
      <w:r>
        <w:rPr>
          <w:rFonts w:hint="eastAsia" w:hAnsi="宋体" w:cs="宋体"/>
          <w:color w:val="auto"/>
          <w:sz w:val="21"/>
          <w:szCs w:val="21"/>
          <w:highlight w:val="none"/>
        </w:rPr>
        <w:t>。排名第一的投标人为中标候选人，排名第二的投标人为候补中标候选人……其他投标人中标候选资格依此类推。评分过程中采用四舍五入法，并保留小数2位。</w:t>
      </w:r>
    </w:p>
    <w:p w14:paraId="344413CD">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投标人评标综合得分=价格分+技术商务分。</w:t>
      </w:r>
    </w:p>
    <w:p w14:paraId="7801525D">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技术商务分=（评审小组所有成员评分合计数）/（评审小组组成人员数）</w:t>
      </w:r>
    </w:p>
    <w:p w14:paraId="48D61BC4">
      <w:pPr>
        <w:pStyle w:val="16"/>
        <w:adjustRightInd w:val="0"/>
        <w:snapToGrid w:val="0"/>
        <w:spacing w:before="0" w:beforeAutospacing="0" w:after="0" w:afterAutospacing="0" w:line="500" w:lineRule="exact"/>
        <w:ind w:firstLine="422" w:firstLineChars="200"/>
        <w:rPr>
          <w:rFonts w:hint="eastAsia" w:ascii="宋体" w:cs="宋体"/>
          <w:b/>
          <w:bCs/>
          <w:color w:val="auto"/>
          <w:highlight w:val="none"/>
          <w:lang w:bidi="ar"/>
        </w:rPr>
      </w:pPr>
      <w:r>
        <w:rPr>
          <w:rFonts w:hint="eastAsia" w:ascii="宋体" w:cs="宋体"/>
          <w:b/>
          <w:color w:val="auto"/>
          <w:sz w:val="21"/>
          <w:szCs w:val="21"/>
          <w:highlight w:val="none"/>
        </w:rPr>
        <w:t>二、评审纪律和要求</w:t>
      </w:r>
    </w:p>
    <w:p w14:paraId="488DCD5B">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1.评审专家必须公平、公正评审，遵纪守法，客观、廉洁地履行职责。</w:t>
      </w:r>
    </w:p>
    <w:p w14:paraId="45E443E7">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2.评审专家在评审开始前，应关闭并上交随身携带的各种通信工具。</w:t>
      </w:r>
    </w:p>
    <w:p w14:paraId="1589BF94">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3.评审专家在评审过程中，未经许可不得中途离开评审现场，不得迟到早退。</w:t>
      </w:r>
    </w:p>
    <w:p w14:paraId="62269849">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4.评审专家和工作人员不得透露评审过程中的讨论情况和评审结果。</w:t>
      </w:r>
    </w:p>
    <w:p w14:paraId="7A8001A8">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w:t>
      </w:r>
      <w:r>
        <w:rPr>
          <w:rFonts w:hint="eastAsia" w:hAnsi="宋体" w:cs="宋体"/>
          <w:b/>
          <w:bCs/>
          <w:color w:val="auto"/>
          <w:sz w:val="21"/>
          <w:szCs w:val="21"/>
          <w:highlight w:val="none"/>
        </w:rPr>
        <w:t>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r>
        <w:rPr>
          <w:rFonts w:hint="eastAsia" w:hAnsi="宋体" w:cs="宋体"/>
          <w:color w:val="auto"/>
          <w:sz w:val="21"/>
          <w:szCs w:val="21"/>
          <w:highlight w:val="none"/>
        </w:rPr>
        <w:t>。</w:t>
      </w:r>
    </w:p>
    <w:p w14:paraId="40046B89">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6.采购人、采购代理机构不得向评审委员会的评审专家作倾向性、误导性的解释或者说明。</w:t>
      </w:r>
    </w:p>
    <w:p w14:paraId="5C70E753">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7.采购代理机构应当为评审专家提供必要的评审条件和相应的评审工作底稿，并严格按规定程序组织评审专家有步骤地进行项目评审，</w:t>
      </w:r>
      <w:r>
        <w:rPr>
          <w:rFonts w:hint="eastAsia" w:hAnsi="宋体" w:cs="宋体"/>
          <w:b/>
          <w:bCs/>
          <w:color w:val="auto"/>
          <w:sz w:val="21"/>
          <w:szCs w:val="21"/>
          <w:highlight w:val="none"/>
        </w:rPr>
        <w:t>对各评审专家的评审情况和评审意见进行合理性和合规性审查，对明显畸高、畸低的重大差异评审情况（其总评分偏离平均分30%以上），提醒相关评审专家进行复核或书面说明理由</w:t>
      </w:r>
      <w:r>
        <w:rPr>
          <w:rFonts w:hint="eastAsia" w:hAnsi="宋体" w:cs="宋体"/>
          <w:color w:val="auto"/>
          <w:sz w:val="21"/>
          <w:szCs w:val="21"/>
          <w:highlight w:val="none"/>
        </w:rPr>
        <w:t>。</w:t>
      </w:r>
    </w:p>
    <w:p w14:paraId="1B4EFC89">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8.评审专家在评审过程中不得将自己的观点强加给其他评审专家，评审专家应自主发表见解，对评审意见承担个人责任。</w:t>
      </w:r>
    </w:p>
    <w:p w14:paraId="12167320">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9.</w:t>
      </w:r>
      <w:r>
        <w:rPr>
          <w:rFonts w:hint="eastAsia" w:hAnsi="宋体" w:cs="宋体"/>
          <w:b/>
          <w:bCs/>
          <w:color w:val="auto"/>
          <w:sz w:val="21"/>
          <w:szCs w:val="21"/>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r>
        <w:rPr>
          <w:rFonts w:hint="eastAsia" w:hAnsi="宋体" w:cs="宋体"/>
          <w:color w:val="auto"/>
          <w:sz w:val="21"/>
          <w:szCs w:val="21"/>
          <w:highlight w:val="none"/>
        </w:rPr>
        <w:t>。</w:t>
      </w:r>
    </w:p>
    <w:p w14:paraId="7EE37591">
      <w:pPr>
        <w:autoSpaceDE/>
        <w:autoSpaceDN/>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515061F2">
      <w:pPr>
        <w:autoSpaceDE/>
        <w:autoSpaceDN/>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11.评审专家应当遵守评审工作纪律，不得泄露评审文件、评审情况和评审中获悉的商业秘密。</w:t>
      </w:r>
    </w:p>
    <w:p w14:paraId="1FCAFE6C">
      <w:pPr>
        <w:autoSpaceDE/>
        <w:autoSpaceDN/>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评审委员会在评审过程中发现投标人有行贿、提供虚假材料或者串通等违法行为的，应当及时向财政部门报告。</w:t>
      </w:r>
    </w:p>
    <w:p w14:paraId="046B16D5">
      <w:pPr>
        <w:autoSpaceDE/>
        <w:autoSpaceDN/>
        <w:snapToGrid w:val="0"/>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12.招标文件内容违反国家有关强制性规定的，评审委员会应当停止评审并向采购代理机构说明情况。</w:t>
      </w:r>
    </w:p>
    <w:p w14:paraId="4C7C8155">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13.评审专家应当配合采购代理机构答复投标人提出的质疑。</w:t>
      </w:r>
    </w:p>
    <w:p w14:paraId="2D71ED44">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14.评审专家应当配合财政部门的投诉处理工作。</w:t>
      </w:r>
    </w:p>
    <w:p w14:paraId="1F33B2D0">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15.评审专家有如下行为之一的，责令改正，给予警告，可以并处一千元以下的罚款：</w:t>
      </w:r>
    </w:p>
    <w:p w14:paraId="1FE565BD">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①明知应当回避而未主动回避的；</w:t>
      </w:r>
    </w:p>
    <w:p w14:paraId="0DE082B2">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snapToGrid w:val="0"/>
          <w:color w:val="auto"/>
          <w:sz w:val="21"/>
          <w:szCs w:val="21"/>
          <w:highlight w:val="none"/>
        </w:rPr>
        <w:t>②在得知自己为评审专家身份后至评审结束前时段内私下接触投标人的</w:t>
      </w:r>
      <w:r>
        <w:rPr>
          <w:rFonts w:hint="eastAsia" w:hAnsi="宋体" w:cs="宋体"/>
          <w:color w:val="auto"/>
          <w:sz w:val="21"/>
          <w:szCs w:val="21"/>
          <w:highlight w:val="none"/>
        </w:rPr>
        <w:t>；</w:t>
      </w:r>
    </w:p>
    <w:p w14:paraId="72D82353">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③在评审过程中擅离职守，影响评审程序正常进行的；</w:t>
      </w:r>
    </w:p>
    <w:p w14:paraId="212F3D54">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④在评审过程有明显不合理或者不正当倾向性的；</w:t>
      </w:r>
    </w:p>
    <w:p w14:paraId="77C14A67">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⑤未按招标文件规定的评审方法和标准进行评审的。</w:t>
      </w:r>
    </w:p>
    <w:p w14:paraId="3E822560">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⑥上述①至⑤行为影响中标结果的，中标结果无效。</w:t>
      </w:r>
    </w:p>
    <w:p w14:paraId="40464B45">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21FE4E9">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政府采购评审专家与投标人存在利害关系未回避的，处2万元以上5万元以下的罚款，禁止其参加政府采购评审活动。</w:t>
      </w:r>
    </w:p>
    <w:p w14:paraId="33103300">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1154B341">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政府采购评审专家有上述违法行为的，其评审意见无效，不得获取评审费；有违法所得的，没收违法所得；给他人造成损失的，依法承担民事责任。</w:t>
      </w:r>
    </w:p>
    <w:p w14:paraId="74A4294A">
      <w:pPr>
        <w:pStyle w:val="16"/>
        <w:adjustRightInd w:val="0"/>
        <w:snapToGrid w:val="0"/>
        <w:spacing w:before="0" w:beforeAutospacing="0" w:after="0" w:afterAutospacing="0" w:line="500" w:lineRule="exact"/>
        <w:ind w:firstLine="422" w:firstLineChars="200"/>
        <w:rPr>
          <w:rFonts w:hint="eastAsia" w:ascii="宋体" w:cs="宋体"/>
          <w:b/>
          <w:color w:val="auto"/>
          <w:sz w:val="21"/>
          <w:szCs w:val="21"/>
          <w:highlight w:val="none"/>
        </w:rPr>
      </w:pPr>
      <w:r>
        <w:rPr>
          <w:rFonts w:hint="eastAsia" w:ascii="宋体" w:cs="宋体"/>
          <w:b/>
          <w:color w:val="auto"/>
          <w:sz w:val="21"/>
          <w:szCs w:val="21"/>
          <w:highlight w:val="none"/>
        </w:rPr>
        <w:t>三、评标定标时对政府采购政策的落实要求</w:t>
      </w:r>
    </w:p>
    <w:p w14:paraId="1E094159">
      <w:pPr>
        <w:pStyle w:val="16"/>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.采购项目需要落实的政府采购政策</w:t>
      </w:r>
    </w:p>
    <w:p w14:paraId="56CE9F9C">
      <w:pPr>
        <w:pStyle w:val="16"/>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3CC208B6">
      <w:pPr>
        <w:pStyle w:val="16"/>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.2 支持绿色发展</w:t>
      </w:r>
    </w:p>
    <w:p w14:paraId="067AC31F">
      <w:pPr>
        <w:pStyle w:val="16"/>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3724D1E8">
      <w:pPr>
        <w:pStyle w:val="16"/>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59ECC95">
      <w:pPr>
        <w:pStyle w:val="16"/>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.3支持中小企业发展</w:t>
      </w:r>
    </w:p>
    <w:p w14:paraId="7FFE6674">
      <w:pPr>
        <w:pStyle w:val="16"/>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E054A4F">
      <w:pPr>
        <w:pStyle w:val="16"/>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bidi="ar"/>
        </w:rPr>
        <w:t>符合中小企业划分标准的个体工商户，在政府采购活动中视同中小企业。</w:t>
      </w:r>
    </w:p>
    <w:p w14:paraId="60E0C47A">
      <w:pPr>
        <w:pStyle w:val="16"/>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.3.2在政府采购活动中，供应商提供的货物、工程或者服务符合下列情形的，享受中小企业扶持政策；</w:t>
      </w:r>
    </w:p>
    <w:p w14:paraId="566682D1">
      <w:pPr>
        <w:pStyle w:val="16"/>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.3.2.1在货物采购项目中，货物由中小企业制造，即货物由中小企业生产且使用该中小企业商号或者注册商标；</w:t>
      </w:r>
    </w:p>
    <w:p w14:paraId="2852AF11">
      <w:pPr>
        <w:pStyle w:val="16"/>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.3.2.2在工程采购项目中，工程由中小企业承建，即工程施工单位为中小企业；</w:t>
      </w:r>
    </w:p>
    <w:p w14:paraId="5257EEB2">
      <w:pPr>
        <w:pStyle w:val="16"/>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.3.2.3在服务采购项目中，服务由中小企业承接，即提供服务的人员为中小企业依照《中华人民共和国劳动合同法》订立劳动合同的从业人员。</w:t>
      </w:r>
    </w:p>
    <w:p w14:paraId="5E45F0C8">
      <w:pPr>
        <w:pStyle w:val="16"/>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bidi="ar"/>
        </w:rPr>
        <w:t>在货物采购项目中，供应商提供的货物既有中小企业制造货物，也有大型企业制造货物的，不享受中小企业扶持政策。</w:t>
      </w:r>
    </w:p>
    <w:p w14:paraId="2D6ECFC4">
      <w:pPr>
        <w:pStyle w:val="16"/>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bidi="ar"/>
        </w:rPr>
        <w:t>以联合体形式参加政府采购活动，联合体各方均为中小企业的，联合体视同中小企业。其中，联合体各方均为小微企业的，联合体视同小微企业。</w:t>
      </w:r>
    </w:p>
    <w:p w14:paraId="1FE72440">
      <w:pPr>
        <w:pStyle w:val="16"/>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1A73ACC3">
      <w:pPr>
        <w:pStyle w:val="16"/>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.3.4符合《关于促进残疾人就业政府采购政策的通知》（财库〔2017〕141号）规定的条件并提供《残疾人福利性单位声明函》的残疾人福利性单位视同小型、微型企业。</w:t>
      </w:r>
    </w:p>
    <w:p w14:paraId="35561E64">
      <w:pPr>
        <w:pStyle w:val="16"/>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F89979E">
      <w:pPr>
        <w:pStyle w:val="16"/>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3AE25ACB">
      <w:pPr>
        <w:pStyle w:val="16"/>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.3.7中小企业享受扶持政策获得政府采购合同的，小微企业不得将合同分包给大中型企业，中型企业不得将合同分包给大型企业。</w:t>
      </w:r>
    </w:p>
    <w:p w14:paraId="70A26FD6">
      <w:pPr>
        <w:pStyle w:val="16"/>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.4支持创新发展</w:t>
      </w:r>
    </w:p>
    <w:p w14:paraId="7A1958B7">
      <w:pPr>
        <w:pStyle w:val="16"/>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.4.1 采购人优先采购被认定为首台套产品和“制造精品”的自主创新产品。</w:t>
      </w:r>
    </w:p>
    <w:p w14:paraId="5C702EBE">
      <w:pPr>
        <w:pStyle w:val="16"/>
        <w:adjustRightInd w:val="0"/>
        <w:snapToGrid w:val="0"/>
        <w:spacing w:before="0" w:beforeAutospacing="0" w:after="0" w:afterAutospacing="0" w:line="500" w:lineRule="exact"/>
        <w:ind w:firstLine="420" w:firstLineChars="200"/>
        <w:rPr>
          <w:rFonts w:hint="eastAsia"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.4.2</w:t>
      </w:r>
      <w:r>
        <w:rPr>
          <w:rFonts w:hint="eastAsia" w:ascii="宋体" w:cs="宋体"/>
          <w:b/>
          <w:bCs/>
          <w:color w:val="auto"/>
          <w:sz w:val="21"/>
          <w:szCs w:val="21"/>
          <w:highlight w:val="none"/>
          <w:lang w:bidi="ar"/>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cs="宋体"/>
          <w:color w:val="auto"/>
          <w:sz w:val="21"/>
          <w:szCs w:val="21"/>
          <w:highlight w:val="none"/>
          <w:lang w:bidi="ar"/>
        </w:rPr>
        <w:t>。</w:t>
      </w:r>
    </w:p>
    <w:p w14:paraId="687DCBFA">
      <w:pPr>
        <w:autoSpaceDE/>
        <w:autoSpaceDN/>
        <w:adjustRightInd/>
        <w:spacing w:line="500" w:lineRule="exact"/>
        <w:ind w:firstLine="420" w:firstLineChars="200"/>
        <w:jc w:val="both"/>
        <w:rPr>
          <w:rFonts w:hint="eastAsia" w:hAnsi="宋体" w:cs="宋体"/>
          <w:b/>
          <w:color w:val="auto"/>
          <w:sz w:val="21"/>
          <w:szCs w:val="21"/>
          <w:highlight w:val="none"/>
        </w:rPr>
      </w:pPr>
      <w:r>
        <w:rPr>
          <w:rFonts w:hint="eastAsia" w:hAnsi="宋体" w:cs="宋体"/>
          <w:color w:val="auto"/>
          <w:sz w:val="21"/>
          <w:szCs w:val="21"/>
          <w:highlight w:val="none"/>
          <w:lang w:val="en" w:bidi="ar"/>
        </w:rPr>
        <w:t>1</w:t>
      </w:r>
      <w:r>
        <w:rPr>
          <w:rFonts w:hint="eastAsia" w:hAnsi="宋体" w:cs="宋体"/>
          <w:color w:val="auto"/>
          <w:sz w:val="21"/>
          <w:szCs w:val="21"/>
          <w:highlight w:val="none"/>
          <w:lang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供应商可以通过浙江政府采购网（https://zfcg.czt.zj.gov.cn/）首页的“浙江政采贷”模块进入申请，还可以通过政府采购云平台（https://www.zcygov.cn/）首页的“金融服务”模块进入申请。</w:t>
      </w:r>
    </w:p>
    <w:p w14:paraId="37DAD82C">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四、评标内容及标准</w:t>
      </w:r>
    </w:p>
    <w:p w14:paraId="652AE1DF">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（一）价格分（</w:t>
      </w:r>
      <w:r>
        <w:rPr>
          <w:rFonts w:hint="eastAsia" w:hAnsi="宋体" w:cs="宋体"/>
          <w:b/>
          <w:color w:val="auto"/>
          <w:sz w:val="21"/>
          <w:szCs w:val="21"/>
          <w:highlight w:val="none"/>
          <w:lang w:val="en-US" w:eastAsia="zh-CN"/>
        </w:rPr>
        <w:t>20</w:t>
      </w:r>
      <w:r>
        <w:rPr>
          <w:rFonts w:hint="eastAsia" w:hAnsi="宋体" w:cs="宋体"/>
          <w:b/>
          <w:color w:val="auto"/>
          <w:sz w:val="21"/>
          <w:szCs w:val="21"/>
          <w:highlight w:val="none"/>
        </w:rPr>
        <w:t>分）</w:t>
      </w:r>
    </w:p>
    <w:p w14:paraId="2474B0B1">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1.价格分采用低价优先法计算，即满足招标文件要求且投标报价最低的报价为评标基准价，其他投标人的价格分按照下列公式计算：</w:t>
      </w:r>
    </w:p>
    <w:p w14:paraId="552AEA10">
      <w:pPr>
        <w:autoSpaceDE/>
        <w:autoSpaceDN/>
        <w:adjustRightInd/>
        <w:spacing w:line="500" w:lineRule="exact"/>
        <w:ind w:firstLine="420" w:firstLineChars="200"/>
        <w:jc w:val="both"/>
        <w:rPr>
          <w:rFonts w:hint="eastAsia" w:hAnsi="宋体" w:cs="宋体"/>
          <w:strike/>
          <w:color w:val="auto"/>
          <w:sz w:val="21"/>
          <w:szCs w:val="21"/>
          <w:highlight w:val="none"/>
        </w:rPr>
      </w:pPr>
      <w:r>
        <w:rPr>
          <w:rFonts w:hint="eastAsia" w:hAnsi="宋体" w:cs="宋体"/>
          <w:color w:val="auto"/>
          <w:sz w:val="21"/>
          <w:szCs w:val="21"/>
          <w:highlight w:val="none"/>
        </w:rPr>
        <w:t>价格分=（评标基准价/投标报价）×</w:t>
      </w:r>
      <w:r>
        <w:rPr>
          <w:rFonts w:hint="eastAsia" w:hAnsi="宋体" w:cs="宋体"/>
          <w:color w:val="auto"/>
          <w:sz w:val="21"/>
          <w:szCs w:val="21"/>
          <w:highlight w:val="none"/>
          <w:lang w:val="en-US" w:eastAsia="zh-CN"/>
        </w:rPr>
        <w:t>20</w:t>
      </w:r>
      <w:r>
        <w:rPr>
          <w:rFonts w:hint="eastAsia" w:hAnsi="宋体" w:cs="宋体"/>
          <w:color w:val="auto"/>
          <w:sz w:val="21"/>
          <w:szCs w:val="21"/>
          <w:highlight w:val="none"/>
        </w:rPr>
        <w:t>%×100</w:t>
      </w:r>
    </w:p>
    <w:p w14:paraId="18D7258A">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价格评审过程中，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在有效投标人数满足法定人数的前提下，评标委员会依次确定满足招标文件要求且投标价格最低的有效投标报价为评标基准价。</w:t>
      </w:r>
    </w:p>
    <w:p w14:paraId="0DEA83FC">
      <w:pPr>
        <w:autoSpaceDE/>
        <w:autoSpaceDN/>
        <w:adjustRightInd/>
        <w:spacing w:line="500" w:lineRule="exact"/>
        <w:ind w:firstLine="420" w:firstLineChars="200"/>
        <w:jc w:val="both"/>
        <w:rPr>
          <w:rFonts w:hint="eastAsia" w:hAnsi="宋体" w:cs="宋体"/>
          <w:bCs/>
          <w:color w:val="auto"/>
          <w:sz w:val="21"/>
          <w:szCs w:val="21"/>
          <w:highlight w:val="none"/>
        </w:rPr>
      </w:pPr>
      <w:r>
        <w:rPr>
          <w:rFonts w:hint="eastAsia" w:hAnsi="宋体" w:cs="宋体"/>
          <w:bCs/>
          <w:color w:val="auto"/>
          <w:sz w:val="21"/>
          <w:szCs w:val="21"/>
          <w:highlight w:val="none"/>
        </w:rPr>
        <w:t>2.投标人的投标报价超过招标人设定的最高限价，按投标无效处理。</w:t>
      </w:r>
    </w:p>
    <w:p w14:paraId="1C29DB60">
      <w:pPr>
        <w:pStyle w:val="9"/>
        <w:ind w:firstLineChars="200"/>
        <w:rPr>
          <w:rFonts w:hint="eastAsia"/>
          <w:color w:val="auto"/>
          <w:highlight w:val="none"/>
        </w:rPr>
      </w:pPr>
      <w:r>
        <w:rPr>
          <w:rFonts w:hint="eastAsia" w:hAnsi="宋体" w:cs="宋体"/>
          <w:color w:val="auto"/>
          <w:sz w:val="21"/>
          <w:szCs w:val="21"/>
          <w:highlight w:val="none"/>
        </w:rPr>
        <w:t>3.本项目专门面向中小企业采购，不再执行价格评审优惠的扶持政策。</w:t>
      </w:r>
    </w:p>
    <w:p w14:paraId="0A589E2F">
      <w:pPr>
        <w:keepNext w:val="0"/>
        <w:keepLines w:val="0"/>
        <w:pageBreakBefore w:val="0"/>
        <w:numPr>
          <w:ilvl w:val="0"/>
          <w:numId w:val="5"/>
        </w:numPr>
        <w:kinsoku/>
        <w:wordWrap/>
        <w:overflowPunct/>
        <w:topLinePunct w:val="0"/>
        <w:autoSpaceDE/>
        <w:autoSpaceDN/>
        <w:bidi w:val="0"/>
        <w:adjustRightInd/>
        <w:snapToGrid/>
        <w:spacing w:line="460" w:lineRule="exact"/>
        <w:ind w:firstLine="422" w:firstLineChars="200"/>
        <w:jc w:val="both"/>
        <w:textAlignment w:val="auto"/>
        <w:rPr>
          <w:rFonts w:hint="eastAsia" w:hAnsi="宋体" w:cs="宋体"/>
          <w:b/>
          <w:bCs/>
          <w:color w:val="auto"/>
          <w:sz w:val="21"/>
          <w:szCs w:val="21"/>
          <w:highlight w:val="none"/>
        </w:rPr>
      </w:pPr>
      <w:r>
        <w:rPr>
          <w:rFonts w:hint="eastAsia" w:hAnsi="宋体" w:cs="宋体"/>
          <w:b/>
          <w:bCs/>
          <w:color w:val="auto"/>
          <w:sz w:val="21"/>
          <w:szCs w:val="21"/>
          <w:highlight w:val="none"/>
        </w:rPr>
        <w:t>技术商务分（</w:t>
      </w:r>
      <w:r>
        <w:rPr>
          <w:rFonts w:hint="eastAsia" w:hAnsi="宋体" w:cs="宋体"/>
          <w:b/>
          <w:bCs/>
          <w:color w:val="auto"/>
          <w:sz w:val="21"/>
          <w:szCs w:val="21"/>
          <w:highlight w:val="none"/>
          <w:lang w:val="en-US" w:eastAsia="zh-CN"/>
        </w:rPr>
        <w:t>80</w:t>
      </w:r>
      <w:r>
        <w:rPr>
          <w:rFonts w:hint="eastAsia" w:hAnsi="宋体" w:cs="宋体"/>
          <w:b/>
          <w:bCs/>
          <w:color w:val="auto"/>
          <w:sz w:val="21"/>
          <w:szCs w:val="21"/>
          <w:highlight w:val="none"/>
        </w:rPr>
        <w:t>分）</w:t>
      </w:r>
    </w:p>
    <w:tbl>
      <w:tblPr>
        <w:tblStyle w:val="17"/>
        <w:tblW w:w="10215"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29"/>
        <w:gridCol w:w="1261"/>
        <w:gridCol w:w="6270"/>
      </w:tblGrid>
      <w:tr w14:paraId="7A2D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215" w:type="dxa"/>
            <w:gridSpan w:val="4"/>
            <w:tcBorders>
              <w:tl2br w:val="single" w:color="auto" w:sz="4" w:space="0"/>
            </w:tcBorders>
            <w:noWrap w:val="0"/>
            <w:vAlign w:val="center"/>
          </w:tcPr>
          <w:p w14:paraId="54374265">
            <w:pPr>
              <w:spacing w:line="360" w:lineRule="exact"/>
              <w:rPr>
                <w:rFonts w:ascii="宋体" w:hAnsi="宋体" w:cs="宋体"/>
                <w:b/>
                <w:color w:val="000000"/>
                <w:szCs w:val="21"/>
                <w:highlight w:val="none"/>
              </w:rPr>
            </w:pPr>
            <w:r>
              <w:rPr>
                <w:rFonts w:hint="eastAsia" w:ascii="宋体" w:hAnsi="宋体" w:cs="宋体"/>
                <w:b/>
                <w:color w:val="000000"/>
                <w:szCs w:val="21"/>
                <w:highlight w:val="none"/>
              </w:rPr>
              <w:t xml:space="preserve">评分标准及分值                                                             </w:t>
            </w:r>
          </w:p>
        </w:tc>
      </w:tr>
      <w:tr w14:paraId="6D15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5" w:type="dxa"/>
            <w:vMerge w:val="restart"/>
            <w:noWrap w:val="0"/>
            <w:vAlign w:val="center"/>
          </w:tcPr>
          <w:p w14:paraId="6E7293BB">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商务技术分</w:t>
            </w:r>
          </w:p>
          <w:p w14:paraId="2C6EF1C5">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lang w:val="en-US" w:eastAsia="zh-CN"/>
              </w:rPr>
              <w:t>80</w:t>
            </w:r>
            <w:r>
              <w:rPr>
                <w:rFonts w:hint="eastAsia" w:ascii="宋体" w:hAnsi="宋体" w:cs="宋体"/>
                <w:color w:val="000000"/>
                <w:szCs w:val="21"/>
                <w:highlight w:val="none"/>
              </w:rPr>
              <w:t>分</w:t>
            </w:r>
          </w:p>
        </w:tc>
        <w:tc>
          <w:tcPr>
            <w:tcW w:w="1829" w:type="dxa"/>
            <w:vMerge w:val="restart"/>
            <w:noWrap w:val="0"/>
            <w:vAlign w:val="center"/>
          </w:tcPr>
          <w:p w14:paraId="42CCB949">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1、服务方案</w:t>
            </w:r>
          </w:p>
          <w:p w14:paraId="009E7853">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54</w:t>
            </w:r>
            <w:r>
              <w:rPr>
                <w:rFonts w:hint="eastAsia" w:ascii="宋体" w:hAnsi="宋体" w:cs="宋体"/>
                <w:color w:val="000000"/>
                <w:szCs w:val="21"/>
                <w:highlight w:val="none"/>
              </w:rPr>
              <w:t>分）</w:t>
            </w:r>
          </w:p>
        </w:tc>
        <w:tc>
          <w:tcPr>
            <w:tcW w:w="7531" w:type="dxa"/>
            <w:gridSpan w:val="2"/>
            <w:noWrap w:val="0"/>
            <w:vAlign w:val="center"/>
          </w:tcPr>
          <w:p w14:paraId="61B21988">
            <w:pPr>
              <w:spacing w:line="340" w:lineRule="exact"/>
              <w:rPr>
                <w:rFonts w:ascii="宋体" w:hAnsi="宋体" w:cs="宋体"/>
                <w:color w:val="000000"/>
                <w:szCs w:val="21"/>
                <w:highlight w:val="none"/>
              </w:rPr>
            </w:pPr>
            <w:r>
              <w:rPr>
                <w:rFonts w:hint="eastAsia" w:ascii="宋体" w:hAnsi="宋体" w:cs="宋体"/>
                <w:color w:val="000000"/>
                <w:szCs w:val="21"/>
                <w:highlight w:val="none"/>
              </w:rPr>
              <w:t>1.1对本项目的了解情况及重点、难点分析（</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分）：根据供应商提供的针对服务区域的了解情况及重点及难点分析是否准确、合理进行综合评议。本项最高</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0,1,2,3,4,5,6</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tc>
      </w:tr>
      <w:tr w14:paraId="739B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5" w:type="dxa"/>
            <w:vMerge w:val="continue"/>
            <w:noWrap w:val="0"/>
            <w:vAlign w:val="center"/>
          </w:tcPr>
          <w:p w14:paraId="5524C1FA">
            <w:pPr>
              <w:spacing w:line="400" w:lineRule="exact"/>
              <w:jc w:val="center"/>
              <w:rPr>
                <w:rFonts w:ascii="宋体" w:hAnsi="宋体" w:cs="宋体"/>
                <w:color w:val="000000"/>
                <w:szCs w:val="21"/>
                <w:highlight w:val="none"/>
              </w:rPr>
            </w:pPr>
          </w:p>
        </w:tc>
        <w:tc>
          <w:tcPr>
            <w:tcW w:w="1829" w:type="dxa"/>
            <w:vMerge w:val="continue"/>
            <w:noWrap w:val="0"/>
            <w:vAlign w:val="center"/>
          </w:tcPr>
          <w:p w14:paraId="55743240">
            <w:pPr>
              <w:spacing w:line="400" w:lineRule="exact"/>
              <w:jc w:val="center"/>
              <w:rPr>
                <w:rFonts w:ascii="宋体" w:hAnsi="宋体" w:cs="宋体"/>
                <w:color w:val="000000"/>
                <w:szCs w:val="21"/>
                <w:highlight w:val="none"/>
              </w:rPr>
            </w:pPr>
          </w:p>
        </w:tc>
        <w:tc>
          <w:tcPr>
            <w:tcW w:w="7531" w:type="dxa"/>
            <w:gridSpan w:val="2"/>
            <w:noWrap w:val="0"/>
            <w:vAlign w:val="center"/>
          </w:tcPr>
          <w:p w14:paraId="2DE8051A">
            <w:pPr>
              <w:spacing w:line="340" w:lineRule="exact"/>
              <w:rPr>
                <w:rFonts w:ascii="宋体" w:hAnsi="宋体" w:cs="宋体"/>
                <w:color w:val="000000"/>
                <w:szCs w:val="21"/>
                <w:highlight w:val="none"/>
              </w:rPr>
            </w:pPr>
            <w:r>
              <w:rPr>
                <w:rFonts w:hint="eastAsia" w:ascii="宋体" w:hAnsi="宋体" w:cs="宋体"/>
                <w:color w:val="000000"/>
                <w:szCs w:val="21"/>
                <w:highlight w:val="none"/>
              </w:rPr>
              <w:t>1.2重点、难点解决方案（</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分）：根据供应商提供的针对服务区域的重点及难点的解决方法和措施是否有针对性、是否科学合理进行综合评议。本项最高</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0,1,2,3,4,5,6</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tc>
      </w:tr>
      <w:tr w14:paraId="1EA1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vMerge w:val="continue"/>
            <w:noWrap w:val="0"/>
            <w:vAlign w:val="center"/>
          </w:tcPr>
          <w:p w14:paraId="60DA4F85">
            <w:pPr>
              <w:spacing w:line="400" w:lineRule="exact"/>
              <w:jc w:val="center"/>
              <w:rPr>
                <w:rFonts w:ascii="宋体" w:hAnsi="宋体" w:cs="宋体"/>
                <w:color w:val="000000"/>
                <w:szCs w:val="21"/>
                <w:highlight w:val="none"/>
              </w:rPr>
            </w:pPr>
          </w:p>
        </w:tc>
        <w:tc>
          <w:tcPr>
            <w:tcW w:w="1829" w:type="dxa"/>
            <w:vMerge w:val="continue"/>
            <w:noWrap w:val="0"/>
            <w:vAlign w:val="center"/>
          </w:tcPr>
          <w:p w14:paraId="5FEA7DC2">
            <w:pPr>
              <w:spacing w:line="400" w:lineRule="exact"/>
              <w:jc w:val="center"/>
              <w:rPr>
                <w:rFonts w:ascii="宋体" w:hAnsi="宋体" w:cs="宋体"/>
                <w:color w:val="000000"/>
                <w:szCs w:val="21"/>
                <w:highlight w:val="none"/>
              </w:rPr>
            </w:pPr>
          </w:p>
        </w:tc>
        <w:tc>
          <w:tcPr>
            <w:tcW w:w="1261" w:type="dxa"/>
            <w:noWrap w:val="0"/>
            <w:vAlign w:val="center"/>
          </w:tcPr>
          <w:p w14:paraId="7CBA4F54">
            <w:pPr>
              <w:spacing w:line="340" w:lineRule="exact"/>
              <w:rPr>
                <w:rFonts w:ascii="宋体" w:hAnsi="宋体" w:cs="宋体"/>
                <w:color w:val="000000"/>
                <w:szCs w:val="21"/>
                <w:highlight w:val="none"/>
              </w:rPr>
            </w:pPr>
            <w:r>
              <w:rPr>
                <w:rFonts w:hint="eastAsia" w:ascii="宋体" w:hAnsi="宋体" w:cs="宋体"/>
                <w:color w:val="000000"/>
                <w:szCs w:val="21"/>
                <w:highlight w:val="none"/>
              </w:rPr>
              <w:t>1.3垃圾清运方案  （</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w:t>
            </w:r>
          </w:p>
        </w:tc>
        <w:tc>
          <w:tcPr>
            <w:tcW w:w="6270" w:type="dxa"/>
            <w:noWrap w:val="0"/>
            <w:vAlign w:val="center"/>
          </w:tcPr>
          <w:p w14:paraId="6F182656">
            <w:pPr>
              <w:spacing w:line="340" w:lineRule="exact"/>
              <w:rPr>
                <w:rFonts w:ascii="宋体" w:hAnsi="宋体" w:cs="宋体"/>
                <w:color w:val="000000"/>
                <w:szCs w:val="21"/>
                <w:highlight w:val="none"/>
              </w:rPr>
            </w:pPr>
            <w:r>
              <w:rPr>
                <w:rFonts w:hint="eastAsia" w:ascii="宋体" w:hAnsi="宋体" w:cs="宋体"/>
                <w:color w:val="000000"/>
                <w:szCs w:val="21"/>
                <w:highlight w:val="none"/>
              </w:rPr>
              <w:t>评委根据供应商提供的针对本次招标范围内实际情况制定的垃圾清运方案，从方案的可行性和合理性进行总体评议。本项最高</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0,1,2,3,4,5,6</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tc>
      </w:tr>
      <w:tr w14:paraId="56AC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5" w:type="dxa"/>
            <w:vMerge w:val="continue"/>
            <w:noWrap w:val="0"/>
            <w:vAlign w:val="center"/>
          </w:tcPr>
          <w:p w14:paraId="536D6602">
            <w:pPr>
              <w:spacing w:line="400" w:lineRule="exact"/>
              <w:jc w:val="center"/>
              <w:rPr>
                <w:rFonts w:ascii="宋体" w:hAnsi="宋体" w:cs="宋体"/>
                <w:color w:val="000000"/>
                <w:szCs w:val="21"/>
                <w:highlight w:val="none"/>
              </w:rPr>
            </w:pPr>
          </w:p>
        </w:tc>
        <w:tc>
          <w:tcPr>
            <w:tcW w:w="1829" w:type="dxa"/>
            <w:vMerge w:val="continue"/>
            <w:noWrap w:val="0"/>
            <w:vAlign w:val="center"/>
          </w:tcPr>
          <w:p w14:paraId="2C4CE799">
            <w:pPr>
              <w:spacing w:line="400" w:lineRule="exact"/>
              <w:jc w:val="center"/>
              <w:rPr>
                <w:rFonts w:ascii="宋体" w:hAnsi="宋体" w:cs="宋体"/>
                <w:color w:val="000000"/>
                <w:szCs w:val="21"/>
                <w:highlight w:val="none"/>
              </w:rPr>
            </w:pPr>
          </w:p>
        </w:tc>
        <w:tc>
          <w:tcPr>
            <w:tcW w:w="1261" w:type="dxa"/>
            <w:vMerge w:val="restart"/>
            <w:noWrap w:val="0"/>
            <w:vAlign w:val="center"/>
          </w:tcPr>
          <w:p w14:paraId="73742C67">
            <w:pPr>
              <w:spacing w:line="340" w:lineRule="exact"/>
              <w:rPr>
                <w:rFonts w:ascii="宋体" w:hAnsi="宋体" w:cs="宋体"/>
                <w:color w:val="000000"/>
                <w:szCs w:val="21"/>
                <w:highlight w:val="none"/>
              </w:rPr>
            </w:pPr>
            <w:r>
              <w:rPr>
                <w:rFonts w:hint="eastAsia" w:ascii="宋体" w:hAnsi="宋体" w:cs="宋体"/>
                <w:color w:val="000000"/>
                <w:szCs w:val="21"/>
                <w:highlight w:val="none"/>
              </w:rPr>
              <w:t>1.4中转站</w:t>
            </w:r>
            <w:r>
              <w:rPr>
                <w:rFonts w:hint="eastAsia" w:ascii="宋体" w:hAnsi="宋体" w:cs="宋体"/>
                <w:bCs/>
                <w:color w:val="000000"/>
                <w:highlight w:val="none"/>
              </w:rPr>
              <w:t>日常作业管理方案</w:t>
            </w:r>
            <w:r>
              <w:rPr>
                <w:rFonts w:hint="eastAsia" w:ascii="宋体" w:hAnsi="宋体" w:cs="宋体"/>
                <w:color w:val="000000"/>
                <w:szCs w:val="21"/>
                <w:highlight w:val="none"/>
              </w:rPr>
              <w:t>（</w:t>
            </w:r>
            <w:r>
              <w:rPr>
                <w:rFonts w:ascii="宋体" w:hAnsi="宋体" w:cs="宋体"/>
                <w:color w:val="000000"/>
                <w:szCs w:val="21"/>
                <w:highlight w:val="none"/>
              </w:rPr>
              <w:t>18</w:t>
            </w:r>
            <w:r>
              <w:rPr>
                <w:rFonts w:hint="eastAsia" w:ascii="宋体" w:hAnsi="宋体" w:cs="宋体"/>
                <w:color w:val="000000"/>
                <w:szCs w:val="21"/>
                <w:highlight w:val="none"/>
              </w:rPr>
              <w:t>分）</w:t>
            </w:r>
          </w:p>
        </w:tc>
        <w:tc>
          <w:tcPr>
            <w:tcW w:w="6270" w:type="dxa"/>
            <w:noWrap w:val="0"/>
            <w:vAlign w:val="center"/>
          </w:tcPr>
          <w:p w14:paraId="60AF597D">
            <w:pPr>
              <w:spacing w:line="340" w:lineRule="exact"/>
              <w:rPr>
                <w:rFonts w:ascii="宋体" w:hAnsi="宋体" w:cs="宋体"/>
                <w:color w:val="000000"/>
                <w:szCs w:val="21"/>
                <w:highlight w:val="none"/>
              </w:rPr>
            </w:pPr>
            <w:r>
              <w:rPr>
                <w:rFonts w:hint="eastAsia" w:ascii="宋体" w:hAnsi="宋体" w:cs="宋体"/>
                <w:color w:val="000000"/>
                <w:szCs w:val="21"/>
                <w:highlight w:val="none"/>
              </w:rPr>
              <w:t>1.4.1卫生保洁（</w:t>
            </w:r>
            <w:r>
              <w:rPr>
                <w:rFonts w:ascii="宋体" w:hAnsi="宋体" w:cs="宋体"/>
                <w:color w:val="000000"/>
                <w:szCs w:val="21"/>
                <w:highlight w:val="none"/>
              </w:rPr>
              <w:t>6</w:t>
            </w:r>
            <w:r>
              <w:rPr>
                <w:rFonts w:hint="eastAsia" w:ascii="宋体" w:hAnsi="宋体" w:cs="宋体"/>
                <w:color w:val="000000"/>
                <w:szCs w:val="21"/>
                <w:highlight w:val="none"/>
              </w:rPr>
              <w:t>分）:评委根据供应商提供的针对本次招标范围内实际情况制定的中转站内外卫生保洁</w:t>
            </w:r>
            <w:r>
              <w:rPr>
                <w:rFonts w:hint="eastAsia" w:ascii="宋体" w:hAnsi="宋体" w:cs="宋体"/>
                <w:bCs/>
                <w:color w:val="000000"/>
                <w:highlight w:val="none"/>
              </w:rPr>
              <w:t>管理方案</w:t>
            </w:r>
            <w:r>
              <w:rPr>
                <w:rFonts w:hint="eastAsia" w:ascii="宋体" w:hAnsi="宋体" w:cs="宋体"/>
                <w:color w:val="000000"/>
                <w:szCs w:val="21"/>
                <w:highlight w:val="none"/>
              </w:rPr>
              <w:t>，从方案的科学性、可行性和合理性进行总体评议。本项最高6分</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0,1,2,3,4,5,6</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tc>
      </w:tr>
      <w:tr w14:paraId="51BD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5" w:type="dxa"/>
            <w:vMerge w:val="continue"/>
            <w:noWrap w:val="0"/>
            <w:vAlign w:val="center"/>
          </w:tcPr>
          <w:p w14:paraId="4E9A89F9">
            <w:pPr>
              <w:spacing w:line="400" w:lineRule="exact"/>
              <w:jc w:val="center"/>
              <w:rPr>
                <w:rFonts w:ascii="宋体" w:hAnsi="宋体" w:cs="宋体"/>
                <w:color w:val="000000"/>
                <w:szCs w:val="21"/>
                <w:highlight w:val="none"/>
              </w:rPr>
            </w:pPr>
          </w:p>
        </w:tc>
        <w:tc>
          <w:tcPr>
            <w:tcW w:w="1829" w:type="dxa"/>
            <w:vMerge w:val="continue"/>
            <w:noWrap w:val="0"/>
            <w:vAlign w:val="center"/>
          </w:tcPr>
          <w:p w14:paraId="47B1FE88">
            <w:pPr>
              <w:spacing w:line="400" w:lineRule="exact"/>
              <w:jc w:val="center"/>
              <w:rPr>
                <w:rFonts w:ascii="宋体" w:hAnsi="宋体" w:cs="宋体"/>
                <w:color w:val="000000"/>
                <w:szCs w:val="21"/>
                <w:highlight w:val="none"/>
              </w:rPr>
            </w:pPr>
          </w:p>
        </w:tc>
        <w:tc>
          <w:tcPr>
            <w:tcW w:w="1261" w:type="dxa"/>
            <w:vMerge w:val="continue"/>
            <w:noWrap w:val="0"/>
            <w:vAlign w:val="center"/>
          </w:tcPr>
          <w:p w14:paraId="176804AA">
            <w:pPr>
              <w:spacing w:line="340" w:lineRule="exact"/>
              <w:rPr>
                <w:rFonts w:ascii="宋体" w:hAnsi="宋体" w:cs="宋体"/>
                <w:color w:val="000000"/>
                <w:szCs w:val="21"/>
                <w:highlight w:val="none"/>
              </w:rPr>
            </w:pPr>
          </w:p>
        </w:tc>
        <w:tc>
          <w:tcPr>
            <w:tcW w:w="6270" w:type="dxa"/>
            <w:noWrap w:val="0"/>
            <w:vAlign w:val="center"/>
          </w:tcPr>
          <w:p w14:paraId="3F526DB8">
            <w:pPr>
              <w:spacing w:line="340" w:lineRule="exact"/>
              <w:rPr>
                <w:rFonts w:ascii="宋体" w:hAnsi="宋体" w:cs="宋体"/>
                <w:color w:val="000000"/>
                <w:szCs w:val="21"/>
                <w:highlight w:val="none"/>
              </w:rPr>
            </w:pPr>
            <w:r>
              <w:rPr>
                <w:rFonts w:hint="eastAsia" w:ascii="宋体" w:hAnsi="宋体" w:cs="宋体"/>
                <w:color w:val="000000"/>
                <w:szCs w:val="21"/>
                <w:highlight w:val="none"/>
              </w:rPr>
              <w:t>1.4.2中转站设备运维（</w:t>
            </w:r>
            <w:r>
              <w:rPr>
                <w:rFonts w:ascii="宋体" w:hAnsi="宋体" w:cs="宋体"/>
                <w:color w:val="000000"/>
                <w:szCs w:val="21"/>
                <w:highlight w:val="none"/>
              </w:rPr>
              <w:t>6</w:t>
            </w:r>
            <w:r>
              <w:rPr>
                <w:rFonts w:hint="eastAsia" w:ascii="宋体" w:hAnsi="宋体" w:cs="宋体"/>
                <w:color w:val="000000"/>
                <w:szCs w:val="21"/>
                <w:highlight w:val="none"/>
              </w:rPr>
              <w:t>分）:评委根据供应商提供的针对本次招标范围内实际情况制定的中转站设备设施运维</w:t>
            </w:r>
            <w:r>
              <w:rPr>
                <w:rFonts w:hint="eastAsia" w:ascii="宋体" w:hAnsi="宋体" w:cs="宋体"/>
                <w:bCs/>
                <w:color w:val="000000"/>
                <w:highlight w:val="none"/>
              </w:rPr>
              <w:t>方案</w:t>
            </w:r>
            <w:r>
              <w:rPr>
                <w:rFonts w:hint="eastAsia" w:ascii="宋体" w:hAnsi="宋体" w:cs="宋体"/>
                <w:color w:val="000000"/>
                <w:szCs w:val="21"/>
                <w:highlight w:val="none"/>
              </w:rPr>
              <w:t>，从方案的科学性、可行性和合理性进行总体评议。本项最高6分</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0,1,2,3,4,5,6</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tc>
      </w:tr>
      <w:tr w14:paraId="40EA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5" w:type="dxa"/>
            <w:vMerge w:val="continue"/>
            <w:noWrap w:val="0"/>
            <w:vAlign w:val="center"/>
          </w:tcPr>
          <w:p w14:paraId="28671CAC">
            <w:pPr>
              <w:spacing w:line="400" w:lineRule="exact"/>
              <w:jc w:val="center"/>
              <w:rPr>
                <w:rFonts w:ascii="宋体" w:hAnsi="宋体" w:cs="宋体"/>
                <w:color w:val="000000"/>
                <w:szCs w:val="21"/>
                <w:highlight w:val="none"/>
              </w:rPr>
            </w:pPr>
          </w:p>
        </w:tc>
        <w:tc>
          <w:tcPr>
            <w:tcW w:w="1829" w:type="dxa"/>
            <w:vMerge w:val="continue"/>
            <w:noWrap w:val="0"/>
            <w:vAlign w:val="center"/>
          </w:tcPr>
          <w:p w14:paraId="06ADFB9B">
            <w:pPr>
              <w:spacing w:line="400" w:lineRule="exact"/>
              <w:jc w:val="center"/>
              <w:rPr>
                <w:rFonts w:ascii="宋体" w:hAnsi="宋体" w:cs="宋体"/>
                <w:color w:val="000000"/>
                <w:szCs w:val="21"/>
                <w:highlight w:val="none"/>
              </w:rPr>
            </w:pPr>
          </w:p>
        </w:tc>
        <w:tc>
          <w:tcPr>
            <w:tcW w:w="1261" w:type="dxa"/>
            <w:vMerge w:val="continue"/>
            <w:noWrap w:val="0"/>
            <w:vAlign w:val="center"/>
          </w:tcPr>
          <w:p w14:paraId="2C855FA8">
            <w:pPr>
              <w:spacing w:line="340" w:lineRule="exact"/>
              <w:rPr>
                <w:rFonts w:ascii="宋体" w:hAnsi="宋体" w:cs="宋体"/>
                <w:color w:val="000000"/>
                <w:szCs w:val="21"/>
                <w:highlight w:val="none"/>
              </w:rPr>
            </w:pPr>
          </w:p>
        </w:tc>
        <w:tc>
          <w:tcPr>
            <w:tcW w:w="6270" w:type="dxa"/>
            <w:noWrap w:val="0"/>
            <w:vAlign w:val="center"/>
          </w:tcPr>
          <w:p w14:paraId="42EC8D90">
            <w:pPr>
              <w:spacing w:line="340" w:lineRule="exact"/>
              <w:rPr>
                <w:rFonts w:ascii="宋体" w:hAnsi="宋体" w:cs="宋体"/>
                <w:color w:val="000000"/>
                <w:szCs w:val="21"/>
                <w:highlight w:val="none"/>
              </w:rPr>
            </w:pPr>
            <w:r>
              <w:rPr>
                <w:rFonts w:hint="eastAsia" w:ascii="宋体" w:hAnsi="宋体" w:cs="宋体"/>
                <w:color w:val="000000"/>
                <w:szCs w:val="21"/>
                <w:highlight w:val="none"/>
              </w:rPr>
              <w:t>1.4.3中转站站内除臭（</w:t>
            </w:r>
            <w:r>
              <w:rPr>
                <w:rFonts w:ascii="宋体" w:hAnsi="宋体" w:cs="宋体"/>
                <w:color w:val="000000"/>
                <w:szCs w:val="21"/>
                <w:highlight w:val="none"/>
              </w:rPr>
              <w:t>6</w:t>
            </w:r>
            <w:r>
              <w:rPr>
                <w:rFonts w:hint="eastAsia" w:ascii="宋体" w:hAnsi="宋体" w:cs="宋体"/>
                <w:color w:val="000000"/>
                <w:szCs w:val="21"/>
                <w:highlight w:val="none"/>
              </w:rPr>
              <w:t>分）:评委根据供应商提供的针对本次招标范围内实际情况制定的中转站站内除臭</w:t>
            </w:r>
            <w:r>
              <w:rPr>
                <w:rFonts w:hint="eastAsia" w:ascii="宋体" w:hAnsi="宋体" w:cs="宋体"/>
                <w:bCs/>
                <w:color w:val="000000"/>
                <w:highlight w:val="none"/>
              </w:rPr>
              <w:t>方案</w:t>
            </w:r>
            <w:r>
              <w:rPr>
                <w:rFonts w:hint="eastAsia" w:ascii="宋体" w:hAnsi="宋体" w:cs="宋体"/>
                <w:color w:val="000000"/>
                <w:szCs w:val="21"/>
                <w:highlight w:val="none"/>
              </w:rPr>
              <w:t>，从方案的科学性、可行性和合理性进行总体评议。本项最高6分</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0,1,2,3,4,5,6</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tc>
      </w:tr>
      <w:tr w14:paraId="3F76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vMerge w:val="continue"/>
            <w:noWrap w:val="0"/>
            <w:vAlign w:val="center"/>
          </w:tcPr>
          <w:p w14:paraId="27E3BD83">
            <w:pPr>
              <w:spacing w:line="400" w:lineRule="exact"/>
              <w:jc w:val="center"/>
              <w:rPr>
                <w:rFonts w:ascii="宋体" w:hAnsi="宋体" w:cs="宋体"/>
                <w:color w:val="000000"/>
                <w:szCs w:val="21"/>
                <w:highlight w:val="none"/>
              </w:rPr>
            </w:pPr>
          </w:p>
        </w:tc>
        <w:tc>
          <w:tcPr>
            <w:tcW w:w="1829" w:type="dxa"/>
            <w:vMerge w:val="continue"/>
            <w:noWrap w:val="0"/>
            <w:vAlign w:val="center"/>
          </w:tcPr>
          <w:p w14:paraId="44E8BBF6">
            <w:pPr>
              <w:spacing w:line="400" w:lineRule="exact"/>
              <w:jc w:val="center"/>
              <w:rPr>
                <w:rFonts w:ascii="宋体" w:hAnsi="宋体" w:cs="宋体"/>
                <w:color w:val="000000"/>
                <w:szCs w:val="21"/>
                <w:highlight w:val="none"/>
              </w:rPr>
            </w:pPr>
          </w:p>
        </w:tc>
        <w:tc>
          <w:tcPr>
            <w:tcW w:w="7531" w:type="dxa"/>
            <w:gridSpan w:val="2"/>
            <w:noWrap w:val="0"/>
            <w:vAlign w:val="center"/>
          </w:tcPr>
          <w:p w14:paraId="7B66CB3D">
            <w:pPr>
              <w:spacing w:line="340" w:lineRule="exac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质量保障措施、服务响应及承诺（</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分）：评委根据供应商提供的上述内容进行综合评议。本项最高</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0,1,2,3,4,5,6</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tc>
      </w:tr>
      <w:tr w14:paraId="2223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vMerge w:val="continue"/>
            <w:noWrap w:val="0"/>
            <w:vAlign w:val="center"/>
          </w:tcPr>
          <w:p w14:paraId="0622E124">
            <w:pPr>
              <w:spacing w:line="400" w:lineRule="exact"/>
              <w:jc w:val="center"/>
              <w:rPr>
                <w:rFonts w:ascii="宋体" w:hAnsi="宋体" w:cs="宋体"/>
                <w:color w:val="000000"/>
                <w:szCs w:val="21"/>
                <w:highlight w:val="none"/>
              </w:rPr>
            </w:pPr>
          </w:p>
        </w:tc>
        <w:tc>
          <w:tcPr>
            <w:tcW w:w="1829" w:type="dxa"/>
            <w:vMerge w:val="continue"/>
            <w:noWrap w:val="0"/>
            <w:vAlign w:val="center"/>
          </w:tcPr>
          <w:p w14:paraId="43C27F39">
            <w:pPr>
              <w:spacing w:line="400" w:lineRule="exact"/>
              <w:jc w:val="center"/>
              <w:rPr>
                <w:rFonts w:ascii="宋体" w:hAnsi="宋体" w:cs="宋体"/>
                <w:color w:val="000000"/>
                <w:szCs w:val="21"/>
                <w:highlight w:val="none"/>
              </w:rPr>
            </w:pPr>
          </w:p>
        </w:tc>
        <w:tc>
          <w:tcPr>
            <w:tcW w:w="7531" w:type="dxa"/>
            <w:gridSpan w:val="2"/>
            <w:noWrap w:val="0"/>
            <w:vAlign w:val="center"/>
          </w:tcPr>
          <w:p w14:paraId="04189A5C">
            <w:pPr>
              <w:spacing w:line="340" w:lineRule="exac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安全教育及安全经营方案（</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分）：评委根据各供应商提供的安全教育和培训方案、安全保障措施、安全生产责任分配、安全事故善后措施及赔偿方案等内容进行综合评议。本项最高</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0,1,2,3,4,5,6</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tc>
      </w:tr>
      <w:tr w14:paraId="3654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vMerge w:val="continue"/>
            <w:noWrap w:val="0"/>
            <w:vAlign w:val="center"/>
          </w:tcPr>
          <w:p w14:paraId="23C98E69">
            <w:pPr>
              <w:spacing w:line="400" w:lineRule="exact"/>
              <w:jc w:val="center"/>
              <w:rPr>
                <w:rFonts w:ascii="宋体" w:hAnsi="宋体" w:cs="宋体"/>
                <w:color w:val="000000"/>
                <w:szCs w:val="21"/>
                <w:highlight w:val="none"/>
              </w:rPr>
            </w:pPr>
          </w:p>
        </w:tc>
        <w:tc>
          <w:tcPr>
            <w:tcW w:w="1829" w:type="dxa"/>
            <w:vMerge w:val="continue"/>
            <w:noWrap w:val="0"/>
            <w:vAlign w:val="center"/>
          </w:tcPr>
          <w:p w14:paraId="746E5A68">
            <w:pPr>
              <w:spacing w:line="400" w:lineRule="exact"/>
              <w:jc w:val="center"/>
              <w:rPr>
                <w:rFonts w:ascii="宋体" w:hAnsi="宋体" w:cs="宋体"/>
                <w:color w:val="000000"/>
                <w:szCs w:val="21"/>
                <w:highlight w:val="none"/>
              </w:rPr>
            </w:pPr>
          </w:p>
        </w:tc>
        <w:tc>
          <w:tcPr>
            <w:tcW w:w="7531" w:type="dxa"/>
            <w:gridSpan w:val="2"/>
            <w:noWrap w:val="0"/>
            <w:vAlign w:val="center"/>
          </w:tcPr>
          <w:p w14:paraId="4067100C">
            <w:pPr>
              <w:spacing w:line="340" w:lineRule="exac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交接方案（</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分）：根据供应商提供的交接方案的可操作性、可行性进行综合评议。本项最高</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0,1,2,3,4,5,6</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tc>
      </w:tr>
      <w:tr w14:paraId="41AB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55" w:type="dxa"/>
            <w:vMerge w:val="continue"/>
            <w:noWrap w:val="0"/>
            <w:vAlign w:val="center"/>
          </w:tcPr>
          <w:p w14:paraId="24277D31">
            <w:pPr>
              <w:spacing w:line="400" w:lineRule="exact"/>
              <w:jc w:val="center"/>
              <w:rPr>
                <w:rFonts w:ascii="宋体" w:hAnsi="宋体" w:cs="宋体"/>
                <w:color w:val="000000"/>
                <w:szCs w:val="21"/>
                <w:highlight w:val="none"/>
              </w:rPr>
            </w:pPr>
          </w:p>
        </w:tc>
        <w:tc>
          <w:tcPr>
            <w:tcW w:w="1829" w:type="dxa"/>
            <w:noWrap w:val="0"/>
            <w:vAlign w:val="center"/>
          </w:tcPr>
          <w:p w14:paraId="3B5E8D13">
            <w:pPr>
              <w:spacing w:line="340" w:lineRule="exact"/>
              <w:rPr>
                <w:rFonts w:ascii="宋体" w:hAnsi="宋体" w:cs="宋体"/>
                <w:color w:val="000000"/>
                <w:highlight w:val="none"/>
              </w:rPr>
            </w:pPr>
            <w:r>
              <w:rPr>
                <w:rFonts w:hint="eastAsia" w:ascii="宋体" w:hAnsi="宋体" w:cs="宋体"/>
                <w:color w:val="000000"/>
                <w:szCs w:val="21"/>
                <w:highlight w:val="none"/>
              </w:rPr>
              <w:t>2、特殊情况的应急保障措施（7分）</w:t>
            </w:r>
          </w:p>
        </w:tc>
        <w:tc>
          <w:tcPr>
            <w:tcW w:w="7531" w:type="dxa"/>
            <w:gridSpan w:val="2"/>
            <w:noWrap w:val="0"/>
            <w:vAlign w:val="center"/>
          </w:tcPr>
          <w:p w14:paraId="71B311DD">
            <w:pPr>
              <w:spacing w:line="340" w:lineRule="exact"/>
              <w:rPr>
                <w:rFonts w:ascii="宋体" w:hAnsi="宋体" w:cs="宋体"/>
                <w:color w:val="000000"/>
                <w:szCs w:val="21"/>
                <w:highlight w:val="none"/>
              </w:rPr>
            </w:pPr>
            <w:r>
              <w:rPr>
                <w:rFonts w:hint="eastAsia" w:ascii="宋体" w:hAnsi="宋体" w:cs="宋体"/>
                <w:color w:val="000000"/>
                <w:szCs w:val="21"/>
                <w:highlight w:val="none"/>
              </w:rPr>
              <w:t>评委根据各供应商提供的针对大型活动、节庆假日、防台防汛期间、创优评优和突击检查等特殊时期的应急保障措施进行综合评议。本项最高7分</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0,1,2,3,4,5，6,7</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tc>
      </w:tr>
      <w:tr w14:paraId="7438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55" w:type="dxa"/>
            <w:vMerge w:val="continue"/>
            <w:noWrap w:val="0"/>
            <w:vAlign w:val="center"/>
          </w:tcPr>
          <w:p w14:paraId="010EC8C5">
            <w:pPr>
              <w:spacing w:line="400" w:lineRule="exact"/>
              <w:jc w:val="center"/>
              <w:rPr>
                <w:rFonts w:ascii="宋体" w:hAnsi="宋体" w:cs="宋体"/>
                <w:color w:val="000000"/>
                <w:szCs w:val="21"/>
                <w:highlight w:val="none"/>
              </w:rPr>
            </w:pPr>
          </w:p>
        </w:tc>
        <w:tc>
          <w:tcPr>
            <w:tcW w:w="1829" w:type="dxa"/>
            <w:noWrap w:val="0"/>
            <w:vAlign w:val="center"/>
          </w:tcPr>
          <w:p w14:paraId="434B5263">
            <w:pPr>
              <w:spacing w:line="340" w:lineRule="exact"/>
              <w:rPr>
                <w:rFonts w:ascii="宋体" w:hAnsi="宋体" w:cs="宋体"/>
                <w:color w:val="000000"/>
                <w:szCs w:val="21"/>
                <w:highlight w:val="none"/>
              </w:rPr>
            </w:pPr>
            <w:r>
              <w:rPr>
                <w:rFonts w:hint="eastAsia" w:ascii="宋体" w:hAnsi="宋体" w:cs="宋体"/>
                <w:color w:val="000000"/>
                <w:szCs w:val="21"/>
                <w:highlight w:val="none"/>
              </w:rPr>
              <w:t>3、针对本项目的督检制度（7分）</w:t>
            </w:r>
          </w:p>
        </w:tc>
        <w:tc>
          <w:tcPr>
            <w:tcW w:w="7531" w:type="dxa"/>
            <w:gridSpan w:val="2"/>
            <w:noWrap w:val="0"/>
            <w:vAlign w:val="center"/>
          </w:tcPr>
          <w:p w14:paraId="37E149A7">
            <w:pPr>
              <w:spacing w:line="340" w:lineRule="exact"/>
              <w:rPr>
                <w:rFonts w:ascii="宋体" w:hAnsi="宋体" w:cs="宋体"/>
                <w:color w:val="000000"/>
                <w:szCs w:val="21"/>
                <w:highlight w:val="none"/>
              </w:rPr>
            </w:pPr>
            <w:r>
              <w:rPr>
                <w:rFonts w:hint="eastAsia" w:ascii="宋体" w:hAnsi="宋体" w:cs="宋体"/>
                <w:color w:val="000000"/>
                <w:szCs w:val="21"/>
                <w:highlight w:val="none"/>
              </w:rPr>
              <w:t>评委根据供应商提供的针对本项目的检查监督制度、违规处罚制度进行综合评议。本项最高7分</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0,1,2,3,4,5，6,7</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tc>
      </w:tr>
      <w:tr w14:paraId="106E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vMerge w:val="continue"/>
            <w:noWrap w:val="0"/>
            <w:vAlign w:val="center"/>
          </w:tcPr>
          <w:p w14:paraId="4BEF4E87">
            <w:pPr>
              <w:spacing w:line="400" w:lineRule="exact"/>
              <w:jc w:val="center"/>
              <w:rPr>
                <w:rFonts w:ascii="宋体" w:hAnsi="宋体" w:cs="宋体"/>
                <w:color w:val="000000"/>
                <w:szCs w:val="21"/>
                <w:highlight w:val="none"/>
              </w:rPr>
            </w:pPr>
          </w:p>
        </w:tc>
        <w:tc>
          <w:tcPr>
            <w:tcW w:w="1829" w:type="dxa"/>
            <w:noWrap w:val="0"/>
            <w:vAlign w:val="center"/>
          </w:tcPr>
          <w:p w14:paraId="2A79825E">
            <w:pPr>
              <w:spacing w:line="340" w:lineRule="exact"/>
              <w:rPr>
                <w:rFonts w:ascii="宋体" w:hAnsi="宋体" w:cs="宋体"/>
                <w:color w:val="000000"/>
                <w:szCs w:val="21"/>
                <w:highlight w:val="none"/>
              </w:rPr>
            </w:pPr>
            <w:r>
              <w:rPr>
                <w:rFonts w:hint="eastAsia" w:ascii="宋体" w:hAnsi="宋体" w:cs="宋体"/>
                <w:color w:val="000000"/>
                <w:szCs w:val="21"/>
                <w:highlight w:val="none"/>
              </w:rPr>
              <w:t>4、企业管理制度（5分）</w:t>
            </w:r>
          </w:p>
        </w:tc>
        <w:tc>
          <w:tcPr>
            <w:tcW w:w="7531" w:type="dxa"/>
            <w:gridSpan w:val="2"/>
            <w:noWrap w:val="0"/>
            <w:vAlign w:val="center"/>
          </w:tcPr>
          <w:p w14:paraId="2AD23409">
            <w:pPr>
              <w:spacing w:line="340" w:lineRule="exact"/>
              <w:rPr>
                <w:rFonts w:ascii="宋体" w:hAnsi="宋体" w:cs="宋体"/>
                <w:color w:val="000000"/>
                <w:szCs w:val="21"/>
                <w:highlight w:val="none"/>
              </w:rPr>
            </w:pPr>
            <w:r>
              <w:rPr>
                <w:rFonts w:hint="eastAsia" w:ascii="宋体" w:hAnsi="宋体" w:cs="宋体"/>
                <w:color w:val="000000"/>
                <w:szCs w:val="21"/>
                <w:highlight w:val="none"/>
              </w:rPr>
              <w:t>评委根据各供应商提供的企业内部管理制度，如人事管理制度、考核制度、奖惩制度、保洁管理制度、环保管理制度等进行综合评议。本项最高5分</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0,1,2,3,4,5</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tc>
      </w:tr>
      <w:tr w14:paraId="115E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855" w:type="dxa"/>
            <w:vMerge w:val="continue"/>
            <w:noWrap w:val="0"/>
            <w:vAlign w:val="top"/>
          </w:tcPr>
          <w:p w14:paraId="06F9EB3E">
            <w:pPr>
              <w:spacing w:line="400" w:lineRule="exact"/>
              <w:rPr>
                <w:rFonts w:ascii="宋体" w:hAnsi="宋体" w:cs="宋体"/>
                <w:color w:val="000000"/>
                <w:szCs w:val="21"/>
                <w:highlight w:val="none"/>
              </w:rPr>
            </w:pPr>
          </w:p>
        </w:tc>
        <w:tc>
          <w:tcPr>
            <w:tcW w:w="1829" w:type="dxa"/>
            <w:noWrap w:val="0"/>
            <w:vAlign w:val="center"/>
          </w:tcPr>
          <w:p w14:paraId="3920BC4A">
            <w:pPr>
              <w:spacing w:line="340" w:lineRule="exact"/>
              <w:rPr>
                <w:rFonts w:ascii="宋体" w:hAnsi="宋体"/>
                <w:color w:val="000000"/>
                <w:highlight w:val="none"/>
              </w:rPr>
            </w:pPr>
            <w:r>
              <w:rPr>
                <w:rFonts w:ascii="宋体" w:hAnsi="宋体" w:cs="宋体"/>
                <w:color w:val="000000"/>
                <w:szCs w:val="21"/>
                <w:highlight w:val="none"/>
              </w:rPr>
              <w:t>5</w:t>
            </w:r>
            <w:r>
              <w:rPr>
                <w:rFonts w:hint="eastAsia" w:ascii="宋体" w:hAnsi="宋体" w:cs="宋体"/>
                <w:color w:val="000000"/>
                <w:szCs w:val="21"/>
                <w:highlight w:val="none"/>
              </w:rPr>
              <w:t>、合理化建议或具有实际意义的创新、其他优惠承诺（</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分）</w:t>
            </w:r>
          </w:p>
        </w:tc>
        <w:tc>
          <w:tcPr>
            <w:tcW w:w="7531" w:type="dxa"/>
            <w:gridSpan w:val="2"/>
            <w:noWrap w:val="0"/>
            <w:vAlign w:val="center"/>
          </w:tcPr>
          <w:p w14:paraId="261BB8FD">
            <w:pPr>
              <w:spacing w:line="340" w:lineRule="exact"/>
              <w:rPr>
                <w:rFonts w:ascii="宋体" w:hAnsi="宋体" w:cs="宋体"/>
                <w:color w:val="000000"/>
                <w:szCs w:val="21"/>
                <w:highlight w:val="none"/>
              </w:rPr>
            </w:pPr>
            <w:r>
              <w:rPr>
                <w:rFonts w:hint="eastAsia" w:ascii="宋体" w:hAnsi="宋体" w:cs="宋体"/>
                <w:color w:val="000000"/>
                <w:szCs w:val="21"/>
                <w:highlight w:val="none"/>
              </w:rPr>
              <w:t>评委根据各供应商提出的针对本项目的合理化建议或创新、其他优惠承诺进行综合评议。本项最高</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分</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0,1,2,3,4,5</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tc>
      </w:tr>
      <w:tr w14:paraId="458C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855" w:type="dxa"/>
            <w:vMerge w:val="continue"/>
            <w:noWrap w:val="0"/>
            <w:vAlign w:val="top"/>
          </w:tcPr>
          <w:p w14:paraId="67FFB0E0">
            <w:pPr>
              <w:spacing w:line="400" w:lineRule="exact"/>
              <w:rPr>
                <w:rFonts w:ascii="宋体" w:hAnsi="宋体" w:cs="宋体"/>
                <w:color w:val="000000"/>
                <w:szCs w:val="21"/>
                <w:highlight w:val="none"/>
              </w:rPr>
            </w:pPr>
          </w:p>
        </w:tc>
        <w:tc>
          <w:tcPr>
            <w:tcW w:w="1829" w:type="dxa"/>
            <w:noWrap w:val="0"/>
            <w:vAlign w:val="center"/>
          </w:tcPr>
          <w:p w14:paraId="79BCAAD5">
            <w:pPr>
              <w:spacing w:line="340" w:lineRule="exact"/>
              <w:rPr>
                <w:rFonts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、类似业绩（</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分）</w:t>
            </w:r>
          </w:p>
        </w:tc>
        <w:tc>
          <w:tcPr>
            <w:tcW w:w="7531" w:type="dxa"/>
            <w:gridSpan w:val="2"/>
            <w:noWrap w:val="0"/>
            <w:vAlign w:val="center"/>
          </w:tcPr>
          <w:p w14:paraId="723E7F19">
            <w:pPr>
              <w:spacing w:line="340" w:lineRule="exact"/>
              <w:rPr>
                <w:rFonts w:ascii="宋体" w:hAnsi="宋体" w:cs="宋体"/>
                <w:color w:val="000000"/>
                <w:szCs w:val="21"/>
                <w:highlight w:val="none"/>
              </w:rPr>
            </w:pPr>
            <w:r>
              <w:rPr>
                <w:rFonts w:hint="eastAsia" w:ascii="宋体" w:hAnsi="宋体" w:cs="宋体"/>
                <w:color w:val="000000"/>
                <w:szCs w:val="21"/>
                <w:highlight w:val="none"/>
              </w:rPr>
              <w:t>供应商提供自20</w:t>
            </w:r>
            <w:r>
              <w:rPr>
                <w:rFonts w:hint="eastAsia" w:ascii="宋体" w:hAnsi="宋体" w:cs="宋体"/>
                <w:color w:val="000000"/>
                <w:szCs w:val="21"/>
                <w:highlight w:val="none"/>
                <w:lang w:val="en-US" w:eastAsia="zh-CN"/>
              </w:rPr>
              <w:t>22</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月1日（含）至今(以合同签订时间为准）完成过的类似垃圾清运项目合同得1分，最高得</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分。</w:t>
            </w:r>
          </w:p>
        </w:tc>
      </w:tr>
    </w:tbl>
    <w:p w14:paraId="1FB5E680">
      <w:pPr>
        <w:autoSpaceDE/>
        <w:autoSpaceDN/>
        <w:adjustRightInd/>
        <w:spacing w:line="500" w:lineRule="exact"/>
        <w:jc w:val="both"/>
        <w:rPr>
          <w:rFonts w:hint="eastAsia" w:hAnsi="宋体" w:cs="宋体"/>
          <w:b/>
          <w:color w:val="auto"/>
          <w:sz w:val="21"/>
          <w:szCs w:val="21"/>
          <w:highlight w:val="none"/>
        </w:rPr>
      </w:pPr>
      <w:r>
        <w:rPr>
          <w:rFonts w:hint="eastAsia" w:hAnsi="宋体" w:cs="宋体"/>
          <w:b/>
          <w:color w:val="auto"/>
          <w:sz w:val="21"/>
          <w:szCs w:val="21"/>
          <w:highlight w:val="none"/>
        </w:rPr>
        <w:t>（三）技术商务分的计算</w:t>
      </w:r>
    </w:p>
    <w:p w14:paraId="1F18C69B">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技术商务分按照评标委员会成员的独立评分结果汇总数后的算术平均分计算，计算公式为：</w:t>
      </w:r>
    </w:p>
    <w:p w14:paraId="67AEA47F">
      <w:pPr>
        <w:autoSpaceDE/>
        <w:autoSpaceDN/>
        <w:adjustRightInd/>
        <w:spacing w:line="50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技术商务分=（评标委员会所有成员评分合计数）/（评标委员会组成人员数）</w:t>
      </w:r>
    </w:p>
    <w:p w14:paraId="406ADA48">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（四）定标原则</w:t>
      </w:r>
    </w:p>
    <w:p w14:paraId="6D6B8F77">
      <w:pPr>
        <w:tabs>
          <w:tab w:val="left" w:pos="0"/>
        </w:tabs>
        <w:snapToGrid w:val="0"/>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1.严格按照招标文件规定“综合评分法，得分最高者中标”的原则定标，法律法规或国家政策另有规定的从其规定。</w:t>
      </w:r>
    </w:p>
    <w:p w14:paraId="78DC7A5D">
      <w:pPr>
        <w:tabs>
          <w:tab w:val="left" w:pos="0"/>
        </w:tabs>
        <w:snapToGrid w:val="0"/>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2.经预中标结果公示期满无异议，中标候选人即成为中标人。</w:t>
      </w:r>
    </w:p>
    <w:p w14:paraId="0009CB13">
      <w:pPr>
        <w:autoSpaceDE/>
        <w:autoSpaceDN/>
        <w:adjustRightInd/>
        <w:spacing w:line="500" w:lineRule="exact"/>
        <w:ind w:firstLine="422" w:firstLineChars="200"/>
        <w:jc w:val="both"/>
        <w:rPr>
          <w:rFonts w:hint="eastAsia" w:hAnsi="宋体" w:cs="宋体"/>
          <w:b/>
          <w:color w:val="auto"/>
          <w:sz w:val="21"/>
          <w:szCs w:val="21"/>
          <w:highlight w:val="none"/>
        </w:rPr>
      </w:pPr>
      <w:r>
        <w:rPr>
          <w:rFonts w:hint="eastAsia" w:hAnsi="宋体" w:cs="宋体"/>
          <w:b/>
          <w:color w:val="auto"/>
          <w:sz w:val="21"/>
          <w:szCs w:val="21"/>
          <w:highlight w:val="none"/>
        </w:rPr>
        <w:t>（五）保密及其他注意事项</w:t>
      </w:r>
    </w:p>
    <w:p w14:paraId="08D37A99">
      <w:pPr>
        <w:autoSpaceDE/>
        <w:autoSpaceDN/>
        <w:adjustRightInd/>
        <w:spacing w:line="500" w:lineRule="exact"/>
        <w:ind w:firstLine="420" w:firstLineChars="200"/>
        <w:jc w:val="both"/>
        <w:rPr>
          <w:rFonts w:hint="eastAsia" w:hAnsi="宋体" w:cs="宋体"/>
          <w:b/>
          <w:color w:val="auto"/>
          <w:sz w:val="21"/>
          <w:szCs w:val="21"/>
          <w:highlight w:val="none"/>
        </w:rPr>
      </w:pPr>
      <w:r>
        <w:rPr>
          <w:rFonts w:hint="eastAsia" w:hAnsi="宋体" w:cs="宋体"/>
          <w:bCs/>
          <w:color w:val="auto"/>
          <w:sz w:val="21"/>
          <w:szCs w:val="21"/>
          <w:highlight w:val="none"/>
        </w:rPr>
        <w:t>1.评标是招标过程中的重要环节，评标工作在评委会成员内独立进行。评标委员会将遵照评标原则，公正、公平、客观地对待所有投标人。</w:t>
      </w:r>
    </w:p>
    <w:p w14:paraId="640159D4">
      <w:pPr>
        <w:tabs>
          <w:tab w:val="left" w:pos="0"/>
        </w:tabs>
        <w:snapToGrid w:val="0"/>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2.在开标、评标期间，投标人不得向评委询问评标情况，不得进行旨在影响评标结果的活动。</w:t>
      </w:r>
    </w:p>
    <w:p w14:paraId="782D681A">
      <w:pPr>
        <w:tabs>
          <w:tab w:val="left" w:pos="0"/>
        </w:tabs>
        <w:snapToGrid w:val="0"/>
        <w:spacing w:line="5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3.为保证定标的公正性，在评标过程中，评委不得与投标人私下交换意见。在招标工作结束后与评标工作有接触的任何人，不得将评标情况外泄。</w:t>
      </w:r>
    </w:p>
    <w:p w14:paraId="22B2E7DF">
      <w:pPr>
        <w:autoSpaceDE/>
        <w:autoSpaceDN/>
        <w:adjustRightInd/>
        <w:jc w:val="center"/>
        <w:outlineLvl w:val="0"/>
        <w:rPr>
          <w:rFonts w:hint="eastAsia" w:hAnsi="宋体" w:cs="宋体"/>
          <w:b/>
          <w:color w:val="auto"/>
          <w:sz w:val="21"/>
          <w:szCs w:val="21"/>
          <w:highlight w:val="none"/>
          <w:lang w:bidi="ar"/>
        </w:rPr>
      </w:pPr>
      <w:bookmarkStart w:id="26" w:name="_Toc351559945"/>
      <w:r>
        <w:rPr>
          <w:rFonts w:hint="eastAsia" w:hAnsi="宋体" w:cs="宋体"/>
          <w:b/>
          <w:color w:val="auto"/>
          <w:kern w:val="2"/>
          <w:sz w:val="28"/>
          <w:szCs w:val="28"/>
          <w:highlight w:val="none"/>
        </w:rPr>
        <w:br w:type="page"/>
      </w:r>
      <w:bookmarkStart w:id="27" w:name="_Toc2072"/>
      <w:r>
        <w:rPr>
          <w:rFonts w:hint="eastAsia" w:hAnsi="宋体" w:cs="宋体"/>
          <w:b/>
          <w:bCs/>
          <w:color w:val="auto"/>
          <w:sz w:val="30"/>
          <w:szCs w:val="30"/>
          <w:highlight w:val="none"/>
        </w:rPr>
        <w:t>第五章  合同文本</w:t>
      </w:r>
      <w:bookmarkEnd w:id="26"/>
      <w:bookmarkEnd w:id="27"/>
      <w:bookmarkStart w:id="28" w:name="_Toc351559946"/>
    </w:p>
    <w:p w14:paraId="707BFB68">
      <w:pPr>
        <w:keepNext w:val="0"/>
        <w:keepLines w:val="0"/>
        <w:pageBreakBefore w:val="0"/>
        <w:widowControl w:val="0"/>
        <w:kinsoku/>
        <w:wordWrap/>
        <w:overflowPunct/>
        <w:topLinePunct w:val="0"/>
        <w:bidi w:val="0"/>
        <w:adjustRightInd w:val="0"/>
        <w:snapToGrid w:val="0"/>
        <w:spacing w:line="240" w:lineRule="auto"/>
        <w:jc w:val="center"/>
        <w:textAlignment w:val="auto"/>
        <w:rPr>
          <w:rFonts w:ascii="黑体" w:eastAsia="黑体"/>
          <w:bCs/>
          <w:color w:val="000000"/>
          <w:sz w:val="30"/>
          <w:szCs w:val="30"/>
          <w:highlight w:val="none"/>
        </w:rPr>
      </w:pPr>
      <w:r>
        <w:rPr>
          <w:rFonts w:hint="eastAsia" w:ascii="宋体" w:hAnsi="宋体" w:cs="宋体"/>
          <w:b/>
          <w:color w:val="000000"/>
          <w:sz w:val="22"/>
          <w:szCs w:val="21"/>
          <w:highlight w:val="none"/>
        </w:rPr>
        <w:t>（本合同为样稿，最终稿由甲乙双方协商后确定，但不允许偏离招投标文件）</w:t>
      </w:r>
    </w:p>
    <w:p w14:paraId="26FFF9D6">
      <w:pPr>
        <w:keepNext w:val="0"/>
        <w:keepLines w:val="0"/>
        <w:pageBreakBefore w:val="0"/>
        <w:widowControl w:val="0"/>
        <w:kinsoku/>
        <w:wordWrap/>
        <w:overflowPunct/>
        <w:topLinePunct w:val="0"/>
        <w:bidi w:val="0"/>
        <w:spacing w:line="240" w:lineRule="auto"/>
        <w:textAlignment w:val="auto"/>
        <w:rPr>
          <w:color w:val="000000"/>
          <w:highlight w:val="none"/>
        </w:rPr>
      </w:pPr>
    </w:p>
    <w:p w14:paraId="1A350A4F">
      <w:pPr>
        <w:keepNext w:val="0"/>
        <w:keepLines w:val="0"/>
        <w:pageBreakBefore w:val="0"/>
        <w:widowControl w:val="0"/>
        <w:kinsoku/>
        <w:wordWrap/>
        <w:overflowPunct/>
        <w:topLinePunct w:val="0"/>
        <w:bidi w:val="0"/>
        <w:spacing w:line="240" w:lineRule="auto"/>
        <w:ind w:left="420" w:leftChars="200"/>
        <w:textAlignment w:val="auto"/>
        <w:rPr>
          <w:rFonts w:ascii="宋体" w:hAnsi="宋体" w:cs="宋体"/>
          <w:b/>
          <w:bCs/>
          <w:color w:val="000000"/>
          <w:szCs w:val="21"/>
          <w:highlight w:val="none"/>
        </w:rPr>
      </w:pPr>
      <w:r>
        <w:rPr>
          <w:rFonts w:hint="eastAsia" w:ascii="宋体" w:hAnsi="宋体" w:cs="宋体"/>
          <w:color w:val="000000"/>
          <w:szCs w:val="21"/>
          <w:highlight w:val="none"/>
        </w:rPr>
        <w:t>甲方：</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br w:type="textWrapping"/>
      </w:r>
      <w:r>
        <w:rPr>
          <w:rFonts w:hint="eastAsia" w:ascii="宋体" w:hAnsi="宋体" w:cs="宋体"/>
          <w:color w:val="000000"/>
          <w:szCs w:val="21"/>
          <w:highlight w:val="none"/>
        </w:rPr>
        <w:t>乙方：</w:t>
      </w:r>
      <w:r>
        <w:rPr>
          <w:rFonts w:hint="eastAsia" w:ascii="宋体" w:hAnsi="宋体" w:cs="宋体"/>
          <w:color w:val="000000"/>
          <w:szCs w:val="21"/>
          <w:highlight w:val="none"/>
          <w:u w:val="single"/>
        </w:rPr>
        <w:t xml:space="preserve">                                    </w:t>
      </w:r>
    </w:p>
    <w:p w14:paraId="0AF0608B">
      <w:pPr>
        <w:keepNext w:val="0"/>
        <w:keepLines w:val="0"/>
        <w:pageBreakBefore w:val="0"/>
        <w:widowControl w:val="0"/>
        <w:kinsoku/>
        <w:wordWrap/>
        <w:overflowPunct/>
        <w:topLinePunct w:val="0"/>
        <w:bidi w:val="0"/>
        <w:spacing w:line="240" w:lineRule="auto"/>
        <w:ind w:firstLine="420" w:firstLineChars="200"/>
        <w:textAlignment w:val="auto"/>
        <w:rPr>
          <w:rFonts w:ascii="宋体" w:hAnsi="宋体" w:cs="宋体"/>
          <w:color w:val="000000"/>
          <w:szCs w:val="21"/>
          <w:highlight w:val="none"/>
          <w:u w:val="single"/>
        </w:rPr>
      </w:pPr>
      <w:r>
        <w:rPr>
          <w:rFonts w:hint="eastAsia" w:ascii="宋体" w:hAnsi="宋体"/>
          <w:color w:val="000000"/>
          <w:szCs w:val="21"/>
          <w:highlight w:val="none"/>
        </w:rPr>
        <w:t>根据相关法律、法规、政策，甲、乙方双方在自愿、平等、协商一致的基础上，就甲方选聘乙方对                    提供管理服务事宜，订立本合同。</w:t>
      </w:r>
      <w:r>
        <w:rPr>
          <w:rFonts w:hint="eastAsia" w:ascii="宋体" w:hAnsi="宋体" w:cs="宋体"/>
          <w:color w:val="000000"/>
          <w:szCs w:val="21"/>
          <w:highlight w:val="none"/>
        </w:rPr>
        <w:br w:type="textWrapping"/>
      </w:r>
      <w:r>
        <w:rPr>
          <w:rFonts w:hint="eastAsia" w:ascii="宋体" w:hAnsi="宋体" w:cs="宋体"/>
          <w:b/>
          <w:bCs/>
          <w:color w:val="000000"/>
          <w:szCs w:val="21"/>
          <w:highlight w:val="none"/>
        </w:rPr>
        <w:t xml:space="preserve">    一、合同总价（两年）</w:t>
      </w:r>
      <w:r>
        <w:rPr>
          <w:rFonts w:hint="eastAsia" w:ascii="宋体" w:hAnsi="宋体" w:cs="宋体"/>
          <w:color w:val="000000"/>
          <w:szCs w:val="21"/>
          <w:highlight w:val="none"/>
        </w:rPr>
        <w:t>：¥：</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，大写：</w:t>
      </w:r>
      <w:r>
        <w:rPr>
          <w:rFonts w:hint="eastAsia" w:ascii="宋体" w:hAnsi="宋体" w:cs="宋体"/>
          <w:color w:val="000000"/>
          <w:szCs w:val="21"/>
          <w:highlight w:val="none"/>
          <w:u w:val="single"/>
        </w:rPr>
        <w:t xml:space="preserve">                          </w:t>
      </w:r>
    </w:p>
    <w:p w14:paraId="6BE3AA5E">
      <w:pPr>
        <w:keepNext w:val="0"/>
        <w:keepLines w:val="0"/>
        <w:pageBreakBefore w:val="0"/>
        <w:widowControl w:val="0"/>
        <w:kinsoku/>
        <w:wordWrap/>
        <w:overflowPunct/>
        <w:topLinePunct w:val="0"/>
        <w:bidi w:val="0"/>
        <w:spacing w:line="240" w:lineRule="auto"/>
        <w:ind w:left="20" w:firstLine="422" w:firstLineChars="200"/>
        <w:textAlignment w:val="auto"/>
        <w:rPr>
          <w:rFonts w:ascii="宋体" w:hAnsi="宋体" w:cs="宋体"/>
          <w:color w:val="000000"/>
          <w:szCs w:val="21"/>
          <w:highlight w:val="none"/>
        </w:rPr>
      </w:pPr>
      <w:r>
        <w:rPr>
          <w:rFonts w:hint="eastAsia" w:ascii="宋体" w:hAnsi="宋体" w:cs="宋体"/>
          <w:b/>
          <w:bCs/>
          <w:color w:val="000000"/>
          <w:szCs w:val="21"/>
          <w:highlight w:val="none"/>
        </w:rPr>
        <w:t>二、服务期限</w:t>
      </w:r>
      <w:r>
        <w:rPr>
          <w:rFonts w:hint="eastAsia" w:ascii="宋体" w:hAnsi="宋体" w:cs="宋体"/>
          <w:color w:val="000000"/>
          <w:szCs w:val="21"/>
          <w:highlight w:val="none"/>
        </w:rPr>
        <w:t>：自合同签订之日起满两年（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日至</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14:paraId="3BF6734E">
      <w:pPr>
        <w:keepNext w:val="0"/>
        <w:keepLines w:val="0"/>
        <w:pageBreakBefore w:val="0"/>
        <w:widowControl w:val="0"/>
        <w:kinsoku/>
        <w:wordWrap/>
        <w:overflowPunct/>
        <w:topLinePunct w:val="0"/>
        <w:bidi w:val="0"/>
        <w:spacing w:line="240" w:lineRule="auto"/>
        <w:ind w:firstLine="422" w:firstLineChars="200"/>
        <w:textAlignment w:val="auto"/>
        <w:rPr>
          <w:rFonts w:ascii="宋体" w:hAnsi="宋体" w:cs="宋体"/>
          <w:b/>
          <w:color w:val="000000"/>
          <w:highlight w:val="none"/>
        </w:rPr>
      </w:pPr>
      <w:r>
        <w:rPr>
          <w:rFonts w:hint="eastAsia" w:ascii="宋体" w:hAnsi="宋体" w:cs="宋体"/>
          <w:b/>
          <w:bCs/>
          <w:color w:val="000000"/>
          <w:szCs w:val="21"/>
          <w:highlight w:val="none"/>
        </w:rPr>
        <w:t>三、</w:t>
      </w:r>
      <w:r>
        <w:rPr>
          <w:rFonts w:hint="eastAsia" w:ascii="宋体" w:hAnsi="宋体" w:cs="宋体"/>
          <w:b/>
          <w:color w:val="000000"/>
          <w:highlight w:val="none"/>
        </w:rPr>
        <w:t>项目建设内容及功能要求</w:t>
      </w:r>
    </w:p>
    <w:p w14:paraId="7D59A353">
      <w:pPr>
        <w:keepNext w:val="0"/>
        <w:keepLines w:val="0"/>
        <w:pageBreakBefore w:val="0"/>
        <w:widowControl w:val="0"/>
        <w:kinsoku/>
        <w:wordWrap/>
        <w:overflowPunct/>
        <w:topLinePunct w:val="0"/>
        <w:bidi w:val="0"/>
        <w:spacing w:line="240" w:lineRule="auto"/>
        <w:ind w:firstLine="420" w:firstLineChars="200"/>
        <w:textAlignment w:val="auto"/>
        <w:rPr>
          <w:rFonts w:ascii="宋体" w:hAnsi="宋体" w:cs="宋体"/>
          <w:color w:val="000000"/>
          <w:highlight w:val="none"/>
        </w:rPr>
      </w:pPr>
      <w:r>
        <w:rPr>
          <w:rFonts w:hint="eastAsia" w:ascii="宋体" w:hAnsi="宋体" w:cs="宋体"/>
          <w:color w:val="000000"/>
          <w:highlight w:val="none"/>
        </w:rPr>
        <w:t>1、生活垃圾清运及转运站管理（含1名管理员和1名操作工），转运站内生活垃圾要做到日产日清。中标方不得以任何理由囤积垃圾，如遇发生请自派车辆及人员清运干净，费用不再另行增加。</w:t>
      </w:r>
    </w:p>
    <w:p w14:paraId="067D0160">
      <w:pPr>
        <w:keepNext w:val="0"/>
        <w:keepLines w:val="0"/>
        <w:pageBreakBefore w:val="0"/>
        <w:widowControl w:val="0"/>
        <w:kinsoku/>
        <w:wordWrap/>
        <w:overflowPunct/>
        <w:topLinePunct w:val="0"/>
        <w:bidi w:val="0"/>
        <w:spacing w:line="240" w:lineRule="auto"/>
        <w:ind w:firstLine="420" w:firstLineChars="200"/>
        <w:textAlignment w:val="auto"/>
        <w:rPr>
          <w:rFonts w:ascii="宋体" w:hAnsi="宋体" w:cs="宋体"/>
          <w:color w:val="000000"/>
          <w:highlight w:val="none"/>
        </w:rPr>
      </w:pPr>
      <w:r>
        <w:rPr>
          <w:rFonts w:hint="eastAsia" w:ascii="宋体" w:hAnsi="宋体" w:cs="宋体"/>
          <w:color w:val="000000"/>
          <w:highlight w:val="none"/>
        </w:rPr>
        <w:t>2、生活垃圾清运及转运站管理的通用质量要求应符合《罗埠镇生活垃圾清运及转运站管理项目考核评分细则》的作业标准要求：月考核不合格每下降一分扣当月经费的1％，以此类推。</w:t>
      </w:r>
    </w:p>
    <w:p w14:paraId="33DF8042">
      <w:pPr>
        <w:keepNext w:val="0"/>
        <w:keepLines w:val="0"/>
        <w:pageBreakBefore w:val="0"/>
        <w:widowControl w:val="0"/>
        <w:kinsoku/>
        <w:wordWrap/>
        <w:overflowPunct/>
        <w:topLinePunct w:val="0"/>
        <w:bidi w:val="0"/>
        <w:spacing w:line="240" w:lineRule="auto"/>
        <w:ind w:firstLine="420" w:firstLineChars="200"/>
        <w:textAlignment w:val="auto"/>
        <w:rPr>
          <w:rFonts w:ascii="宋体" w:hAnsi="宋体" w:cs="宋体"/>
          <w:color w:val="000000"/>
          <w:highlight w:val="none"/>
        </w:rPr>
      </w:pPr>
      <w:r>
        <w:rPr>
          <w:rFonts w:hint="eastAsia" w:ascii="宋体" w:hAnsi="宋体" w:cs="宋体"/>
          <w:color w:val="000000"/>
          <w:highlight w:val="none"/>
        </w:rPr>
        <w:t>3、按规定的时间上、下班，在作业时间内，作业人员不得聚集闲聊；</w:t>
      </w:r>
    </w:p>
    <w:p w14:paraId="0101AD2E">
      <w:pPr>
        <w:keepNext w:val="0"/>
        <w:keepLines w:val="0"/>
        <w:pageBreakBefore w:val="0"/>
        <w:widowControl w:val="0"/>
        <w:kinsoku/>
        <w:wordWrap/>
        <w:overflowPunct/>
        <w:topLinePunct w:val="0"/>
        <w:bidi w:val="0"/>
        <w:spacing w:line="240" w:lineRule="auto"/>
        <w:ind w:firstLine="420" w:firstLineChars="200"/>
        <w:textAlignment w:val="auto"/>
        <w:rPr>
          <w:rFonts w:ascii="宋体" w:hAnsi="宋体" w:cs="宋体"/>
          <w:color w:val="000000"/>
          <w:highlight w:val="none"/>
        </w:rPr>
      </w:pPr>
      <w:r>
        <w:rPr>
          <w:rFonts w:hint="eastAsia" w:ascii="宋体" w:hAnsi="宋体" w:cs="宋体"/>
          <w:color w:val="000000"/>
          <w:highlight w:val="none"/>
        </w:rPr>
        <w:t>4、服从各项突击性任务和指令，如遇重大活动和重要检查工作，听从甲方统一安排和调度，并在规定的时间内完成所指示的任务和指令；</w:t>
      </w:r>
    </w:p>
    <w:p w14:paraId="577803AD">
      <w:pPr>
        <w:keepNext w:val="0"/>
        <w:keepLines w:val="0"/>
        <w:pageBreakBefore w:val="0"/>
        <w:widowControl w:val="0"/>
        <w:kinsoku/>
        <w:wordWrap/>
        <w:overflowPunct/>
        <w:topLinePunct w:val="0"/>
        <w:bidi w:val="0"/>
        <w:spacing w:line="240" w:lineRule="auto"/>
        <w:ind w:firstLine="420" w:firstLineChars="200"/>
        <w:textAlignment w:val="auto"/>
        <w:rPr>
          <w:rFonts w:ascii="宋体" w:hAnsi="宋体" w:cs="宋体"/>
          <w:color w:val="000000"/>
          <w:highlight w:val="none"/>
        </w:rPr>
      </w:pPr>
      <w:r>
        <w:rPr>
          <w:rFonts w:hint="eastAsia" w:ascii="宋体" w:hAnsi="宋体" w:cs="宋体"/>
          <w:color w:val="000000"/>
          <w:highlight w:val="none"/>
        </w:rPr>
        <w:t>5、有详细的工作管理制度和具体操作实施方案，如需变动及时上报主管单位。</w:t>
      </w:r>
    </w:p>
    <w:p w14:paraId="38917D65">
      <w:pPr>
        <w:keepNext w:val="0"/>
        <w:keepLines w:val="0"/>
        <w:pageBreakBefore w:val="0"/>
        <w:widowControl w:val="0"/>
        <w:kinsoku/>
        <w:wordWrap/>
        <w:overflowPunct/>
        <w:topLinePunct w:val="0"/>
        <w:bidi w:val="0"/>
        <w:spacing w:line="240" w:lineRule="auto"/>
        <w:ind w:firstLine="420" w:firstLineChars="200"/>
        <w:textAlignment w:val="auto"/>
        <w:rPr>
          <w:rFonts w:ascii="宋体" w:hAnsi="宋体" w:cs="宋体"/>
          <w:color w:val="000000"/>
          <w:highlight w:val="none"/>
        </w:rPr>
      </w:pPr>
      <w:r>
        <w:rPr>
          <w:rFonts w:hint="eastAsia" w:ascii="宋体" w:hAnsi="宋体" w:cs="宋体"/>
          <w:color w:val="000000"/>
          <w:highlight w:val="none"/>
        </w:rPr>
        <w:t>6、确保24小时能及时联系到乙方，以防各类突发事件的发生能及时处理（白天6时至18时，路上抛洒物要求接到电话后1小时内处理完毕；晚上18时至次日6时，路上抛洒物要求接到电话后2小时内处理完毕）。</w:t>
      </w:r>
    </w:p>
    <w:p w14:paraId="5B8B54E3">
      <w:pPr>
        <w:keepNext w:val="0"/>
        <w:keepLines w:val="0"/>
        <w:pageBreakBefore w:val="0"/>
        <w:widowControl w:val="0"/>
        <w:kinsoku/>
        <w:wordWrap/>
        <w:overflowPunct/>
        <w:topLinePunct w:val="0"/>
        <w:bidi w:val="0"/>
        <w:spacing w:line="240" w:lineRule="auto"/>
        <w:ind w:firstLine="420" w:firstLineChars="200"/>
        <w:textAlignment w:val="auto"/>
        <w:rPr>
          <w:rFonts w:ascii="宋体" w:hAnsi="宋体" w:cs="宋体"/>
          <w:color w:val="000000"/>
          <w:highlight w:val="none"/>
        </w:rPr>
      </w:pPr>
      <w:r>
        <w:rPr>
          <w:rFonts w:hint="eastAsia" w:ascii="宋体" w:hAnsi="宋体" w:cs="宋体"/>
          <w:color w:val="000000"/>
          <w:highlight w:val="none"/>
        </w:rPr>
        <w:t>7、中标方必须为其聘用的作业人员购买人身意外伤害保险，并签订劳务合同。劳务工资应不得低于劳动部门规定的最低工资标准，应按时发放，不得拖欠。在承包期内中标方发生的一切纠纷、交通安全伤亡等事故均由中标方负责，与招标方无涉。中标方必须按规定程序和安全文明服务有关要求进行实施本项目，承包过程中发生的各种意外，其责任由中标方承担。</w:t>
      </w:r>
    </w:p>
    <w:p w14:paraId="7B700DBE">
      <w:pPr>
        <w:keepNext w:val="0"/>
        <w:keepLines w:val="0"/>
        <w:pageBreakBefore w:val="0"/>
        <w:widowControl w:val="0"/>
        <w:kinsoku/>
        <w:wordWrap/>
        <w:overflowPunct/>
        <w:topLinePunct w:val="0"/>
        <w:bidi w:val="0"/>
        <w:spacing w:line="240" w:lineRule="auto"/>
        <w:ind w:firstLine="420" w:firstLineChars="200"/>
        <w:textAlignment w:val="auto"/>
        <w:rPr>
          <w:rFonts w:ascii="宋体" w:hAnsi="宋体" w:cs="宋体"/>
          <w:color w:val="000000"/>
          <w:highlight w:val="none"/>
        </w:rPr>
      </w:pPr>
      <w:r>
        <w:rPr>
          <w:rFonts w:hint="eastAsia" w:ascii="宋体" w:hAnsi="宋体" w:cs="宋体"/>
          <w:color w:val="000000"/>
          <w:highlight w:val="none"/>
        </w:rPr>
        <w:t>8、采购人的房产和设备不得随便改动，并对中标方自带机具、设备、安全防护用品等进行监督，合格者方可进入施工现场；承包方未完成甲方交办的任务，甲方除扣分外，还要进行相应的处罚；对某些需紧急处置的情况，在接到甲方通知后，乙方如不及时处置，甲方有权指派其他人员进行处置，其费用在承包款中扣除。</w:t>
      </w:r>
    </w:p>
    <w:p w14:paraId="276B14A8">
      <w:pPr>
        <w:keepNext w:val="0"/>
        <w:keepLines w:val="0"/>
        <w:pageBreakBefore w:val="0"/>
        <w:widowControl w:val="0"/>
        <w:kinsoku/>
        <w:wordWrap/>
        <w:overflowPunct/>
        <w:topLinePunct w:val="0"/>
        <w:bidi w:val="0"/>
        <w:spacing w:line="240" w:lineRule="auto"/>
        <w:ind w:firstLine="420" w:firstLineChars="200"/>
        <w:textAlignment w:val="auto"/>
        <w:rPr>
          <w:rFonts w:ascii="宋体" w:hAnsi="宋体" w:cs="宋体"/>
          <w:color w:val="000000"/>
          <w:highlight w:val="none"/>
        </w:rPr>
      </w:pPr>
      <w:r>
        <w:rPr>
          <w:rFonts w:hint="eastAsia" w:ascii="宋体" w:hAnsi="宋体" w:cs="宋体"/>
          <w:color w:val="000000"/>
          <w:highlight w:val="none"/>
        </w:rPr>
        <w:t>9、如遇公共建设等不可抗拒因素，需对原承包范围做变更时，甲方将提前一个月通知乙方，乙方须无条件服从，生活垃圾清运及转运站管理费用按照人工比例做出相应调整。</w:t>
      </w:r>
    </w:p>
    <w:p w14:paraId="3040EA3F">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10、本项目所需的机器设备及车辆由招标人提供（如遇发生特殊紧急情况请自派车辆及人员清运干净，费用不再另行增加），中标单位须提供大货车驾驶员不得少于2人。在承包期间费用：含设备维修所有材料费、人工工时费、车旅费等（由中标单位自行联系厂家配备原厂配件）、车辆保险费、一切运行维护费及发生的安全事故责任等产生的一切费用，都由中标单位自行承担费用，在报价中自行考虑。押金待合同期满后机器设备及车辆无质量问题的将全额无息退还。</w:t>
      </w:r>
    </w:p>
    <w:p w14:paraId="26F974B6">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11.实施人员应按规范行运车辆和操作机器设备，招标人提供的2辆钩臂运输车辆和3只压缩设备，中标单位不得超负荷使用。因中标单位使用不当造成车辆或设备损坏的，按实际情况扣罚押金。如采购人在其合同期限内新增垃圾设备，中标方应无条件进行操作运行，费用不再另行增加。</w:t>
      </w:r>
    </w:p>
    <w:p w14:paraId="291490F6">
      <w:pPr>
        <w:keepNext w:val="0"/>
        <w:keepLines w:val="0"/>
        <w:pageBreakBefore w:val="0"/>
        <w:widowControl w:val="0"/>
        <w:kinsoku/>
        <w:wordWrap/>
        <w:overflowPunct/>
        <w:topLinePunct w:val="0"/>
        <w:bidi w:val="0"/>
        <w:spacing w:line="240" w:lineRule="auto"/>
        <w:ind w:firstLine="420" w:firstLineChars="200"/>
        <w:textAlignment w:val="auto"/>
        <w:rPr>
          <w:rFonts w:ascii="宋体" w:hAnsi="宋体" w:cs="宋体"/>
          <w:color w:val="000000"/>
          <w:highlight w:val="none"/>
        </w:rPr>
      </w:pPr>
      <w:r>
        <w:rPr>
          <w:rFonts w:hint="eastAsia" w:ascii="宋体" w:hAnsi="宋体" w:cs="宋体"/>
          <w:color w:val="000000"/>
          <w:highlight w:val="none"/>
        </w:rPr>
        <w:t>12、中标方必须自觉配合接受采购人检查及考核，如有疑问，事后需举证说明正当理由；中标方必须快速、高效完成采购人交办或群众投诉的工作，并自觉接受社会和上级有关部门的监督。</w:t>
      </w:r>
    </w:p>
    <w:p w14:paraId="3AEDA686">
      <w:pPr>
        <w:keepNext w:val="0"/>
        <w:keepLines w:val="0"/>
        <w:pageBreakBefore w:val="0"/>
        <w:widowControl w:val="0"/>
        <w:kinsoku/>
        <w:wordWrap/>
        <w:overflowPunct/>
        <w:topLinePunct w:val="0"/>
        <w:bidi w:val="0"/>
        <w:spacing w:line="240" w:lineRule="auto"/>
        <w:ind w:firstLine="420" w:firstLineChars="200"/>
        <w:textAlignment w:val="auto"/>
        <w:rPr>
          <w:rFonts w:ascii="宋体" w:hAnsi="宋体" w:cs="宋体"/>
          <w:color w:val="000000"/>
          <w:highlight w:val="none"/>
        </w:rPr>
      </w:pPr>
      <w:r>
        <w:rPr>
          <w:rFonts w:hint="eastAsia" w:ascii="宋体" w:hAnsi="宋体" w:cs="宋体"/>
          <w:color w:val="000000"/>
          <w:highlight w:val="none"/>
        </w:rPr>
        <w:t>13、累计考核两次不合格，检查四次不合格或在上级部门考核评比中不达标，甲方有权清退乙方，承包方一经清退，由此造成的一切损失由乙方自负。</w:t>
      </w:r>
    </w:p>
    <w:p w14:paraId="6B03CB32">
      <w:pPr>
        <w:keepNext w:val="0"/>
        <w:keepLines w:val="0"/>
        <w:pageBreakBefore w:val="0"/>
        <w:widowControl w:val="0"/>
        <w:kinsoku/>
        <w:wordWrap/>
        <w:overflowPunct/>
        <w:topLinePunct w:val="0"/>
        <w:bidi w:val="0"/>
        <w:spacing w:line="240" w:lineRule="auto"/>
        <w:ind w:firstLine="420" w:firstLineChars="200"/>
        <w:textAlignment w:val="auto"/>
        <w:rPr>
          <w:rFonts w:ascii="宋体" w:hAnsi="宋体" w:cs="宋体"/>
          <w:color w:val="000000"/>
          <w:highlight w:val="none"/>
        </w:rPr>
      </w:pPr>
      <w:r>
        <w:rPr>
          <w:rFonts w:hint="eastAsia" w:ascii="宋体" w:hAnsi="宋体" w:cs="宋体"/>
          <w:color w:val="000000"/>
          <w:highlight w:val="none"/>
        </w:rPr>
        <w:t>14、运输车辆必须专车专用，每车须装有GPS定位系统（费用由中标单位承担），所以清运车辆必须统一停放在转运站内，招标人负责监控，若发现专车私用，处500元/次罚款。</w:t>
      </w:r>
    </w:p>
    <w:p w14:paraId="62E1AED4">
      <w:pPr>
        <w:keepNext w:val="0"/>
        <w:keepLines w:val="0"/>
        <w:pageBreakBefore w:val="0"/>
        <w:widowControl w:val="0"/>
        <w:kinsoku/>
        <w:wordWrap/>
        <w:overflowPunct/>
        <w:topLinePunct w:val="0"/>
        <w:bidi w:val="0"/>
        <w:spacing w:line="240" w:lineRule="auto"/>
        <w:ind w:left="20" w:firstLine="422" w:firstLineChars="200"/>
        <w:textAlignment w:val="auto"/>
        <w:rPr>
          <w:rFonts w:ascii="宋体" w:hAnsi="宋体" w:cs="宋体"/>
          <w:color w:val="000000"/>
          <w:szCs w:val="21"/>
          <w:highlight w:val="none"/>
        </w:rPr>
      </w:pPr>
      <w:r>
        <w:rPr>
          <w:rFonts w:hint="eastAsia" w:ascii="宋体" w:hAnsi="宋体" w:cs="宋体"/>
          <w:b/>
          <w:bCs/>
          <w:color w:val="000000"/>
          <w:szCs w:val="21"/>
          <w:highlight w:val="none"/>
        </w:rPr>
        <w:t>四、服务质量要求</w:t>
      </w:r>
      <w:r>
        <w:rPr>
          <w:rFonts w:hint="eastAsia" w:ascii="宋体" w:hAnsi="宋体" w:cs="宋体"/>
          <w:color w:val="000000"/>
          <w:szCs w:val="21"/>
          <w:highlight w:val="none"/>
        </w:rPr>
        <w:t>：</w:t>
      </w:r>
    </w:p>
    <w:p w14:paraId="3FD29E69">
      <w:pPr>
        <w:keepNext w:val="0"/>
        <w:keepLines w:val="0"/>
        <w:pageBreakBefore w:val="0"/>
        <w:widowControl w:val="0"/>
        <w:kinsoku/>
        <w:wordWrap/>
        <w:overflowPunct/>
        <w:topLinePunct w:val="0"/>
        <w:bidi w:val="0"/>
        <w:spacing w:line="240" w:lineRule="auto"/>
        <w:ind w:left="2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1、招标文件第三部分采购需求。</w:t>
      </w:r>
    </w:p>
    <w:p w14:paraId="608E5399">
      <w:pPr>
        <w:keepNext w:val="0"/>
        <w:keepLines w:val="0"/>
        <w:pageBreakBefore w:val="0"/>
        <w:widowControl w:val="0"/>
        <w:kinsoku/>
        <w:wordWrap/>
        <w:overflowPunct/>
        <w:topLinePunct w:val="0"/>
        <w:bidi w:val="0"/>
        <w:spacing w:line="240" w:lineRule="auto"/>
        <w:ind w:left="2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2、《罗埠镇生活垃圾清运及转运站管理项目管理考核办法》相关要求。</w:t>
      </w:r>
    </w:p>
    <w:p w14:paraId="75CFF586">
      <w:pPr>
        <w:keepNext w:val="0"/>
        <w:keepLines w:val="0"/>
        <w:pageBreakBefore w:val="0"/>
        <w:widowControl w:val="0"/>
        <w:kinsoku/>
        <w:wordWrap/>
        <w:overflowPunct/>
        <w:topLinePunct w:val="0"/>
        <w:autoSpaceDE/>
        <w:autoSpaceDN/>
        <w:bidi w:val="0"/>
        <w:adjustRightInd/>
        <w:snapToGrid/>
        <w:spacing w:line="240" w:lineRule="auto"/>
        <w:ind w:left="20" w:firstLine="422" w:firstLineChars="200"/>
        <w:textAlignment w:val="auto"/>
        <w:rPr>
          <w:rFonts w:ascii="宋体" w:hAnsi="宋体" w:cs="宋体"/>
          <w:color w:val="000000"/>
          <w:szCs w:val="21"/>
          <w:highlight w:val="none"/>
        </w:rPr>
      </w:pPr>
      <w:r>
        <w:rPr>
          <w:rFonts w:hint="eastAsia" w:ascii="宋体" w:hAnsi="宋体" w:cs="宋体"/>
          <w:b/>
          <w:bCs/>
          <w:color w:val="000000"/>
          <w:szCs w:val="21"/>
          <w:highlight w:val="none"/>
        </w:rPr>
        <w:t>五、付款方式</w:t>
      </w:r>
      <w:r>
        <w:rPr>
          <w:rFonts w:hint="eastAsia" w:ascii="宋体" w:hAnsi="宋体" w:cs="宋体"/>
          <w:color w:val="000000"/>
          <w:szCs w:val="21"/>
          <w:highlight w:val="none"/>
        </w:rPr>
        <w:t>：</w:t>
      </w:r>
    </w:p>
    <w:p w14:paraId="233555A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1、合同签订前，中标人需缴纳</w:t>
      </w:r>
      <w:r>
        <w:rPr>
          <w:rFonts w:hint="eastAsia" w:ascii="宋体" w:hAnsi="宋体" w:cs="宋体"/>
          <w:color w:val="000000"/>
          <w:highlight w:val="none"/>
          <w:lang w:val="en-US" w:eastAsia="zh-CN"/>
        </w:rPr>
        <w:t>合同总价1</w:t>
      </w:r>
      <w:r>
        <w:rPr>
          <w:rFonts w:hint="eastAsia" w:ascii="宋体" w:hAnsi="宋体" w:cs="宋体"/>
          <w:color w:val="000000"/>
          <w:highlight w:val="none"/>
        </w:rPr>
        <w:t>%计收的履约保证金。待合同正常终止后无息退还履约保证金。</w:t>
      </w:r>
    </w:p>
    <w:p w14:paraId="4D58074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2、项目合同签订且人员经甲方认可，合同生效以及具备实施条件后7个工作日内预付合同费用的40%</w:t>
      </w:r>
      <w:r>
        <w:rPr>
          <w:rFonts w:hint="eastAsia" w:ascii="宋体" w:hAnsi="宋体" w:cs="宋体"/>
          <w:color w:val="000000"/>
          <w:highlight w:val="none"/>
          <w:lang w:val="en-US" w:eastAsia="zh-CN"/>
        </w:rPr>
        <w:t>作为预付款</w:t>
      </w:r>
      <w:r>
        <w:rPr>
          <w:rFonts w:hint="eastAsia" w:ascii="宋体" w:hAnsi="宋体" w:cs="宋体"/>
          <w:color w:val="000000"/>
          <w:highlight w:val="none"/>
        </w:rPr>
        <w:t>，剩余费用根据考核标准采用季度结款方式进行结款。</w:t>
      </w:r>
    </w:p>
    <w:p w14:paraId="593F556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3、中标人须提供正式的税务发票并凭税务发票付款。</w:t>
      </w:r>
    </w:p>
    <w:p w14:paraId="274E162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color w:val="000000"/>
          <w:highlight w:val="none"/>
        </w:rPr>
      </w:pPr>
      <w:r>
        <w:rPr>
          <w:rFonts w:hint="eastAsia" w:ascii="宋体" w:hAnsi="宋体" w:cs="宋体"/>
          <w:color w:val="000000"/>
          <w:highlight w:val="none"/>
          <w:lang w:val="en-US" w:eastAsia="zh-CN"/>
        </w:rPr>
        <w:t>4、付款方式不允许负偏离，投标人任何关于负偏离于付款方式的承诺将导致其投标无效。</w:t>
      </w:r>
    </w:p>
    <w:p w14:paraId="070A22BD">
      <w:pPr>
        <w:keepNext w:val="0"/>
        <w:keepLines w:val="0"/>
        <w:pageBreakBefore w:val="0"/>
        <w:widowControl w:val="0"/>
        <w:kinsoku/>
        <w:wordWrap/>
        <w:overflowPunct/>
        <w:topLinePunct w:val="0"/>
        <w:bidi w:val="0"/>
        <w:spacing w:line="240" w:lineRule="auto"/>
        <w:ind w:left="420" w:leftChars="200"/>
        <w:textAlignment w:val="auto"/>
        <w:rPr>
          <w:rFonts w:ascii="宋体" w:hAnsi="宋体" w:cs="宋体"/>
          <w:color w:val="000000"/>
          <w:szCs w:val="21"/>
          <w:highlight w:val="none"/>
        </w:rPr>
      </w:pPr>
      <w:r>
        <w:rPr>
          <w:rFonts w:hint="eastAsia" w:ascii="宋体" w:hAnsi="宋体" w:cs="宋体"/>
          <w:b/>
          <w:bCs/>
          <w:color w:val="000000"/>
          <w:szCs w:val="21"/>
          <w:highlight w:val="none"/>
        </w:rPr>
        <w:t>六、履约保证金</w:t>
      </w:r>
      <w:r>
        <w:rPr>
          <w:rFonts w:hint="eastAsia" w:ascii="宋体" w:hAnsi="宋体" w:cs="宋体"/>
          <w:color w:val="000000"/>
          <w:szCs w:val="21"/>
          <w:highlight w:val="none"/>
        </w:rPr>
        <w:t>：</w:t>
      </w:r>
    </w:p>
    <w:p w14:paraId="5A1EAC46">
      <w:pPr>
        <w:keepNext w:val="0"/>
        <w:keepLines w:val="0"/>
        <w:pageBreakBefore w:val="0"/>
        <w:widowControl w:val="0"/>
        <w:kinsoku/>
        <w:wordWrap/>
        <w:overflowPunct/>
        <w:topLinePunct w:val="0"/>
        <w:bidi w:val="0"/>
        <w:spacing w:line="24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lang w:val="zh-CN"/>
        </w:rPr>
        <w:t>在本合同签订前，乙方应向甲方缴纳合同价</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%作为</w:t>
      </w:r>
      <w:r>
        <w:rPr>
          <w:rFonts w:hint="eastAsia" w:ascii="宋体" w:hAnsi="宋体" w:cs="宋体"/>
          <w:color w:val="000000"/>
          <w:szCs w:val="21"/>
          <w:highlight w:val="none"/>
          <w:lang w:val="zh-CN"/>
        </w:rPr>
        <w:t>履约保证金（</w:t>
      </w:r>
      <w:r>
        <w:rPr>
          <w:rFonts w:hint="eastAsia" w:ascii="宋体" w:hAnsi="宋体" w:cs="宋体"/>
          <w:color w:val="000000"/>
          <w:szCs w:val="21"/>
          <w:highlight w:val="none"/>
        </w:rPr>
        <w:t>或银行、保险公司保函</w:t>
      </w:r>
      <w:r>
        <w:rPr>
          <w:rFonts w:hint="eastAsia" w:ascii="宋体" w:hAnsi="宋体" w:cs="宋体"/>
          <w:color w:val="000000"/>
          <w:szCs w:val="21"/>
          <w:highlight w:val="none"/>
          <w:lang w:val="zh-CN"/>
        </w:rPr>
        <w:t>）。</w:t>
      </w:r>
      <w:r>
        <w:rPr>
          <w:rFonts w:hint="eastAsia" w:ascii="宋体" w:hAnsi="宋体" w:cs="宋体"/>
          <w:color w:val="000000"/>
          <w:szCs w:val="21"/>
          <w:highlight w:val="none"/>
        </w:rPr>
        <w:t>两</w:t>
      </w:r>
      <w:r>
        <w:rPr>
          <w:rFonts w:hint="eastAsia" w:ascii="宋体" w:hAnsi="宋体" w:cs="宋体"/>
          <w:color w:val="000000"/>
          <w:szCs w:val="21"/>
          <w:highlight w:val="none"/>
          <w:lang w:val="zh-CN"/>
        </w:rPr>
        <w:t>年合同期满，乙方无任何违约、赔偿等情况的，甲方将履约保证金原额无息退还给乙方</w:t>
      </w:r>
      <w:r>
        <w:rPr>
          <w:rFonts w:hint="eastAsia" w:ascii="宋体" w:hAnsi="宋体" w:cs="宋体"/>
          <w:color w:val="000000"/>
          <w:szCs w:val="21"/>
          <w:highlight w:val="none"/>
        </w:rPr>
        <w:t>。</w:t>
      </w:r>
    </w:p>
    <w:p w14:paraId="7A76DE6E">
      <w:pPr>
        <w:keepNext w:val="0"/>
        <w:keepLines w:val="0"/>
        <w:pageBreakBefore w:val="0"/>
        <w:widowControl w:val="0"/>
        <w:kinsoku/>
        <w:wordWrap/>
        <w:overflowPunct/>
        <w:topLinePunct w:val="0"/>
        <w:bidi w:val="0"/>
        <w:spacing w:line="240" w:lineRule="auto"/>
        <w:ind w:left="420" w:leftChars="200"/>
        <w:textAlignment w:val="auto"/>
        <w:rPr>
          <w:rFonts w:ascii="宋体" w:hAnsi="宋体" w:cs="宋体"/>
          <w:color w:val="000000"/>
          <w:szCs w:val="21"/>
          <w:highlight w:val="none"/>
        </w:rPr>
      </w:pPr>
      <w:r>
        <w:rPr>
          <w:rFonts w:hint="eastAsia" w:ascii="宋体" w:hAnsi="宋体" w:cs="宋体"/>
          <w:b/>
          <w:bCs/>
          <w:color w:val="000000"/>
          <w:szCs w:val="21"/>
          <w:highlight w:val="none"/>
        </w:rPr>
        <w:t>七、约定事项</w:t>
      </w:r>
      <w:r>
        <w:rPr>
          <w:rFonts w:hint="eastAsia" w:ascii="宋体" w:hAnsi="宋体" w:cs="宋体"/>
          <w:color w:val="000000"/>
          <w:szCs w:val="21"/>
          <w:highlight w:val="none"/>
        </w:rPr>
        <w:t>：</w:t>
      </w:r>
    </w:p>
    <w:p w14:paraId="4F42A5C2">
      <w:pPr>
        <w:keepNext w:val="0"/>
        <w:keepLines w:val="0"/>
        <w:pageBreakBefore w:val="0"/>
        <w:widowControl w:val="0"/>
        <w:numPr>
          <w:ilvl w:val="0"/>
          <w:numId w:val="6"/>
        </w:numPr>
        <w:kinsoku/>
        <w:wordWrap/>
        <w:overflowPunct/>
        <w:topLinePunct w:val="0"/>
        <w:bidi w:val="0"/>
        <w:spacing w:line="240" w:lineRule="auto"/>
        <w:ind w:firstLine="422" w:firstLineChars="200"/>
        <w:textAlignment w:val="auto"/>
        <w:rPr>
          <w:rFonts w:ascii="宋体" w:hAnsi="宋体" w:cs="宋体"/>
          <w:b/>
          <w:bCs/>
          <w:color w:val="000000"/>
          <w:szCs w:val="21"/>
          <w:highlight w:val="none"/>
        </w:rPr>
      </w:pPr>
      <w:r>
        <w:rPr>
          <w:rFonts w:hint="eastAsia" w:ascii="宋体" w:hAnsi="宋体" w:cs="宋体"/>
          <w:b/>
          <w:bCs/>
          <w:color w:val="000000"/>
          <w:szCs w:val="21"/>
          <w:highlight w:val="none"/>
        </w:rPr>
        <w:t>乙方必须充分考虑到工资标准调整、物价上涨、生活垃圾或者建筑垃圾处置点调整等影响本项目服务价格因素，并承担相应的风险。在本项目需求范围内，服务期内发包人不对中标价进行调整。</w:t>
      </w:r>
    </w:p>
    <w:p w14:paraId="00C6F89A">
      <w:pPr>
        <w:keepNext w:val="0"/>
        <w:keepLines w:val="0"/>
        <w:pageBreakBefore w:val="0"/>
        <w:widowControl w:val="0"/>
        <w:numPr>
          <w:ilvl w:val="0"/>
          <w:numId w:val="6"/>
        </w:numPr>
        <w:kinsoku/>
        <w:wordWrap/>
        <w:overflowPunct/>
        <w:topLinePunct w:val="0"/>
        <w:bidi w:val="0"/>
        <w:spacing w:line="240" w:lineRule="auto"/>
        <w:ind w:firstLine="420" w:firstLineChars="200"/>
        <w:textAlignment w:val="auto"/>
        <w:rPr>
          <w:rFonts w:ascii="宋体" w:hAnsi="宋体" w:cs="宋体"/>
          <w:b/>
          <w:bCs/>
          <w:color w:val="000000"/>
          <w:szCs w:val="21"/>
          <w:highlight w:val="none"/>
        </w:rPr>
      </w:pPr>
      <w:r>
        <w:rPr>
          <w:rFonts w:hint="eastAsia" w:ascii="宋体" w:hAnsi="宋体" w:cs="宋体"/>
          <w:color w:val="000000"/>
          <w:szCs w:val="21"/>
          <w:highlight w:val="none"/>
        </w:rPr>
        <w:t>中标企业必须为所有工作人员购买社会保险，意外伤害保险，工伤保险。配备人员无法满足工作要求的，采购人可以要求中标方无条件更换。</w:t>
      </w:r>
    </w:p>
    <w:p w14:paraId="0BA1335A">
      <w:pPr>
        <w:keepNext w:val="0"/>
        <w:keepLines w:val="0"/>
        <w:pageBreakBefore w:val="0"/>
        <w:widowControl w:val="0"/>
        <w:kinsoku/>
        <w:wordWrap/>
        <w:overflowPunct/>
        <w:topLinePunct w:val="0"/>
        <w:bidi w:val="0"/>
        <w:spacing w:line="240" w:lineRule="auto"/>
        <w:ind w:left="2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遇灾害性天气，乙方需无条件听从甲方统一指挥，及时组织人员和车辆，如夏季台风、梅雨汛期的防内涝，冬季遇雨雪冰冻进行抗雪除冰等相关工作，及时保障道路的畅通。该费用已包含在中标价中，服务期内发包人不对中标价进行调整。</w:t>
      </w:r>
    </w:p>
    <w:p w14:paraId="52FF5397">
      <w:pPr>
        <w:keepNext w:val="0"/>
        <w:keepLines w:val="0"/>
        <w:pageBreakBefore w:val="0"/>
        <w:widowControl w:val="0"/>
        <w:kinsoku/>
        <w:wordWrap/>
        <w:overflowPunct/>
        <w:topLinePunct w:val="0"/>
        <w:bidi w:val="0"/>
        <w:spacing w:line="240" w:lineRule="auto"/>
        <w:ind w:left="2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4、各类创建、迎检、重大活动期间及突发性应急事件处理，乙方需无条件听从甲方统一指挥。该费用已包含在中标价中，服务期内发包人不对中标价进行调整。</w:t>
      </w:r>
    </w:p>
    <w:p w14:paraId="6FD8448E">
      <w:pPr>
        <w:keepNext w:val="0"/>
        <w:keepLines w:val="0"/>
        <w:pageBreakBefore w:val="0"/>
        <w:widowControl w:val="0"/>
        <w:kinsoku/>
        <w:wordWrap/>
        <w:overflowPunct/>
        <w:topLinePunct w:val="0"/>
        <w:bidi w:val="0"/>
        <w:spacing w:line="240" w:lineRule="auto"/>
        <w:ind w:left="2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5、每月5日前，甲方将上一月日常巡查及月度考核情况书面告知乙方，由双方代表签字确认，所扣分值将折款在当月承包金额中直接扣除。</w:t>
      </w:r>
    </w:p>
    <w:p w14:paraId="365A8969">
      <w:pPr>
        <w:keepNext w:val="0"/>
        <w:keepLines w:val="0"/>
        <w:pageBreakBefore w:val="0"/>
        <w:widowControl w:val="0"/>
        <w:kinsoku/>
        <w:wordWrap/>
        <w:overflowPunct/>
        <w:topLinePunct w:val="0"/>
        <w:bidi w:val="0"/>
        <w:spacing w:line="240" w:lineRule="auto"/>
        <w:ind w:left="20" w:firstLine="422" w:firstLineChars="200"/>
        <w:textAlignment w:val="auto"/>
        <w:rPr>
          <w:rFonts w:ascii="宋体" w:hAnsi="宋体" w:cs="宋体"/>
          <w:color w:val="000000"/>
          <w:szCs w:val="21"/>
          <w:highlight w:val="none"/>
        </w:rPr>
      </w:pPr>
      <w:r>
        <w:rPr>
          <w:rFonts w:hint="eastAsia" w:ascii="宋体" w:hAnsi="宋体" w:cs="宋体"/>
          <w:b/>
          <w:bCs/>
          <w:color w:val="000000"/>
          <w:szCs w:val="21"/>
          <w:highlight w:val="none"/>
        </w:rPr>
        <w:t>八、违约责任</w:t>
      </w:r>
      <w:r>
        <w:rPr>
          <w:rFonts w:hint="eastAsia" w:ascii="宋体" w:hAnsi="宋体" w:cs="宋体"/>
          <w:color w:val="000000"/>
          <w:szCs w:val="21"/>
          <w:highlight w:val="none"/>
        </w:rPr>
        <w:t>：</w:t>
      </w:r>
    </w:p>
    <w:p w14:paraId="64DE0AAA">
      <w:pPr>
        <w:keepNext w:val="0"/>
        <w:keepLines w:val="0"/>
        <w:pageBreakBefore w:val="0"/>
        <w:widowControl w:val="0"/>
        <w:kinsoku/>
        <w:wordWrap/>
        <w:overflowPunct/>
        <w:topLinePunct w:val="0"/>
        <w:bidi w:val="0"/>
        <w:spacing w:line="240" w:lineRule="auto"/>
        <w:ind w:left="2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1、如承包期内，乙方未按照要求履行合同的，履约保证金不予归还。在承包期内如因乙方原因造成采购人财产损失的，甲方有权酌情在履约保证金中扣除。</w:t>
      </w:r>
    </w:p>
    <w:p w14:paraId="2F385C4A">
      <w:pPr>
        <w:keepNext w:val="0"/>
        <w:keepLines w:val="0"/>
        <w:pageBreakBefore w:val="0"/>
        <w:widowControl w:val="0"/>
        <w:kinsoku/>
        <w:wordWrap/>
        <w:overflowPunct/>
        <w:topLinePunct w:val="0"/>
        <w:bidi w:val="0"/>
        <w:spacing w:line="240" w:lineRule="auto"/>
        <w:ind w:left="2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2、乙方在合同有效期内,服务质量达不到采购要求. 甲方出具书面整改通知书后，乙方必须无条件整改。整改中所产生的一切费用由乙方负责。如整改后服务质量仍达不到甲方要求的，采购人将扣除乙方全部履约保证金，同时甲方有权单方面解除合同，并追究乙方由此给甲方带来的一切经济损失。</w:t>
      </w:r>
    </w:p>
    <w:p w14:paraId="03C371F0">
      <w:pPr>
        <w:keepNext w:val="0"/>
        <w:keepLines w:val="0"/>
        <w:pageBreakBefore w:val="0"/>
        <w:widowControl w:val="0"/>
        <w:kinsoku/>
        <w:wordWrap/>
        <w:overflowPunct/>
        <w:topLinePunct w:val="0"/>
        <w:bidi w:val="0"/>
        <w:spacing w:line="240" w:lineRule="auto"/>
        <w:ind w:left="2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3、乙方不履行合同的，甲方没收乙方全部履约保证金，并追究乙方由此给甲方带来的一切经济损失。</w:t>
      </w:r>
    </w:p>
    <w:p w14:paraId="4704D941">
      <w:pPr>
        <w:keepNext w:val="0"/>
        <w:keepLines w:val="0"/>
        <w:pageBreakBefore w:val="0"/>
        <w:widowControl w:val="0"/>
        <w:kinsoku/>
        <w:wordWrap/>
        <w:overflowPunct/>
        <w:topLinePunct w:val="0"/>
        <w:bidi w:val="0"/>
        <w:spacing w:line="24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highlight w:val="none"/>
        </w:rPr>
        <w:t>生活垃圾清运及转运站管理的通用质量要求应符合《罗埠镇生活垃圾清运及转运站管理项目考核评分细则》的作业标准要求：月考核不合格每下降一分扣当月经费的1％，以此类推</w:t>
      </w:r>
      <w:r>
        <w:rPr>
          <w:rFonts w:hint="eastAsia" w:ascii="宋体" w:hAnsi="宋体" w:cs="宋体"/>
          <w:color w:val="000000"/>
          <w:szCs w:val="21"/>
          <w:highlight w:val="none"/>
        </w:rPr>
        <w:t>。</w:t>
      </w:r>
    </w:p>
    <w:p w14:paraId="3758A0C5">
      <w:pPr>
        <w:keepNext w:val="0"/>
        <w:keepLines w:val="0"/>
        <w:pageBreakBefore w:val="0"/>
        <w:widowControl w:val="0"/>
        <w:kinsoku/>
        <w:wordWrap/>
        <w:overflowPunct/>
        <w:topLinePunct w:val="0"/>
        <w:bidi w:val="0"/>
        <w:spacing w:line="240" w:lineRule="auto"/>
        <w:ind w:left="20" w:firstLine="420" w:firstLineChars="200"/>
        <w:textAlignment w:val="auto"/>
        <w:rPr>
          <w:rFonts w:ascii="宋体" w:hAnsi="宋体" w:cs="宋体"/>
          <w:b/>
          <w:color w:val="000000"/>
          <w:szCs w:val="21"/>
          <w:highlight w:val="none"/>
        </w:rPr>
      </w:pPr>
      <w:r>
        <w:rPr>
          <w:rFonts w:hint="eastAsia" w:ascii="宋体" w:hAnsi="宋体" w:cs="宋体"/>
          <w:bCs/>
          <w:color w:val="000000"/>
          <w:szCs w:val="21"/>
          <w:highlight w:val="none"/>
        </w:rPr>
        <w:t>5、</w:t>
      </w:r>
      <w:r>
        <w:rPr>
          <w:rFonts w:hint="eastAsia" w:ascii="宋体" w:hAnsi="宋体" w:cs="宋体"/>
          <w:color w:val="000000"/>
          <w:szCs w:val="21"/>
          <w:highlight w:val="none"/>
        </w:rPr>
        <w:t>乙方必须严格执行投标文件中作出的承诺，若乙方违反作出的承诺，甲方有权没收全部履约保证金，同时解除合同。</w:t>
      </w:r>
    </w:p>
    <w:p w14:paraId="22F9CC26">
      <w:pPr>
        <w:keepNext w:val="0"/>
        <w:keepLines w:val="0"/>
        <w:pageBreakBefore w:val="0"/>
        <w:widowControl w:val="0"/>
        <w:kinsoku/>
        <w:wordWrap/>
        <w:overflowPunct/>
        <w:topLinePunct w:val="0"/>
        <w:autoSpaceDE w:val="0"/>
        <w:autoSpaceDN w:val="0"/>
        <w:bidi w:val="0"/>
        <w:adjustRightInd w:val="0"/>
        <w:spacing w:line="240" w:lineRule="auto"/>
        <w:ind w:firstLine="422" w:firstLineChars="200"/>
        <w:textAlignment w:val="auto"/>
        <w:rPr>
          <w:rFonts w:ascii="宋体" w:hAnsi="宋体" w:cs="宋体"/>
          <w:b/>
          <w:bCs/>
          <w:color w:val="000000"/>
          <w:szCs w:val="21"/>
          <w:highlight w:val="none"/>
          <w:lang w:val="zh-CN"/>
        </w:rPr>
      </w:pPr>
      <w:r>
        <w:rPr>
          <w:rFonts w:hint="eastAsia" w:ascii="宋体" w:hAnsi="宋体" w:cs="宋体"/>
          <w:b/>
          <w:bCs/>
          <w:color w:val="000000"/>
          <w:szCs w:val="21"/>
          <w:highlight w:val="none"/>
        </w:rPr>
        <w:t>九、</w:t>
      </w:r>
      <w:r>
        <w:rPr>
          <w:rFonts w:hint="eastAsia" w:ascii="宋体" w:hAnsi="宋体" w:cs="宋体"/>
          <w:b/>
          <w:bCs/>
          <w:color w:val="000000"/>
          <w:szCs w:val="21"/>
          <w:highlight w:val="none"/>
          <w:lang w:val="zh-CN"/>
        </w:rPr>
        <w:t>甲方的权利和义务</w:t>
      </w:r>
      <w:r>
        <w:rPr>
          <w:rFonts w:hint="eastAsia" w:ascii="宋体" w:hAnsi="宋体" w:cs="宋体"/>
          <w:color w:val="000000"/>
          <w:szCs w:val="21"/>
          <w:highlight w:val="none"/>
          <w:lang w:val="zh-CN"/>
        </w:rPr>
        <w:t>：</w:t>
      </w:r>
    </w:p>
    <w:p w14:paraId="6934221A">
      <w:pPr>
        <w:keepNext w:val="0"/>
        <w:keepLines w:val="0"/>
        <w:pageBreakBefore w:val="0"/>
        <w:widowControl w:val="0"/>
        <w:kinsoku/>
        <w:wordWrap/>
        <w:overflowPunct/>
        <w:topLinePunct w:val="0"/>
        <w:autoSpaceDE w:val="0"/>
        <w:autoSpaceDN w:val="0"/>
        <w:bidi w:val="0"/>
        <w:adjustRightInd w:val="0"/>
        <w:spacing w:line="240" w:lineRule="auto"/>
        <w:ind w:firstLine="420" w:firstLineChars="200"/>
        <w:textAlignment w:val="auto"/>
        <w:rPr>
          <w:rFonts w:ascii="宋体" w:hAnsi="宋体" w:cs="宋体"/>
          <w:color w:val="000000"/>
          <w:szCs w:val="21"/>
          <w:highlight w:val="none"/>
          <w:lang w:val="zh-CN"/>
        </w:rPr>
      </w:pPr>
      <w:r>
        <w:rPr>
          <w:rFonts w:hint="eastAsia" w:ascii="宋体" w:hAnsi="宋体" w:cs="宋体"/>
          <w:color w:val="000000"/>
          <w:szCs w:val="21"/>
          <w:highlight w:val="none"/>
          <w:lang w:val="zh-CN"/>
        </w:rPr>
        <w:t>1、审定乙方拟定的环卫作业管理制度；</w:t>
      </w:r>
    </w:p>
    <w:p w14:paraId="7F068989">
      <w:pPr>
        <w:keepNext w:val="0"/>
        <w:keepLines w:val="0"/>
        <w:pageBreakBefore w:val="0"/>
        <w:widowControl w:val="0"/>
        <w:kinsoku/>
        <w:wordWrap/>
        <w:overflowPunct/>
        <w:topLinePunct w:val="0"/>
        <w:autoSpaceDE w:val="0"/>
        <w:autoSpaceDN w:val="0"/>
        <w:bidi w:val="0"/>
        <w:adjustRightInd w:val="0"/>
        <w:spacing w:line="240" w:lineRule="auto"/>
        <w:ind w:firstLine="420" w:firstLineChars="200"/>
        <w:textAlignment w:val="auto"/>
        <w:rPr>
          <w:rFonts w:ascii="宋体" w:hAnsi="宋体" w:cs="宋体"/>
          <w:color w:val="000000"/>
          <w:szCs w:val="21"/>
          <w:highlight w:val="none"/>
          <w:lang w:val="zh-CN"/>
        </w:rPr>
      </w:pPr>
      <w:r>
        <w:rPr>
          <w:rFonts w:hint="eastAsia" w:ascii="宋体" w:hAnsi="宋体" w:cs="宋体"/>
          <w:color w:val="000000"/>
          <w:szCs w:val="21"/>
          <w:highlight w:val="none"/>
          <w:lang w:val="zh-CN"/>
        </w:rPr>
        <w:t>2、审定乙方拟定的环卫作业管理服务年度计划、财务预算及决策等；</w:t>
      </w:r>
    </w:p>
    <w:p w14:paraId="1488A53E">
      <w:pPr>
        <w:keepNext w:val="0"/>
        <w:keepLines w:val="0"/>
        <w:pageBreakBefore w:val="0"/>
        <w:widowControl w:val="0"/>
        <w:kinsoku/>
        <w:wordWrap/>
        <w:overflowPunct/>
        <w:topLinePunct w:val="0"/>
        <w:autoSpaceDE w:val="0"/>
        <w:autoSpaceDN w:val="0"/>
        <w:bidi w:val="0"/>
        <w:adjustRightInd w:val="0"/>
        <w:spacing w:line="24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lang w:val="zh-CN"/>
        </w:rPr>
        <w:t>3、监督检查并纠正乙方</w:t>
      </w:r>
      <w:r>
        <w:rPr>
          <w:rFonts w:hint="eastAsia" w:ascii="宋体" w:hAnsi="宋体" w:cs="宋体"/>
          <w:color w:val="000000"/>
          <w:szCs w:val="21"/>
          <w:highlight w:val="none"/>
        </w:rPr>
        <w:t>环卫作业</w:t>
      </w:r>
      <w:r>
        <w:rPr>
          <w:rFonts w:hint="eastAsia" w:ascii="宋体" w:hAnsi="宋体" w:cs="宋体"/>
          <w:color w:val="000000"/>
          <w:szCs w:val="21"/>
          <w:highlight w:val="none"/>
          <w:lang w:val="zh-CN"/>
        </w:rPr>
        <w:t>管理工作的实施情况及制度的执行情况，并对乙方的服务质量等相关情况进行考核；</w:t>
      </w:r>
    </w:p>
    <w:p w14:paraId="16E40763">
      <w:pPr>
        <w:keepNext w:val="0"/>
        <w:keepLines w:val="0"/>
        <w:pageBreakBefore w:val="0"/>
        <w:widowControl w:val="0"/>
        <w:kinsoku/>
        <w:wordWrap/>
        <w:overflowPunct/>
        <w:topLinePunct w:val="0"/>
        <w:autoSpaceDE w:val="0"/>
        <w:autoSpaceDN w:val="0"/>
        <w:bidi w:val="0"/>
        <w:adjustRightInd w:val="0"/>
        <w:spacing w:line="240" w:lineRule="auto"/>
        <w:ind w:firstLine="560"/>
        <w:textAlignment w:val="auto"/>
        <w:rPr>
          <w:rFonts w:ascii="宋体" w:hAnsi="宋体" w:cs="宋体"/>
          <w:color w:val="000000"/>
          <w:szCs w:val="21"/>
          <w:highlight w:val="none"/>
          <w:lang w:val="zh-CN"/>
        </w:rPr>
      </w:pPr>
      <w:r>
        <w:rPr>
          <w:rFonts w:hint="eastAsia" w:ascii="宋体" w:hAnsi="宋体" w:cs="宋体"/>
          <w:b/>
          <w:bCs/>
          <w:color w:val="000000"/>
          <w:szCs w:val="21"/>
          <w:highlight w:val="none"/>
        </w:rPr>
        <w:t>十、</w:t>
      </w:r>
      <w:r>
        <w:rPr>
          <w:rFonts w:hint="eastAsia" w:ascii="宋体" w:hAnsi="宋体" w:cs="宋体"/>
          <w:b/>
          <w:bCs/>
          <w:color w:val="000000"/>
          <w:szCs w:val="21"/>
          <w:highlight w:val="none"/>
          <w:lang w:val="zh-CN"/>
        </w:rPr>
        <w:t xml:space="preserve"> 乙方的权利和义务</w:t>
      </w:r>
      <w:r>
        <w:rPr>
          <w:rFonts w:hint="eastAsia" w:ascii="宋体" w:hAnsi="宋体" w:cs="宋体"/>
          <w:color w:val="000000"/>
          <w:szCs w:val="21"/>
          <w:highlight w:val="none"/>
          <w:lang w:val="zh-CN"/>
        </w:rPr>
        <w:t>：</w:t>
      </w:r>
    </w:p>
    <w:p w14:paraId="368A1BC7">
      <w:pPr>
        <w:keepNext w:val="0"/>
        <w:keepLines w:val="0"/>
        <w:pageBreakBefore w:val="0"/>
        <w:widowControl w:val="0"/>
        <w:kinsoku/>
        <w:wordWrap/>
        <w:overflowPunct/>
        <w:topLinePunct w:val="0"/>
        <w:autoSpaceDE w:val="0"/>
        <w:autoSpaceDN w:val="0"/>
        <w:bidi w:val="0"/>
        <w:adjustRightInd w:val="0"/>
        <w:spacing w:line="240" w:lineRule="auto"/>
        <w:ind w:firstLine="560"/>
        <w:textAlignment w:val="auto"/>
        <w:rPr>
          <w:rFonts w:ascii="宋体" w:hAnsi="宋体" w:cs="宋体"/>
          <w:color w:val="000000"/>
          <w:szCs w:val="21"/>
          <w:highlight w:val="none"/>
          <w:lang w:val="zh-CN"/>
        </w:rPr>
      </w:pPr>
      <w:r>
        <w:rPr>
          <w:rFonts w:hint="eastAsia" w:ascii="宋体" w:hAnsi="宋体" w:cs="宋体"/>
          <w:color w:val="000000"/>
          <w:szCs w:val="21"/>
          <w:highlight w:val="none"/>
          <w:lang w:val="zh-CN"/>
        </w:rPr>
        <w:t>1、根据有关法律法规及本合同的约定，制定环卫作业管理制度；</w:t>
      </w:r>
    </w:p>
    <w:p w14:paraId="0210A672">
      <w:pPr>
        <w:keepNext w:val="0"/>
        <w:keepLines w:val="0"/>
        <w:pageBreakBefore w:val="0"/>
        <w:widowControl w:val="0"/>
        <w:kinsoku/>
        <w:wordWrap/>
        <w:overflowPunct/>
        <w:topLinePunct w:val="0"/>
        <w:autoSpaceDE w:val="0"/>
        <w:autoSpaceDN w:val="0"/>
        <w:bidi w:val="0"/>
        <w:adjustRightInd w:val="0"/>
        <w:spacing w:line="240" w:lineRule="auto"/>
        <w:ind w:firstLine="560"/>
        <w:textAlignment w:val="auto"/>
        <w:rPr>
          <w:rFonts w:ascii="宋体" w:hAnsi="宋体" w:cs="宋体"/>
          <w:color w:val="000000"/>
          <w:szCs w:val="21"/>
          <w:highlight w:val="none"/>
          <w:lang w:val="zh-CN"/>
        </w:rPr>
      </w:pPr>
      <w:r>
        <w:rPr>
          <w:rFonts w:hint="eastAsia" w:ascii="宋体" w:hAnsi="宋体" w:cs="宋体"/>
          <w:color w:val="000000"/>
          <w:szCs w:val="21"/>
          <w:highlight w:val="none"/>
          <w:lang w:val="zh-CN"/>
        </w:rPr>
        <w:t>2、乙方必须严格按照采购需求为甲方提供环卫作业管理服务，并积极主动地接受甲</w:t>
      </w:r>
      <w:r>
        <w:rPr>
          <w:rFonts w:hint="eastAsia" w:ascii="宋体" w:hAnsi="宋体" w:cs="宋体"/>
          <w:color w:val="000000"/>
          <w:szCs w:val="21"/>
          <w:highlight w:val="none"/>
        </w:rPr>
        <w:t>方</w:t>
      </w:r>
      <w:r>
        <w:rPr>
          <w:rFonts w:hint="eastAsia" w:ascii="宋体" w:hAnsi="宋体" w:cs="宋体"/>
          <w:color w:val="000000"/>
          <w:szCs w:val="21"/>
          <w:highlight w:val="none"/>
          <w:lang w:val="zh-CN"/>
        </w:rPr>
        <w:t>的监督和考核等相关工作；</w:t>
      </w:r>
    </w:p>
    <w:p w14:paraId="7197F17D">
      <w:pPr>
        <w:keepNext w:val="0"/>
        <w:keepLines w:val="0"/>
        <w:pageBreakBefore w:val="0"/>
        <w:widowControl w:val="0"/>
        <w:kinsoku/>
        <w:wordWrap/>
        <w:overflowPunct/>
        <w:topLinePunct w:val="0"/>
        <w:autoSpaceDE w:val="0"/>
        <w:autoSpaceDN w:val="0"/>
        <w:bidi w:val="0"/>
        <w:adjustRightInd w:val="0"/>
        <w:spacing w:line="240" w:lineRule="auto"/>
        <w:ind w:firstLine="560"/>
        <w:textAlignment w:val="auto"/>
        <w:rPr>
          <w:rFonts w:ascii="宋体" w:hAnsi="宋体" w:cs="宋体"/>
          <w:color w:val="000000"/>
          <w:szCs w:val="21"/>
          <w:highlight w:val="none"/>
          <w:lang w:val="zh-CN"/>
        </w:rPr>
      </w:pPr>
      <w:r>
        <w:rPr>
          <w:rFonts w:hint="eastAsia" w:ascii="宋体" w:hAnsi="宋体" w:cs="宋体"/>
          <w:color w:val="000000"/>
          <w:szCs w:val="21"/>
          <w:highlight w:val="none"/>
          <w:lang w:val="zh-CN"/>
        </w:rPr>
        <w:t>3、乙方应及时向甲方通告本环卫作业管理区域内有关环卫作业管理的重大事项，及时处理投诉，接受各方的监督。</w:t>
      </w:r>
    </w:p>
    <w:p w14:paraId="0FE88B7B">
      <w:pPr>
        <w:keepNext w:val="0"/>
        <w:keepLines w:val="0"/>
        <w:pageBreakBefore w:val="0"/>
        <w:widowControl w:val="0"/>
        <w:kinsoku/>
        <w:wordWrap/>
        <w:overflowPunct/>
        <w:topLinePunct w:val="0"/>
        <w:autoSpaceDE w:val="0"/>
        <w:autoSpaceDN w:val="0"/>
        <w:bidi w:val="0"/>
        <w:adjustRightInd w:val="0"/>
        <w:spacing w:line="240" w:lineRule="auto"/>
        <w:ind w:firstLine="560"/>
        <w:textAlignment w:val="auto"/>
        <w:rPr>
          <w:rFonts w:ascii="宋体" w:hAnsi="宋体" w:cs="宋体"/>
          <w:b/>
          <w:bCs/>
          <w:color w:val="000000"/>
          <w:szCs w:val="21"/>
          <w:highlight w:val="none"/>
          <w:lang w:val="zh-CN"/>
        </w:rPr>
      </w:pPr>
      <w:r>
        <w:rPr>
          <w:rFonts w:hint="eastAsia" w:ascii="宋体" w:hAnsi="宋体" w:cs="宋体"/>
          <w:b/>
          <w:bCs/>
          <w:color w:val="000000"/>
          <w:szCs w:val="21"/>
          <w:highlight w:val="none"/>
        </w:rPr>
        <w:t>十一、乙方</w:t>
      </w:r>
      <w:r>
        <w:rPr>
          <w:rFonts w:hint="eastAsia" w:ascii="宋体" w:hAnsi="宋体" w:cs="宋体"/>
          <w:b/>
          <w:bCs/>
          <w:color w:val="000000"/>
          <w:szCs w:val="21"/>
          <w:highlight w:val="none"/>
          <w:lang w:val="zh-CN"/>
        </w:rPr>
        <w:t>如果出现以下现象之一，甲方可以采取解除合同措施，并要求</w:t>
      </w:r>
      <w:r>
        <w:rPr>
          <w:rFonts w:hint="eastAsia" w:ascii="宋体" w:hAnsi="宋体" w:cs="宋体"/>
          <w:b/>
          <w:bCs/>
          <w:color w:val="000000"/>
          <w:szCs w:val="21"/>
          <w:highlight w:val="none"/>
        </w:rPr>
        <w:t>乙方</w:t>
      </w:r>
      <w:r>
        <w:rPr>
          <w:rFonts w:hint="eastAsia" w:ascii="宋体" w:hAnsi="宋体" w:cs="宋体"/>
          <w:b/>
          <w:bCs/>
          <w:color w:val="000000"/>
          <w:szCs w:val="21"/>
          <w:highlight w:val="none"/>
          <w:lang w:val="zh-CN"/>
        </w:rPr>
        <w:t>赔偿损失。</w:t>
      </w:r>
    </w:p>
    <w:p w14:paraId="1C3D268C">
      <w:pPr>
        <w:keepNext w:val="0"/>
        <w:keepLines w:val="0"/>
        <w:pageBreakBefore w:val="0"/>
        <w:widowControl w:val="0"/>
        <w:kinsoku/>
        <w:wordWrap/>
        <w:overflowPunct/>
        <w:topLinePunct w:val="0"/>
        <w:autoSpaceDE w:val="0"/>
        <w:autoSpaceDN w:val="0"/>
        <w:bidi w:val="0"/>
        <w:adjustRightInd w:val="0"/>
        <w:spacing w:line="240" w:lineRule="auto"/>
        <w:ind w:firstLine="420" w:firstLineChars="200"/>
        <w:textAlignment w:val="auto"/>
        <w:rPr>
          <w:rFonts w:ascii="宋体" w:hAnsi="宋体" w:cs="宋体"/>
          <w:color w:val="000000"/>
          <w:szCs w:val="21"/>
          <w:highlight w:val="none"/>
          <w:lang w:val="zh-CN"/>
        </w:rPr>
      </w:pPr>
      <w:r>
        <w:rPr>
          <w:rFonts w:hint="eastAsia" w:ascii="宋体" w:hAnsi="宋体" w:cs="宋体"/>
          <w:color w:val="000000"/>
          <w:szCs w:val="21"/>
          <w:highlight w:val="none"/>
          <w:lang w:val="zh-CN"/>
        </w:rPr>
        <w:t>1、存在违反廉政合同或威胁、侮辱、诽谤管理人员等行为；</w:t>
      </w:r>
    </w:p>
    <w:p w14:paraId="6D7A6929">
      <w:pPr>
        <w:keepNext w:val="0"/>
        <w:keepLines w:val="0"/>
        <w:pageBreakBefore w:val="0"/>
        <w:widowControl w:val="0"/>
        <w:kinsoku/>
        <w:wordWrap/>
        <w:overflowPunct/>
        <w:topLinePunct w:val="0"/>
        <w:autoSpaceDE w:val="0"/>
        <w:autoSpaceDN w:val="0"/>
        <w:bidi w:val="0"/>
        <w:adjustRightInd w:val="0"/>
        <w:spacing w:line="240" w:lineRule="auto"/>
        <w:ind w:firstLine="420" w:firstLineChars="200"/>
        <w:textAlignment w:val="auto"/>
        <w:rPr>
          <w:rFonts w:ascii="宋体" w:hAnsi="宋体" w:cs="宋体"/>
          <w:color w:val="000000"/>
          <w:szCs w:val="21"/>
          <w:highlight w:val="none"/>
          <w:lang w:val="zh-CN"/>
        </w:rPr>
      </w:pPr>
      <w:r>
        <w:rPr>
          <w:rFonts w:hint="eastAsia" w:ascii="宋体" w:hAnsi="宋体" w:cs="宋体"/>
          <w:color w:val="000000"/>
          <w:szCs w:val="21"/>
          <w:highlight w:val="none"/>
          <w:lang w:val="zh-CN"/>
        </w:rPr>
        <w:t>2、存在违反国家法律行为或其它犯罪活动；</w:t>
      </w:r>
    </w:p>
    <w:p w14:paraId="59161ECC">
      <w:pPr>
        <w:keepNext w:val="0"/>
        <w:keepLines w:val="0"/>
        <w:pageBreakBefore w:val="0"/>
        <w:widowControl w:val="0"/>
        <w:kinsoku/>
        <w:wordWrap/>
        <w:overflowPunct/>
        <w:topLinePunct w:val="0"/>
        <w:bidi w:val="0"/>
        <w:spacing w:line="24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3、在创文创卫等重大创建活动的迎检过程中，因保障不力、责任失分，造成检查未通过的；</w:t>
      </w:r>
    </w:p>
    <w:p w14:paraId="7FD878D2">
      <w:pPr>
        <w:keepNext w:val="0"/>
        <w:keepLines w:val="0"/>
        <w:pageBreakBefore w:val="0"/>
        <w:widowControl w:val="0"/>
        <w:kinsoku/>
        <w:wordWrap/>
        <w:overflowPunct/>
        <w:topLinePunct w:val="0"/>
        <w:bidi w:val="0"/>
        <w:spacing w:line="24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4、因管理不善、违反劳动法等法律法规，发生群体性事件，造成恶劣影响的；</w:t>
      </w:r>
    </w:p>
    <w:p w14:paraId="077BE740">
      <w:pPr>
        <w:keepNext w:val="0"/>
        <w:keepLines w:val="0"/>
        <w:pageBreakBefore w:val="0"/>
        <w:widowControl w:val="0"/>
        <w:kinsoku/>
        <w:wordWrap/>
        <w:overflowPunct/>
        <w:topLinePunct w:val="0"/>
        <w:autoSpaceDE w:val="0"/>
        <w:autoSpaceDN w:val="0"/>
        <w:bidi w:val="0"/>
        <w:adjustRightInd w:val="0"/>
        <w:spacing w:line="240" w:lineRule="auto"/>
        <w:ind w:firstLine="420" w:firstLineChars="200"/>
        <w:textAlignment w:val="auto"/>
        <w:rPr>
          <w:rFonts w:ascii="宋体" w:hAnsi="宋体" w:cs="宋体"/>
          <w:color w:val="000000"/>
          <w:szCs w:val="21"/>
          <w:highlight w:val="none"/>
          <w:lang w:val="zh-CN"/>
        </w:rPr>
      </w:pPr>
      <w:r>
        <w:rPr>
          <w:rFonts w:hint="eastAsia" w:ascii="宋体" w:hAnsi="宋体" w:cs="宋体"/>
          <w:color w:val="000000"/>
          <w:szCs w:val="21"/>
          <w:highlight w:val="none"/>
          <w:lang w:val="zh-CN"/>
        </w:rPr>
        <w:t>5、</w:t>
      </w:r>
      <w:r>
        <w:rPr>
          <w:rFonts w:hint="eastAsia" w:ascii="宋体" w:hAnsi="宋体" w:cs="宋体"/>
          <w:color w:val="000000"/>
          <w:szCs w:val="21"/>
          <w:highlight w:val="none"/>
        </w:rPr>
        <w:t>乙方</w:t>
      </w:r>
      <w:r>
        <w:rPr>
          <w:rFonts w:hint="eastAsia" w:ascii="宋体" w:hAnsi="宋体" w:cs="宋体"/>
          <w:color w:val="000000"/>
          <w:szCs w:val="21"/>
          <w:highlight w:val="none"/>
          <w:lang w:val="zh-CN"/>
        </w:rPr>
        <w:t>在服务期间因管理不善导致出现重大安全事故，被新闻媒体曝光，并在社会上造成不良影响及严重后果的；</w:t>
      </w:r>
    </w:p>
    <w:p w14:paraId="08935016">
      <w:pPr>
        <w:keepNext w:val="0"/>
        <w:keepLines w:val="0"/>
        <w:pageBreakBefore w:val="0"/>
        <w:widowControl w:val="0"/>
        <w:kinsoku/>
        <w:wordWrap/>
        <w:overflowPunct/>
        <w:topLinePunct w:val="0"/>
        <w:bidi w:val="0"/>
        <w:spacing w:line="240" w:lineRule="auto"/>
        <w:ind w:firstLine="420" w:firstLineChars="200"/>
        <w:textAlignment w:val="auto"/>
        <w:rPr>
          <w:rFonts w:ascii="宋体" w:hAnsi="宋体" w:cs="宋体"/>
          <w:color w:val="000000"/>
          <w:szCs w:val="21"/>
          <w:highlight w:val="none"/>
          <w:lang w:val="zh-CN"/>
        </w:rPr>
      </w:pPr>
      <w:r>
        <w:rPr>
          <w:rFonts w:hint="eastAsia" w:ascii="宋体" w:hAnsi="宋体" w:cs="宋体"/>
          <w:color w:val="000000"/>
          <w:szCs w:val="21"/>
          <w:highlight w:val="none"/>
          <w:lang w:val="zh-CN"/>
        </w:rPr>
        <w:t>6、不能按约定继续履行合同的；</w:t>
      </w:r>
    </w:p>
    <w:p w14:paraId="063EABE7">
      <w:pPr>
        <w:keepNext w:val="0"/>
        <w:keepLines w:val="0"/>
        <w:pageBreakBefore w:val="0"/>
        <w:widowControl w:val="0"/>
        <w:kinsoku/>
        <w:wordWrap/>
        <w:overflowPunct/>
        <w:topLinePunct w:val="0"/>
        <w:bidi w:val="0"/>
        <w:spacing w:line="24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7、发生中转站污水向周边环境偷排行为。</w:t>
      </w:r>
    </w:p>
    <w:p w14:paraId="6EF3ABD5">
      <w:pPr>
        <w:keepNext w:val="0"/>
        <w:keepLines w:val="0"/>
        <w:pageBreakBefore w:val="0"/>
        <w:widowControl w:val="0"/>
        <w:kinsoku/>
        <w:wordWrap/>
        <w:overflowPunct/>
        <w:topLinePunct w:val="0"/>
        <w:autoSpaceDE w:val="0"/>
        <w:autoSpaceDN w:val="0"/>
        <w:bidi w:val="0"/>
        <w:adjustRightInd w:val="0"/>
        <w:spacing w:line="240" w:lineRule="auto"/>
        <w:ind w:firstLine="560"/>
        <w:textAlignment w:val="auto"/>
        <w:rPr>
          <w:rFonts w:ascii="宋体" w:hAnsi="宋体" w:cs="宋体"/>
          <w:color w:val="000000"/>
          <w:szCs w:val="21"/>
          <w:highlight w:val="none"/>
        </w:rPr>
      </w:pPr>
      <w:r>
        <w:rPr>
          <w:rFonts w:hint="eastAsia" w:ascii="宋体" w:hAnsi="宋体" w:cs="宋体"/>
          <w:b/>
          <w:bCs/>
          <w:color w:val="000000"/>
          <w:szCs w:val="21"/>
          <w:highlight w:val="none"/>
        </w:rPr>
        <w:t>十二、其他约定事项</w:t>
      </w:r>
      <w:r>
        <w:rPr>
          <w:rFonts w:hint="eastAsia" w:ascii="宋体" w:hAnsi="宋体" w:cs="宋体"/>
          <w:color w:val="000000"/>
          <w:szCs w:val="21"/>
          <w:highlight w:val="none"/>
        </w:rPr>
        <w:t>：</w:t>
      </w:r>
    </w:p>
    <w:p w14:paraId="34035B1F">
      <w:pPr>
        <w:keepNext w:val="0"/>
        <w:keepLines w:val="0"/>
        <w:pageBreakBefore w:val="0"/>
        <w:widowControl w:val="0"/>
        <w:kinsoku/>
        <w:wordWrap/>
        <w:overflowPunct/>
        <w:topLinePunct w:val="0"/>
        <w:bidi w:val="0"/>
        <w:spacing w:line="240" w:lineRule="auto"/>
        <w:ind w:left="2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1、乙方在合同有效期内，必须确保所有工作人员的安全,其产生的安全问题,由乙方自行负责。</w:t>
      </w:r>
    </w:p>
    <w:p w14:paraId="296370ED">
      <w:pPr>
        <w:keepNext w:val="0"/>
        <w:keepLines w:val="0"/>
        <w:pageBreakBefore w:val="0"/>
        <w:widowControl w:val="0"/>
        <w:kinsoku/>
        <w:wordWrap/>
        <w:overflowPunct/>
        <w:topLinePunct w:val="0"/>
        <w:bidi w:val="0"/>
        <w:spacing w:line="240" w:lineRule="auto"/>
        <w:ind w:left="2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2、乙方所聘管理人员及保洁人员在作业时应严格遵守劳动纪律，遵守安全操作规程，确保安全。发生各种意外事故均由乙方依照法律法规妥善处理，甲方对此不承担任何法律责任。</w:t>
      </w:r>
    </w:p>
    <w:p w14:paraId="3EABFF3B">
      <w:pPr>
        <w:keepNext w:val="0"/>
        <w:keepLines w:val="0"/>
        <w:pageBreakBefore w:val="0"/>
        <w:widowControl w:val="0"/>
        <w:kinsoku/>
        <w:wordWrap/>
        <w:overflowPunct/>
        <w:topLinePunct w:val="0"/>
        <w:bidi w:val="0"/>
        <w:spacing w:line="240" w:lineRule="auto"/>
        <w:ind w:left="2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3、招标文件、投标人的投标文件以及相关补充文件、澄清文件、特殊承诺等是本合同不可分割的部分。</w:t>
      </w:r>
    </w:p>
    <w:p w14:paraId="3B9DC061">
      <w:pPr>
        <w:keepNext w:val="0"/>
        <w:keepLines w:val="0"/>
        <w:pageBreakBefore w:val="0"/>
        <w:widowControl w:val="0"/>
        <w:kinsoku/>
        <w:wordWrap/>
        <w:overflowPunct/>
        <w:topLinePunct w:val="0"/>
        <w:bidi w:val="0"/>
        <w:spacing w:line="240" w:lineRule="auto"/>
        <w:ind w:left="2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4、本合同中未尽事宜，经双方协商可另附条款，效力等同于本合同。</w:t>
      </w:r>
    </w:p>
    <w:p w14:paraId="2F13DA7A">
      <w:pPr>
        <w:keepNext w:val="0"/>
        <w:keepLines w:val="0"/>
        <w:pageBreakBefore w:val="0"/>
        <w:widowControl w:val="0"/>
        <w:kinsoku/>
        <w:wordWrap/>
        <w:overflowPunct/>
        <w:topLinePunct w:val="0"/>
        <w:autoSpaceDE w:val="0"/>
        <w:autoSpaceDN w:val="0"/>
        <w:bidi w:val="0"/>
        <w:adjustRightInd w:val="0"/>
        <w:spacing w:line="240" w:lineRule="auto"/>
        <w:ind w:firstLine="420" w:firstLineChars="200"/>
        <w:textAlignment w:val="auto"/>
        <w:rPr>
          <w:rFonts w:ascii="宋体" w:hAnsi="宋体" w:cs="宋体"/>
          <w:color w:val="000000"/>
          <w:szCs w:val="21"/>
          <w:highlight w:val="none"/>
          <w:lang w:val="zh-CN"/>
        </w:rPr>
      </w:pPr>
      <w:r>
        <w:rPr>
          <w:rFonts w:hint="eastAsia" w:ascii="宋体" w:hAnsi="宋体" w:cs="宋体"/>
          <w:color w:val="000000"/>
          <w:szCs w:val="21"/>
          <w:highlight w:val="none"/>
        </w:rPr>
        <w:t>5、合同有效期内，乙方及其工作人员与其他单位或个人发生债权纠纷等，与甲方无关。</w:t>
      </w:r>
    </w:p>
    <w:p w14:paraId="4E501189">
      <w:pPr>
        <w:keepNext w:val="0"/>
        <w:keepLines w:val="0"/>
        <w:pageBreakBefore w:val="0"/>
        <w:widowControl w:val="0"/>
        <w:kinsoku/>
        <w:wordWrap/>
        <w:overflowPunct/>
        <w:topLinePunct w:val="0"/>
        <w:autoSpaceDE w:val="0"/>
        <w:autoSpaceDN w:val="0"/>
        <w:bidi w:val="0"/>
        <w:adjustRightInd w:val="0"/>
        <w:spacing w:line="240" w:lineRule="auto"/>
        <w:ind w:firstLine="422" w:firstLineChars="200"/>
        <w:textAlignment w:val="auto"/>
        <w:rPr>
          <w:rFonts w:ascii="宋体" w:hAnsi="宋体" w:cs="宋体"/>
          <w:color w:val="000000"/>
          <w:szCs w:val="21"/>
          <w:highlight w:val="none"/>
        </w:rPr>
      </w:pPr>
      <w:r>
        <w:rPr>
          <w:rFonts w:hint="eastAsia" w:ascii="宋体" w:hAnsi="宋体" w:cs="宋体"/>
          <w:b/>
          <w:bCs/>
          <w:color w:val="000000"/>
          <w:szCs w:val="21"/>
          <w:highlight w:val="none"/>
        </w:rPr>
        <w:t>十三、人员与设备的承接验收</w:t>
      </w:r>
    </w:p>
    <w:p w14:paraId="49E0B808">
      <w:pPr>
        <w:keepNext w:val="0"/>
        <w:keepLines w:val="0"/>
        <w:pageBreakBefore w:val="0"/>
        <w:widowControl w:val="0"/>
        <w:kinsoku/>
        <w:wordWrap/>
        <w:overflowPunct/>
        <w:topLinePunct w:val="0"/>
        <w:autoSpaceDE w:val="0"/>
        <w:autoSpaceDN w:val="0"/>
        <w:bidi w:val="0"/>
        <w:adjustRightInd w:val="0"/>
        <w:spacing w:line="240" w:lineRule="auto"/>
        <w:ind w:firstLine="560"/>
        <w:textAlignment w:val="auto"/>
        <w:rPr>
          <w:rFonts w:ascii="宋体" w:hAnsi="宋体" w:cs="宋体"/>
          <w:color w:val="000000"/>
          <w:szCs w:val="21"/>
          <w:highlight w:val="none"/>
        </w:rPr>
      </w:pPr>
      <w:r>
        <w:rPr>
          <w:rFonts w:hint="eastAsia" w:ascii="宋体" w:hAnsi="宋体" w:cs="宋体"/>
          <w:color w:val="000000"/>
          <w:szCs w:val="21"/>
          <w:highlight w:val="none"/>
        </w:rPr>
        <w:t>乙方承接环卫作业服务时，甲方应配合乙方对以下人员及车辆设备进行交接：</w:t>
      </w:r>
      <w:r>
        <w:rPr>
          <w:rFonts w:hint="eastAsia" w:ascii="宋体" w:hAnsi="宋体" w:cs="宋体"/>
          <w:color w:val="000000"/>
          <w:szCs w:val="21"/>
          <w:highlight w:val="none"/>
        </w:rPr>
        <w:br w:type="textWrapping"/>
      </w:r>
      <w:r>
        <w:rPr>
          <w:rFonts w:hint="eastAsia" w:ascii="宋体" w:hAnsi="宋体" w:cs="宋体"/>
          <w:color w:val="000000"/>
          <w:szCs w:val="21"/>
          <w:highlight w:val="none"/>
        </w:rPr>
        <w:t xml:space="preserve">    1、</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r>
        <w:rPr>
          <w:rFonts w:hint="eastAsia" w:ascii="宋体" w:hAnsi="宋体" w:cs="宋体"/>
          <w:color w:val="000000"/>
          <w:szCs w:val="21"/>
          <w:highlight w:val="none"/>
        </w:rPr>
        <w:br w:type="textWrapping"/>
      </w:r>
      <w:r>
        <w:rPr>
          <w:rFonts w:hint="eastAsia" w:ascii="宋体" w:hAnsi="宋体" w:cs="宋体"/>
          <w:color w:val="000000"/>
          <w:szCs w:val="21"/>
          <w:highlight w:val="none"/>
        </w:rPr>
        <w:t xml:space="preserve">    2、</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r>
        <w:rPr>
          <w:rFonts w:hint="eastAsia" w:ascii="宋体" w:hAnsi="宋体" w:cs="宋体"/>
          <w:color w:val="000000"/>
          <w:szCs w:val="21"/>
          <w:highlight w:val="none"/>
        </w:rPr>
        <w:br w:type="textWrapping"/>
      </w:r>
      <w:r>
        <w:rPr>
          <w:rFonts w:hint="eastAsia" w:ascii="宋体" w:hAnsi="宋体" w:cs="宋体"/>
          <w:color w:val="000000"/>
          <w:szCs w:val="21"/>
          <w:highlight w:val="none"/>
        </w:rPr>
        <w:t xml:space="preserve">    3、</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14:paraId="03A6B6AD">
      <w:pPr>
        <w:keepNext w:val="0"/>
        <w:keepLines w:val="0"/>
        <w:pageBreakBefore w:val="0"/>
        <w:widowControl w:val="0"/>
        <w:kinsoku/>
        <w:wordWrap/>
        <w:overflowPunct/>
        <w:topLinePunct w:val="0"/>
        <w:autoSpaceDE w:val="0"/>
        <w:autoSpaceDN w:val="0"/>
        <w:bidi w:val="0"/>
        <w:adjustRightInd w:val="0"/>
        <w:spacing w:line="240" w:lineRule="auto"/>
        <w:ind w:firstLine="422" w:firstLineChars="200"/>
        <w:textAlignment w:val="auto"/>
        <w:rPr>
          <w:rFonts w:ascii="宋体" w:hAnsi="宋体" w:cs="宋体"/>
          <w:color w:val="000000"/>
          <w:szCs w:val="21"/>
          <w:highlight w:val="none"/>
        </w:rPr>
      </w:pPr>
      <w:r>
        <w:rPr>
          <w:rFonts w:hint="eastAsia" w:ascii="宋体" w:hAnsi="宋体" w:cs="宋体"/>
          <w:b/>
          <w:bCs/>
          <w:color w:val="000000"/>
          <w:szCs w:val="21"/>
          <w:highlight w:val="none"/>
        </w:rPr>
        <w:t>十四、本合同在履行中发生争议，由双方协商解决，协商不成双方可选择以下第</w:t>
      </w:r>
      <w:r>
        <w:rPr>
          <w:rFonts w:hint="eastAsia" w:ascii="宋体" w:hAnsi="宋体" w:cs="宋体"/>
          <w:b/>
          <w:bCs/>
          <w:color w:val="000000"/>
          <w:szCs w:val="21"/>
          <w:highlight w:val="none"/>
          <w:u w:val="single"/>
        </w:rPr>
        <w:t xml:space="preserve"> 1 </w:t>
      </w:r>
      <w:r>
        <w:rPr>
          <w:rFonts w:hint="eastAsia" w:ascii="宋体" w:hAnsi="宋体" w:cs="宋体"/>
          <w:b/>
          <w:bCs/>
          <w:color w:val="000000"/>
          <w:szCs w:val="21"/>
          <w:highlight w:val="none"/>
        </w:rPr>
        <w:t>种方式处理</w:t>
      </w:r>
      <w:r>
        <w:rPr>
          <w:rFonts w:hint="eastAsia" w:ascii="宋体" w:hAnsi="宋体" w:cs="宋体"/>
          <w:color w:val="000000"/>
          <w:szCs w:val="21"/>
          <w:highlight w:val="none"/>
        </w:rPr>
        <w:t>：</w:t>
      </w:r>
      <w:r>
        <w:rPr>
          <w:rFonts w:hint="eastAsia" w:ascii="宋体" w:hAnsi="宋体" w:cs="宋体"/>
          <w:color w:val="000000"/>
          <w:szCs w:val="21"/>
          <w:highlight w:val="none"/>
        </w:rPr>
        <w:br w:type="textWrapping"/>
      </w:r>
      <w:r>
        <w:rPr>
          <w:rFonts w:hint="eastAsia" w:ascii="宋体" w:hAnsi="宋体" w:cs="宋体"/>
          <w:color w:val="000000"/>
          <w:szCs w:val="21"/>
          <w:highlight w:val="none"/>
        </w:rPr>
        <w:t xml:space="preserve">    1、向</w:t>
      </w:r>
      <w:r>
        <w:rPr>
          <w:rFonts w:hint="eastAsia" w:ascii="宋体" w:hAnsi="宋体" w:cs="宋体"/>
          <w:color w:val="000000"/>
          <w:szCs w:val="21"/>
          <w:highlight w:val="none"/>
          <w:u w:val="single"/>
        </w:rPr>
        <w:t xml:space="preserve">  金华  </w:t>
      </w:r>
      <w:r>
        <w:rPr>
          <w:rFonts w:hint="eastAsia" w:ascii="宋体" w:hAnsi="宋体" w:cs="宋体"/>
          <w:color w:val="000000"/>
          <w:szCs w:val="21"/>
          <w:highlight w:val="none"/>
        </w:rPr>
        <w:t>仲裁委员会申请仲裁；</w:t>
      </w:r>
      <w:r>
        <w:rPr>
          <w:rFonts w:hint="eastAsia" w:ascii="宋体" w:hAnsi="宋体" w:cs="宋体"/>
          <w:color w:val="000000"/>
          <w:szCs w:val="21"/>
          <w:highlight w:val="none"/>
        </w:rPr>
        <w:br w:type="textWrapping"/>
      </w:r>
      <w:r>
        <w:rPr>
          <w:rFonts w:hint="eastAsia" w:ascii="宋体" w:hAnsi="宋体" w:cs="宋体"/>
          <w:color w:val="000000"/>
          <w:szCs w:val="21"/>
          <w:highlight w:val="none"/>
        </w:rPr>
        <w:t xml:space="preserve">    2、向人民法院提起诉讼。</w:t>
      </w:r>
    </w:p>
    <w:p w14:paraId="1FADABB9">
      <w:pPr>
        <w:keepNext w:val="0"/>
        <w:keepLines w:val="0"/>
        <w:pageBreakBefore w:val="0"/>
        <w:widowControl w:val="0"/>
        <w:kinsoku/>
        <w:wordWrap/>
        <w:overflowPunct/>
        <w:topLinePunct w:val="0"/>
        <w:bidi w:val="0"/>
        <w:spacing w:line="240" w:lineRule="auto"/>
        <w:ind w:left="420" w:leftChars="200"/>
        <w:textAlignment w:val="auto"/>
        <w:rPr>
          <w:rFonts w:ascii="宋体" w:hAnsi="宋体" w:cs="宋体"/>
          <w:color w:val="000000"/>
          <w:szCs w:val="21"/>
          <w:highlight w:val="none"/>
        </w:rPr>
      </w:pPr>
      <w:r>
        <w:rPr>
          <w:rFonts w:hint="eastAsia" w:ascii="宋体" w:hAnsi="宋体" w:cs="宋体"/>
          <w:b/>
          <w:bCs/>
          <w:color w:val="000000"/>
          <w:szCs w:val="21"/>
          <w:highlight w:val="none"/>
        </w:rPr>
        <w:t>十四、本合同一式四份，以中文书就，甲乙双方各执两份，双方签字并盖章时生效。</w:t>
      </w:r>
    </w:p>
    <w:p w14:paraId="5E8CA244">
      <w:pPr>
        <w:keepNext w:val="0"/>
        <w:keepLines w:val="0"/>
        <w:pageBreakBefore w:val="0"/>
        <w:widowControl w:val="0"/>
        <w:kinsoku/>
        <w:wordWrap/>
        <w:overflowPunct/>
        <w:topLinePunct w:val="0"/>
        <w:bidi w:val="0"/>
        <w:spacing w:line="240" w:lineRule="auto"/>
        <w:ind w:firstLine="525" w:firstLineChars="250"/>
        <w:textAlignment w:val="auto"/>
        <w:rPr>
          <w:rFonts w:ascii="宋体" w:hAnsi="宋体" w:cs="宋体"/>
          <w:b/>
          <w:color w:val="000000"/>
          <w:szCs w:val="21"/>
          <w:highlight w:val="none"/>
        </w:rPr>
      </w:pPr>
      <w:r>
        <w:rPr>
          <w:rFonts w:hint="eastAsia" w:ascii="宋体" w:hAnsi="宋体" w:cs="宋体"/>
          <w:color w:val="000000"/>
          <w:szCs w:val="21"/>
          <w:highlight w:val="none"/>
        </w:rPr>
        <w:t>甲方（签章）：                                          乙方（签章）：</w:t>
      </w:r>
    </w:p>
    <w:p w14:paraId="68A6A82A">
      <w:pPr>
        <w:keepNext w:val="0"/>
        <w:keepLines w:val="0"/>
        <w:pageBreakBefore w:val="0"/>
        <w:widowControl w:val="0"/>
        <w:kinsoku/>
        <w:wordWrap/>
        <w:overflowPunct/>
        <w:topLinePunct w:val="0"/>
        <w:bidi w:val="0"/>
        <w:spacing w:line="240" w:lineRule="auto"/>
        <w:ind w:firstLine="525" w:firstLineChars="250"/>
        <w:textAlignment w:val="auto"/>
        <w:rPr>
          <w:rFonts w:ascii="宋体" w:hAnsi="宋体" w:cs="宋体"/>
          <w:color w:val="000000"/>
          <w:szCs w:val="21"/>
          <w:highlight w:val="none"/>
        </w:rPr>
      </w:pPr>
      <w:r>
        <w:rPr>
          <w:rFonts w:hint="eastAsia" w:ascii="宋体" w:hAnsi="宋体" w:cs="宋体"/>
          <w:color w:val="000000"/>
          <w:szCs w:val="21"/>
          <w:highlight w:val="none"/>
        </w:rPr>
        <w:t>法定代表人（签章）：                                    法定代表人（签章）：</w:t>
      </w:r>
    </w:p>
    <w:p w14:paraId="76A4EFEB">
      <w:pPr>
        <w:pStyle w:val="10"/>
        <w:keepNext w:val="0"/>
        <w:keepLines w:val="0"/>
        <w:pageBreakBefore w:val="0"/>
        <w:widowControl w:val="0"/>
        <w:tabs>
          <w:tab w:val="left" w:pos="2472"/>
        </w:tabs>
        <w:kinsoku/>
        <w:wordWrap/>
        <w:overflowPunct/>
        <w:topLinePunct w:val="0"/>
        <w:bidi w:val="0"/>
        <w:snapToGrid w:val="0"/>
        <w:spacing w:after="0" w:line="240" w:lineRule="auto"/>
        <w:jc w:val="center"/>
        <w:textAlignment w:val="auto"/>
        <w:rPr>
          <w:rFonts w:cs="宋体"/>
          <w:color w:val="000000"/>
          <w:szCs w:val="21"/>
          <w:highlight w:val="none"/>
        </w:rPr>
      </w:pPr>
    </w:p>
    <w:p w14:paraId="1EB5F2CE">
      <w:pPr>
        <w:keepNext w:val="0"/>
        <w:keepLines w:val="0"/>
        <w:pageBreakBefore w:val="0"/>
        <w:widowControl w:val="0"/>
        <w:kinsoku/>
        <w:wordWrap/>
        <w:overflowPunct/>
        <w:topLinePunct w:val="0"/>
        <w:bidi w:val="0"/>
        <w:spacing w:line="240" w:lineRule="auto"/>
        <w:textAlignment w:val="auto"/>
        <w:rPr>
          <w:rFonts w:hint="eastAsia" w:cs="宋体"/>
          <w:b/>
          <w:bCs/>
          <w:szCs w:val="21"/>
        </w:rPr>
      </w:pPr>
      <w:r>
        <w:rPr>
          <w:rFonts w:hint="eastAsia" w:cs="宋体"/>
          <w:color w:val="000000"/>
          <w:szCs w:val="21"/>
          <w:highlight w:val="none"/>
        </w:rPr>
        <w:t>年   月   日                                              年  月   日</w:t>
      </w:r>
      <w:r>
        <w:rPr>
          <w:rFonts w:hint="eastAsia" w:cs="宋体"/>
          <w:b/>
          <w:bCs/>
          <w:szCs w:val="21"/>
        </w:rPr>
        <w:br w:type="page"/>
      </w:r>
    </w:p>
    <w:p w14:paraId="05853EE3">
      <w:pPr>
        <w:pStyle w:val="10"/>
        <w:snapToGrid w:val="0"/>
        <w:spacing w:line="440" w:lineRule="exact"/>
        <w:jc w:val="center"/>
        <w:rPr>
          <w:rFonts w:cs="宋体"/>
          <w:b/>
          <w:bCs/>
          <w:szCs w:val="21"/>
        </w:rPr>
      </w:pPr>
    </w:p>
    <w:p w14:paraId="69D2973E">
      <w:pPr>
        <w:pStyle w:val="8"/>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p>
    <w:p w14:paraId="331874A3">
      <w:pPr>
        <w:autoSpaceDN/>
        <w:spacing w:line="460" w:lineRule="exact"/>
        <w:ind w:left="443" w:leftChars="211"/>
        <w:textAlignment w:val="baseline"/>
        <w:rPr>
          <w:rFonts w:hint="eastAsia" w:hAnsi="宋体" w:cs="宋体"/>
          <w:color w:val="auto"/>
          <w:sz w:val="30"/>
          <w:szCs w:val="30"/>
          <w:highlight w:val="none"/>
        </w:rPr>
      </w:pPr>
    </w:p>
    <w:p w14:paraId="572D0FD2">
      <w:pPr>
        <w:pStyle w:val="5"/>
        <w:spacing w:line="360" w:lineRule="auto"/>
        <w:jc w:val="center"/>
        <w:rPr>
          <w:rFonts w:hint="eastAsia" w:ascii="宋体" w:hAnsi="宋体" w:cs="宋体"/>
          <w:color w:val="auto"/>
          <w:sz w:val="30"/>
          <w:szCs w:val="30"/>
          <w:highlight w:val="none"/>
        </w:rPr>
      </w:pPr>
      <w:bookmarkStart w:id="29" w:name="_Toc22248"/>
      <w:r>
        <w:rPr>
          <w:rFonts w:hint="eastAsia" w:ascii="宋体" w:hAnsi="宋体" w:cs="宋体"/>
          <w:color w:val="auto"/>
          <w:sz w:val="30"/>
          <w:szCs w:val="30"/>
          <w:highlight w:val="none"/>
        </w:rPr>
        <w:t>第六章　投标文件格式</w:t>
      </w:r>
      <w:bookmarkEnd w:id="29"/>
    </w:p>
    <w:p w14:paraId="23722B81">
      <w:pPr>
        <w:snapToGrid w:val="0"/>
        <w:spacing w:before="317" w:beforeLines="50" w:after="50"/>
        <w:rPr>
          <w:rFonts w:hint="eastAsia" w:hAnsi="宋体" w:cs="宋体"/>
          <w:color w:val="auto"/>
          <w:sz w:val="24"/>
          <w:szCs w:val="24"/>
          <w:highlight w:val="none"/>
        </w:rPr>
      </w:pPr>
    </w:p>
    <w:p w14:paraId="40545172">
      <w:pPr>
        <w:snapToGrid w:val="0"/>
        <w:spacing w:before="317" w:beforeLines="50" w:after="50"/>
        <w:jc w:val="center"/>
        <w:rPr>
          <w:rFonts w:hint="eastAsia" w:hAnsi="宋体" w:cs="宋体"/>
          <w:color w:val="auto"/>
          <w:sz w:val="24"/>
          <w:szCs w:val="24"/>
          <w:highlight w:val="none"/>
        </w:rPr>
      </w:pPr>
    </w:p>
    <w:p w14:paraId="004F4ABC">
      <w:pPr>
        <w:snapToGrid w:val="0"/>
        <w:spacing w:before="317" w:beforeLines="50" w:after="50"/>
        <w:jc w:val="center"/>
        <w:rPr>
          <w:rFonts w:hint="eastAsia" w:hAnsi="宋体" w:cs="宋体"/>
          <w:b/>
          <w:color w:val="auto"/>
          <w:sz w:val="24"/>
          <w:szCs w:val="24"/>
          <w:highlight w:val="none"/>
        </w:rPr>
      </w:pPr>
      <w:r>
        <w:rPr>
          <w:rFonts w:hint="eastAsia" w:hAnsi="宋体" w:cs="宋体"/>
          <w:b/>
          <w:color w:val="auto"/>
          <w:sz w:val="24"/>
          <w:szCs w:val="24"/>
          <w:highlight w:val="none"/>
        </w:rPr>
        <w:t>投标文件</w:t>
      </w:r>
    </w:p>
    <w:p w14:paraId="44BCCA6D">
      <w:pPr>
        <w:snapToGrid w:val="0"/>
        <w:spacing w:before="317" w:beforeLines="50" w:after="50"/>
        <w:rPr>
          <w:rFonts w:hint="eastAsia" w:hAnsi="宋体" w:cs="宋体"/>
          <w:color w:val="auto"/>
          <w:sz w:val="24"/>
          <w:szCs w:val="24"/>
          <w:highlight w:val="none"/>
        </w:rPr>
      </w:pPr>
    </w:p>
    <w:p w14:paraId="5B04D4F0">
      <w:pPr>
        <w:snapToGrid w:val="0"/>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项目名称： </w:t>
      </w:r>
    </w:p>
    <w:p w14:paraId="00622D1D">
      <w:pPr>
        <w:snapToGrid w:val="0"/>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项目编号：</w:t>
      </w:r>
    </w:p>
    <w:p w14:paraId="5BEF01EC">
      <w:pPr>
        <w:snapToGrid w:val="0"/>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投标文件名称：资格文件、商务技术文件、报价文件</w:t>
      </w:r>
    </w:p>
    <w:p w14:paraId="0D034AF3">
      <w:pPr>
        <w:snapToGrid w:val="0"/>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投标人全称：</w:t>
      </w:r>
    </w:p>
    <w:p w14:paraId="132C6205">
      <w:pPr>
        <w:snapToGrid w:val="0"/>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投标人地址：</w:t>
      </w:r>
    </w:p>
    <w:p w14:paraId="77B45868">
      <w:pPr>
        <w:snapToGrid w:val="0"/>
        <w:spacing w:before="317" w:beforeLines="50" w:after="50"/>
        <w:ind w:firstLine="645"/>
        <w:jc w:val="center"/>
        <w:rPr>
          <w:rFonts w:hint="eastAsia" w:hAnsi="宋体" w:cs="宋体"/>
          <w:color w:val="auto"/>
          <w:sz w:val="24"/>
          <w:szCs w:val="24"/>
          <w:highlight w:val="none"/>
        </w:rPr>
      </w:pPr>
      <w:r>
        <w:rPr>
          <w:rFonts w:hint="eastAsia" w:hAnsi="宋体" w:cs="宋体"/>
          <w:color w:val="auto"/>
          <w:sz w:val="24"/>
          <w:szCs w:val="24"/>
          <w:highlight w:val="none"/>
        </w:rPr>
        <w:t>年 月 日</w:t>
      </w:r>
    </w:p>
    <w:p w14:paraId="46EBD06E">
      <w:pPr>
        <w:widowControl/>
        <w:snapToGrid w:val="0"/>
        <w:spacing w:before="120" w:after="50"/>
        <w:rPr>
          <w:rFonts w:hint="eastAsia" w:hAnsi="宋体" w:cs="宋体"/>
          <w:b/>
          <w:color w:val="auto"/>
          <w:sz w:val="24"/>
          <w:szCs w:val="24"/>
          <w:highlight w:val="none"/>
        </w:rPr>
      </w:pPr>
      <w:r>
        <w:rPr>
          <w:rFonts w:hint="eastAsia" w:hAnsi="宋体" w:cs="宋体"/>
          <w:color w:val="auto"/>
          <w:sz w:val="24"/>
          <w:szCs w:val="24"/>
          <w:highlight w:val="none"/>
        </w:rPr>
        <w:br w:type="page"/>
      </w:r>
      <w:r>
        <w:rPr>
          <w:rFonts w:hint="eastAsia" w:hAnsi="宋体" w:cs="宋体"/>
          <w:b/>
          <w:color w:val="auto"/>
          <w:sz w:val="24"/>
          <w:szCs w:val="24"/>
          <w:highlight w:val="none"/>
        </w:rPr>
        <w:t>（一）资格文件</w:t>
      </w:r>
    </w:p>
    <w:p w14:paraId="71B1C8A7">
      <w:pPr>
        <w:autoSpaceDE/>
        <w:autoSpaceDN/>
        <w:adjustRightInd/>
        <w:spacing w:line="460" w:lineRule="exact"/>
        <w:ind w:firstLine="482" w:firstLineChars="200"/>
        <w:jc w:val="both"/>
        <w:rPr>
          <w:rFonts w:hint="eastAsia" w:hAnsi="宋体" w:cs="宋体"/>
          <w:color w:val="auto"/>
          <w:sz w:val="24"/>
          <w:szCs w:val="24"/>
          <w:highlight w:val="none"/>
        </w:rPr>
      </w:pPr>
      <w:r>
        <w:rPr>
          <w:rFonts w:hint="eastAsia" w:hAnsi="宋体" w:cs="宋体"/>
          <w:b/>
          <w:color w:val="auto"/>
          <w:sz w:val="24"/>
          <w:szCs w:val="24"/>
          <w:highlight w:val="none"/>
        </w:rPr>
        <w:t xml:space="preserve"> 资格文件目录</w:t>
      </w:r>
    </w:p>
    <w:p w14:paraId="4C5C81C3">
      <w:pPr>
        <w:autoSpaceDE/>
        <w:autoSpaceDN/>
        <w:adjustRightInd/>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（1）投标人有效期内的营业执照副本</w:t>
      </w:r>
      <w:r>
        <w:rPr>
          <w:rFonts w:hint="eastAsia" w:hAnsi="宋体"/>
          <w:color w:val="auto"/>
          <w:sz w:val="24"/>
          <w:szCs w:val="24"/>
          <w:highlight w:val="none"/>
        </w:rPr>
        <w:t>扫描件或</w:t>
      </w:r>
      <w:r>
        <w:rPr>
          <w:rFonts w:hint="eastAsia" w:hAnsi="宋体" w:cs="宋体"/>
          <w:color w:val="auto"/>
          <w:sz w:val="24"/>
          <w:szCs w:val="24"/>
          <w:highlight w:val="none"/>
        </w:rPr>
        <w:t>复印件；</w:t>
      </w:r>
    </w:p>
    <w:p w14:paraId="35E706F5">
      <w:pPr>
        <w:widowControl/>
        <w:autoSpaceDE/>
        <w:autoSpaceDN/>
        <w:adjustRightInd/>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（2）投标人</w:t>
      </w:r>
      <w:r>
        <w:rPr>
          <w:rFonts w:hint="eastAsia" w:hAnsi="宋体"/>
          <w:color w:val="auto"/>
          <w:sz w:val="24"/>
          <w:szCs w:val="24"/>
          <w:highlight w:val="none"/>
        </w:rPr>
        <w:t>符合参加政府采购活动应当具备的一般条件的承诺函</w:t>
      </w:r>
      <w:r>
        <w:rPr>
          <w:rFonts w:hint="eastAsia" w:hAnsi="宋体" w:cs="宋体"/>
          <w:color w:val="auto"/>
          <w:sz w:val="24"/>
          <w:szCs w:val="24"/>
          <w:highlight w:val="none"/>
        </w:rPr>
        <w:t>；（格式见附件）</w:t>
      </w:r>
    </w:p>
    <w:p w14:paraId="5CFE4BBD">
      <w:pPr>
        <w:widowControl/>
        <w:autoSpaceDE/>
        <w:autoSpaceDN/>
        <w:adjustRightInd/>
        <w:spacing w:line="500" w:lineRule="exact"/>
        <w:ind w:firstLine="480" w:firstLineChars="200"/>
        <w:rPr>
          <w:rFonts w:hint="eastAsia" w:hAnsi="宋体"/>
          <w:color w:val="auto"/>
          <w:sz w:val="24"/>
          <w:szCs w:val="24"/>
          <w:highlight w:val="none"/>
        </w:rPr>
      </w:pPr>
      <w:r>
        <w:rPr>
          <w:rFonts w:hint="eastAsia" w:hAnsi="宋体"/>
          <w:color w:val="auto"/>
          <w:sz w:val="24"/>
          <w:szCs w:val="24"/>
          <w:highlight w:val="none"/>
        </w:rPr>
        <w:t>（</w:t>
      </w:r>
      <w:r>
        <w:rPr>
          <w:rFonts w:hint="eastAsia" w:hAnsi="宋体"/>
          <w:color w:val="auto"/>
          <w:sz w:val="24"/>
          <w:szCs w:val="24"/>
          <w:highlight w:val="none"/>
          <w:lang w:val="en-US" w:eastAsia="zh-CN"/>
        </w:rPr>
        <w:t>3</w:t>
      </w:r>
      <w:r>
        <w:rPr>
          <w:rFonts w:hint="eastAsia" w:hAnsi="宋体"/>
          <w:color w:val="auto"/>
          <w:sz w:val="24"/>
          <w:szCs w:val="24"/>
          <w:highlight w:val="none"/>
        </w:rPr>
        <w:t>）落实政府采购政策需满足的资格要求</w:t>
      </w:r>
      <w:r>
        <w:rPr>
          <w:rFonts w:hint="eastAsia" w:hAnsi="宋体" w:cs="宋体"/>
          <w:color w:val="auto"/>
          <w:sz w:val="24"/>
          <w:szCs w:val="24"/>
          <w:highlight w:val="none"/>
        </w:rPr>
        <w:t>；（格式见附件）</w:t>
      </w:r>
    </w:p>
    <w:p w14:paraId="4B845701">
      <w:pPr>
        <w:widowControl/>
        <w:autoSpaceDE/>
        <w:autoSpaceDN/>
        <w:adjustRightInd/>
        <w:snapToGrid w:val="0"/>
        <w:spacing w:line="460" w:lineRule="exact"/>
        <w:ind w:firstLine="482" w:firstLineChars="200"/>
        <w:jc w:val="both"/>
        <w:rPr>
          <w:rFonts w:hint="eastAsia" w:hAnsi="宋体" w:cs="宋体"/>
          <w:color w:val="auto"/>
          <w:sz w:val="24"/>
          <w:szCs w:val="24"/>
          <w:highlight w:val="none"/>
        </w:rPr>
      </w:pPr>
      <w:r>
        <w:rPr>
          <w:rFonts w:hint="eastAsia" w:hAnsi="宋体" w:cs="宋体"/>
          <w:b/>
          <w:color w:val="auto"/>
          <w:sz w:val="24"/>
          <w:szCs w:val="24"/>
          <w:highlight w:val="none"/>
        </w:rPr>
        <w:t>★注：</w:t>
      </w:r>
      <w:r>
        <w:rPr>
          <w:rFonts w:hint="eastAsia" w:hAnsi="宋体"/>
          <w:color w:val="auto"/>
          <w:sz w:val="24"/>
          <w:szCs w:val="24"/>
          <w:highlight w:val="none"/>
        </w:rPr>
        <w:t>以上证明材料中，材料要求为“</w:t>
      </w:r>
      <w:r>
        <w:rPr>
          <w:rFonts w:hint="eastAsia" w:hAnsi="宋体" w:cs="宋体"/>
          <w:color w:val="auto"/>
          <w:sz w:val="24"/>
          <w:szCs w:val="24"/>
          <w:highlight w:val="none"/>
          <w:lang w:bidi="ar"/>
        </w:rPr>
        <w:t>包括投标联合体各方</w:t>
      </w:r>
      <w:r>
        <w:rPr>
          <w:rFonts w:hint="eastAsia" w:hAnsi="宋体"/>
          <w:color w:val="auto"/>
          <w:sz w:val="24"/>
          <w:szCs w:val="24"/>
          <w:highlight w:val="none"/>
        </w:rPr>
        <w:t>”的，则投标联合体各方均须提供相关材料，仅提供联合体牵头人盖章材料的，则投标无效。</w:t>
      </w:r>
    </w:p>
    <w:p w14:paraId="59EE9433">
      <w:pPr>
        <w:snapToGrid w:val="0"/>
        <w:spacing w:line="500" w:lineRule="exact"/>
        <w:ind w:firstLine="480" w:firstLineChars="200"/>
        <w:rPr>
          <w:rFonts w:hint="eastAsia" w:hAnsi="宋体" w:cs="宋体"/>
          <w:color w:val="auto"/>
          <w:sz w:val="24"/>
          <w:szCs w:val="24"/>
          <w:highlight w:val="none"/>
          <w:lang w:bidi="ar"/>
        </w:rPr>
      </w:pPr>
    </w:p>
    <w:p w14:paraId="78FDCCBE">
      <w:pPr>
        <w:autoSpaceDE/>
        <w:autoSpaceDN/>
        <w:adjustRightInd/>
        <w:snapToGrid w:val="0"/>
        <w:spacing w:line="500" w:lineRule="exact"/>
        <w:ind w:firstLine="480" w:firstLineChars="200"/>
        <w:rPr>
          <w:rFonts w:hint="eastAsia" w:hAnsi="宋体" w:cs="宋体"/>
          <w:color w:val="auto"/>
          <w:sz w:val="24"/>
          <w:szCs w:val="24"/>
          <w:highlight w:val="none"/>
        </w:rPr>
      </w:pPr>
    </w:p>
    <w:p w14:paraId="2C661685">
      <w:pPr>
        <w:keepNext/>
        <w:keepLines/>
        <w:rPr>
          <w:rFonts w:hint="eastAsia" w:hAnsi="宋体" w:cs="宋体"/>
          <w:color w:val="auto"/>
          <w:sz w:val="24"/>
          <w:szCs w:val="24"/>
          <w:highlight w:val="none"/>
        </w:rPr>
      </w:pPr>
      <w:r>
        <w:rPr>
          <w:rFonts w:hint="eastAsia" w:hAnsi="宋体" w:cs="宋体"/>
          <w:color w:val="auto"/>
          <w:sz w:val="24"/>
          <w:szCs w:val="24"/>
          <w:highlight w:val="none"/>
        </w:rPr>
        <w:br w:type="page"/>
      </w:r>
      <w:r>
        <w:rPr>
          <w:rFonts w:hint="eastAsia" w:hAnsi="宋体" w:cs="宋体"/>
          <w:color w:val="auto"/>
          <w:sz w:val="24"/>
          <w:szCs w:val="24"/>
          <w:highlight w:val="none"/>
        </w:rPr>
        <w:t xml:space="preserve">    </w:t>
      </w:r>
      <w:r>
        <w:rPr>
          <w:rFonts w:hint="eastAsia" w:hAnsi="宋体" w:cs="宋体"/>
          <w:b/>
          <w:bCs/>
          <w:color w:val="auto"/>
          <w:sz w:val="24"/>
          <w:szCs w:val="24"/>
          <w:highlight w:val="none"/>
        </w:rPr>
        <w:t>1.投标人（包括投标联合体各方）有效期内的营业执照副本扫描件或复印件；</w:t>
      </w:r>
    </w:p>
    <w:p w14:paraId="30896045">
      <w:pPr>
        <w:spacing w:line="500" w:lineRule="exact"/>
        <w:ind w:firstLine="480"/>
        <w:jc w:val="center"/>
        <w:rPr>
          <w:rFonts w:hint="eastAsia" w:hAnsi="宋体" w:cs="宋体"/>
          <w:b/>
          <w:color w:val="auto"/>
          <w:sz w:val="24"/>
          <w:szCs w:val="24"/>
          <w:highlight w:val="none"/>
        </w:rPr>
      </w:pPr>
    </w:p>
    <w:p w14:paraId="068FA231">
      <w:pPr>
        <w:snapToGrid w:val="0"/>
        <w:spacing w:line="360" w:lineRule="auto"/>
        <w:ind w:right="480"/>
        <w:jc w:val="center"/>
        <w:rPr>
          <w:rFonts w:hint="eastAsia" w:hAnsi="宋体" w:cs="宋体"/>
          <w:b/>
          <w:color w:val="auto"/>
          <w:sz w:val="24"/>
          <w:szCs w:val="24"/>
          <w:highlight w:val="none"/>
        </w:rPr>
      </w:pPr>
      <w:r>
        <w:rPr>
          <w:rFonts w:hint="eastAsia" w:hAnsi="宋体" w:cs="宋体"/>
          <w:b/>
          <w:color w:val="auto"/>
          <w:sz w:val="24"/>
          <w:szCs w:val="24"/>
          <w:highlight w:val="none"/>
        </w:rPr>
        <w:t>2.符合参加政府采购活动应当具备的一般条件的承诺函</w:t>
      </w:r>
    </w:p>
    <w:p w14:paraId="2474E400">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（招标人）、（采购代理机构）：</w:t>
      </w:r>
    </w:p>
    <w:p w14:paraId="2A4E7E2D">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我方参与（项目名称：）【项目编号：        】政府采购活动，郑重承诺：</w:t>
      </w:r>
    </w:p>
    <w:p w14:paraId="05704B8A">
      <w:pPr>
        <w:snapToGrid w:val="0"/>
        <w:spacing w:line="500" w:lineRule="exact"/>
        <w:ind w:firstLine="360" w:firstLineChars="150"/>
        <w:rPr>
          <w:rFonts w:hint="eastAsia" w:hAnsi="宋体" w:cs="宋体"/>
          <w:color w:val="auto"/>
          <w:sz w:val="24"/>
          <w:szCs w:val="24"/>
          <w:highlight w:val="none"/>
        </w:rPr>
      </w:pPr>
      <w:r>
        <w:rPr>
          <w:rFonts w:hint="eastAsia" w:hAnsi="宋体" w:cs="宋体"/>
          <w:color w:val="auto"/>
          <w:sz w:val="24"/>
          <w:szCs w:val="24"/>
          <w:highlight w:val="none"/>
        </w:rPr>
        <w:t>（一）具备《中华人民共和国政府采购法》第二十二条第一款规定的条件：</w:t>
      </w:r>
    </w:p>
    <w:p w14:paraId="67B49DB4">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1.具有独立承担民事责任的能力；</w:t>
      </w:r>
    </w:p>
    <w:p w14:paraId="0E41BC5B">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2.具有良好的商业信誉和健全的财务会计制度； </w:t>
      </w:r>
    </w:p>
    <w:p w14:paraId="6EDF924B">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3.具有履行合同所必需的设备和专业技术能力；</w:t>
      </w:r>
    </w:p>
    <w:p w14:paraId="6A82392D">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4.有依法缴纳税收和社会保障资金的良好记录；</w:t>
      </w:r>
    </w:p>
    <w:p w14:paraId="54DA23E6">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5.参加政府采购活动前三年内，在经营活动中没有重大违法记录；</w:t>
      </w:r>
    </w:p>
    <w:p w14:paraId="6B29B7E6">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6.具有法律、行政法规规定的其他条件。</w:t>
      </w:r>
    </w:p>
    <w:p w14:paraId="47AA800C">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14:paraId="7DCFCF57">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（三）不存在以下情况：</w:t>
      </w:r>
    </w:p>
    <w:p w14:paraId="03263825">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1.单位负责人为同一人或者存在直接控股、管理关系的不同供应商参加同一合同项下的政府采购活动的；</w:t>
      </w:r>
    </w:p>
    <w:p w14:paraId="030216AB">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2.为采购项目提供整体设计、规范编制或者项目管理、监理、检测等服务后再参加该采购项目的其他采购活动的。</w:t>
      </w:r>
    </w:p>
    <w:p w14:paraId="1CFBFDD1">
      <w:pPr>
        <w:snapToGrid w:val="0"/>
        <w:spacing w:line="500" w:lineRule="exact"/>
        <w:ind w:firstLine="5520" w:firstLineChars="2300"/>
        <w:rPr>
          <w:rFonts w:hint="eastAsia" w:hAnsi="宋体" w:cs="宋体"/>
          <w:color w:val="auto"/>
          <w:sz w:val="24"/>
          <w:szCs w:val="24"/>
          <w:highlight w:val="none"/>
        </w:rPr>
      </w:pPr>
      <w:r>
        <w:rPr>
          <w:rFonts w:hint="eastAsia" w:hAnsi="宋体" w:cs="宋体"/>
          <w:color w:val="auto"/>
          <w:sz w:val="24"/>
          <w:szCs w:val="24"/>
          <w:highlight w:val="none"/>
          <w:lang w:val="zh-CN"/>
        </w:rPr>
        <w:t>投标人</w:t>
      </w:r>
      <w:r>
        <w:rPr>
          <w:rFonts w:hint="eastAsia" w:hAnsi="宋体" w:cs="宋体"/>
          <w:color w:val="auto"/>
          <w:sz w:val="24"/>
          <w:szCs w:val="24"/>
          <w:highlight w:val="none"/>
        </w:rPr>
        <w:t>全</w:t>
      </w:r>
      <w:r>
        <w:rPr>
          <w:rFonts w:hint="eastAsia" w:hAnsi="宋体" w:cs="宋体"/>
          <w:color w:val="auto"/>
          <w:sz w:val="24"/>
          <w:szCs w:val="24"/>
          <w:highlight w:val="none"/>
          <w:lang w:val="zh-CN"/>
        </w:rPr>
        <w:t>称</w:t>
      </w:r>
      <w:r>
        <w:rPr>
          <w:rFonts w:hint="eastAsia" w:hAnsi="宋体" w:cs="宋体"/>
          <w:color w:val="auto"/>
          <w:sz w:val="24"/>
          <w:szCs w:val="24"/>
          <w:highlight w:val="none"/>
        </w:rPr>
        <w:t>（盖章）</w:t>
      </w:r>
      <w:r>
        <w:rPr>
          <w:rFonts w:hint="eastAsia" w:hAnsi="宋体" w:cs="宋体"/>
          <w:color w:val="auto"/>
          <w:sz w:val="24"/>
          <w:szCs w:val="24"/>
          <w:highlight w:val="none"/>
          <w:lang w:val="zh-CN"/>
        </w:rPr>
        <w:t>：</w:t>
      </w:r>
    </w:p>
    <w:p w14:paraId="5F97E556">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lang w:val="zh-CN"/>
        </w:rPr>
        <w:t xml:space="preserve">                        </w:t>
      </w:r>
      <w:r>
        <w:rPr>
          <w:rFonts w:hint="eastAsia" w:hAnsi="宋体" w:cs="宋体"/>
          <w:color w:val="auto"/>
          <w:sz w:val="24"/>
          <w:szCs w:val="24"/>
          <w:highlight w:val="none"/>
        </w:rPr>
        <w:t xml:space="preserve">                      </w:t>
      </w:r>
      <w:r>
        <w:rPr>
          <w:rFonts w:hint="eastAsia" w:hAnsi="宋体" w:cs="宋体"/>
          <w:color w:val="auto"/>
          <w:sz w:val="24"/>
          <w:szCs w:val="24"/>
          <w:highlight w:val="none"/>
          <w:lang w:val="zh-CN"/>
        </w:rPr>
        <w:t>日期</w:t>
      </w:r>
      <w:r>
        <w:rPr>
          <w:rFonts w:hint="eastAsia" w:hAnsi="宋体" w:cs="宋体"/>
          <w:color w:val="auto"/>
          <w:sz w:val="24"/>
          <w:szCs w:val="24"/>
          <w:highlight w:val="none"/>
        </w:rPr>
        <w:t xml:space="preserve">：  年  </w:t>
      </w:r>
      <w:r>
        <w:rPr>
          <w:rFonts w:hint="eastAsia" w:hAnsi="宋体" w:cs="宋体"/>
          <w:color w:val="auto"/>
          <w:sz w:val="24"/>
          <w:szCs w:val="24"/>
          <w:highlight w:val="none"/>
          <w:lang w:val="zh-CN"/>
        </w:rPr>
        <w:t>月</w:t>
      </w:r>
      <w:r>
        <w:rPr>
          <w:rFonts w:hint="eastAsia" w:hAnsi="宋体" w:cs="宋体"/>
          <w:color w:val="auto"/>
          <w:sz w:val="24"/>
          <w:szCs w:val="24"/>
          <w:highlight w:val="none"/>
        </w:rPr>
        <w:t xml:space="preserve">   </w:t>
      </w:r>
      <w:r>
        <w:rPr>
          <w:rFonts w:hint="eastAsia" w:hAnsi="宋体" w:cs="宋体"/>
          <w:color w:val="auto"/>
          <w:sz w:val="24"/>
          <w:szCs w:val="24"/>
          <w:highlight w:val="none"/>
          <w:lang w:val="zh-CN"/>
        </w:rPr>
        <w:t>日</w:t>
      </w:r>
    </w:p>
    <w:p w14:paraId="79146AB0">
      <w:pPr>
        <w:rPr>
          <w:rFonts w:hint="eastAsia" w:hAnsi="宋体" w:cs="宋体"/>
          <w:color w:val="auto"/>
          <w:sz w:val="24"/>
          <w:szCs w:val="24"/>
          <w:highlight w:val="none"/>
        </w:rPr>
      </w:pPr>
    </w:p>
    <w:p w14:paraId="373EAC47">
      <w:pPr>
        <w:spacing w:line="500" w:lineRule="exact"/>
        <w:rPr>
          <w:rFonts w:hint="eastAsia" w:hAnsi="宋体" w:cs="宋体"/>
          <w:b/>
          <w:color w:val="auto"/>
          <w:sz w:val="24"/>
          <w:szCs w:val="24"/>
          <w:highlight w:val="none"/>
        </w:rPr>
      </w:pPr>
    </w:p>
    <w:p w14:paraId="2F570BFF">
      <w:pPr>
        <w:spacing w:line="500" w:lineRule="exact"/>
        <w:rPr>
          <w:rFonts w:hint="eastAsia" w:hAnsi="宋体" w:cs="宋体"/>
          <w:b/>
          <w:color w:val="auto"/>
          <w:sz w:val="24"/>
          <w:szCs w:val="24"/>
          <w:highlight w:val="none"/>
        </w:rPr>
      </w:pPr>
      <w:r>
        <w:rPr>
          <w:rFonts w:hint="eastAsia" w:hAnsi="宋体" w:cs="宋体"/>
          <w:color w:val="auto"/>
          <w:sz w:val="24"/>
          <w:szCs w:val="24"/>
          <w:highlight w:val="none"/>
        </w:rPr>
        <w:t>注：若为联合体投标人，由联合体投标人牵头人签字、盖章。</w:t>
      </w:r>
    </w:p>
    <w:p w14:paraId="1CD34589">
      <w:pPr>
        <w:snapToGrid w:val="0"/>
        <w:spacing w:line="360" w:lineRule="auto"/>
        <w:ind w:right="480"/>
        <w:jc w:val="center"/>
        <w:rPr>
          <w:rFonts w:hint="eastAsia" w:hAnsi="宋体" w:cs="宋体"/>
          <w:b/>
          <w:color w:val="auto"/>
          <w:sz w:val="24"/>
          <w:szCs w:val="24"/>
          <w:highlight w:val="none"/>
        </w:rPr>
      </w:pPr>
    </w:p>
    <w:p w14:paraId="42E06308">
      <w:pPr>
        <w:snapToGrid w:val="0"/>
        <w:spacing w:line="360" w:lineRule="auto"/>
        <w:ind w:right="480"/>
        <w:jc w:val="center"/>
        <w:rPr>
          <w:rFonts w:hint="eastAsia" w:hAnsi="宋体" w:cs="宋体"/>
          <w:b/>
          <w:color w:val="auto"/>
          <w:sz w:val="24"/>
          <w:szCs w:val="24"/>
          <w:highlight w:val="none"/>
        </w:rPr>
      </w:pPr>
      <w:r>
        <w:rPr>
          <w:rFonts w:hint="eastAsia" w:hAnsi="宋体" w:cs="宋体"/>
          <w:b/>
          <w:color w:val="auto"/>
          <w:sz w:val="24"/>
          <w:szCs w:val="24"/>
          <w:highlight w:val="none"/>
        </w:rPr>
        <w:br w:type="page"/>
      </w:r>
      <w:r>
        <w:rPr>
          <w:rFonts w:hint="eastAsia" w:hAnsi="宋体" w:cs="宋体"/>
          <w:b/>
          <w:color w:val="auto"/>
          <w:sz w:val="24"/>
          <w:szCs w:val="24"/>
          <w:highlight w:val="none"/>
          <w:lang w:val="en-US" w:eastAsia="zh-CN"/>
        </w:rPr>
        <w:t>2</w:t>
      </w:r>
      <w:r>
        <w:rPr>
          <w:rFonts w:hint="eastAsia" w:hAnsi="宋体" w:cs="宋体"/>
          <w:b/>
          <w:color w:val="auto"/>
          <w:sz w:val="24"/>
          <w:szCs w:val="24"/>
          <w:highlight w:val="none"/>
        </w:rPr>
        <w:t>.落实政府采购政策需满足的资格要求</w:t>
      </w:r>
    </w:p>
    <w:p w14:paraId="28870459">
      <w:pPr>
        <w:spacing w:line="500" w:lineRule="exact"/>
        <w:rPr>
          <w:rFonts w:hint="eastAsia" w:hAnsi="宋体" w:cs="宋体"/>
          <w:b/>
          <w:color w:val="auto"/>
          <w:sz w:val="24"/>
          <w:szCs w:val="24"/>
          <w:highlight w:val="none"/>
        </w:rPr>
      </w:pPr>
      <w:r>
        <w:rPr>
          <w:rFonts w:hint="eastAsia" w:hAnsi="宋体" w:cs="宋体"/>
          <w:b/>
          <w:bCs/>
          <w:color w:val="auto"/>
          <w:sz w:val="24"/>
          <w:szCs w:val="24"/>
          <w:highlight w:val="none"/>
        </w:rPr>
        <w:t>本项目专门面向中小企业（包括符合中小企业划分标准的个体工商户）采购，具体要求请详见《政府采购促进中小企业发展管理办法》（财库〔2020〕46号）、《国务院关于印发扎实稳住经济一揽子政策措施的通知》及《浙江省财政厅关于进一步发挥政府采购政策功能全力推动经济稳进提质的通知》等相关规定。此外，监狱企业、残疾人福利性单位在本项目采购活动中视同中小企业</w:t>
      </w:r>
      <w:r>
        <w:rPr>
          <w:rFonts w:hint="eastAsia" w:hAnsi="宋体" w:cs="宋体"/>
          <w:color w:val="auto"/>
          <w:sz w:val="24"/>
          <w:szCs w:val="24"/>
          <w:highlight w:val="none"/>
        </w:rPr>
        <w:t>。</w:t>
      </w:r>
    </w:p>
    <w:p w14:paraId="16E4EB04">
      <w:pPr>
        <w:jc w:val="center"/>
        <w:rPr>
          <w:rFonts w:hint="eastAsia" w:hAnsi="宋体" w:cs="宋体"/>
          <w:color w:val="auto"/>
          <w:sz w:val="24"/>
          <w:szCs w:val="24"/>
          <w:highlight w:val="none"/>
        </w:rPr>
      </w:pPr>
      <w:r>
        <w:rPr>
          <w:rFonts w:hint="eastAsia" w:hAnsi="宋体" w:cs="宋体"/>
          <w:color w:val="auto"/>
          <w:sz w:val="24"/>
          <w:szCs w:val="24"/>
          <w:highlight w:val="none"/>
        </w:rPr>
        <w:t>（1）中小企业声明函（工程、服务）</w:t>
      </w:r>
    </w:p>
    <w:p w14:paraId="2B91E95C">
      <w:pPr>
        <w:pStyle w:val="2"/>
        <w:spacing w:after="0" w:line="500" w:lineRule="exact"/>
        <w:ind w:left="0" w:leftChars="0"/>
        <w:rPr>
          <w:rFonts w:hint="eastAsia" w:ascii="宋体" w:hAnsi="宋体" w:cs="宋体"/>
          <w:color w:val="auto"/>
          <w:sz w:val="24"/>
          <w:szCs w:val="24"/>
          <w:highlight w:val="none"/>
        </w:rPr>
      </w:pPr>
      <w:r>
        <w:rPr>
          <w:rFonts w:hint="eastAsia" w:ascii="宋体" w:hAnsi="宋体" w:cs="宋体"/>
          <w:color w:val="auto"/>
          <w:sz w:val="24"/>
          <w:szCs w:val="24"/>
          <w:highlight w:val="none"/>
        </w:rPr>
        <w:t>本公司郑重声明，根据《政府采购促进中小企业发展管理办法》（财库﹝2020﹞46 号）的规定，本公司参加</w:t>
      </w:r>
      <w:r>
        <w:rPr>
          <w:rFonts w:hint="eastAsia" w:ascii="宋体" w:hAnsi="宋体" w:cs="宋体"/>
          <w:color w:val="auto"/>
          <w:sz w:val="24"/>
          <w:szCs w:val="24"/>
          <w:highlight w:val="none"/>
          <w:u w:val="single"/>
          <w:lang w:eastAsia="zh-CN"/>
        </w:rPr>
        <w:t>金华市婺城区罗埠镇人民政府</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lang w:eastAsia="zh-CN"/>
        </w:rPr>
        <w:t>金华市婺城区罗埠镇人民政府垃圾中转站运维采购</w:t>
      </w:r>
      <w:r>
        <w:rPr>
          <w:rFonts w:hint="eastAsia" w:ascii="宋体" w:hAnsi="宋体" w:cs="宋体"/>
          <w:color w:val="auto"/>
          <w:sz w:val="24"/>
          <w:szCs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2973BAAE">
      <w:pPr>
        <w:pStyle w:val="2"/>
        <w:spacing w:after="0" w:line="500" w:lineRule="exact"/>
        <w:ind w:left="0" w:leftChars="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金华市婺城区罗埠镇人民政府垃圾中转站运维采购</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（采购文件中明确的所属行业）     </w:t>
      </w:r>
      <w:r>
        <w:rPr>
          <w:rFonts w:hint="eastAsia" w:ascii="宋体" w:hAnsi="宋体" w:cs="宋体"/>
          <w:color w:val="auto"/>
          <w:sz w:val="24"/>
          <w:szCs w:val="24"/>
          <w:highlight w:val="none"/>
        </w:rPr>
        <w:t>； 承建（承接）企业为</w:t>
      </w:r>
      <w:r>
        <w:rPr>
          <w:rFonts w:hint="eastAsia" w:ascii="宋体" w:hAnsi="宋体" w:cs="宋体"/>
          <w:color w:val="auto"/>
          <w:sz w:val="24"/>
          <w:szCs w:val="24"/>
          <w:highlight w:val="none"/>
          <w:u w:val="single"/>
        </w:rPr>
        <w:t xml:space="preserve">（企业名称）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万元①，属于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 xml:space="preserve">； </w:t>
      </w:r>
    </w:p>
    <w:p w14:paraId="69EE2A5D">
      <w:pPr>
        <w:pStyle w:val="2"/>
        <w:spacing w:after="0" w:line="500" w:lineRule="exact"/>
        <w:ind w:left="0" w:leftChars="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金华市婺城区罗埠镇人民政府垃圾中转站运维采购</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 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 xml:space="preserve">； </w:t>
      </w:r>
    </w:p>
    <w:p w14:paraId="7ABCCF5F">
      <w:pPr>
        <w:pStyle w:val="2"/>
        <w:spacing w:after="0" w:line="500" w:lineRule="exact"/>
        <w:ind w:left="0" w:left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8EAFE79">
      <w:pPr>
        <w:pStyle w:val="2"/>
        <w:spacing w:after="0" w:line="500" w:lineRule="exact"/>
        <w:ind w:left="0" w:left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以上企业，不属于大企业的分支机构，不存在控股股东为大企业的情形，也不存在与大企业的负责人为同一人的情形。 </w:t>
      </w:r>
    </w:p>
    <w:p w14:paraId="42A0CA13">
      <w:pPr>
        <w:pStyle w:val="2"/>
        <w:spacing w:after="0" w:line="500" w:lineRule="exact"/>
        <w:ind w:left="0" w:left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本企业对上述声明内容的真实性负责。如有虚假，将依法承担相应责任。 </w:t>
      </w:r>
    </w:p>
    <w:p w14:paraId="67C4E5E6">
      <w:pPr>
        <w:pStyle w:val="2"/>
        <w:spacing w:line="500" w:lineRule="exact"/>
        <w:ind w:left="0" w:leftChars="0"/>
        <w:rPr>
          <w:rFonts w:hint="eastAsia" w:ascii="宋体" w:hAnsi="宋体" w:cs="宋体"/>
          <w:color w:val="auto"/>
          <w:sz w:val="24"/>
          <w:szCs w:val="24"/>
          <w:highlight w:val="none"/>
        </w:rPr>
      </w:pPr>
    </w:p>
    <w:p w14:paraId="01220A0C">
      <w:pPr>
        <w:pStyle w:val="2"/>
        <w:spacing w:line="500" w:lineRule="exact"/>
        <w:ind w:left="0" w:left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14:paraId="2475DF2C">
      <w:pPr>
        <w:pStyle w:val="2"/>
        <w:spacing w:line="500" w:lineRule="exact"/>
        <w:ind w:left="0" w:left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 期： </w:t>
      </w:r>
    </w:p>
    <w:p w14:paraId="536D03A9">
      <w:pPr>
        <w:pStyle w:val="2"/>
        <w:spacing w:line="500" w:lineRule="exact"/>
        <w:ind w:left="0" w:leftChars="0" w:firstLine="0"/>
        <w:rPr>
          <w:rFonts w:hint="eastAsia" w:ascii="宋体" w:hAnsi="宋体" w:cs="宋体"/>
          <w:color w:val="auto"/>
          <w:kern w:val="0"/>
          <w:sz w:val="24"/>
          <w:szCs w:val="24"/>
          <w:highlight w:val="none"/>
        </w:rPr>
      </w:pPr>
      <w:r>
        <w:rPr>
          <w:rFonts w:hint="eastAsia" w:ascii="宋体" w:hAnsi="宋体" w:cs="宋体"/>
          <w:b/>
          <w:color w:val="auto"/>
          <w:sz w:val="24"/>
          <w:szCs w:val="24"/>
          <w:highlight w:val="none"/>
        </w:rPr>
        <w:t>填报说明：</w:t>
      </w:r>
      <w:r>
        <w:rPr>
          <w:rFonts w:hint="eastAsia" w:ascii="宋体" w:hAnsi="宋体" w:cs="宋体"/>
          <w:color w:val="auto"/>
          <w:kern w:val="0"/>
          <w:sz w:val="24"/>
          <w:szCs w:val="24"/>
          <w:highlight w:val="none"/>
        </w:rPr>
        <w:t>①本声明函中“从业人员”“营业收入”“资产总额”填报上一年度数据，无上一年度数据的新成立企业可不填报。</w:t>
      </w:r>
    </w:p>
    <w:p w14:paraId="00E4E0FC">
      <w:pPr>
        <w:autoSpaceDE/>
        <w:autoSpaceDN/>
        <w:adjustRightInd/>
        <w:spacing w:line="440" w:lineRule="exact"/>
        <w:ind w:firstLine="480" w:firstLineChars="20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②本项目采购标的对应的中小企业划分标准所属行业为</w:t>
      </w:r>
      <w:r>
        <w:rPr>
          <w:rFonts w:hint="eastAsia" w:ascii="宋体" w:hAnsi="宋体" w:cs="宋体"/>
          <w:color w:val="auto"/>
          <w:kern w:val="0"/>
          <w:sz w:val="24"/>
          <w:szCs w:val="24"/>
          <w:highlight w:val="none"/>
          <w:lang w:bidi="ar"/>
        </w:rPr>
        <w:t>《中小企业划型标准规定》（工信部联企业〔2011〕300号）中的</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其他未列明行业</w:t>
      </w:r>
      <w:r>
        <w:rPr>
          <w:rFonts w:hint="eastAsia" w:ascii="宋体" w:hAnsi="宋体" w:cs="宋体"/>
          <w:color w:val="auto"/>
          <w:sz w:val="24"/>
          <w:szCs w:val="24"/>
          <w:highlight w:val="none"/>
        </w:rPr>
        <w:t>”，划型标准为：</w:t>
      </w:r>
    </w:p>
    <w:p w14:paraId="333DA937">
      <w:pPr>
        <w:autoSpaceDE/>
        <w:autoSpaceDN/>
        <w:adjustRightInd/>
        <w:spacing w:line="440" w:lineRule="exact"/>
        <w:ind w:firstLine="482"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建筑业：</w:t>
      </w:r>
      <w:r>
        <w:rPr>
          <w:rFonts w:hint="eastAsia" w:ascii="宋体" w:hAnsi="宋体" w:eastAsia="宋体" w:cs="宋体"/>
          <w:color w:val="auto"/>
          <w:sz w:val="24"/>
          <w:szCs w:val="24"/>
          <w:highlight w:val="none"/>
          <w:lang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B4D642F">
      <w:pPr>
        <w:autoSpaceDE/>
        <w:autoSpaceDN/>
        <w:adjustRightInd/>
        <w:spacing w:line="440" w:lineRule="exact"/>
        <w:ind w:firstLine="482"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租赁和商务服务业：</w:t>
      </w:r>
      <w:r>
        <w:rPr>
          <w:rFonts w:hint="eastAsia" w:ascii="宋体" w:hAnsi="宋体" w:eastAsia="宋体" w:cs="宋体"/>
          <w:color w:val="auto"/>
          <w:sz w:val="24"/>
          <w:szCs w:val="24"/>
          <w:highlight w:val="none"/>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663EE31">
      <w:pPr>
        <w:pStyle w:val="2"/>
        <w:spacing w:after="0" w:line="500" w:lineRule="exact"/>
        <w:ind w:left="0" w:leftChars="0"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③投标人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14:paraId="1737177A">
      <w:pPr>
        <w:spacing w:line="500" w:lineRule="exact"/>
        <w:jc w:val="center"/>
        <w:rPr>
          <w:rFonts w:hint="eastAsia" w:hAnsi="宋体" w:cs="宋体"/>
          <w:color w:val="auto"/>
          <w:sz w:val="24"/>
          <w:szCs w:val="24"/>
          <w:highlight w:val="none"/>
        </w:rPr>
      </w:pPr>
    </w:p>
    <w:p w14:paraId="590AE3B7">
      <w:pPr>
        <w:spacing w:line="500" w:lineRule="exact"/>
        <w:jc w:val="center"/>
        <w:rPr>
          <w:rFonts w:hint="eastAsia" w:hAnsi="宋体" w:cs="宋体"/>
          <w:color w:val="auto"/>
          <w:sz w:val="24"/>
          <w:szCs w:val="24"/>
          <w:highlight w:val="none"/>
        </w:rPr>
      </w:pPr>
      <w:r>
        <w:rPr>
          <w:rFonts w:hint="eastAsia" w:hAnsi="宋体" w:cs="宋体"/>
          <w:color w:val="auto"/>
          <w:sz w:val="24"/>
          <w:szCs w:val="24"/>
          <w:highlight w:val="none"/>
        </w:rPr>
        <w:t>（2）残疾人福利性单位声明函</w:t>
      </w:r>
    </w:p>
    <w:p w14:paraId="66CA06FB">
      <w:pPr>
        <w:pStyle w:val="32"/>
        <w:spacing w:line="5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2094F0">
      <w:pPr>
        <w:pStyle w:val="32"/>
        <w:spacing w:line="500" w:lineRule="exact"/>
        <w:ind w:firstLine="600"/>
        <w:rPr>
          <w:rFonts w:ascii="宋体" w:hAnsi="宋体" w:eastAsia="宋体" w:cs="宋体"/>
          <w:color w:val="auto"/>
          <w:sz w:val="24"/>
          <w:szCs w:val="24"/>
          <w:highlight w:val="none"/>
        </w:rPr>
      </w:pPr>
      <w:r>
        <w:rPr>
          <w:rFonts w:ascii="宋体" w:hAnsi="宋体" w:eastAsia="宋体" w:cs="宋体"/>
          <w:color w:val="auto"/>
          <w:sz w:val="24"/>
          <w:szCs w:val="24"/>
          <w:highlight w:val="none"/>
        </w:rPr>
        <w:t>本单位对上述声明的真实性负责。如有虚假，将依法承担相应责任。</w:t>
      </w:r>
    </w:p>
    <w:p w14:paraId="73AE6C13">
      <w:pPr>
        <w:pStyle w:val="32"/>
        <w:spacing w:line="500" w:lineRule="exact"/>
        <w:rPr>
          <w:rFonts w:ascii="宋体" w:hAnsi="宋体" w:eastAsia="宋体" w:cs="宋体"/>
          <w:color w:val="auto"/>
          <w:spacing w:val="6"/>
          <w:sz w:val="24"/>
          <w:szCs w:val="24"/>
          <w:highlight w:val="none"/>
        </w:rPr>
      </w:pPr>
    </w:p>
    <w:p w14:paraId="5FEB9C4E">
      <w:pPr>
        <w:pStyle w:val="32"/>
        <w:spacing w:line="500" w:lineRule="exact"/>
        <w:ind w:firstLine="600"/>
        <w:jc w:val="center"/>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 xml:space="preserve">               </w:t>
      </w:r>
      <w:r>
        <w:rPr>
          <w:rFonts w:ascii="宋体" w:hAnsi="宋体" w:eastAsia="宋体" w:cs="宋体"/>
          <w:color w:val="auto"/>
          <w:sz w:val="24"/>
          <w:szCs w:val="24"/>
          <w:highlight w:val="none"/>
        </w:rPr>
        <w:t>单位名称（盖章）：</w:t>
      </w:r>
    </w:p>
    <w:p w14:paraId="2DBD3ED4">
      <w:pPr>
        <w:pStyle w:val="32"/>
        <w:spacing w:line="500" w:lineRule="exact"/>
        <w:ind w:firstLine="6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日  期：</w:t>
      </w:r>
    </w:p>
    <w:p w14:paraId="2A6EC99D">
      <w:pPr>
        <w:pStyle w:val="32"/>
        <w:spacing w:line="500" w:lineRule="exact"/>
        <w:ind w:firstLine="600"/>
        <w:jc w:val="center"/>
        <w:rPr>
          <w:rFonts w:ascii="宋体" w:hAnsi="宋体" w:eastAsia="宋体" w:cs="宋体"/>
          <w:color w:val="auto"/>
          <w:sz w:val="24"/>
          <w:szCs w:val="24"/>
          <w:highlight w:val="none"/>
        </w:rPr>
      </w:pPr>
    </w:p>
    <w:p w14:paraId="371F9746">
      <w:pPr>
        <w:rPr>
          <w:rFonts w:hint="eastAsia" w:hAnsi="宋体" w:cs="宋体"/>
          <w:color w:val="auto"/>
          <w:sz w:val="24"/>
          <w:szCs w:val="24"/>
          <w:highlight w:val="none"/>
        </w:rPr>
      </w:pPr>
      <w:r>
        <w:rPr>
          <w:rFonts w:hint="eastAsia" w:hAnsi="宋体" w:cs="宋体"/>
          <w:color w:val="auto"/>
          <w:sz w:val="24"/>
          <w:szCs w:val="24"/>
          <w:highlight w:val="none"/>
        </w:rPr>
        <w:br w:type="page"/>
      </w:r>
    </w:p>
    <w:p w14:paraId="6C5CA50C">
      <w:pPr>
        <w:spacing w:line="500" w:lineRule="exact"/>
        <w:jc w:val="center"/>
        <w:rPr>
          <w:rFonts w:hint="eastAsia" w:hAnsi="宋体" w:cs="宋体"/>
          <w:color w:val="auto"/>
          <w:sz w:val="24"/>
          <w:szCs w:val="24"/>
          <w:highlight w:val="none"/>
        </w:rPr>
      </w:pPr>
      <w:r>
        <w:rPr>
          <w:rFonts w:hint="eastAsia" w:hAnsi="宋体" w:cs="宋体"/>
          <w:color w:val="auto"/>
          <w:sz w:val="24"/>
          <w:szCs w:val="24"/>
          <w:highlight w:val="none"/>
        </w:rPr>
        <w:t>（3）监狱企业证明文件</w:t>
      </w:r>
    </w:p>
    <w:p w14:paraId="7F8F18C6">
      <w:pPr>
        <w:pStyle w:val="32"/>
        <w:spacing w:line="5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33BA7431">
      <w:pPr>
        <w:snapToGrid w:val="0"/>
        <w:spacing w:before="317" w:beforeLines="50" w:after="50"/>
        <w:rPr>
          <w:rFonts w:hint="eastAsia" w:hAnsi="宋体" w:cs="宋体"/>
          <w:color w:val="auto"/>
          <w:sz w:val="24"/>
          <w:szCs w:val="24"/>
          <w:highlight w:val="none"/>
        </w:rPr>
        <w:sectPr>
          <w:pgSz w:w="11906" w:h="16838"/>
          <w:pgMar w:top="1440" w:right="1304" w:bottom="1440" w:left="1304" w:header="567" w:footer="964" w:gutter="0"/>
          <w:pgNumType w:fmt="decimal"/>
          <w:cols w:space="720" w:num="1"/>
          <w:docGrid w:type="lines" w:linePitch="634" w:charSpace="0"/>
        </w:sectPr>
      </w:pPr>
      <w:r>
        <w:rPr>
          <w:rFonts w:hint="eastAsia" w:hAnsi="宋体" w:cs="宋体"/>
          <w:color w:val="auto"/>
          <w:sz w:val="24"/>
          <w:szCs w:val="24"/>
          <w:highlight w:val="none"/>
        </w:rPr>
        <w:t xml:space="preserve">    </w:t>
      </w:r>
    </w:p>
    <w:p w14:paraId="06B7487F">
      <w:pPr>
        <w:snapToGrid w:val="0"/>
        <w:spacing w:before="317" w:beforeLines="50" w:after="50"/>
        <w:rPr>
          <w:rFonts w:hint="eastAsia" w:hAnsi="宋体" w:cs="宋体"/>
          <w:b/>
          <w:bCs/>
          <w:color w:val="auto"/>
          <w:sz w:val="24"/>
          <w:szCs w:val="24"/>
          <w:highlight w:val="none"/>
        </w:rPr>
      </w:pPr>
      <w:r>
        <w:rPr>
          <w:rFonts w:hint="eastAsia" w:hAnsi="宋体" w:cs="宋体"/>
          <w:b/>
          <w:bCs/>
          <w:color w:val="auto"/>
          <w:sz w:val="24"/>
          <w:szCs w:val="24"/>
          <w:highlight w:val="none"/>
        </w:rPr>
        <w:t>（二）商务技术文件</w:t>
      </w:r>
    </w:p>
    <w:p w14:paraId="06F89DD2">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（1）投标人技术商务标自评得分汇总表（格式内容参照技术商务评分表）；（格式见附件）</w:t>
      </w:r>
    </w:p>
    <w:p w14:paraId="4867B6C1">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（2）投标人法定代表人授权委托书（格式见附件，如法定代表人本人参加的，则提供法定代表人身份证明及法定代表人身份证复印件）；</w:t>
      </w:r>
    </w:p>
    <w:p w14:paraId="47CCE4BA">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（3）投标人情况介绍；（格式见附件）</w:t>
      </w:r>
    </w:p>
    <w:p w14:paraId="660BDCEE">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（4）投标人相关资质证书及获得的相关荣誉证书；（如有，复印件加盖单位公章）</w:t>
      </w:r>
    </w:p>
    <w:p w14:paraId="6D7F8A79">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（5）投标人202</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月1日以来承担过的同类项目服务业绩（提供合同复印件加盖单位公章）；（格式见附件）</w:t>
      </w:r>
    </w:p>
    <w:p w14:paraId="711433AD">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（6）服务条款对比表；（格式见附件）</w:t>
      </w:r>
    </w:p>
    <w:p w14:paraId="42FAE529">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（7）投标人项目组成人员一览表；（格式见附件）</w:t>
      </w:r>
    </w:p>
    <w:p w14:paraId="458E1926">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8</w:t>
      </w:r>
      <w:r>
        <w:rPr>
          <w:rFonts w:hint="eastAsia" w:hAnsi="宋体" w:cs="宋体"/>
          <w:color w:val="auto"/>
          <w:sz w:val="21"/>
          <w:szCs w:val="21"/>
          <w:highlight w:val="none"/>
        </w:rPr>
        <w:t>）评分标准及投标人认为需要提供的其他文件和说明。（格式自拟）</w:t>
      </w:r>
    </w:p>
    <w:p w14:paraId="167A900D">
      <w:pPr>
        <w:keepNext w:val="0"/>
        <w:keepLines w:val="0"/>
        <w:pageBreakBefore w:val="0"/>
        <w:widowControl w:val="0"/>
        <w:kinsoku/>
        <w:wordWrap/>
        <w:overflowPunct/>
        <w:topLinePunct w:val="0"/>
        <w:autoSpaceDE/>
        <w:autoSpaceDN/>
        <w:bidi w:val="0"/>
        <w:adjustRightInd/>
        <w:spacing w:line="440" w:lineRule="exact"/>
        <w:ind w:firstLine="480" w:firstLineChars="200"/>
        <w:jc w:val="both"/>
        <w:textAlignment w:val="auto"/>
        <w:rPr>
          <w:rFonts w:hint="eastAsia" w:hAnsi="宋体" w:cs="宋体"/>
          <w:b/>
          <w:color w:val="auto"/>
          <w:sz w:val="24"/>
          <w:szCs w:val="24"/>
          <w:highlight w:val="none"/>
        </w:rPr>
      </w:pPr>
      <w:r>
        <w:rPr>
          <w:rFonts w:hint="eastAsia" w:hAnsi="宋体" w:cs="宋体"/>
          <w:bCs/>
          <w:color w:val="auto"/>
          <w:sz w:val="24"/>
          <w:szCs w:val="24"/>
          <w:highlight w:val="none"/>
        </w:rPr>
        <w:t>★</w:t>
      </w:r>
      <w:r>
        <w:rPr>
          <w:rFonts w:hint="eastAsia" w:hAnsi="宋体" w:cs="宋体"/>
          <w:b/>
          <w:color w:val="auto"/>
          <w:sz w:val="24"/>
          <w:szCs w:val="24"/>
          <w:highlight w:val="none"/>
        </w:rPr>
        <w:t>注：</w:t>
      </w:r>
      <w:r>
        <w:rPr>
          <w:rFonts w:hint="eastAsia" w:hAnsi="宋体" w:cs="宋体"/>
          <w:b/>
          <w:bCs/>
          <w:color w:val="auto"/>
          <w:sz w:val="24"/>
          <w:szCs w:val="24"/>
          <w:highlight w:val="none"/>
        </w:rPr>
        <w:t>商务技术标</w:t>
      </w:r>
      <w:r>
        <w:rPr>
          <w:rFonts w:hint="eastAsia" w:hAnsi="宋体" w:cs="宋体"/>
          <w:b/>
          <w:color w:val="auto"/>
          <w:sz w:val="24"/>
          <w:szCs w:val="24"/>
          <w:highlight w:val="none"/>
        </w:rPr>
        <w:t>中不得含有报价的信息，否则按投标无效处理。</w:t>
      </w:r>
    </w:p>
    <w:p w14:paraId="61174899">
      <w:pPr>
        <w:autoSpaceDE/>
        <w:autoSpaceDN/>
        <w:adjustRightInd/>
        <w:spacing w:line="500" w:lineRule="exact"/>
        <w:ind w:firstLine="480" w:firstLineChars="200"/>
        <w:jc w:val="both"/>
        <w:rPr>
          <w:rFonts w:hint="eastAsia" w:hAnsi="宋体" w:cs="宋体"/>
          <w:color w:val="auto"/>
          <w:sz w:val="24"/>
          <w:szCs w:val="24"/>
          <w:highlight w:val="none"/>
        </w:rPr>
      </w:pPr>
    </w:p>
    <w:p w14:paraId="46AE5F52">
      <w:pPr>
        <w:autoSpaceDE/>
        <w:autoSpaceDN/>
        <w:adjustRightInd/>
        <w:spacing w:line="500" w:lineRule="exact"/>
        <w:ind w:firstLine="480" w:firstLineChars="200"/>
        <w:jc w:val="both"/>
        <w:rPr>
          <w:rFonts w:hint="eastAsia" w:hAnsi="宋体" w:cs="宋体"/>
          <w:color w:val="auto"/>
          <w:sz w:val="24"/>
          <w:szCs w:val="24"/>
          <w:highlight w:val="none"/>
        </w:rPr>
        <w:sectPr>
          <w:pgSz w:w="11906" w:h="16838"/>
          <w:pgMar w:top="1440" w:right="1304" w:bottom="1440" w:left="1304" w:header="567" w:footer="964" w:gutter="0"/>
          <w:pgNumType w:fmt="decimal"/>
          <w:cols w:space="720" w:num="1"/>
          <w:docGrid w:type="lines" w:linePitch="634" w:charSpace="0"/>
        </w:sectPr>
      </w:pPr>
    </w:p>
    <w:p w14:paraId="207E16F6">
      <w:pPr>
        <w:snapToGrid w:val="0"/>
        <w:spacing w:before="50" w:after="50"/>
        <w:rPr>
          <w:rFonts w:hint="eastAsia" w:hAnsi="宋体" w:cs="宋体"/>
          <w:b/>
          <w:color w:val="auto"/>
          <w:sz w:val="24"/>
          <w:szCs w:val="24"/>
          <w:highlight w:val="none"/>
        </w:rPr>
      </w:pPr>
    </w:p>
    <w:p w14:paraId="37E146E8">
      <w:pPr>
        <w:snapToGrid w:val="0"/>
        <w:spacing w:before="50" w:after="50"/>
        <w:rPr>
          <w:rFonts w:hint="eastAsia" w:hAnsi="宋体" w:cs="宋体"/>
          <w:b/>
          <w:color w:val="auto"/>
          <w:sz w:val="24"/>
          <w:szCs w:val="24"/>
          <w:highlight w:val="none"/>
        </w:rPr>
      </w:pPr>
      <w:r>
        <w:rPr>
          <w:rFonts w:hint="eastAsia" w:hAnsi="宋体" w:cs="宋体"/>
          <w:b/>
          <w:color w:val="auto"/>
          <w:sz w:val="24"/>
          <w:szCs w:val="24"/>
          <w:highlight w:val="none"/>
        </w:rPr>
        <w:t>1.投标人技术商务标自评得分汇总表（格式参照技术商务评分表，需标注对应页码）</w:t>
      </w:r>
    </w:p>
    <w:tbl>
      <w:tblPr>
        <w:tblStyle w:val="17"/>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900"/>
        <w:gridCol w:w="2401"/>
        <w:gridCol w:w="766"/>
        <w:gridCol w:w="1110"/>
        <w:gridCol w:w="2229"/>
      </w:tblGrid>
      <w:tr w14:paraId="1DA7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6" w:type="dxa"/>
            <w:noWrap w:val="0"/>
            <w:vAlign w:val="center"/>
          </w:tcPr>
          <w:p w14:paraId="30A2DE96">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1900" w:type="dxa"/>
            <w:noWrap w:val="0"/>
            <w:vAlign w:val="center"/>
          </w:tcPr>
          <w:p w14:paraId="43DD8F13">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评分项目</w:t>
            </w:r>
          </w:p>
        </w:tc>
        <w:tc>
          <w:tcPr>
            <w:tcW w:w="2401" w:type="dxa"/>
            <w:noWrap w:val="0"/>
            <w:vAlign w:val="center"/>
          </w:tcPr>
          <w:p w14:paraId="02C61FB5">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评标要点及说明</w:t>
            </w:r>
          </w:p>
        </w:tc>
        <w:tc>
          <w:tcPr>
            <w:tcW w:w="766" w:type="dxa"/>
            <w:noWrap w:val="0"/>
            <w:vAlign w:val="center"/>
          </w:tcPr>
          <w:p w14:paraId="4EBEE108">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分值</w:t>
            </w:r>
          </w:p>
        </w:tc>
        <w:tc>
          <w:tcPr>
            <w:tcW w:w="1110" w:type="dxa"/>
            <w:noWrap w:val="0"/>
            <w:vAlign w:val="center"/>
          </w:tcPr>
          <w:p w14:paraId="2E651979">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自评分</w:t>
            </w:r>
          </w:p>
        </w:tc>
        <w:tc>
          <w:tcPr>
            <w:tcW w:w="2229" w:type="dxa"/>
            <w:noWrap w:val="0"/>
            <w:vAlign w:val="center"/>
          </w:tcPr>
          <w:p w14:paraId="69F324C2">
            <w:pPr>
              <w:widowControl/>
              <w:autoSpaceDE/>
              <w:autoSpaceDN/>
              <w:adjustRightInd/>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投标文件响应页码</w:t>
            </w:r>
          </w:p>
        </w:tc>
      </w:tr>
      <w:tr w14:paraId="0A26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6" w:type="dxa"/>
            <w:noWrap w:val="0"/>
            <w:vAlign w:val="center"/>
          </w:tcPr>
          <w:p w14:paraId="773CB2E0">
            <w:pPr>
              <w:widowControl/>
              <w:autoSpaceDE/>
              <w:autoSpaceDN/>
              <w:adjustRightInd/>
              <w:snapToGrid w:val="0"/>
              <w:spacing w:line="460" w:lineRule="exact"/>
              <w:jc w:val="center"/>
              <w:rPr>
                <w:rFonts w:hint="eastAsia" w:hAnsi="宋体" w:cs="宋体"/>
                <w:color w:val="auto"/>
                <w:sz w:val="24"/>
                <w:szCs w:val="24"/>
                <w:highlight w:val="none"/>
              </w:rPr>
            </w:pPr>
          </w:p>
        </w:tc>
        <w:tc>
          <w:tcPr>
            <w:tcW w:w="1900" w:type="dxa"/>
            <w:noWrap w:val="0"/>
            <w:vAlign w:val="center"/>
          </w:tcPr>
          <w:p w14:paraId="115D7714">
            <w:pPr>
              <w:widowControl/>
              <w:autoSpaceDE/>
              <w:autoSpaceDN/>
              <w:adjustRightInd/>
              <w:snapToGrid w:val="0"/>
              <w:spacing w:line="460" w:lineRule="exact"/>
              <w:jc w:val="center"/>
              <w:rPr>
                <w:rFonts w:hint="eastAsia" w:hAnsi="宋体" w:cs="宋体"/>
                <w:color w:val="auto"/>
                <w:sz w:val="24"/>
                <w:szCs w:val="24"/>
                <w:highlight w:val="none"/>
              </w:rPr>
            </w:pPr>
          </w:p>
        </w:tc>
        <w:tc>
          <w:tcPr>
            <w:tcW w:w="2401" w:type="dxa"/>
            <w:noWrap w:val="0"/>
            <w:vAlign w:val="center"/>
          </w:tcPr>
          <w:p w14:paraId="3DA491B9">
            <w:pPr>
              <w:widowControl/>
              <w:autoSpaceDE/>
              <w:autoSpaceDN/>
              <w:adjustRightInd/>
              <w:snapToGrid w:val="0"/>
              <w:spacing w:line="460" w:lineRule="exact"/>
              <w:jc w:val="center"/>
              <w:rPr>
                <w:rFonts w:hint="eastAsia" w:hAnsi="宋体" w:cs="宋体"/>
                <w:color w:val="auto"/>
                <w:sz w:val="24"/>
                <w:szCs w:val="24"/>
                <w:highlight w:val="none"/>
              </w:rPr>
            </w:pPr>
          </w:p>
        </w:tc>
        <w:tc>
          <w:tcPr>
            <w:tcW w:w="766" w:type="dxa"/>
            <w:noWrap w:val="0"/>
            <w:vAlign w:val="center"/>
          </w:tcPr>
          <w:p w14:paraId="07E2F182">
            <w:pPr>
              <w:widowControl/>
              <w:autoSpaceDE/>
              <w:autoSpaceDN/>
              <w:adjustRightInd/>
              <w:snapToGrid w:val="0"/>
              <w:spacing w:line="460" w:lineRule="exact"/>
              <w:jc w:val="center"/>
              <w:rPr>
                <w:rFonts w:hint="eastAsia" w:hAnsi="宋体" w:cs="宋体"/>
                <w:color w:val="auto"/>
                <w:sz w:val="24"/>
                <w:szCs w:val="24"/>
                <w:highlight w:val="none"/>
              </w:rPr>
            </w:pPr>
          </w:p>
        </w:tc>
        <w:tc>
          <w:tcPr>
            <w:tcW w:w="1110" w:type="dxa"/>
            <w:noWrap w:val="0"/>
            <w:vAlign w:val="center"/>
          </w:tcPr>
          <w:p w14:paraId="255D7918">
            <w:pPr>
              <w:widowControl/>
              <w:autoSpaceDE/>
              <w:autoSpaceDN/>
              <w:adjustRightInd/>
              <w:snapToGrid w:val="0"/>
              <w:spacing w:line="460" w:lineRule="exact"/>
              <w:jc w:val="center"/>
              <w:rPr>
                <w:rFonts w:hint="eastAsia" w:hAnsi="宋体" w:cs="宋体"/>
                <w:color w:val="auto"/>
                <w:sz w:val="24"/>
                <w:szCs w:val="24"/>
                <w:highlight w:val="none"/>
              </w:rPr>
            </w:pPr>
          </w:p>
        </w:tc>
        <w:tc>
          <w:tcPr>
            <w:tcW w:w="2229" w:type="dxa"/>
            <w:noWrap w:val="0"/>
            <w:vAlign w:val="center"/>
          </w:tcPr>
          <w:p w14:paraId="7D0B3AE9">
            <w:pPr>
              <w:widowControl/>
              <w:autoSpaceDE/>
              <w:autoSpaceDN/>
              <w:adjustRightInd/>
              <w:snapToGrid w:val="0"/>
              <w:spacing w:line="460" w:lineRule="exact"/>
              <w:jc w:val="center"/>
              <w:rPr>
                <w:rFonts w:hint="eastAsia" w:hAnsi="宋体" w:cs="宋体"/>
                <w:color w:val="auto"/>
                <w:sz w:val="24"/>
                <w:szCs w:val="24"/>
                <w:highlight w:val="none"/>
              </w:rPr>
            </w:pPr>
          </w:p>
        </w:tc>
      </w:tr>
    </w:tbl>
    <w:p w14:paraId="777A1EE5">
      <w:pPr>
        <w:snapToGrid w:val="0"/>
        <w:spacing w:before="50" w:after="50"/>
        <w:rPr>
          <w:rFonts w:hint="eastAsia" w:hAnsi="宋体" w:cs="宋体"/>
          <w:color w:val="auto"/>
          <w:sz w:val="24"/>
          <w:szCs w:val="24"/>
          <w:highlight w:val="none"/>
        </w:rPr>
      </w:pPr>
    </w:p>
    <w:p w14:paraId="050F2DD5">
      <w:pPr>
        <w:spacing w:line="500" w:lineRule="exact"/>
        <w:ind w:firstLine="480"/>
        <w:jc w:val="center"/>
        <w:rPr>
          <w:rFonts w:hint="eastAsia" w:hAnsi="宋体" w:cs="宋体"/>
          <w:b/>
          <w:color w:val="auto"/>
          <w:sz w:val="24"/>
          <w:szCs w:val="24"/>
          <w:highlight w:val="none"/>
        </w:rPr>
      </w:pPr>
      <w:r>
        <w:rPr>
          <w:rFonts w:hint="eastAsia" w:hAnsi="宋体" w:cs="宋体"/>
          <w:b/>
          <w:color w:val="auto"/>
          <w:sz w:val="24"/>
          <w:szCs w:val="24"/>
          <w:highlight w:val="none"/>
        </w:rPr>
        <w:t>2.投标人（或投标联合体牵头人）法定代表人授权委托书（格式见附件，如法定代表人本人参加的，则提供法定代表人身份证明及法定代表人身份证复印件）</w:t>
      </w:r>
    </w:p>
    <w:p w14:paraId="4D0BE9FF">
      <w:pPr>
        <w:spacing w:line="500" w:lineRule="exact"/>
        <w:ind w:firstLine="480"/>
        <w:jc w:val="center"/>
        <w:rPr>
          <w:rFonts w:hint="eastAsia" w:hAnsi="宋体" w:cs="宋体"/>
          <w:b/>
          <w:color w:val="auto"/>
          <w:sz w:val="24"/>
          <w:szCs w:val="24"/>
          <w:highlight w:val="none"/>
        </w:rPr>
      </w:pPr>
      <w:r>
        <w:rPr>
          <w:rFonts w:hint="eastAsia" w:hAnsi="宋体" w:cs="宋体"/>
          <w:b/>
          <w:color w:val="auto"/>
          <w:sz w:val="24"/>
          <w:szCs w:val="24"/>
          <w:highlight w:val="none"/>
        </w:rPr>
        <w:t>2.1法定代表人授权委托书</w:t>
      </w:r>
    </w:p>
    <w:p w14:paraId="4B3C86B6">
      <w:pPr>
        <w:spacing w:line="500" w:lineRule="exact"/>
        <w:ind w:firstLine="480"/>
        <w:jc w:val="both"/>
        <w:rPr>
          <w:rFonts w:hint="eastAsia" w:hAnsi="宋体" w:cs="宋体"/>
          <w:color w:val="auto"/>
          <w:sz w:val="24"/>
          <w:szCs w:val="24"/>
          <w:highlight w:val="none"/>
        </w:rPr>
      </w:pPr>
    </w:p>
    <w:p w14:paraId="384381FB">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（招标采购单位名称）：</w:t>
      </w:r>
    </w:p>
    <w:p w14:paraId="1D3A71E5">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（姓名）系</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（投标人名称）的法定代表人，现授权委托本单位在职职工</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（姓名）以我方的名义参加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项目的投标活动，并代表我方全权办理针对上述项目的投标、开标、评标、签约等具体事务和签署相关文件。</w:t>
      </w:r>
    </w:p>
    <w:p w14:paraId="22222EFB">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我方对被授权人的签名事项负全部责任。</w:t>
      </w:r>
    </w:p>
    <w:p w14:paraId="00428EFB">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u w:val="single"/>
        </w:rPr>
        <w:t>在撤销授权的书面通知以前，本授权书一直有效。</w:t>
      </w:r>
      <w:r>
        <w:rPr>
          <w:rFonts w:hint="eastAsia" w:hAnsi="宋体" w:cs="宋体"/>
          <w:color w:val="auto"/>
          <w:sz w:val="24"/>
          <w:szCs w:val="24"/>
          <w:highlight w:val="none"/>
        </w:rPr>
        <w:t>被授权人在授权书有效期内签署的所有文件不因授权的撤销而失效。</w:t>
      </w:r>
    </w:p>
    <w:p w14:paraId="1D9482EB">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被授权人无转委托权，特此委托。</w:t>
      </w:r>
    </w:p>
    <w:p w14:paraId="6825D364">
      <w:pPr>
        <w:spacing w:line="500" w:lineRule="exact"/>
        <w:ind w:firstLine="480"/>
        <w:jc w:val="both"/>
        <w:rPr>
          <w:rFonts w:hint="eastAsia" w:hAnsi="宋体" w:cs="宋体"/>
          <w:color w:val="auto"/>
          <w:sz w:val="24"/>
          <w:szCs w:val="24"/>
          <w:highlight w:val="none"/>
        </w:rPr>
      </w:pPr>
    </w:p>
    <w:p w14:paraId="09E3E3DF">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 xml:space="preserve">被授权人（签字或盖章）：                法定代表人（签字或盖章）：          </w:t>
      </w:r>
    </w:p>
    <w:p w14:paraId="451E598B">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 xml:space="preserve">职务：                                   职务：           </w:t>
      </w:r>
    </w:p>
    <w:p w14:paraId="106F6511">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 xml:space="preserve">被授权人身份证号码：                              </w:t>
      </w:r>
    </w:p>
    <w:p w14:paraId="76C98A5C">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 xml:space="preserve">                                     投标人全称（公章）：</w:t>
      </w:r>
    </w:p>
    <w:p w14:paraId="4768ADEC">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 xml:space="preserve">                                     日期：  年  月   日</w:t>
      </w:r>
    </w:p>
    <w:p w14:paraId="375500D5">
      <w:pPr>
        <w:spacing w:line="500" w:lineRule="exact"/>
        <w:ind w:firstLine="2880" w:firstLineChars="1200"/>
        <w:jc w:val="both"/>
        <w:rPr>
          <w:rFonts w:hint="eastAsia" w:hAnsi="宋体" w:cs="宋体"/>
          <w:color w:val="auto"/>
          <w:sz w:val="24"/>
          <w:szCs w:val="24"/>
          <w:highlight w:val="none"/>
          <w:u w:val="single"/>
        </w:rPr>
      </w:pPr>
    </w:p>
    <w:p w14:paraId="78B0A7C1">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法定代表人身份证（正反面）复印件粘贴处</w:t>
      </w:r>
    </w:p>
    <w:p w14:paraId="57E7575E">
      <w:pPr>
        <w:spacing w:line="500" w:lineRule="exact"/>
        <w:ind w:firstLine="480"/>
        <w:jc w:val="both"/>
        <w:rPr>
          <w:rFonts w:hint="eastAsia" w:hAnsi="宋体" w:cs="宋体"/>
          <w:color w:val="auto"/>
          <w:sz w:val="24"/>
          <w:szCs w:val="24"/>
          <w:highlight w:val="none"/>
        </w:rPr>
      </w:pPr>
    </w:p>
    <w:p w14:paraId="05A58FD3">
      <w:pPr>
        <w:spacing w:line="500" w:lineRule="exact"/>
        <w:ind w:firstLine="480"/>
        <w:jc w:val="both"/>
        <w:rPr>
          <w:rFonts w:hint="eastAsia" w:hAnsi="宋体" w:cs="宋体"/>
          <w:color w:val="auto"/>
          <w:sz w:val="24"/>
          <w:szCs w:val="24"/>
          <w:highlight w:val="none"/>
        </w:rPr>
      </w:pPr>
      <w:r>
        <w:rPr>
          <w:rFonts w:hint="eastAsia" w:hAnsi="宋体" w:cs="宋体"/>
          <w:color w:val="auto"/>
          <w:sz w:val="24"/>
          <w:szCs w:val="24"/>
          <w:highlight w:val="none"/>
        </w:rPr>
        <w:t>授权代表身份证（正反面）复印件粘贴处</w:t>
      </w:r>
    </w:p>
    <w:p w14:paraId="58553884">
      <w:pPr>
        <w:spacing w:line="500" w:lineRule="exact"/>
        <w:jc w:val="both"/>
        <w:rPr>
          <w:rFonts w:hint="eastAsia" w:hAnsi="宋体" w:cs="宋体"/>
          <w:color w:val="auto"/>
          <w:sz w:val="24"/>
          <w:szCs w:val="24"/>
          <w:highlight w:val="none"/>
          <w:u w:val="single"/>
        </w:rPr>
      </w:pPr>
    </w:p>
    <w:p w14:paraId="554BF55C">
      <w:pPr>
        <w:widowControl/>
        <w:autoSpaceDE/>
        <w:autoSpaceDN/>
        <w:adjustRightInd/>
        <w:spacing w:line="500" w:lineRule="exact"/>
        <w:jc w:val="center"/>
        <w:rPr>
          <w:rFonts w:hint="eastAsia" w:hAnsi="宋体" w:cs="宋体"/>
          <w:b/>
          <w:bCs/>
          <w:color w:val="auto"/>
          <w:sz w:val="24"/>
          <w:szCs w:val="24"/>
          <w:highlight w:val="none"/>
        </w:rPr>
      </w:pPr>
    </w:p>
    <w:p w14:paraId="5A5D1A91">
      <w:pPr>
        <w:widowControl/>
        <w:autoSpaceDE/>
        <w:autoSpaceDN/>
        <w:adjustRightInd/>
        <w:spacing w:line="500" w:lineRule="exact"/>
        <w:ind w:firstLine="480"/>
        <w:jc w:val="center"/>
        <w:rPr>
          <w:rFonts w:hint="eastAsia" w:hAnsi="宋体" w:cs="宋体"/>
          <w:b/>
          <w:color w:val="auto"/>
          <w:sz w:val="24"/>
          <w:szCs w:val="24"/>
          <w:highlight w:val="none"/>
        </w:rPr>
      </w:pPr>
      <w:r>
        <w:rPr>
          <w:rFonts w:hint="eastAsia" w:hAnsi="宋体" w:cs="宋体"/>
          <w:b/>
          <w:color w:val="auto"/>
          <w:sz w:val="24"/>
          <w:szCs w:val="24"/>
          <w:highlight w:val="none"/>
        </w:rPr>
        <w:t>2.2法定代表人身份证明（法定代表人本人参加时提供）</w:t>
      </w:r>
    </w:p>
    <w:p w14:paraId="63E061F4">
      <w:pPr>
        <w:widowControl/>
        <w:autoSpaceDE/>
        <w:autoSpaceDN/>
        <w:adjustRightInd/>
        <w:spacing w:line="500" w:lineRule="exact"/>
        <w:rPr>
          <w:rFonts w:hint="eastAsia" w:hAnsi="宋体" w:cs="宋体"/>
          <w:color w:val="auto"/>
          <w:sz w:val="24"/>
          <w:szCs w:val="24"/>
          <w:highlight w:val="none"/>
        </w:rPr>
      </w:pPr>
    </w:p>
    <w:p w14:paraId="2EC1480D">
      <w:pPr>
        <w:widowControl/>
        <w:autoSpaceDE/>
        <w:autoSpaceDN/>
        <w:adjustRightInd/>
        <w:spacing w:line="500" w:lineRule="exact"/>
        <w:rPr>
          <w:rFonts w:hint="eastAsia" w:hAnsi="宋体" w:cs="宋体"/>
          <w:color w:val="auto"/>
          <w:sz w:val="24"/>
          <w:szCs w:val="24"/>
          <w:highlight w:val="none"/>
        </w:rPr>
      </w:pPr>
      <w:r>
        <w:rPr>
          <w:rFonts w:hint="eastAsia" w:hAnsi="宋体" w:cs="宋体"/>
          <w:color w:val="auto"/>
          <w:sz w:val="24"/>
          <w:szCs w:val="24"/>
          <w:highlight w:val="none"/>
        </w:rPr>
        <w:t>（招标采购单位名称）：</w:t>
      </w:r>
    </w:p>
    <w:p w14:paraId="3FF058E8">
      <w:pPr>
        <w:widowControl/>
        <w:autoSpaceDE/>
        <w:autoSpaceDN/>
        <w:adjustRightInd/>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姓名：</w:t>
      </w:r>
      <w:r>
        <w:rPr>
          <w:rFonts w:hint="eastAsia" w:hAnsi="宋体" w:cs="宋体"/>
          <w:color w:val="auto"/>
          <w:sz w:val="24"/>
          <w:szCs w:val="24"/>
          <w:highlight w:val="none"/>
          <w:u w:val="single"/>
        </w:rPr>
        <w:t>　    　</w:t>
      </w:r>
      <w:r>
        <w:rPr>
          <w:rFonts w:hint="eastAsia" w:hAnsi="宋体" w:cs="宋体"/>
          <w:color w:val="auto"/>
          <w:sz w:val="24"/>
          <w:szCs w:val="24"/>
          <w:highlight w:val="none"/>
        </w:rPr>
        <w:t xml:space="preserve">   性别：</w:t>
      </w:r>
      <w:r>
        <w:rPr>
          <w:rFonts w:hint="eastAsia" w:hAnsi="宋体" w:cs="宋体"/>
          <w:color w:val="auto"/>
          <w:sz w:val="24"/>
          <w:szCs w:val="24"/>
          <w:highlight w:val="none"/>
          <w:u w:val="single"/>
        </w:rPr>
        <w:t>　   　</w:t>
      </w:r>
      <w:r>
        <w:rPr>
          <w:rFonts w:hint="eastAsia" w:hAnsi="宋体" w:cs="宋体"/>
          <w:color w:val="auto"/>
          <w:sz w:val="24"/>
          <w:szCs w:val="24"/>
          <w:highlight w:val="none"/>
        </w:rPr>
        <w:t xml:space="preserve">  年龄：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职务：</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身份证号码：</w:t>
      </w:r>
      <w:r>
        <w:rPr>
          <w:rFonts w:hint="eastAsia" w:hAnsi="宋体" w:cs="宋体"/>
          <w:color w:val="auto"/>
          <w:sz w:val="24"/>
          <w:szCs w:val="24"/>
          <w:highlight w:val="none"/>
          <w:u w:val="single"/>
        </w:rPr>
        <w:t>　            　</w:t>
      </w:r>
      <w:r>
        <w:rPr>
          <w:rFonts w:hint="eastAsia" w:hAnsi="宋体" w:cs="宋体"/>
          <w:color w:val="auto"/>
          <w:sz w:val="24"/>
          <w:szCs w:val="24"/>
          <w:highlight w:val="none"/>
        </w:rPr>
        <w:t>系</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（投标人全称）的法定代表人。</w:t>
      </w:r>
    </w:p>
    <w:p w14:paraId="68A1FF02">
      <w:pPr>
        <w:widowControl/>
        <w:autoSpaceDE/>
        <w:autoSpaceDN/>
        <w:adjustRightInd/>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特此证明。</w:t>
      </w:r>
    </w:p>
    <w:p w14:paraId="60A98641">
      <w:pPr>
        <w:widowControl/>
        <w:autoSpaceDE/>
        <w:autoSpaceDN/>
        <w:adjustRightInd/>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法定代表人身份证（正反面）复印件粘贴处</w:t>
      </w:r>
    </w:p>
    <w:p w14:paraId="69E46A04">
      <w:pPr>
        <w:widowControl/>
        <w:autoSpaceDE/>
        <w:autoSpaceDN/>
        <w:adjustRightInd/>
        <w:spacing w:line="500" w:lineRule="exact"/>
        <w:ind w:firstLine="5280" w:firstLineChars="2200"/>
        <w:rPr>
          <w:rFonts w:hint="eastAsia" w:hAnsi="宋体" w:cs="宋体"/>
          <w:color w:val="auto"/>
          <w:sz w:val="24"/>
          <w:szCs w:val="24"/>
          <w:highlight w:val="none"/>
        </w:rPr>
      </w:pPr>
    </w:p>
    <w:p w14:paraId="24EE1132">
      <w:pPr>
        <w:widowControl/>
        <w:autoSpaceDE/>
        <w:autoSpaceDN/>
        <w:adjustRightInd/>
        <w:spacing w:line="500" w:lineRule="exact"/>
        <w:ind w:firstLine="5280" w:firstLineChars="2200"/>
        <w:rPr>
          <w:rFonts w:hint="eastAsia" w:hAnsi="宋体" w:cs="宋体"/>
          <w:color w:val="auto"/>
          <w:sz w:val="24"/>
          <w:szCs w:val="24"/>
          <w:highlight w:val="none"/>
        </w:rPr>
      </w:pPr>
    </w:p>
    <w:p w14:paraId="648A6286">
      <w:pPr>
        <w:widowControl/>
        <w:autoSpaceDE/>
        <w:autoSpaceDN/>
        <w:adjustRightInd/>
        <w:spacing w:line="500" w:lineRule="exact"/>
        <w:ind w:firstLine="5280" w:firstLineChars="2200"/>
        <w:rPr>
          <w:rFonts w:hint="eastAsia" w:hAnsi="宋体" w:cs="宋体"/>
          <w:color w:val="auto"/>
          <w:sz w:val="24"/>
          <w:szCs w:val="24"/>
          <w:highlight w:val="none"/>
        </w:rPr>
      </w:pPr>
    </w:p>
    <w:p w14:paraId="1CF53178">
      <w:pPr>
        <w:widowControl/>
        <w:autoSpaceDE/>
        <w:autoSpaceDN/>
        <w:adjustRightInd/>
        <w:spacing w:line="500" w:lineRule="exact"/>
        <w:ind w:firstLine="5280" w:firstLineChars="2200"/>
        <w:rPr>
          <w:rFonts w:hint="eastAsia" w:hAnsi="宋体" w:cs="宋体"/>
          <w:color w:val="auto"/>
          <w:sz w:val="24"/>
          <w:szCs w:val="24"/>
          <w:highlight w:val="none"/>
        </w:rPr>
      </w:pPr>
    </w:p>
    <w:p w14:paraId="190C6269">
      <w:pPr>
        <w:widowControl/>
        <w:autoSpaceDE/>
        <w:autoSpaceDN/>
        <w:adjustRightInd/>
        <w:spacing w:line="500" w:lineRule="exact"/>
        <w:ind w:firstLine="5280" w:firstLineChars="2200"/>
        <w:rPr>
          <w:rFonts w:hint="eastAsia" w:hAnsi="宋体" w:cs="宋体"/>
          <w:color w:val="auto"/>
          <w:sz w:val="24"/>
          <w:szCs w:val="24"/>
          <w:highlight w:val="none"/>
        </w:rPr>
      </w:pPr>
    </w:p>
    <w:p w14:paraId="4261D54D">
      <w:pPr>
        <w:widowControl/>
        <w:autoSpaceDE/>
        <w:autoSpaceDN/>
        <w:adjustRightInd/>
        <w:spacing w:line="500" w:lineRule="exact"/>
        <w:ind w:firstLine="5280" w:firstLineChars="2200"/>
        <w:rPr>
          <w:rFonts w:hint="eastAsia" w:hAnsi="宋体" w:cs="宋体"/>
          <w:color w:val="auto"/>
          <w:sz w:val="24"/>
          <w:szCs w:val="24"/>
          <w:highlight w:val="none"/>
        </w:rPr>
      </w:pPr>
      <w:r>
        <w:rPr>
          <w:rFonts w:hint="eastAsia" w:hAnsi="宋体" w:cs="宋体"/>
          <w:color w:val="auto"/>
          <w:sz w:val="24"/>
          <w:szCs w:val="24"/>
          <w:highlight w:val="none"/>
        </w:rPr>
        <w:t>投标人全称（公章）：</w:t>
      </w:r>
    </w:p>
    <w:p w14:paraId="21E1EE0E">
      <w:pPr>
        <w:snapToGrid w:val="0"/>
        <w:spacing w:before="50" w:after="50"/>
        <w:jc w:val="center"/>
        <w:rPr>
          <w:rFonts w:hint="eastAsia" w:hAnsi="宋体" w:cs="宋体"/>
          <w:color w:val="auto"/>
          <w:sz w:val="24"/>
          <w:szCs w:val="24"/>
          <w:highlight w:val="none"/>
        </w:rPr>
      </w:pP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日期：  年  月   日</w:t>
      </w:r>
    </w:p>
    <w:p w14:paraId="3A63B3DC">
      <w:pPr>
        <w:snapToGrid w:val="0"/>
        <w:spacing w:before="50" w:after="50"/>
        <w:jc w:val="center"/>
        <w:rPr>
          <w:rFonts w:hint="eastAsia" w:hAnsi="宋体" w:cs="宋体"/>
          <w:color w:val="auto"/>
          <w:sz w:val="24"/>
          <w:szCs w:val="24"/>
          <w:highlight w:val="none"/>
        </w:rPr>
      </w:pPr>
    </w:p>
    <w:p w14:paraId="3F4C4FAB">
      <w:pPr>
        <w:snapToGrid w:val="0"/>
        <w:spacing w:before="50" w:after="50"/>
        <w:jc w:val="center"/>
        <w:rPr>
          <w:rFonts w:hint="eastAsia" w:hAnsi="宋体" w:cs="宋体"/>
          <w:color w:val="auto"/>
          <w:sz w:val="24"/>
          <w:szCs w:val="24"/>
          <w:highlight w:val="none"/>
        </w:rPr>
      </w:pPr>
    </w:p>
    <w:p w14:paraId="0232F51B">
      <w:pPr>
        <w:snapToGrid w:val="0"/>
        <w:spacing w:before="50" w:after="50"/>
        <w:jc w:val="center"/>
        <w:rPr>
          <w:rFonts w:hint="eastAsia" w:hAnsi="宋体" w:cs="宋体"/>
          <w:color w:val="auto"/>
          <w:sz w:val="24"/>
          <w:szCs w:val="24"/>
          <w:highlight w:val="none"/>
        </w:rPr>
      </w:pPr>
    </w:p>
    <w:p w14:paraId="6260E618">
      <w:pPr>
        <w:snapToGrid w:val="0"/>
        <w:spacing w:before="50" w:after="50"/>
        <w:jc w:val="center"/>
        <w:rPr>
          <w:rFonts w:hint="eastAsia" w:hAnsi="宋体" w:cs="宋体"/>
          <w:color w:val="auto"/>
          <w:sz w:val="24"/>
          <w:szCs w:val="24"/>
          <w:highlight w:val="none"/>
        </w:rPr>
      </w:pPr>
    </w:p>
    <w:p w14:paraId="25AD5339">
      <w:pPr>
        <w:snapToGrid w:val="0"/>
        <w:spacing w:before="50" w:after="50"/>
        <w:jc w:val="center"/>
        <w:rPr>
          <w:rFonts w:hint="eastAsia" w:hAnsi="宋体" w:cs="宋体"/>
          <w:color w:val="auto"/>
          <w:sz w:val="24"/>
          <w:szCs w:val="24"/>
          <w:highlight w:val="none"/>
        </w:rPr>
      </w:pPr>
    </w:p>
    <w:p w14:paraId="4FE9F04C">
      <w:pPr>
        <w:snapToGrid w:val="0"/>
        <w:spacing w:before="50" w:after="50"/>
        <w:jc w:val="center"/>
        <w:rPr>
          <w:rFonts w:hint="eastAsia" w:hAnsi="宋体" w:cs="宋体"/>
          <w:color w:val="auto"/>
          <w:sz w:val="24"/>
          <w:szCs w:val="24"/>
          <w:highlight w:val="none"/>
        </w:rPr>
      </w:pPr>
    </w:p>
    <w:p w14:paraId="79F2BFBD">
      <w:pPr>
        <w:snapToGrid w:val="0"/>
        <w:spacing w:before="50" w:after="50"/>
        <w:jc w:val="center"/>
        <w:rPr>
          <w:rFonts w:hint="eastAsia" w:hAnsi="宋体" w:cs="宋体"/>
          <w:color w:val="auto"/>
          <w:sz w:val="24"/>
          <w:szCs w:val="24"/>
          <w:highlight w:val="none"/>
        </w:rPr>
      </w:pPr>
    </w:p>
    <w:p w14:paraId="25131065">
      <w:pPr>
        <w:snapToGrid w:val="0"/>
        <w:spacing w:before="50" w:after="50"/>
        <w:jc w:val="center"/>
        <w:rPr>
          <w:rFonts w:hint="eastAsia" w:hAnsi="宋体" w:cs="宋体"/>
          <w:color w:val="auto"/>
          <w:sz w:val="24"/>
          <w:szCs w:val="24"/>
          <w:highlight w:val="none"/>
        </w:rPr>
      </w:pPr>
    </w:p>
    <w:p w14:paraId="782A3C1B">
      <w:pPr>
        <w:snapToGrid w:val="0"/>
        <w:spacing w:before="50" w:after="50"/>
        <w:jc w:val="center"/>
        <w:rPr>
          <w:rFonts w:hint="eastAsia" w:hAnsi="宋体" w:cs="宋体"/>
          <w:color w:val="auto"/>
          <w:sz w:val="24"/>
          <w:szCs w:val="24"/>
          <w:highlight w:val="none"/>
        </w:rPr>
      </w:pPr>
    </w:p>
    <w:p w14:paraId="1BB859B7">
      <w:pPr>
        <w:snapToGrid w:val="0"/>
        <w:spacing w:before="50" w:after="50"/>
        <w:jc w:val="center"/>
        <w:rPr>
          <w:rFonts w:hint="eastAsia" w:hAnsi="宋体" w:cs="宋体"/>
          <w:color w:val="auto"/>
          <w:sz w:val="24"/>
          <w:szCs w:val="24"/>
          <w:highlight w:val="none"/>
        </w:rPr>
      </w:pPr>
    </w:p>
    <w:p w14:paraId="001F5FC9">
      <w:pPr>
        <w:snapToGrid w:val="0"/>
        <w:spacing w:before="50" w:after="50"/>
        <w:jc w:val="center"/>
        <w:rPr>
          <w:rFonts w:hint="eastAsia" w:hAnsi="宋体" w:cs="宋体"/>
          <w:color w:val="auto"/>
          <w:sz w:val="24"/>
          <w:szCs w:val="24"/>
          <w:highlight w:val="none"/>
        </w:rPr>
      </w:pPr>
    </w:p>
    <w:p w14:paraId="6A64C674">
      <w:pPr>
        <w:snapToGrid w:val="0"/>
        <w:spacing w:before="50" w:after="50"/>
        <w:jc w:val="center"/>
        <w:rPr>
          <w:rFonts w:hint="eastAsia" w:hAnsi="宋体" w:cs="宋体"/>
          <w:color w:val="auto"/>
          <w:sz w:val="24"/>
          <w:szCs w:val="24"/>
          <w:highlight w:val="none"/>
        </w:rPr>
      </w:pPr>
    </w:p>
    <w:p w14:paraId="11EFFD6C">
      <w:pPr>
        <w:snapToGrid w:val="0"/>
        <w:spacing w:before="50" w:after="50"/>
        <w:jc w:val="center"/>
        <w:rPr>
          <w:rFonts w:hint="eastAsia" w:hAnsi="宋体" w:cs="宋体"/>
          <w:color w:val="auto"/>
          <w:sz w:val="24"/>
          <w:szCs w:val="24"/>
          <w:highlight w:val="none"/>
        </w:rPr>
      </w:pPr>
    </w:p>
    <w:p w14:paraId="78E210BB">
      <w:pPr>
        <w:snapToGrid w:val="0"/>
        <w:spacing w:before="50" w:after="50"/>
        <w:jc w:val="center"/>
        <w:rPr>
          <w:rFonts w:hint="eastAsia" w:hAnsi="宋体" w:cs="宋体"/>
          <w:color w:val="auto"/>
          <w:sz w:val="24"/>
          <w:szCs w:val="24"/>
          <w:highlight w:val="none"/>
        </w:rPr>
      </w:pPr>
    </w:p>
    <w:p w14:paraId="7F6E79BF">
      <w:pPr>
        <w:snapToGrid w:val="0"/>
        <w:spacing w:before="50" w:after="50"/>
        <w:jc w:val="center"/>
        <w:rPr>
          <w:rFonts w:hint="eastAsia" w:hAnsi="宋体" w:cs="宋体"/>
          <w:color w:val="auto"/>
          <w:sz w:val="24"/>
          <w:szCs w:val="24"/>
          <w:highlight w:val="none"/>
        </w:rPr>
        <w:sectPr>
          <w:pgSz w:w="11906" w:h="16838"/>
          <w:pgMar w:top="1440" w:right="1304" w:bottom="1440" w:left="1304" w:header="567" w:footer="964" w:gutter="0"/>
          <w:pgNumType w:fmt="decimal"/>
          <w:cols w:space="720" w:num="1"/>
          <w:docGrid w:type="lines" w:linePitch="634" w:charSpace="0"/>
        </w:sectPr>
      </w:pPr>
    </w:p>
    <w:p w14:paraId="41988B6F">
      <w:pPr>
        <w:snapToGrid w:val="0"/>
        <w:spacing w:before="50" w:after="50"/>
        <w:jc w:val="center"/>
        <w:rPr>
          <w:rFonts w:hint="eastAsia" w:hAnsi="宋体" w:cs="宋体"/>
          <w:b/>
          <w:color w:val="auto"/>
          <w:sz w:val="24"/>
          <w:szCs w:val="24"/>
          <w:highlight w:val="none"/>
        </w:rPr>
      </w:pPr>
      <w:r>
        <w:rPr>
          <w:rFonts w:hint="eastAsia" w:hAnsi="宋体" w:cs="宋体"/>
          <w:color w:val="auto"/>
          <w:sz w:val="24"/>
          <w:szCs w:val="24"/>
          <w:highlight w:val="none"/>
        </w:rPr>
        <w:t>3.</w:t>
      </w:r>
      <w:r>
        <w:rPr>
          <w:rFonts w:hint="eastAsia" w:hAnsi="宋体" w:cs="宋体"/>
          <w:b/>
          <w:color w:val="auto"/>
          <w:sz w:val="24"/>
          <w:szCs w:val="22"/>
          <w:highlight w:val="none"/>
        </w:rPr>
        <w:t>投标人（包括投标联合体各方）情况介绍</w:t>
      </w:r>
    </w:p>
    <w:tbl>
      <w:tblPr>
        <w:tblStyle w:val="17"/>
        <w:tblW w:w="9450" w:type="dxa"/>
        <w:jc w:val="center"/>
        <w:tblLayout w:type="fixed"/>
        <w:tblCellMar>
          <w:top w:w="0" w:type="dxa"/>
          <w:left w:w="108" w:type="dxa"/>
          <w:bottom w:w="0" w:type="dxa"/>
          <w:right w:w="108" w:type="dxa"/>
        </w:tblCellMar>
      </w:tblPr>
      <w:tblGrid>
        <w:gridCol w:w="1980"/>
        <w:gridCol w:w="3443"/>
        <w:gridCol w:w="877"/>
        <w:gridCol w:w="650"/>
        <w:gridCol w:w="2500"/>
      </w:tblGrid>
      <w:tr w14:paraId="10E294E2">
        <w:tblPrEx>
          <w:tblCellMar>
            <w:top w:w="0" w:type="dxa"/>
            <w:left w:w="108" w:type="dxa"/>
            <w:bottom w:w="0" w:type="dxa"/>
            <w:right w:w="108" w:type="dxa"/>
          </w:tblCellMar>
        </w:tblPrEx>
        <w:trPr>
          <w:trHeight w:val="732"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77F06DCE">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单位名称</w:t>
            </w:r>
          </w:p>
        </w:tc>
        <w:tc>
          <w:tcPr>
            <w:tcW w:w="3443" w:type="dxa"/>
            <w:tcBorders>
              <w:top w:val="single" w:color="auto" w:sz="4" w:space="0"/>
              <w:left w:val="nil"/>
              <w:bottom w:val="single" w:color="auto" w:sz="4" w:space="0"/>
              <w:right w:val="single" w:color="auto" w:sz="4" w:space="0"/>
            </w:tcBorders>
            <w:noWrap w:val="0"/>
            <w:vAlign w:val="center"/>
          </w:tcPr>
          <w:p w14:paraId="413C8071">
            <w:pPr>
              <w:spacing w:line="460" w:lineRule="exact"/>
              <w:rPr>
                <w:rFonts w:hint="eastAsia" w:hAnsi="宋体" w:cs="宋体"/>
                <w:color w:val="auto"/>
                <w:sz w:val="24"/>
                <w:szCs w:val="24"/>
                <w:highlight w:val="none"/>
              </w:rPr>
            </w:pPr>
          </w:p>
        </w:tc>
        <w:tc>
          <w:tcPr>
            <w:tcW w:w="1527" w:type="dxa"/>
            <w:gridSpan w:val="2"/>
            <w:tcBorders>
              <w:top w:val="single" w:color="auto" w:sz="4" w:space="0"/>
              <w:left w:val="nil"/>
              <w:bottom w:val="single" w:color="auto" w:sz="4" w:space="0"/>
              <w:right w:val="single" w:color="auto" w:sz="4" w:space="0"/>
            </w:tcBorders>
            <w:noWrap w:val="0"/>
            <w:vAlign w:val="center"/>
          </w:tcPr>
          <w:p w14:paraId="6D2CDDD8">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注册资金</w:t>
            </w:r>
          </w:p>
        </w:tc>
        <w:tc>
          <w:tcPr>
            <w:tcW w:w="2500" w:type="dxa"/>
            <w:tcBorders>
              <w:top w:val="single" w:color="auto" w:sz="4" w:space="0"/>
              <w:left w:val="nil"/>
              <w:bottom w:val="single" w:color="auto" w:sz="4" w:space="0"/>
              <w:right w:val="single" w:color="auto" w:sz="4" w:space="0"/>
            </w:tcBorders>
            <w:noWrap w:val="0"/>
            <w:vAlign w:val="center"/>
          </w:tcPr>
          <w:p w14:paraId="6E824C4D">
            <w:pPr>
              <w:spacing w:line="460" w:lineRule="exact"/>
              <w:rPr>
                <w:rFonts w:hint="eastAsia" w:hAnsi="宋体" w:cs="宋体"/>
                <w:color w:val="auto"/>
                <w:sz w:val="24"/>
                <w:szCs w:val="24"/>
                <w:highlight w:val="none"/>
              </w:rPr>
            </w:pPr>
          </w:p>
        </w:tc>
      </w:tr>
      <w:tr w14:paraId="134B7D08">
        <w:tblPrEx>
          <w:tblCellMar>
            <w:top w:w="0" w:type="dxa"/>
            <w:left w:w="108" w:type="dxa"/>
            <w:bottom w:w="0" w:type="dxa"/>
            <w:right w:w="108" w:type="dxa"/>
          </w:tblCellMar>
        </w:tblPrEx>
        <w:trPr>
          <w:trHeight w:val="708"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5F1AAFFA">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单位详细地址</w:t>
            </w:r>
          </w:p>
        </w:tc>
        <w:tc>
          <w:tcPr>
            <w:tcW w:w="7470" w:type="dxa"/>
            <w:gridSpan w:val="4"/>
            <w:tcBorders>
              <w:top w:val="single" w:color="auto" w:sz="4" w:space="0"/>
              <w:left w:val="nil"/>
              <w:bottom w:val="single" w:color="auto" w:sz="4" w:space="0"/>
              <w:right w:val="single" w:color="auto" w:sz="4" w:space="0"/>
            </w:tcBorders>
            <w:noWrap w:val="0"/>
            <w:vAlign w:val="center"/>
          </w:tcPr>
          <w:p w14:paraId="6D0AD4F5">
            <w:pPr>
              <w:spacing w:line="460" w:lineRule="exact"/>
              <w:rPr>
                <w:rFonts w:hint="eastAsia" w:hAnsi="宋体" w:cs="宋体"/>
                <w:color w:val="auto"/>
                <w:sz w:val="24"/>
                <w:szCs w:val="24"/>
                <w:highlight w:val="none"/>
              </w:rPr>
            </w:pPr>
          </w:p>
        </w:tc>
      </w:tr>
      <w:tr w14:paraId="6F851675">
        <w:tblPrEx>
          <w:tblCellMar>
            <w:top w:w="0" w:type="dxa"/>
            <w:left w:w="108" w:type="dxa"/>
            <w:bottom w:w="0" w:type="dxa"/>
            <w:right w:w="108" w:type="dxa"/>
          </w:tblCellMar>
        </w:tblPrEx>
        <w:trPr>
          <w:cantSplit/>
          <w:trHeight w:val="49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121FB050">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营业执照注册号</w:t>
            </w:r>
          </w:p>
        </w:tc>
        <w:tc>
          <w:tcPr>
            <w:tcW w:w="7470" w:type="dxa"/>
            <w:gridSpan w:val="4"/>
            <w:tcBorders>
              <w:top w:val="single" w:color="auto" w:sz="4" w:space="0"/>
              <w:left w:val="nil"/>
              <w:bottom w:val="single" w:color="auto" w:sz="4" w:space="0"/>
              <w:right w:val="single" w:color="auto" w:sz="4" w:space="0"/>
            </w:tcBorders>
            <w:noWrap w:val="0"/>
            <w:vAlign w:val="center"/>
          </w:tcPr>
          <w:p w14:paraId="24D5EE61">
            <w:pPr>
              <w:spacing w:line="460" w:lineRule="exact"/>
              <w:rPr>
                <w:rFonts w:hint="eastAsia" w:hAnsi="宋体" w:cs="宋体"/>
                <w:color w:val="auto"/>
                <w:sz w:val="24"/>
                <w:szCs w:val="24"/>
                <w:highlight w:val="none"/>
              </w:rPr>
            </w:pPr>
          </w:p>
        </w:tc>
      </w:tr>
      <w:tr w14:paraId="63F48D6C">
        <w:tblPrEx>
          <w:tblCellMar>
            <w:top w:w="0" w:type="dxa"/>
            <w:left w:w="108" w:type="dxa"/>
            <w:bottom w:w="0" w:type="dxa"/>
            <w:right w:w="108" w:type="dxa"/>
          </w:tblCellMar>
        </w:tblPrEx>
        <w:trPr>
          <w:cantSplit/>
          <w:trHeight w:val="602"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63231076">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单位成立时间</w:t>
            </w:r>
          </w:p>
        </w:tc>
        <w:tc>
          <w:tcPr>
            <w:tcW w:w="4320" w:type="dxa"/>
            <w:gridSpan w:val="2"/>
            <w:tcBorders>
              <w:top w:val="single" w:color="auto" w:sz="4" w:space="0"/>
              <w:left w:val="nil"/>
              <w:bottom w:val="single" w:color="auto" w:sz="4" w:space="0"/>
              <w:right w:val="single" w:color="auto" w:sz="4" w:space="0"/>
            </w:tcBorders>
            <w:noWrap w:val="0"/>
            <w:vAlign w:val="center"/>
          </w:tcPr>
          <w:p w14:paraId="5D9FA908">
            <w:pPr>
              <w:spacing w:line="460" w:lineRule="exact"/>
              <w:rPr>
                <w:rFonts w:hint="eastAsia" w:hAnsi="宋体" w:cs="宋体"/>
                <w:color w:val="auto"/>
                <w:sz w:val="24"/>
                <w:szCs w:val="24"/>
                <w:highlight w:val="none"/>
              </w:rPr>
            </w:pPr>
          </w:p>
        </w:tc>
        <w:tc>
          <w:tcPr>
            <w:tcW w:w="3150" w:type="dxa"/>
            <w:gridSpan w:val="2"/>
            <w:tcBorders>
              <w:top w:val="single" w:color="auto" w:sz="4" w:space="0"/>
              <w:left w:val="nil"/>
              <w:bottom w:val="single" w:color="auto" w:sz="4" w:space="0"/>
              <w:right w:val="single" w:color="auto" w:sz="4" w:space="0"/>
            </w:tcBorders>
            <w:noWrap w:val="0"/>
            <w:vAlign w:val="center"/>
          </w:tcPr>
          <w:p w14:paraId="7E831595">
            <w:pPr>
              <w:spacing w:line="460" w:lineRule="exact"/>
              <w:rPr>
                <w:rFonts w:hint="eastAsia" w:hAnsi="宋体" w:cs="宋体"/>
                <w:color w:val="auto"/>
                <w:sz w:val="24"/>
                <w:szCs w:val="24"/>
                <w:highlight w:val="none"/>
              </w:rPr>
            </w:pPr>
            <w:r>
              <w:rPr>
                <w:rFonts w:hint="eastAsia" w:hAnsi="宋体" w:cs="宋体"/>
                <w:color w:val="auto"/>
                <w:sz w:val="24"/>
                <w:szCs w:val="24"/>
                <w:highlight w:val="none"/>
              </w:rPr>
              <w:t>固定资产净值：    （万元）</w:t>
            </w:r>
          </w:p>
        </w:tc>
      </w:tr>
      <w:tr w14:paraId="490CF0FC">
        <w:tblPrEx>
          <w:tblCellMar>
            <w:top w:w="0" w:type="dxa"/>
            <w:left w:w="108" w:type="dxa"/>
            <w:bottom w:w="0" w:type="dxa"/>
            <w:right w:w="108" w:type="dxa"/>
          </w:tblCellMar>
        </w:tblPrEx>
        <w:trPr>
          <w:cantSplit/>
          <w:trHeight w:val="805"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4B469F81">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获得相关资质证书情况</w:t>
            </w:r>
          </w:p>
        </w:tc>
        <w:tc>
          <w:tcPr>
            <w:tcW w:w="7470" w:type="dxa"/>
            <w:gridSpan w:val="4"/>
            <w:tcBorders>
              <w:top w:val="single" w:color="auto" w:sz="4" w:space="0"/>
              <w:left w:val="nil"/>
              <w:bottom w:val="single" w:color="auto" w:sz="4" w:space="0"/>
              <w:right w:val="single" w:color="auto" w:sz="4" w:space="0"/>
            </w:tcBorders>
            <w:noWrap w:val="0"/>
            <w:vAlign w:val="center"/>
          </w:tcPr>
          <w:p w14:paraId="474E67B8">
            <w:pPr>
              <w:spacing w:line="460" w:lineRule="exact"/>
              <w:rPr>
                <w:rFonts w:hint="eastAsia" w:hAnsi="宋体" w:cs="宋体"/>
                <w:color w:val="auto"/>
                <w:sz w:val="24"/>
                <w:szCs w:val="24"/>
                <w:highlight w:val="none"/>
              </w:rPr>
            </w:pPr>
          </w:p>
        </w:tc>
      </w:tr>
      <w:tr w14:paraId="447095B6">
        <w:tblPrEx>
          <w:tblCellMar>
            <w:top w:w="0" w:type="dxa"/>
            <w:left w:w="108" w:type="dxa"/>
            <w:bottom w:w="0" w:type="dxa"/>
            <w:right w:w="108" w:type="dxa"/>
          </w:tblCellMar>
        </w:tblPrEx>
        <w:trPr>
          <w:cantSplit/>
          <w:trHeight w:val="638"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373399D3">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法定代表人</w:t>
            </w:r>
          </w:p>
        </w:tc>
        <w:tc>
          <w:tcPr>
            <w:tcW w:w="7470" w:type="dxa"/>
            <w:gridSpan w:val="4"/>
            <w:tcBorders>
              <w:top w:val="single" w:color="auto" w:sz="4" w:space="0"/>
              <w:left w:val="nil"/>
              <w:bottom w:val="single" w:color="auto" w:sz="4" w:space="0"/>
              <w:right w:val="single" w:color="auto" w:sz="4" w:space="0"/>
            </w:tcBorders>
            <w:noWrap w:val="0"/>
            <w:vAlign w:val="center"/>
          </w:tcPr>
          <w:p w14:paraId="2E63C3EC">
            <w:pPr>
              <w:spacing w:line="460" w:lineRule="exact"/>
              <w:rPr>
                <w:rFonts w:hint="eastAsia" w:hAnsi="宋体" w:cs="宋体"/>
                <w:color w:val="auto"/>
                <w:sz w:val="24"/>
                <w:szCs w:val="24"/>
                <w:highlight w:val="none"/>
              </w:rPr>
            </w:pPr>
            <w:r>
              <w:rPr>
                <w:rFonts w:hint="eastAsia" w:hAnsi="宋体" w:cs="宋体"/>
                <w:color w:val="auto"/>
                <w:sz w:val="24"/>
                <w:szCs w:val="24"/>
                <w:highlight w:val="none"/>
              </w:rPr>
              <w:t xml:space="preserve">  姓名：          职务：           职称：</w:t>
            </w:r>
          </w:p>
        </w:tc>
      </w:tr>
      <w:tr w14:paraId="5747C2ED">
        <w:tblPrEx>
          <w:tblCellMar>
            <w:top w:w="0" w:type="dxa"/>
            <w:left w:w="108" w:type="dxa"/>
            <w:bottom w:w="0" w:type="dxa"/>
            <w:right w:w="108" w:type="dxa"/>
          </w:tblCellMar>
        </w:tblPrEx>
        <w:trPr>
          <w:cantSplit/>
          <w:trHeight w:val="5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211F6A41">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公司总经理</w:t>
            </w:r>
          </w:p>
        </w:tc>
        <w:tc>
          <w:tcPr>
            <w:tcW w:w="7470" w:type="dxa"/>
            <w:gridSpan w:val="4"/>
            <w:tcBorders>
              <w:top w:val="single" w:color="auto" w:sz="4" w:space="0"/>
              <w:left w:val="nil"/>
              <w:bottom w:val="single" w:color="auto" w:sz="4" w:space="0"/>
              <w:right w:val="single" w:color="auto" w:sz="4" w:space="0"/>
            </w:tcBorders>
            <w:noWrap w:val="0"/>
            <w:vAlign w:val="center"/>
          </w:tcPr>
          <w:p w14:paraId="3DE8C173">
            <w:pPr>
              <w:spacing w:line="460" w:lineRule="exact"/>
              <w:rPr>
                <w:rFonts w:hint="eastAsia" w:hAnsi="宋体" w:cs="宋体"/>
                <w:color w:val="auto"/>
                <w:sz w:val="24"/>
                <w:szCs w:val="24"/>
                <w:highlight w:val="none"/>
              </w:rPr>
            </w:pPr>
            <w:r>
              <w:rPr>
                <w:rFonts w:hint="eastAsia" w:hAnsi="宋体" w:cs="宋体"/>
                <w:color w:val="auto"/>
                <w:sz w:val="24"/>
                <w:szCs w:val="24"/>
                <w:highlight w:val="none"/>
              </w:rPr>
              <w:t xml:space="preserve">  姓名：          职务：           职称： </w:t>
            </w:r>
          </w:p>
        </w:tc>
      </w:tr>
      <w:tr w14:paraId="406CDFB8">
        <w:tblPrEx>
          <w:tblCellMar>
            <w:top w:w="0" w:type="dxa"/>
            <w:left w:w="108" w:type="dxa"/>
            <w:bottom w:w="0" w:type="dxa"/>
            <w:right w:w="108" w:type="dxa"/>
          </w:tblCellMar>
        </w:tblPrEx>
        <w:trPr>
          <w:cantSplit/>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14E9D4E3">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职工人数</w:t>
            </w:r>
          </w:p>
        </w:tc>
        <w:tc>
          <w:tcPr>
            <w:tcW w:w="7470" w:type="dxa"/>
            <w:gridSpan w:val="4"/>
            <w:tcBorders>
              <w:top w:val="single" w:color="auto" w:sz="4" w:space="0"/>
              <w:left w:val="nil"/>
              <w:bottom w:val="single" w:color="auto" w:sz="4" w:space="0"/>
              <w:right w:val="single" w:color="auto" w:sz="4" w:space="0"/>
            </w:tcBorders>
            <w:noWrap w:val="0"/>
            <w:vAlign w:val="center"/>
          </w:tcPr>
          <w:p w14:paraId="0601A787">
            <w:pPr>
              <w:spacing w:line="460" w:lineRule="exact"/>
              <w:rPr>
                <w:rFonts w:hint="eastAsia" w:hAnsi="宋体" w:cs="宋体"/>
                <w:color w:val="auto"/>
                <w:sz w:val="24"/>
                <w:szCs w:val="24"/>
                <w:highlight w:val="none"/>
              </w:rPr>
            </w:pPr>
          </w:p>
        </w:tc>
      </w:tr>
      <w:tr w14:paraId="3BDE2A74">
        <w:tblPrEx>
          <w:tblCellMar>
            <w:top w:w="0" w:type="dxa"/>
            <w:left w:w="108" w:type="dxa"/>
            <w:bottom w:w="0" w:type="dxa"/>
            <w:right w:w="108" w:type="dxa"/>
          </w:tblCellMar>
        </w:tblPrEx>
        <w:trPr>
          <w:cantSplit/>
          <w:trHeight w:val="1095"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5D333618">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投标人在企业注册地以外设立分支机构的情况</w:t>
            </w:r>
          </w:p>
        </w:tc>
        <w:tc>
          <w:tcPr>
            <w:tcW w:w="7470" w:type="dxa"/>
            <w:gridSpan w:val="4"/>
            <w:tcBorders>
              <w:top w:val="single" w:color="auto" w:sz="4" w:space="0"/>
              <w:left w:val="nil"/>
              <w:bottom w:val="single" w:color="auto" w:sz="4" w:space="0"/>
              <w:right w:val="single" w:color="auto" w:sz="4" w:space="0"/>
            </w:tcBorders>
            <w:noWrap w:val="0"/>
            <w:vAlign w:val="center"/>
          </w:tcPr>
          <w:p w14:paraId="5EC99060">
            <w:pPr>
              <w:spacing w:line="460" w:lineRule="exact"/>
              <w:rPr>
                <w:rFonts w:hint="eastAsia" w:hAnsi="宋体" w:cs="宋体"/>
                <w:color w:val="auto"/>
                <w:sz w:val="24"/>
                <w:szCs w:val="24"/>
                <w:highlight w:val="none"/>
              </w:rPr>
            </w:pPr>
          </w:p>
        </w:tc>
      </w:tr>
      <w:tr w14:paraId="73941090">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04FD63E8">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联系方式</w:t>
            </w:r>
          </w:p>
        </w:tc>
        <w:tc>
          <w:tcPr>
            <w:tcW w:w="7470" w:type="dxa"/>
            <w:gridSpan w:val="4"/>
            <w:tcBorders>
              <w:top w:val="single" w:color="auto" w:sz="4" w:space="0"/>
              <w:left w:val="nil"/>
              <w:bottom w:val="single" w:color="auto" w:sz="4" w:space="0"/>
              <w:right w:val="single" w:color="auto" w:sz="4" w:space="0"/>
            </w:tcBorders>
            <w:noWrap w:val="0"/>
            <w:vAlign w:val="center"/>
          </w:tcPr>
          <w:p w14:paraId="297A4550">
            <w:pPr>
              <w:spacing w:line="460" w:lineRule="exact"/>
              <w:rPr>
                <w:rFonts w:hint="eastAsia" w:hAnsi="宋体" w:cs="宋体"/>
                <w:color w:val="auto"/>
                <w:sz w:val="24"/>
                <w:szCs w:val="24"/>
                <w:highlight w:val="none"/>
              </w:rPr>
            </w:pPr>
            <w:r>
              <w:rPr>
                <w:rFonts w:hint="eastAsia" w:hAnsi="宋体" w:cs="宋体"/>
                <w:color w:val="auto"/>
                <w:sz w:val="24"/>
                <w:szCs w:val="24"/>
                <w:highlight w:val="none"/>
              </w:rPr>
              <w:t>地址：            邮编：           电话：</w:t>
            </w:r>
          </w:p>
          <w:p w14:paraId="33BAE7CD">
            <w:pPr>
              <w:spacing w:line="460" w:lineRule="exact"/>
              <w:rPr>
                <w:rFonts w:hint="eastAsia" w:hAnsi="宋体" w:cs="宋体"/>
                <w:color w:val="auto"/>
                <w:sz w:val="24"/>
                <w:szCs w:val="24"/>
                <w:highlight w:val="none"/>
              </w:rPr>
            </w:pPr>
            <w:r>
              <w:rPr>
                <w:rFonts w:hint="eastAsia" w:hAnsi="宋体" w:cs="宋体"/>
                <w:color w:val="auto"/>
                <w:sz w:val="24"/>
                <w:szCs w:val="24"/>
                <w:highlight w:val="none"/>
              </w:rPr>
              <w:t xml:space="preserve">传真： </w:t>
            </w:r>
          </w:p>
        </w:tc>
      </w:tr>
      <w:tr w14:paraId="13F251BC">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354611BE">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开户银行</w:t>
            </w:r>
          </w:p>
        </w:tc>
        <w:tc>
          <w:tcPr>
            <w:tcW w:w="7470" w:type="dxa"/>
            <w:gridSpan w:val="4"/>
            <w:tcBorders>
              <w:top w:val="single" w:color="auto" w:sz="4" w:space="0"/>
              <w:left w:val="nil"/>
              <w:bottom w:val="single" w:color="auto" w:sz="4" w:space="0"/>
              <w:right w:val="single" w:color="auto" w:sz="4" w:space="0"/>
            </w:tcBorders>
            <w:noWrap w:val="0"/>
            <w:vAlign w:val="center"/>
          </w:tcPr>
          <w:p w14:paraId="61A93C0C">
            <w:pPr>
              <w:spacing w:line="460" w:lineRule="exact"/>
              <w:rPr>
                <w:rFonts w:hint="eastAsia" w:hAnsi="宋体" w:cs="宋体"/>
                <w:color w:val="auto"/>
                <w:sz w:val="24"/>
                <w:szCs w:val="24"/>
                <w:highlight w:val="none"/>
              </w:rPr>
            </w:pPr>
            <w:r>
              <w:rPr>
                <w:rFonts w:hint="eastAsia" w:hAnsi="宋体" w:cs="宋体"/>
                <w:color w:val="auto"/>
                <w:sz w:val="24"/>
                <w:szCs w:val="24"/>
                <w:highlight w:val="none"/>
              </w:rPr>
              <w:t>名称：</w:t>
            </w:r>
          </w:p>
          <w:p w14:paraId="3DCE413D">
            <w:pPr>
              <w:spacing w:line="460" w:lineRule="exact"/>
              <w:rPr>
                <w:rFonts w:hint="eastAsia" w:hAnsi="宋体" w:cs="宋体"/>
                <w:color w:val="auto"/>
                <w:sz w:val="24"/>
                <w:szCs w:val="24"/>
                <w:highlight w:val="none"/>
              </w:rPr>
            </w:pPr>
            <w:r>
              <w:rPr>
                <w:rFonts w:hint="eastAsia" w:hAnsi="宋体" w:cs="宋体"/>
                <w:color w:val="auto"/>
                <w:sz w:val="24"/>
                <w:szCs w:val="24"/>
                <w:highlight w:val="none"/>
              </w:rPr>
              <w:t>账号：</w:t>
            </w:r>
          </w:p>
        </w:tc>
      </w:tr>
    </w:tbl>
    <w:p w14:paraId="78AC868A">
      <w:pPr>
        <w:spacing w:line="380" w:lineRule="exact"/>
        <w:rPr>
          <w:rFonts w:hint="eastAsia" w:hAnsi="宋体" w:cs="宋体"/>
          <w:color w:val="auto"/>
          <w:sz w:val="24"/>
          <w:szCs w:val="24"/>
          <w:highlight w:val="none"/>
        </w:rPr>
      </w:pPr>
    </w:p>
    <w:p w14:paraId="2771BCEE">
      <w:pPr>
        <w:spacing w:line="380" w:lineRule="exact"/>
        <w:rPr>
          <w:rFonts w:hint="eastAsia" w:hAnsi="宋体" w:cs="宋体"/>
          <w:color w:val="auto"/>
          <w:sz w:val="24"/>
          <w:szCs w:val="24"/>
          <w:highlight w:val="none"/>
        </w:rPr>
      </w:pPr>
      <w:r>
        <w:rPr>
          <w:rFonts w:hint="eastAsia" w:hAnsi="宋体" w:cs="宋体"/>
          <w:color w:val="auto"/>
          <w:sz w:val="24"/>
          <w:szCs w:val="24"/>
          <w:highlight w:val="none"/>
        </w:rPr>
        <w:t>投标人全称（盖章）：</w:t>
      </w:r>
    </w:p>
    <w:p w14:paraId="50331046">
      <w:pPr>
        <w:spacing w:line="380" w:lineRule="exact"/>
        <w:rPr>
          <w:rFonts w:hint="eastAsia"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6663EB07">
      <w:pPr>
        <w:snapToGrid w:val="0"/>
        <w:spacing w:before="50" w:after="50"/>
        <w:rPr>
          <w:rFonts w:hint="eastAsia" w:hAnsi="宋体" w:cs="宋体"/>
          <w:color w:val="auto"/>
          <w:sz w:val="24"/>
          <w:szCs w:val="24"/>
          <w:highlight w:val="none"/>
        </w:rPr>
      </w:pPr>
      <w:r>
        <w:rPr>
          <w:rFonts w:hint="eastAsia" w:hAnsi="宋体" w:cs="宋体"/>
          <w:color w:val="auto"/>
          <w:sz w:val="24"/>
          <w:szCs w:val="24"/>
          <w:highlight w:val="none"/>
        </w:rPr>
        <w:t>日期：  年   月  日</w:t>
      </w:r>
    </w:p>
    <w:p w14:paraId="33450DEB">
      <w:pPr>
        <w:pStyle w:val="11"/>
        <w:rPr>
          <w:rFonts w:hint="eastAsia" w:ascii="宋体" w:hAnsi="宋体" w:cs="宋体"/>
          <w:color w:val="auto"/>
          <w:sz w:val="24"/>
          <w:szCs w:val="24"/>
          <w:highlight w:val="none"/>
        </w:rPr>
      </w:pPr>
    </w:p>
    <w:p w14:paraId="7B6F41EA">
      <w:pPr>
        <w:snapToGrid w:val="0"/>
        <w:spacing w:before="50" w:after="50"/>
        <w:jc w:val="center"/>
        <w:rPr>
          <w:rFonts w:hint="eastAsia" w:hAnsi="宋体" w:cs="宋体"/>
          <w:b/>
          <w:bCs/>
          <w:color w:val="auto"/>
          <w:sz w:val="24"/>
          <w:szCs w:val="24"/>
          <w:highlight w:val="none"/>
        </w:rPr>
      </w:pPr>
    </w:p>
    <w:p w14:paraId="0C37E30A">
      <w:pPr>
        <w:pStyle w:val="9"/>
        <w:ind w:firstLine="241"/>
        <w:rPr>
          <w:rFonts w:hint="eastAsia" w:hAnsi="宋体" w:cs="宋体"/>
          <w:b/>
          <w:bCs/>
          <w:color w:val="auto"/>
          <w:sz w:val="24"/>
          <w:szCs w:val="24"/>
          <w:highlight w:val="none"/>
        </w:rPr>
      </w:pPr>
    </w:p>
    <w:p w14:paraId="37E5E85F">
      <w:pPr>
        <w:rPr>
          <w:rFonts w:hint="eastAsia" w:hAnsi="宋体" w:cs="宋体"/>
          <w:b/>
          <w:bCs/>
          <w:color w:val="auto"/>
          <w:sz w:val="24"/>
          <w:szCs w:val="24"/>
          <w:highlight w:val="none"/>
        </w:rPr>
      </w:pPr>
    </w:p>
    <w:p w14:paraId="011EC398">
      <w:pPr>
        <w:pStyle w:val="9"/>
        <w:ind w:firstLine="280"/>
        <w:rPr>
          <w:rFonts w:hint="eastAsia"/>
          <w:color w:val="auto"/>
          <w:highlight w:val="none"/>
        </w:rPr>
      </w:pPr>
    </w:p>
    <w:p w14:paraId="7FC0FA12">
      <w:pPr>
        <w:snapToGrid w:val="0"/>
        <w:spacing w:before="50" w:after="50"/>
        <w:jc w:val="center"/>
        <w:rPr>
          <w:rFonts w:hint="eastAsia" w:hAnsi="宋体" w:cs="宋体"/>
          <w:b/>
          <w:bCs/>
          <w:color w:val="auto"/>
          <w:sz w:val="24"/>
          <w:szCs w:val="24"/>
          <w:highlight w:val="none"/>
        </w:rPr>
      </w:pPr>
    </w:p>
    <w:p w14:paraId="29091C45">
      <w:pPr>
        <w:snapToGrid w:val="0"/>
        <w:spacing w:before="50" w:after="50"/>
        <w:ind w:left="142"/>
        <w:jc w:val="center"/>
        <w:rPr>
          <w:rFonts w:hint="eastAsia" w:hAnsi="宋体" w:cs="宋体"/>
          <w:b/>
          <w:color w:val="auto"/>
          <w:sz w:val="24"/>
          <w:szCs w:val="24"/>
          <w:highlight w:val="none"/>
        </w:rPr>
      </w:pPr>
      <w:r>
        <w:rPr>
          <w:rFonts w:hint="eastAsia" w:hAnsi="宋体" w:cs="宋体"/>
          <w:b/>
          <w:bCs/>
          <w:color w:val="auto"/>
          <w:sz w:val="24"/>
          <w:szCs w:val="24"/>
          <w:highlight w:val="none"/>
        </w:rPr>
        <w:t>4.</w:t>
      </w:r>
      <w:r>
        <w:rPr>
          <w:rFonts w:hint="eastAsia" w:hAnsi="宋体" w:cs="宋体"/>
          <w:b/>
          <w:bCs/>
          <w:color w:val="auto"/>
          <w:sz w:val="24"/>
          <w:highlight w:val="none"/>
        </w:rPr>
        <w:t>投标人202</w:t>
      </w:r>
      <w:r>
        <w:rPr>
          <w:rFonts w:hint="eastAsia" w:hAnsi="宋体" w:cs="宋体"/>
          <w:b/>
          <w:bCs/>
          <w:color w:val="auto"/>
          <w:sz w:val="24"/>
          <w:highlight w:val="none"/>
          <w:lang w:val="en-US" w:eastAsia="zh-CN"/>
        </w:rPr>
        <w:t>2</w:t>
      </w:r>
      <w:r>
        <w:rPr>
          <w:rFonts w:hint="eastAsia" w:hAnsi="宋体" w:cs="宋体"/>
          <w:b/>
          <w:bCs/>
          <w:color w:val="auto"/>
          <w:sz w:val="24"/>
          <w:highlight w:val="none"/>
        </w:rPr>
        <w:t>年</w:t>
      </w:r>
      <w:r>
        <w:rPr>
          <w:rFonts w:hint="eastAsia" w:hAnsi="宋体" w:cs="宋体"/>
          <w:b/>
          <w:bCs/>
          <w:color w:val="auto"/>
          <w:sz w:val="24"/>
          <w:highlight w:val="none"/>
          <w:lang w:val="en-US" w:eastAsia="zh-CN"/>
        </w:rPr>
        <w:t>7</w:t>
      </w:r>
      <w:r>
        <w:rPr>
          <w:rFonts w:hint="eastAsia" w:hAnsi="宋体" w:cs="宋体"/>
          <w:b/>
          <w:bCs/>
          <w:color w:val="auto"/>
          <w:sz w:val="24"/>
          <w:highlight w:val="none"/>
        </w:rPr>
        <w:t>月1日以来承担过的同类项目服务业绩</w:t>
      </w:r>
    </w:p>
    <w:tbl>
      <w:tblPr>
        <w:tblStyle w:val="17"/>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823"/>
        <w:gridCol w:w="2324"/>
        <w:gridCol w:w="1548"/>
        <w:gridCol w:w="1200"/>
        <w:gridCol w:w="1479"/>
      </w:tblGrid>
      <w:tr w14:paraId="411D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1A53466B">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1124DD96">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项 目 名 称</w:t>
            </w:r>
          </w:p>
        </w:tc>
        <w:tc>
          <w:tcPr>
            <w:tcW w:w="2324" w:type="dxa"/>
            <w:tcBorders>
              <w:top w:val="single" w:color="auto" w:sz="4" w:space="0"/>
              <w:left w:val="single" w:color="auto" w:sz="4" w:space="0"/>
              <w:bottom w:val="single" w:color="auto" w:sz="4" w:space="0"/>
              <w:right w:val="single" w:color="auto" w:sz="4" w:space="0"/>
            </w:tcBorders>
            <w:noWrap w:val="0"/>
            <w:vAlign w:val="center"/>
          </w:tcPr>
          <w:p w14:paraId="383E2B7F">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项 目 概 况</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2F42AF17">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起讫时间</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BE49303">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合同金额</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0B07BA89">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备注</w:t>
            </w:r>
          </w:p>
        </w:tc>
      </w:tr>
      <w:tr w14:paraId="5304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77AAA206">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50F1A0D4">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2355A4E3">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11E60ED">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AF28B57">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2A3D685D">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5CE6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4F2588DC">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4D34FBC6">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667A0899">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543CD2CB">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15F9C8E">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0D23DFFD">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651A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0B9FC72A">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7AD95E40">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5AAFE1CB">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3D634B3">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A233929">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5E5F9465">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3C68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22DE5FAD">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3220BF8D">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730B73E4">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1292BE24">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2A34EDC">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0E4EED5A">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4009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6AAD92E6">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66C09FCD">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18313C23">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1E313DF">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2D60D56">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4A14257C">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4362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0072C60E">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04F922C4">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04D86951">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1F5EC22C">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A7F1251">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5EE28268">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7CEE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45F84368">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79DF6FAE">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07B0597A">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8BE6592">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D33F8DF">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5847FBBE">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5B51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44DAE1B8">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1DF1290E">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536ECE6B">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5EFDEBAC">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18802CA">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44FF4873">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r w14:paraId="3503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2E332A8E">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15348DA8">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noWrap w:val="0"/>
            <w:vAlign w:val="top"/>
          </w:tcPr>
          <w:p w14:paraId="13087508">
            <w:pPr>
              <w:widowControl/>
              <w:snapToGrid w:val="0"/>
              <w:spacing w:line="460" w:lineRule="exact"/>
              <w:jc w:val="center"/>
              <w:rPr>
                <w:rFonts w:hint="eastAsia"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75D20A20">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FC7CF96">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2085696B">
            <w:pPr>
              <w:widowControl/>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 </w:t>
            </w:r>
          </w:p>
        </w:tc>
      </w:tr>
    </w:tbl>
    <w:p w14:paraId="02D13BB4">
      <w:pPr>
        <w:rPr>
          <w:rFonts w:hint="eastAsia" w:hAnsi="宋体" w:cs="宋体"/>
          <w:color w:val="auto"/>
          <w:sz w:val="24"/>
          <w:szCs w:val="24"/>
          <w:highlight w:val="none"/>
        </w:rPr>
      </w:pPr>
    </w:p>
    <w:p w14:paraId="7D6D2F9A">
      <w:pPr>
        <w:snapToGrid w:val="0"/>
        <w:spacing w:line="500" w:lineRule="exact"/>
        <w:ind w:firstLine="720" w:firstLineChars="300"/>
        <w:jc w:val="both"/>
        <w:rPr>
          <w:rFonts w:hint="eastAsia" w:hAnsi="宋体" w:cs="宋体"/>
          <w:color w:val="auto"/>
          <w:sz w:val="24"/>
          <w:szCs w:val="24"/>
          <w:highlight w:val="none"/>
        </w:rPr>
      </w:pPr>
      <w:r>
        <w:rPr>
          <w:rFonts w:hint="eastAsia" w:hAnsi="宋体" w:cs="宋体"/>
          <w:color w:val="auto"/>
          <w:sz w:val="24"/>
          <w:szCs w:val="24"/>
          <w:highlight w:val="none"/>
        </w:rPr>
        <w:t>投标人全称（盖章）：</w:t>
      </w:r>
    </w:p>
    <w:p w14:paraId="70A5C2B6">
      <w:pPr>
        <w:snapToGrid w:val="0"/>
        <w:spacing w:line="500" w:lineRule="exact"/>
        <w:ind w:firstLine="720" w:firstLineChars="300"/>
        <w:jc w:val="both"/>
        <w:rPr>
          <w:rFonts w:hint="eastAsia"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49EC146D">
      <w:pPr>
        <w:snapToGrid w:val="0"/>
        <w:spacing w:line="500" w:lineRule="exact"/>
        <w:ind w:firstLine="720" w:firstLineChars="300"/>
        <w:jc w:val="both"/>
        <w:rPr>
          <w:rFonts w:hint="eastAsia" w:hAnsi="宋体" w:cs="宋体"/>
          <w:b/>
          <w:bCs/>
          <w:color w:val="auto"/>
          <w:sz w:val="24"/>
          <w:szCs w:val="24"/>
          <w:highlight w:val="none"/>
        </w:rPr>
      </w:pPr>
      <w:r>
        <w:rPr>
          <w:rFonts w:hint="eastAsia" w:hAnsi="宋体" w:cs="宋体"/>
          <w:color w:val="auto"/>
          <w:sz w:val="24"/>
          <w:szCs w:val="24"/>
          <w:highlight w:val="none"/>
        </w:rPr>
        <w:t>日期：  年   月  日</w:t>
      </w:r>
    </w:p>
    <w:p w14:paraId="7AC9CBA7">
      <w:pPr>
        <w:snapToGrid w:val="0"/>
        <w:spacing w:before="50" w:after="50"/>
        <w:jc w:val="center"/>
        <w:rPr>
          <w:rFonts w:hint="eastAsia" w:hAnsi="宋体" w:cs="宋体"/>
          <w:b/>
          <w:bCs/>
          <w:color w:val="auto"/>
          <w:sz w:val="24"/>
          <w:szCs w:val="24"/>
          <w:highlight w:val="none"/>
        </w:rPr>
      </w:pPr>
    </w:p>
    <w:p w14:paraId="1231E3B3">
      <w:pPr>
        <w:snapToGrid w:val="0"/>
        <w:spacing w:before="50" w:after="50"/>
        <w:jc w:val="center"/>
        <w:rPr>
          <w:rFonts w:hint="eastAsia" w:hAnsi="宋体" w:cs="宋体"/>
          <w:b/>
          <w:bCs/>
          <w:color w:val="auto"/>
          <w:sz w:val="24"/>
          <w:szCs w:val="24"/>
          <w:highlight w:val="none"/>
        </w:rPr>
      </w:pPr>
    </w:p>
    <w:p w14:paraId="0B94A24B">
      <w:pPr>
        <w:snapToGrid w:val="0"/>
        <w:spacing w:before="50" w:after="50"/>
        <w:jc w:val="center"/>
        <w:rPr>
          <w:rFonts w:hint="eastAsia" w:hAnsi="宋体" w:cs="宋体"/>
          <w:b/>
          <w:bCs/>
          <w:color w:val="auto"/>
          <w:sz w:val="24"/>
          <w:szCs w:val="24"/>
          <w:highlight w:val="none"/>
        </w:rPr>
      </w:pPr>
    </w:p>
    <w:p w14:paraId="51768EB9">
      <w:pPr>
        <w:snapToGrid w:val="0"/>
        <w:spacing w:before="50" w:after="50"/>
        <w:jc w:val="center"/>
        <w:rPr>
          <w:rFonts w:hint="eastAsia" w:hAnsi="宋体" w:cs="宋体"/>
          <w:b/>
          <w:bCs/>
          <w:color w:val="auto"/>
          <w:sz w:val="24"/>
          <w:szCs w:val="24"/>
          <w:highlight w:val="none"/>
        </w:rPr>
      </w:pPr>
    </w:p>
    <w:p w14:paraId="6833B53A">
      <w:pPr>
        <w:snapToGrid w:val="0"/>
        <w:spacing w:before="50" w:after="50"/>
        <w:jc w:val="center"/>
        <w:rPr>
          <w:rFonts w:hint="eastAsia" w:hAnsi="宋体" w:cs="宋体"/>
          <w:b/>
          <w:bCs/>
          <w:color w:val="auto"/>
          <w:sz w:val="24"/>
          <w:szCs w:val="24"/>
          <w:highlight w:val="none"/>
        </w:rPr>
      </w:pPr>
    </w:p>
    <w:p w14:paraId="5D20FB1E">
      <w:pPr>
        <w:snapToGrid w:val="0"/>
        <w:spacing w:before="50" w:after="50"/>
        <w:jc w:val="center"/>
        <w:rPr>
          <w:rFonts w:hint="eastAsia" w:hAnsi="宋体" w:cs="宋体"/>
          <w:b/>
          <w:bCs/>
          <w:color w:val="auto"/>
          <w:sz w:val="24"/>
          <w:szCs w:val="24"/>
          <w:highlight w:val="none"/>
        </w:rPr>
      </w:pPr>
    </w:p>
    <w:p w14:paraId="2264B064">
      <w:pPr>
        <w:snapToGrid w:val="0"/>
        <w:spacing w:before="50" w:after="50"/>
        <w:jc w:val="center"/>
        <w:rPr>
          <w:rFonts w:hint="eastAsia" w:hAnsi="宋体" w:cs="宋体"/>
          <w:b/>
          <w:bCs/>
          <w:color w:val="auto"/>
          <w:sz w:val="24"/>
          <w:szCs w:val="24"/>
          <w:highlight w:val="none"/>
        </w:rPr>
      </w:pPr>
    </w:p>
    <w:p w14:paraId="1EC8E203">
      <w:pPr>
        <w:snapToGrid w:val="0"/>
        <w:spacing w:before="50" w:after="50"/>
        <w:jc w:val="center"/>
        <w:rPr>
          <w:rFonts w:hint="eastAsia" w:hAnsi="宋体" w:cs="宋体"/>
          <w:b/>
          <w:bCs/>
          <w:color w:val="auto"/>
          <w:sz w:val="24"/>
          <w:szCs w:val="24"/>
          <w:highlight w:val="none"/>
        </w:rPr>
      </w:pPr>
    </w:p>
    <w:p w14:paraId="4C3F5487">
      <w:pPr>
        <w:snapToGrid w:val="0"/>
        <w:spacing w:before="50" w:after="50"/>
        <w:jc w:val="center"/>
        <w:rPr>
          <w:rFonts w:hint="eastAsia" w:hAnsi="宋体" w:cs="宋体"/>
          <w:b/>
          <w:bCs/>
          <w:color w:val="auto"/>
          <w:sz w:val="24"/>
          <w:szCs w:val="24"/>
          <w:highlight w:val="none"/>
        </w:rPr>
      </w:pPr>
    </w:p>
    <w:p w14:paraId="5739D630">
      <w:pPr>
        <w:snapToGrid w:val="0"/>
        <w:spacing w:before="50" w:after="50"/>
        <w:jc w:val="center"/>
        <w:rPr>
          <w:rFonts w:hint="eastAsia" w:hAnsi="宋体" w:cs="宋体"/>
          <w:b/>
          <w:bCs/>
          <w:color w:val="auto"/>
          <w:sz w:val="24"/>
          <w:szCs w:val="24"/>
          <w:highlight w:val="none"/>
        </w:rPr>
      </w:pPr>
    </w:p>
    <w:p w14:paraId="3464D906">
      <w:pPr>
        <w:snapToGrid w:val="0"/>
        <w:spacing w:before="50" w:after="50"/>
        <w:jc w:val="center"/>
        <w:rPr>
          <w:rFonts w:hint="eastAsia" w:hAnsi="宋体" w:cs="宋体"/>
          <w:b/>
          <w:bCs/>
          <w:color w:val="auto"/>
          <w:sz w:val="24"/>
          <w:szCs w:val="24"/>
          <w:highlight w:val="none"/>
        </w:rPr>
      </w:pPr>
    </w:p>
    <w:p w14:paraId="3D75D19C">
      <w:pPr>
        <w:snapToGrid w:val="0"/>
        <w:spacing w:before="50" w:after="50"/>
        <w:jc w:val="center"/>
        <w:rPr>
          <w:rFonts w:hint="eastAsia" w:hAnsi="宋体" w:cs="宋体"/>
          <w:b/>
          <w:bCs/>
          <w:color w:val="auto"/>
          <w:sz w:val="24"/>
          <w:szCs w:val="24"/>
          <w:highlight w:val="none"/>
        </w:rPr>
      </w:pPr>
    </w:p>
    <w:p w14:paraId="76CA505A">
      <w:pPr>
        <w:snapToGrid w:val="0"/>
        <w:spacing w:before="50" w:after="50"/>
        <w:jc w:val="center"/>
        <w:rPr>
          <w:rFonts w:hint="eastAsia" w:hAnsi="宋体" w:cs="宋体"/>
          <w:b/>
          <w:bCs/>
          <w:color w:val="auto"/>
          <w:sz w:val="24"/>
          <w:szCs w:val="24"/>
          <w:highlight w:val="none"/>
        </w:rPr>
      </w:pPr>
    </w:p>
    <w:p w14:paraId="622F697A">
      <w:pPr>
        <w:jc w:val="center"/>
        <w:rPr>
          <w:rFonts w:hint="eastAsia" w:hAnsi="宋体" w:cs="宋体"/>
          <w:b/>
          <w:color w:val="auto"/>
          <w:sz w:val="24"/>
          <w:szCs w:val="24"/>
          <w:highlight w:val="none"/>
        </w:rPr>
      </w:pPr>
      <w:bookmarkStart w:id="30" w:name="_Toc354841327"/>
      <w:bookmarkStart w:id="31" w:name="_Toc296074353"/>
      <w:bookmarkStart w:id="32" w:name="_Toc295737642"/>
      <w:bookmarkStart w:id="33" w:name="_Toc295910890"/>
      <w:bookmarkStart w:id="34" w:name="_Toc296075064"/>
    </w:p>
    <w:p w14:paraId="78C1C799">
      <w:pPr>
        <w:rPr>
          <w:rFonts w:hint="eastAsia" w:hAnsi="宋体" w:cs="宋体"/>
          <w:b/>
          <w:bCs/>
          <w:color w:val="auto"/>
          <w:sz w:val="24"/>
          <w:szCs w:val="24"/>
          <w:highlight w:val="none"/>
        </w:rPr>
      </w:pPr>
      <w:r>
        <w:rPr>
          <w:rFonts w:hint="eastAsia" w:hAnsi="宋体" w:cs="宋体"/>
          <w:b/>
          <w:bCs/>
          <w:color w:val="auto"/>
          <w:sz w:val="24"/>
          <w:szCs w:val="24"/>
          <w:highlight w:val="none"/>
        </w:rPr>
        <w:br w:type="page"/>
      </w:r>
    </w:p>
    <w:p w14:paraId="182BC978">
      <w:pPr>
        <w:spacing w:line="460" w:lineRule="exact"/>
        <w:ind w:firstLine="437"/>
        <w:jc w:val="center"/>
        <w:rPr>
          <w:rFonts w:hint="eastAsia" w:hAnsi="宋体" w:cs="宋体"/>
          <w:b/>
          <w:bCs/>
          <w:color w:val="auto"/>
          <w:sz w:val="24"/>
          <w:szCs w:val="24"/>
          <w:highlight w:val="none"/>
        </w:rPr>
      </w:pPr>
      <w:r>
        <w:rPr>
          <w:rFonts w:hint="eastAsia" w:hAnsi="宋体" w:cs="宋体"/>
          <w:b/>
          <w:bCs/>
          <w:color w:val="auto"/>
          <w:sz w:val="24"/>
          <w:szCs w:val="24"/>
          <w:highlight w:val="none"/>
        </w:rPr>
        <w:t>5.服务条款对比表</w:t>
      </w:r>
    </w:p>
    <w:tbl>
      <w:tblPr>
        <w:tblStyle w:val="17"/>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249"/>
        <w:gridCol w:w="2821"/>
        <w:gridCol w:w="2318"/>
      </w:tblGrid>
      <w:tr w14:paraId="4BB4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625E7E82">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249" w:type="dxa"/>
            <w:noWrap w:val="0"/>
            <w:vAlign w:val="center"/>
          </w:tcPr>
          <w:p w14:paraId="010FBDA7">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招标文件规范要求</w:t>
            </w:r>
          </w:p>
        </w:tc>
        <w:tc>
          <w:tcPr>
            <w:tcW w:w="2821" w:type="dxa"/>
            <w:noWrap w:val="0"/>
            <w:vAlign w:val="center"/>
          </w:tcPr>
          <w:p w14:paraId="5383BB10">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投标文件的响应内容</w:t>
            </w:r>
          </w:p>
        </w:tc>
        <w:tc>
          <w:tcPr>
            <w:tcW w:w="2318" w:type="dxa"/>
            <w:noWrap w:val="0"/>
            <w:vAlign w:val="center"/>
          </w:tcPr>
          <w:p w14:paraId="49FF604D">
            <w:pPr>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说明</w:t>
            </w:r>
          </w:p>
        </w:tc>
      </w:tr>
      <w:tr w14:paraId="1A6E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22" w:type="dxa"/>
            <w:noWrap w:val="0"/>
            <w:vAlign w:val="center"/>
          </w:tcPr>
          <w:p w14:paraId="23347951">
            <w:pPr>
              <w:spacing w:line="460" w:lineRule="exact"/>
              <w:jc w:val="center"/>
              <w:rPr>
                <w:rFonts w:hint="eastAsia" w:hAnsi="宋体" w:cs="宋体"/>
                <w:color w:val="auto"/>
                <w:sz w:val="24"/>
                <w:szCs w:val="24"/>
                <w:highlight w:val="none"/>
              </w:rPr>
            </w:pPr>
          </w:p>
        </w:tc>
        <w:tc>
          <w:tcPr>
            <w:tcW w:w="3249" w:type="dxa"/>
            <w:noWrap w:val="0"/>
            <w:vAlign w:val="center"/>
          </w:tcPr>
          <w:p w14:paraId="66857D22">
            <w:pPr>
              <w:spacing w:line="460" w:lineRule="exact"/>
              <w:jc w:val="center"/>
              <w:rPr>
                <w:rFonts w:hint="eastAsia" w:hAnsi="宋体" w:cs="宋体"/>
                <w:color w:val="auto"/>
                <w:sz w:val="24"/>
                <w:szCs w:val="24"/>
                <w:highlight w:val="none"/>
              </w:rPr>
            </w:pPr>
          </w:p>
        </w:tc>
        <w:tc>
          <w:tcPr>
            <w:tcW w:w="2821" w:type="dxa"/>
            <w:noWrap w:val="0"/>
            <w:vAlign w:val="center"/>
          </w:tcPr>
          <w:p w14:paraId="43B1400D">
            <w:pPr>
              <w:spacing w:line="460" w:lineRule="exact"/>
              <w:jc w:val="center"/>
              <w:rPr>
                <w:rFonts w:hint="eastAsia" w:hAnsi="宋体" w:cs="宋体"/>
                <w:color w:val="auto"/>
                <w:sz w:val="24"/>
                <w:szCs w:val="24"/>
                <w:highlight w:val="none"/>
              </w:rPr>
            </w:pPr>
          </w:p>
        </w:tc>
        <w:tc>
          <w:tcPr>
            <w:tcW w:w="2318" w:type="dxa"/>
            <w:noWrap w:val="0"/>
            <w:vAlign w:val="center"/>
          </w:tcPr>
          <w:p w14:paraId="468C1B8B">
            <w:pPr>
              <w:spacing w:line="460" w:lineRule="exact"/>
              <w:jc w:val="center"/>
              <w:rPr>
                <w:rFonts w:hint="eastAsia" w:hAnsi="宋体" w:cs="宋体"/>
                <w:color w:val="auto"/>
                <w:sz w:val="24"/>
                <w:szCs w:val="24"/>
                <w:highlight w:val="none"/>
              </w:rPr>
            </w:pPr>
          </w:p>
        </w:tc>
      </w:tr>
      <w:tr w14:paraId="44DC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122" w:type="dxa"/>
            <w:noWrap w:val="0"/>
            <w:vAlign w:val="center"/>
          </w:tcPr>
          <w:p w14:paraId="1DF5026B">
            <w:pPr>
              <w:spacing w:line="460" w:lineRule="exact"/>
              <w:jc w:val="center"/>
              <w:rPr>
                <w:rFonts w:hint="eastAsia" w:hAnsi="宋体" w:cs="宋体"/>
                <w:color w:val="auto"/>
                <w:sz w:val="24"/>
                <w:szCs w:val="24"/>
                <w:highlight w:val="none"/>
              </w:rPr>
            </w:pPr>
          </w:p>
        </w:tc>
        <w:tc>
          <w:tcPr>
            <w:tcW w:w="3249" w:type="dxa"/>
            <w:noWrap w:val="0"/>
            <w:vAlign w:val="center"/>
          </w:tcPr>
          <w:p w14:paraId="22278B5B">
            <w:pPr>
              <w:spacing w:line="460" w:lineRule="exact"/>
              <w:jc w:val="center"/>
              <w:rPr>
                <w:rFonts w:hint="eastAsia" w:hAnsi="宋体" w:cs="宋体"/>
                <w:color w:val="auto"/>
                <w:sz w:val="24"/>
                <w:szCs w:val="24"/>
                <w:highlight w:val="none"/>
              </w:rPr>
            </w:pPr>
          </w:p>
        </w:tc>
        <w:tc>
          <w:tcPr>
            <w:tcW w:w="2821" w:type="dxa"/>
            <w:noWrap w:val="0"/>
            <w:vAlign w:val="center"/>
          </w:tcPr>
          <w:p w14:paraId="38D454C7">
            <w:pPr>
              <w:spacing w:line="460" w:lineRule="exact"/>
              <w:jc w:val="center"/>
              <w:rPr>
                <w:rFonts w:hint="eastAsia" w:hAnsi="宋体" w:cs="宋体"/>
                <w:color w:val="auto"/>
                <w:sz w:val="24"/>
                <w:szCs w:val="24"/>
                <w:highlight w:val="none"/>
              </w:rPr>
            </w:pPr>
          </w:p>
        </w:tc>
        <w:tc>
          <w:tcPr>
            <w:tcW w:w="2318" w:type="dxa"/>
            <w:noWrap w:val="0"/>
            <w:vAlign w:val="center"/>
          </w:tcPr>
          <w:p w14:paraId="7CE1EA58">
            <w:pPr>
              <w:spacing w:line="460" w:lineRule="exact"/>
              <w:jc w:val="center"/>
              <w:rPr>
                <w:rFonts w:hint="eastAsia" w:hAnsi="宋体" w:cs="宋体"/>
                <w:color w:val="auto"/>
                <w:sz w:val="24"/>
                <w:szCs w:val="24"/>
                <w:highlight w:val="none"/>
              </w:rPr>
            </w:pPr>
          </w:p>
        </w:tc>
      </w:tr>
      <w:tr w14:paraId="7294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122" w:type="dxa"/>
            <w:noWrap w:val="0"/>
            <w:vAlign w:val="center"/>
          </w:tcPr>
          <w:p w14:paraId="615F1C81">
            <w:pPr>
              <w:spacing w:line="460" w:lineRule="exact"/>
              <w:jc w:val="center"/>
              <w:rPr>
                <w:rFonts w:hint="eastAsia" w:hAnsi="宋体" w:cs="宋体"/>
                <w:color w:val="auto"/>
                <w:sz w:val="24"/>
                <w:szCs w:val="24"/>
                <w:highlight w:val="none"/>
              </w:rPr>
            </w:pPr>
          </w:p>
        </w:tc>
        <w:tc>
          <w:tcPr>
            <w:tcW w:w="3249" w:type="dxa"/>
            <w:noWrap w:val="0"/>
            <w:vAlign w:val="center"/>
          </w:tcPr>
          <w:p w14:paraId="09E73DBE">
            <w:pPr>
              <w:spacing w:line="460" w:lineRule="exact"/>
              <w:jc w:val="center"/>
              <w:rPr>
                <w:rFonts w:hint="eastAsia" w:hAnsi="宋体" w:cs="宋体"/>
                <w:color w:val="auto"/>
                <w:sz w:val="24"/>
                <w:szCs w:val="24"/>
                <w:highlight w:val="none"/>
              </w:rPr>
            </w:pPr>
          </w:p>
        </w:tc>
        <w:tc>
          <w:tcPr>
            <w:tcW w:w="2821" w:type="dxa"/>
            <w:noWrap w:val="0"/>
            <w:vAlign w:val="center"/>
          </w:tcPr>
          <w:p w14:paraId="118F4902">
            <w:pPr>
              <w:spacing w:line="460" w:lineRule="exact"/>
              <w:jc w:val="center"/>
              <w:rPr>
                <w:rFonts w:hint="eastAsia" w:hAnsi="宋体" w:cs="宋体"/>
                <w:color w:val="auto"/>
                <w:sz w:val="24"/>
                <w:szCs w:val="24"/>
                <w:highlight w:val="none"/>
              </w:rPr>
            </w:pPr>
          </w:p>
        </w:tc>
        <w:tc>
          <w:tcPr>
            <w:tcW w:w="2318" w:type="dxa"/>
            <w:noWrap w:val="0"/>
            <w:vAlign w:val="center"/>
          </w:tcPr>
          <w:p w14:paraId="7080EE97">
            <w:pPr>
              <w:spacing w:line="460" w:lineRule="exact"/>
              <w:jc w:val="center"/>
              <w:rPr>
                <w:rFonts w:hint="eastAsia" w:hAnsi="宋体" w:cs="宋体"/>
                <w:color w:val="auto"/>
                <w:sz w:val="24"/>
                <w:szCs w:val="24"/>
                <w:highlight w:val="none"/>
              </w:rPr>
            </w:pPr>
          </w:p>
        </w:tc>
      </w:tr>
      <w:tr w14:paraId="7243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122" w:type="dxa"/>
            <w:noWrap w:val="0"/>
            <w:vAlign w:val="center"/>
          </w:tcPr>
          <w:p w14:paraId="69E6F353">
            <w:pPr>
              <w:spacing w:line="460" w:lineRule="exact"/>
              <w:jc w:val="center"/>
              <w:rPr>
                <w:rFonts w:hint="eastAsia" w:hAnsi="宋体" w:cs="宋体"/>
                <w:color w:val="auto"/>
                <w:sz w:val="24"/>
                <w:szCs w:val="24"/>
                <w:highlight w:val="none"/>
              </w:rPr>
            </w:pPr>
          </w:p>
        </w:tc>
        <w:tc>
          <w:tcPr>
            <w:tcW w:w="3249" w:type="dxa"/>
            <w:noWrap w:val="0"/>
            <w:vAlign w:val="center"/>
          </w:tcPr>
          <w:p w14:paraId="1C5E062A">
            <w:pPr>
              <w:spacing w:line="460" w:lineRule="exact"/>
              <w:jc w:val="center"/>
              <w:rPr>
                <w:rFonts w:hint="eastAsia" w:hAnsi="宋体" w:cs="宋体"/>
                <w:color w:val="auto"/>
                <w:sz w:val="24"/>
                <w:szCs w:val="24"/>
                <w:highlight w:val="none"/>
              </w:rPr>
            </w:pPr>
          </w:p>
        </w:tc>
        <w:tc>
          <w:tcPr>
            <w:tcW w:w="2821" w:type="dxa"/>
            <w:noWrap w:val="0"/>
            <w:vAlign w:val="center"/>
          </w:tcPr>
          <w:p w14:paraId="203F1458">
            <w:pPr>
              <w:spacing w:line="460" w:lineRule="exact"/>
              <w:jc w:val="center"/>
              <w:rPr>
                <w:rFonts w:hint="eastAsia" w:hAnsi="宋体" w:cs="宋体"/>
                <w:color w:val="auto"/>
                <w:sz w:val="24"/>
                <w:szCs w:val="24"/>
                <w:highlight w:val="none"/>
              </w:rPr>
            </w:pPr>
          </w:p>
        </w:tc>
        <w:tc>
          <w:tcPr>
            <w:tcW w:w="2318" w:type="dxa"/>
            <w:noWrap w:val="0"/>
            <w:vAlign w:val="center"/>
          </w:tcPr>
          <w:p w14:paraId="49BC3983">
            <w:pPr>
              <w:spacing w:line="460" w:lineRule="exact"/>
              <w:jc w:val="center"/>
              <w:rPr>
                <w:rFonts w:hint="eastAsia" w:hAnsi="宋体" w:cs="宋体"/>
                <w:color w:val="auto"/>
                <w:sz w:val="24"/>
                <w:szCs w:val="24"/>
                <w:highlight w:val="none"/>
              </w:rPr>
            </w:pPr>
          </w:p>
        </w:tc>
      </w:tr>
      <w:tr w14:paraId="6FE7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122" w:type="dxa"/>
            <w:noWrap w:val="0"/>
            <w:vAlign w:val="center"/>
          </w:tcPr>
          <w:p w14:paraId="698191FF">
            <w:pPr>
              <w:spacing w:line="460" w:lineRule="exact"/>
              <w:jc w:val="center"/>
              <w:rPr>
                <w:rFonts w:hint="eastAsia" w:hAnsi="宋体" w:cs="宋体"/>
                <w:color w:val="auto"/>
                <w:sz w:val="24"/>
                <w:szCs w:val="24"/>
                <w:highlight w:val="none"/>
              </w:rPr>
            </w:pPr>
          </w:p>
        </w:tc>
        <w:tc>
          <w:tcPr>
            <w:tcW w:w="3249" w:type="dxa"/>
            <w:noWrap w:val="0"/>
            <w:vAlign w:val="center"/>
          </w:tcPr>
          <w:p w14:paraId="767EE294">
            <w:pPr>
              <w:spacing w:line="460" w:lineRule="exact"/>
              <w:jc w:val="center"/>
              <w:rPr>
                <w:rFonts w:hint="eastAsia" w:hAnsi="宋体" w:cs="宋体"/>
                <w:color w:val="auto"/>
                <w:sz w:val="24"/>
                <w:szCs w:val="24"/>
                <w:highlight w:val="none"/>
              </w:rPr>
            </w:pPr>
          </w:p>
        </w:tc>
        <w:tc>
          <w:tcPr>
            <w:tcW w:w="2821" w:type="dxa"/>
            <w:noWrap w:val="0"/>
            <w:vAlign w:val="center"/>
          </w:tcPr>
          <w:p w14:paraId="7C308B1B">
            <w:pPr>
              <w:spacing w:line="460" w:lineRule="exact"/>
              <w:jc w:val="center"/>
              <w:rPr>
                <w:rFonts w:hint="eastAsia" w:hAnsi="宋体" w:cs="宋体"/>
                <w:color w:val="auto"/>
                <w:sz w:val="24"/>
                <w:szCs w:val="24"/>
                <w:highlight w:val="none"/>
              </w:rPr>
            </w:pPr>
          </w:p>
        </w:tc>
        <w:tc>
          <w:tcPr>
            <w:tcW w:w="2318" w:type="dxa"/>
            <w:noWrap w:val="0"/>
            <w:vAlign w:val="center"/>
          </w:tcPr>
          <w:p w14:paraId="55D9A388">
            <w:pPr>
              <w:spacing w:line="460" w:lineRule="exact"/>
              <w:jc w:val="center"/>
              <w:rPr>
                <w:rFonts w:hint="eastAsia" w:hAnsi="宋体" w:cs="宋体"/>
                <w:color w:val="auto"/>
                <w:sz w:val="24"/>
                <w:szCs w:val="24"/>
                <w:highlight w:val="none"/>
              </w:rPr>
            </w:pPr>
          </w:p>
        </w:tc>
      </w:tr>
      <w:tr w14:paraId="6C04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22" w:type="dxa"/>
            <w:noWrap w:val="0"/>
            <w:vAlign w:val="center"/>
          </w:tcPr>
          <w:p w14:paraId="3D51DE65">
            <w:pPr>
              <w:spacing w:line="460" w:lineRule="exact"/>
              <w:jc w:val="center"/>
              <w:rPr>
                <w:rFonts w:hint="eastAsia" w:hAnsi="宋体" w:cs="宋体"/>
                <w:color w:val="auto"/>
                <w:sz w:val="24"/>
                <w:szCs w:val="24"/>
                <w:highlight w:val="none"/>
              </w:rPr>
            </w:pPr>
          </w:p>
        </w:tc>
        <w:tc>
          <w:tcPr>
            <w:tcW w:w="3249" w:type="dxa"/>
            <w:noWrap w:val="0"/>
            <w:vAlign w:val="center"/>
          </w:tcPr>
          <w:p w14:paraId="0E7FF2ED">
            <w:pPr>
              <w:spacing w:line="460" w:lineRule="exact"/>
              <w:jc w:val="center"/>
              <w:rPr>
                <w:rFonts w:hint="eastAsia" w:hAnsi="宋体" w:cs="宋体"/>
                <w:color w:val="auto"/>
                <w:sz w:val="24"/>
                <w:szCs w:val="24"/>
                <w:highlight w:val="none"/>
              </w:rPr>
            </w:pPr>
          </w:p>
        </w:tc>
        <w:tc>
          <w:tcPr>
            <w:tcW w:w="2821" w:type="dxa"/>
            <w:noWrap w:val="0"/>
            <w:vAlign w:val="center"/>
          </w:tcPr>
          <w:p w14:paraId="187B1C6C">
            <w:pPr>
              <w:spacing w:line="460" w:lineRule="exact"/>
              <w:jc w:val="center"/>
              <w:rPr>
                <w:rFonts w:hint="eastAsia" w:hAnsi="宋体" w:cs="宋体"/>
                <w:color w:val="auto"/>
                <w:sz w:val="24"/>
                <w:szCs w:val="24"/>
                <w:highlight w:val="none"/>
              </w:rPr>
            </w:pPr>
          </w:p>
        </w:tc>
        <w:tc>
          <w:tcPr>
            <w:tcW w:w="2318" w:type="dxa"/>
            <w:noWrap w:val="0"/>
            <w:vAlign w:val="center"/>
          </w:tcPr>
          <w:p w14:paraId="714E8EEB">
            <w:pPr>
              <w:spacing w:line="460" w:lineRule="exact"/>
              <w:jc w:val="center"/>
              <w:rPr>
                <w:rFonts w:hint="eastAsia" w:hAnsi="宋体" w:cs="宋体"/>
                <w:color w:val="auto"/>
                <w:sz w:val="24"/>
                <w:szCs w:val="24"/>
                <w:highlight w:val="none"/>
              </w:rPr>
            </w:pPr>
          </w:p>
        </w:tc>
      </w:tr>
      <w:tr w14:paraId="7CF9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122" w:type="dxa"/>
            <w:noWrap w:val="0"/>
            <w:vAlign w:val="center"/>
          </w:tcPr>
          <w:p w14:paraId="3EAF2048">
            <w:pPr>
              <w:spacing w:line="460" w:lineRule="exact"/>
              <w:jc w:val="center"/>
              <w:rPr>
                <w:rFonts w:hint="eastAsia" w:hAnsi="宋体" w:cs="宋体"/>
                <w:color w:val="auto"/>
                <w:sz w:val="24"/>
                <w:szCs w:val="24"/>
                <w:highlight w:val="none"/>
              </w:rPr>
            </w:pPr>
          </w:p>
        </w:tc>
        <w:tc>
          <w:tcPr>
            <w:tcW w:w="3249" w:type="dxa"/>
            <w:noWrap w:val="0"/>
            <w:vAlign w:val="center"/>
          </w:tcPr>
          <w:p w14:paraId="5A2AD183">
            <w:pPr>
              <w:spacing w:line="460" w:lineRule="exact"/>
              <w:jc w:val="center"/>
              <w:rPr>
                <w:rFonts w:hint="eastAsia" w:hAnsi="宋体" w:cs="宋体"/>
                <w:color w:val="auto"/>
                <w:sz w:val="24"/>
                <w:szCs w:val="24"/>
                <w:highlight w:val="none"/>
              </w:rPr>
            </w:pPr>
          </w:p>
        </w:tc>
        <w:tc>
          <w:tcPr>
            <w:tcW w:w="2821" w:type="dxa"/>
            <w:noWrap w:val="0"/>
            <w:vAlign w:val="center"/>
          </w:tcPr>
          <w:p w14:paraId="6BD2594B">
            <w:pPr>
              <w:spacing w:line="460" w:lineRule="exact"/>
              <w:jc w:val="center"/>
              <w:rPr>
                <w:rFonts w:hint="eastAsia" w:hAnsi="宋体" w:cs="宋体"/>
                <w:color w:val="auto"/>
                <w:sz w:val="24"/>
                <w:szCs w:val="24"/>
                <w:highlight w:val="none"/>
              </w:rPr>
            </w:pPr>
          </w:p>
        </w:tc>
        <w:tc>
          <w:tcPr>
            <w:tcW w:w="2318" w:type="dxa"/>
            <w:noWrap w:val="0"/>
            <w:vAlign w:val="center"/>
          </w:tcPr>
          <w:p w14:paraId="43F169F0">
            <w:pPr>
              <w:spacing w:line="460" w:lineRule="exact"/>
              <w:jc w:val="center"/>
              <w:rPr>
                <w:rFonts w:hint="eastAsia" w:hAnsi="宋体" w:cs="宋体"/>
                <w:color w:val="auto"/>
                <w:sz w:val="24"/>
                <w:szCs w:val="24"/>
                <w:highlight w:val="none"/>
              </w:rPr>
            </w:pPr>
          </w:p>
        </w:tc>
      </w:tr>
      <w:tr w14:paraId="5759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122" w:type="dxa"/>
            <w:noWrap w:val="0"/>
            <w:vAlign w:val="center"/>
          </w:tcPr>
          <w:p w14:paraId="55D92965">
            <w:pPr>
              <w:spacing w:line="460" w:lineRule="exact"/>
              <w:jc w:val="center"/>
              <w:rPr>
                <w:rFonts w:hint="eastAsia" w:hAnsi="宋体" w:cs="宋体"/>
                <w:color w:val="auto"/>
                <w:sz w:val="24"/>
                <w:szCs w:val="24"/>
                <w:highlight w:val="none"/>
              </w:rPr>
            </w:pPr>
          </w:p>
        </w:tc>
        <w:tc>
          <w:tcPr>
            <w:tcW w:w="3249" w:type="dxa"/>
            <w:noWrap w:val="0"/>
            <w:vAlign w:val="center"/>
          </w:tcPr>
          <w:p w14:paraId="5922C5ED">
            <w:pPr>
              <w:spacing w:line="460" w:lineRule="exact"/>
              <w:jc w:val="center"/>
              <w:rPr>
                <w:rFonts w:hint="eastAsia" w:hAnsi="宋体" w:cs="宋体"/>
                <w:color w:val="auto"/>
                <w:sz w:val="24"/>
                <w:szCs w:val="24"/>
                <w:highlight w:val="none"/>
              </w:rPr>
            </w:pPr>
          </w:p>
        </w:tc>
        <w:tc>
          <w:tcPr>
            <w:tcW w:w="2821" w:type="dxa"/>
            <w:noWrap w:val="0"/>
            <w:vAlign w:val="center"/>
          </w:tcPr>
          <w:p w14:paraId="70309798">
            <w:pPr>
              <w:spacing w:line="460" w:lineRule="exact"/>
              <w:jc w:val="center"/>
              <w:rPr>
                <w:rFonts w:hint="eastAsia" w:hAnsi="宋体" w:cs="宋体"/>
                <w:color w:val="auto"/>
                <w:sz w:val="24"/>
                <w:szCs w:val="24"/>
                <w:highlight w:val="none"/>
              </w:rPr>
            </w:pPr>
          </w:p>
        </w:tc>
        <w:tc>
          <w:tcPr>
            <w:tcW w:w="2318" w:type="dxa"/>
            <w:noWrap w:val="0"/>
            <w:vAlign w:val="center"/>
          </w:tcPr>
          <w:p w14:paraId="4DF9ADC1">
            <w:pPr>
              <w:spacing w:line="460" w:lineRule="exact"/>
              <w:jc w:val="center"/>
              <w:rPr>
                <w:rFonts w:hint="eastAsia" w:hAnsi="宋体" w:cs="宋体"/>
                <w:color w:val="auto"/>
                <w:sz w:val="24"/>
                <w:szCs w:val="24"/>
                <w:highlight w:val="none"/>
              </w:rPr>
            </w:pPr>
          </w:p>
        </w:tc>
      </w:tr>
      <w:tr w14:paraId="6463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22" w:type="dxa"/>
            <w:noWrap w:val="0"/>
            <w:vAlign w:val="center"/>
          </w:tcPr>
          <w:p w14:paraId="15BDE5BB">
            <w:pPr>
              <w:spacing w:line="460" w:lineRule="exact"/>
              <w:jc w:val="center"/>
              <w:rPr>
                <w:rFonts w:hint="eastAsia" w:hAnsi="宋体" w:cs="宋体"/>
                <w:color w:val="auto"/>
                <w:sz w:val="24"/>
                <w:szCs w:val="24"/>
                <w:highlight w:val="none"/>
              </w:rPr>
            </w:pPr>
          </w:p>
        </w:tc>
        <w:tc>
          <w:tcPr>
            <w:tcW w:w="3249" w:type="dxa"/>
            <w:noWrap w:val="0"/>
            <w:vAlign w:val="center"/>
          </w:tcPr>
          <w:p w14:paraId="33EAA7BA">
            <w:pPr>
              <w:spacing w:line="460" w:lineRule="exact"/>
              <w:jc w:val="center"/>
              <w:rPr>
                <w:rFonts w:hint="eastAsia" w:hAnsi="宋体" w:cs="宋体"/>
                <w:color w:val="auto"/>
                <w:sz w:val="24"/>
                <w:szCs w:val="24"/>
                <w:highlight w:val="none"/>
              </w:rPr>
            </w:pPr>
          </w:p>
        </w:tc>
        <w:tc>
          <w:tcPr>
            <w:tcW w:w="2821" w:type="dxa"/>
            <w:noWrap w:val="0"/>
            <w:vAlign w:val="center"/>
          </w:tcPr>
          <w:p w14:paraId="2F31400E">
            <w:pPr>
              <w:spacing w:line="460" w:lineRule="exact"/>
              <w:jc w:val="center"/>
              <w:rPr>
                <w:rFonts w:hint="eastAsia" w:hAnsi="宋体" w:cs="宋体"/>
                <w:color w:val="auto"/>
                <w:sz w:val="24"/>
                <w:szCs w:val="24"/>
                <w:highlight w:val="none"/>
              </w:rPr>
            </w:pPr>
          </w:p>
        </w:tc>
        <w:tc>
          <w:tcPr>
            <w:tcW w:w="2318" w:type="dxa"/>
            <w:noWrap w:val="0"/>
            <w:vAlign w:val="center"/>
          </w:tcPr>
          <w:p w14:paraId="59943F51">
            <w:pPr>
              <w:spacing w:line="460" w:lineRule="exact"/>
              <w:jc w:val="center"/>
              <w:rPr>
                <w:rFonts w:hint="eastAsia" w:hAnsi="宋体" w:cs="宋体"/>
                <w:color w:val="auto"/>
                <w:sz w:val="24"/>
                <w:szCs w:val="24"/>
                <w:highlight w:val="none"/>
              </w:rPr>
            </w:pPr>
          </w:p>
        </w:tc>
      </w:tr>
      <w:tr w14:paraId="372E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2" w:type="dxa"/>
            <w:noWrap w:val="0"/>
            <w:vAlign w:val="center"/>
          </w:tcPr>
          <w:p w14:paraId="4872DFF4">
            <w:pPr>
              <w:spacing w:line="460" w:lineRule="exact"/>
              <w:jc w:val="center"/>
              <w:rPr>
                <w:rFonts w:hint="eastAsia" w:hAnsi="宋体" w:cs="宋体"/>
                <w:color w:val="auto"/>
                <w:sz w:val="24"/>
                <w:szCs w:val="24"/>
                <w:highlight w:val="none"/>
              </w:rPr>
            </w:pPr>
          </w:p>
        </w:tc>
        <w:tc>
          <w:tcPr>
            <w:tcW w:w="3249" w:type="dxa"/>
            <w:noWrap w:val="0"/>
            <w:vAlign w:val="center"/>
          </w:tcPr>
          <w:p w14:paraId="74DBAE34">
            <w:pPr>
              <w:spacing w:line="460" w:lineRule="exact"/>
              <w:jc w:val="center"/>
              <w:rPr>
                <w:rFonts w:hint="eastAsia" w:hAnsi="宋体" w:cs="宋体"/>
                <w:color w:val="auto"/>
                <w:sz w:val="24"/>
                <w:szCs w:val="24"/>
                <w:highlight w:val="none"/>
              </w:rPr>
            </w:pPr>
          </w:p>
        </w:tc>
        <w:tc>
          <w:tcPr>
            <w:tcW w:w="2821" w:type="dxa"/>
            <w:noWrap w:val="0"/>
            <w:vAlign w:val="center"/>
          </w:tcPr>
          <w:p w14:paraId="12D0D762">
            <w:pPr>
              <w:spacing w:line="460" w:lineRule="exact"/>
              <w:jc w:val="center"/>
              <w:rPr>
                <w:rFonts w:hint="eastAsia" w:hAnsi="宋体" w:cs="宋体"/>
                <w:color w:val="auto"/>
                <w:sz w:val="24"/>
                <w:szCs w:val="24"/>
                <w:highlight w:val="none"/>
              </w:rPr>
            </w:pPr>
          </w:p>
        </w:tc>
        <w:tc>
          <w:tcPr>
            <w:tcW w:w="2318" w:type="dxa"/>
            <w:noWrap w:val="0"/>
            <w:vAlign w:val="center"/>
          </w:tcPr>
          <w:p w14:paraId="19716086">
            <w:pPr>
              <w:spacing w:line="460" w:lineRule="exact"/>
              <w:jc w:val="center"/>
              <w:rPr>
                <w:rFonts w:hint="eastAsia" w:hAnsi="宋体" w:cs="宋体"/>
                <w:color w:val="auto"/>
                <w:sz w:val="24"/>
                <w:szCs w:val="24"/>
                <w:highlight w:val="none"/>
              </w:rPr>
            </w:pPr>
          </w:p>
        </w:tc>
      </w:tr>
    </w:tbl>
    <w:p w14:paraId="60BF105D">
      <w:pPr>
        <w:spacing w:line="380" w:lineRule="exact"/>
        <w:rPr>
          <w:rFonts w:hint="eastAsia" w:hAnsi="宋体" w:cs="宋体"/>
          <w:b/>
          <w:color w:val="auto"/>
          <w:sz w:val="24"/>
          <w:szCs w:val="24"/>
          <w:highlight w:val="none"/>
        </w:rPr>
      </w:pPr>
      <w:r>
        <w:rPr>
          <w:rFonts w:hint="eastAsia" w:hAnsi="宋体" w:cs="宋体"/>
          <w:b/>
          <w:color w:val="auto"/>
          <w:sz w:val="24"/>
          <w:szCs w:val="24"/>
          <w:highlight w:val="none"/>
        </w:rPr>
        <w:t>注：不填写此表视为完全响应招标文件内容。</w:t>
      </w:r>
    </w:p>
    <w:p w14:paraId="0F4C185F">
      <w:pPr>
        <w:spacing w:line="380" w:lineRule="exact"/>
        <w:ind w:firstLine="4819" w:firstLineChars="2000"/>
        <w:rPr>
          <w:rFonts w:hint="eastAsia" w:hAnsi="宋体" w:cs="宋体"/>
          <w:b/>
          <w:color w:val="auto"/>
          <w:sz w:val="24"/>
          <w:szCs w:val="24"/>
          <w:highlight w:val="none"/>
        </w:rPr>
      </w:pPr>
    </w:p>
    <w:p w14:paraId="0E7F6DD0">
      <w:pPr>
        <w:spacing w:line="380" w:lineRule="exact"/>
        <w:rPr>
          <w:rFonts w:hint="eastAsia" w:hAnsi="宋体" w:cs="宋体"/>
          <w:color w:val="auto"/>
          <w:sz w:val="24"/>
          <w:szCs w:val="24"/>
          <w:highlight w:val="none"/>
        </w:rPr>
      </w:pPr>
      <w:r>
        <w:rPr>
          <w:rFonts w:hint="eastAsia" w:hAnsi="宋体" w:cs="宋体"/>
          <w:color w:val="auto"/>
          <w:sz w:val="24"/>
          <w:szCs w:val="24"/>
          <w:highlight w:val="none"/>
        </w:rPr>
        <w:t>投标人全称（盖章）：</w:t>
      </w:r>
    </w:p>
    <w:p w14:paraId="47D55B5B">
      <w:pPr>
        <w:spacing w:line="380" w:lineRule="exact"/>
        <w:rPr>
          <w:rFonts w:hint="eastAsia"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5F18BBA1">
      <w:pPr>
        <w:snapToGrid w:val="0"/>
        <w:spacing w:before="50" w:after="50"/>
        <w:rPr>
          <w:rFonts w:hint="eastAsia" w:hAnsi="宋体" w:cs="宋体"/>
          <w:color w:val="auto"/>
          <w:sz w:val="24"/>
          <w:szCs w:val="24"/>
          <w:highlight w:val="none"/>
        </w:rPr>
      </w:pPr>
      <w:r>
        <w:rPr>
          <w:rFonts w:hint="eastAsia" w:hAnsi="宋体" w:cs="宋体"/>
          <w:color w:val="auto"/>
          <w:sz w:val="24"/>
          <w:szCs w:val="24"/>
          <w:highlight w:val="none"/>
        </w:rPr>
        <w:t>日期：  年   月  日</w:t>
      </w:r>
    </w:p>
    <w:p w14:paraId="00609C88">
      <w:pPr>
        <w:snapToGrid w:val="0"/>
        <w:spacing w:before="50" w:after="50"/>
        <w:ind w:firstLine="4800" w:firstLineChars="2000"/>
        <w:rPr>
          <w:rFonts w:hint="eastAsia" w:hAnsi="宋体" w:cs="宋体"/>
          <w:color w:val="auto"/>
          <w:sz w:val="24"/>
          <w:szCs w:val="24"/>
          <w:highlight w:val="none"/>
        </w:rPr>
        <w:sectPr>
          <w:pgSz w:w="11906" w:h="16838"/>
          <w:pgMar w:top="1440" w:right="1304" w:bottom="1440" w:left="1304" w:header="567" w:footer="964" w:gutter="0"/>
          <w:pgNumType w:fmt="decimal"/>
          <w:cols w:space="720" w:num="1"/>
          <w:docGrid w:type="lines" w:linePitch="634" w:charSpace="0"/>
        </w:sectPr>
      </w:pPr>
    </w:p>
    <w:p w14:paraId="2FA33322">
      <w:pPr>
        <w:pStyle w:val="2"/>
        <w:ind w:left="0" w:leftChars="0" w:firstLine="0"/>
        <w:jc w:val="center"/>
        <w:rPr>
          <w:rFonts w:hint="eastAsia" w:ascii="宋体" w:hAnsi="宋体" w:cs="宋体"/>
          <w:b/>
          <w:color w:val="auto"/>
          <w:sz w:val="24"/>
          <w:szCs w:val="24"/>
          <w:highlight w:val="none"/>
        </w:rPr>
      </w:pPr>
      <w:r>
        <w:rPr>
          <w:rFonts w:hint="eastAsia" w:hAnsi="宋体" w:cs="宋体"/>
          <w:b/>
          <w:color w:val="auto"/>
          <w:sz w:val="24"/>
          <w:szCs w:val="24"/>
          <w:highlight w:val="none"/>
        </w:rPr>
        <w:t>6.</w:t>
      </w:r>
      <w:r>
        <w:rPr>
          <w:rFonts w:hint="eastAsia" w:ascii="宋体" w:hAnsi="宋体" w:cs="宋体"/>
          <w:b/>
          <w:color w:val="auto"/>
          <w:sz w:val="24"/>
          <w:szCs w:val="24"/>
          <w:highlight w:val="none"/>
        </w:rPr>
        <w:t>投标人项目组成人员一览表</w:t>
      </w:r>
    </w:p>
    <w:tbl>
      <w:tblPr>
        <w:tblStyle w:val="17"/>
        <w:tblW w:w="934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520"/>
        <w:gridCol w:w="720"/>
        <w:gridCol w:w="720"/>
        <w:gridCol w:w="720"/>
        <w:gridCol w:w="1080"/>
        <w:gridCol w:w="1337"/>
        <w:gridCol w:w="1423"/>
      </w:tblGrid>
      <w:tr w14:paraId="6F94DD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3B27CC4">
            <w:pPr>
              <w:jc w:val="center"/>
              <w:rPr>
                <w:rFonts w:hint="eastAsia" w:hAnsi="宋体" w:cs="宋体"/>
                <w:bCs/>
                <w:color w:val="auto"/>
                <w:sz w:val="24"/>
                <w:szCs w:val="24"/>
                <w:highlight w:val="none"/>
              </w:rPr>
            </w:pPr>
            <w:r>
              <w:rPr>
                <w:rFonts w:hint="eastAsia" w:hAnsi="宋体" w:cs="宋体"/>
                <w:bCs/>
                <w:color w:val="auto"/>
                <w:sz w:val="24"/>
                <w:szCs w:val="24"/>
                <w:highlight w:val="none"/>
              </w:rPr>
              <w:t>姓名</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1F1C9003">
            <w:pPr>
              <w:jc w:val="center"/>
              <w:rPr>
                <w:rFonts w:hint="eastAsia" w:hAnsi="宋体" w:cs="宋体"/>
                <w:bCs/>
                <w:color w:val="auto"/>
                <w:sz w:val="24"/>
                <w:szCs w:val="24"/>
                <w:highlight w:val="none"/>
              </w:rPr>
            </w:pPr>
            <w:r>
              <w:rPr>
                <w:rFonts w:hint="eastAsia" w:hAnsi="宋体" w:cs="宋体"/>
                <w:bCs/>
                <w:color w:val="auto"/>
                <w:sz w:val="24"/>
                <w:szCs w:val="24"/>
                <w:highlight w:val="none"/>
              </w:rPr>
              <w:t>本项目主要工作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D776996">
            <w:pPr>
              <w:jc w:val="center"/>
              <w:rPr>
                <w:rFonts w:hint="eastAsia" w:hAnsi="宋体" w:cs="宋体"/>
                <w:bCs/>
                <w:color w:val="auto"/>
                <w:sz w:val="24"/>
                <w:szCs w:val="24"/>
                <w:highlight w:val="none"/>
              </w:rPr>
            </w:pPr>
            <w:r>
              <w:rPr>
                <w:rFonts w:hint="eastAsia" w:hAnsi="宋体" w:cs="宋体"/>
                <w:bCs/>
                <w:color w:val="auto"/>
                <w:sz w:val="24"/>
                <w:szCs w:val="24"/>
                <w:highlight w:val="none"/>
              </w:rPr>
              <w:t>年龄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CE425BD">
            <w:pPr>
              <w:jc w:val="center"/>
              <w:rPr>
                <w:rFonts w:hint="eastAsia" w:hAnsi="宋体" w:cs="宋体"/>
                <w:bCs/>
                <w:color w:val="auto"/>
                <w:sz w:val="24"/>
                <w:szCs w:val="24"/>
                <w:highlight w:val="none"/>
              </w:rPr>
            </w:pPr>
            <w:r>
              <w:rPr>
                <w:rFonts w:hint="eastAsia" w:hAnsi="宋体" w:cs="宋体"/>
                <w:bCs/>
                <w:color w:val="auto"/>
                <w:sz w:val="24"/>
                <w:szCs w:val="24"/>
                <w:highlight w:val="none"/>
              </w:rPr>
              <w:t>性别</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F589B9">
            <w:pPr>
              <w:jc w:val="center"/>
              <w:rPr>
                <w:rFonts w:hint="eastAsia" w:hAnsi="宋体" w:cs="宋体"/>
                <w:bCs/>
                <w:color w:val="auto"/>
                <w:sz w:val="24"/>
                <w:szCs w:val="24"/>
                <w:highlight w:val="none"/>
              </w:rPr>
            </w:pPr>
            <w:r>
              <w:rPr>
                <w:rFonts w:hint="eastAsia" w:hAnsi="宋体" w:cs="宋体"/>
                <w:bCs/>
                <w:color w:val="auto"/>
                <w:sz w:val="24"/>
                <w:szCs w:val="24"/>
                <w:highlight w:val="none"/>
              </w:rPr>
              <w:t>专业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57CF3F">
            <w:pPr>
              <w:jc w:val="center"/>
              <w:rPr>
                <w:rFonts w:hint="eastAsia" w:hAnsi="宋体" w:cs="宋体"/>
                <w:bCs/>
                <w:color w:val="auto"/>
                <w:sz w:val="24"/>
                <w:szCs w:val="24"/>
                <w:highlight w:val="none"/>
              </w:rPr>
            </w:pPr>
            <w:r>
              <w:rPr>
                <w:rFonts w:hint="eastAsia" w:hAnsi="宋体" w:cs="宋体"/>
                <w:bCs/>
                <w:color w:val="auto"/>
                <w:sz w:val="24"/>
                <w:szCs w:val="24"/>
                <w:highlight w:val="none"/>
              </w:rPr>
              <w:t>专业</w:t>
            </w:r>
          </w:p>
          <w:p w14:paraId="34D869E8">
            <w:pPr>
              <w:jc w:val="center"/>
              <w:rPr>
                <w:rFonts w:hint="eastAsia" w:hAnsi="宋体" w:cs="宋体"/>
                <w:bCs/>
                <w:color w:val="auto"/>
                <w:sz w:val="24"/>
                <w:szCs w:val="24"/>
                <w:highlight w:val="none"/>
              </w:rPr>
            </w:pPr>
            <w:r>
              <w:rPr>
                <w:rFonts w:hint="eastAsia" w:hAnsi="宋体" w:cs="宋体"/>
                <w:bCs/>
                <w:color w:val="auto"/>
                <w:sz w:val="24"/>
                <w:szCs w:val="24"/>
                <w:highlight w:val="none"/>
              </w:rPr>
              <w:t>年限</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03279FC9">
            <w:pPr>
              <w:jc w:val="center"/>
              <w:rPr>
                <w:rFonts w:hint="eastAsia" w:hAnsi="宋体" w:cs="宋体"/>
                <w:bCs/>
                <w:color w:val="auto"/>
                <w:sz w:val="24"/>
                <w:szCs w:val="24"/>
                <w:highlight w:val="none"/>
              </w:rPr>
            </w:pPr>
            <w:r>
              <w:rPr>
                <w:rFonts w:hint="eastAsia" w:hAnsi="宋体" w:cs="宋体"/>
                <w:bCs/>
                <w:color w:val="auto"/>
                <w:sz w:val="24"/>
                <w:szCs w:val="24"/>
                <w:highlight w:val="none"/>
              </w:rPr>
              <w:t>执业资格</w:t>
            </w:r>
          </w:p>
          <w:p w14:paraId="3B1B7D7A">
            <w:pPr>
              <w:jc w:val="center"/>
              <w:rPr>
                <w:rFonts w:hint="eastAsia" w:hAnsi="宋体" w:cs="宋体"/>
                <w:bCs/>
                <w:color w:val="auto"/>
                <w:sz w:val="24"/>
                <w:szCs w:val="24"/>
                <w:highlight w:val="none"/>
              </w:rPr>
            </w:pPr>
            <w:r>
              <w:rPr>
                <w:rFonts w:hint="eastAsia" w:hAnsi="宋体" w:cs="宋体"/>
                <w:bCs/>
                <w:color w:val="auto"/>
                <w:sz w:val="24"/>
                <w:szCs w:val="24"/>
                <w:highlight w:val="none"/>
              </w:rPr>
              <w:t>和职称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4E6F74B">
            <w:pPr>
              <w:jc w:val="center"/>
              <w:rPr>
                <w:rFonts w:hint="eastAsia" w:hAnsi="宋体" w:cs="宋体"/>
                <w:bCs/>
                <w:color w:val="auto"/>
                <w:sz w:val="24"/>
                <w:szCs w:val="24"/>
                <w:highlight w:val="none"/>
              </w:rPr>
            </w:pPr>
            <w:r>
              <w:rPr>
                <w:rFonts w:hint="eastAsia" w:hAnsi="宋体" w:cs="宋体"/>
                <w:bCs/>
                <w:color w:val="auto"/>
                <w:sz w:val="24"/>
                <w:szCs w:val="24"/>
                <w:highlight w:val="none"/>
                <w:lang w:eastAsia="zh-Hans"/>
              </w:rPr>
              <w:t>上岗时间</w:t>
            </w:r>
          </w:p>
        </w:tc>
      </w:tr>
      <w:tr w14:paraId="28EF35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00BC4F0">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4435BF87">
            <w:pPr>
              <w:pStyle w:val="33"/>
              <w:widowControl w:val="0"/>
              <w:pBdr>
                <w:left w:val="none" w:color="auto" w:sz="0" w:space="0"/>
                <w:bottom w:val="none" w:color="auto" w:sz="0" w:space="0"/>
                <w:right w:val="none" w:color="auto" w:sz="0" w:space="0"/>
              </w:pBdr>
              <w:spacing w:before="0" w:beforeAutospacing="0" w:after="0" w:afterAutospacing="0" w:line="360" w:lineRule="auto"/>
              <w:textAlignment w:val="auto"/>
              <w:rPr>
                <w:rFonts w:hint="eastAsia" w:ascii="宋体" w:hAnsi="宋体" w:eastAsia="宋体" w:cs="宋体"/>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CBAB35D">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ED6529A">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7E78EA5">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9CC1978">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554ADE85">
            <w:pPr>
              <w:pStyle w:val="12"/>
              <w:spacing w:line="360" w:lineRule="auto"/>
              <w:ind w:left="8500"/>
              <w:rPr>
                <w:rFonts w:hint="eastAsia" w:ascii="宋体"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CEA3D06">
            <w:pPr>
              <w:spacing w:line="360" w:lineRule="auto"/>
              <w:rPr>
                <w:rFonts w:hint="eastAsia" w:hAnsi="宋体" w:cs="宋体"/>
                <w:color w:val="auto"/>
                <w:sz w:val="24"/>
                <w:szCs w:val="24"/>
                <w:highlight w:val="none"/>
              </w:rPr>
            </w:pPr>
          </w:p>
        </w:tc>
      </w:tr>
      <w:tr w14:paraId="775B5C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1B46CD4">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1A024920">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69483FB">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0004CF7">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181FDA8">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54E984">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02C0D0D7">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58E6BF0">
            <w:pPr>
              <w:spacing w:line="360" w:lineRule="auto"/>
              <w:rPr>
                <w:rFonts w:hint="eastAsia" w:hAnsi="宋体" w:cs="宋体"/>
                <w:color w:val="auto"/>
                <w:sz w:val="24"/>
                <w:szCs w:val="24"/>
                <w:highlight w:val="none"/>
              </w:rPr>
            </w:pPr>
          </w:p>
        </w:tc>
      </w:tr>
      <w:tr w14:paraId="03670A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68005EC">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1C5AF4C4">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D9EACA7">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98C9D81">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98E8194">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93D506">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63BCC47C">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4B4517D">
            <w:pPr>
              <w:spacing w:line="360" w:lineRule="auto"/>
              <w:rPr>
                <w:rFonts w:hint="eastAsia" w:hAnsi="宋体" w:cs="宋体"/>
                <w:color w:val="auto"/>
                <w:sz w:val="24"/>
                <w:szCs w:val="24"/>
                <w:highlight w:val="none"/>
              </w:rPr>
            </w:pPr>
          </w:p>
        </w:tc>
      </w:tr>
      <w:tr w14:paraId="0776F0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26A9ECB">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331B7605">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696EB7">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767EB26">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3FAEB9D">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85E795D">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48DF7B13">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F4CFD4A">
            <w:pPr>
              <w:spacing w:line="360" w:lineRule="auto"/>
              <w:rPr>
                <w:rFonts w:hint="eastAsia" w:hAnsi="宋体" w:cs="宋体"/>
                <w:color w:val="auto"/>
                <w:sz w:val="24"/>
                <w:szCs w:val="24"/>
                <w:highlight w:val="none"/>
              </w:rPr>
            </w:pPr>
          </w:p>
        </w:tc>
      </w:tr>
      <w:tr w14:paraId="16445C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E314F34">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4DA3E2B8">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68B9331">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78F0496">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C8D226D">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166339">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208C2AAC">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99C5B7E">
            <w:pPr>
              <w:spacing w:line="360" w:lineRule="auto"/>
              <w:rPr>
                <w:rFonts w:hint="eastAsia" w:hAnsi="宋体" w:cs="宋体"/>
                <w:color w:val="auto"/>
                <w:sz w:val="24"/>
                <w:szCs w:val="24"/>
                <w:highlight w:val="none"/>
              </w:rPr>
            </w:pPr>
          </w:p>
        </w:tc>
      </w:tr>
      <w:tr w14:paraId="13B4E5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A698B6A">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1CE1543F">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B26C89D">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4F38D8">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8A86107">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8EB5666">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759F4119">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CACE9BB">
            <w:pPr>
              <w:spacing w:line="360" w:lineRule="auto"/>
              <w:rPr>
                <w:rFonts w:hint="eastAsia" w:hAnsi="宋体" w:cs="宋体"/>
                <w:color w:val="auto"/>
                <w:sz w:val="24"/>
                <w:szCs w:val="24"/>
                <w:highlight w:val="none"/>
              </w:rPr>
            </w:pPr>
          </w:p>
        </w:tc>
      </w:tr>
      <w:tr w14:paraId="0A6D4F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BCACE04">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2CA9F97C">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E8BF45">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F84E147">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754D33F">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983D9BB">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61AAF52C">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8C0263C">
            <w:pPr>
              <w:spacing w:line="360" w:lineRule="auto"/>
              <w:rPr>
                <w:rFonts w:hint="eastAsia" w:hAnsi="宋体" w:cs="宋体"/>
                <w:color w:val="auto"/>
                <w:sz w:val="24"/>
                <w:szCs w:val="24"/>
                <w:highlight w:val="none"/>
              </w:rPr>
            </w:pPr>
          </w:p>
        </w:tc>
      </w:tr>
      <w:tr w14:paraId="0F7E02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F2341FC">
            <w:pPr>
              <w:spacing w:line="360" w:lineRule="auto"/>
              <w:rPr>
                <w:rFonts w:hint="eastAsia" w:hAnsi="宋体" w:cs="宋体"/>
                <w:color w:val="auto"/>
                <w:sz w:val="24"/>
                <w:szCs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3D895CFA">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A4DEEB0">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0ED9446">
            <w:pPr>
              <w:spacing w:line="360" w:lineRule="auto"/>
              <w:rPr>
                <w:rFonts w:hint="eastAsia" w:hAnsi="宋体" w:cs="宋体"/>
                <w:color w:val="auto"/>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A54BB3">
            <w:pPr>
              <w:spacing w:line="360" w:lineRule="auto"/>
              <w:rPr>
                <w:rFonts w:hint="eastAsia" w:hAnsi="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B594057">
            <w:pPr>
              <w:spacing w:line="360" w:lineRule="auto"/>
              <w:rPr>
                <w:rFonts w:hint="eastAsia" w:hAnsi="宋体" w:cs="宋体"/>
                <w:color w:val="auto"/>
                <w:sz w:val="24"/>
                <w:szCs w:val="24"/>
                <w:highlight w:val="none"/>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72AD50DA">
            <w:pPr>
              <w:spacing w:line="360" w:lineRule="auto"/>
              <w:rPr>
                <w:rFonts w:hint="eastAsia"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7C1328B">
            <w:pPr>
              <w:spacing w:line="360" w:lineRule="auto"/>
              <w:rPr>
                <w:rFonts w:hint="eastAsia" w:hAnsi="宋体" w:cs="宋体"/>
                <w:color w:val="auto"/>
                <w:sz w:val="24"/>
                <w:szCs w:val="24"/>
                <w:highlight w:val="none"/>
              </w:rPr>
            </w:pPr>
          </w:p>
        </w:tc>
      </w:tr>
    </w:tbl>
    <w:p w14:paraId="6C7A899B">
      <w:pPr>
        <w:spacing w:line="460" w:lineRule="atLeast"/>
        <w:rPr>
          <w:rFonts w:hint="eastAsia" w:hAnsi="宋体" w:cs="宋体"/>
          <w:color w:val="auto"/>
          <w:sz w:val="24"/>
          <w:szCs w:val="24"/>
          <w:highlight w:val="none"/>
        </w:rPr>
      </w:pPr>
      <w:r>
        <w:rPr>
          <w:rFonts w:hint="eastAsia" w:hAnsi="宋体" w:cs="宋体"/>
          <w:color w:val="auto"/>
          <w:sz w:val="24"/>
          <w:szCs w:val="24"/>
          <w:highlight w:val="none"/>
        </w:rPr>
        <w:t>注：1.本表应附执业资格证书、社保证明等证明文件复印件。</w:t>
      </w:r>
    </w:p>
    <w:p w14:paraId="10DF7A33">
      <w:pPr>
        <w:spacing w:line="460" w:lineRule="atLeast"/>
        <w:ind w:firstLine="480"/>
        <w:rPr>
          <w:rFonts w:hint="eastAsia" w:hAnsi="宋体" w:cs="宋体"/>
          <w:color w:val="auto"/>
          <w:sz w:val="24"/>
          <w:szCs w:val="24"/>
          <w:highlight w:val="none"/>
        </w:rPr>
      </w:pPr>
      <w:r>
        <w:rPr>
          <w:rFonts w:hint="eastAsia" w:hAnsi="宋体" w:cs="宋体"/>
          <w:color w:val="auto"/>
          <w:sz w:val="24"/>
          <w:szCs w:val="24"/>
          <w:highlight w:val="none"/>
        </w:rPr>
        <w:t>2.列入本表人员如要更换，需经招标人同意；擅自更换或不到位属违约行为。</w:t>
      </w:r>
    </w:p>
    <w:p w14:paraId="21E26AFB">
      <w:pPr>
        <w:spacing w:line="460" w:lineRule="atLeas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3.表格可以延续。</w:t>
      </w:r>
    </w:p>
    <w:p w14:paraId="40DD8B87">
      <w:pPr>
        <w:spacing w:line="460" w:lineRule="atLeast"/>
        <w:rPr>
          <w:rFonts w:hint="eastAsia" w:hAnsi="宋体" w:cs="宋体"/>
          <w:color w:val="auto"/>
          <w:sz w:val="24"/>
          <w:szCs w:val="24"/>
          <w:highlight w:val="none"/>
        </w:rPr>
      </w:pPr>
      <w:r>
        <w:rPr>
          <w:rFonts w:hint="eastAsia" w:hAnsi="宋体" w:cs="宋体"/>
          <w:color w:val="auto"/>
          <w:sz w:val="24"/>
          <w:szCs w:val="24"/>
          <w:highlight w:val="none"/>
        </w:rPr>
        <w:t>投标人全称（盖章）：</w:t>
      </w:r>
    </w:p>
    <w:p w14:paraId="216E9B43">
      <w:pPr>
        <w:spacing w:line="460" w:lineRule="atLeast"/>
        <w:rPr>
          <w:rFonts w:hint="eastAsia"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4D31184E">
      <w:pPr>
        <w:spacing w:line="460" w:lineRule="atLeast"/>
        <w:rPr>
          <w:rFonts w:hint="eastAsia" w:hAnsi="宋体" w:cs="宋体"/>
          <w:color w:val="auto"/>
          <w:sz w:val="24"/>
          <w:szCs w:val="24"/>
          <w:highlight w:val="none"/>
        </w:rPr>
      </w:pPr>
      <w:r>
        <w:rPr>
          <w:rFonts w:hint="eastAsia" w:hAnsi="宋体" w:cs="宋体"/>
          <w:color w:val="auto"/>
          <w:sz w:val="24"/>
          <w:szCs w:val="24"/>
          <w:highlight w:val="none"/>
        </w:rPr>
        <w:t>日期：  年   月  日</w:t>
      </w:r>
    </w:p>
    <w:p w14:paraId="7CD12694">
      <w:pPr>
        <w:pStyle w:val="24"/>
        <w:rPr>
          <w:rFonts w:hint="eastAsia" w:hAnsi="宋体" w:cs="宋体"/>
          <w:color w:val="auto"/>
          <w:sz w:val="24"/>
          <w:szCs w:val="24"/>
          <w:highlight w:val="none"/>
        </w:rPr>
      </w:pPr>
    </w:p>
    <w:bookmarkEnd w:id="30"/>
    <w:bookmarkEnd w:id="31"/>
    <w:bookmarkEnd w:id="32"/>
    <w:bookmarkEnd w:id="33"/>
    <w:bookmarkEnd w:id="34"/>
    <w:p w14:paraId="04FB681D">
      <w:pPr>
        <w:spacing w:line="300" w:lineRule="auto"/>
        <w:rPr>
          <w:rFonts w:hint="eastAsia" w:hAnsi="宋体" w:cs="宋体"/>
          <w:b/>
          <w:bCs/>
          <w:color w:val="auto"/>
          <w:sz w:val="24"/>
          <w:szCs w:val="24"/>
          <w:highlight w:val="none"/>
        </w:rPr>
      </w:pPr>
      <w:r>
        <w:rPr>
          <w:rFonts w:hint="eastAsia" w:hAnsi="宋体" w:cs="宋体"/>
          <w:b/>
          <w:bCs/>
          <w:color w:val="auto"/>
          <w:sz w:val="24"/>
          <w:szCs w:val="24"/>
          <w:highlight w:val="none"/>
        </w:rPr>
        <w:t>（三）报价文件部分</w:t>
      </w:r>
    </w:p>
    <w:p w14:paraId="218B1F17">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1.投标函格式：</w:t>
      </w:r>
    </w:p>
    <w:p w14:paraId="44E7B539">
      <w:pPr>
        <w:snapToGrid w:val="0"/>
        <w:spacing w:line="500" w:lineRule="exact"/>
        <w:jc w:val="center"/>
        <w:rPr>
          <w:rFonts w:hint="eastAsia" w:hAnsi="宋体" w:cs="宋体"/>
          <w:b/>
          <w:color w:val="auto"/>
          <w:sz w:val="24"/>
          <w:szCs w:val="24"/>
          <w:highlight w:val="none"/>
        </w:rPr>
      </w:pPr>
      <w:r>
        <w:rPr>
          <w:rFonts w:hint="eastAsia" w:hAnsi="宋体" w:cs="宋体"/>
          <w:b/>
          <w:color w:val="auto"/>
          <w:sz w:val="24"/>
          <w:szCs w:val="24"/>
          <w:highlight w:val="none"/>
        </w:rPr>
        <w:t>投标函</w:t>
      </w:r>
    </w:p>
    <w:p w14:paraId="2D103915">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致：_________（招标采购单位名称）：</w:t>
      </w:r>
    </w:p>
    <w:p w14:paraId="29E68BEF">
      <w:pPr>
        <w:snapToGrid w:val="0"/>
        <w:spacing w:line="500" w:lineRule="exact"/>
        <w:ind w:firstLine="480"/>
        <w:rPr>
          <w:rFonts w:hint="eastAsia" w:hAnsi="宋体" w:cs="宋体"/>
          <w:color w:val="auto"/>
          <w:sz w:val="24"/>
          <w:szCs w:val="24"/>
          <w:highlight w:val="none"/>
        </w:rPr>
      </w:pPr>
      <w:r>
        <w:rPr>
          <w:rFonts w:hint="eastAsia" w:hAnsi="宋体" w:cs="宋体"/>
          <w:color w:val="auto"/>
          <w:sz w:val="24"/>
          <w:szCs w:val="24"/>
          <w:highlight w:val="none"/>
        </w:rPr>
        <w:t>根据贵方为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项目的招标公告/投标邀请书（项目编号：_______），签字代表_______（全名）经正式授权并代表投标人_________（投标人全称）提交文件。</w:t>
      </w:r>
    </w:p>
    <w:p w14:paraId="2F02F781">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据此函，签字代表宣布同意如下：</w:t>
      </w:r>
    </w:p>
    <w:p w14:paraId="2A918069">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1.我方自愿按照招标文件规定的各项要求向招标人提供所须专业服务，并保质保量完成服务成果产品。</w:t>
      </w:r>
    </w:p>
    <w:p w14:paraId="4C512412">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2.我方已详细审查全部“招标文件”，包括修改文件（如有的话）以及全部参考资料和有关附件，已经了解我方对于招标文件、采购过程、采购结果有依法进行询问、质疑、投诉的权利及相关渠道和要求。</w:t>
      </w:r>
    </w:p>
    <w:p w14:paraId="2367C4A3">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3.我方在投标之前已经与贵方进行了充分的沟通，完全理解并接受招标文件的各项规定和要求，对招标文件的合理性、合法性不再有异议。</w:t>
      </w:r>
    </w:p>
    <w:p w14:paraId="669A1120">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4.本投标有效期自开标截止日起______天。</w:t>
      </w:r>
    </w:p>
    <w:p w14:paraId="5CE43D27">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5.如中标，本投标文件至本项目合同履行完毕止均保持有效，本投标人将按“招标文件”及政府采购法律法规的规定履行合同责任和义务。</w:t>
      </w:r>
    </w:p>
    <w:p w14:paraId="7FE4966D">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6.投标人同意按照贵方要求提供与投标有关的一切数据或资料。</w:t>
      </w:r>
    </w:p>
    <w:p w14:paraId="0E026B4F">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7.与本投标有关的一切正式往来信函请寄：</w:t>
      </w:r>
    </w:p>
    <w:p w14:paraId="08760C11">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地址：_______________邮编：__________电话：______________</w:t>
      </w:r>
    </w:p>
    <w:p w14:paraId="4D18E74F">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传真：______________投标人代表姓名：___________职务：_____________</w:t>
      </w:r>
    </w:p>
    <w:p w14:paraId="1B17F64E">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投标人全称（公章）：___________________</w:t>
      </w:r>
    </w:p>
    <w:p w14:paraId="38DEBAAF">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开户银行：___________________银行账号：___________________</w:t>
      </w:r>
    </w:p>
    <w:p w14:paraId="074D4104">
      <w:pPr>
        <w:snapToGrid w:val="0"/>
        <w:spacing w:line="500" w:lineRule="exact"/>
        <w:rPr>
          <w:rFonts w:hint="eastAsia" w:hAnsi="宋体" w:cs="宋体"/>
          <w:color w:val="auto"/>
          <w:sz w:val="24"/>
          <w:szCs w:val="24"/>
          <w:highlight w:val="none"/>
        </w:rPr>
      </w:pPr>
      <w:r>
        <w:rPr>
          <w:rFonts w:hint="eastAsia" w:hAnsi="宋体" w:cs="宋体"/>
          <w:color w:val="auto"/>
          <w:sz w:val="24"/>
          <w:szCs w:val="24"/>
          <w:highlight w:val="none"/>
        </w:rPr>
        <w:t>法定代表人或授权代表签名：___________日期：_____年___月___日</w:t>
      </w:r>
    </w:p>
    <w:p w14:paraId="5FA0AD83">
      <w:pPr>
        <w:pStyle w:val="10"/>
        <w:snapToGrid w:val="0"/>
        <w:spacing w:before="295" w:after="295"/>
        <w:rPr>
          <w:rFonts w:hint="eastAsia" w:ascii="宋体" w:hAnsi="宋体" w:cs="宋体"/>
          <w:color w:val="auto"/>
          <w:sz w:val="24"/>
          <w:szCs w:val="24"/>
          <w:highlight w:val="none"/>
        </w:rPr>
      </w:pPr>
    </w:p>
    <w:p w14:paraId="5C70AE3C">
      <w:pPr>
        <w:pStyle w:val="10"/>
        <w:snapToGrid w:val="0"/>
        <w:spacing w:before="295" w:after="295"/>
        <w:rPr>
          <w:rFonts w:hint="eastAsia" w:ascii="宋体" w:hAnsi="宋体" w:cs="宋体"/>
          <w:bCs/>
          <w:color w:val="auto"/>
          <w:sz w:val="24"/>
          <w:szCs w:val="24"/>
          <w:highlight w:val="none"/>
        </w:rPr>
      </w:pPr>
    </w:p>
    <w:p w14:paraId="7A1186D2">
      <w:pPr>
        <w:snapToGrid w:val="0"/>
        <w:spacing w:before="50" w:after="50"/>
        <w:jc w:val="center"/>
        <w:rPr>
          <w:rFonts w:hint="eastAsia" w:hAnsi="宋体" w:cs="宋体"/>
          <w:b/>
          <w:bCs/>
          <w:color w:val="auto"/>
          <w:sz w:val="24"/>
          <w:szCs w:val="24"/>
          <w:highlight w:val="none"/>
        </w:rPr>
      </w:pPr>
      <w:r>
        <w:rPr>
          <w:rFonts w:hint="eastAsia" w:hAnsi="宋体" w:cs="宋体"/>
          <w:b/>
          <w:bCs/>
          <w:color w:val="auto"/>
          <w:sz w:val="24"/>
          <w:szCs w:val="24"/>
          <w:highlight w:val="none"/>
        </w:rPr>
        <w:t>2.开标（报价）一览表</w:t>
      </w:r>
    </w:p>
    <w:tbl>
      <w:tblPr>
        <w:tblStyle w:val="17"/>
        <w:tblW w:w="92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8"/>
        <w:gridCol w:w="7080"/>
      </w:tblGrid>
      <w:tr w14:paraId="0731F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2218" w:type="dxa"/>
            <w:noWrap w:val="0"/>
            <w:vAlign w:val="center"/>
          </w:tcPr>
          <w:p w14:paraId="49515649">
            <w:pPr>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项目编号</w:t>
            </w:r>
          </w:p>
        </w:tc>
        <w:tc>
          <w:tcPr>
            <w:tcW w:w="7080" w:type="dxa"/>
            <w:noWrap w:val="0"/>
            <w:vAlign w:val="top"/>
          </w:tcPr>
          <w:p w14:paraId="4C491784">
            <w:pPr>
              <w:snapToGrid w:val="0"/>
              <w:spacing w:line="460" w:lineRule="exact"/>
              <w:jc w:val="center"/>
              <w:rPr>
                <w:rFonts w:hint="eastAsia" w:hAnsi="宋体" w:cs="宋体"/>
                <w:color w:val="auto"/>
                <w:sz w:val="24"/>
                <w:szCs w:val="24"/>
                <w:highlight w:val="none"/>
              </w:rPr>
            </w:pPr>
          </w:p>
        </w:tc>
      </w:tr>
      <w:tr w14:paraId="0B16C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18" w:type="dxa"/>
            <w:noWrap w:val="0"/>
            <w:vAlign w:val="center"/>
          </w:tcPr>
          <w:p w14:paraId="3ED3DFA2">
            <w:pPr>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投标项目名称</w:t>
            </w:r>
          </w:p>
        </w:tc>
        <w:tc>
          <w:tcPr>
            <w:tcW w:w="7080" w:type="dxa"/>
            <w:noWrap w:val="0"/>
            <w:vAlign w:val="top"/>
          </w:tcPr>
          <w:p w14:paraId="077B043F">
            <w:pPr>
              <w:snapToGrid w:val="0"/>
              <w:spacing w:line="460" w:lineRule="exact"/>
              <w:jc w:val="center"/>
              <w:rPr>
                <w:rFonts w:hint="eastAsia" w:hAnsi="宋体" w:cs="宋体"/>
                <w:color w:val="auto"/>
                <w:sz w:val="24"/>
                <w:szCs w:val="24"/>
                <w:highlight w:val="none"/>
              </w:rPr>
            </w:pPr>
          </w:p>
        </w:tc>
      </w:tr>
      <w:tr w14:paraId="6C4BC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2218" w:type="dxa"/>
            <w:noWrap w:val="0"/>
            <w:vAlign w:val="center"/>
          </w:tcPr>
          <w:p w14:paraId="2C2E1295">
            <w:pPr>
              <w:snapToGrid w:val="0"/>
              <w:spacing w:line="460" w:lineRule="exact"/>
              <w:jc w:val="center"/>
              <w:rPr>
                <w:rFonts w:hint="eastAsia" w:hAnsi="宋体" w:cs="宋体"/>
                <w:color w:val="auto"/>
                <w:sz w:val="24"/>
                <w:szCs w:val="24"/>
                <w:highlight w:val="none"/>
                <w:lang w:bidi="ar"/>
              </w:rPr>
            </w:pPr>
            <w:r>
              <w:rPr>
                <w:rFonts w:hint="eastAsia" w:hAnsi="宋体" w:cs="宋体"/>
                <w:color w:val="auto"/>
                <w:sz w:val="24"/>
                <w:szCs w:val="24"/>
                <w:highlight w:val="none"/>
                <w:lang w:bidi="ar"/>
              </w:rPr>
              <w:t>投标报价</w:t>
            </w:r>
          </w:p>
          <w:p w14:paraId="5A1BD2CD">
            <w:pPr>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lang w:bidi="ar"/>
              </w:rPr>
              <w:t>（人民币）</w:t>
            </w:r>
          </w:p>
        </w:tc>
        <w:tc>
          <w:tcPr>
            <w:tcW w:w="7080" w:type="dxa"/>
            <w:noWrap w:val="0"/>
            <w:vAlign w:val="center"/>
          </w:tcPr>
          <w:p w14:paraId="7628B72A">
            <w:pPr>
              <w:snapToGrid w:val="0"/>
              <w:spacing w:line="460" w:lineRule="exact"/>
              <w:jc w:val="both"/>
              <w:rPr>
                <w:rFonts w:hint="eastAsia" w:hAnsi="宋体" w:cs="宋体"/>
                <w:color w:val="auto"/>
                <w:sz w:val="24"/>
                <w:szCs w:val="24"/>
                <w:highlight w:val="none"/>
              </w:rPr>
            </w:pPr>
            <w:r>
              <w:rPr>
                <w:rFonts w:hint="eastAsia" w:hAnsi="宋体" w:cs="宋体"/>
                <w:color w:val="auto"/>
                <w:sz w:val="24"/>
                <w:szCs w:val="24"/>
                <w:highlight w:val="none"/>
                <w:lang w:bidi="ar"/>
              </w:rPr>
              <w:t>大写：</w:t>
            </w:r>
            <w:r>
              <w:rPr>
                <w:rFonts w:hint="eastAsia" w:hAnsi="宋体" w:cs="宋体"/>
                <w:color w:val="auto"/>
                <w:sz w:val="24"/>
                <w:szCs w:val="24"/>
                <w:highlight w:val="none"/>
              </w:rPr>
              <w:t>人民币---拾---万---仟---佰---拾---元整</w:t>
            </w:r>
          </w:p>
          <w:p w14:paraId="68C38CBA">
            <w:pPr>
              <w:snapToGrid w:val="0"/>
              <w:spacing w:line="460" w:lineRule="exact"/>
              <w:jc w:val="both"/>
              <w:rPr>
                <w:rFonts w:hint="eastAsia" w:hAnsi="宋体" w:cs="宋体"/>
                <w:color w:val="auto"/>
                <w:sz w:val="24"/>
                <w:szCs w:val="24"/>
                <w:highlight w:val="none"/>
              </w:rPr>
            </w:pPr>
            <w:r>
              <w:rPr>
                <w:rFonts w:hint="eastAsia" w:hAnsi="宋体" w:cs="宋体"/>
                <w:color w:val="auto"/>
                <w:sz w:val="24"/>
                <w:szCs w:val="24"/>
                <w:highlight w:val="none"/>
                <w:lang w:bidi="ar"/>
              </w:rPr>
              <w:t>小写：</w:t>
            </w:r>
          </w:p>
        </w:tc>
      </w:tr>
      <w:tr w14:paraId="70A6B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trPr>
        <w:tc>
          <w:tcPr>
            <w:tcW w:w="2218" w:type="dxa"/>
            <w:noWrap w:val="0"/>
            <w:vAlign w:val="center"/>
          </w:tcPr>
          <w:p w14:paraId="7B8D62A0">
            <w:pPr>
              <w:snapToGrid w:val="0"/>
              <w:spacing w:line="460" w:lineRule="exact"/>
              <w:jc w:val="center"/>
              <w:rPr>
                <w:rFonts w:hint="eastAsia" w:hAnsi="宋体" w:cs="宋体"/>
                <w:color w:val="auto"/>
                <w:sz w:val="24"/>
                <w:szCs w:val="24"/>
                <w:highlight w:val="none"/>
              </w:rPr>
            </w:pPr>
            <w:r>
              <w:rPr>
                <w:rFonts w:hint="eastAsia" w:hAnsi="宋体" w:cs="宋体"/>
                <w:color w:val="auto"/>
                <w:sz w:val="24"/>
                <w:szCs w:val="24"/>
                <w:highlight w:val="none"/>
              </w:rPr>
              <w:t>报价说明</w:t>
            </w:r>
          </w:p>
        </w:tc>
        <w:tc>
          <w:tcPr>
            <w:tcW w:w="7080" w:type="dxa"/>
            <w:noWrap w:val="0"/>
            <w:vAlign w:val="center"/>
          </w:tcPr>
          <w:p w14:paraId="09133F84">
            <w:pPr>
              <w:widowControl/>
              <w:snapToGrid w:val="0"/>
              <w:spacing w:line="460" w:lineRule="exact"/>
              <w:jc w:val="both"/>
              <w:rPr>
                <w:rFonts w:hint="eastAsia" w:hAnsi="宋体" w:cs="宋体"/>
                <w:color w:val="auto"/>
                <w:sz w:val="24"/>
                <w:szCs w:val="24"/>
                <w:highlight w:val="none"/>
                <w:u w:val="single"/>
              </w:rPr>
            </w:pPr>
            <w:r>
              <w:rPr>
                <w:rFonts w:hint="eastAsia" w:hAnsi="宋体" w:cs="宋体"/>
                <w:color w:val="auto"/>
                <w:sz w:val="24"/>
                <w:szCs w:val="24"/>
                <w:highlight w:val="none"/>
              </w:rPr>
              <w:t>本投标人已知悉并同意，投标人中标后应根据招标文件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bl>
    <w:p w14:paraId="74603829">
      <w:pPr>
        <w:snapToGrid w:val="0"/>
        <w:spacing w:line="500" w:lineRule="exact"/>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 xml:space="preserve"> </w:t>
      </w:r>
      <w:r>
        <w:rPr>
          <w:rFonts w:hint="eastAsia" w:hAnsi="宋体" w:cs="宋体"/>
          <w:b/>
          <w:color w:val="auto"/>
          <w:sz w:val="24"/>
          <w:szCs w:val="24"/>
          <w:highlight w:val="none"/>
        </w:rPr>
        <w:t xml:space="preserve"> </w:t>
      </w:r>
      <w:r>
        <w:rPr>
          <w:rFonts w:hint="eastAsia" w:hAnsi="宋体" w:cs="宋体"/>
          <w:color w:val="auto"/>
          <w:sz w:val="24"/>
          <w:szCs w:val="24"/>
          <w:highlight w:val="none"/>
        </w:rPr>
        <w:t>注：报价一经涂改，应在涂改处加盖单位公章或者由法定代表人或授权委托人签字或盖章，否则其投标作无效标处理。</w:t>
      </w:r>
    </w:p>
    <w:bookmarkEnd w:id="28"/>
    <w:p w14:paraId="6B762DA0">
      <w:pPr>
        <w:spacing w:line="380" w:lineRule="exact"/>
        <w:jc w:val="both"/>
        <w:rPr>
          <w:rFonts w:hint="eastAsia" w:hAnsi="宋体" w:cs="宋体"/>
          <w:color w:val="auto"/>
          <w:sz w:val="24"/>
          <w:szCs w:val="24"/>
          <w:highlight w:val="none"/>
        </w:rPr>
      </w:pPr>
    </w:p>
    <w:p w14:paraId="77E420F9">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投标人全称（盖章）：</w:t>
      </w:r>
    </w:p>
    <w:p w14:paraId="68B5561A">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法定代表人或授权代表（签字或盖章）：</w:t>
      </w:r>
    </w:p>
    <w:p w14:paraId="677F262F">
      <w:pPr>
        <w:snapToGrid w:val="0"/>
        <w:spacing w:line="5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日期：  年   月  日</w:t>
      </w:r>
    </w:p>
    <w:p w14:paraId="2C50F65D">
      <w:pPr>
        <w:pStyle w:val="9"/>
        <w:ind w:firstLine="240"/>
        <w:rPr>
          <w:rFonts w:hint="eastAsia" w:ascii="宋体" w:hAnsi="宋体" w:cs="宋体"/>
          <w:color w:val="auto"/>
          <w:sz w:val="24"/>
          <w:szCs w:val="24"/>
          <w:highlight w:val="none"/>
        </w:rPr>
      </w:pPr>
    </w:p>
    <w:p w14:paraId="3D71E70D">
      <w:pPr>
        <w:rPr>
          <w:rFonts w:hint="eastAsia" w:ascii="宋体" w:hAnsi="宋体" w:cs="宋体"/>
          <w:color w:val="auto"/>
          <w:sz w:val="24"/>
          <w:szCs w:val="24"/>
          <w:highlight w:val="none"/>
        </w:rPr>
      </w:pPr>
    </w:p>
    <w:p w14:paraId="17F53543">
      <w:pPr>
        <w:pStyle w:val="2"/>
        <w:rPr>
          <w:rFonts w:hint="eastAsia" w:ascii="宋体" w:hAnsi="宋体" w:cs="宋体"/>
          <w:color w:val="auto"/>
          <w:sz w:val="24"/>
          <w:szCs w:val="24"/>
          <w:highlight w:val="none"/>
        </w:rPr>
      </w:pPr>
    </w:p>
    <w:p w14:paraId="1D86722C">
      <w:pPr>
        <w:rPr>
          <w:rFonts w:hint="eastAsia" w:ascii="宋体" w:hAnsi="宋体" w:cs="宋体"/>
          <w:color w:val="auto"/>
          <w:sz w:val="24"/>
          <w:szCs w:val="24"/>
          <w:highlight w:val="none"/>
        </w:rPr>
      </w:pPr>
    </w:p>
    <w:p w14:paraId="5DEA82AA">
      <w:pPr>
        <w:pStyle w:val="2"/>
        <w:rPr>
          <w:rFonts w:hint="eastAsia" w:ascii="宋体" w:hAnsi="宋体" w:cs="宋体"/>
          <w:color w:val="auto"/>
          <w:sz w:val="24"/>
          <w:szCs w:val="24"/>
          <w:highlight w:val="none"/>
        </w:rPr>
      </w:pPr>
    </w:p>
    <w:p w14:paraId="7111FE7D">
      <w:pPr>
        <w:rPr>
          <w:rFonts w:hint="eastAsia" w:ascii="宋体" w:hAnsi="宋体" w:cs="宋体"/>
          <w:color w:val="auto"/>
          <w:sz w:val="24"/>
          <w:szCs w:val="24"/>
          <w:highlight w:val="none"/>
        </w:rPr>
      </w:pPr>
    </w:p>
    <w:p w14:paraId="440428B2">
      <w:pPr>
        <w:pStyle w:val="2"/>
        <w:rPr>
          <w:rFonts w:hint="eastAsia" w:ascii="宋体" w:hAnsi="宋体" w:cs="宋体"/>
          <w:color w:val="auto"/>
          <w:sz w:val="24"/>
          <w:szCs w:val="24"/>
          <w:highlight w:val="none"/>
        </w:rPr>
      </w:pPr>
    </w:p>
    <w:p w14:paraId="6DD24CCD">
      <w:pPr>
        <w:rPr>
          <w:color w:val="auto"/>
          <w:highlight w:val="none"/>
        </w:rPr>
      </w:pPr>
      <w:r>
        <w:rPr>
          <w:color w:val="auto"/>
          <w:highlight w:val="none"/>
        </w:rPr>
        <w:br w:type="page"/>
      </w:r>
    </w:p>
    <w:p w14:paraId="448282F0">
      <w:pPr>
        <w:pStyle w:val="28"/>
        <w:widowControl w:val="0"/>
        <w:snapToGrid w:val="0"/>
        <w:spacing w:after="156" w:afterLines="50" w:line="500" w:lineRule="exact"/>
        <w:jc w:val="both"/>
        <w:rPr>
          <w:rFonts w:hint="eastAsia" w:ascii="宋体" w:hAnsi="宋体" w:eastAsia="宋体" w:cs="宋体"/>
          <w:b/>
          <w:sz w:val="24"/>
          <w:szCs w:val="24"/>
        </w:rPr>
      </w:pPr>
      <w:r>
        <w:rPr>
          <w:rFonts w:hint="eastAsia" w:ascii="宋体" w:hAnsi="宋体" w:eastAsia="宋体" w:cs="宋体"/>
          <w:b/>
          <w:sz w:val="24"/>
          <w:szCs w:val="24"/>
        </w:rPr>
        <w:t>（此声明函不用编入投标文件）</w:t>
      </w:r>
    </w:p>
    <w:p w14:paraId="4EE2C408">
      <w:pPr>
        <w:pStyle w:val="28"/>
        <w:widowControl w:val="0"/>
        <w:snapToGrid w:val="0"/>
        <w:spacing w:after="156" w:afterLines="50" w:line="500" w:lineRule="exact"/>
        <w:jc w:val="center"/>
        <w:rPr>
          <w:rFonts w:hint="eastAsia" w:ascii="宋体" w:hAnsi="宋体" w:eastAsia="宋体" w:cs="宋体"/>
          <w:b/>
          <w:sz w:val="32"/>
          <w:szCs w:val="32"/>
        </w:rPr>
      </w:pPr>
      <w:r>
        <w:rPr>
          <w:rFonts w:hint="eastAsia" w:ascii="宋体" w:hAnsi="宋体" w:eastAsia="宋体" w:cs="宋体"/>
          <w:b/>
          <w:sz w:val="32"/>
          <w:szCs w:val="32"/>
        </w:rPr>
        <w:t>政府采购活动现场确认声明书</w:t>
      </w:r>
    </w:p>
    <w:p w14:paraId="33206DEA">
      <w:pPr>
        <w:pStyle w:val="28"/>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b/>
          <w:sz w:val="21"/>
          <w:szCs w:val="21"/>
          <w:u w:val="single"/>
        </w:rPr>
      </w:pPr>
      <w:r>
        <w:rPr>
          <w:rFonts w:hint="eastAsia" w:ascii="宋体" w:hAnsi="宋体" w:eastAsia="宋体" w:cs="宋体"/>
          <w:kern w:val="0"/>
          <w:sz w:val="21"/>
          <w:szCs w:val="21"/>
          <w:u w:val="single"/>
        </w:rPr>
        <w:t>浙江华杰工程咨询有限公司：</w:t>
      </w:r>
    </w:p>
    <w:p w14:paraId="29A41AE4">
      <w:pPr>
        <w:pStyle w:val="28"/>
        <w:keepNext w:val="0"/>
        <w:keepLines w:val="0"/>
        <w:pageBreakBefore w:val="0"/>
        <w:widowControl w:val="0"/>
        <w:kinsoku/>
        <w:wordWrap w:val="0"/>
        <w:overflowPunct/>
        <w:topLinePunct w:val="0"/>
        <w:autoSpaceDE/>
        <w:autoSpaceDN/>
        <w:bidi w:val="0"/>
        <w:adjustRightInd/>
        <w:snapToGrid w:val="0"/>
        <w:spacing w:before="0" w:line="360" w:lineRule="auto"/>
        <w:ind w:firstLine="444" w:firstLineChars="200"/>
        <w:jc w:val="both"/>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本人经由</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（单位）负责人</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（姓名）合法授权参加</w:t>
      </w:r>
      <w:r>
        <w:rPr>
          <w:rFonts w:hint="eastAsia" w:ascii="宋体" w:hAnsi="宋体" w:eastAsia="宋体" w:cs="宋体"/>
          <w:spacing w:val="6"/>
          <w:sz w:val="21"/>
          <w:szCs w:val="21"/>
          <w:u w:val="single"/>
        </w:rPr>
        <w:t xml:space="preserve"> </w:t>
      </w:r>
      <w:r>
        <w:rPr>
          <w:rFonts w:hint="eastAsia" w:hAnsi="宋体" w:eastAsia="宋体" w:cs="宋体"/>
          <w:spacing w:val="6"/>
          <w:sz w:val="21"/>
          <w:szCs w:val="21"/>
          <w:u w:val="single"/>
          <w:lang w:eastAsia="zh-CN"/>
        </w:rPr>
        <w:t>金华市婺城区罗埠镇人民政府</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（采购人）</w:t>
      </w:r>
      <w:r>
        <w:rPr>
          <w:rFonts w:hint="eastAsia" w:ascii="宋体" w:hAnsi="宋体" w:eastAsia="宋体" w:cs="宋体"/>
          <w:spacing w:val="6"/>
          <w:sz w:val="21"/>
          <w:szCs w:val="21"/>
          <w:u w:val="single"/>
        </w:rPr>
        <w:t xml:space="preserve"> </w:t>
      </w:r>
      <w:r>
        <w:rPr>
          <w:rFonts w:hint="eastAsia" w:hAnsi="宋体" w:eastAsia="宋体" w:cs="宋体"/>
          <w:spacing w:val="6"/>
          <w:sz w:val="21"/>
          <w:szCs w:val="21"/>
          <w:u w:val="single"/>
          <w:lang w:val="en-US" w:eastAsia="zh-CN"/>
        </w:rPr>
        <w:t xml:space="preserve">                 </w:t>
      </w:r>
      <w:r>
        <w:rPr>
          <w:rFonts w:hint="eastAsia" w:ascii="宋体" w:hAnsi="宋体" w:eastAsia="宋体" w:cs="宋体"/>
          <w:spacing w:val="6"/>
          <w:sz w:val="21"/>
          <w:szCs w:val="21"/>
        </w:rPr>
        <w:t>（项目名称）</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（项目编号）的政府采购活动，经与本单位法人代表（负责人）联系确认，现就有关公平竞争事项郑重声明如下：</w:t>
      </w:r>
    </w:p>
    <w:p w14:paraId="7055E320">
      <w:pPr>
        <w:pStyle w:val="36"/>
        <w:keepNext w:val="0"/>
        <w:keepLines w:val="0"/>
        <w:pageBreakBefore w:val="0"/>
        <w:widowControl/>
        <w:kinsoku/>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kern w:val="0"/>
          <w:sz w:val="21"/>
          <w:szCs w:val="21"/>
        </w:rPr>
      </w:pPr>
      <w:r>
        <w:rPr>
          <w:rFonts w:hint="eastAsia" w:ascii="宋体" w:hAnsi="宋体" w:eastAsia="宋体" w:cs="宋体"/>
          <w:kern w:val="0"/>
          <w:sz w:val="21"/>
          <w:szCs w:val="21"/>
        </w:rPr>
        <w:t>一、本单位与采购人之间 □不存在利害关系 □存在下列利害关系</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27253317">
      <w:pPr>
        <w:pStyle w:val="36"/>
        <w:keepNext w:val="0"/>
        <w:keepLines w:val="0"/>
        <w:pageBreakBefore w:val="0"/>
        <w:widowControl/>
        <w:kinsoku/>
        <w:overflowPunct/>
        <w:topLinePunct w:val="0"/>
        <w:autoSpaceDE/>
        <w:autoSpaceDN/>
        <w:bidi w:val="0"/>
        <w:adjustRightInd/>
        <w:snapToGri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A.投资关系    B.行政隶属关系    C.业务指导关系</w:t>
      </w:r>
    </w:p>
    <w:p w14:paraId="48128D36">
      <w:pPr>
        <w:pStyle w:val="36"/>
        <w:keepNext w:val="0"/>
        <w:keepLines w:val="0"/>
        <w:pageBreakBefore w:val="0"/>
        <w:widowControl/>
        <w:kinsoku/>
        <w:overflowPunct/>
        <w:topLinePunct w:val="0"/>
        <w:autoSpaceDE/>
        <w:autoSpaceDN/>
        <w:bidi w:val="0"/>
        <w:adjustRightInd/>
        <w:snapToGri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D.其他可能</w:t>
      </w:r>
      <w:r>
        <w:rPr>
          <w:rFonts w:hint="eastAsia" w:ascii="宋体" w:hAnsi="宋体" w:eastAsia="宋体" w:cs="宋体"/>
          <w:sz w:val="21"/>
          <w:szCs w:val="21"/>
        </w:rPr>
        <w:t>影响采购公正的</w:t>
      </w:r>
      <w:r>
        <w:rPr>
          <w:rFonts w:hint="eastAsia" w:ascii="宋体" w:hAnsi="宋体" w:eastAsia="宋体" w:cs="宋体"/>
          <w:kern w:val="0"/>
          <w:sz w:val="21"/>
          <w:szCs w:val="21"/>
        </w:rPr>
        <w:t>利害关系</w:t>
      </w:r>
      <w:r>
        <w:rPr>
          <w:rFonts w:hint="eastAsia" w:ascii="宋体" w:hAnsi="宋体" w:eastAsia="宋体" w:cs="宋体"/>
          <w:kern w:val="0"/>
          <w:sz w:val="21"/>
          <w:szCs w:val="21"/>
          <w:u w:val="single"/>
        </w:rPr>
        <w:t xml:space="preserve"> （如有，请如实说明）   </w:t>
      </w:r>
      <w:r>
        <w:rPr>
          <w:rFonts w:hint="eastAsia" w:ascii="宋体" w:hAnsi="宋体" w:eastAsia="宋体" w:cs="宋体"/>
          <w:kern w:val="0"/>
          <w:sz w:val="21"/>
          <w:szCs w:val="21"/>
        </w:rPr>
        <w:t>。</w:t>
      </w:r>
    </w:p>
    <w:p w14:paraId="178F476B">
      <w:pPr>
        <w:pStyle w:val="36"/>
        <w:keepNext w:val="0"/>
        <w:keepLines w:val="0"/>
        <w:pageBreakBefore w:val="0"/>
        <w:widowControl/>
        <w:kinsoku/>
        <w:overflowPunct/>
        <w:topLinePunct w:val="0"/>
        <w:autoSpaceDE/>
        <w:autoSpaceDN/>
        <w:bidi w:val="0"/>
        <w:adjustRightInd/>
        <w:snapToGrid w:val="0"/>
        <w:spacing w:line="360" w:lineRule="auto"/>
        <w:textAlignment w:val="auto"/>
        <w:rPr>
          <w:rFonts w:hint="eastAsia" w:ascii="宋体" w:hAnsi="宋体" w:eastAsia="宋体" w:cs="宋体"/>
          <w:kern w:val="0"/>
          <w:sz w:val="21"/>
          <w:szCs w:val="21"/>
        </w:rPr>
      </w:pPr>
      <w:r>
        <w:rPr>
          <w:rFonts w:hint="eastAsia" w:ascii="宋体" w:hAnsi="宋体" w:eastAsia="宋体" w:cs="宋体"/>
          <w:spacing w:val="6"/>
          <w:sz w:val="21"/>
          <w:szCs w:val="21"/>
        </w:rPr>
        <w:t xml:space="preserve">  二、</w:t>
      </w:r>
      <w:r>
        <w:rPr>
          <w:rFonts w:hint="eastAsia" w:ascii="宋体" w:hAnsi="宋体" w:eastAsia="宋体" w:cs="宋体"/>
          <w:kern w:val="0"/>
          <w:sz w:val="21"/>
          <w:szCs w:val="21"/>
        </w:rPr>
        <w:t>现已清楚知道参加本项目采购活动的其他所有供应商名称，本单位 □与其他所有供应商之间均不存在利害关系 □与</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（供应商名称）之间存在下列利害关系</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0D294D5A">
      <w:pPr>
        <w:pStyle w:val="28"/>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A.法定代表人或负责人或实际控制人是同一人</w:t>
      </w:r>
    </w:p>
    <w:p w14:paraId="58BA623B">
      <w:pPr>
        <w:pStyle w:val="28"/>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spacing w:val="6"/>
          <w:sz w:val="21"/>
          <w:szCs w:val="21"/>
        </w:rPr>
      </w:pPr>
      <w:r>
        <w:rPr>
          <w:rFonts w:hint="eastAsia" w:ascii="宋体" w:hAnsi="宋体" w:eastAsia="宋体" w:cs="宋体"/>
          <w:kern w:val="0"/>
          <w:sz w:val="21"/>
          <w:szCs w:val="21"/>
        </w:rPr>
        <w:t xml:space="preserve">  B.法定代表人或负责人或实际控制人是夫妻关系</w:t>
      </w:r>
    </w:p>
    <w:p w14:paraId="6656297B">
      <w:pPr>
        <w:pStyle w:val="28"/>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spacing w:val="6"/>
          <w:sz w:val="21"/>
          <w:szCs w:val="21"/>
        </w:rPr>
      </w:pPr>
      <w:r>
        <w:rPr>
          <w:rFonts w:hint="eastAsia" w:ascii="宋体" w:hAnsi="宋体" w:eastAsia="宋体" w:cs="宋体"/>
          <w:kern w:val="0"/>
          <w:sz w:val="21"/>
          <w:szCs w:val="21"/>
        </w:rPr>
        <w:t xml:space="preserve">  C.法定代表人或负责人或实际控制人是直系血亲关系</w:t>
      </w:r>
    </w:p>
    <w:p w14:paraId="3CE4DA2E">
      <w:pPr>
        <w:pStyle w:val="28"/>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spacing w:val="6"/>
          <w:sz w:val="21"/>
          <w:szCs w:val="21"/>
        </w:rPr>
      </w:pPr>
      <w:r>
        <w:rPr>
          <w:rFonts w:hint="eastAsia" w:ascii="宋体" w:hAnsi="宋体" w:eastAsia="宋体" w:cs="宋体"/>
          <w:kern w:val="0"/>
          <w:sz w:val="21"/>
          <w:szCs w:val="21"/>
        </w:rPr>
        <w:t xml:space="preserve">  D.法定代表人或负责人或实际控制人存在三代以内旁系血亲关系</w:t>
      </w:r>
    </w:p>
    <w:p w14:paraId="4AFF4DE2">
      <w:pPr>
        <w:pStyle w:val="28"/>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E.法定代表人或负责人或实际控制人存在近姻亲关系</w:t>
      </w:r>
    </w:p>
    <w:p w14:paraId="467AFD58">
      <w:pPr>
        <w:pStyle w:val="28"/>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sz w:val="21"/>
          <w:szCs w:val="21"/>
        </w:rPr>
      </w:pPr>
      <w:r>
        <w:rPr>
          <w:rFonts w:hint="eastAsia" w:ascii="宋体" w:hAnsi="宋体" w:eastAsia="宋体" w:cs="宋体"/>
          <w:kern w:val="0"/>
          <w:sz w:val="21"/>
          <w:szCs w:val="21"/>
        </w:rPr>
        <w:t xml:space="preserve">  F.法定代表人或负责人或实际控制人存在股份控制或实际控制关系</w:t>
      </w:r>
    </w:p>
    <w:p w14:paraId="6072AC88">
      <w:pPr>
        <w:pStyle w:val="28"/>
        <w:keepNext w:val="0"/>
        <w:keepLines w:val="0"/>
        <w:pageBreakBefore w:val="0"/>
        <w:widowControl w:val="0"/>
        <w:kinsoku/>
        <w:overflowPunct/>
        <w:topLinePunct w:val="0"/>
        <w:autoSpaceDE/>
        <w:autoSpaceDN/>
        <w:bidi w:val="0"/>
        <w:adjustRightInd/>
        <w:snapToGrid w:val="0"/>
        <w:spacing w:before="0" w:line="360" w:lineRule="auto"/>
        <w:jc w:val="both"/>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 xml:space="preserve">  </w:t>
      </w:r>
      <w:bookmarkStart w:id="35" w:name="_Toc14972"/>
      <w:r>
        <w:rPr>
          <w:rFonts w:hint="eastAsia" w:ascii="宋体" w:hAnsi="宋体" w:eastAsia="宋体" w:cs="宋体"/>
          <w:kern w:val="0"/>
          <w:sz w:val="21"/>
          <w:szCs w:val="21"/>
        </w:rPr>
        <w:t>G.存在共同直接或间接投资设立子公司、联营企业和合营企业情况</w:t>
      </w:r>
      <w:bookmarkEnd w:id="35"/>
    </w:p>
    <w:p w14:paraId="5F4C050B">
      <w:pPr>
        <w:pStyle w:val="28"/>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sz w:val="21"/>
          <w:szCs w:val="21"/>
        </w:rPr>
      </w:pPr>
      <w:r>
        <w:rPr>
          <w:rFonts w:hint="eastAsia" w:ascii="宋体" w:hAnsi="宋体" w:eastAsia="宋体" w:cs="宋体"/>
          <w:kern w:val="0"/>
          <w:sz w:val="21"/>
          <w:szCs w:val="21"/>
        </w:rPr>
        <w:t xml:space="preserve">  H.存在分级代理或代销关系、同一生产制造商关系、</w:t>
      </w:r>
      <w:r>
        <w:rPr>
          <w:rFonts w:hint="eastAsia" w:ascii="宋体" w:hAnsi="宋体" w:eastAsia="宋体" w:cs="宋体"/>
          <w:sz w:val="21"/>
          <w:szCs w:val="21"/>
        </w:rPr>
        <w:t>管理关系、重要业务（占主营业务收入50%以上）或重要财务往来关系（如融资）等其他实质性控制关系</w:t>
      </w:r>
    </w:p>
    <w:p w14:paraId="26BFAD47">
      <w:pPr>
        <w:pStyle w:val="28"/>
        <w:keepNext w:val="0"/>
        <w:keepLines w:val="0"/>
        <w:pageBreakBefore w:val="0"/>
        <w:widowControl w:val="0"/>
        <w:kinsoku/>
        <w:overflowPunct/>
        <w:topLinePunct w:val="0"/>
        <w:autoSpaceDE/>
        <w:autoSpaceDN/>
        <w:bidi w:val="0"/>
        <w:adjustRightInd/>
        <w:snapToGrid w:val="0"/>
        <w:spacing w:before="0" w:line="360" w:lineRule="auto"/>
        <w:jc w:val="both"/>
        <w:textAlignment w:val="auto"/>
        <w:rPr>
          <w:rFonts w:hint="eastAsia" w:ascii="宋体" w:hAnsi="宋体" w:eastAsia="宋体" w:cs="宋体"/>
          <w:spacing w:val="6"/>
          <w:sz w:val="21"/>
          <w:szCs w:val="21"/>
        </w:rPr>
      </w:pPr>
      <w:r>
        <w:rPr>
          <w:rFonts w:hint="eastAsia" w:ascii="宋体" w:hAnsi="宋体" w:eastAsia="宋体" w:cs="宋体"/>
          <w:sz w:val="21"/>
          <w:szCs w:val="21"/>
        </w:rPr>
        <w:t xml:space="preserve">  I</w:t>
      </w:r>
      <w:r>
        <w:rPr>
          <w:rFonts w:hint="eastAsia" w:ascii="宋体" w:hAnsi="宋体" w:eastAsia="宋体" w:cs="宋体"/>
          <w:kern w:val="0"/>
          <w:sz w:val="21"/>
          <w:szCs w:val="21"/>
        </w:rPr>
        <w:t>.</w:t>
      </w:r>
      <w:r>
        <w:rPr>
          <w:rFonts w:hint="eastAsia" w:ascii="宋体" w:hAnsi="宋体" w:eastAsia="宋体" w:cs="宋体"/>
          <w:sz w:val="21"/>
          <w:szCs w:val="21"/>
        </w:rPr>
        <w:t>其他利害关系情况</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14:paraId="4465CE46">
      <w:pPr>
        <w:pStyle w:val="36"/>
        <w:keepNext w:val="0"/>
        <w:keepLines w:val="0"/>
        <w:pageBreakBefore w:val="0"/>
        <w:widowControl/>
        <w:kinsoku/>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kern w:val="0"/>
          <w:sz w:val="21"/>
          <w:szCs w:val="21"/>
        </w:rPr>
      </w:pPr>
      <w:r>
        <w:rPr>
          <w:rFonts w:hint="eastAsia" w:ascii="宋体" w:hAnsi="宋体" w:eastAsia="宋体" w:cs="宋体"/>
          <w:sz w:val="21"/>
          <w:szCs w:val="21"/>
        </w:rPr>
        <w:t>三、现已清楚知道并</w:t>
      </w:r>
      <w:r>
        <w:rPr>
          <w:rFonts w:hint="eastAsia" w:ascii="宋体" w:hAnsi="宋体" w:eastAsia="宋体" w:cs="宋体"/>
          <w:kern w:val="0"/>
          <w:sz w:val="21"/>
          <w:szCs w:val="21"/>
        </w:rPr>
        <w:t>严格遵守政府采购法律法规和现场纪律。</w:t>
      </w:r>
    </w:p>
    <w:p w14:paraId="490B7D94">
      <w:pPr>
        <w:pStyle w:val="36"/>
        <w:keepNext w:val="0"/>
        <w:keepLines w:val="0"/>
        <w:pageBreakBefore w:val="0"/>
        <w:widowControl/>
        <w:kinsoku/>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kern w:val="0"/>
          <w:sz w:val="21"/>
          <w:szCs w:val="21"/>
        </w:rPr>
        <w:t>四、我发现</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供应商之间存在或可能存在上述第二条第</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项利害关系。                    </w:t>
      </w:r>
    </w:p>
    <w:p w14:paraId="43BA37AB">
      <w:pPr>
        <w:pStyle w:val="36"/>
        <w:keepNext w:val="0"/>
        <w:keepLines w:val="0"/>
        <w:pageBreakBefore w:val="0"/>
        <w:widowControl/>
        <w:kinsoku/>
        <w:overflowPunct/>
        <w:topLinePunct w:val="0"/>
        <w:autoSpaceDE/>
        <w:autoSpaceDN/>
        <w:bidi w:val="0"/>
        <w:adjustRightInd/>
        <w:snapToGrid w:val="0"/>
        <w:spacing w:line="360" w:lineRule="auto"/>
        <w:ind w:left="397"/>
        <w:jc w:val="right"/>
        <w:textAlignment w:val="auto"/>
        <w:rPr>
          <w:rFonts w:hint="eastAsia" w:ascii="宋体" w:hAnsi="宋体" w:eastAsia="宋体" w:cs="宋体"/>
          <w:b/>
          <w:sz w:val="21"/>
          <w:szCs w:val="21"/>
        </w:rPr>
      </w:pPr>
      <w:r>
        <w:rPr>
          <w:rFonts w:hint="eastAsia" w:ascii="宋体" w:hAnsi="宋体" w:eastAsia="宋体" w:cs="宋体"/>
          <w:b/>
          <w:sz w:val="21"/>
          <w:szCs w:val="21"/>
        </w:rPr>
        <w:t>投标供应商全称：</w:t>
      </w:r>
    </w:p>
    <w:p w14:paraId="04F74C94">
      <w:pPr>
        <w:pStyle w:val="36"/>
        <w:keepNext w:val="0"/>
        <w:keepLines w:val="0"/>
        <w:pageBreakBefore w:val="0"/>
        <w:widowControl/>
        <w:kinsoku/>
        <w:overflowPunct/>
        <w:topLinePunct w:val="0"/>
        <w:autoSpaceDE/>
        <w:autoSpaceDN/>
        <w:bidi w:val="0"/>
        <w:adjustRightInd/>
        <w:snapToGrid w:val="0"/>
        <w:spacing w:line="360" w:lineRule="auto"/>
        <w:ind w:left="397"/>
        <w:jc w:val="right"/>
        <w:textAlignment w:val="auto"/>
        <w:rPr>
          <w:rFonts w:hint="eastAsia" w:ascii="宋体" w:hAnsi="宋体" w:eastAsia="宋体" w:cs="宋体"/>
          <w:b/>
          <w:sz w:val="21"/>
          <w:szCs w:val="21"/>
        </w:rPr>
      </w:pPr>
      <w:r>
        <w:rPr>
          <w:rFonts w:hint="eastAsia" w:ascii="宋体" w:hAnsi="宋体" w:eastAsia="宋体" w:cs="宋体"/>
          <w:b/>
          <w:sz w:val="21"/>
          <w:szCs w:val="21"/>
        </w:rPr>
        <w:t>法定代表人(负责人）或授权代表（签字或盖章）：</w:t>
      </w:r>
    </w:p>
    <w:p w14:paraId="4164C777">
      <w:pPr>
        <w:pStyle w:val="36"/>
        <w:keepNext w:val="0"/>
        <w:keepLines w:val="0"/>
        <w:pageBreakBefore w:val="0"/>
        <w:widowControl/>
        <w:kinsoku/>
        <w:overflowPunct/>
        <w:topLinePunct w:val="0"/>
        <w:autoSpaceDE/>
        <w:autoSpaceDN/>
        <w:bidi w:val="0"/>
        <w:adjustRightInd/>
        <w:snapToGrid w:val="0"/>
        <w:spacing w:line="360" w:lineRule="auto"/>
        <w:ind w:left="397"/>
        <w:jc w:val="right"/>
        <w:textAlignment w:val="auto"/>
        <w:rPr>
          <w:rFonts w:hint="eastAsia" w:ascii="宋体" w:hAnsi="宋体" w:eastAsia="宋体" w:cs="宋体"/>
          <w:sz w:val="21"/>
          <w:szCs w:val="21"/>
        </w:rPr>
      </w:pPr>
      <w:r>
        <w:rPr>
          <w:rFonts w:hint="eastAsia" w:ascii="宋体" w:hAnsi="宋体" w:eastAsia="宋体" w:cs="宋体"/>
          <w:b/>
          <w:sz w:val="21"/>
          <w:szCs w:val="21"/>
        </w:rPr>
        <w:t>日期：      年   月   日</w:t>
      </w:r>
    </w:p>
    <w:p w14:paraId="51016E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说明：1、投标人解密投标文件及获知其他投标人信息进行如实声明并盖章，以扫描件形式提交给采购代理机构，邮箱：</w:t>
      </w:r>
      <w:r>
        <w:rPr>
          <w:rFonts w:hint="eastAsia" w:ascii="宋体" w:hAnsi="宋体" w:eastAsia="宋体" w:cs="宋体"/>
          <w:b/>
          <w:bCs/>
          <w:sz w:val="21"/>
          <w:szCs w:val="21"/>
          <w:highlight w:val="none"/>
          <w:lang w:val="en-US" w:eastAsia="zh-CN"/>
        </w:rPr>
        <w:t>798438703@qq.com</w:t>
      </w:r>
      <w:r>
        <w:rPr>
          <w:rFonts w:hint="eastAsia" w:ascii="宋体" w:hAnsi="宋体" w:eastAsia="宋体" w:cs="宋体"/>
          <w:b/>
          <w:bCs/>
          <w:sz w:val="21"/>
          <w:szCs w:val="21"/>
          <w:highlight w:val="none"/>
        </w:rPr>
        <w:t>,联系人：</w:t>
      </w:r>
      <w:r>
        <w:rPr>
          <w:rFonts w:hint="eastAsia" w:ascii="宋体" w:hAnsi="宋体" w:eastAsia="宋体" w:cs="宋体"/>
          <w:b/>
          <w:bCs/>
          <w:sz w:val="21"/>
          <w:szCs w:val="21"/>
          <w:highlight w:val="none"/>
          <w:lang w:val="en-US" w:eastAsia="zh-CN"/>
        </w:rPr>
        <w:t>祝浩亮</w:t>
      </w:r>
      <w:r>
        <w:rPr>
          <w:rFonts w:hint="eastAsia" w:ascii="宋体" w:hAnsi="宋体" w:eastAsia="宋体" w:cs="宋体"/>
          <w:b/>
          <w:bCs/>
          <w:sz w:val="21"/>
          <w:szCs w:val="21"/>
          <w:highlight w:val="none"/>
        </w:rPr>
        <w:t>，联系方式：</w:t>
      </w:r>
      <w:r>
        <w:rPr>
          <w:rFonts w:hint="eastAsia" w:ascii="宋体" w:hAnsi="宋体" w:eastAsia="宋体" w:cs="宋体"/>
          <w:b/>
          <w:bCs/>
          <w:sz w:val="21"/>
          <w:szCs w:val="21"/>
          <w:highlight w:val="none"/>
          <w:lang w:val="en-US" w:eastAsia="zh-CN"/>
        </w:rPr>
        <w:t>15669561362</w:t>
      </w:r>
      <w:r>
        <w:rPr>
          <w:rFonts w:hint="eastAsia" w:ascii="宋体" w:hAnsi="宋体" w:eastAsia="宋体" w:cs="宋体"/>
          <w:b/>
          <w:bCs/>
          <w:sz w:val="21"/>
          <w:szCs w:val="21"/>
          <w:highlight w:val="none"/>
        </w:rPr>
        <w:t xml:space="preserve">。 </w:t>
      </w:r>
    </w:p>
    <w:p w14:paraId="1D0626C1">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ascii="宋体" w:hAnsi="宋体" w:eastAsia="宋体" w:cs="宋体"/>
          <w:b/>
          <w:bCs/>
          <w:sz w:val="21"/>
          <w:szCs w:val="21"/>
        </w:rPr>
        <w:t xml:space="preserve">2、此声明函不用编入投标文件。 </w:t>
      </w:r>
    </w:p>
    <w:sectPr>
      <w:pgSz w:w="11906" w:h="16838"/>
      <w:pgMar w:top="1440" w:right="1304" w:bottom="1440" w:left="1304" w:header="567" w:footer="964" w:gutter="0"/>
      <w:pgNumType w:fmt="decimal"/>
      <w:cols w:space="720" w:num="1"/>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Courier">
    <w:altName w:val="Courier New"/>
    <w:panose1 w:val="02060409020205020404"/>
    <w:charset w:val="00"/>
    <w:family w:val="modern"/>
    <w:pitch w:val="default"/>
    <w:sig w:usb0="00000000" w:usb1="00000000" w:usb2="00000000" w:usb3="00000000" w:csb0="00000093"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E04E4">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E6B11E">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22E6B11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4D740">
    <w:pPr>
      <w:pStyle w:val="13"/>
      <w:ind w:right="360"/>
      <w:rPr>
        <w:rStyle w:val="21"/>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14D168">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5A14D168">
                    <w:pPr>
                      <w:pStyle w:val="13"/>
                    </w:pPr>
                    <w:r>
                      <w:fldChar w:fldCharType="begin"/>
                    </w:r>
                    <w:r>
                      <w:instrText xml:space="preserve"> PAGE  \* MERGEFORMAT </w:instrText>
                    </w:r>
                    <w:r>
                      <w:fldChar w:fldCharType="separate"/>
                    </w:r>
                    <w:r>
                      <w:t>1</w:t>
                    </w:r>
                    <w:r>
                      <w:fldChar w:fldCharType="end"/>
                    </w:r>
                  </w:p>
                </w:txbxContent>
              </v:textbox>
            </v:shape>
          </w:pict>
        </mc:Fallback>
      </mc:AlternateContent>
    </w:r>
  </w:p>
  <w:p w14:paraId="5CB3C2A6">
    <w:pPr>
      <w:pStyle w:val="13"/>
      <w:framePr w:wrap="around" w:vAnchor="text" w:hAnchor="page" w:x="15730" w:y="74"/>
      <w:ind w:right="360"/>
      <w:rPr>
        <w:rStyle w:val="21"/>
        <w:rFonts w:hint="eastAsia"/>
      </w:rPr>
    </w:pPr>
  </w:p>
  <w:p w14:paraId="4EE66375">
    <w:pPr>
      <w:pStyle w:val="13"/>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B37E3">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5E08AD">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14:paraId="215E08AD">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6D31A6">
                          <w:pPr>
                            <w:pStyle w:val="1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26D31A6">
                    <w:pPr>
                      <w:pStyle w:val="1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FF7BD">
    <w:pPr>
      <w:pStyle w:val="13"/>
      <w:framePr w:w="607" w:h="430" w:hRule="exact" w:wrap="around" w:vAnchor="text" w:hAnchor="page" w:x="8905" w:y="-58"/>
      <w:ind w:right="360"/>
      <w:rPr>
        <w:rStyle w:val="21"/>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6E50D1">
                          <w:pP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45</w:t>
                          </w:r>
                          <w:r>
                            <w:rPr>
                              <w:sz w:val="18"/>
                              <w:szCs w:val="18"/>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HG8kBAACa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4ESxy0O/Pzzx/nXn/Pv72R5&#10;nfXpA9SY9hAwMQ0f/JBzJz+gM9MeVLT5i4QIxlHd00VdOSQi8qPVcrWqMCQwNl8Qhz0+DxHSR+kt&#10;yUZDI46vqMqPd5DG1DklV3P+VhuDfl4b958DMbOH5d7HHrOVht0wNb7z7Qn59Dj5hjpcdErMJ4fC&#10;5iWZjTgbu9k4hKj3XdmiXA/C+0PCJkpvucIIOxXGkRV203rlnfj3XrIef6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ZKIcbyQEAAJoDAAAOAAAAAAAAAAEAIAAAAB4BAABkcnMvZTJvRG9j&#10;LnhtbFBLBQYAAAAABgAGAFkBAABZBQAAAAA=&#10;">
              <v:fill on="f" focussize="0,0"/>
              <v:stroke on="f"/>
              <v:imagedata o:title=""/>
              <o:lock v:ext="edit" aspectratio="f"/>
              <v:textbox inset="0mm,0mm,0mm,0mm" style="mso-fit-shape-to-text:t;">
                <w:txbxContent>
                  <w:p w14:paraId="4B6E50D1">
                    <w:pP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45</w:t>
                    </w:r>
                    <w:r>
                      <w:rPr>
                        <w:sz w:val="18"/>
                        <w:szCs w:val="18"/>
                      </w:rPr>
                      <w:fldChar w:fldCharType="end"/>
                    </w:r>
                  </w:p>
                </w:txbxContent>
              </v:textbox>
            </v:shape>
          </w:pict>
        </mc:Fallback>
      </mc:AlternateContent>
    </w:r>
  </w:p>
  <w:p w14:paraId="726D1717">
    <w:pPr>
      <w:pStyle w:val="13"/>
      <w:framePr w:wrap="around" w:vAnchor="text" w:hAnchor="page" w:x="15730" w:y="74"/>
      <w:ind w:right="360"/>
      <w:rPr>
        <w:rStyle w:val="21"/>
        <w:rFonts w:hint="eastAsia"/>
      </w:rPr>
    </w:pPr>
  </w:p>
  <w:p w14:paraId="3F090C26">
    <w:pPr>
      <w:pStyle w:val="13"/>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D3A90">
    <w:pPr>
      <w:pStyle w:val="13"/>
      <w:tabs>
        <w:tab w:val="center" w:pos="4153"/>
        <w:tab w:val="right" w:pos="8306"/>
        <w:tab w:val="clear" w:pos="4140"/>
        <w:tab w:val="clear" w:pos="8300"/>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9CBE91">
                          <w:pPr>
                            <w:pStyle w:val="13"/>
                            <w:tabs>
                              <w:tab w:val="center" w:pos="4153"/>
                              <w:tab w:val="right" w:pos="8306"/>
                              <w:tab w:val="clear" w:pos="4140"/>
                              <w:tab w:val="clear" w:pos="8300"/>
                            </w:tabs>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29CBE91">
                    <w:pPr>
                      <w:pStyle w:val="13"/>
                      <w:tabs>
                        <w:tab w:val="center" w:pos="4153"/>
                        <w:tab w:val="right" w:pos="8306"/>
                        <w:tab w:val="clear" w:pos="4140"/>
                        <w:tab w:val="clear" w:pos="8300"/>
                      </w:tabs>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3465B">
    <w:pPr>
      <w:pStyle w:val="14"/>
      <w:pBdr>
        <w:bottom w:val="single" w:color="auto" w:sz="6" w:space="0"/>
      </w:pBdr>
      <w:rPr>
        <w:rFonts w:hint="eastAsia" w:eastAsia="宋体"/>
        <w:lang w:eastAsia="zh-CN"/>
      </w:rPr>
    </w:pPr>
    <w:r>
      <w:rPr>
        <w:rFonts w:hint="eastAsia"/>
        <w:lang w:eastAsia="zh-CN"/>
      </w:rPr>
      <w:t>浙江华杰工程咨询有限公司</w:t>
    </w:r>
  </w:p>
  <w:p w14:paraId="63FD3EEE">
    <w:pPr>
      <w:pStyle w:val="14"/>
      <w:pBdr>
        <w:bottom w:val="single" w:color="auto" w:sz="6" w:space="0"/>
      </w:pBdr>
      <w:rPr>
        <w:rFonts w:hint="eastAsia" w:eastAsia="宋体"/>
        <w:color w:val="000000"/>
        <w:lang w:eastAsia="zh-CN"/>
      </w:rPr>
    </w:pPr>
    <w:r>
      <w:rPr>
        <w:rFonts w:hint="eastAsia"/>
      </w:rPr>
      <w:t>项目编号：</w:t>
    </w:r>
    <w:r>
      <w:rPr>
        <w:rFonts w:hint="eastAsia"/>
        <w:lang w:eastAsia="zh-CN"/>
      </w:rPr>
      <w:t>HJCG-2025-125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EFEDC">
    <w:pPr>
      <w:pStyle w:val="14"/>
      <w:pBdr>
        <w:bottom w:val="single" w:color="auto" w:sz="6" w:space="0"/>
      </w:pBdr>
      <w:rPr>
        <w:rFonts w:hint="eastAsia" w:eastAsia="宋体"/>
        <w:lang w:eastAsia="zh-CN"/>
      </w:rPr>
    </w:pPr>
    <w:r>
      <w:rPr>
        <w:rFonts w:hint="eastAsia"/>
        <w:lang w:eastAsia="zh-CN"/>
      </w:rPr>
      <w:t>浙江华杰工程咨询有限公司</w:t>
    </w:r>
  </w:p>
  <w:p w14:paraId="480E5E0A">
    <w:pPr>
      <w:pStyle w:val="14"/>
      <w:pBdr>
        <w:bottom w:val="single" w:color="auto" w:sz="6" w:space="0"/>
      </w:pBdr>
      <w:rPr>
        <w:rFonts w:hint="eastAsia" w:eastAsia="宋体"/>
        <w:lang w:eastAsia="zh-CN"/>
      </w:rPr>
    </w:pPr>
    <w:r>
      <w:rPr>
        <w:rFonts w:hint="eastAsia"/>
      </w:rPr>
      <w:t>项目编号：</w:t>
    </w:r>
    <w:r>
      <w:rPr>
        <w:rFonts w:hint="eastAsia"/>
        <w:lang w:eastAsia="zh-CN"/>
      </w:rPr>
      <w:t>HJCG-2025-125</w:t>
    </w:r>
  </w:p>
  <w:p w14:paraId="10D4F80B">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B51EB">
    <w:pPr>
      <w:pStyle w:val="14"/>
      <w:pBdr>
        <w:bottom w:val="single" w:color="auto" w:sz="6" w:space="0"/>
      </w:pBdr>
      <w:rPr>
        <w:rFonts w:hint="eastAsia" w:eastAsia="宋体"/>
        <w:lang w:eastAsia="zh-CN"/>
      </w:rPr>
    </w:pPr>
    <w:r>
      <w:rPr>
        <w:rFonts w:hint="eastAsia"/>
        <w:lang w:eastAsia="zh-CN"/>
      </w:rPr>
      <w:t>浙江华杰工程咨询有限公司</w:t>
    </w:r>
  </w:p>
  <w:p w14:paraId="6A2B946F">
    <w:pPr>
      <w:pStyle w:val="14"/>
      <w:pBdr>
        <w:bottom w:val="single" w:color="auto" w:sz="6" w:space="0"/>
      </w:pBdr>
      <w:rPr>
        <w:rFonts w:hint="eastAsia" w:eastAsia="宋体"/>
        <w:lang w:eastAsia="zh-CN"/>
      </w:rPr>
    </w:pPr>
    <w:r>
      <w:pict>
        <v:shape id="_x0000_s4097" o:spid="_x0000_s4097" o:spt="136" type="#_x0000_t136" style="position:absolute;left:0pt;height:57.6pt;width:529.65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金华天盈招标代理有限公司" style="font-family:微软雅黑;font-size:36pt;v-same-letter-heights:f;v-text-align:center;"/>
        </v:shape>
      </w:pict>
    </w:r>
    <w:r>
      <w:rPr>
        <w:rFonts w:hint="eastAsia"/>
      </w:rPr>
      <w:t>项目编号：</w:t>
    </w:r>
    <w:r>
      <w:rPr>
        <w:rFonts w:hint="eastAsia"/>
        <w:lang w:eastAsia="zh-CN"/>
      </w:rPr>
      <w:t>HJCG-2025-125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E085D">
    <w:pPr>
      <w:pStyle w:val="14"/>
      <w:pBdr>
        <w:bottom w:val="single" w:color="auto" w:sz="6" w:space="0"/>
      </w:pBdr>
      <w:rPr>
        <w:rFonts w:hint="eastAsia" w:eastAsia="宋体"/>
        <w:lang w:eastAsia="zh-CN"/>
      </w:rPr>
    </w:pPr>
    <w:r>
      <w:rPr>
        <w:rFonts w:hint="eastAsia"/>
        <w:lang w:eastAsia="zh-CN"/>
      </w:rPr>
      <w:t>浙江华杰工程咨询有限公司</w:t>
    </w:r>
  </w:p>
  <w:p w14:paraId="52BF5F73">
    <w:pPr>
      <w:pStyle w:val="14"/>
      <w:pBdr>
        <w:bottom w:val="single" w:color="auto" w:sz="6" w:space="0"/>
      </w:pBdr>
      <w:rPr>
        <w:rFonts w:hint="eastAsia" w:eastAsia="宋体"/>
        <w:lang w:eastAsia="zh-CN"/>
      </w:rPr>
    </w:pPr>
    <w:r>
      <w:rPr>
        <w:rFonts w:hint="eastAsia"/>
      </w:rPr>
      <w:t>项目编号：</w:t>
    </w:r>
    <w:r>
      <w:rPr>
        <w:rFonts w:hint="eastAsia"/>
        <w:lang w:eastAsia="zh-CN"/>
      </w:rPr>
      <w:t>HJCG-2025-125</w:t>
    </w:r>
  </w:p>
  <w:p w14:paraId="73C196AF">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59396"/>
    <w:multiLevelType w:val="singleLevel"/>
    <w:tmpl w:val="B6F59396"/>
    <w:lvl w:ilvl="0" w:tentative="0">
      <w:start w:val="2"/>
      <w:numFmt w:val="chineseCounting"/>
      <w:suff w:val="nothing"/>
      <w:lvlText w:val="（%1）"/>
      <w:lvlJc w:val="left"/>
      <w:rPr>
        <w:rFonts w:hint="eastAsia"/>
      </w:rPr>
    </w:lvl>
  </w:abstractNum>
  <w:abstractNum w:abstractNumId="1">
    <w:nsid w:val="B8A38D62"/>
    <w:multiLevelType w:val="singleLevel"/>
    <w:tmpl w:val="B8A38D62"/>
    <w:lvl w:ilvl="0" w:tentative="0">
      <w:start w:val="1"/>
      <w:numFmt w:val="decimal"/>
      <w:suff w:val="nothing"/>
      <w:lvlText w:val="%1、"/>
      <w:lvlJc w:val="left"/>
    </w:lvl>
  </w:abstractNum>
  <w:abstractNum w:abstractNumId="2">
    <w:nsid w:val="00000000"/>
    <w:multiLevelType w:val="multilevel"/>
    <w:tmpl w:val="00000000"/>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7"/>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18250614"/>
    <w:multiLevelType w:val="multilevel"/>
    <w:tmpl w:val="182506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7553D51"/>
    <w:multiLevelType w:val="multilevel"/>
    <w:tmpl w:val="47553D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34E2AA"/>
    <w:multiLevelType w:val="multilevel"/>
    <w:tmpl w:val="5A34E2AA"/>
    <w:lvl w:ilvl="0" w:tentative="0">
      <w:start w:val="1"/>
      <w:numFmt w:val="decimal"/>
      <w:lvlText w:val="%1."/>
      <w:lvlJc w:val="left"/>
      <w:pPr>
        <w:tabs>
          <w:tab w:val="left" w:pos="0"/>
        </w:tabs>
        <w:ind w:left="562"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8EF"/>
    <w:rsid w:val="00011CDF"/>
    <w:rsid w:val="00086652"/>
    <w:rsid w:val="000C3886"/>
    <w:rsid w:val="00133FFD"/>
    <w:rsid w:val="0013499E"/>
    <w:rsid w:val="001B59E4"/>
    <w:rsid w:val="001C2364"/>
    <w:rsid w:val="002378D1"/>
    <w:rsid w:val="00262798"/>
    <w:rsid w:val="002936C6"/>
    <w:rsid w:val="002A2358"/>
    <w:rsid w:val="002E6C7C"/>
    <w:rsid w:val="002F093C"/>
    <w:rsid w:val="002F49EF"/>
    <w:rsid w:val="003419FD"/>
    <w:rsid w:val="00360F29"/>
    <w:rsid w:val="003D0AFF"/>
    <w:rsid w:val="003D3CBB"/>
    <w:rsid w:val="003D78EF"/>
    <w:rsid w:val="003F64A9"/>
    <w:rsid w:val="00454EB3"/>
    <w:rsid w:val="004A7CDA"/>
    <w:rsid w:val="004B13AE"/>
    <w:rsid w:val="004E22F1"/>
    <w:rsid w:val="00565272"/>
    <w:rsid w:val="005D1E12"/>
    <w:rsid w:val="005D341B"/>
    <w:rsid w:val="00630757"/>
    <w:rsid w:val="006500F4"/>
    <w:rsid w:val="0068177E"/>
    <w:rsid w:val="0068507B"/>
    <w:rsid w:val="006C6699"/>
    <w:rsid w:val="00730ACF"/>
    <w:rsid w:val="00735F04"/>
    <w:rsid w:val="00774285"/>
    <w:rsid w:val="008157BE"/>
    <w:rsid w:val="00817AE4"/>
    <w:rsid w:val="00871A26"/>
    <w:rsid w:val="008E7B5A"/>
    <w:rsid w:val="009C6DF7"/>
    <w:rsid w:val="00A31AED"/>
    <w:rsid w:val="00A33CB5"/>
    <w:rsid w:val="00B2637B"/>
    <w:rsid w:val="00B54042"/>
    <w:rsid w:val="00BE2734"/>
    <w:rsid w:val="00C3579C"/>
    <w:rsid w:val="00C43EF7"/>
    <w:rsid w:val="00C82FCA"/>
    <w:rsid w:val="00CC35C2"/>
    <w:rsid w:val="00CE4342"/>
    <w:rsid w:val="00D1795B"/>
    <w:rsid w:val="00D31361"/>
    <w:rsid w:val="00D439A6"/>
    <w:rsid w:val="00D53E9D"/>
    <w:rsid w:val="00DE3DC4"/>
    <w:rsid w:val="00DF1A42"/>
    <w:rsid w:val="00E0343A"/>
    <w:rsid w:val="00E10CE3"/>
    <w:rsid w:val="00E27B9D"/>
    <w:rsid w:val="00E678B1"/>
    <w:rsid w:val="00E85FA9"/>
    <w:rsid w:val="00EB2CDD"/>
    <w:rsid w:val="00EB7C2A"/>
    <w:rsid w:val="00ED4C0F"/>
    <w:rsid w:val="00ED6826"/>
    <w:rsid w:val="00F168B3"/>
    <w:rsid w:val="00F5629D"/>
    <w:rsid w:val="00F60806"/>
    <w:rsid w:val="01DA3E33"/>
    <w:rsid w:val="01E6497D"/>
    <w:rsid w:val="033202BB"/>
    <w:rsid w:val="046B19E4"/>
    <w:rsid w:val="0788465B"/>
    <w:rsid w:val="07F86A53"/>
    <w:rsid w:val="0A354DBC"/>
    <w:rsid w:val="0A924E50"/>
    <w:rsid w:val="0F077D11"/>
    <w:rsid w:val="117A5014"/>
    <w:rsid w:val="12D85778"/>
    <w:rsid w:val="16930CB9"/>
    <w:rsid w:val="16953841"/>
    <w:rsid w:val="1E3D5D47"/>
    <w:rsid w:val="20374626"/>
    <w:rsid w:val="21573335"/>
    <w:rsid w:val="24E14A0E"/>
    <w:rsid w:val="24F56231"/>
    <w:rsid w:val="2A94267E"/>
    <w:rsid w:val="2B073965"/>
    <w:rsid w:val="2C38629A"/>
    <w:rsid w:val="2C414C55"/>
    <w:rsid w:val="2E627104"/>
    <w:rsid w:val="2F1177ED"/>
    <w:rsid w:val="313D433E"/>
    <w:rsid w:val="37C5633B"/>
    <w:rsid w:val="3CF655E7"/>
    <w:rsid w:val="407622B5"/>
    <w:rsid w:val="416516A5"/>
    <w:rsid w:val="43271B6B"/>
    <w:rsid w:val="43564AA0"/>
    <w:rsid w:val="442C7B41"/>
    <w:rsid w:val="450C3E7A"/>
    <w:rsid w:val="466670D2"/>
    <w:rsid w:val="49F20B45"/>
    <w:rsid w:val="4BE156B5"/>
    <w:rsid w:val="4FF7ACCF"/>
    <w:rsid w:val="50901EE7"/>
    <w:rsid w:val="50C519BF"/>
    <w:rsid w:val="53E82CCB"/>
    <w:rsid w:val="57FE0AB1"/>
    <w:rsid w:val="5AA1498D"/>
    <w:rsid w:val="61883703"/>
    <w:rsid w:val="62B57801"/>
    <w:rsid w:val="66310E0C"/>
    <w:rsid w:val="6BCB668F"/>
    <w:rsid w:val="6C6D5DF2"/>
    <w:rsid w:val="70126FDB"/>
    <w:rsid w:val="733A53C6"/>
    <w:rsid w:val="75B3A30E"/>
    <w:rsid w:val="770F77AA"/>
    <w:rsid w:val="779F2A7C"/>
    <w:rsid w:val="79C732DB"/>
    <w:rsid w:val="7A6C1A41"/>
    <w:rsid w:val="DEFE778E"/>
    <w:rsid w:val="ECEF40A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widowControl w:val="0"/>
      <w:autoSpaceDE w:val="0"/>
      <w:autoSpaceDN w:val="0"/>
      <w:adjustRightInd w:val="0"/>
      <w:spacing w:after="0"/>
      <w:outlineLvl w:val="0"/>
    </w:pPr>
    <w:rPr>
      <w:rFonts w:ascii="Times New Roman" w:hAnsi="Times New Roman" w:eastAsia="宋体" w:cs="Times New Roman"/>
      <w:b/>
      <w:bCs/>
      <w:color w:val="000000"/>
      <w:sz w:val="24"/>
      <w:lang w:bidi="ar-SA"/>
    </w:rPr>
  </w:style>
  <w:style w:type="paragraph" w:styleId="6">
    <w:name w:val="heading 2"/>
    <w:basedOn w:val="1"/>
    <w:next w:val="1"/>
    <w:link w:val="34"/>
    <w:qFormat/>
    <w:uiPriority w:val="0"/>
    <w:pPr>
      <w:keepNext/>
      <w:adjustRightInd w:val="0"/>
      <w:spacing w:line="360" w:lineRule="auto"/>
      <w:outlineLvl w:val="1"/>
    </w:pPr>
    <w:rPr>
      <w:rFonts w:ascii="仿宋_GB2312" w:hAnsi="仿宋_GB2312" w:eastAsia="宋体"/>
      <w:b/>
      <w:kern w:val="0"/>
      <w:sz w:val="28"/>
      <w:szCs w:val="20"/>
    </w:rPr>
  </w:style>
  <w:style w:type="paragraph" w:styleId="7">
    <w:name w:val="heading 4"/>
    <w:basedOn w:val="1"/>
    <w:next w:val="1"/>
    <w:qFormat/>
    <w:uiPriority w:val="0"/>
    <w:pPr>
      <w:keepNext/>
      <w:keepLines/>
      <w:numPr>
        <w:ilvl w:val="3"/>
        <w:numId w:val="1"/>
      </w:numPr>
      <w:spacing w:before="280" w:beforeLines="0" w:after="290" w:afterLines="0" w:line="376" w:lineRule="auto"/>
      <w:outlineLvl w:val="3"/>
    </w:pPr>
    <w:rPr>
      <w:rFonts w:ascii="Arial" w:hAnsi="Arial" w:eastAsia="黑体"/>
      <w:b/>
      <w:sz w:val="28"/>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spacing w:before="0" w:after="120" w:line="240" w:lineRule="auto"/>
      <w:ind w:left="420" w:leftChars="200" w:right="0" w:firstLine="420"/>
      <w:jc w:val="both"/>
    </w:pPr>
    <w:rPr>
      <w:rFonts w:ascii="Times New Roman" w:hAnsi="Times New Roman" w:eastAsia="宋体" w:cs="Times New Roman"/>
      <w:kern w:val="2"/>
      <w:sz w:val="28"/>
      <w:lang w:val="en-US"/>
    </w:rPr>
  </w:style>
  <w:style w:type="paragraph" w:styleId="3">
    <w:name w:val="Body Text Indent"/>
    <w:basedOn w:val="1"/>
    <w:next w:val="4"/>
    <w:qFormat/>
    <w:uiPriority w:val="0"/>
    <w:pPr>
      <w:adjustRightInd/>
      <w:spacing w:after="0"/>
      <w:ind w:firstLine="900"/>
      <w:jc w:val="both"/>
    </w:pPr>
    <w:rPr>
      <w:rFonts w:ascii="Times New Roman" w:hAnsi="Times New Roman" w:eastAsia="宋体" w:cs="Times New Roman"/>
      <w:kern w:val="2"/>
      <w:sz w:val="28"/>
      <w:lang w:val="en-US"/>
    </w:rPr>
  </w:style>
  <w:style w:type="paragraph" w:styleId="4">
    <w:name w:val="Normal Indent"/>
    <w:basedOn w:val="1"/>
    <w:next w:val="3"/>
    <w:qFormat/>
    <w:uiPriority w:val="0"/>
    <w:pPr>
      <w:autoSpaceDE/>
      <w:autoSpaceDN/>
      <w:adjustRightInd/>
      <w:ind w:firstLine="420"/>
      <w:jc w:val="both"/>
      <w:textAlignment w:val="auto"/>
    </w:pPr>
    <w:rPr>
      <w:rFonts w:ascii="Times New Roman" w:hAnsi="Times New Roman" w:eastAsia="宋体" w:cs="Times New Roman"/>
      <w:kern w:val="2"/>
      <w:sz w:val="21"/>
    </w:rPr>
  </w:style>
  <w:style w:type="paragraph" w:styleId="8">
    <w:name w:val="Body Text"/>
    <w:basedOn w:val="1"/>
    <w:next w:val="9"/>
    <w:qFormat/>
    <w:uiPriority w:val="0"/>
    <w:pPr>
      <w:widowControl w:val="0"/>
      <w:autoSpaceDE w:val="0"/>
      <w:autoSpaceDN w:val="0"/>
      <w:adjustRightInd w:val="0"/>
      <w:spacing w:after="0"/>
    </w:pPr>
    <w:rPr>
      <w:rFonts w:ascii="Times New Roman" w:hAnsi="Times New Roman" w:eastAsia="宋体" w:cs="Times New Roman"/>
      <w:sz w:val="28"/>
      <w:lang w:bidi="ar-SA"/>
    </w:rPr>
  </w:style>
  <w:style w:type="paragraph" w:styleId="9">
    <w:name w:val="Body Text First Indent"/>
    <w:basedOn w:val="8"/>
    <w:next w:val="1"/>
    <w:qFormat/>
    <w:uiPriority w:val="0"/>
    <w:pPr>
      <w:widowControl w:val="0"/>
      <w:autoSpaceDE w:val="0"/>
      <w:autoSpaceDN w:val="0"/>
      <w:adjustRightInd w:val="0"/>
      <w:spacing w:after="0"/>
      <w:ind w:firstLine="420" w:firstLineChars="100"/>
    </w:pPr>
    <w:rPr>
      <w:rFonts w:ascii="Times New Roman" w:hAnsi="Times New Roman" w:eastAsia="宋体" w:cs="Times New Roman"/>
      <w:sz w:val="28"/>
      <w:lang w:bidi="ar-SA"/>
    </w:rPr>
  </w:style>
  <w:style w:type="paragraph" w:styleId="10">
    <w:name w:val="Plain Text"/>
    <w:basedOn w:val="1"/>
    <w:next w:val="11"/>
    <w:qFormat/>
    <w:uiPriority w:val="0"/>
    <w:pPr>
      <w:widowControl w:val="0"/>
      <w:autoSpaceDE w:val="0"/>
      <w:autoSpaceDN w:val="0"/>
      <w:adjustRightInd w:val="0"/>
      <w:spacing w:after="0"/>
    </w:pPr>
    <w:rPr>
      <w:rFonts w:ascii="Times New Roman" w:hAnsi="Courier New" w:eastAsia="宋体" w:cs="Courier New"/>
      <w:sz w:val="34"/>
      <w:szCs w:val="21"/>
      <w:lang w:val="en-US" w:eastAsia="zh-CN" w:bidi="ar-SA"/>
    </w:rPr>
  </w:style>
  <w:style w:type="paragraph" w:styleId="11">
    <w:name w:val="toc 2"/>
    <w:basedOn w:val="1"/>
    <w:next w:val="1"/>
    <w:qFormat/>
    <w:uiPriority w:val="0"/>
    <w:pPr>
      <w:widowControl w:val="0"/>
      <w:tabs>
        <w:tab w:val="right" w:leader="dot" w:pos="9440"/>
      </w:tabs>
      <w:autoSpaceDE w:val="0"/>
      <w:autoSpaceDN w:val="0"/>
      <w:adjustRightInd w:val="0"/>
      <w:spacing w:before="0" w:after="0" w:line="380" w:lineRule="atLeast"/>
      <w:ind w:left="0" w:right="-133" w:rightChars="-39"/>
      <w:jc w:val="both"/>
    </w:pPr>
    <w:rPr>
      <w:rFonts w:ascii="Times New Roman" w:hAnsi="Times New Roman" w:eastAsia="宋体" w:cs="Times New Roman"/>
      <w:smallCaps/>
      <w:color w:val="000000"/>
      <w:sz w:val="21"/>
      <w:szCs w:val="21"/>
      <w:lang w:bidi="ar-SA"/>
    </w:rPr>
  </w:style>
  <w:style w:type="paragraph" w:styleId="12">
    <w:name w:val="Date"/>
    <w:basedOn w:val="1"/>
    <w:next w:val="1"/>
    <w:qFormat/>
    <w:uiPriority w:val="0"/>
    <w:pPr>
      <w:jc w:val="both"/>
    </w:pPr>
    <w:rPr>
      <w:rFonts w:ascii="Times New Roman" w:hAnsi="Times New Roman" w:eastAsia="宋体" w:cs="Times New Roman"/>
      <w:sz w:val="28"/>
      <w:lang w:val="en-US"/>
    </w:rPr>
  </w:style>
  <w:style w:type="paragraph" w:styleId="13">
    <w:name w:val="footer"/>
    <w:basedOn w:val="1"/>
    <w:qFormat/>
    <w:uiPriority w:val="0"/>
    <w:pPr>
      <w:widowControl w:val="0"/>
      <w:tabs>
        <w:tab w:val="center" w:pos="4140"/>
        <w:tab w:val="right" w:pos="8300"/>
      </w:tabs>
      <w:autoSpaceDE w:val="0"/>
      <w:autoSpaceDN w:val="0"/>
      <w:adjustRightInd w:val="0"/>
      <w:snapToGrid w:val="0"/>
      <w:spacing w:after="0"/>
    </w:pPr>
    <w:rPr>
      <w:rFonts w:ascii="Times New Roman" w:hAnsi="Times New Roman" w:eastAsia="宋体" w:cs="Times New Roman"/>
      <w:sz w:val="18"/>
      <w:lang w:bidi="ar-SA"/>
    </w:rPr>
  </w:style>
  <w:style w:type="paragraph" w:styleId="14">
    <w:name w:val="header"/>
    <w:basedOn w:val="1"/>
    <w:qFormat/>
    <w:uiPriority w:val="0"/>
    <w:pPr>
      <w:widowControl w:val="0"/>
      <w:pBdr>
        <w:bottom w:val="single" w:color="000000" w:sz="6" w:space="1"/>
      </w:pBdr>
      <w:tabs>
        <w:tab w:val="center" w:pos="4140"/>
        <w:tab w:val="right" w:pos="8300"/>
      </w:tabs>
      <w:autoSpaceDE w:val="0"/>
      <w:autoSpaceDN w:val="0"/>
      <w:adjustRightInd w:val="0"/>
      <w:snapToGrid w:val="0"/>
      <w:spacing w:after="0"/>
      <w:jc w:val="center"/>
    </w:pPr>
    <w:rPr>
      <w:rFonts w:ascii="Times New Roman" w:hAnsi="Times New Roman" w:eastAsia="宋体" w:cs="Times New Roman"/>
      <w:sz w:val="18"/>
      <w:lang w:bidi="ar-SA"/>
    </w:rPr>
  </w:style>
  <w:style w:type="paragraph" w:styleId="15">
    <w:name w:val="toc 1"/>
    <w:basedOn w:val="1"/>
    <w:next w:val="1"/>
    <w:qFormat/>
    <w:uiPriority w:val="0"/>
    <w:pPr>
      <w:widowControl w:val="0"/>
      <w:autoSpaceDE w:val="0"/>
      <w:autoSpaceDN w:val="0"/>
      <w:adjustRightInd w:val="0"/>
      <w:spacing w:before="120" w:after="120"/>
      <w:ind w:left="0" w:right="0"/>
    </w:pPr>
    <w:rPr>
      <w:rFonts w:ascii="Times New Roman" w:hAnsi="Times New Roman" w:eastAsia="宋体" w:cs="Times New Roman"/>
      <w:b/>
      <w:bCs/>
      <w:caps/>
      <w:sz w:val="20"/>
      <w:lang w:val="en-US" w:eastAsia="zh-CN" w:bidi="ar-SA"/>
    </w:rPr>
  </w:style>
  <w:style w:type="paragraph" w:styleId="16">
    <w:name w:val="Normal (Web)"/>
    <w:basedOn w:val="1"/>
    <w:next w:val="1"/>
    <w:qFormat/>
    <w:uiPriority w:val="0"/>
    <w:pPr>
      <w:widowControl/>
      <w:autoSpaceDE/>
      <w:autoSpaceDN/>
      <w:adjustRightInd/>
      <w:spacing w:before="100" w:beforeAutospacing="1" w:after="100" w:afterAutospacing="1"/>
      <w:textAlignment w:val="auto"/>
    </w:pPr>
    <w:rPr>
      <w:rFonts w:ascii="Times New Roman" w:hAnsi="宋体"/>
      <w:sz w:val="24"/>
      <w:szCs w:val="24"/>
    </w:rPr>
  </w:style>
  <w:style w:type="table" w:styleId="18">
    <w:name w:val="Table Grid"/>
    <w:basedOn w:val="17"/>
    <w:qFormat/>
    <w:uiPriority w:val="39"/>
    <w:pPr>
      <w:widowControl w:val="0"/>
      <w:autoSpaceDE w:val="0"/>
      <w:autoSpaceDN w:val="0"/>
      <w:adjustRightInd w:val="0"/>
      <w:textAlignment w:val="baseline"/>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rFonts w:ascii="Times New Roman" w:hAnsi="Times New Roman" w:eastAsia="宋体" w:cs="Times New Roman"/>
      <w:b/>
      <w:bCs/>
    </w:rPr>
  </w:style>
  <w:style w:type="character" w:styleId="21">
    <w:name w:val="page number"/>
    <w:basedOn w:val="19"/>
    <w:qFormat/>
    <w:uiPriority w:val="0"/>
    <w:rPr>
      <w:rFonts w:ascii="Times New Roman" w:hAnsi="Times New Roman" w:eastAsia="宋体" w:cs="Times New Roman"/>
    </w:rPr>
  </w:style>
  <w:style w:type="character" w:styleId="22">
    <w:name w:val="Hyperlink"/>
    <w:basedOn w:val="19"/>
    <w:qFormat/>
    <w:uiPriority w:val="0"/>
    <w:rPr>
      <w:color w:val="0000FF"/>
      <w:u w:val="single"/>
    </w:rPr>
  </w:style>
  <w:style w:type="character" w:styleId="23">
    <w:name w:val="HTML Sample"/>
    <w:basedOn w:val="19"/>
    <w:qFormat/>
    <w:uiPriority w:val="0"/>
    <w:rPr>
      <w:rFonts w:ascii="Courier New" w:hAnsi="Courier New"/>
    </w:rPr>
  </w:style>
  <w:style w:type="paragraph" w:customStyle="1" w:styleId="24">
    <w:name w:val="xl53"/>
    <w:basedOn w:val="1"/>
    <w:next w:val="1"/>
    <w:qFormat/>
    <w:uiPriority w:val="0"/>
    <w:pPr>
      <w:spacing w:before="280" w:after="280" w:line="100" w:lineRule="exact"/>
      <w:jc w:val="center"/>
    </w:pPr>
    <w:rPr>
      <w:rFonts w:ascii="宋体"/>
      <w:b/>
      <w:sz w:val="20"/>
    </w:rPr>
  </w:style>
  <w:style w:type="paragraph" w:customStyle="1" w:styleId="25">
    <w:name w:val="BodyText1I2"/>
    <w:basedOn w:val="26"/>
    <w:next w:val="1"/>
    <w:qFormat/>
    <w:uiPriority w:val="0"/>
    <w:pPr>
      <w:spacing w:after="120"/>
      <w:ind w:left="420" w:leftChars="200" w:firstLine="420"/>
    </w:pPr>
    <w:rPr>
      <w:sz w:val="21"/>
      <w:szCs w:val="21"/>
    </w:rPr>
  </w:style>
  <w:style w:type="paragraph" w:customStyle="1" w:styleId="26">
    <w:name w:val="BodyTextIndent"/>
    <w:basedOn w:val="1"/>
    <w:next w:val="1"/>
    <w:qFormat/>
    <w:uiPriority w:val="0"/>
    <w:pPr>
      <w:ind w:firstLine="900"/>
      <w:jc w:val="both"/>
      <w:textAlignment w:val="auto"/>
    </w:pPr>
    <w:rPr>
      <w:rFonts w:ascii="Times New Roman"/>
      <w:kern w:val="2"/>
      <w:sz w:val="28"/>
    </w:rPr>
  </w:style>
  <w:style w:type="character" w:customStyle="1" w:styleId="27">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28">
    <w:name w:val="纯文本1"/>
    <w:basedOn w:val="29"/>
    <w:qFormat/>
    <w:uiPriority w:val="99"/>
    <w:rPr>
      <w:rFonts w:hAnsi="Courier New" w:eastAsia="Times New Roman"/>
      <w:sz w:val="26"/>
    </w:rPr>
  </w:style>
  <w:style w:type="paragraph" w:customStyle="1" w:styleId="29">
    <w:name w:val="正文2"/>
    <w:basedOn w:val="1"/>
    <w:qFormat/>
    <w:uiPriority w:val="0"/>
    <w:pPr>
      <w:spacing w:before="156" w:line="360" w:lineRule="auto"/>
      <w:ind w:firstLine="510" w:firstLineChars="200"/>
    </w:pPr>
    <w:rPr>
      <w:szCs w:val="20"/>
    </w:rPr>
  </w:style>
  <w:style w:type="paragraph" w:customStyle="1" w:styleId="30">
    <w:name w:val="reader-word-layer"/>
    <w:basedOn w:val="1"/>
    <w:qFormat/>
    <w:uiPriority w:val="0"/>
    <w:pPr>
      <w:widowControl/>
      <w:spacing w:before="100" w:beforeAutospacing="1" w:after="100" w:afterAutospacing="1"/>
    </w:pPr>
    <w:rPr>
      <w:rFonts w:ascii="Times New Roman" w:hAnsi="宋体" w:eastAsia="宋体" w:cs="宋体"/>
      <w:sz w:val="24"/>
      <w:szCs w:val="24"/>
    </w:rPr>
  </w:style>
  <w:style w:type="paragraph" w:customStyle="1" w:styleId="31">
    <w:name w:val="章正文"/>
    <w:basedOn w:val="1"/>
    <w:qFormat/>
    <w:uiPriority w:val="99"/>
    <w:pPr>
      <w:spacing w:beforeLines="50" w:after="120" w:line="300" w:lineRule="auto"/>
      <w:ind w:firstLine="480"/>
    </w:pPr>
    <w:rPr>
      <w:rFonts w:ascii="Helvetica" w:hAnsi="Helvetica"/>
      <w:kern w:val="0"/>
      <w:sz w:val="24"/>
    </w:rPr>
  </w:style>
  <w:style w:type="paragraph" w:customStyle="1" w:styleId="32">
    <w:name w:val="p0"/>
    <w:basedOn w:val="1"/>
    <w:qFormat/>
    <w:uiPriority w:val="0"/>
    <w:pPr>
      <w:widowControl/>
      <w:autoSpaceDE/>
      <w:autoSpaceDN/>
      <w:adjustRightInd/>
      <w:jc w:val="both"/>
      <w:textAlignment w:val="auto"/>
    </w:pPr>
    <w:rPr>
      <w:rFonts w:hint="eastAsia" w:ascii="Courier" w:hAnsi="Courier" w:eastAsia="MingLiU" w:cs="Times New Roman"/>
      <w:sz w:val="21"/>
      <w:lang w:eastAsia="zh-TW"/>
    </w:rPr>
  </w:style>
  <w:style w:type="paragraph" w:customStyle="1" w:styleId="33">
    <w:name w:val="xl35"/>
    <w:basedOn w:val="1"/>
    <w:qFormat/>
    <w:uiPriority w:val="0"/>
    <w:pPr>
      <w:widowControl/>
      <w:pBdr>
        <w:left w:val="single" w:color="auto" w:sz="4" w:space="0"/>
        <w:bottom w:val="single" w:color="auto" w:sz="4" w:space="0"/>
        <w:right w:val="single" w:color="auto" w:sz="4" w:space="0"/>
      </w:pBdr>
      <w:autoSpaceDE/>
      <w:autoSpaceDN/>
      <w:adjustRightInd/>
      <w:spacing w:before="100" w:beforeLines="0" w:beforeAutospacing="1" w:after="100" w:afterLines="0" w:afterAutospacing="1"/>
      <w:jc w:val="both"/>
      <w:textAlignment w:val="center"/>
    </w:pPr>
    <w:rPr>
      <w:rFonts w:ascii="Arial Unicode MS" w:hAnsi="Arial Unicode MS" w:eastAsia="Arial Unicode MS"/>
      <w:sz w:val="24"/>
      <w:szCs w:val="24"/>
    </w:rPr>
  </w:style>
  <w:style w:type="character" w:customStyle="1" w:styleId="34">
    <w:name w:val="标题 2 Char"/>
    <w:link w:val="6"/>
    <w:qFormat/>
    <w:uiPriority w:val="0"/>
    <w:rPr>
      <w:rFonts w:ascii="仿宋_GB2312" w:hAnsi="仿宋_GB2312" w:eastAsia="宋体"/>
      <w:b/>
      <w:kern w:val="0"/>
      <w:sz w:val="28"/>
      <w:szCs w:val="20"/>
    </w:rPr>
  </w:style>
  <w:style w:type="paragraph" w:styleId="35">
    <w:name w:val="List Paragraph"/>
    <w:basedOn w:val="1"/>
    <w:qFormat/>
    <w:uiPriority w:val="1"/>
    <w:pPr>
      <w:ind w:left="338" w:firstLine="480"/>
    </w:pPr>
    <w:rPr>
      <w:rFonts w:ascii="宋体" w:hAnsi="宋体" w:eastAsia="宋体" w:cs="宋体"/>
      <w:lang w:val="zh-CN" w:eastAsia="zh-CN" w:bidi="zh-CN"/>
    </w:rPr>
  </w:style>
  <w:style w:type="paragraph" w:customStyle="1" w:styleId="3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7">
    <w:name w:val="Body text|1"/>
    <w:basedOn w:val="1"/>
    <w:qFormat/>
    <w:uiPriority w:val="0"/>
    <w:pPr>
      <w:spacing w:line="425" w:lineRule="auto"/>
      <w:ind w:firstLine="400"/>
      <w:jc w:val="left"/>
    </w:pPr>
    <w:rPr>
      <w:rFonts w:ascii="宋体" w:hAnsi="宋体" w:eastAsia="宋体" w:cs="宋体"/>
      <w:kern w:val="0"/>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 (Beijing) Limited</Company>
  <Pages>59</Pages>
  <Words>28257</Words>
  <Characters>29674</Characters>
  <Lines>1</Lines>
  <Paragraphs>1</Paragraphs>
  <TotalTime>20</TotalTime>
  <ScaleCrop>false</ScaleCrop>
  <LinksUpToDate>false</LinksUpToDate>
  <CharactersWithSpaces>30016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2013-12-19T15:43:00Z</dcterms:created>
  <dc:creator>市教育局收发</dc:creator>
  <cp:lastModifiedBy>南城雨落</cp:lastModifiedBy>
  <dcterms:modified xsi:type="dcterms:W3CDTF">2025-07-15T08:31:41Z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E4E35D07ACC1456E8B9B6E0CCAC8A917_13</vt:lpwstr>
  </property>
  <property fmtid="{D5CDD505-2E9C-101B-9397-08002B2CF9AE}" pid="4" name="KSOTemplateDocerSaveRecord">
    <vt:lpwstr>eyJoZGlkIjoiYzM3ZTM5NjkwNDk5ZDE1NGVlNjg0N2QzYzg2MzhiYTciLCJ1c2VySWQiOiIxMTIyMDc2MTkzIn0=</vt:lpwstr>
  </property>
</Properties>
</file>