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4AFBAD">
      <w:pPr>
        <w:tabs>
          <w:tab w:val="left" w:pos="5580"/>
        </w:tabs>
        <w:spacing w:line="360" w:lineRule="auto"/>
        <w:jc w:val="center"/>
        <w:rPr>
          <w:rFonts w:hint="eastAsia" w:ascii="宋体" w:hAnsi="宋体" w:eastAsia="宋体" w:cs="宋体"/>
          <w:b/>
          <w:bCs/>
          <w:color w:val="auto"/>
          <w:sz w:val="52"/>
          <w:szCs w:val="52"/>
          <w:highlight w:val="none"/>
          <w:lang w:eastAsia="zh-CN"/>
        </w:rPr>
      </w:pPr>
    </w:p>
    <w:p w14:paraId="74369CA2">
      <w:pPr>
        <w:pStyle w:val="46"/>
        <w:rPr>
          <w:rFonts w:hint="eastAsia"/>
          <w:color w:val="auto"/>
          <w:highlight w:val="none"/>
          <w:lang w:eastAsia="zh-CN"/>
        </w:rPr>
      </w:pPr>
    </w:p>
    <w:p w14:paraId="071E5A60">
      <w:pPr>
        <w:tabs>
          <w:tab w:val="left" w:pos="5580"/>
        </w:tabs>
        <w:spacing w:line="360" w:lineRule="auto"/>
        <w:jc w:val="center"/>
        <w:rPr>
          <w:rFonts w:hint="eastAsia" w:ascii="宋体" w:hAnsi="宋体" w:eastAsia="宋体" w:cs="宋体"/>
          <w:b/>
          <w:bCs/>
          <w:color w:val="auto"/>
          <w:sz w:val="52"/>
          <w:szCs w:val="52"/>
          <w:highlight w:val="none"/>
          <w:lang w:eastAsia="zh-CN"/>
        </w:rPr>
      </w:pPr>
      <w:r>
        <w:rPr>
          <w:rFonts w:hint="eastAsia" w:ascii="宋体" w:hAnsi="宋体" w:cs="宋体"/>
          <w:b/>
          <w:bCs/>
          <w:color w:val="auto"/>
          <w:sz w:val="52"/>
          <w:szCs w:val="52"/>
          <w:highlight w:val="none"/>
          <w:lang w:eastAsia="zh-CN"/>
        </w:rPr>
        <w:t>浙江省金华监狱东关押点操场维修工程</w:t>
      </w:r>
    </w:p>
    <w:p w14:paraId="5DFE106C">
      <w:pPr>
        <w:jc w:val="center"/>
        <w:rPr>
          <w:rFonts w:hint="eastAsia" w:ascii="宋体" w:hAnsi="宋体" w:eastAsia="宋体" w:cs="宋体"/>
          <w:b/>
          <w:bCs/>
          <w:color w:val="auto"/>
          <w:sz w:val="72"/>
          <w:highlight w:val="none"/>
        </w:rPr>
      </w:pPr>
    </w:p>
    <w:p w14:paraId="537BAEA1">
      <w:pPr>
        <w:jc w:val="center"/>
        <w:rPr>
          <w:rFonts w:hint="eastAsia" w:ascii="宋体" w:hAnsi="宋体" w:eastAsia="宋体" w:cs="宋体"/>
          <w:b/>
          <w:bCs/>
          <w:color w:val="auto"/>
          <w:sz w:val="72"/>
          <w:highlight w:val="none"/>
        </w:rPr>
      </w:pPr>
      <w:bookmarkStart w:id="0" w:name="_Hlt162751967"/>
      <w:bookmarkEnd w:id="0"/>
    </w:p>
    <w:p w14:paraId="7D244877">
      <w:pPr>
        <w:jc w:val="center"/>
        <w:rPr>
          <w:rFonts w:hint="eastAsia" w:ascii="宋体" w:hAnsi="宋体" w:eastAsia="宋体" w:cs="宋体"/>
          <w:b/>
          <w:bCs/>
          <w:color w:val="auto"/>
          <w:sz w:val="72"/>
          <w:highlight w:val="none"/>
        </w:rPr>
      </w:pPr>
    </w:p>
    <w:p w14:paraId="10AFC9F0">
      <w:pPr>
        <w:jc w:val="center"/>
        <w:rPr>
          <w:rFonts w:hint="eastAsia" w:ascii="宋体" w:hAnsi="宋体" w:eastAsia="宋体" w:cs="宋体"/>
          <w:b/>
          <w:bCs/>
          <w:color w:val="auto"/>
          <w:sz w:val="84"/>
          <w:szCs w:val="84"/>
          <w:highlight w:val="none"/>
        </w:rPr>
      </w:pPr>
      <w:r>
        <w:rPr>
          <w:rFonts w:hint="eastAsia" w:ascii="宋体" w:hAnsi="宋体" w:eastAsia="宋体" w:cs="宋体"/>
          <w:b/>
          <w:bCs/>
          <w:color w:val="auto"/>
          <w:sz w:val="84"/>
          <w:szCs w:val="84"/>
          <w:highlight w:val="none"/>
        </w:rPr>
        <w:t>竞争性磋商文件</w:t>
      </w:r>
    </w:p>
    <w:p w14:paraId="4E4F2324">
      <w:pPr>
        <w:jc w:val="center"/>
        <w:rPr>
          <w:rFonts w:hint="eastAsia" w:ascii="宋体" w:hAnsi="宋体" w:eastAsia="宋体" w:cs="宋体"/>
          <w:b/>
          <w:bCs/>
          <w:color w:val="auto"/>
          <w:sz w:val="72"/>
          <w:highlight w:val="none"/>
        </w:rPr>
      </w:pPr>
    </w:p>
    <w:p w14:paraId="27BB0CDD">
      <w:pPr>
        <w:jc w:val="center"/>
        <w:rPr>
          <w:rFonts w:hint="eastAsia" w:ascii="宋体" w:hAnsi="宋体" w:eastAsia="宋体" w:cs="宋体"/>
          <w:b/>
          <w:bCs/>
          <w:color w:val="auto"/>
          <w:sz w:val="72"/>
          <w:highlight w:val="none"/>
        </w:rPr>
      </w:pPr>
    </w:p>
    <w:p w14:paraId="2B14C1EC">
      <w:pPr>
        <w:jc w:val="center"/>
        <w:rPr>
          <w:rFonts w:hint="eastAsia" w:ascii="宋体" w:hAnsi="宋体" w:eastAsia="宋体" w:cs="宋体"/>
          <w:b/>
          <w:bCs/>
          <w:color w:val="auto"/>
          <w:sz w:val="72"/>
          <w:highlight w:val="none"/>
        </w:rPr>
      </w:pPr>
    </w:p>
    <w:p w14:paraId="70368872">
      <w:pPr>
        <w:ind w:left="0" w:leftChars="0" w:firstLine="1484" w:firstLineChars="462"/>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rPr>
        <w:t>项目编号：</w:t>
      </w:r>
      <w:r>
        <w:rPr>
          <w:rFonts w:hint="eastAsia" w:ascii="宋体" w:hAnsi="宋体" w:eastAsia="宋体" w:cs="宋体"/>
          <w:b/>
          <w:bCs/>
          <w:color w:val="auto"/>
          <w:sz w:val="32"/>
          <w:szCs w:val="32"/>
          <w:highlight w:val="none"/>
        </w:rPr>
        <w:tab/>
      </w:r>
      <w:r>
        <w:rPr>
          <w:rFonts w:hint="eastAsia" w:ascii="宋体" w:hAnsi="宋体" w:cs="宋体"/>
          <w:b/>
          <w:bCs/>
          <w:color w:val="auto"/>
          <w:sz w:val="32"/>
          <w:szCs w:val="32"/>
          <w:highlight w:val="none"/>
          <w:lang w:eastAsia="zh-CN"/>
        </w:rPr>
        <w:t>SJH-A202513005</w:t>
      </w:r>
    </w:p>
    <w:p w14:paraId="3C2343A6">
      <w:pPr>
        <w:ind w:left="0" w:leftChars="0" w:firstLine="1484" w:firstLineChars="462"/>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采购方式：</w:t>
      </w:r>
      <w:r>
        <w:rPr>
          <w:rFonts w:hint="eastAsia" w:ascii="宋体" w:hAnsi="宋体" w:eastAsia="宋体" w:cs="宋体"/>
          <w:b/>
          <w:bCs/>
          <w:color w:val="auto"/>
          <w:sz w:val="32"/>
          <w:szCs w:val="32"/>
          <w:highlight w:val="none"/>
        </w:rPr>
        <w:tab/>
      </w:r>
      <w:r>
        <w:rPr>
          <w:rFonts w:hint="eastAsia" w:ascii="宋体" w:hAnsi="宋体" w:eastAsia="宋体" w:cs="宋体"/>
          <w:b/>
          <w:bCs/>
          <w:color w:val="auto"/>
          <w:sz w:val="32"/>
          <w:szCs w:val="32"/>
          <w:highlight w:val="none"/>
        </w:rPr>
        <w:t>竞争性磋商</w:t>
      </w:r>
    </w:p>
    <w:p w14:paraId="33EE72F2">
      <w:pPr>
        <w:ind w:left="0" w:leftChars="0" w:firstLine="1484" w:firstLineChars="462"/>
        <w:rPr>
          <w:rFonts w:hint="eastAsia"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rPr>
        <w:t>采 购 人：</w:t>
      </w:r>
      <w:r>
        <w:rPr>
          <w:rFonts w:hint="eastAsia" w:ascii="宋体" w:hAnsi="宋体" w:eastAsia="宋体" w:cs="宋体"/>
          <w:b/>
          <w:bCs/>
          <w:color w:val="auto"/>
          <w:sz w:val="32"/>
          <w:szCs w:val="32"/>
          <w:highlight w:val="none"/>
        </w:rPr>
        <w:tab/>
      </w:r>
      <w:r>
        <w:rPr>
          <w:rFonts w:hint="eastAsia" w:ascii="宋体" w:hAnsi="宋体" w:cs="宋体"/>
          <w:b/>
          <w:bCs/>
          <w:color w:val="auto"/>
          <w:sz w:val="32"/>
          <w:szCs w:val="32"/>
          <w:highlight w:val="none"/>
          <w:lang w:eastAsia="zh-CN"/>
        </w:rPr>
        <w:t>浙江省金华监狱</w:t>
      </w:r>
    </w:p>
    <w:p w14:paraId="71AD1CEF">
      <w:pPr>
        <w:ind w:left="0" w:leftChars="0" w:firstLine="1484" w:firstLineChars="462"/>
        <w:rPr>
          <w:rFonts w:hint="eastAsia" w:ascii="宋体" w:hAnsi="宋体" w:cs="宋体"/>
          <w:b/>
          <w:bCs/>
          <w:color w:val="auto"/>
          <w:sz w:val="32"/>
          <w:szCs w:val="32"/>
          <w:highlight w:val="none"/>
          <w:lang w:eastAsia="zh-CN"/>
        </w:rPr>
      </w:pPr>
      <w:r>
        <w:rPr>
          <w:rFonts w:hint="eastAsia" w:ascii="宋体" w:hAnsi="宋体" w:cs="宋体"/>
          <w:b/>
          <w:bCs/>
          <w:color w:val="auto"/>
          <w:sz w:val="32"/>
          <w:szCs w:val="32"/>
          <w:highlight w:val="none"/>
          <w:lang w:eastAsia="zh-CN"/>
        </w:rPr>
        <w:t>代理机构：</w:t>
      </w:r>
      <w:r>
        <w:rPr>
          <w:rFonts w:hint="eastAsia" w:ascii="宋体" w:hAnsi="宋体" w:cs="宋体"/>
          <w:b/>
          <w:bCs/>
          <w:color w:val="auto"/>
          <w:sz w:val="32"/>
          <w:szCs w:val="32"/>
          <w:highlight w:val="none"/>
          <w:lang w:eastAsia="zh-CN"/>
        </w:rPr>
        <w:tab/>
      </w:r>
      <w:r>
        <w:rPr>
          <w:rFonts w:hint="eastAsia" w:ascii="宋体" w:hAnsi="宋体" w:cs="宋体"/>
          <w:b/>
          <w:bCs/>
          <w:color w:val="auto"/>
          <w:sz w:val="32"/>
          <w:szCs w:val="32"/>
          <w:highlight w:val="none"/>
          <w:lang w:eastAsia="zh-CN"/>
        </w:rPr>
        <w:t>浙江华杰工程咨询有限公司</w:t>
      </w:r>
    </w:p>
    <w:p w14:paraId="5515FDA1">
      <w:pPr>
        <w:ind w:left="0" w:leftChars="0" w:firstLine="3084" w:firstLineChars="960"/>
        <w:rPr>
          <w:rFonts w:hint="default" w:ascii="宋体" w:hAnsi="宋体" w:cs="宋体"/>
          <w:b/>
          <w:bCs/>
          <w:color w:val="auto"/>
          <w:sz w:val="32"/>
          <w:szCs w:val="32"/>
          <w:highlight w:val="none"/>
          <w:lang w:val="en-US" w:eastAsia="zh-CN"/>
        </w:rPr>
      </w:pPr>
      <w:r>
        <w:rPr>
          <w:rFonts w:hint="eastAsia" w:ascii="宋体" w:hAnsi="宋体" w:cs="宋体"/>
          <w:b/>
          <w:bCs/>
          <w:color w:val="auto"/>
          <w:sz w:val="32"/>
          <w:szCs w:val="32"/>
          <w:highlight w:val="none"/>
          <w:lang w:val="en-US" w:eastAsia="zh-CN"/>
        </w:rPr>
        <w:t>2025年5月</w:t>
      </w:r>
    </w:p>
    <w:p w14:paraId="65C53B07">
      <w:pPr>
        <w:pStyle w:val="30"/>
        <w:rPr>
          <w:rFonts w:hint="eastAsia" w:ascii="宋体" w:hAnsi="宋体" w:eastAsia="宋体" w:cs="宋体"/>
          <w:color w:val="auto"/>
          <w:highlight w:val="none"/>
        </w:rPr>
      </w:pPr>
    </w:p>
    <w:p w14:paraId="468B5FF8">
      <w:pPr>
        <w:pStyle w:val="46"/>
        <w:rPr>
          <w:rFonts w:hint="eastAsia" w:ascii="宋体" w:hAnsi="宋体" w:eastAsia="宋体" w:cs="宋体"/>
          <w:color w:val="auto"/>
          <w:highlight w:val="none"/>
        </w:rPr>
      </w:pPr>
    </w:p>
    <w:p w14:paraId="309037F8">
      <w:pPr>
        <w:rPr>
          <w:rFonts w:hint="eastAsia" w:ascii="宋体" w:hAnsi="宋体" w:eastAsia="宋体" w:cs="宋体"/>
          <w:color w:val="auto"/>
          <w:highlight w:val="none"/>
        </w:rPr>
        <w:sectPr>
          <w:headerReference r:id="rId3" w:type="default"/>
          <w:footerReference r:id="rId4" w:type="default"/>
          <w:pgSz w:w="11906" w:h="16838"/>
          <w:pgMar w:top="924" w:right="1418" w:bottom="1417" w:left="1418" w:header="1020" w:footer="1020" w:gutter="0"/>
          <w:pgNumType w:start="1"/>
          <w:cols w:space="720" w:num="1"/>
          <w:docGrid w:type="lines" w:linePitch="312" w:charSpace="0"/>
        </w:sectPr>
      </w:pPr>
    </w:p>
    <w:p w14:paraId="6467CACF">
      <w:pPr>
        <w:spacing w:beforeLines="100" w:afterLines="100"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目  录</w:t>
      </w:r>
    </w:p>
    <w:p w14:paraId="064DB45F">
      <w:pPr>
        <w:pStyle w:val="20"/>
        <w:tabs>
          <w:tab w:val="right" w:leader="dot" w:pos="8997"/>
          <w:tab w:val="clear" w:pos="8948"/>
        </w:tabs>
        <w:rPr>
          <w:rFonts w:hint="eastAsia" w:ascii="宋体" w:hAnsi="宋体" w:eastAsia="宋体" w:cs="宋体"/>
          <w:color w:val="auto"/>
          <w:sz w:val="24"/>
          <w:szCs w:val="24"/>
          <w:highlight w:val="none"/>
        </w:rPr>
      </w:pPr>
      <w:bookmarkStart w:id="1" w:name="_Toc29995"/>
      <w:r>
        <w:rPr>
          <w:rFonts w:hint="eastAsia" w:ascii="宋体" w:hAnsi="宋体" w:eastAsia="宋体" w:cs="宋体"/>
          <w:color w:val="auto"/>
          <w:kern w:val="2"/>
          <w:sz w:val="24"/>
          <w:szCs w:val="24"/>
          <w:highlight w:val="none"/>
        </w:rPr>
        <w:fldChar w:fldCharType="begin"/>
      </w:r>
      <w:r>
        <w:rPr>
          <w:rFonts w:hint="eastAsia" w:ascii="宋体" w:hAnsi="宋体" w:eastAsia="宋体" w:cs="宋体"/>
          <w:color w:val="auto"/>
          <w:kern w:val="2"/>
          <w:sz w:val="24"/>
          <w:szCs w:val="24"/>
          <w:highlight w:val="none"/>
        </w:rPr>
        <w:instrText xml:space="preserve">TOC \o "1-2" \h \u </w:instrText>
      </w:r>
      <w:r>
        <w:rPr>
          <w:rFonts w:hint="eastAsia" w:ascii="宋体" w:hAnsi="宋体" w:eastAsia="宋体" w:cs="宋体"/>
          <w:color w:val="auto"/>
          <w:kern w:val="2"/>
          <w:sz w:val="24"/>
          <w:szCs w:val="24"/>
          <w:highlight w:val="none"/>
        </w:rPr>
        <w:fldChar w:fldCharType="separate"/>
      </w:r>
      <w:r>
        <w:rPr>
          <w:rFonts w:hint="eastAsia" w:ascii="宋体" w:hAnsi="宋体" w:eastAsia="宋体" w:cs="宋体"/>
          <w:color w:val="auto"/>
          <w:kern w:val="2"/>
          <w:sz w:val="24"/>
          <w:szCs w:val="24"/>
          <w:highlight w:val="none"/>
        </w:rPr>
        <w:fldChar w:fldCharType="begin"/>
      </w:r>
      <w:r>
        <w:rPr>
          <w:rFonts w:hint="eastAsia" w:ascii="宋体" w:hAnsi="宋体" w:eastAsia="宋体" w:cs="宋体"/>
          <w:color w:val="auto"/>
          <w:kern w:val="2"/>
          <w:sz w:val="24"/>
          <w:szCs w:val="24"/>
          <w:highlight w:val="none"/>
        </w:rPr>
        <w:instrText xml:space="preserve"> HYPERLINK \l _Toc17309 </w:instrText>
      </w:r>
      <w:r>
        <w:rPr>
          <w:rFonts w:hint="eastAsia" w:ascii="宋体" w:hAnsi="宋体" w:eastAsia="宋体" w:cs="宋体"/>
          <w:color w:val="auto"/>
          <w:kern w:val="2"/>
          <w:sz w:val="24"/>
          <w:szCs w:val="24"/>
          <w:highlight w:val="none"/>
        </w:rPr>
        <w:fldChar w:fldCharType="separate"/>
      </w:r>
      <w:r>
        <w:rPr>
          <w:rFonts w:hint="eastAsia" w:ascii="宋体" w:hAnsi="宋体" w:eastAsia="宋体" w:cs="宋体"/>
          <w:color w:val="auto"/>
          <w:sz w:val="24"/>
          <w:szCs w:val="24"/>
          <w:highlight w:val="none"/>
          <w:lang w:val="en-US" w:eastAsia="zh-CN"/>
        </w:rPr>
        <w:t xml:space="preserve">第一章 </w:t>
      </w:r>
      <w:r>
        <w:rPr>
          <w:rFonts w:hint="eastAsia" w:ascii="宋体" w:hAnsi="宋体" w:eastAsia="宋体" w:cs="宋体"/>
          <w:color w:val="auto"/>
          <w:sz w:val="24"/>
          <w:szCs w:val="24"/>
          <w:highlight w:val="none"/>
        </w:rPr>
        <w:t xml:space="preserve"> 竞争性磋商采购公告</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_Toc17309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2"/>
          <w:sz w:val="24"/>
          <w:szCs w:val="24"/>
          <w:highlight w:val="none"/>
        </w:rPr>
        <w:fldChar w:fldCharType="end"/>
      </w:r>
    </w:p>
    <w:p w14:paraId="1E8CC7F6">
      <w:pPr>
        <w:pStyle w:val="24"/>
        <w:tabs>
          <w:tab w:val="right" w:leader="dot" w:pos="8997"/>
          <w:tab w:val="clear" w:pos="8948"/>
        </w:tabs>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fldChar w:fldCharType="begin"/>
      </w:r>
      <w:r>
        <w:rPr>
          <w:rFonts w:hint="eastAsia" w:ascii="宋体" w:hAnsi="宋体" w:eastAsia="宋体" w:cs="宋体"/>
          <w:color w:val="auto"/>
          <w:kern w:val="2"/>
          <w:sz w:val="24"/>
          <w:szCs w:val="24"/>
          <w:highlight w:val="none"/>
        </w:rPr>
        <w:instrText xml:space="preserve"> HYPERLINK \l _Toc26634 </w:instrText>
      </w:r>
      <w:r>
        <w:rPr>
          <w:rFonts w:hint="eastAsia" w:ascii="宋体" w:hAnsi="宋体" w:eastAsia="宋体" w:cs="宋体"/>
          <w:color w:val="auto"/>
          <w:kern w:val="2"/>
          <w:sz w:val="24"/>
          <w:szCs w:val="24"/>
          <w:highlight w:val="none"/>
        </w:rPr>
        <w:fldChar w:fldCharType="separate"/>
      </w:r>
      <w:r>
        <w:rPr>
          <w:rFonts w:hint="eastAsia" w:ascii="宋体" w:hAnsi="宋体" w:eastAsia="宋体" w:cs="宋体"/>
          <w:color w:val="auto"/>
          <w:sz w:val="24"/>
          <w:szCs w:val="24"/>
          <w:highlight w:val="none"/>
        </w:rPr>
        <w:t>一、项目基本情况</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_Toc26634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2"/>
          <w:sz w:val="24"/>
          <w:szCs w:val="24"/>
          <w:highlight w:val="none"/>
        </w:rPr>
        <w:fldChar w:fldCharType="end"/>
      </w:r>
    </w:p>
    <w:p w14:paraId="560E336D">
      <w:pPr>
        <w:pStyle w:val="24"/>
        <w:tabs>
          <w:tab w:val="right" w:leader="dot" w:pos="8997"/>
          <w:tab w:val="clear" w:pos="8948"/>
        </w:tabs>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fldChar w:fldCharType="begin"/>
      </w:r>
      <w:r>
        <w:rPr>
          <w:rFonts w:hint="eastAsia" w:ascii="宋体" w:hAnsi="宋体" w:eastAsia="宋体" w:cs="宋体"/>
          <w:color w:val="auto"/>
          <w:kern w:val="2"/>
          <w:sz w:val="24"/>
          <w:szCs w:val="24"/>
          <w:highlight w:val="none"/>
        </w:rPr>
        <w:instrText xml:space="preserve"> HYPERLINK \l _Toc20643 </w:instrText>
      </w:r>
      <w:r>
        <w:rPr>
          <w:rFonts w:hint="eastAsia" w:ascii="宋体" w:hAnsi="宋体" w:eastAsia="宋体" w:cs="宋体"/>
          <w:color w:val="auto"/>
          <w:kern w:val="2"/>
          <w:sz w:val="24"/>
          <w:szCs w:val="24"/>
          <w:highlight w:val="none"/>
        </w:rPr>
        <w:fldChar w:fldCharType="separate"/>
      </w:r>
      <w:r>
        <w:rPr>
          <w:rFonts w:hint="eastAsia" w:ascii="宋体" w:hAnsi="宋体" w:eastAsia="宋体" w:cs="宋体"/>
          <w:color w:val="auto"/>
          <w:sz w:val="24"/>
          <w:szCs w:val="24"/>
          <w:highlight w:val="none"/>
        </w:rPr>
        <w:t>二、申请人的资格要求：</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_Toc20643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2"/>
          <w:sz w:val="24"/>
          <w:szCs w:val="24"/>
          <w:highlight w:val="none"/>
        </w:rPr>
        <w:fldChar w:fldCharType="end"/>
      </w:r>
    </w:p>
    <w:p w14:paraId="19E03FDD">
      <w:pPr>
        <w:pStyle w:val="24"/>
        <w:tabs>
          <w:tab w:val="right" w:leader="dot" w:pos="8997"/>
          <w:tab w:val="clear" w:pos="8948"/>
        </w:tabs>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fldChar w:fldCharType="begin"/>
      </w:r>
      <w:r>
        <w:rPr>
          <w:rFonts w:hint="eastAsia" w:ascii="宋体" w:hAnsi="宋体" w:eastAsia="宋体" w:cs="宋体"/>
          <w:color w:val="auto"/>
          <w:kern w:val="2"/>
          <w:sz w:val="24"/>
          <w:szCs w:val="24"/>
          <w:highlight w:val="none"/>
        </w:rPr>
        <w:instrText xml:space="preserve"> HYPERLINK \l _Toc30184 </w:instrText>
      </w:r>
      <w:r>
        <w:rPr>
          <w:rFonts w:hint="eastAsia" w:ascii="宋体" w:hAnsi="宋体" w:eastAsia="宋体" w:cs="宋体"/>
          <w:color w:val="auto"/>
          <w:kern w:val="2"/>
          <w:sz w:val="24"/>
          <w:szCs w:val="24"/>
          <w:highlight w:val="none"/>
        </w:rPr>
        <w:fldChar w:fldCharType="separate"/>
      </w:r>
      <w:r>
        <w:rPr>
          <w:rFonts w:hint="eastAsia" w:ascii="宋体" w:hAnsi="宋体" w:eastAsia="宋体" w:cs="宋体"/>
          <w:color w:val="auto"/>
          <w:sz w:val="24"/>
          <w:szCs w:val="24"/>
          <w:highlight w:val="none"/>
        </w:rPr>
        <w:t>三、获取（下载）采购文件</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_Toc30184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2"/>
          <w:sz w:val="24"/>
          <w:szCs w:val="24"/>
          <w:highlight w:val="none"/>
        </w:rPr>
        <w:fldChar w:fldCharType="end"/>
      </w:r>
    </w:p>
    <w:p w14:paraId="53665D54">
      <w:pPr>
        <w:pStyle w:val="24"/>
        <w:tabs>
          <w:tab w:val="right" w:leader="dot" w:pos="8997"/>
          <w:tab w:val="clear" w:pos="8948"/>
        </w:tabs>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fldChar w:fldCharType="begin"/>
      </w:r>
      <w:r>
        <w:rPr>
          <w:rFonts w:hint="eastAsia" w:ascii="宋体" w:hAnsi="宋体" w:eastAsia="宋体" w:cs="宋体"/>
          <w:color w:val="auto"/>
          <w:kern w:val="2"/>
          <w:sz w:val="24"/>
          <w:szCs w:val="24"/>
          <w:highlight w:val="none"/>
        </w:rPr>
        <w:instrText xml:space="preserve"> HYPERLINK \l _Toc1757 </w:instrText>
      </w:r>
      <w:r>
        <w:rPr>
          <w:rFonts w:hint="eastAsia" w:ascii="宋体" w:hAnsi="宋体" w:eastAsia="宋体" w:cs="宋体"/>
          <w:color w:val="auto"/>
          <w:kern w:val="2"/>
          <w:sz w:val="24"/>
          <w:szCs w:val="24"/>
          <w:highlight w:val="none"/>
        </w:rPr>
        <w:fldChar w:fldCharType="separate"/>
      </w:r>
      <w:r>
        <w:rPr>
          <w:rFonts w:hint="eastAsia" w:ascii="宋体" w:hAnsi="宋体" w:eastAsia="宋体" w:cs="宋体"/>
          <w:color w:val="auto"/>
          <w:sz w:val="24"/>
          <w:szCs w:val="24"/>
          <w:highlight w:val="none"/>
        </w:rPr>
        <w:t>四、响应文件提交（上传）</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_Toc1757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2"/>
          <w:sz w:val="24"/>
          <w:szCs w:val="24"/>
          <w:highlight w:val="none"/>
        </w:rPr>
        <w:fldChar w:fldCharType="end"/>
      </w:r>
    </w:p>
    <w:p w14:paraId="4E2EE596">
      <w:pPr>
        <w:pStyle w:val="24"/>
        <w:tabs>
          <w:tab w:val="right" w:leader="dot" w:pos="8997"/>
          <w:tab w:val="clear" w:pos="8948"/>
        </w:tabs>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fldChar w:fldCharType="begin"/>
      </w:r>
      <w:r>
        <w:rPr>
          <w:rFonts w:hint="eastAsia" w:ascii="宋体" w:hAnsi="宋体" w:eastAsia="宋体" w:cs="宋体"/>
          <w:color w:val="auto"/>
          <w:kern w:val="2"/>
          <w:sz w:val="24"/>
          <w:szCs w:val="24"/>
          <w:highlight w:val="none"/>
        </w:rPr>
        <w:instrText xml:space="preserve"> HYPERLINK \l _Toc14306 </w:instrText>
      </w:r>
      <w:r>
        <w:rPr>
          <w:rFonts w:hint="eastAsia" w:ascii="宋体" w:hAnsi="宋体" w:eastAsia="宋体" w:cs="宋体"/>
          <w:color w:val="auto"/>
          <w:kern w:val="2"/>
          <w:sz w:val="24"/>
          <w:szCs w:val="24"/>
          <w:highlight w:val="none"/>
        </w:rPr>
        <w:fldChar w:fldCharType="separate"/>
      </w:r>
      <w:r>
        <w:rPr>
          <w:rFonts w:hint="eastAsia" w:ascii="宋体" w:hAnsi="宋体" w:eastAsia="宋体" w:cs="宋体"/>
          <w:color w:val="auto"/>
          <w:sz w:val="24"/>
          <w:szCs w:val="24"/>
          <w:highlight w:val="none"/>
        </w:rPr>
        <w:t>五、响应文件开启</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_Toc14306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2"/>
          <w:sz w:val="24"/>
          <w:szCs w:val="24"/>
          <w:highlight w:val="none"/>
        </w:rPr>
        <w:fldChar w:fldCharType="end"/>
      </w:r>
    </w:p>
    <w:p w14:paraId="06C7670F">
      <w:pPr>
        <w:pStyle w:val="24"/>
        <w:tabs>
          <w:tab w:val="right" w:leader="dot" w:pos="8997"/>
          <w:tab w:val="clear" w:pos="8948"/>
        </w:tabs>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fldChar w:fldCharType="begin"/>
      </w:r>
      <w:r>
        <w:rPr>
          <w:rFonts w:hint="eastAsia" w:ascii="宋体" w:hAnsi="宋体" w:eastAsia="宋体" w:cs="宋体"/>
          <w:color w:val="auto"/>
          <w:kern w:val="2"/>
          <w:sz w:val="24"/>
          <w:szCs w:val="24"/>
          <w:highlight w:val="none"/>
        </w:rPr>
        <w:instrText xml:space="preserve"> HYPERLINK \l _Toc1685 </w:instrText>
      </w:r>
      <w:r>
        <w:rPr>
          <w:rFonts w:hint="eastAsia" w:ascii="宋体" w:hAnsi="宋体" w:eastAsia="宋体" w:cs="宋体"/>
          <w:color w:val="auto"/>
          <w:kern w:val="2"/>
          <w:sz w:val="24"/>
          <w:szCs w:val="24"/>
          <w:highlight w:val="none"/>
        </w:rPr>
        <w:fldChar w:fldCharType="separate"/>
      </w:r>
      <w:r>
        <w:rPr>
          <w:rFonts w:hint="eastAsia" w:ascii="宋体" w:hAnsi="宋体" w:eastAsia="宋体" w:cs="宋体"/>
          <w:color w:val="auto"/>
          <w:sz w:val="24"/>
          <w:szCs w:val="24"/>
          <w:highlight w:val="none"/>
        </w:rPr>
        <w:t>六、</w:t>
      </w:r>
      <w:r>
        <w:rPr>
          <w:rFonts w:hint="eastAsia" w:ascii="宋体" w:hAnsi="宋体" w:eastAsia="宋体" w:cs="宋体"/>
          <w:color w:val="auto"/>
          <w:sz w:val="24"/>
          <w:szCs w:val="24"/>
          <w:highlight w:val="none"/>
          <w:lang w:val="en-US" w:eastAsia="zh-CN"/>
        </w:rPr>
        <w:t>采购意向公开链接</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_Toc1685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2"/>
          <w:sz w:val="24"/>
          <w:szCs w:val="24"/>
          <w:highlight w:val="none"/>
        </w:rPr>
        <w:fldChar w:fldCharType="end"/>
      </w:r>
    </w:p>
    <w:p w14:paraId="23CB57ED">
      <w:pPr>
        <w:pStyle w:val="24"/>
        <w:tabs>
          <w:tab w:val="right" w:leader="dot" w:pos="8997"/>
          <w:tab w:val="clear" w:pos="8948"/>
        </w:tabs>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fldChar w:fldCharType="begin"/>
      </w:r>
      <w:r>
        <w:rPr>
          <w:rFonts w:hint="eastAsia" w:ascii="宋体" w:hAnsi="宋体" w:eastAsia="宋体" w:cs="宋体"/>
          <w:color w:val="auto"/>
          <w:kern w:val="2"/>
          <w:sz w:val="24"/>
          <w:szCs w:val="24"/>
          <w:highlight w:val="none"/>
        </w:rPr>
        <w:instrText xml:space="preserve"> HYPERLINK \l _Toc3303 </w:instrText>
      </w:r>
      <w:r>
        <w:rPr>
          <w:rFonts w:hint="eastAsia" w:ascii="宋体" w:hAnsi="宋体" w:eastAsia="宋体" w:cs="宋体"/>
          <w:color w:val="auto"/>
          <w:kern w:val="2"/>
          <w:sz w:val="24"/>
          <w:szCs w:val="24"/>
          <w:highlight w:val="none"/>
        </w:rPr>
        <w:fldChar w:fldCharType="separate"/>
      </w:r>
      <w:r>
        <w:rPr>
          <w:rFonts w:hint="eastAsia" w:ascii="宋体" w:hAnsi="宋体" w:eastAsia="宋体" w:cs="宋体"/>
          <w:color w:val="auto"/>
          <w:sz w:val="24"/>
          <w:szCs w:val="24"/>
          <w:highlight w:val="none"/>
        </w:rPr>
        <w:t>七、公告期限</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_Toc3303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2"/>
          <w:sz w:val="24"/>
          <w:szCs w:val="24"/>
          <w:highlight w:val="none"/>
        </w:rPr>
        <w:fldChar w:fldCharType="end"/>
      </w:r>
    </w:p>
    <w:p w14:paraId="7B54228D">
      <w:pPr>
        <w:pStyle w:val="24"/>
        <w:tabs>
          <w:tab w:val="right" w:leader="dot" w:pos="8997"/>
          <w:tab w:val="clear" w:pos="8948"/>
        </w:tabs>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fldChar w:fldCharType="begin"/>
      </w:r>
      <w:r>
        <w:rPr>
          <w:rFonts w:hint="eastAsia" w:ascii="宋体" w:hAnsi="宋体" w:eastAsia="宋体" w:cs="宋体"/>
          <w:color w:val="auto"/>
          <w:kern w:val="2"/>
          <w:sz w:val="24"/>
          <w:szCs w:val="24"/>
          <w:highlight w:val="none"/>
        </w:rPr>
        <w:instrText xml:space="preserve"> HYPERLINK \l _Toc7074 </w:instrText>
      </w:r>
      <w:r>
        <w:rPr>
          <w:rFonts w:hint="eastAsia" w:ascii="宋体" w:hAnsi="宋体" w:eastAsia="宋体" w:cs="宋体"/>
          <w:color w:val="auto"/>
          <w:kern w:val="2"/>
          <w:sz w:val="24"/>
          <w:szCs w:val="24"/>
          <w:highlight w:val="none"/>
        </w:rPr>
        <w:fldChar w:fldCharType="separate"/>
      </w:r>
      <w:r>
        <w:rPr>
          <w:rFonts w:hint="eastAsia" w:ascii="宋体" w:hAnsi="宋体" w:eastAsia="宋体" w:cs="宋体"/>
          <w:color w:val="auto"/>
          <w:sz w:val="24"/>
          <w:szCs w:val="24"/>
          <w:highlight w:val="none"/>
        </w:rPr>
        <w:t>八、其他补充事宜</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_Toc7074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2"/>
          <w:sz w:val="24"/>
          <w:szCs w:val="24"/>
          <w:highlight w:val="none"/>
        </w:rPr>
        <w:fldChar w:fldCharType="end"/>
      </w:r>
    </w:p>
    <w:p w14:paraId="546D2750">
      <w:pPr>
        <w:pStyle w:val="24"/>
        <w:tabs>
          <w:tab w:val="right" w:leader="dot" w:pos="8997"/>
          <w:tab w:val="clear" w:pos="8948"/>
        </w:tabs>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fldChar w:fldCharType="begin"/>
      </w:r>
      <w:r>
        <w:rPr>
          <w:rFonts w:hint="eastAsia" w:ascii="宋体" w:hAnsi="宋体" w:eastAsia="宋体" w:cs="宋体"/>
          <w:color w:val="auto"/>
          <w:kern w:val="2"/>
          <w:sz w:val="24"/>
          <w:szCs w:val="24"/>
          <w:highlight w:val="none"/>
        </w:rPr>
        <w:instrText xml:space="preserve"> HYPERLINK \l _Toc24455 </w:instrText>
      </w:r>
      <w:r>
        <w:rPr>
          <w:rFonts w:hint="eastAsia" w:ascii="宋体" w:hAnsi="宋体" w:eastAsia="宋体" w:cs="宋体"/>
          <w:color w:val="auto"/>
          <w:kern w:val="2"/>
          <w:sz w:val="24"/>
          <w:szCs w:val="24"/>
          <w:highlight w:val="none"/>
        </w:rPr>
        <w:fldChar w:fldCharType="separate"/>
      </w:r>
      <w:r>
        <w:rPr>
          <w:rFonts w:hint="eastAsia" w:ascii="宋体" w:hAnsi="宋体" w:eastAsia="宋体" w:cs="宋体"/>
          <w:color w:val="auto"/>
          <w:sz w:val="24"/>
          <w:szCs w:val="24"/>
          <w:highlight w:val="none"/>
          <w:lang w:val="en-US" w:eastAsia="zh-CN"/>
        </w:rPr>
        <w:t>九</w:t>
      </w:r>
      <w:r>
        <w:rPr>
          <w:rFonts w:hint="eastAsia" w:ascii="宋体" w:hAnsi="宋体" w:eastAsia="宋体" w:cs="宋体"/>
          <w:color w:val="auto"/>
          <w:sz w:val="24"/>
          <w:szCs w:val="24"/>
          <w:highlight w:val="none"/>
        </w:rPr>
        <w:t>、凡对本次招标提出询问、质疑、投诉，请按以下方式联系</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_Toc24455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2"/>
          <w:sz w:val="24"/>
          <w:szCs w:val="24"/>
          <w:highlight w:val="none"/>
        </w:rPr>
        <w:fldChar w:fldCharType="end"/>
      </w:r>
    </w:p>
    <w:p w14:paraId="6B472028">
      <w:pPr>
        <w:pStyle w:val="24"/>
        <w:tabs>
          <w:tab w:val="right" w:leader="dot" w:pos="8997"/>
          <w:tab w:val="clear" w:pos="8948"/>
        </w:tabs>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fldChar w:fldCharType="begin"/>
      </w:r>
      <w:r>
        <w:rPr>
          <w:rFonts w:hint="eastAsia" w:ascii="宋体" w:hAnsi="宋体" w:eastAsia="宋体" w:cs="宋体"/>
          <w:color w:val="auto"/>
          <w:kern w:val="2"/>
          <w:sz w:val="24"/>
          <w:szCs w:val="24"/>
          <w:highlight w:val="none"/>
        </w:rPr>
        <w:instrText xml:space="preserve"> HYPERLINK \l _Toc1033 </w:instrText>
      </w:r>
      <w:r>
        <w:rPr>
          <w:rFonts w:hint="eastAsia" w:ascii="宋体" w:hAnsi="宋体" w:eastAsia="宋体" w:cs="宋体"/>
          <w:color w:val="auto"/>
          <w:kern w:val="2"/>
          <w:sz w:val="24"/>
          <w:szCs w:val="24"/>
          <w:highlight w:val="none"/>
        </w:rPr>
        <w:fldChar w:fldCharType="separate"/>
      </w:r>
      <w:r>
        <w:rPr>
          <w:rFonts w:hint="eastAsia" w:ascii="宋体" w:hAnsi="宋体" w:eastAsia="宋体" w:cs="宋体"/>
          <w:color w:val="auto"/>
          <w:sz w:val="24"/>
          <w:szCs w:val="24"/>
          <w:highlight w:val="none"/>
          <w:lang w:val="en-US" w:eastAsia="zh-CN"/>
        </w:rPr>
        <w:t>十、其他</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_Toc1033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2"/>
          <w:sz w:val="24"/>
          <w:szCs w:val="24"/>
          <w:highlight w:val="none"/>
        </w:rPr>
        <w:fldChar w:fldCharType="end"/>
      </w:r>
    </w:p>
    <w:p w14:paraId="6DCF534D">
      <w:pPr>
        <w:pStyle w:val="20"/>
        <w:tabs>
          <w:tab w:val="right" w:leader="dot" w:pos="8997"/>
          <w:tab w:val="clear" w:pos="8948"/>
        </w:tabs>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fldChar w:fldCharType="begin"/>
      </w:r>
      <w:r>
        <w:rPr>
          <w:rFonts w:hint="eastAsia" w:ascii="宋体" w:hAnsi="宋体" w:eastAsia="宋体" w:cs="宋体"/>
          <w:color w:val="auto"/>
          <w:kern w:val="2"/>
          <w:sz w:val="24"/>
          <w:szCs w:val="24"/>
          <w:highlight w:val="none"/>
        </w:rPr>
        <w:instrText xml:space="preserve"> HYPERLINK \l _Toc17571 </w:instrText>
      </w:r>
      <w:r>
        <w:rPr>
          <w:rFonts w:hint="eastAsia" w:ascii="宋体" w:hAnsi="宋体" w:eastAsia="宋体" w:cs="宋体"/>
          <w:color w:val="auto"/>
          <w:kern w:val="2"/>
          <w:sz w:val="24"/>
          <w:szCs w:val="24"/>
          <w:highlight w:val="none"/>
        </w:rPr>
        <w:fldChar w:fldCharType="separate"/>
      </w:r>
      <w:r>
        <w:rPr>
          <w:rFonts w:hint="eastAsia" w:ascii="宋体" w:hAnsi="宋体" w:eastAsia="宋体" w:cs="宋体"/>
          <w:color w:val="auto"/>
          <w:sz w:val="24"/>
          <w:szCs w:val="24"/>
          <w:highlight w:val="none"/>
          <w:lang w:val="en-US" w:eastAsia="zh-CN"/>
        </w:rPr>
        <w:t>第二章 采购需求及要求</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_Toc17571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9</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2"/>
          <w:sz w:val="24"/>
          <w:szCs w:val="24"/>
          <w:highlight w:val="none"/>
        </w:rPr>
        <w:fldChar w:fldCharType="end"/>
      </w:r>
    </w:p>
    <w:p w14:paraId="23BC828B">
      <w:pPr>
        <w:pStyle w:val="20"/>
        <w:tabs>
          <w:tab w:val="right" w:leader="dot" w:pos="8997"/>
          <w:tab w:val="clear" w:pos="8948"/>
        </w:tabs>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fldChar w:fldCharType="begin"/>
      </w:r>
      <w:r>
        <w:rPr>
          <w:rFonts w:hint="eastAsia" w:ascii="宋体" w:hAnsi="宋体" w:eastAsia="宋体" w:cs="宋体"/>
          <w:color w:val="auto"/>
          <w:kern w:val="2"/>
          <w:sz w:val="24"/>
          <w:szCs w:val="24"/>
          <w:highlight w:val="none"/>
        </w:rPr>
        <w:instrText xml:space="preserve"> HYPERLINK \l _Toc15461 </w:instrText>
      </w:r>
      <w:r>
        <w:rPr>
          <w:rFonts w:hint="eastAsia" w:ascii="宋体" w:hAnsi="宋体" w:eastAsia="宋体" w:cs="宋体"/>
          <w:color w:val="auto"/>
          <w:kern w:val="2"/>
          <w:sz w:val="24"/>
          <w:szCs w:val="24"/>
          <w:highlight w:val="none"/>
        </w:rPr>
        <w:fldChar w:fldCharType="separate"/>
      </w:r>
      <w:r>
        <w:rPr>
          <w:rFonts w:hint="eastAsia" w:ascii="宋体" w:hAnsi="宋体" w:eastAsia="宋体" w:cs="宋体"/>
          <w:color w:val="auto"/>
          <w:sz w:val="24"/>
          <w:szCs w:val="24"/>
          <w:highlight w:val="none"/>
          <w:lang w:val="en-US" w:eastAsia="zh-CN"/>
        </w:rPr>
        <w:t>第三章</w:t>
      </w:r>
      <w:r>
        <w:rPr>
          <w:rFonts w:hint="eastAsia" w:ascii="宋体" w:hAnsi="宋体" w:eastAsia="宋体" w:cs="宋体"/>
          <w:color w:val="auto"/>
          <w:sz w:val="24"/>
          <w:szCs w:val="24"/>
          <w:highlight w:val="none"/>
        </w:rPr>
        <w:t xml:space="preserve">  磋商供应商须知</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_Toc15461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10</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2"/>
          <w:sz w:val="24"/>
          <w:szCs w:val="24"/>
          <w:highlight w:val="none"/>
        </w:rPr>
        <w:fldChar w:fldCharType="end"/>
      </w:r>
    </w:p>
    <w:p w14:paraId="7C6E3EDF">
      <w:pPr>
        <w:pStyle w:val="24"/>
        <w:tabs>
          <w:tab w:val="right" w:leader="dot" w:pos="8997"/>
          <w:tab w:val="clear" w:pos="8948"/>
        </w:tabs>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fldChar w:fldCharType="begin"/>
      </w:r>
      <w:r>
        <w:rPr>
          <w:rFonts w:hint="eastAsia" w:ascii="宋体" w:hAnsi="宋体" w:eastAsia="宋体" w:cs="宋体"/>
          <w:color w:val="auto"/>
          <w:kern w:val="2"/>
          <w:sz w:val="24"/>
          <w:szCs w:val="24"/>
          <w:highlight w:val="none"/>
        </w:rPr>
        <w:instrText xml:space="preserve"> HYPERLINK \l _Toc7328 </w:instrText>
      </w:r>
      <w:r>
        <w:rPr>
          <w:rFonts w:hint="eastAsia" w:ascii="宋体" w:hAnsi="宋体" w:eastAsia="宋体" w:cs="宋体"/>
          <w:color w:val="auto"/>
          <w:kern w:val="2"/>
          <w:sz w:val="24"/>
          <w:szCs w:val="24"/>
          <w:highlight w:val="none"/>
        </w:rPr>
        <w:fldChar w:fldCharType="separate"/>
      </w:r>
      <w:r>
        <w:rPr>
          <w:rFonts w:hint="eastAsia" w:ascii="宋体" w:hAnsi="宋体" w:eastAsia="宋体" w:cs="宋体"/>
          <w:bCs w:val="0"/>
          <w:color w:val="auto"/>
          <w:sz w:val="24"/>
          <w:szCs w:val="24"/>
          <w:highlight w:val="none"/>
        </w:rPr>
        <w:t>磋商须知前附表</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_Toc7328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12</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2"/>
          <w:sz w:val="24"/>
          <w:szCs w:val="24"/>
          <w:highlight w:val="none"/>
        </w:rPr>
        <w:fldChar w:fldCharType="end"/>
      </w:r>
    </w:p>
    <w:p w14:paraId="047134F0">
      <w:pPr>
        <w:pStyle w:val="24"/>
        <w:tabs>
          <w:tab w:val="right" w:leader="dot" w:pos="8997"/>
          <w:tab w:val="clear" w:pos="8948"/>
        </w:tabs>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fldChar w:fldCharType="begin"/>
      </w:r>
      <w:r>
        <w:rPr>
          <w:rFonts w:hint="eastAsia" w:ascii="宋体" w:hAnsi="宋体" w:eastAsia="宋体" w:cs="宋体"/>
          <w:color w:val="auto"/>
          <w:kern w:val="2"/>
          <w:sz w:val="24"/>
          <w:szCs w:val="24"/>
          <w:highlight w:val="none"/>
        </w:rPr>
        <w:instrText xml:space="preserve"> HYPERLINK \l _Toc2265 </w:instrText>
      </w:r>
      <w:r>
        <w:rPr>
          <w:rFonts w:hint="eastAsia" w:ascii="宋体" w:hAnsi="宋体" w:eastAsia="宋体" w:cs="宋体"/>
          <w:color w:val="auto"/>
          <w:kern w:val="2"/>
          <w:sz w:val="24"/>
          <w:szCs w:val="24"/>
          <w:highlight w:val="none"/>
        </w:rPr>
        <w:fldChar w:fldCharType="separate"/>
      </w:r>
      <w:r>
        <w:rPr>
          <w:rFonts w:hint="eastAsia" w:ascii="宋体" w:hAnsi="宋体" w:eastAsia="宋体" w:cs="宋体"/>
          <w:color w:val="auto"/>
          <w:sz w:val="24"/>
          <w:szCs w:val="24"/>
          <w:highlight w:val="none"/>
        </w:rPr>
        <w:t>一、说明</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_Toc2265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18</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2"/>
          <w:sz w:val="24"/>
          <w:szCs w:val="24"/>
          <w:highlight w:val="none"/>
        </w:rPr>
        <w:fldChar w:fldCharType="end"/>
      </w:r>
    </w:p>
    <w:p w14:paraId="08D819FB">
      <w:pPr>
        <w:pStyle w:val="24"/>
        <w:tabs>
          <w:tab w:val="right" w:leader="dot" w:pos="8997"/>
          <w:tab w:val="clear" w:pos="8948"/>
        </w:tabs>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fldChar w:fldCharType="begin"/>
      </w:r>
      <w:r>
        <w:rPr>
          <w:rFonts w:hint="eastAsia" w:ascii="宋体" w:hAnsi="宋体" w:eastAsia="宋体" w:cs="宋体"/>
          <w:color w:val="auto"/>
          <w:kern w:val="2"/>
          <w:sz w:val="24"/>
          <w:szCs w:val="24"/>
          <w:highlight w:val="none"/>
        </w:rPr>
        <w:instrText xml:space="preserve"> HYPERLINK \l _Toc13089 </w:instrText>
      </w:r>
      <w:r>
        <w:rPr>
          <w:rFonts w:hint="eastAsia" w:ascii="宋体" w:hAnsi="宋体" w:eastAsia="宋体" w:cs="宋体"/>
          <w:color w:val="auto"/>
          <w:kern w:val="2"/>
          <w:sz w:val="24"/>
          <w:szCs w:val="24"/>
          <w:highlight w:val="none"/>
        </w:rPr>
        <w:fldChar w:fldCharType="separate"/>
      </w:r>
      <w:r>
        <w:rPr>
          <w:rFonts w:hint="eastAsia" w:ascii="宋体" w:hAnsi="宋体" w:eastAsia="宋体" w:cs="宋体"/>
          <w:color w:val="auto"/>
          <w:sz w:val="24"/>
          <w:szCs w:val="24"/>
          <w:highlight w:val="none"/>
        </w:rPr>
        <w:t>二、磋商文件</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_Toc13089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20</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2"/>
          <w:sz w:val="24"/>
          <w:szCs w:val="24"/>
          <w:highlight w:val="none"/>
        </w:rPr>
        <w:fldChar w:fldCharType="end"/>
      </w:r>
    </w:p>
    <w:p w14:paraId="6A4C79E6">
      <w:pPr>
        <w:pStyle w:val="24"/>
        <w:tabs>
          <w:tab w:val="right" w:leader="dot" w:pos="8997"/>
          <w:tab w:val="clear" w:pos="8948"/>
        </w:tabs>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fldChar w:fldCharType="begin"/>
      </w:r>
      <w:r>
        <w:rPr>
          <w:rFonts w:hint="eastAsia" w:ascii="宋体" w:hAnsi="宋体" w:eastAsia="宋体" w:cs="宋体"/>
          <w:color w:val="auto"/>
          <w:kern w:val="2"/>
          <w:sz w:val="24"/>
          <w:szCs w:val="24"/>
          <w:highlight w:val="none"/>
        </w:rPr>
        <w:instrText xml:space="preserve"> HYPERLINK \l _Toc26207 </w:instrText>
      </w:r>
      <w:r>
        <w:rPr>
          <w:rFonts w:hint="eastAsia" w:ascii="宋体" w:hAnsi="宋体" w:eastAsia="宋体" w:cs="宋体"/>
          <w:color w:val="auto"/>
          <w:kern w:val="2"/>
          <w:sz w:val="24"/>
          <w:szCs w:val="24"/>
          <w:highlight w:val="none"/>
        </w:rPr>
        <w:fldChar w:fldCharType="separate"/>
      </w:r>
      <w:r>
        <w:rPr>
          <w:rFonts w:hint="eastAsia" w:ascii="宋体" w:hAnsi="宋体" w:eastAsia="宋体" w:cs="宋体"/>
          <w:color w:val="auto"/>
          <w:sz w:val="24"/>
          <w:szCs w:val="24"/>
          <w:highlight w:val="none"/>
        </w:rPr>
        <w:t>三、响应文件的编制</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_Toc26207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2"/>
          <w:sz w:val="24"/>
          <w:szCs w:val="24"/>
          <w:highlight w:val="none"/>
        </w:rPr>
        <w:fldChar w:fldCharType="end"/>
      </w:r>
    </w:p>
    <w:p w14:paraId="58DD5ABD">
      <w:pPr>
        <w:pStyle w:val="24"/>
        <w:tabs>
          <w:tab w:val="right" w:leader="dot" w:pos="8997"/>
          <w:tab w:val="clear" w:pos="8948"/>
        </w:tabs>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fldChar w:fldCharType="begin"/>
      </w:r>
      <w:r>
        <w:rPr>
          <w:rFonts w:hint="eastAsia" w:ascii="宋体" w:hAnsi="宋体" w:eastAsia="宋体" w:cs="宋体"/>
          <w:color w:val="auto"/>
          <w:kern w:val="2"/>
          <w:sz w:val="24"/>
          <w:szCs w:val="24"/>
          <w:highlight w:val="none"/>
        </w:rPr>
        <w:instrText xml:space="preserve"> HYPERLINK \l _Toc31122 </w:instrText>
      </w:r>
      <w:r>
        <w:rPr>
          <w:rFonts w:hint="eastAsia" w:ascii="宋体" w:hAnsi="宋体" w:eastAsia="宋体" w:cs="宋体"/>
          <w:color w:val="auto"/>
          <w:kern w:val="2"/>
          <w:sz w:val="24"/>
          <w:szCs w:val="24"/>
          <w:highlight w:val="none"/>
        </w:rPr>
        <w:fldChar w:fldCharType="separate"/>
      </w:r>
      <w:r>
        <w:rPr>
          <w:rFonts w:hint="eastAsia" w:ascii="宋体" w:hAnsi="宋体" w:eastAsia="宋体" w:cs="宋体"/>
          <w:color w:val="auto"/>
          <w:sz w:val="24"/>
          <w:szCs w:val="24"/>
          <w:highlight w:val="none"/>
        </w:rPr>
        <w:t>四、磋商程序</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_Toc31122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27</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2"/>
          <w:sz w:val="24"/>
          <w:szCs w:val="24"/>
          <w:highlight w:val="none"/>
        </w:rPr>
        <w:fldChar w:fldCharType="end"/>
      </w:r>
    </w:p>
    <w:p w14:paraId="6347FAE2">
      <w:pPr>
        <w:pStyle w:val="24"/>
        <w:tabs>
          <w:tab w:val="right" w:leader="dot" w:pos="8997"/>
          <w:tab w:val="clear" w:pos="8948"/>
        </w:tabs>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fldChar w:fldCharType="begin"/>
      </w:r>
      <w:r>
        <w:rPr>
          <w:rFonts w:hint="eastAsia" w:ascii="宋体" w:hAnsi="宋体" w:eastAsia="宋体" w:cs="宋体"/>
          <w:color w:val="auto"/>
          <w:kern w:val="2"/>
          <w:sz w:val="24"/>
          <w:szCs w:val="24"/>
          <w:highlight w:val="none"/>
        </w:rPr>
        <w:instrText xml:space="preserve"> HYPERLINK \l _Toc12199 </w:instrText>
      </w:r>
      <w:r>
        <w:rPr>
          <w:rFonts w:hint="eastAsia" w:ascii="宋体" w:hAnsi="宋体" w:eastAsia="宋体" w:cs="宋体"/>
          <w:color w:val="auto"/>
          <w:kern w:val="2"/>
          <w:sz w:val="24"/>
          <w:szCs w:val="24"/>
          <w:highlight w:val="none"/>
        </w:rPr>
        <w:fldChar w:fldCharType="separate"/>
      </w:r>
      <w:r>
        <w:rPr>
          <w:rFonts w:hint="eastAsia" w:ascii="宋体" w:hAnsi="宋体" w:eastAsia="宋体" w:cs="宋体"/>
          <w:color w:val="auto"/>
          <w:sz w:val="24"/>
          <w:szCs w:val="24"/>
          <w:highlight w:val="none"/>
        </w:rPr>
        <w:t>五、磋商</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_Toc12199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28</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2"/>
          <w:sz w:val="24"/>
          <w:szCs w:val="24"/>
          <w:highlight w:val="none"/>
        </w:rPr>
        <w:fldChar w:fldCharType="end"/>
      </w:r>
    </w:p>
    <w:p w14:paraId="4B9D035B">
      <w:pPr>
        <w:pStyle w:val="24"/>
        <w:tabs>
          <w:tab w:val="right" w:leader="dot" w:pos="8997"/>
          <w:tab w:val="clear" w:pos="8948"/>
        </w:tabs>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fldChar w:fldCharType="begin"/>
      </w:r>
      <w:r>
        <w:rPr>
          <w:rFonts w:hint="eastAsia" w:ascii="宋体" w:hAnsi="宋体" w:eastAsia="宋体" w:cs="宋体"/>
          <w:color w:val="auto"/>
          <w:kern w:val="2"/>
          <w:sz w:val="24"/>
          <w:szCs w:val="24"/>
          <w:highlight w:val="none"/>
        </w:rPr>
        <w:instrText xml:space="preserve"> HYPERLINK \l _Toc6922 </w:instrText>
      </w:r>
      <w:r>
        <w:rPr>
          <w:rFonts w:hint="eastAsia" w:ascii="宋体" w:hAnsi="宋体" w:eastAsia="宋体" w:cs="宋体"/>
          <w:color w:val="auto"/>
          <w:kern w:val="2"/>
          <w:sz w:val="24"/>
          <w:szCs w:val="24"/>
          <w:highlight w:val="none"/>
        </w:rPr>
        <w:fldChar w:fldCharType="separate"/>
      </w:r>
      <w:r>
        <w:rPr>
          <w:rFonts w:hint="eastAsia" w:ascii="宋体" w:hAnsi="宋体" w:eastAsia="宋体" w:cs="宋体"/>
          <w:color w:val="auto"/>
          <w:sz w:val="24"/>
          <w:szCs w:val="24"/>
          <w:highlight w:val="none"/>
        </w:rPr>
        <w:t>六．确定成交人</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_Toc6922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30</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2"/>
          <w:sz w:val="24"/>
          <w:szCs w:val="24"/>
          <w:highlight w:val="none"/>
        </w:rPr>
        <w:fldChar w:fldCharType="end"/>
      </w:r>
    </w:p>
    <w:p w14:paraId="2433D10B">
      <w:pPr>
        <w:pStyle w:val="24"/>
        <w:tabs>
          <w:tab w:val="right" w:leader="dot" w:pos="8997"/>
          <w:tab w:val="clear" w:pos="8948"/>
        </w:tabs>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fldChar w:fldCharType="begin"/>
      </w:r>
      <w:r>
        <w:rPr>
          <w:rFonts w:hint="eastAsia" w:ascii="宋体" w:hAnsi="宋体" w:eastAsia="宋体" w:cs="宋体"/>
          <w:color w:val="auto"/>
          <w:kern w:val="2"/>
          <w:sz w:val="24"/>
          <w:szCs w:val="24"/>
          <w:highlight w:val="none"/>
        </w:rPr>
        <w:instrText xml:space="preserve"> HYPERLINK \l _Toc23021 </w:instrText>
      </w:r>
      <w:r>
        <w:rPr>
          <w:rFonts w:hint="eastAsia" w:ascii="宋体" w:hAnsi="宋体" w:eastAsia="宋体" w:cs="宋体"/>
          <w:color w:val="auto"/>
          <w:kern w:val="2"/>
          <w:sz w:val="24"/>
          <w:szCs w:val="24"/>
          <w:highlight w:val="none"/>
        </w:rPr>
        <w:fldChar w:fldCharType="separate"/>
      </w:r>
      <w:r>
        <w:rPr>
          <w:rFonts w:hint="eastAsia" w:ascii="宋体" w:hAnsi="宋体" w:eastAsia="宋体" w:cs="宋体"/>
          <w:color w:val="auto"/>
          <w:sz w:val="24"/>
          <w:szCs w:val="24"/>
          <w:highlight w:val="none"/>
        </w:rPr>
        <w:t>七、合同授予</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_Toc23021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31</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2"/>
          <w:sz w:val="24"/>
          <w:szCs w:val="24"/>
          <w:highlight w:val="none"/>
        </w:rPr>
        <w:fldChar w:fldCharType="end"/>
      </w:r>
    </w:p>
    <w:p w14:paraId="4C99E212">
      <w:pPr>
        <w:pStyle w:val="24"/>
        <w:tabs>
          <w:tab w:val="right" w:leader="dot" w:pos="8997"/>
          <w:tab w:val="clear" w:pos="8948"/>
        </w:tabs>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fldChar w:fldCharType="begin"/>
      </w:r>
      <w:r>
        <w:rPr>
          <w:rFonts w:hint="eastAsia" w:ascii="宋体" w:hAnsi="宋体" w:eastAsia="宋体" w:cs="宋体"/>
          <w:color w:val="auto"/>
          <w:kern w:val="2"/>
          <w:sz w:val="24"/>
          <w:szCs w:val="24"/>
          <w:highlight w:val="none"/>
        </w:rPr>
        <w:instrText xml:space="preserve"> HYPERLINK \l _Toc23633 </w:instrText>
      </w:r>
      <w:r>
        <w:rPr>
          <w:rFonts w:hint="eastAsia" w:ascii="宋体" w:hAnsi="宋体" w:eastAsia="宋体" w:cs="宋体"/>
          <w:color w:val="auto"/>
          <w:kern w:val="2"/>
          <w:sz w:val="24"/>
          <w:szCs w:val="24"/>
          <w:highlight w:val="none"/>
        </w:rPr>
        <w:fldChar w:fldCharType="separate"/>
      </w:r>
      <w:r>
        <w:rPr>
          <w:rFonts w:hint="eastAsia" w:ascii="宋体" w:hAnsi="宋体" w:eastAsia="宋体" w:cs="宋体"/>
          <w:color w:val="auto"/>
          <w:sz w:val="24"/>
          <w:szCs w:val="24"/>
          <w:highlight w:val="none"/>
        </w:rPr>
        <w:t>八、电子投标特别提醒</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_Toc23633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31</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2"/>
          <w:sz w:val="24"/>
          <w:szCs w:val="24"/>
          <w:highlight w:val="none"/>
        </w:rPr>
        <w:fldChar w:fldCharType="end"/>
      </w:r>
    </w:p>
    <w:p w14:paraId="7706FF22">
      <w:pPr>
        <w:pStyle w:val="20"/>
        <w:tabs>
          <w:tab w:val="right" w:leader="dot" w:pos="8997"/>
          <w:tab w:val="clear" w:pos="8948"/>
        </w:tabs>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fldChar w:fldCharType="begin"/>
      </w:r>
      <w:r>
        <w:rPr>
          <w:rFonts w:hint="eastAsia" w:ascii="宋体" w:hAnsi="宋体" w:eastAsia="宋体" w:cs="宋体"/>
          <w:color w:val="auto"/>
          <w:kern w:val="2"/>
          <w:sz w:val="24"/>
          <w:szCs w:val="24"/>
          <w:highlight w:val="none"/>
        </w:rPr>
        <w:instrText xml:space="preserve"> HYPERLINK \l _Toc4455 </w:instrText>
      </w:r>
      <w:r>
        <w:rPr>
          <w:rFonts w:hint="eastAsia" w:ascii="宋体" w:hAnsi="宋体" w:eastAsia="宋体" w:cs="宋体"/>
          <w:color w:val="auto"/>
          <w:kern w:val="2"/>
          <w:sz w:val="24"/>
          <w:szCs w:val="24"/>
          <w:highlight w:val="none"/>
        </w:rPr>
        <w:fldChar w:fldCharType="separate"/>
      </w: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 xml:space="preserve">四章 </w:t>
      </w:r>
      <w:r>
        <w:rPr>
          <w:rFonts w:hint="eastAsia" w:ascii="宋体" w:hAnsi="宋体" w:eastAsia="宋体" w:cs="宋体"/>
          <w:color w:val="auto"/>
          <w:sz w:val="24"/>
          <w:szCs w:val="24"/>
          <w:highlight w:val="none"/>
        </w:rPr>
        <w:t xml:space="preserve"> 磋商办法及评分标准</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_Toc4455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32</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2"/>
          <w:sz w:val="24"/>
          <w:szCs w:val="24"/>
          <w:highlight w:val="none"/>
        </w:rPr>
        <w:fldChar w:fldCharType="end"/>
      </w:r>
    </w:p>
    <w:p w14:paraId="754B9130">
      <w:pPr>
        <w:pStyle w:val="24"/>
        <w:tabs>
          <w:tab w:val="right" w:leader="dot" w:pos="8997"/>
          <w:tab w:val="clear" w:pos="8948"/>
        </w:tabs>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fldChar w:fldCharType="begin"/>
      </w:r>
      <w:r>
        <w:rPr>
          <w:rFonts w:hint="eastAsia" w:ascii="宋体" w:hAnsi="宋体" w:eastAsia="宋体" w:cs="宋体"/>
          <w:color w:val="auto"/>
          <w:kern w:val="2"/>
          <w:sz w:val="24"/>
          <w:szCs w:val="24"/>
          <w:highlight w:val="none"/>
        </w:rPr>
        <w:instrText xml:space="preserve"> HYPERLINK \l _Toc4371 </w:instrText>
      </w:r>
      <w:r>
        <w:rPr>
          <w:rFonts w:hint="eastAsia" w:ascii="宋体" w:hAnsi="宋体" w:eastAsia="宋体" w:cs="宋体"/>
          <w:color w:val="auto"/>
          <w:kern w:val="2"/>
          <w:sz w:val="24"/>
          <w:szCs w:val="24"/>
          <w:highlight w:val="none"/>
        </w:rPr>
        <w:fldChar w:fldCharType="separate"/>
      </w: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rPr>
        <w:t>、磋商内容及标准</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_Toc4371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32</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2"/>
          <w:sz w:val="24"/>
          <w:szCs w:val="24"/>
          <w:highlight w:val="none"/>
        </w:rPr>
        <w:fldChar w:fldCharType="end"/>
      </w:r>
    </w:p>
    <w:p w14:paraId="03CD3153">
      <w:pPr>
        <w:pStyle w:val="24"/>
        <w:tabs>
          <w:tab w:val="right" w:leader="dot" w:pos="8997"/>
          <w:tab w:val="clear" w:pos="8948"/>
        </w:tabs>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fldChar w:fldCharType="begin"/>
      </w:r>
      <w:r>
        <w:rPr>
          <w:rFonts w:hint="eastAsia" w:ascii="宋体" w:hAnsi="宋体" w:eastAsia="宋体" w:cs="宋体"/>
          <w:color w:val="auto"/>
          <w:kern w:val="2"/>
          <w:sz w:val="24"/>
          <w:szCs w:val="24"/>
          <w:highlight w:val="none"/>
        </w:rPr>
        <w:instrText xml:space="preserve"> HYPERLINK \l _Toc31289 </w:instrText>
      </w:r>
      <w:r>
        <w:rPr>
          <w:rFonts w:hint="eastAsia" w:ascii="宋体" w:hAnsi="宋体" w:eastAsia="宋体" w:cs="宋体"/>
          <w:color w:val="auto"/>
          <w:kern w:val="2"/>
          <w:sz w:val="24"/>
          <w:szCs w:val="24"/>
          <w:highlight w:val="none"/>
        </w:rPr>
        <w:fldChar w:fldCharType="separate"/>
      </w: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rPr>
        <w:t>、评审程序</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_Toc31289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32</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2"/>
          <w:sz w:val="24"/>
          <w:szCs w:val="24"/>
          <w:highlight w:val="none"/>
        </w:rPr>
        <w:fldChar w:fldCharType="end"/>
      </w:r>
    </w:p>
    <w:p w14:paraId="64485C41">
      <w:pPr>
        <w:pStyle w:val="24"/>
        <w:tabs>
          <w:tab w:val="right" w:leader="dot" w:pos="8997"/>
          <w:tab w:val="clear" w:pos="8948"/>
        </w:tabs>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fldChar w:fldCharType="begin"/>
      </w:r>
      <w:r>
        <w:rPr>
          <w:rFonts w:hint="eastAsia" w:ascii="宋体" w:hAnsi="宋体" w:eastAsia="宋体" w:cs="宋体"/>
          <w:color w:val="auto"/>
          <w:kern w:val="2"/>
          <w:sz w:val="24"/>
          <w:szCs w:val="24"/>
          <w:highlight w:val="none"/>
        </w:rPr>
        <w:instrText xml:space="preserve"> HYPERLINK \l _Toc30583 </w:instrText>
      </w:r>
      <w:r>
        <w:rPr>
          <w:rFonts w:hint="eastAsia" w:ascii="宋体" w:hAnsi="宋体" w:eastAsia="宋体" w:cs="宋体"/>
          <w:color w:val="auto"/>
          <w:kern w:val="2"/>
          <w:sz w:val="24"/>
          <w:szCs w:val="24"/>
          <w:highlight w:val="none"/>
        </w:rPr>
        <w:fldChar w:fldCharType="separate"/>
      </w:r>
      <w:r>
        <w:rPr>
          <w:rFonts w:hint="eastAsia" w:ascii="宋体" w:hAnsi="宋体" w:eastAsia="宋体" w:cs="宋体"/>
          <w:color w:val="auto"/>
          <w:sz w:val="24"/>
          <w:szCs w:val="24"/>
          <w:highlight w:val="none"/>
          <w:lang w:val="en-US" w:eastAsia="zh-CN"/>
        </w:rPr>
        <w:t>三</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_Toc30583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34</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2"/>
          <w:sz w:val="24"/>
          <w:szCs w:val="24"/>
          <w:highlight w:val="none"/>
        </w:rPr>
        <w:fldChar w:fldCharType="end"/>
      </w:r>
    </w:p>
    <w:p w14:paraId="731AF831">
      <w:pPr>
        <w:pStyle w:val="24"/>
        <w:tabs>
          <w:tab w:val="right" w:leader="dot" w:pos="8997"/>
          <w:tab w:val="clear" w:pos="8948"/>
        </w:tabs>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fldChar w:fldCharType="begin"/>
      </w:r>
      <w:r>
        <w:rPr>
          <w:rFonts w:hint="eastAsia" w:ascii="宋体" w:hAnsi="宋体" w:eastAsia="宋体" w:cs="宋体"/>
          <w:color w:val="auto"/>
          <w:kern w:val="2"/>
          <w:sz w:val="24"/>
          <w:szCs w:val="24"/>
          <w:highlight w:val="none"/>
        </w:rPr>
        <w:instrText xml:space="preserve"> HYPERLINK \l _Toc16925 </w:instrText>
      </w:r>
      <w:r>
        <w:rPr>
          <w:rFonts w:hint="eastAsia" w:ascii="宋体" w:hAnsi="宋体" w:eastAsia="宋体" w:cs="宋体"/>
          <w:color w:val="auto"/>
          <w:kern w:val="2"/>
          <w:sz w:val="24"/>
          <w:szCs w:val="24"/>
          <w:highlight w:val="none"/>
        </w:rPr>
        <w:fldChar w:fldCharType="separate"/>
      </w:r>
      <w:r>
        <w:rPr>
          <w:rFonts w:hint="eastAsia" w:ascii="宋体" w:hAnsi="宋体" w:eastAsia="宋体" w:cs="宋体"/>
          <w:color w:val="auto"/>
          <w:sz w:val="24"/>
          <w:szCs w:val="24"/>
          <w:highlight w:val="none"/>
          <w:lang w:val="en-US" w:eastAsia="zh-CN"/>
        </w:rPr>
        <w:t>四</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商务技术</w:t>
      </w:r>
      <w:r>
        <w:rPr>
          <w:rFonts w:hint="eastAsia" w:ascii="宋体" w:hAnsi="宋体" w:eastAsia="宋体" w:cs="宋体"/>
          <w:color w:val="auto"/>
          <w:sz w:val="24"/>
          <w:szCs w:val="24"/>
          <w:highlight w:val="none"/>
        </w:rPr>
        <w:t>响应文件评分标准</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_Toc16925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34</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2"/>
          <w:sz w:val="24"/>
          <w:szCs w:val="24"/>
          <w:highlight w:val="none"/>
        </w:rPr>
        <w:fldChar w:fldCharType="end"/>
      </w:r>
    </w:p>
    <w:p w14:paraId="4A5FC419">
      <w:pPr>
        <w:pStyle w:val="24"/>
        <w:tabs>
          <w:tab w:val="right" w:leader="dot" w:pos="8997"/>
          <w:tab w:val="clear" w:pos="8948"/>
        </w:tabs>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fldChar w:fldCharType="begin"/>
      </w:r>
      <w:r>
        <w:rPr>
          <w:rFonts w:hint="eastAsia" w:ascii="宋体" w:hAnsi="宋体" w:eastAsia="宋体" w:cs="宋体"/>
          <w:color w:val="auto"/>
          <w:kern w:val="2"/>
          <w:sz w:val="24"/>
          <w:szCs w:val="24"/>
          <w:highlight w:val="none"/>
        </w:rPr>
        <w:instrText xml:space="preserve"> HYPERLINK \l _Toc5564 </w:instrText>
      </w:r>
      <w:r>
        <w:rPr>
          <w:rFonts w:hint="eastAsia" w:ascii="宋体" w:hAnsi="宋体" w:eastAsia="宋体" w:cs="宋体"/>
          <w:color w:val="auto"/>
          <w:kern w:val="2"/>
          <w:sz w:val="24"/>
          <w:szCs w:val="24"/>
          <w:highlight w:val="none"/>
        </w:rPr>
        <w:fldChar w:fldCharType="separate"/>
      </w:r>
      <w:r>
        <w:rPr>
          <w:rFonts w:hint="eastAsia" w:ascii="宋体" w:hAnsi="宋体" w:eastAsia="宋体" w:cs="宋体"/>
          <w:color w:val="auto"/>
          <w:sz w:val="24"/>
          <w:szCs w:val="24"/>
          <w:highlight w:val="none"/>
          <w:lang w:val="en-US" w:eastAsia="zh-CN"/>
        </w:rPr>
        <w:t>五、价格分评审标准</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_Toc5564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36</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2"/>
          <w:sz w:val="24"/>
          <w:szCs w:val="24"/>
          <w:highlight w:val="none"/>
        </w:rPr>
        <w:fldChar w:fldCharType="end"/>
      </w:r>
    </w:p>
    <w:p w14:paraId="380E2358">
      <w:pPr>
        <w:pStyle w:val="24"/>
        <w:tabs>
          <w:tab w:val="right" w:leader="dot" w:pos="8997"/>
          <w:tab w:val="clear" w:pos="8948"/>
        </w:tabs>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fldChar w:fldCharType="begin"/>
      </w:r>
      <w:r>
        <w:rPr>
          <w:rFonts w:hint="eastAsia" w:ascii="宋体" w:hAnsi="宋体" w:eastAsia="宋体" w:cs="宋体"/>
          <w:color w:val="auto"/>
          <w:kern w:val="2"/>
          <w:sz w:val="24"/>
          <w:szCs w:val="24"/>
          <w:highlight w:val="none"/>
        </w:rPr>
        <w:instrText xml:space="preserve"> HYPERLINK \l _Toc20503 </w:instrText>
      </w:r>
      <w:r>
        <w:rPr>
          <w:rFonts w:hint="eastAsia" w:ascii="宋体" w:hAnsi="宋体" w:eastAsia="宋体" w:cs="宋体"/>
          <w:color w:val="auto"/>
          <w:kern w:val="2"/>
          <w:sz w:val="24"/>
          <w:szCs w:val="24"/>
          <w:highlight w:val="none"/>
        </w:rPr>
        <w:fldChar w:fldCharType="separate"/>
      </w:r>
      <w:r>
        <w:rPr>
          <w:rFonts w:hint="eastAsia" w:ascii="宋体" w:hAnsi="宋体" w:eastAsia="宋体" w:cs="宋体"/>
          <w:color w:val="auto"/>
          <w:sz w:val="24"/>
          <w:szCs w:val="24"/>
          <w:highlight w:val="none"/>
          <w:lang w:val="en-US" w:eastAsia="zh-CN"/>
        </w:rPr>
        <w:t>六</w:t>
      </w:r>
      <w:r>
        <w:rPr>
          <w:rFonts w:hint="eastAsia" w:ascii="宋体" w:hAnsi="宋体" w:eastAsia="宋体" w:cs="宋体"/>
          <w:color w:val="auto"/>
          <w:sz w:val="24"/>
          <w:szCs w:val="24"/>
          <w:highlight w:val="none"/>
        </w:rPr>
        <w:t>、成交原则</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_Toc20503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36</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2"/>
          <w:sz w:val="24"/>
          <w:szCs w:val="24"/>
          <w:highlight w:val="none"/>
        </w:rPr>
        <w:fldChar w:fldCharType="end"/>
      </w:r>
    </w:p>
    <w:p w14:paraId="1386D220">
      <w:pPr>
        <w:pStyle w:val="24"/>
        <w:tabs>
          <w:tab w:val="right" w:leader="dot" w:pos="8997"/>
          <w:tab w:val="clear" w:pos="8948"/>
        </w:tabs>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fldChar w:fldCharType="begin"/>
      </w:r>
      <w:r>
        <w:rPr>
          <w:rFonts w:hint="eastAsia" w:ascii="宋体" w:hAnsi="宋体" w:eastAsia="宋体" w:cs="宋体"/>
          <w:color w:val="auto"/>
          <w:kern w:val="2"/>
          <w:sz w:val="24"/>
          <w:szCs w:val="24"/>
          <w:highlight w:val="none"/>
        </w:rPr>
        <w:instrText xml:space="preserve"> HYPERLINK \l _Toc20883 </w:instrText>
      </w:r>
      <w:r>
        <w:rPr>
          <w:rFonts w:hint="eastAsia" w:ascii="宋体" w:hAnsi="宋体" w:eastAsia="宋体" w:cs="宋体"/>
          <w:color w:val="auto"/>
          <w:kern w:val="2"/>
          <w:sz w:val="24"/>
          <w:szCs w:val="24"/>
          <w:highlight w:val="none"/>
        </w:rPr>
        <w:fldChar w:fldCharType="separate"/>
      </w:r>
      <w:r>
        <w:rPr>
          <w:rFonts w:hint="eastAsia" w:ascii="宋体" w:hAnsi="宋体" w:eastAsia="宋体" w:cs="宋体"/>
          <w:color w:val="auto"/>
          <w:sz w:val="24"/>
          <w:szCs w:val="24"/>
          <w:highlight w:val="none"/>
          <w:lang w:val="en-US" w:eastAsia="zh-CN"/>
        </w:rPr>
        <w:t>七</w:t>
      </w:r>
      <w:r>
        <w:rPr>
          <w:rFonts w:hint="eastAsia" w:ascii="宋体" w:hAnsi="宋体" w:eastAsia="宋体" w:cs="宋体"/>
          <w:color w:val="auto"/>
          <w:sz w:val="24"/>
          <w:szCs w:val="24"/>
          <w:highlight w:val="none"/>
        </w:rPr>
        <w:t>、保密及其它注意事项</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_Toc20883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36</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2"/>
          <w:sz w:val="24"/>
          <w:szCs w:val="24"/>
          <w:highlight w:val="none"/>
        </w:rPr>
        <w:fldChar w:fldCharType="end"/>
      </w:r>
    </w:p>
    <w:p w14:paraId="1BACEA61">
      <w:pPr>
        <w:pStyle w:val="20"/>
        <w:tabs>
          <w:tab w:val="right" w:leader="dot" w:pos="8997"/>
          <w:tab w:val="clear" w:pos="8948"/>
        </w:tabs>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fldChar w:fldCharType="begin"/>
      </w:r>
      <w:r>
        <w:rPr>
          <w:rFonts w:hint="eastAsia" w:ascii="宋体" w:hAnsi="宋体" w:eastAsia="宋体" w:cs="宋体"/>
          <w:color w:val="auto"/>
          <w:kern w:val="2"/>
          <w:sz w:val="24"/>
          <w:szCs w:val="24"/>
          <w:highlight w:val="none"/>
        </w:rPr>
        <w:instrText xml:space="preserve"> HYPERLINK \l _Toc2792 </w:instrText>
      </w:r>
      <w:r>
        <w:rPr>
          <w:rFonts w:hint="eastAsia" w:ascii="宋体" w:hAnsi="宋体" w:eastAsia="宋体" w:cs="宋体"/>
          <w:color w:val="auto"/>
          <w:kern w:val="2"/>
          <w:sz w:val="24"/>
          <w:szCs w:val="24"/>
          <w:highlight w:val="none"/>
        </w:rPr>
        <w:fldChar w:fldCharType="separate"/>
      </w:r>
      <w:r>
        <w:rPr>
          <w:rFonts w:hint="eastAsia" w:ascii="宋体" w:hAnsi="宋体" w:eastAsia="宋体" w:cs="宋体"/>
          <w:color w:val="auto"/>
          <w:sz w:val="24"/>
          <w:szCs w:val="24"/>
          <w:highlight w:val="none"/>
          <w:lang w:val="en-US" w:eastAsia="zh-CN"/>
        </w:rPr>
        <w:t xml:space="preserve">第五章  </w:t>
      </w:r>
      <w:r>
        <w:rPr>
          <w:rFonts w:hint="eastAsia" w:ascii="宋体" w:hAnsi="宋体" w:eastAsia="宋体" w:cs="宋体"/>
          <w:color w:val="auto"/>
          <w:sz w:val="24"/>
          <w:szCs w:val="24"/>
          <w:highlight w:val="none"/>
        </w:rPr>
        <w:t>合同条款</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_Toc2792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38</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2"/>
          <w:sz w:val="24"/>
          <w:szCs w:val="24"/>
          <w:highlight w:val="none"/>
        </w:rPr>
        <w:fldChar w:fldCharType="end"/>
      </w:r>
    </w:p>
    <w:p w14:paraId="53147BD5">
      <w:pPr>
        <w:pStyle w:val="20"/>
        <w:tabs>
          <w:tab w:val="right" w:leader="dot" w:pos="8997"/>
          <w:tab w:val="clear" w:pos="8948"/>
        </w:tabs>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fldChar w:fldCharType="begin"/>
      </w:r>
      <w:r>
        <w:rPr>
          <w:rFonts w:hint="eastAsia" w:ascii="宋体" w:hAnsi="宋体" w:eastAsia="宋体" w:cs="宋体"/>
          <w:color w:val="auto"/>
          <w:kern w:val="2"/>
          <w:sz w:val="24"/>
          <w:szCs w:val="24"/>
          <w:highlight w:val="none"/>
        </w:rPr>
        <w:instrText xml:space="preserve"> HYPERLINK \l _Toc1344 </w:instrText>
      </w:r>
      <w:r>
        <w:rPr>
          <w:rFonts w:hint="eastAsia" w:ascii="宋体" w:hAnsi="宋体" w:eastAsia="宋体" w:cs="宋体"/>
          <w:color w:val="auto"/>
          <w:kern w:val="2"/>
          <w:sz w:val="24"/>
          <w:szCs w:val="24"/>
          <w:highlight w:val="none"/>
        </w:rPr>
        <w:fldChar w:fldCharType="separate"/>
      </w: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 xml:space="preserve">六章 </w:t>
      </w:r>
      <w:r>
        <w:rPr>
          <w:rFonts w:hint="eastAsia" w:ascii="宋体" w:hAnsi="宋体" w:eastAsia="宋体" w:cs="宋体"/>
          <w:color w:val="auto"/>
          <w:sz w:val="24"/>
          <w:szCs w:val="24"/>
          <w:highlight w:val="none"/>
        </w:rPr>
        <w:t xml:space="preserve"> 响应文件格式</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_Toc1344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72</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2"/>
          <w:sz w:val="24"/>
          <w:szCs w:val="24"/>
          <w:highlight w:val="none"/>
        </w:rPr>
        <w:fldChar w:fldCharType="end"/>
      </w:r>
    </w:p>
    <w:p w14:paraId="0B53CDD2">
      <w:pP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fldChar w:fldCharType="end"/>
      </w:r>
    </w:p>
    <w:p w14:paraId="1BB6AC58">
      <w:pPr>
        <w:pStyle w:val="4"/>
        <w:spacing w:line="240" w:lineRule="auto"/>
        <w:jc w:val="center"/>
        <w:rPr>
          <w:rStyle w:val="47"/>
          <w:rFonts w:hint="eastAsia" w:ascii="宋体" w:hAnsi="宋体" w:eastAsia="宋体" w:cs="宋体"/>
          <w:b/>
          <w:color w:val="auto"/>
          <w:sz w:val="24"/>
          <w:szCs w:val="24"/>
          <w:highlight w:val="none"/>
          <w:lang w:val="en-US" w:eastAsia="zh-CN"/>
        </w:rPr>
        <w:sectPr>
          <w:pgSz w:w="11906" w:h="16838"/>
          <w:pgMar w:top="1259" w:right="1287" w:bottom="1361" w:left="1622" w:header="1020" w:footer="1020" w:gutter="0"/>
          <w:pgNumType w:fmt="decimal"/>
          <w:cols w:space="720" w:num="1"/>
          <w:docGrid w:linePitch="360" w:charSpace="0"/>
        </w:sectPr>
      </w:pPr>
    </w:p>
    <w:p w14:paraId="286FAFC6">
      <w:pPr>
        <w:pStyle w:val="4"/>
        <w:spacing w:line="240" w:lineRule="auto"/>
        <w:jc w:val="center"/>
        <w:rPr>
          <w:rStyle w:val="47"/>
          <w:rFonts w:hint="eastAsia"/>
          <w:b/>
          <w:color w:val="auto"/>
          <w:highlight w:val="none"/>
        </w:rPr>
      </w:pPr>
      <w:bookmarkStart w:id="2" w:name="_Toc17309"/>
      <w:r>
        <w:rPr>
          <w:rStyle w:val="47"/>
          <w:rFonts w:hint="eastAsia"/>
          <w:b/>
          <w:color w:val="auto"/>
          <w:highlight w:val="none"/>
          <w:lang w:val="en-US" w:eastAsia="zh-CN"/>
        </w:rPr>
        <w:t xml:space="preserve">第一章 </w:t>
      </w:r>
      <w:r>
        <w:rPr>
          <w:rStyle w:val="47"/>
          <w:rFonts w:hint="eastAsia"/>
          <w:b/>
          <w:color w:val="auto"/>
          <w:highlight w:val="none"/>
        </w:rPr>
        <w:t xml:space="preserve"> 竞争性磋商采购公告</w:t>
      </w:r>
      <w:bookmarkEnd w:id="1"/>
      <w:bookmarkEnd w:id="2"/>
    </w:p>
    <w:tbl>
      <w:tblPr>
        <w:tblStyle w:val="32"/>
        <w:tblW w:w="94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17"/>
      </w:tblGrid>
      <w:tr w14:paraId="2FDB4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17" w:type="dxa"/>
          </w:tcPr>
          <w:p w14:paraId="4F63D983">
            <w:pPr>
              <w:pageBreakBefore w:val="0"/>
              <w:widowControl/>
              <w:kinsoku/>
              <w:wordWrap/>
              <w:overflowPunct/>
              <w:topLinePunct w:val="0"/>
              <w:autoSpaceDE/>
              <w:autoSpaceDN/>
              <w:bidi w:val="0"/>
              <w:adjustRightInd/>
              <w:spacing w:line="360" w:lineRule="auto"/>
              <w:textAlignment w:val="auto"/>
              <w:outlineLvl w:val="9"/>
              <w:rPr>
                <w:rFonts w:hint="eastAsia" w:ascii="宋体" w:hAnsi="宋体" w:eastAsia="宋体" w:cs="宋体"/>
                <w:b/>
                <w:bCs/>
                <w:color w:val="auto"/>
                <w:sz w:val="24"/>
                <w:szCs w:val="24"/>
                <w:highlight w:val="none"/>
              </w:rPr>
            </w:pPr>
            <w:bookmarkStart w:id="3" w:name="_Toc12481"/>
            <w:bookmarkStart w:id="4" w:name="_Toc3391"/>
            <w:r>
              <w:rPr>
                <w:rFonts w:hint="eastAsia" w:ascii="宋体" w:hAnsi="宋体" w:eastAsia="宋体" w:cs="宋体"/>
                <w:b/>
                <w:bCs/>
                <w:color w:val="auto"/>
                <w:sz w:val="24"/>
                <w:szCs w:val="24"/>
                <w:highlight w:val="none"/>
              </w:rPr>
              <w:t>项目概况</w:t>
            </w:r>
            <w:bookmarkEnd w:id="3"/>
            <w:bookmarkEnd w:id="4"/>
          </w:p>
          <w:p w14:paraId="682B3658">
            <w:pPr>
              <w:pStyle w:val="27"/>
              <w:pageBreakBefore w:val="0"/>
              <w:widowControl/>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lang w:eastAsia="zh-CN"/>
              </w:rPr>
              <w:t>浙江省金华监狱东关押点操场维修工程</w:t>
            </w:r>
            <w:r>
              <w:rPr>
                <w:rFonts w:hint="eastAsia" w:ascii="宋体" w:hAnsi="宋体" w:eastAsia="宋体" w:cs="宋体"/>
                <w:color w:val="auto"/>
                <w:sz w:val="24"/>
                <w:szCs w:val="24"/>
                <w:highlight w:val="none"/>
              </w:rPr>
              <w:t>的潜在供应商应在政采云平台在线获取（下载）采购文件，并于</w:t>
            </w: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日</w:t>
            </w:r>
            <w:r>
              <w:rPr>
                <w:rFonts w:hint="eastAsia" w:ascii="宋体" w:hAnsi="宋体" w:eastAsia="宋体" w:cs="宋体"/>
                <w:color w:val="auto"/>
                <w:sz w:val="24"/>
                <w:szCs w:val="24"/>
                <w:highlight w:val="none"/>
                <w:lang w:val="en-US" w:eastAsia="zh-CN"/>
              </w:rPr>
              <w:t>9时00分</w:t>
            </w:r>
            <w:r>
              <w:rPr>
                <w:rFonts w:hint="eastAsia" w:ascii="宋体" w:hAnsi="宋体" w:eastAsia="宋体" w:cs="宋体"/>
                <w:color w:val="auto"/>
                <w:sz w:val="24"/>
                <w:szCs w:val="24"/>
                <w:highlight w:val="none"/>
              </w:rPr>
              <w:t>（北京时间）前提交（上传）响应文件。</w:t>
            </w:r>
          </w:p>
        </w:tc>
      </w:tr>
    </w:tbl>
    <w:p w14:paraId="2D7036BC">
      <w:pPr>
        <w:pStyle w:val="5"/>
        <w:bidi w:val="0"/>
        <w:rPr>
          <w:rFonts w:hint="eastAsia"/>
          <w:color w:val="auto"/>
          <w:highlight w:val="none"/>
        </w:rPr>
      </w:pPr>
      <w:bookmarkStart w:id="5" w:name="_Toc26634"/>
      <w:r>
        <w:rPr>
          <w:rFonts w:hint="eastAsia"/>
          <w:color w:val="auto"/>
          <w:highlight w:val="none"/>
        </w:rPr>
        <w:t>一、项目基本情况</w:t>
      </w:r>
      <w:bookmarkEnd w:id="5"/>
    </w:p>
    <w:p w14:paraId="398646E4">
      <w:pPr>
        <w:pStyle w:val="27"/>
        <w:spacing w:before="0" w:beforeAutospacing="0" w:after="0" w:afterAutospacing="0" w:line="440" w:lineRule="exact"/>
        <w:ind w:left="0" w:leftChars="0" w:firstLine="420" w:firstLineChars="175"/>
        <w:rPr>
          <w:rFonts w:hint="eastAsia" w:ascii="宋体" w:hAnsi="宋体" w:eastAsia="宋体" w:cs="宋体"/>
          <w:color w:val="auto"/>
          <w:highlight w:val="none"/>
          <w:lang w:val="en-US"/>
        </w:rPr>
      </w:pPr>
      <w:r>
        <w:rPr>
          <w:rFonts w:hint="eastAsia" w:ascii="宋体" w:hAnsi="宋体" w:eastAsia="宋体" w:cs="宋体"/>
          <w:color w:val="auto"/>
          <w:highlight w:val="none"/>
          <w:shd w:val="clear" w:color="auto" w:fill="FFFFFF"/>
        </w:rPr>
        <w:t>项目编号：</w:t>
      </w:r>
      <w:r>
        <w:rPr>
          <w:rFonts w:hint="eastAsia" w:ascii="宋体" w:hAnsi="宋体" w:eastAsia="宋体" w:cs="宋体"/>
          <w:color w:val="auto"/>
          <w:highlight w:val="none"/>
          <w:shd w:val="clear" w:color="auto" w:fill="FFFFFF"/>
          <w:lang w:eastAsia="zh-CN"/>
        </w:rPr>
        <w:t>SJH-A202513005</w:t>
      </w:r>
    </w:p>
    <w:p w14:paraId="5105C359">
      <w:pPr>
        <w:pStyle w:val="27"/>
        <w:spacing w:before="0" w:beforeAutospacing="0" w:after="0" w:afterAutospacing="0" w:line="440" w:lineRule="exact"/>
        <w:ind w:left="0" w:leftChars="0" w:firstLine="420" w:firstLineChars="175"/>
        <w:rPr>
          <w:rFonts w:hint="eastAsia" w:ascii="宋体" w:hAnsi="宋体" w:eastAsia="宋体" w:cs="宋体"/>
          <w:color w:val="auto"/>
          <w:highlight w:val="none"/>
          <w:lang w:eastAsia="zh-CN"/>
        </w:rPr>
      </w:pPr>
      <w:r>
        <w:rPr>
          <w:rFonts w:hint="eastAsia" w:ascii="宋体" w:hAnsi="宋体" w:eastAsia="宋体" w:cs="宋体"/>
          <w:color w:val="auto"/>
          <w:highlight w:val="none"/>
          <w:shd w:val="clear" w:color="auto" w:fill="FFFFFF"/>
        </w:rPr>
        <w:t>项目名称：</w:t>
      </w:r>
      <w:r>
        <w:rPr>
          <w:rFonts w:hint="eastAsia" w:ascii="宋体" w:hAnsi="宋体" w:eastAsia="宋体" w:cs="宋体"/>
          <w:color w:val="auto"/>
          <w:highlight w:val="none"/>
          <w:shd w:val="clear" w:color="auto" w:fill="FFFFFF"/>
          <w:lang w:eastAsia="zh-CN"/>
        </w:rPr>
        <w:t>浙江省金华监狱东关押点操场维修工程</w:t>
      </w:r>
    </w:p>
    <w:p w14:paraId="73245CDC">
      <w:pPr>
        <w:pStyle w:val="27"/>
        <w:spacing w:before="0" w:beforeAutospacing="0" w:after="0" w:afterAutospacing="0" w:line="440" w:lineRule="exact"/>
        <w:ind w:left="0" w:leftChars="0" w:firstLine="420" w:firstLineChars="175"/>
        <w:rPr>
          <w:rFonts w:hint="default" w:ascii="宋体" w:hAnsi="宋体" w:eastAsia="宋体" w:cs="宋体"/>
          <w:color w:val="auto"/>
          <w:highlight w:val="none"/>
          <w:shd w:val="clear" w:color="auto" w:fill="FFFFFF"/>
          <w:lang w:val="en-US" w:eastAsia="zh-CN"/>
        </w:rPr>
      </w:pPr>
      <w:r>
        <w:rPr>
          <w:rFonts w:hint="eastAsia" w:ascii="宋体" w:hAnsi="宋体" w:eastAsia="宋体" w:cs="宋体"/>
          <w:color w:val="auto"/>
          <w:highlight w:val="none"/>
          <w:shd w:val="clear" w:color="auto" w:fill="FFFFFF"/>
          <w:lang w:val="en-US" w:eastAsia="zh-CN"/>
        </w:rPr>
        <w:t>采购确认书编号：浙财采备（2025）13438号</w:t>
      </w:r>
    </w:p>
    <w:p w14:paraId="34F96DAE">
      <w:pPr>
        <w:pStyle w:val="27"/>
        <w:spacing w:before="0" w:beforeAutospacing="0" w:after="0" w:afterAutospacing="0" w:line="440" w:lineRule="exact"/>
        <w:ind w:left="0" w:leftChars="0" w:firstLine="420" w:firstLineChars="175"/>
        <w:rPr>
          <w:rFonts w:hint="eastAsia" w:ascii="宋体" w:hAnsi="宋体" w:eastAsia="宋体" w:cs="宋体"/>
          <w:color w:val="auto"/>
          <w:highlight w:val="none"/>
          <w:lang w:eastAsia="zh-CN"/>
        </w:rPr>
      </w:pPr>
      <w:r>
        <w:rPr>
          <w:rFonts w:hint="eastAsia" w:ascii="宋体" w:hAnsi="宋体" w:eastAsia="宋体" w:cs="宋体"/>
          <w:color w:val="auto"/>
          <w:highlight w:val="none"/>
          <w:shd w:val="clear" w:color="auto" w:fill="FFFFFF"/>
        </w:rPr>
        <w:t>采购方式：竞争性磋商</w:t>
      </w:r>
      <w:r>
        <w:rPr>
          <w:rFonts w:hint="eastAsia" w:ascii="宋体" w:hAnsi="宋体" w:eastAsia="宋体" w:cs="宋体"/>
          <w:color w:val="auto"/>
          <w:highlight w:val="none"/>
          <w:shd w:val="clear" w:color="auto" w:fill="FFFFFF"/>
          <w:lang w:eastAsia="zh-CN"/>
        </w:rPr>
        <w:t xml:space="preserve"> </w:t>
      </w:r>
    </w:p>
    <w:p w14:paraId="22D8A056">
      <w:pPr>
        <w:pStyle w:val="27"/>
        <w:spacing w:before="0" w:beforeAutospacing="0" w:after="0" w:afterAutospacing="0" w:line="440" w:lineRule="exact"/>
        <w:ind w:left="0" w:leftChars="0" w:firstLine="420" w:firstLineChars="175"/>
        <w:rPr>
          <w:rFonts w:hint="default" w:ascii="宋体" w:hAnsi="宋体" w:eastAsia="宋体" w:cs="宋体"/>
          <w:color w:val="auto"/>
          <w:highlight w:val="none"/>
          <w:lang w:val="en-US" w:eastAsia="zh-CN"/>
        </w:rPr>
      </w:pPr>
      <w:r>
        <w:rPr>
          <w:rFonts w:hint="eastAsia" w:ascii="宋体" w:hAnsi="宋体" w:eastAsia="宋体" w:cs="宋体"/>
          <w:color w:val="auto"/>
          <w:highlight w:val="none"/>
          <w:shd w:val="clear" w:color="auto" w:fill="FFFFFF"/>
        </w:rPr>
        <w:t>预算金额（元）：</w:t>
      </w:r>
      <w:r>
        <w:rPr>
          <w:rFonts w:hint="eastAsia" w:ascii="宋体" w:hAnsi="宋体" w:cs="宋体"/>
          <w:color w:val="auto"/>
          <w:sz w:val="24"/>
          <w:szCs w:val="24"/>
          <w:highlight w:val="none"/>
          <w:u w:val="none"/>
          <w:lang w:val="en-US" w:eastAsia="zh-CN"/>
        </w:rPr>
        <w:t>187.2461万元</w:t>
      </w:r>
    </w:p>
    <w:p w14:paraId="22F4E88F">
      <w:pPr>
        <w:pStyle w:val="27"/>
        <w:spacing w:before="0" w:beforeAutospacing="0" w:after="0" w:afterAutospacing="0" w:line="440" w:lineRule="exact"/>
        <w:ind w:left="0" w:leftChars="0" w:firstLine="420" w:firstLineChars="175"/>
        <w:rPr>
          <w:rFonts w:hint="eastAsia" w:ascii="宋体" w:hAnsi="宋体" w:eastAsia="宋体" w:cs="宋体"/>
          <w:color w:val="auto"/>
          <w:highlight w:val="none"/>
          <w:shd w:val="clear" w:color="auto" w:fill="FFFFFF"/>
          <w:lang w:eastAsia="zh-CN"/>
        </w:rPr>
      </w:pPr>
      <w:r>
        <w:rPr>
          <w:rFonts w:hint="eastAsia" w:ascii="宋体" w:hAnsi="宋体" w:eastAsia="宋体" w:cs="宋体"/>
          <w:color w:val="auto"/>
          <w:highlight w:val="none"/>
          <w:shd w:val="clear" w:color="auto" w:fill="FFFFFF"/>
        </w:rPr>
        <w:t>采购需求：</w:t>
      </w:r>
      <w:r>
        <w:rPr>
          <w:rFonts w:hint="eastAsia" w:ascii="宋体" w:hAnsi="宋体" w:eastAsia="宋体" w:cs="宋体"/>
          <w:color w:val="auto"/>
          <w:highlight w:val="none"/>
          <w:shd w:val="clear" w:color="auto" w:fill="FFFFFF"/>
          <w:lang w:val="en-US" w:eastAsia="zh-CN"/>
        </w:rPr>
        <w:t>施工</w:t>
      </w:r>
      <w:r>
        <w:rPr>
          <w:rFonts w:hint="eastAsia" w:ascii="宋体" w:hAnsi="宋体" w:eastAsia="宋体" w:cs="宋体"/>
          <w:color w:val="auto"/>
          <w:highlight w:val="none"/>
          <w:shd w:val="clear" w:color="auto" w:fill="FFFFFF"/>
        </w:rPr>
        <w:t>图纸范围内硅pu、人造草坪、排水沟等内容</w:t>
      </w:r>
      <w:r>
        <w:rPr>
          <w:rFonts w:hint="eastAsia" w:ascii="宋体" w:hAnsi="宋体" w:eastAsia="宋体" w:cs="宋体"/>
          <w:color w:val="auto"/>
          <w:highlight w:val="none"/>
          <w:shd w:val="clear" w:color="auto" w:fill="FFFFFF"/>
          <w:lang w:eastAsia="zh-CN"/>
        </w:rPr>
        <w:t>，</w:t>
      </w:r>
      <w:r>
        <w:rPr>
          <w:rFonts w:hint="eastAsia" w:ascii="宋体" w:hAnsi="宋体" w:eastAsia="宋体" w:cs="宋体"/>
          <w:color w:val="auto"/>
          <w:highlight w:val="none"/>
          <w:shd w:val="clear" w:color="auto" w:fill="FFFFFF"/>
          <w:lang w:val="en-US" w:eastAsia="zh-CN"/>
        </w:rPr>
        <w:t>详见施工图及招标控制价，具体以采购人要求为准</w:t>
      </w:r>
      <w:r>
        <w:rPr>
          <w:rFonts w:hint="eastAsia" w:ascii="宋体" w:hAnsi="宋体" w:eastAsia="宋体" w:cs="宋体"/>
          <w:color w:val="auto"/>
          <w:highlight w:val="none"/>
          <w:lang w:eastAsia="zh-CN"/>
        </w:rPr>
        <w:t>。</w:t>
      </w:r>
    </w:p>
    <w:p w14:paraId="15ACC445">
      <w:pPr>
        <w:pStyle w:val="27"/>
        <w:spacing w:before="0" w:beforeAutospacing="0" w:after="0" w:afterAutospacing="0" w:line="440" w:lineRule="exact"/>
        <w:ind w:left="0" w:leftChars="0" w:firstLine="420" w:firstLineChars="175"/>
        <w:rPr>
          <w:rFonts w:hint="eastAsia" w:ascii="宋体" w:hAnsi="宋体" w:eastAsia="宋体" w:cs="宋体"/>
          <w:color w:val="auto"/>
          <w:highlight w:val="none"/>
          <w:lang w:eastAsia="zh-CN"/>
        </w:rPr>
      </w:pPr>
      <w:r>
        <w:rPr>
          <w:rFonts w:hint="eastAsia" w:ascii="宋体" w:hAnsi="宋体" w:eastAsia="宋体" w:cs="宋体"/>
          <w:color w:val="auto"/>
          <w:highlight w:val="none"/>
          <w:shd w:val="clear" w:color="auto" w:fill="FFFFFF"/>
        </w:rPr>
        <w:t>数量：</w:t>
      </w:r>
      <w:r>
        <w:rPr>
          <w:rFonts w:hint="eastAsia" w:ascii="宋体" w:hAnsi="宋体" w:eastAsia="宋体" w:cs="宋体"/>
          <w:color w:val="auto"/>
          <w:highlight w:val="none"/>
          <w:shd w:val="clear" w:color="auto" w:fill="FFFFFF"/>
          <w:lang w:eastAsia="zh-CN"/>
        </w:rPr>
        <w:t>不限</w:t>
      </w:r>
    </w:p>
    <w:p w14:paraId="17464236">
      <w:pPr>
        <w:pStyle w:val="27"/>
        <w:spacing w:before="0" w:beforeAutospacing="0" w:after="0" w:afterAutospacing="0" w:line="440" w:lineRule="exact"/>
        <w:ind w:left="0" w:leftChars="0" w:firstLine="420" w:firstLineChars="175"/>
        <w:rPr>
          <w:rFonts w:hint="eastAsia" w:ascii="宋体" w:hAnsi="宋体" w:eastAsia="宋体" w:cs="宋体"/>
          <w:color w:val="auto"/>
          <w:highlight w:val="none"/>
        </w:rPr>
      </w:pPr>
      <w:r>
        <w:rPr>
          <w:rFonts w:hint="eastAsia" w:ascii="宋体" w:hAnsi="宋体" w:eastAsia="宋体" w:cs="宋体"/>
          <w:color w:val="auto"/>
          <w:highlight w:val="none"/>
          <w:shd w:val="clear" w:color="auto" w:fill="FFFFFF"/>
        </w:rPr>
        <w:t>单位：项</w:t>
      </w:r>
      <w:r>
        <w:rPr>
          <w:rFonts w:hint="eastAsia" w:ascii="宋体" w:hAnsi="宋体" w:eastAsia="宋体" w:cs="宋体"/>
          <w:color w:val="auto"/>
          <w:highlight w:val="none"/>
          <w:shd w:val="clear" w:color="auto" w:fill="FFFFFF"/>
          <w:lang w:eastAsia="zh-CN"/>
        </w:rPr>
        <w:t xml:space="preserve"> </w:t>
      </w:r>
    </w:p>
    <w:p w14:paraId="30AE8B08">
      <w:pPr>
        <w:pStyle w:val="27"/>
        <w:spacing w:before="0" w:beforeAutospacing="0" w:after="0" w:afterAutospacing="0" w:line="440" w:lineRule="exact"/>
        <w:ind w:left="0" w:leftChars="0" w:firstLine="420" w:firstLineChars="175"/>
        <w:rPr>
          <w:rFonts w:hint="eastAsia" w:ascii="宋体" w:hAnsi="宋体" w:eastAsia="宋体" w:cs="宋体"/>
          <w:color w:val="auto"/>
          <w:highlight w:val="none"/>
          <w:shd w:val="clear" w:color="auto" w:fill="FFFFFF"/>
          <w:lang w:eastAsia="zh-CN"/>
        </w:rPr>
      </w:pPr>
      <w:r>
        <w:rPr>
          <w:rFonts w:hint="eastAsia" w:ascii="宋体" w:hAnsi="宋体" w:eastAsia="宋体" w:cs="宋体"/>
          <w:color w:val="auto"/>
          <w:highlight w:val="none"/>
          <w:shd w:val="clear" w:color="auto" w:fill="FFFFFF"/>
        </w:rPr>
        <w:t>合同履约期限：标项1：</w:t>
      </w:r>
      <w:r>
        <w:rPr>
          <w:rFonts w:hint="eastAsia" w:ascii="宋体" w:hAnsi="宋体" w:eastAsia="宋体" w:cs="宋体"/>
          <w:color w:val="auto"/>
          <w:highlight w:val="none"/>
          <w:shd w:val="clear" w:color="auto" w:fill="FFFFFF"/>
          <w:lang w:eastAsia="zh-CN"/>
        </w:rPr>
        <w:t>自合同签订之日起</w:t>
      </w:r>
      <w:r>
        <w:rPr>
          <w:rFonts w:hint="eastAsia" w:ascii="宋体" w:hAnsi="宋体" w:eastAsia="宋体" w:cs="宋体"/>
          <w:color w:val="auto"/>
          <w:highlight w:val="none"/>
          <w:shd w:val="clear" w:color="auto" w:fill="FFFFFF"/>
          <w:lang w:val="en-US" w:eastAsia="zh-CN"/>
        </w:rPr>
        <w:t>95个日历天内</w:t>
      </w:r>
      <w:r>
        <w:rPr>
          <w:rFonts w:hint="eastAsia" w:ascii="宋体" w:hAnsi="宋体" w:eastAsia="宋体" w:cs="宋体"/>
          <w:color w:val="auto"/>
          <w:highlight w:val="none"/>
          <w:shd w:val="clear" w:color="auto" w:fill="FFFFFF"/>
          <w:lang w:eastAsia="zh-CN"/>
        </w:rPr>
        <w:t>完成所有工程项目</w:t>
      </w:r>
    </w:p>
    <w:p w14:paraId="4E441B27">
      <w:pPr>
        <w:pStyle w:val="27"/>
        <w:spacing w:before="0" w:beforeAutospacing="0" w:after="0" w:afterAutospacing="0" w:line="440" w:lineRule="exact"/>
        <w:ind w:left="0" w:leftChars="0" w:firstLine="420" w:firstLineChars="175"/>
        <w:rPr>
          <w:rFonts w:hint="eastAsia" w:ascii="宋体" w:hAnsi="宋体" w:eastAsia="宋体" w:cs="宋体"/>
          <w:color w:val="auto"/>
          <w:highlight w:val="none"/>
        </w:rPr>
      </w:pPr>
      <w:r>
        <w:rPr>
          <w:rFonts w:hint="eastAsia" w:ascii="宋体" w:hAnsi="宋体" w:eastAsia="宋体" w:cs="宋体"/>
          <w:color w:val="auto"/>
          <w:highlight w:val="none"/>
          <w:shd w:val="clear" w:color="auto" w:fill="FFFFFF"/>
        </w:rPr>
        <w:t>质量要求：</w:t>
      </w:r>
      <w:r>
        <w:rPr>
          <w:rFonts w:hint="eastAsia" w:ascii="宋体" w:hAnsi="宋体" w:eastAsia="宋体" w:cs="宋体"/>
          <w:color w:val="auto"/>
          <w:highlight w:val="none"/>
          <w:shd w:val="clear" w:color="auto" w:fill="FFFFFF"/>
          <w:lang w:eastAsia="zh-CN"/>
        </w:rPr>
        <w:t>不低于国家相关验收的合格标准</w:t>
      </w:r>
      <w:r>
        <w:rPr>
          <w:rFonts w:hint="eastAsia" w:ascii="宋体" w:hAnsi="宋体" w:eastAsia="宋体" w:cs="宋体"/>
          <w:color w:val="auto"/>
          <w:highlight w:val="none"/>
          <w:shd w:val="clear" w:color="auto" w:fill="FFFFFF"/>
        </w:rPr>
        <w:t>。</w:t>
      </w:r>
    </w:p>
    <w:p w14:paraId="56452DE9">
      <w:pPr>
        <w:pStyle w:val="27"/>
        <w:spacing w:before="0" w:beforeAutospacing="0" w:after="0" w:afterAutospacing="0" w:line="440" w:lineRule="exact"/>
        <w:ind w:left="0" w:leftChars="0" w:firstLine="420" w:firstLineChars="175"/>
        <w:rPr>
          <w:rFonts w:hint="eastAsia" w:ascii="宋体" w:hAnsi="宋体" w:eastAsia="宋体" w:cs="宋体"/>
          <w:color w:val="auto"/>
          <w:highlight w:val="none"/>
          <w:lang w:eastAsia="zh-CN"/>
        </w:rPr>
      </w:pPr>
      <w:r>
        <w:rPr>
          <w:rFonts w:hint="eastAsia" w:ascii="宋体" w:hAnsi="宋体" w:eastAsia="宋体" w:cs="宋体"/>
          <w:color w:val="auto"/>
          <w:highlight w:val="none"/>
          <w:shd w:val="clear" w:color="auto" w:fill="FFFFFF"/>
        </w:rPr>
        <w:t>本项目（否）接受联合体投标。</w:t>
      </w:r>
    </w:p>
    <w:p w14:paraId="1FE21F6B">
      <w:pPr>
        <w:pStyle w:val="5"/>
        <w:bidi w:val="0"/>
        <w:rPr>
          <w:rFonts w:hint="eastAsia"/>
          <w:color w:val="auto"/>
          <w:highlight w:val="none"/>
        </w:rPr>
      </w:pPr>
      <w:bookmarkStart w:id="6" w:name="_Toc20643"/>
      <w:r>
        <w:rPr>
          <w:rFonts w:hint="eastAsia"/>
          <w:color w:val="auto"/>
          <w:highlight w:val="none"/>
        </w:rPr>
        <w:t>二、申请人的资格要求：</w:t>
      </w:r>
      <w:bookmarkEnd w:id="6"/>
    </w:p>
    <w:p w14:paraId="12AE4049">
      <w:pPr>
        <w:pStyle w:val="27"/>
        <w:spacing w:before="0" w:beforeAutospacing="0" w:after="0" w:afterAutospacing="0" w:line="440" w:lineRule="exact"/>
        <w:ind w:left="0" w:leftChars="0" w:firstLine="420" w:firstLineChars="175"/>
        <w:rPr>
          <w:rFonts w:hint="eastAsia" w:ascii="宋体" w:hAnsi="宋体" w:eastAsia="宋体" w:cs="宋体"/>
          <w:color w:val="auto"/>
          <w:highlight w:val="none"/>
          <w:shd w:val="clear" w:color="auto" w:fill="FFFFFF"/>
        </w:rPr>
      </w:pPr>
      <w:r>
        <w:rPr>
          <w:rFonts w:hint="eastAsia" w:ascii="宋体" w:hAnsi="宋体" w:eastAsia="宋体" w:cs="宋体"/>
          <w:color w:val="auto"/>
          <w:highlight w:val="none"/>
          <w:shd w:val="clear" w:color="auto" w:fill="FFFFFF"/>
        </w:rPr>
        <w:t>1.满足《中华人民共和国政府采购法》第二十二条规定；未被“信用中国”（www.creditchina.gov.cn)、中国政府采购网（www.ccgp.gov.cn）列入失信被执行人、重大税收违法失信主体、政府采购严重违法失信行为记录名单。</w:t>
      </w:r>
    </w:p>
    <w:p w14:paraId="1745652B">
      <w:pPr>
        <w:pStyle w:val="27"/>
        <w:spacing w:before="0" w:beforeAutospacing="0" w:after="0" w:afterAutospacing="0" w:line="440" w:lineRule="exact"/>
        <w:ind w:left="0" w:leftChars="0" w:firstLine="420" w:firstLineChars="175"/>
        <w:rPr>
          <w:rFonts w:hint="eastAsia" w:ascii="宋体" w:hAnsi="宋体" w:eastAsia="宋体" w:cs="宋体"/>
          <w:color w:val="auto"/>
          <w:highlight w:val="none"/>
          <w:shd w:val="clear" w:color="auto" w:fill="FFFFFF"/>
        </w:rPr>
      </w:pPr>
      <w:r>
        <w:rPr>
          <w:rFonts w:hint="eastAsia" w:ascii="宋体" w:hAnsi="宋体" w:eastAsia="宋体" w:cs="宋体"/>
          <w:color w:val="auto"/>
          <w:highlight w:val="none"/>
          <w:shd w:val="clear" w:color="auto" w:fill="FFFFFF"/>
        </w:rPr>
        <w:t>2.落实政府采购政策需满足的资格要求：标项1：</w:t>
      </w:r>
      <w:r>
        <w:rPr>
          <w:rFonts w:hint="eastAsia" w:ascii="宋体" w:hAnsi="宋体" w:eastAsia="宋体" w:cs="宋体"/>
          <w:i w:val="0"/>
          <w:iCs w:val="0"/>
          <w:caps w:val="0"/>
          <w:color w:val="000000"/>
          <w:spacing w:val="0"/>
          <w:sz w:val="24"/>
          <w:szCs w:val="24"/>
          <w:shd w:val="clear" w:fill="FFFFFF"/>
        </w:rPr>
        <w:t>专门面向中小企业采购，即所有工程全部由符合政策要求的中小企业承接（提供中小企业声明，残疾人福利性单位和监狱企业视同中小企业，提供承诺函或相关依据）</w:t>
      </w:r>
      <w:r>
        <w:rPr>
          <w:rFonts w:hint="eastAsia" w:ascii="宋体" w:hAnsi="宋体" w:eastAsia="宋体" w:cs="宋体"/>
          <w:color w:val="auto"/>
          <w:highlight w:val="none"/>
          <w:shd w:val="clear" w:color="auto" w:fill="FFFFFF"/>
        </w:rPr>
        <w:t>；</w:t>
      </w:r>
    </w:p>
    <w:p w14:paraId="78C02AB8">
      <w:pPr>
        <w:pStyle w:val="27"/>
        <w:spacing w:before="0" w:beforeAutospacing="0" w:after="0" w:afterAutospacing="0" w:line="440" w:lineRule="exact"/>
        <w:ind w:left="0" w:leftChars="0" w:firstLine="420" w:firstLineChars="175"/>
        <w:rPr>
          <w:rFonts w:hint="eastAsia" w:ascii="宋体" w:hAnsi="宋体" w:eastAsia="宋体" w:cs="宋体"/>
          <w:color w:val="auto"/>
          <w:highlight w:val="none"/>
          <w:shd w:val="clear" w:color="auto" w:fill="FFFFFF"/>
          <w:lang w:eastAsia="zh-CN"/>
        </w:rPr>
      </w:pPr>
      <w:r>
        <w:rPr>
          <w:rFonts w:hint="eastAsia" w:ascii="宋体" w:hAnsi="宋体" w:eastAsia="宋体" w:cs="宋体"/>
          <w:color w:val="auto"/>
          <w:highlight w:val="none"/>
          <w:shd w:val="clear" w:color="auto" w:fill="FFFFFF"/>
        </w:rPr>
        <w:t>3.本项目的特定资格要求：</w:t>
      </w:r>
      <w:r>
        <w:rPr>
          <w:rFonts w:hint="eastAsia" w:ascii="宋体" w:hAnsi="宋体" w:eastAsia="宋体" w:cs="宋体"/>
          <w:color w:val="auto"/>
          <w:highlight w:val="none"/>
          <w:shd w:val="clear" w:color="auto" w:fill="FFFFFF"/>
          <w:lang w:eastAsia="zh-CN"/>
        </w:rPr>
        <w:t>①供应商须为独立法人，且</w:t>
      </w:r>
      <w:r>
        <w:rPr>
          <w:rFonts w:hint="eastAsia" w:ascii="宋体" w:hAnsi="宋体" w:eastAsia="宋体" w:cs="宋体"/>
          <w:color w:val="auto"/>
          <w:highlight w:val="none"/>
          <w:shd w:val="clear" w:color="auto" w:fill="FFFFFF"/>
          <w:lang w:val="en-US" w:eastAsia="zh-CN"/>
        </w:rPr>
        <w:t>具有</w:t>
      </w:r>
      <w:r>
        <w:rPr>
          <w:rFonts w:hint="eastAsia" w:ascii="宋体" w:hAnsi="宋体" w:eastAsia="宋体" w:cs="宋体"/>
          <w:b/>
          <w:bCs/>
          <w:color w:val="auto"/>
          <w:highlight w:val="none"/>
          <w:shd w:val="clear" w:color="auto" w:fill="FFFFFF"/>
          <w:lang w:eastAsia="zh-CN"/>
        </w:rPr>
        <w:t>市政公用工程施工总承包叁级及以上资质</w:t>
      </w:r>
      <w:r>
        <w:rPr>
          <w:rFonts w:hint="eastAsia" w:ascii="宋体" w:hAnsi="宋体" w:eastAsia="宋体" w:cs="宋体"/>
          <w:color w:val="auto"/>
          <w:highlight w:val="none"/>
          <w:shd w:val="clear" w:color="auto" w:fill="FFFFFF"/>
          <w:lang w:eastAsia="zh-CN"/>
        </w:rPr>
        <w:t>，具有有效的安全生产许可证，并在人员、设备、资金等方面具备相应的施工能力；②</w:t>
      </w:r>
      <w:r>
        <w:rPr>
          <w:rFonts w:hint="eastAsia" w:ascii="宋体" w:hAnsi="宋体" w:eastAsia="宋体" w:cs="宋体"/>
          <w:color w:val="auto"/>
          <w:highlight w:val="none"/>
          <w:shd w:val="clear" w:color="auto" w:fill="FFFFFF"/>
          <w:lang w:val="en-US" w:eastAsia="zh-CN"/>
        </w:rPr>
        <w:t>因本项目施工区域的特殊性，</w:t>
      </w:r>
      <w:r>
        <w:rPr>
          <w:rFonts w:hint="eastAsia" w:ascii="宋体" w:hAnsi="宋体" w:eastAsia="宋体" w:cs="宋体"/>
          <w:color w:val="auto"/>
          <w:highlight w:val="none"/>
          <w:shd w:val="clear" w:color="auto" w:fill="FFFFFF"/>
          <w:lang w:eastAsia="zh-CN"/>
        </w:rPr>
        <w:t>供应商拟派项目负责人</w:t>
      </w:r>
      <w:r>
        <w:rPr>
          <w:rFonts w:hint="eastAsia" w:ascii="宋体" w:hAnsi="宋体" w:eastAsia="宋体" w:cs="宋体"/>
          <w:color w:val="auto"/>
          <w:highlight w:val="none"/>
          <w:shd w:val="clear" w:color="auto" w:fill="FFFFFF"/>
          <w:lang w:val="en-US" w:eastAsia="zh-CN"/>
        </w:rPr>
        <w:t>及拟派现场施工人员</w:t>
      </w:r>
      <w:r>
        <w:rPr>
          <w:rFonts w:hint="eastAsia" w:ascii="宋体" w:hAnsi="宋体" w:eastAsia="宋体" w:cs="宋体"/>
          <w:color w:val="auto"/>
          <w:highlight w:val="none"/>
          <w:shd w:val="clear" w:color="auto" w:fill="FFFFFF"/>
          <w:lang w:eastAsia="zh-CN"/>
        </w:rPr>
        <w:t>须为</w:t>
      </w:r>
      <w:r>
        <w:rPr>
          <w:rFonts w:hint="eastAsia" w:ascii="宋体" w:hAnsi="宋体" w:eastAsia="宋体" w:cs="宋体"/>
          <w:b/>
          <w:bCs/>
          <w:color w:val="auto"/>
          <w:highlight w:val="none"/>
          <w:shd w:val="clear" w:color="auto" w:fill="FFFFFF"/>
          <w:lang w:eastAsia="zh-CN"/>
        </w:rPr>
        <w:t>男性</w:t>
      </w:r>
      <w:r>
        <w:rPr>
          <w:rFonts w:hint="eastAsia" w:ascii="宋体" w:hAnsi="宋体" w:eastAsia="宋体" w:cs="宋体"/>
          <w:b/>
          <w:bCs/>
          <w:color w:val="auto"/>
          <w:highlight w:val="none"/>
          <w:shd w:val="clear" w:color="auto" w:fill="FFFFFF"/>
          <w:lang w:val="en-US" w:eastAsia="zh-CN"/>
        </w:rPr>
        <w:t>并提供承诺书（格式详见附件）</w:t>
      </w:r>
      <w:r>
        <w:rPr>
          <w:rFonts w:hint="eastAsia" w:ascii="宋体" w:hAnsi="宋体" w:eastAsia="宋体" w:cs="宋体"/>
          <w:color w:val="auto"/>
          <w:highlight w:val="none"/>
          <w:shd w:val="clear" w:color="auto" w:fill="FFFFFF"/>
          <w:lang w:eastAsia="zh-CN"/>
        </w:rPr>
        <w:t>，</w:t>
      </w:r>
      <w:r>
        <w:rPr>
          <w:rFonts w:hint="eastAsia" w:ascii="宋体" w:hAnsi="宋体" w:eastAsia="宋体" w:cs="宋体"/>
          <w:color w:val="auto"/>
          <w:highlight w:val="none"/>
          <w:shd w:val="clear" w:color="auto" w:fill="FFFFFF"/>
          <w:lang w:val="en-US" w:eastAsia="zh-CN"/>
        </w:rPr>
        <w:t>项目负责人</w:t>
      </w:r>
      <w:r>
        <w:rPr>
          <w:rFonts w:hint="eastAsia" w:ascii="宋体" w:hAnsi="宋体" w:eastAsia="宋体" w:cs="宋体"/>
          <w:color w:val="auto"/>
          <w:highlight w:val="none"/>
          <w:shd w:val="clear" w:color="auto" w:fill="FFFFFF"/>
          <w:lang w:eastAsia="zh-CN"/>
        </w:rPr>
        <w:t>须具有注册在响应人单位的</w:t>
      </w:r>
      <w:r>
        <w:rPr>
          <w:rFonts w:hint="eastAsia" w:ascii="宋体" w:hAnsi="宋体" w:eastAsia="宋体" w:cs="宋体"/>
          <w:b/>
          <w:bCs/>
          <w:color w:val="auto"/>
          <w:highlight w:val="none"/>
          <w:shd w:val="clear" w:color="auto" w:fill="FFFFFF"/>
          <w:lang w:eastAsia="zh-CN"/>
        </w:rPr>
        <w:t>市政公用工程工程专业二级及以上</w:t>
      </w:r>
      <w:r>
        <w:rPr>
          <w:rFonts w:hint="eastAsia" w:ascii="宋体" w:hAnsi="宋体" w:eastAsia="宋体" w:cs="宋体"/>
          <w:color w:val="auto"/>
          <w:highlight w:val="none"/>
          <w:shd w:val="clear" w:color="auto" w:fill="FFFFFF"/>
          <w:lang w:eastAsia="zh-CN"/>
        </w:rPr>
        <w:t>注册建造师资格，同时具有有效的专职安全生产管理人员B类证书；③供应商拟驻现场的安全专职管理员具有“三类人员”C类证书；</w:t>
      </w:r>
      <w:r>
        <w:rPr>
          <w:rFonts w:hint="eastAsia" w:ascii="宋体" w:hAnsi="宋体" w:eastAsia="宋体" w:cs="宋体"/>
          <w:b/>
          <w:bCs/>
          <w:color w:val="auto"/>
          <w:highlight w:val="none"/>
          <w:shd w:val="clear" w:color="auto" w:fill="FFFFFF"/>
          <w:lang w:eastAsia="zh-CN"/>
        </w:rPr>
        <w:t>④供应商及拟派项目负责人及安全专职管理人员202</w:t>
      </w:r>
      <w:r>
        <w:rPr>
          <w:rFonts w:hint="eastAsia" w:ascii="宋体" w:hAnsi="宋体" w:eastAsia="宋体" w:cs="宋体"/>
          <w:b/>
          <w:bCs/>
          <w:color w:val="auto"/>
          <w:highlight w:val="none"/>
          <w:shd w:val="clear" w:color="auto" w:fill="FFFFFF"/>
          <w:lang w:val="en-US" w:eastAsia="zh-CN"/>
        </w:rPr>
        <w:t>2</w:t>
      </w:r>
      <w:r>
        <w:rPr>
          <w:rFonts w:hint="eastAsia" w:ascii="宋体" w:hAnsi="宋体" w:eastAsia="宋体" w:cs="宋体"/>
          <w:b/>
          <w:bCs/>
          <w:color w:val="auto"/>
          <w:highlight w:val="none"/>
          <w:shd w:val="clear" w:color="auto" w:fill="FFFFFF"/>
          <w:lang w:eastAsia="zh-CN"/>
        </w:rPr>
        <w:t>年1月1日至磋商响应截止时间前无行贿犯罪记录（以中国裁判文书网查询结果为准）</w:t>
      </w:r>
      <w:r>
        <w:rPr>
          <w:rFonts w:hint="eastAsia" w:ascii="宋体" w:hAnsi="宋体" w:cs="宋体"/>
          <w:b/>
          <w:bCs/>
          <w:color w:val="auto"/>
          <w:sz w:val="24"/>
          <w:szCs w:val="24"/>
          <w:highlight w:val="none"/>
          <w:lang w:val="en-US" w:eastAsia="zh-CN"/>
        </w:rPr>
        <w:t>并提供相应承诺书</w:t>
      </w:r>
      <w:r>
        <w:rPr>
          <w:rFonts w:hint="eastAsia" w:ascii="宋体" w:hAnsi="宋体" w:eastAsia="宋体" w:cs="宋体"/>
          <w:color w:val="auto"/>
          <w:highlight w:val="none"/>
          <w:shd w:val="clear" w:color="auto" w:fill="FFFFFF"/>
          <w:lang w:eastAsia="zh-CN"/>
        </w:rPr>
        <w:t>；</w:t>
      </w:r>
    </w:p>
    <w:p w14:paraId="39ABECD2">
      <w:pPr>
        <w:pStyle w:val="27"/>
        <w:spacing w:before="0" w:beforeAutospacing="0" w:after="0" w:afterAutospacing="0" w:line="440" w:lineRule="exact"/>
        <w:ind w:left="0" w:leftChars="0" w:firstLine="420" w:firstLineChars="175"/>
        <w:rPr>
          <w:rFonts w:hint="eastAsia" w:ascii="宋体" w:hAnsi="宋体" w:eastAsia="宋体" w:cs="宋体"/>
          <w:color w:val="auto"/>
          <w:highlight w:val="none"/>
          <w:shd w:val="clear" w:color="auto" w:fill="FFFFFF"/>
        </w:rPr>
      </w:pPr>
      <w:r>
        <w:rPr>
          <w:rFonts w:hint="eastAsia" w:ascii="宋体" w:hAnsi="宋体" w:eastAsia="宋体" w:cs="宋体"/>
          <w:color w:val="auto"/>
          <w:highlight w:val="none"/>
          <w:shd w:val="clear" w:color="auto" w:fill="FFFFFF"/>
          <w:lang w:val="en-US" w:eastAsia="zh-CN"/>
        </w:rPr>
        <w:t>4</w:t>
      </w:r>
      <w:r>
        <w:rPr>
          <w:rFonts w:hint="eastAsia" w:ascii="宋体" w:hAnsi="宋体" w:eastAsia="宋体" w:cs="宋体"/>
          <w:color w:val="auto"/>
          <w:highlight w:val="none"/>
          <w:shd w:val="clear" w:color="auto" w:fill="FFFFFF"/>
        </w:rPr>
        <w:t>.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p w14:paraId="0408E31E">
      <w:pPr>
        <w:pStyle w:val="5"/>
        <w:bidi w:val="0"/>
        <w:rPr>
          <w:rFonts w:hint="eastAsia"/>
          <w:color w:val="auto"/>
          <w:highlight w:val="none"/>
        </w:rPr>
      </w:pPr>
      <w:bookmarkStart w:id="7" w:name="_Toc30184"/>
      <w:r>
        <w:rPr>
          <w:rFonts w:hint="eastAsia"/>
          <w:color w:val="auto"/>
          <w:highlight w:val="none"/>
        </w:rPr>
        <w:t>三、获取（下载）采购文件</w:t>
      </w:r>
      <w:bookmarkEnd w:id="7"/>
    </w:p>
    <w:p w14:paraId="043AB04A">
      <w:pPr>
        <w:pStyle w:val="27"/>
        <w:spacing w:before="0" w:beforeAutospacing="0" w:after="0" w:afterAutospacing="0" w:line="440" w:lineRule="exact"/>
        <w:ind w:left="0" w:leftChars="0" w:firstLine="420" w:firstLineChars="175"/>
        <w:rPr>
          <w:rFonts w:hint="eastAsia" w:ascii="宋体" w:hAnsi="宋体" w:eastAsia="宋体" w:cs="宋体"/>
          <w:color w:val="auto"/>
          <w:highlight w:val="none"/>
          <w:shd w:val="clear" w:color="auto" w:fill="FFFFFF"/>
          <w:lang w:val="en-US" w:eastAsia="zh-CN"/>
        </w:rPr>
      </w:pPr>
      <w:r>
        <w:rPr>
          <w:rFonts w:hint="eastAsia" w:ascii="宋体" w:hAnsi="宋体" w:eastAsia="宋体" w:cs="宋体"/>
          <w:color w:val="auto"/>
          <w:highlight w:val="none"/>
          <w:shd w:val="clear" w:color="auto" w:fill="FFFFFF"/>
          <w:lang w:val="en-US" w:eastAsia="zh-CN"/>
        </w:rPr>
        <w:t>时间：即日起至</w:t>
      </w: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日</w:t>
      </w:r>
      <w:r>
        <w:rPr>
          <w:rFonts w:hint="eastAsia" w:ascii="宋体" w:hAnsi="宋体" w:eastAsia="宋体" w:cs="宋体"/>
          <w:color w:val="auto"/>
          <w:sz w:val="24"/>
          <w:szCs w:val="24"/>
          <w:highlight w:val="none"/>
          <w:lang w:val="en-US" w:eastAsia="zh-CN"/>
        </w:rPr>
        <w:t>9时00分</w:t>
      </w:r>
      <w:r>
        <w:rPr>
          <w:rFonts w:hint="eastAsia" w:ascii="宋体" w:hAnsi="宋体" w:eastAsia="宋体" w:cs="宋体"/>
          <w:color w:val="auto"/>
          <w:highlight w:val="none"/>
          <w:shd w:val="clear" w:color="auto" w:fill="FFFFFF"/>
          <w:lang w:val="en-US" w:eastAsia="zh-CN"/>
        </w:rPr>
        <w:t>，每天上午00:00至12:00，下午12:00至23:59（北京时间，线上获取法定节假日均可，线下获取文件法定节假日除外）</w:t>
      </w:r>
    </w:p>
    <w:p w14:paraId="1A51A44A">
      <w:pPr>
        <w:pStyle w:val="27"/>
        <w:spacing w:before="0" w:beforeAutospacing="0" w:after="0" w:afterAutospacing="0" w:line="440" w:lineRule="exact"/>
        <w:ind w:left="0" w:leftChars="0" w:firstLine="420" w:firstLineChars="175"/>
        <w:rPr>
          <w:rFonts w:hint="eastAsia" w:ascii="宋体" w:hAnsi="宋体" w:eastAsia="宋体" w:cs="宋体"/>
          <w:color w:val="auto"/>
          <w:highlight w:val="none"/>
          <w:shd w:val="clear" w:color="auto" w:fill="FFFFFF"/>
          <w:lang w:val="en-US" w:eastAsia="zh-CN"/>
        </w:rPr>
      </w:pPr>
      <w:r>
        <w:rPr>
          <w:rFonts w:hint="eastAsia" w:ascii="宋体" w:hAnsi="宋体" w:eastAsia="宋体" w:cs="宋体"/>
          <w:color w:val="auto"/>
          <w:highlight w:val="none"/>
          <w:shd w:val="clear" w:color="auto" w:fill="FFFFFF"/>
          <w:lang w:val="en-US" w:eastAsia="zh-CN"/>
        </w:rPr>
        <w:t xml:space="preserve">地点（网址）：政采云平台线上获取：http://zfcg.czt.zj.gov.cn </w:t>
      </w:r>
    </w:p>
    <w:p w14:paraId="21FA9277">
      <w:pPr>
        <w:pStyle w:val="27"/>
        <w:spacing w:before="0" w:beforeAutospacing="0" w:after="0" w:afterAutospacing="0" w:line="440" w:lineRule="exact"/>
        <w:ind w:left="0" w:leftChars="0" w:firstLine="420" w:firstLineChars="175"/>
        <w:rPr>
          <w:rFonts w:hint="eastAsia" w:ascii="宋体" w:hAnsi="宋体" w:eastAsia="宋体" w:cs="宋体"/>
          <w:color w:val="auto"/>
          <w:highlight w:val="none"/>
          <w:shd w:val="clear" w:color="auto" w:fill="FFFFFF"/>
          <w:lang w:val="en-US" w:eastAsia="zh-CN"/>
        </w:rPr>
      </w:pPr>
      <w:r>
        <w:rPr>
          <w:rFonts w:hint="eastAsia" w:ascii="宋体" w:hAnsi="宋体" w:eastAsia="宋体" w:cs="宋体"/>
          <w:color w:val="auto"/>
          <w:highlight w:val="none"/>
          <w:shd w:val="clear" w:color="auto" w:fill="FFFFFF"/>
          <w:lang w:val="en-US" w:eastAsia="zh-CN"/>
        </w:rPr>
        <w:t>方式：</w:t>
      </w:r>
      <w:r>
        <w:rPr>
          <w:rFonts w:hint="eastAsia" w:ascii="宋体" w:hAnsi="宋体" w:eastAsia="宋体" w:cs="宋体"/>
          <w:color w:val="auto"/>
          <w:highlight w:val="none"/>
        </w:rPr>
        <w:t>供应商登录政采云平台https://www.zcygov.cn/在线申请获取采购文件（进入“项目采购”应用，在获取采购文件菜单中选择项目，申请获取采购文件）</w:t>
      </w:r>
      <w:r>
        <w:rPr>
          <w:rFonts w:hint="eastAsia" w:ascii="宋体" w:hAnsi="宋体" w:eastAsia="宋体" w:cs="宋体"/>
          <w:color w:val="auto"/>
          <w:highlight w:val="none"/>
          <w:shd w:val="clear" w:color="auto" w:fill="FFFFFF"/>
          <w:lang w:val="en-US" w:eastAsia="zh-CN"/>
        </w:rPr>
        <w:t>。</w:t>
      </w:r>
    </w:p>
    <w:p w14:paraId="360DA140">
      <w:pPr>
        <w:pStyle w:val="27"/>
        <w:spacing w:before="0" w:beforeAutospacing="0" w:after="0" w:afterAutospacing="0" w:line="440" w:lineRule="exact"/>
        <w:ind w:left="0" w:leftChars="0" w:firstLine="420" w:firstLineChars="175"/>
        <w:rPr>
          <w:rFonts w:hint="eastAsia" w:ascii="宋体" w:hAnsi="宋体" w:eastAsia="宋体" w:cs="宋体"/>
          <w:color w:val="auto"/>
          <w:highlight w:val="none"/>
          <w:shd w:val="clear" w:color="auto" w:fill="FFFFFF"/>
          <w:lang w:val="en-US" w:eastAsia="zh-CN"/>
        </w:rPr>
      </w:pPr>
      <w:r>
        <w:rPr>
          <w:rFonts w:hint="eastAsia" w:ascii="宋体" w:hAnsi="宋体" w:eastAsia="宋体" w:cs="宋体"/>
          <w:color w:val="auto"/>
          <w:highlight w:val="none"/>
          <w:shd w:val="clear" w:color="auto" w:fill="FFFFFF"/>
          <w:lang w:val="en-US" w:eastAsia="zh-CN"/>
        </w:rPr>
        <w:t>售价（元）：0</w:t>
      </w:r>
    </w:p>
    <w:p w14:paraId="5ABE7432">
      <w:pPr>
        <w:pStyle w:val="5"/>
        <w:bidi w:val="0"/>
        <w:rPr>
          <w:rFonts w:hint="eastAsia"/>
          <w:color w:val="auto"/>
          <w:highlight w:val="none"/>
          <w:lang w:eastAsia="zh-CN"/>
        </w:rPr>
      </w:pPr>
      <w:bookmarkStart w:id="8" w:name="_Toc1757"/>
      <w:r>
        <w:rPr>
          <w:rFonts w:hint="eastAsia"/>
          <w:color w:val="auto"/>
          <w:highlight w:val="none"/>
        </w:rPr>
        <w:t>四、响应文件提交（上传）</w:t>
      </w:r>
      <w:bookmarkEnd w:id="8"/>
      <w:r>
        <w:rPr>
          <w:rFonts w:hint="eastAsia"/>
          <w:color w:val="auto"/>
          <w:highlight w:val="none"/>
          <w:lang w:eastAsia="zh-CN"/>
        </w:rPr>
        <w:t xml:space="preserve"> </w:t>
      </w:r>
    </w:p>
    <w:p w14:paraId="5CF7B561">
      <w:pPr>
        <w:pStyle w:val="27"/>
        <w:spacing w:before="0" w:beforeAutospacing="0" w:after="0" w:afterAutospacing="0" w:line="440" w:lineRule="exact"/>
        <w:ind w:left="0" w:leftChars="0" w:firstLine="420" w:firstLineChars="175"/>
        <w:rPr>
          <w:rFonts w:hint="eastAsia" w:ascii="宋体" w:hAnsi="宋体" w:eastAsia="宋体" w:cs="宋体"/>
          <w:color w:val="auto"/>
          <w:highlight w:val="none"/>
          <w:shd w:val="clear" w:color="auto" w:fill="FFFFFF"/>
          <w:lang w:val="en-US" w:eastAsia="zh-CN"/>
        </w:rPr>
      </w:pPr>
      <w:r>
        <w:rPr>
          <w:rFonts w:hint="eastAsia" w:ascii="宋体" w:hAnsi="宋体" w:eastAsia="宋体" w:cs="宋体"/>
          <w:color w:val="auto"/>
          <w:highlight w:val="none"/>
          <w:shd w:val="clear" w:color="auto" w:fill="FFFFFF"/>
          <w:lang w:val="en-US" w:eastAsia="zh-CN"/>
        </w:rPr>
        <w:t>截止时间：</w:t>
      </w: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日</w:t>
      </w:r>
      <w:r>
        <w:rPr>
          <w:rFonts w:hint="eastAsia" w:ascii="宋体" w:hAnsi="宋体" w:eastAsia="宋体" w:cs="宋体"/>
          <w:color w:val="auto"/>
          <w:sz w:val="24"/>
          <w:szCs w:val="24"/>
          <w:highlight w:val="none"/>
          <w:lang w:val="en-US" w:eastAsia="zh-CN"/>
        </w:rPr>
        <w:t>9时00分</w:t>
      </w:r>
      <w:r>
        <w:rPr>
          <w:rFonts w:hint="eastAsia" w:ascii="宋体" w:hAnsi="宋体" w:eastAsia="宋体" w:cs="宋体"/>
          <w:color w:val="auto"/>
          <w:highlight w:val="none"/>
          <w:shd w:val="clear" w:color="auto" w:fill="FFFFFF"/>
          <w:lang w:val="en-US" w:eastAsia="zh-CN"/>
        </w:rPr>
        <w:t>（北京时间）</w:t>
      </w:r>
    </w:p>
    <w:p w14:paraId="77D0D32C">
      <w:pPr>
        <w:pStyle w:val="27"/>
        <w:spacing w:before="0" w:beforeAutospacing="0" w:after="0" w:afterAutospacing="0" w:line="440" w:lineRule="exact"/>
        <w:ind w:left="0" w:leftChars="0" w:firstLine="420" w:firstLineChars="175"/>
        <w:rPr>
          <w:rFonts w:hint="eastAsia" w:ascii="宋体" w:hAnsi="宋体" w:eastAsia="宋体" w:cs="宋体"/>
          <w:color w:val="auto"/>
          <w:highlight w:val="none"/>
          <w:shd w:val="clear" w:color="auto" w:fill="FFFFFF"/>
          <w:lang w:val="en-US" w:eastAsia="zh-CN"/>
        </w:rPr>
      </w:pPr>
      <w:r>
        <w:rPr>
          <w:rFonts w:hint="eastAsia" w:ascii="宋体" w:hAnsi="宋体" w:eastAsia="宋体" w:cs="宋体"/>
          <w:color w:val="auto"/>
          <w:highlight w:val="none"/>
          <w:shd w:val="clear" w:color="auto" w:fill="FFFFFF"/>
          <w:lang w:val="en-US" w:eastAsia="zh-CN"/>
        </w:rPr>
        <w:t>地点（网址）：通过浙江政府采购网政府采购云平台实行在线投标响应。</w:t>
      </w:r>
    </w:p>
    <w:p w14:paraId="7443BB86">
      <w:pPr>
        <w:pStyle w:val="5"/>
        <w:bidi w:val="0"/>
        <w:rPr>
          <w:rFonts w:hint="eastAsia"/>
          <w:color w:val="auto"/>
          <w:highlight w:val="none"/>
          <w:lang w:eastAsia="zh-CN"/>
        </w:rPr>
      </w:pPr>
      <w:bookmarkStart w:id="9" w:name="_Toc14306"/>
      <w:r>
        <w:rPr>
          <w:rFonts w:hint="eastAsia"/>
          <w:color w:val="auto"/>
          <w:highlight w:val="none"/>
        </w:rPr>
        <w:t>五、响应文件开启</w:t>
      </w:r>
      <w:bookmarkEnd w:id="9"/>
      <w:r>
        <w:rPr>
          <w:rFonts w:hint="eastAsia"/>
          <w:color w:val="auto"/>
          <w:highlight w:val="none"/>
          <w:lang w:eastAsia="zh-CN"/>
        </w:rPr>
        <w:t xml:space="preserve"> </w:t>
      </w:r>
    </w:p>
    <w:p w14:paraId="7B1C1160">
      <w:pPr>
        <w:pStyle w:val="27"/>
        <w:spacing w:before="0" w:beforeAutospacing="0" w:after="0" w:afterAutospacing="0" w:line="440" w:lineRule="exact"/>
        <w:ind w:left="0" w:leftChars="0" w:firstLine="420" w:firstLineChars="175"/>
        <w:rPr>
          <w:rFonts w:hint="eastAsia" w:ascii="宋体" w:hAnsi="宋体" w:eastAsia="宋体" w:cs="宋体"/>
          <w:color w:val="auto"/>
          <w:highlight w:val="none"/>
          <w:shd w:val="clear" w:color="auto" w:fill="FFFFFF"/>
          <w:lang w:val="en-US" w:eastAsia="zh-CN"/>
        </w:rPr>
      </w:pPr>
      <w:r>
        <w:rPr>
          <w:rFonts w:hint="eastAsia" w:ascii="宋体" w:hAnsi="宋体" w:eastAsia="宋体" w:cs="宋体"/>
          <w:color w:val="auto"/>
          <w:highlight w:val="none"/>
          <w:shd w:val="clear" w:color="auto" w:fill="FFFFFF"/>
          <w:lang w:val="en-US" w:eastAsia="zh-CN"/>
        </w:rPr>
        <w:t>开启时间：</w:t>
      </w: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日</w:t>
      </w:r>
      <w:r>
        <w:rPr>
          <w:rFonts w:hint="eastAsia" w:ascii="宋体" w:hAnsi="宋体" w:eastAsia="宋体" w:cs="宋体"/>
          <w:color w:val="auto"/>
          <w:sz w:val="24"/>
          <w:szCs w:val="24"/>
          <w:highlight w:val="none"/>
          <w:lang w:val="en-US" w:eastAsia="zh-CN"/>
        </w:rPr>
        <w:t>9时00分</w:t>
      </w:r>
      <w:r>
        <w:rPr>
          <w:rFonts w:hint="eastAsia" w:ascii="宋体" w:hAnsi="宋体" w:eastAsia="宋体" w:cs="宋体"/>
          <w:color w:val="auto"/>
          <w:highlight w:val="none"/>
          <w:shd w:val="clear" w:color="auto" w:fill="FFFFFF"/>
          <w:lang w:val="en-US" w:eastAsia="zh-CN"/>
        </w:rPr>
        <w:t>（北京时间）</w:t>
      </w:r>
    </w:p>
    <w:p w14:paraId="36C72B3B">
      <w:pPr>
        <w:pStyle w:val="27"/>
        <w:spacing w:before="0" w:beforeAutospacing="0" w:after="0" w:afterAutospacing="0" w:line="440" w:lineRule="exact"/>
        <w:ind w:left="0" w:leftChars="0" w:firstLine="420" w:firstLineChars="175"/>
        <w:rPr>
          <w:rFonts w:hint="eastAsia" w:ascii="宋体" w:hAnsi="宋体" w:eastAsia="宋体" w:cs="宋体"/>
          <w:color w:val="auto"/>
          <w:highlight w:val="none"/>
          <w:shd w:val="clear" w:color="auto" w:fill="FFFFFF"/>
          <w:lang w:val="en-US" w:eastAsia="zh-CN"/>
        </w:rPr>
      </w:pPr>
      <w:r>
        <w:rPr>
          <w:rFonts w:hint="eastAsia" w:ascii="宋体" w:hAnsi="宋体" w:eastAsia="宋体" w:cs="宋体"/>
          <w:color w:val="auto"/>
          <w:highlight w:val="none"/>
        </w:rPr>
        <w:t>地点（网址）：金华市双龙南街858号金华财富大厦（金华市行政服务中心新办事大厅4楼开标室）</w:t>
      </w:r>
      <w:r>
        <w:rPr>
          <w:rFonts w:hint="eastAsia" w:ascii="宋体" w:hAnsi="宋体" w:eastAsia="宋体" w:cs="宋体"/>
          <w:color w:val="auto"/>
          <w:highlight w:val="none"/>
          <w:lang w:eastAsia="zh-CN"/>
        </w:rPr>
        <w:t>；浙江政府采购网“政采云用户”（https://login.zcygov.cn/ login）（或登入“政采云电子投标客户端”）开标大厅。</w:t>
      </w:r>
    </w:p>
    <w:p w14:paraId="7493714D">
      <w:pPr>
        <w:pStyle w:val="5"/>
        <w:bidi w:val="0"/>
        <w:rPr>
          <w:rFonts w:hint="eastAsia"/>
          <w:color w:val="auto"/>
          <w:highlight w:val="none"/>
        </w:rPr>
      </w:pPr>
      <w:bookmarkStart w:id="10" w:name="_Toc1685"/>
      <w:r>
        <w:rPr>
          <w:rFonts w:hint="eastAsia"/>
          <w:color w:val="auto"/>
          <w:highlight w:val="none"/>
        </w:rPr>
        <w:t>六、</w:t>
      </w:r>
      <w:r>
        <w:rPr>
          <w:rFonts w:hint="eastAsia" w:eastAsia="宋体"/>
          <w:color w:val="auto"/>
          <w:highlight w:val="none"/>
          <w:lang w:val="en-US" w:eastAsia="zh-CN"/>
        </w:rPr>
        <w:t>采购意向公开链接</w:t>
      </w:r>
      <w:bookmarkEnd w:id="10"/>
    </w:p>
    <w:p w14:paraId="1DBDA7B0">
      <w:pPr>
        <w:pStyle w:val="27"/>
        <w:spacing w:before="0" w:beforeAutospacing="0" w:after="0" w:afterAutospacing="0" w:line="440" w:lineRule="exact"/>
        <w:ind w:left="0" w:leftChars="0" w:firstLine="420" w:firstLineChars="175"/>
        <w:rPr>
          <w:rFonts w:hint="eastAsia" w:ascii="宋体" w:hAnsi="宋体" w:eastAsia="宋体" w:cs="宋体"/>
          <w:color w:val="auto"/>
          <w:highlight w:val="none"/>
          <w:shd w:val="clear" w:color="auto" w:fill="FFFFFF"/>
          <w:lang w:val="en-US" w:eastAsia="zh-CN"/>
        </w:rPr>
      </w:pPr>
      <w:r>
        <w:rPr>
          <w:rFonts w:hint="eastAsia" w:ascii="宋体" w:hAnsi="宋体" w:eastAsia="宋体" w:cs="宋体"/>
          <w:color w:val="auto"/>
          <w:highlight w:val="none"/>
          <w:shd w:val="clear" w:color="auto" w:fill="FFFFFF"/>
          <w:lang w:val="en-US" w:eastAsia="zh-CN"/>
        </w:rPr>
        <w:t>https://zfcg.czt.zj.gov.cn/site/detail?categoryCode=ZcyAnnouncement&amp;parentId=600007&amp;articleId=bKaYE2Kue4Ly6Atmt73+Bw==</w:t>
      </w:r>
    </w:p>
    <w:p w14:paraId="79B8A846">
      <w:pPr>
        <w:pStyle w:val="27"/>
        <w:spacing w:before="0" w:beforeAutospacing="0" w:after="0" w:afterAutospacing="0" w:line="440" w:lineRule="exact"/>
        <w:ind w:left="0" w:leftChars="0" w:firstLine="420" w:firstLineChars="175"/>
        <w:rPr>
          <w:rFonts w:hint="eastAsia" w:ascii="宋体" w:hAnsi="宋体" w:eastAsia="宋体" w:cs="宋体"/>
          <w:color w:val="auto"/>
          <w:highlight w:val="none"/>
          <w:shd w:val="clear" w:color="auto" w:fill="FFFFFF"/>
          <w:lang w:val="en-US" w:eastAsia="zh-CN"/>
        </w:rPr>
      </w:pPr>
    </w:p>
    <w:p w14:paraId="21C9AD2E">
      <w:pPr>
        <w:pStyle w:val="5"/>
        <w:bidi w:val="0"/>
        <w:rPr>
          <w:rFonts w:hint="eastAsia"/>
          <w:color w:val="auto"/>
          <w:highlight w:val="none"/>
          <w:lang w:eastAsia="zh-CN"/>
        </w:rPr>
      </w:pPr>
      <w:bookmarkStart w:id="11" w:name="_Toc3303"/>
      <w:r>
        <w:rPr>
          <w:rFonts w:hint="eastAsia"/>
          <w:color w:val="auto"/>
          <w:highlight w:val="none"/>
        </w:rPr>
        <w:t>七、公告期限</w:t>
      </w:r>
      <w:bookmarkEnd w:id="11"/>
    </w:p>
    <w:p w14:paraId="022ADD0E">
      <w:pPr>
        <w:pStyle w:val="27"/>
        <w:pageBreakBefore w:val="0"/>
        <w:widowControl/>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color w:val="auto"/>
          <w:highlight w:val="none"/>
          <w:lang w:val="en-US" w:eastAsia="zh-CN"/>
        </w:rPr>
      </w:pPr>
      <w:bookmarkStart w:id="12" w:name="_Toc7074"/>
      <w:r>
        <w:rPr>
          <w:rFonts w:hint="eastAsia" w:ascii="宋体" w:hAnsi="宋体" w:eastAsia="宋体" w:cs="宋体"/>
          <w:color w:val="auto"/>
          <w:highlight w:val="none"/>
        </w:rPr>
        <w:t>自本公告发布之日起</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个工作日。</w:t>
      </w:r>
    </w:p>
    <w:p w14:paraId="0C6DC552">
      <w:pPr>
        <w:pStyle w:val="5"/>
        <w:bidi w:val="0"/>
        <w:rPr>
          <w:rFonts w:hint="eastAsia"/>
          <w:color w:val="auto"/>
          <w:highlight w:val="none"/>
        </w:rPr>
      </w:pPr>
      <w:r>
        <w:rPr>
          <w:rFonts w:hint="eastAsia"/>
          <w:color w:val="auto"/>
          <w:highlight w:val="none"/>
        </w:rPr>
        <w:t>八、其他补充事宜</w:t>
      </w:r>
      <w:bookmarkEnd w:id="12"/>
    </w:p>
    <w:p w14:paraId="143CE0A4">
      <w:pPr>
        <w:pStyle w:val="27"/>
        <w:pageBreakBefore w:val="0"/>
        <w:widowControl/>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1.《浙江省财政厅关于进一步发挥政府采购政策功能全力推动经济稳进提质的通知》 （浙财采监（2022）3号）、《浙江省财政厅关于进一步促进政府采购公平竞争打造最优营商环境的通知》（浙财采监（2021）22号））、《浙江省财政厅关于进一步加大政府采购支持中小企业力度助力扎实稳住经济的通知》 （浙财采监（2022）8号）已分别于2022年1月29日、2022年2月1日和2022年7月1日开始实施，此前有关规定与上述文件内容不一致的，按上述文件要求执行。</w:t>
      </w:r>
    </w:p>
    <w:p w14:paraId="2635E164">
      <w:pPr>
        <w:pStyle w:val="27"/>
        <w:pageBreakBefore w:val="0"/>
        <w:widowControl/>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default" w:ascii="宋体" w:hAnsi="宋体" w:eastAsia="宋体" w:cs="宋体"/>
          <w:color w:val="auto"/>
          <w:highlight w:val="none"/>
        </w:rPr>
      </w:pPr>
      <w:r>
        <w:rPr>
          <w:rFonts w:hint="eastAsia" w:ascii="宋体" w:hAnsi="宋体" w:eastAsia="宋体" w:cs="宋体"/>
          <w:color w:val="auto"/>
          <w:highlight w:val="none"/>
        </w:rPr>
        <w:t>2.根据《浙江省财政厅关于进一步促进政府采购公平竞争打造最优营商环境的通知》（浙财采监（2021）22号）文件关于“健全行政裁决机制”要求，鼓励供应商在线提起询问，路径为：政采云-项目采购-询问质疑投诉-询问列表:鼓励供应商在线提起质疑，路径为：政采云-项目采购-询问质疑投诉-质疑列表。质疑供应商对在线质疑答复不满意的，可在线提起投诉，路径为：浙江政府服务网-政府采购投诉处理-在线办理。</w:t>
      </w:r>
    </w:p>
    <w:p w14:paraId="5636899A">
      <w:pPr>
        <w:pStyle w:val="27"/>
        <w:pageBreakBefore w:val="0"/>
        <w:widowControl/>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供应商认为采购文件使自己的权益受到损害的，可以自获取采购文件之日或者采购公告期限届满之日（公告期限届满后获取采购文件的，以公告期限届满之日为准）起7个工作日内，对采购文件需求的以书面形式向采购人提出质疑，对其他内容的以书面形式向采购人和采购代理机构提出质疑。质疑供应商对采购人、采购代理机构的答复不满意或者采购人、采购代理机构未在规定的时间内作出答复的，可以在答复期满后十五个工作日内向同级政府采购监督管理部门投诉。质疑函范本、投诉书范本请到浙江政府采购网下载专区下载。</w:t>
      </w:r>
    </w:p>
    <w:p w14:paraId="05B3156F">
      <w:pPr>
        <w:pStyle w:val="27"/>
        <w:pageBreakBefore w:val="0"/>
        <w:widowControl/>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default" w:ascii="宋体" w:hAnsi="宋体" w:eastAsia="宋体" w:cs="宋体"/>
          <w:color w:val="auto"/>
          <w:highlight w:val="none"/>
        </w:rPr>
      </w:pPr>
      <w:r>
        <w:rPr>
          <w:rFonts w:hint="eastAsia" w:ascii="宋体" w:hAnsi="宋体" w:eastAsia="宋体" w:cs="宋体"/>
          <w:color w:val="auto"/>
          <w:highlight w:val="none"/>
        </w:rPr>
        <w:t>4.其他事项：（1）本项目专门面向中小企业采购，小微企业报价不予以扣除。</w:t>
      </w:r>
      <w:r>
        <w:rPr>
          <w:rFonts w:hint="eastAsia" w:ascii="宋体" w:hAnsi="宋体" w:eastAsia="宋体" w:cs="宋体"/>
          <w:color w:val="auto"/>
          <w:highlight w:val="none"/>
        </w:rPr>
        <w:br w:type="textWrapping"/>
      </w:r>
      <w:r>
        <w:rPr>
          <w:rFonts w:hint="eastAsia" w:ascii="宋体" w:hAnsi="宋体" w:eastAsia="宋体" w:cs="宋体"/>
          <w:color w:val="auto"/>
          <w:highlight w:val="none"/>
        </w:rPr>
        <w:t>（2）未按招标公告规定获取</w:t>
      </w:r>
      <w:r>
        <w:rPr>
          <w:rFonts w:hint="eastAsia" w:ascii="宋体" w:hAnsi="宋体" w:eastAsia="宋体" w:cs="宋体"/>
          <w:color w:val="auto"/>
          <w:highlight w:val="none"/>
          <w:lang w:val="en-US" w:eastAsia="zh-CN"/>
        </w:rPr>
        <w:t>采购</w:t>
      </w:r>
      <w:r>
        <w:rPr>
          <w:rFonts w:hint="eastAsia" w:ascii="宋体" w:hAnsi="宋体" w:eastAsia="宋体" w:cs="宋体"/>
          <w:color w:val="auto"/>
          <w:highlight w:val="none"/>
        </w:rPr>
        <w:t>文件的潜在</w:t>
      </w:r>
      <w:r>
        <w:rPr>
          <w:rFonts w:hint="eastAsia" w:ascii="宋体" w:hAnsi="宋体" w:eastAsia="宋体" w:cs="宋体"/>
          <w:color w:val="auto"/>
          <w:highlight w:val="none"/>
          <w:lang w:eastAsia="zh-CN"/>
        </w:rPr>
        <w:t>供应商</w:t>
      </w:r>
      <w:r>
        <w:rPr>
          <w:rFonts w:hint="eastAsia" w:ascii="宋体" w:hAnsi="宋体" w:eastAsia="宋体" w:cs="宋体"/>
          <w:color w:val="auto"/>
          <w:highlight w:val="none"/>
        </w:rPr>
        <w:t>不得对</w:t>
      </w:r>
      <w:r>
        <w:rPr>
          <w:rFonts w:hint="eastAsia" w:ascii="宋体" w:hAnsi="宋体" w:eastAsia="宋体" w:cs="宋体"/>
          <w:color w:val="auto"/>
          <w:highlight w:val="none"/>
          <w:lang w:eastAsia="zh-CN"/>
        </w:rPr>
        <w:t>采购文件</w:t>
      </w:r>
      <w:r>
        <w:rPr>
          <w:rFonts w:hint="eastAsia" w:ascii="宋体" w:hAnsi="宋体" w:eastAsia="宋体" w:cs="宋体"/>
          <w:color w:val="auto"/>
          <w:highlight w:val="none"/>
        </w:rPr>
        <w:t>提出质疑，其</w:t>
      </w:r>
      <w:r>
        <w:rPr>
          <w:rFonts w:hint="eastAsia" w:ascii="宋体" w:hAnsi="宋体" w:eastAsia="宋体" w:cs="宋体"/>
          <w:color w:val="auto"/>
          <w:highlight w:val="none"/>
          <w:lang w:eastAsia="zh-CN"/>
        </w:rPr>
        <w:t>响应</w:t>
      </w:r>
      <w:r>
        <w:rPr>
          <w:rFonts w:hint="eastAsia" w:ascii="宋体" w:hAnsi="宋体" w:eastAsia="宋体" w:cs="宋体"/>
          <w:color w:val="auto"/>
          <w:highlight w:val="none"/>
        </w:rPr>
        <w:t>文件将被拒绝；通过本公告下方“游客，浏览采购文件”下载的</w:t>
      </w:r>
      <w:r>
        <w:rPr>
          <w:rFonts w:hint="eastAsia" w:ascii="宋体" w:hAnsi="宋体" w:eastAsia="宋体" w:cs="宋体"/>
          <w:color w:val="auto"/>
          <w:highlight w:val="none"/>
          <w:lang w:eastAsia="zh-CN"/>
        </w:rPr>
        <w:t>采购文件</w:t>
      </w:r>
      <w:r>
        <w:rPr>
          <w:rFonts w:hint="eastAsia" w:ascii="宋体" w:hAnsi="宋体" w:eastAsia="宋体" w:cs="宋体"/>
          <w:color w:val="auto"/>
          <w:highlight w:val="none"/>
        </w:rPr>
        <w:t>仅供浏览，不视作依法获取</w:t>
      </w:r>
      <w:r>
        <w:rPr>
          <w:rFonts w:hint="eastAsia" w:ascii="宋体" w:hAnsi="宋体" w:eastAsia="宋体" w:cs="宋体"/>
          <w:color w:val="auto"/>
          <w:highlight w:val="none"/>
          <w:lang w:eastAsia="zh-CN"/>
        </w:rPr>
        <w:t>采购文件</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供应商</w:t>
      </w:r>
      <w:r>
        <w:rPr>
          <w:rFonts w:hint="eastAsia" w:ascii="宋体" w:hAnsi="宋体" w:eastAsia="宋体" w:cs="宋体"/>
          <w:color w:val="auto"/>
          <w:highlight w:val="none"/>
        </w:rPr>
        <w:t>应当在</w:t>
      </w:r>
      <w:r>
        <w:rPr>
          <w:rFonts w:hint="eastAsia" w:ascii="宋体" w:hAnsi="宋体" w:eastAsia="宋体" w:cs="宋体"/>
          <w:color w:val="auto"/>
          <w:highlight w:val="none"/>
          <w:lang w:eastAsia="zh-CN"/>
        </w:rPr>
        <w:t>响应</w:t>
      </w:r>
      <w:r>
        <w:rPr>
          <w:rFonts w:hint="eastAsia" w:ascii="宋体" w:hAnsi="宋体" w:eastAsia="宋体" w:cs="宋体"/>
          <w:color w:val="auto"/>
          <w:highlight w:val="none"/>
        </w:rPr>
        <w:t>截止时间前完成电子</w:t>
      </w:r>
      <w:r>
        <w:rPr>
          <w:rFonts w:hint="eastAsia" w:ascii="宋体" w:hAnsi="宋体" w:eastAsia="宋体" w:cs="宋体"/>
          <w:color w:val="auto"/>
          <w:highlight w:val="none"/>
          <w:lang w:eastAsia="zh-CN"/>
        </w:rPr>
        <w:t>响应</w:t>
      </w:r>
      <w:r>
        <w:rPr>
          <w:rFonts w:hint="eastAsia" w:ascii="宋体" w:hAnsi="宋体" w:eastAsia="宋体" w:cs="宋体"/>
          <w:color w:val="auto"/>
          <w:highlight w:val="none"/>
        </w:rPr>
        <w:t>文件的传输递交，并可以补充、修改或者撤回电子</w:t>
      </w:r>
      <w:r>
        <w:rPr>
          <w:rFonts w:hint="eastAsia" w:ascii="宋体" w:hAnsi="宋体" w:eastAsia="宋体" w:cs="宋体"/>
          <w:color w:val="auto"/>
          <w:highlight w:val="none"/>
          <w:lang w:eastAsia="zh-CN"/>
        </w:rPr>
        <w:t>响应</w:t>
      </w:r>
      <w:r>
        <w:rPr>
          <w:rFonts w:hint="eastAsia" w:ascii="宋体" w:hAnsi="宋体" w:eastAsia="宋体" w:cs="宋体"/>
          <w:color w:val="auto"/>
          <w:highlight w:val="none"/>
        </w:rPr>
        <w:t>文件。补充或者修改电子</w:t>
      </w:r>
      <w:r>
        <w:rPr>
          <w:rFonts w:hint="eastAsia" w:ascii="宋体" w:hAnsi="宋体" w:eastAsia="宋体" w:cs="宋体"/>
          <w:color w:val="auto"/>
          <w:highlight w:val="none"/>
          <w:lang w:eastAsia="zh-CN"/>
        </w:rPr>
        <w:t>响应</w:t>
      </w:r>
      <w:r>
        <w:rPr>
          <w:rFonts w:hint="eastAsia" w:ascii="宋体" w:hAnsi="宋体" w:eastAsia="宋体" w:cs="宋体"/>
          <w:color w:val="auto"/>
          <w:highlight w:val="none"/>
        </w:rPr>
        <w:t>文件的，应当先行撤回原文件，补充、修改后重新传输递交。</w:t>
      </w:r>
      <w:r>
        <w:rPr>
          <w:rFonts w:hint="eastAsia" w:ascii="宋体" w:hAnsi="宋体" w:eastAsia="宋体" w:cs="宋体"/>
          <w:color w:val="auto"/>
          <w:highlight w:val="none"/>
          <w:lang w:eastAsia="zh-CN"/>
        </w:rPr>
        <w:t>响应</w:t>
      </w:r>
      <w:r>
        <w:rPr>
          <w:rFonts w:hint="eastAsia" w:ascii="宋体" w:hAnsi="宋体" w:eastAsia="宋体" w:cs="宋体"/>
          <w:color w:val="auto"/>
          <w:highlight w:val="none"/>
        </w:rPr>
        <w:t>截止时间前未完成传输的，视为撤回</w:t>
      </w:r>
      <w:r>
        <w:rPr>
          <w:rFonts w:hint="eastAsia" w:ascii="宋体" w:hAnsi="宋体" w:eastAsia="宋体" w:cs="宋体"/>
          <w:color w:val="auto"/>
          <w:highlight w:val="none"/>
          <w:lang w:eastAsia="zh-CN"/>
        </w:rPr>
        <w:t>响应</w:t>
      </w:r>
      <w:r>
        <w:rPr>
          <w:rFonts w:hint="eastAsia" w:ascii="宋体" w:hAnsi="宋体" w:eastAsia="宋体" w:cs="宋体"/>
          <w:color w:val="auto"/>
          <w:highlight w:val="none"/>
        </w:rPr>
        <w:t>文件。</w:t>
      </w:r>
      <w:r>
        <w:rPr>
          <w:rFonts w:hint="eastAsia" w:ascii="宋体" w:hAnsi="宋体" w:eastAsia="宋体" w:cs="宋体"/>
          <w:color w:val="auto"/>
          <w:highlight w:val="none"/>
          <w:lang w:eastAsia="zh-CN"/>
        </w:rPr>
        <w:t>响应</w:t>
      </w:r>
      <w:r>
        <w:rPr>
          <w:rFonts w:hint="eastAsia" w:ascii="宋体" w:hAnsi="宋体" w:eastAsia="宋体" w:cs="宋体"/>
          <w:color w:val="auto"/>
          <w:highlight w:val="none"/>
        </w:rPr>
        <w:t>截止时间后送达的</w:t>
      </w:r>
      <w:r>
        <w:rPr>
          <w:rFonts w:hint="eastAsia" w:ascii="宋体" w:hAnsi="宋体" w:eastAsia="宋体" w:cs="宋体"/>
          <w:color w:val="auto"/>
          <w:highlight w:val="none"/>
          <w:lang w:eastAsia="zh-CN"/>
        </w:rPr>
        <w:t>响应</w:t>
      </w:r>
      <w:r>
        <w:rPr>
          <w:rFonts w:hint="eastAsia" w:ascii="宋体" w:hAnsi="宋体" w:eastAsia="宋体" w:cs="宋体"/>
          <w:color w:val="auto"/>
          <w:highlight w:val="none"/>
        </w:rPr>
        <w:t>文件，将被政采云平台拒收。供应商应在法定质疑期内一次性提出针对同一采购程序环节的质疑。</w:t>
      </w:r>
      <w:r>
        <w:rPr>
          <w:rFonts w:hint="eastAsia" w:ascii="宋体" w:hAnsi="宋体" w:eastAsia="宋体" w:cs="宋体"/>
          <w:color w:val="auto"/>
          <w:highlight w:val="none"/>
        </w:rPr>
        <w:br w:type="textWrapping"/>
      </w:r>
      <w:r>
        <w:rPr>
          <w:rFonts w:hint="eastAsia" w:ascii="宋体" w:hAnsi="宋体" w:eastAsia="宋体" w:cs="宋体"/>
          <w:color w:val="auto"/>
          <w:highlight w:val="none"/>
        </w:rPr>
        <w:t>（3）企业信用融资: 省财政厅、浙江银监局、省金融办制定了《浙江省政府采购支持中小企业信用融资试点办法》浙财采监[2012]13号)，所称的政府采购信用融资，是指银行业金融机构(以下简称银行)以政府采购诚信考核和信用审查为基础，凭借政府采购合同，按优于一般中小企业的贷款利率直接向申请贷款的</w:t>
      </w:r>
      <w:r>
        <w:rPr>
          <w:rFonts w:hint="eastAsia" w:ascii="宋体" w:hAnsi="宋体" w:eastAsia="宋体" w:cs="宋体"/>
          <w:color w:val="auto"/>
          <w:highlight w:val="none"/>
          <w:lang w:eastAsia="zh-CN"/>
        </w:rPr>
        <w:t>供应商</w:t>
      </w:r>
      <w:r>
        <w:rPr>
          <w:rFonts w:hint="eastAsia" w:ascii="宋体" w:hAnsi="宋体" w:eastAsia="宋体" w:cs="宋体"/>
          <w:color w:val="auto"/>
          <w:highlight w:val="none"/>
        </w:rPr>
        <w:t>发放贷款的一种融资方式。</w:t>
      </w:r>
      <w:r>
        <w:rPr>
          <w:rFonts w:hint="eastAsia" w:ascii="宋体" w:hAnsi="宋体" w:eastAsia="宋体" w:cs="宋体"/>
          <w:color w:val="auto"/>
          <w:highlight w:val="none"/>
          <w:lang w:eastAsia="zh-CN"/>
        </w:rPr>
        <w:t>供应商</w:t>
      </w:r>
      <w:r>
        <w:rPr>
          <w:rFonts w:hint="eastAsia" w:ascii="宋体" w:hAnsi="宋体" w:eastAsia="宋体" w:cs="宋体"/>
          <w:color w:val="auto"/>
          <w:highlight w:val="none"/>
        </w:rPr>
        <w:t>可登陆浙江政府采购( (tp:/www zizfcg gov.cn)的中小企业信用融资栏目了解相关信息。 供应商可以通过浙江政府采购网(https://zfcg. czt.zj. gov.cn/)首页的“浙江政采贷”模块进入申请，还可以通过政府采购云平台(https://wwwzcygov.cn/)首页的“金融服务”模块进入申请。</w:t>
      </w:r>
      <w:r>
        <w:rPr>
          <w:rFonts w:hint="eastAsia" w:ascii="宋体" w:hAnsi="宋体" w:eastAsia="宋体" w:cs="宋体"/>
          <w:color w:val="auto"/>
          <w:highlight w:val="none"/>
        </w:rPr>
        <w:br w:type="textWrapping"/>
      </w:r>
      <w:r>
        <w:rPr>
          <w:rFonts w:hint="eastAsia" w:ascii="宋体" w:hAnsi="宋体" w:eastAsia="宋体" w:cs="宋体"/>
          <w:color w:val="auto"/>
          <w:highlight w:val="none"/>
        </w:rPr>
        <w:t>（4）特别说明：根据《浙江省财政厅关于进一步加大政府采购支持中小企业力度 助力扎实稳住经济的通知》（浙财采监〔2022〕8号）简化对政府采购供应商资格条件的形式审查，供应商书面承诺符合参与政府采购活动资格条件的，不需要再提供财务状况报告、依法缴纳税收和社会保障资金记录、无重大违法记录等证明材料。</w:t>
      </w:r>
      <w:r>
        <w:rPr>
          <w:rFonts w:hint="eastAsia" w:ascii="宋体" w:hAnsi="宋体" w:eastAsia="宋体" w:cs="宋体"/>
          <w:color w:val="auto"/>
          <w:highlight w:val="none"/>
        </w:rPr>
        <w:br w:type="textWrapping"/>
      </w:r>
      <w:r>
        <w:rPr>
          <w:rFonts w:hint="eastAsia" w:ascii="宋体" w:hAnsi="宋体" w:eastAsia="宋体" w:cs="宋体"/>
          <w:color w:val="auto"/>
          <w:highlight w:val="none"/>
        </w:rPr>
        <w:t>（5）在线投标响应（电子投标）说明： </w:t>
      </w:r>
      <w:r>
        <w:rPr>
          <w:rFonts w:hint="eastAsia" w:ascii="宋体" w:hAnsi="宋体" w:eastAsia="宋体" w:cs="宋体"/>
          <w:color w:val="auto"/>
          <w:highlight w:val="none"/>
        </w:rPr>
        <w:br w:type="textWrapping"/>
      </w:r>
      <w:r>
        <w:rPr>
          <w:rFonts w:hint="eastAsia" w:ascii="宋体" w:hAnsi="宋体" w:eastAsia="宋体" w:cs="宋体"/>
          <w:color w:val="auto"/>
          <w:highlight w:val="none"/>
        </w:rPr>
        <w:t>1）本项目采用政府采购电子化交易； </w:t>
      </w:r>
      <w:r>
        <w:rPr>
          <w:rFonts w:hint="eastAsia" w:ascii="宋体" w:hAnsi="宋体" w:eastAsia="宋体" w:cs="宋体"/>
          <w:color w:val="auto"/>
          <w:highlight w:val="none"/>
        </w:rPr>
        <w:br w:type="textWrapping"/>
      </w:r>
      <w:r>
        <w:rPr>
          <w:rFonts w:hint="eastAsia" w:ascii="宋体" w:hAnsi="宋体" w:eastAsia="宋体" w:cs="宋体"/>
          <w:color w:val="auto"/>
          <w:highlight w:val="none"/>
        </w:rPr>
        <w:t>2）</w:t>
      </w:r>
      <w:r>
        <w:rPr>
          <w:rFonts w:hint="eastAsia" w:ascii="宋体" w:hAnsi="宋体" w:eastAsia="宋体" w:cs="宋体"/>
          <w:color w:val="auto"/>
          <w:highlight w:val="none"/>
          <w:lang w:eastAsia="zh-CN"/>
        </w:rPr>
        <w:t>供应商</w:t>
      </w:r>
      <w:r>
        <w:rPr>
          <w:rFonts w:hint="eastAsia" w:ascii="宋体" w:hAnsi="宋体" w:eastAsia="宋体" w:cs="宋体"/>
          <w:color w:val="auto"/>
          <w:highlight w:val="none"/>
        </w:rPr>
        <w:t>应在投标前完成 CA 数字证书办理。（办理流程详见：http://zfcg.czt.zj.gov.cn/bidClientTemplate/2019-05-27/12945.html）； 完成 CA 数字证书办理预计一周左右，建议各</w:t>
      </w:r>
      <w:r>
        <w:rPr>
          <w:rFonts w:hint="eastAsia" w:ascii="宋体" w:hAnsi="宋体" w:eastAsia="宋体" w:cs="宋体"/>
          <w:color w:val="auto"/>
          <w:highlight w:val="none"/>
          <w:lang w:eastAsia="zh-CN"/>
        </w:rPr>
        <w:t>供应商</w:t>
      </w:r>
      <w:r>
        <w:rPr>
          <w:rFonts w:hint="eastAsia" w:ascii="宋体" w:hAnsi="宋体" w:eastAsia="宋体" w:cs="宋体"/>
          <w:color w:val="auto"/>
          <w:highlight w:val="none"/>
        </w:rPr>
        <w:t>抓紧时间办理。因未注册入库、未办理 CA 数字证书等原因造成无法投标或投标失败等后果由</w:t>
      </w:r>
      <w:r>
        <w:rPr>
          <w:rFonts w:hint="eastAsia" w:ascii="宋体" w:hAnsi="宋体" w:eastAsia="宋体" w:cs="宋体"/>
          <w:color w:val="auto"/>
          <w:highlight w:val="none"/>
          <w:lang w:eastAsia="zh-CN"/>
        </w:rPr>
        <w:t>供应商</w:t>
      </w:r>
      <w:r>
        <w:rPr>
          <w:rFonts w:hint="eastAsia" w:ascii="宋体" w:hAnsi="宋体" w:eastAsia="宋体" w:cs="宋体"/>
          <w:color w:val="auto"/>
          <w:highlight w:val="none"/>
        </w:rPr>
        <w:t>自行承担。</w:t>
      </w:r>
      <w:r>
        <w:rPr>
          <w:rFonts w:hint="eastAsia" w:ascii="宋体" w:hAnsi="宋体" w:eastAsia="宋体" w:cs="宋体"/>
          <w:color w:val="auto"/>
          <w:highlight w:val="none"/>
        </w:rPr>
        <w:br w:type="textWrapping"/>
      </w:r>
      <w:r>
        <w:rPr>
          <w:rFonts w:hint="eastAsia" w:ascii="宋体" w:hAnsi="宋体" w:eastAsia="宋体" w:cs="宋体"/>
          <w:color w:val="auto"/>
          <w:highlight w:val="none"/>
        </w:rPr>
        <w:t>3）</w:t>
      </w:r>
      <w:r>
        <w:rPr>
          <w:rFonts w:hint="eastAsia" w:ascii="宋体" w:hAnsi="宋体" w:eastAsia="宋体" w:cs="宋体"/>
          <w:color w:val="auto"/>
          <w:highlight w:val="none"/>
          <w:lang w:eastAsia="zh-CN"/>
        </w:rPr>
        <w:t>供应商</w:t>
      </w:r>
      <w:r>
        <w:rPr>
          <w:rFonts w:hint="eastAsia" w:ascii="宋体" w:hAnsi="宋体" w:eastAsia="宋体" w:cs="宋体"/>
          <w:color w:val="auto"/>
          <w:highlight w:val="none"/>
        </w:rPr>
        <w:t>应安装“政采云投标客户端”，电子投标工具请</w:t>
      </w:r>
      <w:r>
        <w:rPr>
          <w:rFonts w:hint="eastAsia" w:ascii="宋体" w:hAnsi="宋体" w:eastAsia="宋体" w:cs="宋体"/>
          <w:color w:val="auto"/>
          <w:highlight w:val="none"/>
          <w:lang w:eastAsia="zh-CN"/>
        </w:rPr>
        <w:t>供应商</w:t>
      </w:r>
      <w:r>
        <w:rPr>
          <w:rFonts w:hint="eastAsia" w:ascii="宋体" w:hAnsi="宋体" w:eastAsia="宋体" w:cs="宋体"/>
          <w:color w:val="auto"/>
          <w:highlight w:val="none"/>
        </w:rPr>
        <w:t>自行前往浙江政府采购网下载并安装（下载网址：http://zfcg.czt.zj.gov.cn/bidClientTemplate/2019-09-24/12</w:t>
      </w:r>
      <w:r>
        <w:rPr>
          <w:rFonts w:hint="eastAsia" w:ascii="宋体" w:hAnsi="宋体" w:eastAsia="宋体" w:cs="宋体"/>
          <w:color w:val="auto"/>
          <w:highlight w:val="none"/>
          <w:lang w:eastAsia="zh-CN"/>
        </w:rPr>
        <w:t>187.2461</w:t>
      </w:r>
      <w:r>
        <w:rPr>
          <w:rFonts w:hint="eastAsia" w:ascii="宋体" w:hAnsi="宋体" w:eastAsia="宋体" w:cs="宋体"/>
          <w:color w:val="auto"/>
          <w:highlight w:val="none"/>
        </w:rPr>
        <w:t>5.html）； </w:t>
      </w:r>
      <w:r>
        <w:rPr>
          <w:rFonts w:hint="eastAsia" w:ascii="宋体" w:hAnsi="宋体" w:eastAsia="宋体" w:cs="宋体"/>
          <w:color w:val="auto"/>
          <w:highlight w:val="none"/>
        </w:rPr>
        <w:br w:type="textWrapping"/>
      </w:r>
      <w:r>
        <w:rPr>
          <w:rFonts w:hint="eastAsia" w:ascii="宋体" w:hAnsi="宋体" w:eastAsia="宋体" w:cs="宋体"/>
          <w:color w:val="auto"/>
          <w:highlight w:val="none"/>
        </w:rPr>
        <w:t>4）电子交易具体流程详见操作指南：登录政府采购云平台（https://www.zcygov.cn/），从首页服务中心-帮助文档-项目采购-电子招投标，查看文档和视频； </w:t>
      </w:r>
      <w:r>
        <w:rPr>
          <w:rFonts w:hint="eastAsia" w:ascii="宋体" w:hAnsi="宋体" w:eastAsia="宋体" w:cs="宋体"/>
          <w:color w:val="auto"/>
          <w:highlight w:val="none"/>
        </w:rPr>
        <w:br w:type="textWrapping"/>
      </w:r>
      <w:r>
        <w:rPr>
          <w:rFonts w:hint="eastAsia" w:ascii="宋体" w:hAnsi="宋体" w:eastAsia="宋体" w:cs="宋体"/>
          <w:color w:val="auto"/>
          <w:highlight w:val="none"/>
        </w:rPr>
        <w:t>5）如有疑问，可致电政府采购云平台技术支持热线咨询，联系方式：400-881-7190；</w:t>
      </w:r>
      <w:r>
        <w:rPr>
          <w:rFonts w:hint="eastAsia" w:ascii="宋体" w:hAnsi="宋体" w:eastAsia="宋体" w:cs="宋体"/>
          <w:color w:val="auto"/>
          <w:highlight w:val="none"/>
        </w:rPr>
        <w:br w:type="textWrapping"/>
      </w:r>
      <w:r>
        <w:rPr>
          <w:rFonts w:hint="eastAsia" w:ascii="宋体" w:hAnsi="宋体" w:eastAsia="宋体" w:cs="宋体"/>
          <w:color w:val="auto"/>
          <w:highlight w:val="none"/>
        </w:rPr>
        <w:t>6）开标时间后30分钟内，</w:t>
      </w:r>
      <w:r>
        <w:rPr>
          <w:rFonts w:hint="eastAsia" w:ascii="宋体" w:hAnsi="宋体" w:eastAsia="宋体" w:cs="宋体"/>
          <w:color w:val="auto"/>
          <w:highlight w:val="none"/>
          <w:lang w:eastAsia="zh-CN"/>
        </w:rPr>
        <w:t>供应商</w:t>
      </w:r>
      <w:r>
        <w:rPr>
          <w:rFonts w:hint="eastAsia" w:ascii="宋体" w:hAnsi="宋体" w:eastAsia="宋体" w:cs="宋体"/>
          <w:color w:val="auto"/>
          <w:highlight w:val="none"/>
        </w:rPr>
        <w:t>须登录政府采购云平台，用“项目采购-开标评标”功能解密投标文件（线上）。</w:t>
      </w:r>
      <w:r>
        <w:rPr>
          <w:rFonts w:hint="eastAsia" w:ascii="宋体" w:hAnsi="宋体" w:eastAsia="宋体" w:cs="宋体"/>
          <w:color w:val="auto"/>
          <w:highlight w:val="none"/>
        </w:rPr>
        <w:br w:type="textWrapping"/>
      </w:r>
      <w:r>
        <w:rPr>
          <w:rFonts w:hint="eastAsia" w:ascii="宋体" w:hAnsi="宋体" w:eastAsia="宋体" w:cs="宋体"/>
          <w:color w:val="auto"/>
          <w:highlight w:val="none"/>
        </w:rPr>
        <w:t>7）中标人应在合同签订前完成政府采购云平台（https://www.zcygov.cn/）全部注册步骤并成为正式注册入库供应商，否则将导致合同款无法正常支付，责任由中标人承担。请</w:t>
      </w:r>
      <w:r>
        <w:rPr>
          <w:rFonts w:hint="eastAsia" w:ascii="宋体" w:hAnsi="宋体" w:eastAsia="宋体" w:cs="宋体"/>
          <w:color w:val="auto"/>
          <w:highlight w:val="none"/>
          <w:lang w:eastAsia="zh-CN"/>
        </w:rPr>
        <w:t>供应商</w:t>
      </w:r>
      <w:r>
        <w:rPr>
          <w:rFonts w:hint="eastAsia" w:ascii="宋体" w:hAnsi="宋体" w:eastAsia="宋体" w:cs="宋体"/>
          <w:color w:val="auto"/>
          <w:highlight w:val="none"/>
        </w:rPr>
        <w:t>尽早完成注册。供应商注册页面：https://middle.zcygov.cn/settle-front/#/registry。</w:t>
      </w:r>
    </w:p>
    <w:p w14:paraId="4D3AA1FE">
      <w:pPr>
        <w:pStyle w:val="5"/>
        <w:bidi w:val="0"/>
        <w:rPr>
          <w:rFonts w:hint="eastAsia"/>
          <w:color w:val="auto"/>
          <w:highlight w:val="none"/>
        </w:rPr>
      </w:pPr>
      <w:bookmarkStart w:id="13" w:name="_Toc24455"/>
      <w:bookmarkStart w:id="14" w:name="_Toc24072"/>
      <w:r>
        <w:rPr>
          <w:rFonts w:hint="eastAsia"/>
          <w:color w:val="auto"/>
          <w:highlight w:val="none"/>
          <w:lang w:val="en-US" w:eastAsia="zh-CN"/>
        </w:rPr>
        <w:t>九</w:t>
      </w:r>
      <w:r>
        <w:rPr>
          <w:rFonts w:hint="eastAsia"/>
          <w:color w:val="auto"/>
          <w:highlight w:val="none"/>
        </w:rPr>
        <w:t>、凡对本次招标提出询问、质疑、投诉，请按以下方式联系</w:t>
      </w:r>
      <w:bookmarkEnd w:id="13"/>
      <w:bookmarkEnd w:id="14"/>
    </w:p>
    <w:p w14:paraId="02A5F256">
      <w:pPr>
        <w:pStyle w:val="27"/>
        <w:keepNext w:val="0"/>
        <w:keepLines w:val="0"/>
        <w:pageBreakBefore w:val="0"/>
        <w:widowControl/>
        <w:kinsoku/>
        <w:wordWrap w:val="0"/>
        <w:overflowPunct/>
        <w:topLinePunct w:val="0"/>
        <w:autoSpaceDE/>
        <w:autoSpaceDN/>
        <w:bidi w:val="0"/>
        <w:adjustRightInd/>
        <w:snapToGrid/>
        <w:spacing w:before="0" w:beforeAutospacing="0" w:after="0" w:afterAutospacing="0" w:line="440" w:lineRule="exact"/>
        <w:ind w:firstLine="482" w:firstLineChars="200"/>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1.采购人信息</w:t>
      </w:r>
    </w:p>
    <w:p w14:paraId="227BC403">
      <w:pPr>
        <w:pStyle w:val="27"/>
        <w:keepNext w:val="0"/>
        <w:keepLines w:val="0"/>
        <w:pageBreakBefore w:val="0"/>
        <w:widowControl/>
        <w:kinsoku/>
        <w:wordWrap w:val="0"/>
        <w:overflowPunct/>
        <w:topLinePunct w:val="0"/>
        <w:autoSpaceDE/>
        <w:autoSpaceDN/>
        <w:bidi w:val="0"/>
        <w:adjustRightInd/>
        <w:snapToGrid/>
        <w:spacing w:before="0" w:beforeAutospacing="0" w:after="0" w:afterAutospacing="0" w:line="440" w:lineRule="exact"/>
        <w:ind w:firstLine="48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rPr>
        <w:t>名称：</w:t>
      </w:r>
      <w:r>
        <w:rPr>
          <w:rFonts w:hint="eastAsia" w:ascii="宋体" w:hAnsi="宋体" w:eastAsia="宋体" w:cs="宋体"/>
          <w:color w:val="auto"/>
          <w:highlight w:val="none"/>
          <w:lang w:eastAsia="zh-CN"/>
        </w:rPr>
        <w:t>浙江省金华监狱</w:t>
      </w:r>
    </w:p>
    <w:p w14:paraId="711198D9">
      <w:pPr>
        <w:pStyle w:val="27"/>
        <w:keepNext w:val="0"/>
        <w:keepLines w:val="0"/>
        <w:pageBreakBefore w:val="0"/>
        <w:widowControl/>
        <w:kinsoku/>
        <w:wordWrap w:val="0"/>
        <w:overflowPunct/>
        <w:topLinePunct w:val="0"/>
        <w:autoSpaceDE/>
        <w:autoSpaceDN/>
        <w:bidi w:val="0"/>
        <w:adjustRightInd/>
        <w:snapToGrid/>
        <w:spacing w:before="0" w:beforeAutospacing="0" w:after="0" w:afterAutospacing="0" w:line="440" w:lineRule="exact"/>
        <w:ind w:firstLine="48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rPr>
        <w:t>地址：浙江省金华市婺城区蒋堂镇开化村</w:t>
      </w:r>
    </w:p>
    <w:p w14:paraId="19C7F755">
      <w:pPr>
        <w:pStyle w:val="27"/>
        <w:keepNext w:val="0"/>
        <w:keepLines w:val="0"/>
        <w:pageBreakBefore w:val="0"/>
        <w:widowControl/>
        <w:kinsoku/>
        <w:wordWrap w:val="0"/>
        <w:overflowPunct/>
        <w:topLinePunct w:val="0"/>
        <w:autoSpaceDE/>
        <w:autoSpaceDN/>
        <w:bidi w:val="0"/>
        <w:adjustRightInd/>
        <w:snapToGrid/>
        <w:spacing w:before="0" w:beforeAutospacing="0" w:after="0" w:afterAutospacing="0" w:line="440" w:lineRule="exact"/>
        <w:ind w:firstLine="480" w:firstLineChars="200"/>
        <w:textAlignment w:val="auto"/>
        <w:rPr>
          <w:rFonts w:hint="default" w:ascii="宋体" w:hAnsi="宋体" w:eastAsia="宋体" w:cs="宋体"/>
          <w:color w:val="auto"/>
          <w:highlight w:val="none"/>
          <w:lang w:val="en-US" w:eastAsia="zh-CN"/>
        </w:rPr>
      </w:pPr>
      <w:r>
        <w:rPr>
          <w:rFonts w:hint="eastAsia" w:ascii="宋体" w:hAnsi="宋体" w:eastAsia="宋体" w:cs="宋体"/>
          <w:color w:val="auto"/>
          <w:highlight w:val="none"/>
        </w:rPr>
        <w:t>项目联系人（询问）：</w:t>
      </w:r>
      <w:r>
        <w:rPr>
          <w:rFonts w:hint="eastAsia" w:ascii="宋体" w:hAnsi="宋体" w:eastAsia="宋体" w:cs="宋体"/>
          <w:color w:val="auto"/>
          <w:highlight w:val="none"/>
          <w:lang w:val="en-US" w:eastAsia="zh-CN"/>
        </w:rPr>
        <w:t>应先生</w:t>
      </w:r>
    </w:p>
    <w:p w14:paraId="27F1D695">
      <w:pPr>
        <w:pStyle w:val="27"/>
        <w:keepNext w:val="0"/>
        <w:keepLines w:val="0"/>
        <w:pageBreakBefore w:val="0"/>
        <w:widowControl/>
        <w:kinsoku/>
        <w:wordWrap w:val="0"/>
        <w:overflowPunct/>
        <w:topLinePunct w:val="0"/>
        <w:autoSpaceDE/>
        <w:autoSpaceDN/>
        <w:bidi w:val="0"/>
        <w:adjustRightInd/>
        <w:snapToGrid/>
        <w:spacing w:before="0" w:beforeAutospacing="0" w:after="0" w:afterAutospacing="0" w:line="440" w:lineRule="exact"/>
        <w:ind w:firstLine="48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rPr>
        <w:t>项目联系方式（询问）：</w:t>
      </w:r>
      <w:r>
        <w:rPr>
          <w:rFonts w:hint="eastAsia" w:ascii="宋体" w:hAnsi="宋体" w:eastAsia="宋体" w:cs="宋体"/>
          <w:color w:val="auto"/>
          <w:highlight w:val="none"/>
          <w:lang w:eastAsia="zh-CN"/>
        </w:rPr>
        <w:t>15868971118</w:t>
      </w:r>
    </w:p>
    <w:p w14:paraId="4611F689">
      <w:pPr>
        <w:pStyle w:val="27"/>
        <w:keepNext w:val="0"/>
        <w:keepLines w:val="0"/>
        <w:pageBreakBefore w:val="0"/>
        <w:widowControl/>
        <w:kinsoku/>
        <w:wordWrap w:val="0"/>
        <w:overflowPunct/>
        <w:topLinePunct w:val="0"/>
        <w:autoSpaceDE/>
        <w:autoSpaceDN/>
        <w:bidi w:val="0"/>
        <w:adjustRightInd/>
        <w:snapToGrid/>
        <w:spacing w:before="0" w:beforeAutospacing="0" w:after="0" w:afterAutospacing="0" w:line="440" w:lineRule="exact"/>
        <w:ind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质疑联系人：</w:t>
      </w:r>
      <w:r>
        <w:rPr>
          <w:rFonts w:hint="eastAsia" w:ascii="宋体" w:hAnsi="宋体" w:eastAsia="宋体" w:cs="宋体"/>
          <w:color w:val="auto"/>
          <w:highlight w:val="none"/>
          <w:lang w:val="en-US" w:eastAsia="zh-CN"/>
        </w:rPr>
        <w:t>李先生</w:t>
      </w:r>
    </w:p>
    <w:p w14:paraId="434500E1">
      <w:pPr>
        <w:pStyle w:val="27"/>
        <w:keepNext w:val="0"/>
        <w:keepLines w:val="0"/>
        <w:pageBreakBefore w:val="0"/>
        <w:widowControl/>
        <w:kinsoku/>
        <w:wordWrap w:val="0"/>
        <w:overflowPunct/>
        <w:topLinePunct w:val="0"/>
        <w:autoSpaceDE/>
        <w:autoSpaceDN/>
        <w:bidi w:val="0"/>
        <w:adjustRightInd/>
        <w:snapToGrid/>
        <w:spacing w:before="0" w:beforeAutospacing="0" w:after="0" w:afterAutospacing="0" w:line="440" w:lineRule="exact"/>
        <w:ind w:firstLine="480" w:firstLineChars="200"/>
        <w:textAlignment w:val="auto"/>
        <w:rPr>
          <w:rFonts w:hint="default" w:ascii="宋体" w:hAnsi="宋体" w:eastAsia="宋体" w:cs="宋体"/>
          <w:color w:val="auto"/>
          <w:highlight w:val="none"/>
          <w:lang w:val="en-US" w:eastAsia="zh-CN"/>
        </w:rPr>
      </w:pPr>
      <w:r>
        <w:rPr>
          <w:rFonts w:hint="eastAsia" w:ascii="宋体" w:hAnsi="宋体" w:eastAsia="宋体" w:cs="宋体"/>
          <w:color w:val="auto"/>
          <w:highlight w:val="none"/>
        </w:rPr>
        <w:t>质疑联系方式：0579-82720349</w:t>
      </w:r>
    </w:p>
    <w:p w14:paraId="3B3D7249">
      <w:pPr>
        <w:pStyle w:val="27"/>
        <w:keepNext w:val="0"/>
        <w:keepLines w:val="0"/>
        <w:pageBreakBefore w:val="0"/>
        <w:widowControl/>
        <w:kinsoku/>
        <w:wordWrap w:val="0"/>
        <w:overflowPunct/>
        <w:topLinePunct w:val="0"/>
        <w:autoSpaceDE/>
        <w:autoSpaceDN/>
        <w:bidi w:val="0"/>
        <w:adjustRightInd/>
        <w:snapToGrid/>
        <w:spacing w:before="0" w:beforeAutospacing="0" w:after="0" w:afterAutospacing="0" w:line="440" w:lineRule="exact"/>
        <w:ind w:firstLine="480" w:firstLineChars="200"/>
        <w:textAlignment w:val="auto"/>
        <w:rPr>
          <w:rFonts w:hint="eastAsia" w:ascii="宋体" w:hAnsi="宋体" w:eastAsia="宋体" w:cs="宋体"/>
          <w:color w:val="auto"/>
          <w:highlight w:val="none"/>
        </w:rPr>
      </w:pPr>
    </w:p>
    <w:p w14:paraId="5BA228D1">
      <w:pPr>
        <w:pStyle w:val="27"/>
        <w:keepNext w:val="0"/>
        <w:keepLines w:val="0"/>
        <w:pageBreakBefore w:val="0"/>
        <w:widowControl/>
        <w:kinsoku/>
        <w:wordWrap w:val="0"/>
        <w:overflowPunct/>
        <w:topLinePunct w:val="0"/>
        <w:autoSpaceDE/>
        <w:autoSpaceDN/>
        <w:bidi w:val="0"/>
        <w:adjustRightInd/>
        <w:snapToGrid/>
        <w:spacing w:before="0" w:beforeAutospacing="0" w:after="0" w:afterAutospacing="0" w:line="440" w:lineRule="exact"/>
        <w:ind w:firstLine="482" w:firstLineChars="200"/>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2.采购代理机构信息</w:t>
      </w:r>
    </w:p>
    <w:p w14:paraId="51DB7589">
      <w:pPr>
        <w:pStyle w:val="27"/>
        <w:keepNext w:val="0"/>
        <w:keepLines w:val="0"/>
        <w:pageBreakBefore w:val="0"/>
        <w:widowControl/>
        <w:kinsoku/>
        <w:wordWrap w:val="0"/>
        <w:overflowPunct/>
        <w:topLinePunct w:val="0"/>
        <w:autoSpaceDE/>
        <w:autoSpaceDN/>
        <w:bidi w:val="0"/>
        <w:adjustRightInd/>
        <w:snapToGrid/>
        <w:spacing w:before="0" w:beforeAutospacing="0" w:after="0" w:afterAutospacing="0" w:line="440" w:lineRule="exact"/>
        <w:ind w:firstLine="48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rPr>
        <w:t>名称：</w:t>
      </w:r>
      <w:r>
        <w:rPr>
          <w:rFonts w:hint="eastAsia" w:ascii="宋体" w:hAnsi="宋体" w:eastAsia="宋体" w:cs="宋体"/>
          <w:color w:val="auto"/>
          <w:highlight w:val="none"/>
          <w:lang w:eastAsia="zh-CN"/>
        </w:rPr>
        <w:t>浙江华杰工程咨询有限公司</w:t>
      </w:r>
    </w:p>
    <w:p w14:paraId="3855D280">
      <w:pPr>
        <w:pStyle w:val="27"/>
        <w:keepNext w:val="0"/>
        <w:keepLines w:val="0"/>
        <w:pageBreakBefore w:val="0"/>
        <w:widowControl/>
        <w:kinsoku/>
        <w:wordWrap w:val="0"/>
        <w:overflowPunct/>
        <w:topLinePunct w:val="0"/>
        <w:autoSpaceDE/>
        <w:autoSpaceDN/>
        <w:bidi w:val="0"/>
        <w:adjustRightInd/>
        <w:snapToGrid/>
        <w:spacing w:before="0" w:beforeAutospacing="0" w:after="0" w:afterAutospacing="0" w:line="440" w:lineRule="exact"/>
        <w:ind w:firstLine="48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rPr>
        <w:t>地址：</w:t>
      </w:r>
      <w:r>
        <w:rPr>
          <w:rFonts w:hint="eastAsia" w:ascii="宋体" w:hAnsi="宋体" w:eastAsia="宋体" w:cs="宋体"/>
          <w:color w:val="auto"/>
          <w:highlight w:val="none"/>
          <w:lang w:eastAsia="zh-CN"/>
        </w:rPr>
        <w:t>金华市金东区环城东路1777号11楼</w:t>
      </w:r>
      <w:r>
        <w:rPr>
          <w:rFonts w:hint="eastAsia" w:ascii="宋体" w:hAnsi="宋体" w:eastAsia="宋体" w:cs="宋体"/>
          <w:color w:val="auto"/>
          <w:highlight w:val="none"/>
        </w:rPr>
        <w:t>招标代理部</w:t>
      </w:r>
    </w:p>
    <w:p w14:paraId="7B563271">
      <w:pPr>
        <w:pStyle w:val="27"/>
        <w:keepNext w:val="0"/>
        <w:keepLines w:val="0"/>
        <w:pageBreakBefore w:val="0"/>
        <w:widowControl/>
        <w:kinsoku/>
        <w:wordWrap w:val="0"/>
        <w:overflowPunct/>
        <w:topLinePunct w:val="0"/>
        <w:autoSpaceDE/>
        <w:autoSpaceDN/>
        <w:bidi w:val="0"/>
        <w:adjustRightInd/>
        <w:snapToGrid/>
        <w:spacing w:before="0" w:beforeAutospacing="0" w:after="0" w:afterAutospacing="0" w:line="440" w:lineRule="exact"/>
        <w:ind w:firstLine="48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rPr>
        <w:t>项目联系人（询问）：</w:t>
      </w:r>
      <w:r>
        <w:rPr>
          <w:rFonts w:hint="eastAsia" w:ascii="宋体" w:hAnsi="宋体" w:eastAsia="宋体" w:cs="宋体"/>
          <w:color w:val="auto"/>
          <w:highlight w:val="none"/>
          <w:lang w:val="en-US" w:eastAsia="zh-CN"/>
        </w:rPr>
        <w:t>祝浩亮</w:t>
      </w:r>
    </w:p>
    <w:p w14:paraId="04A16B86">
      <w:pPr>
        <w:pStyle w:val="27"/>
        <w:keepNext w:val="0"/>
        <w:keepLines w:val="0"/>
        <w:pageBreakBefore w:val="0"/>
        <w:widowControl/>
        <w:kinsoku/>
        <w:wordWrap w:val="0"/>
        <w:overflowPunct/>
        <w:topLinePunct w:val="0"/>
        <w:autoSpaceDE/>
        <w:autoSpaceDN/>
        <w:bidi w:val="0"/>
        <w:adjustRightInd/>
        <w:snapToGrid/>
        <w:spacing w:before="0" w:beforeAutospacing="0" w:after="0" w:afterAutospacing="0" w:line="440" w:lineRule="exact"/>
        <w:ind w:firstLine="48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rPr>
        <w:t>项目联系方式（询问）：</w:t>
      </w:r>
      <w:r>
        <w:rPr>
          <w:rFonts w:hint="eastAsia" w:ascii="宋体" w:hAnsi="宋体" w:eastAsia="宋体" w:cs="宋体"/>
          <w:color w:val="auto"/>
          <w:highlight w:val="none"/>
          <w:lang w:eastAsia="zh-CN"/>
        </w:rPr>
        <w:t>15669561362</w:t>
      </w:r>
    </w:p>
    <w:p w14:paraId="1EE4D4DE">
      <w:pPr>
        <w:pStyle w:val="27"/>
        <w:keepNext w:val="0"/>
        <w:keepLines w:val="0"/>
        <w:pageBreakBefore w:val="0"/>
        <w:widowControl/>
        <w:kinsoku/>
        <w:wordWrap w:val="0"/>
        <w:overflowPunct/>
        <w:topLinePunct w:val="0"/>
        <w:autoSpaceDE/>
        <w:autoSpaceDN/>
        <w:bidi w:val="0"/>
        <w:adjustRightInd/>
        <w:snapToGrid/>
        <w:spacing w:before="0" w:beforeAutospacing="0" w:after="0" w:afterAutospacing="0" w:line="440" w:lineRule="exact"/>
        <w:ind w:firstLine="48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rPr>
        <w:t>质疑联系人：</w:t>
      </w:r>
      <w:r>
        <w:rPr>
          <w:rFonts w:hint="eastAsia" w:ascii="宋体" w:hAnsi="宋体" w:eastAsia="宋体" w:cs="宋体"/>
          <w:color w:val="auto"/>
          <w:highlight w:val="none"/>
          <w:lang w:val="en-US" w:eastAsia="zh-CN"/>
        </w:rPr>
        <w:t>张小弟</w:t>
      </w:r>
    </w:p>
    <w:p w14:paraId="5D32B1D0">
      <w:pPr>
        <w:pStyle w:val="27"/>
        <w:keepNext w:val="0"/>
        <w:keepLines w:val="0"/>
        <w:pageBreakBefore w:val="0"/>
        <w:widowControl/>
        <w:kinsoku/>
        <w:wordWrap w:val="0"/>
        <w:overflowPunct/>
        <w:topLinePunct w:val="0"/>
        <w:autoSpaceDE/>
        <w:autoSpaceDN/>
        <w:bidi w:val="0"/>
        <w:adjustRightInd/>
        <w:snapToGrid/>
        <w:spacing w:before="0" w:beforeAutospacing="0" w:after="0" w:afterAutospacing="0" w:line="440" w:lineRule="exact"/>
        <w:ind w:firstLine="48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rPr>
        <w:t>质疑联系方式：</w:t>
      </w:r>
      <w:r>
        <w:rPr>
          <w:rFonts w:hint="eastAsia" w:ascii="宋体" w:hAnsi="宋体" w:eastAsia="宋体" w:cs="宋体"/>
          <w:color w:val="auto"/>
          <w:highlight w:val="none"/>
          <w:lang w:eastAsia="zh-CN"/>
        </w:rPr>
        <w:t>0579-82411460</w:t>
      </w:r>
    </w:p>
    <w:p w14:paraId="38681837">
      <w:pPr>
        <w:pStyle w:val="27"/>
        <w:keepNext w:val="0"/>
        <w:keepLines w:val="0"/>
        <w:pageBreakBefore w:val="0"/>
        <w:widowControl/>
        <w:kinsoku/>
        <w:wordWrap w:val="0"/>
        <w:overflowPunct/>
        <w:topLinePunct w:val="0"/>
        <w:autoSpaceDE/>
        <w:autoSpaceDN/>
        <w:bidi w:val="0"/>
        <w:adjustRightInd/>
        <w:snapToGrid/>
        <w:spacing w:before="0" w:beforeAutospacing="0" w:after="0" w:afterAutospacing="0" w:line="440" w:lineRule="exact"/>
        <w:ind w:firstLine="480" w:firstLineChars="200"/>
        <w:textAlignment w:val="auto"/>
        <w:rPr>
          <w:rFonts w:hint="eastAsia" w:ascii="宋体" w:hAnsi="宋体" w:eastAsia="宋体" w:cs="宋体"/>
          <w:color w:val="auto"/>
          <w:highlight w:val="none"/>
          <w:lang w:eastAsia="zh-CN"/>
        </w:rPr>
      </w:pPr>
    </w:p>
    <w:p w14:paraId="3E4072FC">
      <w:pPr>
        <w:pStyle w:val="27"/>
        <w:keepNext w:val="0"/>
        <w:keepLines w:val="0"/>
        <w:pageBreakBefore w:val="0"/>
        <w:widowControl/>
        <w:kinsoku/>
        <w:wordWrap w:val="0"/>
        <w:overflowPunct/>
        <w:topLinePunct w:val="0"/>
        <w:autoSpaceDE/>
        <w:autoSpaceDN/>
        <w:bidi w:val="0"/>
        <w:adjustRightInd/>
        <w:snapToGrid/>
        <w:spacing w:before="0" w:beforeAutospacing="0" w:after="0" w:afterAutospacing="0" w:line="440" w:lineRule="exact"/>
        <w:ind w:firstLine="482" w:firstLineChars="200"/>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lang w:val="en-US" w:eastAsia="zh-CN"/>
        </w:rPr>
        <w:t>3.</w:t>
      </w:r>
      <w:r>
        <w:rPr>
          <w:rFonts w:hint="eastAsia" w:ascii="宋体" w:hAnsi="宋体" w:eastAsia="宋体" w:cs="宋体"/>
          <w:b/>
          <w:bCs/>
          <w:color w:val="auto"/>
          <w:highlight w:val="none"/>
        </w:rPr>
        <w:t>同级政府采购监督管理部门</w:t>
      </w:r>
    </w:p>
    <w:p w14:paraId="39D82D28">
      <w:pPr>
        <w:pStyle w:val="27"/>
        <w:keepNext w:val="0"/>
        <w:keepLines w:val="0"/>
        <w:pageBreakBefore w:val="0"/>
        <w:widowControl/>
        <w:kinsoku/>
        <w:wordWrap w:val="0"/>
        <w:overflowPunct/>
        <w:topLinePunct w:val="0"/>
        <w:autoSpaceDE/>
        <w:autoSpaceDN/>
        <w:bidi w:val="0"/>
        <w:adjustRightInd/>
        <w:snapToGrid/>
        <w:spacing w:before="0" w:beforeAutospacing="0" w:after="0" w:afterAutospacing="0" w:line="440" w:lineRule="exact"/>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名称：浙江省财政厅政府采购监管处、浙江省政府采购行政裁决服务中心（杭州）</w:t>
      </w:r>
    </w:p>
    <w:p w14:paraId="702AFA2F">
      <w:pPr>
        <w:pStyle w:val="27"/>
        <w:keepNext w:val="0"/>
        <w:keepLines w:val="0"/>
        <w:pageBreakBefore w:val="0"/>
        <w:widowControl/>
        <w:kinsoku/>
        <w:wordWrap w:val="0"/>
        <w:overflowPunct/>
        <w:topLinePunct w:val="0"/>
        <w:autoSpaceDE/>
        <w:autoSpaceDN/>
        <w:bidi w:val="0"/>
        <w:adjustRightInd/>
        <w:snapToGrid/>
        <w:spacing w:before="0" w:beforeAutospacing="0" w:after="0" w:afterAutospacing="0" w:line="440" w:lineRule="exact"/>
        <w:ind w:firstLine="48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rPr>
        <w:t>地址：</w:t>
      </w:r>
      <w:r>
        <w:rPr>
          <w:rFonts w:hint="eastAsia" w:ascii="宋体" w:hAnsi="宋体" w:eastAsia="宋体" w:cs="宋体"/>
          <w:color w:val="auto"/>
          <w:highlight w:val="none"/>
          <w:lang w:eastAsia="zh-CN"/>
        </w:rPr>
        <w:t>杭州市上城区四季青街道新业路市民之家G03办公室</w:t>
      </w:r>
    </w:p>
    <w:p w14:paraId="1DF5EF16">
      <w:pPr>
        <w:pStyle w:val="27"/>
        <w:keepNext w:val="0"/>
        <w:keepLines w:val="0"/>
        <w:pageBreakBefore w:val="0"/>
        <w:widowControl/>
        <w:kinsoku/>
        <w:wordWrap w:val="0"/>
        <w:overflowPunct/>
        <w:topLinePunct w:val="0"/>
        <w:autoSpaceDE/>
        <w:autoSpaceDN/>
        <w:bidi w:val="0"/>
        <w:adjustRightInd/>
        <w:snapToGrid/>
        <w:spacing w:before="0" w:beforeAutospacing="0" w:after="0" w:afterAutospacing="0" w:line="440" w:lineRule="exact"/>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传真：/</w:t>
      </w:r>
    </w:p>
    <w:p w14:paraId="3BCDFE69">
      <w:pPr>
        <w:pStyle w:val="27"/>
        <w:keepNext w:val="0"/>
        <w:keepLines w:val="0"/>
        <w:pageBreakBefore w:val="0"/>
        <w:widowControl/>
        <w:kinsoku/>
        <w:wordWrap w:val="0"/>
        <w:overflowPunct/>
        <w:topLinePunct w:val="0"/>
        <w:autoSpaceDE/>
        <w:autoSpaceDN/>
        <w:bidi w:val="0"/>
        <w:adjustRightInd/>
        <w:snapToGrid/>
        <w:spacing w:before="0" w:beforeAutospacing="0" w:after="0" w:afterAutospacing="0" w:line="440" w:lineRule="exact"/>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联系人：朱女士、王女士</w:t>
      </w:r>
    </w:p>
    <w:p w14:paraId="28E155BB">
      <w:pPr>
        <w:pStyle w:val="27"/>
        <w:keepNext w:val="0"/>
        <w:keepLines w:val="0"/>
        <w:pageBreakBefore w:val="0"/>
        <w:widowControl/>
        <w:kinsoku/>
        <w:wordWrap w:val="0"/>
        <w:overflowPunct/>
        <w:topLinePunct w:val="0"/>
        <w:autoSpaceDE/>
        <w:autoSpaceDN/>
        <w:bidi w:val="0"/>
        <w:adjustRightInd/>
        <w:snapToGrid/>
        <w:spacing w:before="0" w:beforeAutospacing="0" w:after="0" w:afterAutospacing="0" w:line="440" w:lineRule="exact"/>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监督投诉电话：0571-85252453</w:t>
      </w:r>
    </w:p>
    <w:p w14:paraId="3BD1D028">
      <w:pPr>
        <w:pStyle w:val="27"/>
        <w:keepNext w:val="0"/>
        <w:keepLines w:val="0"/>
        <w:pageBreakBefore w:val="0"/>
        <w:widowControl/>
        <w:kinsoku/>
        <w:wordWrap w:val="0"/>
        <w:overflowPunct/>
        <w:topLinePunct w:val="0"/>
        <w:autoSpaceDE/>
        <w:autoSpaceDN/>
        <w:bidi w:val="0"/>
        <w:adjustRightInd/>
        <w:snapToGrid/>
        <w:spacing w:before="0" w:beforeAutospacing="0" w:after="0" w:afterAutospacing="0" w:line="440" w:lineRule="exact"/>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政策咨询：何一平、冯华，0571-87058424、87055741</w:t>
      </w:r>
    </w:p>
    <w:p w14:paraId="4878D698">
      <w:pPr>
        <w:pStyle w:val="27"/>
        <w:keepNext w:val="0"/>
        <w:keepLines w:val="0"/>
        <w:pageBreakBefore w:val="0"/>
        <w:widowControl/>
        <w:kinsoku/>
        <w:wordWrap w:val="0"/>
        <w:overflowPunct/>
        <w:topLinePunct w:val="0"/>
        <w:autoSpaceDE/>
        <w:autoSpaceDN/>
        <w:bidi w:val="0"/>
        <w:adjustRightInd/>
        <w:snapToGrid/>
        <w:spacing w:before="0" w:beforeAutospacing="0" w:after="0" w:afterAutospacing="0" w:line="440" w:lineRule="exact"/>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预算金额未达100万元的采购项目，由采购人处理采购争议。</w:t>
      </w:r>
    </w:p>
    <w:p w14:paraId="51FB99F1">
      <w:pPr>
        <w:pStyle w:val="30"/>
        <w:ind w:left="0" w:leftChars="0" w:firstLine="0"/>
        <w:rPr>
          <w:rFonts w:hint="eastAsia" w:ascii="宋体" w:hAnsi="宋体" w:eastAsia="宋体" w:cs="宋体"/>
          <w:color w:val="auto"/>
          <w:highlight w:val="none"/>
        </w:rPr>
      </w:pPr>
    </w:p>
    <w:p w14:paraId="3BFA78E9">
      <w:pPr>
        <w:pStyle w:val="5"/>
        <w:pageBreakBefore w:val="0"/>
        <w:widowControl/>
        <w:kinsoku/>
        <w:wordWrap/>
        <w:overflowPunct/>
        <w:topLinePunct w:val="0"/>
        <w:autoSpaceDE/>
        <w:autoSpaceDN/>
        <w:bidi w:val="0"/>
        <w:adjustRightInd/>
        <w:spacing w:line="360" w:lineRule="auto"/>
        <w:textAlignment w:val="auto"/>
        <w:rPr>
          <w:rFonts w:hint="default" w:cs="Times New Roman"/>
          <w:color w:val="auto"/>
          <w:highlight w:val="none"/>
          <w:lang w:val="en-US" w:eastAsia="zh-CN"/>
        </w:rPr>
      </w:pPr>
      <w:bookmarkStart w:id="15" w:name="_Toc1033"/>
      <w:bookmarkStart w:id="16" w:name="_Toc23554"/>
      <w:r>
        <w:rPr>
          <w:rFonts w:hint="eastAsia" w:cs="Times New Roman"/>
          <w:color w:val="auto"/>
          <w:highlight w:val="none"/>
          <w:lang w:val="en-US" w:eastAsia="zh-CN"/>
        </w:rPr>
        <w:t>十、其他</w:t>
      </w:r>
      <w:bookmarkEnd w:id="15"/>
      <w:bookmarkEnd w:id="16"/>
    </w:p>
    <w:p w14:paraId="2D380A8E">
      <w:pPr>
        <w:pStyle w:val="27"/>
        <w:pageBreakBefore w:val="0"/>
        <w:widowControl/>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rPr>
        <w:t>若对项目采购电子交易系统操作有疑问，可登录政采云（https://www.zcygov.cn/），点击右侧咨询小采，获取采小蜜智能服务管家帮助，或拨打政采云服务热线400-881-7190获取热线服务帮助。</w:t>
      </w:r>
    </w:p>
    <w:p w14:paraId="4F912A3E">
      <w:pPr>
        <w:pStyle w:val="27"/>
        <w:pageBreakBefore w:val="0"/>
        <w:widowControl/>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CA问题联系电话（人工）：汇信CA400-888-4636；天谷CA400-087-8198。</w:t>
      </w:r>
    </w:p>
    <w:p w14:paraId="17162905">
      <w:pPr>
        <w:pStyle w:val="27"/>
        <w:pageBreakBefore w:val="0"/>
        <w:widowControl/>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为确保采购活动的公开、公平、公正，切实维护各方合法权益，凡在采购、评审过程中，受到敲诈、勒索或发现围标串标、虚假响应、恶意竞标等涉黑涉恶线索者，请及时保留相关证据并向有关部门举报。</w:t>
      </w:r>
    </w:p>
    <w:p w14:paraId="77463388">
      <w:pPr>
        <w:rPr>
          <w:rFonts w:hint="eastAsia" w:ascii="宋体" w:hAnsi="宋体" w:eastAsia="宋体" w:cs="宋体"/>
          <w:color w:val="auto"/>
          <w:sz w:val="28"/>
          <w:szCs w:val="36"/>
          <w:highlight w:val="none"/>
        </w:rPr>
      </w:pPr>
      <w:bookmarkStart w:id="17" w:name="_Toc10770"/>
      <w:r>
        <w:rPr>
          <w:rFonts w:hint="eastAsia" w:ascii="宋体" w:hAnsi="宋体" w:eastAsia="宋体" w:cs="宋体"/>
          <w:color w:val="auto"/>
          <w:sz w:val="28"/>
          <w:szCs w:val="36"/>
          <w:highlight w:val="none"/>
        </w:rPr>
        <w:br w:type="page"/>
      </w:r>
    </w:p>
    <w:p w14:paraId="059475E3">
      <w:pPr>
        <w:pStyle w:val="4"/>
        <w:numPr>
          <w:ilvl w:val="0"/>
          <w:numId w:val="1"/>
        </w:numPr>
        <w:bidi w:val="0"/>
        <w:rPr>
          <w:rFonts w:hint="eastAsia"/>
          <w:color w:val="auto"/>
          <w:highlight w:val="none"/>
          <w:lang w:val="en-US" w:eastAsia="zh-CN"/>
        </w:rPr>
      </w:pPr>
      <w:r>
        <w:rPr>
          <w:rFonts w:hint="eastAsia"/>
          <w:color w:val="auto"/>
          <w:highlight w:val="none"/>
          <w:lang w:val="en-US" w:eastAsia="zh-CN"/>
        </w:rPr>
        <w:t xml:space="preserve"> </w:t>
      </w:r>
      <w:bookmarkStart w:id="18" w:name="_Toc17571"/>
      <w:r>
        <w:rPr>
          <w:rFonts w:hint="eastAsia"/>
          <w:color w:val="auto"/>
          <w:highlight w:val="none"/>
          <w:lang w:val="en-US" w:eastAsia="zh-CN"/>
        </w:rPr>
        <w:t>采购需求及要求</w:t>
      </w:r>
      <w:bookmarkEnd w:id="18"/>
    </w:p>
    <w:p w14:paraId="5D6C9271">
      <w:pPr>
        <w:pStyle w:val="27"/>
        <w:pageBreakBefore w:val="0"/>
        <w:widowControl/>
        <w:kinsoku/>
        <w:wordWrap/>
        <w:overflowPunct/>
        <w:topLinePunct w:val="0"/>
        <w:autoSpaceDE/>
        <w:autoSpaceDN/>
        <w:bidi w:val="0"/>
        <w:adjustRightInd/>
        <w:snapToGrid w:val="0"/>
        <w:spacing w:before="0" w:beforeAutospacing="0" w:after="0" w:afterAutospacing="0" w:line="360" w:lineRule="auto"/>
        <w:ind w:firstLine="482" w:firstLineChars="200"/>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一、采购需求：</w:t>
      </w:r>
    </w:p>
    <w:p w14:paraId="42E34F65">
      <w:pPr>
        <w:pStyle w:val="27"/>
        <w:pageBreakBefore w:val="0"/>
        <w:widowControl/>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default" w:ascii="宋体" w:hAnsi="宋体" w:eastAsia="宋体" w:cs="宋体"/>
          <w:color w:val="auto"/>
          <w:highlight w:val="none"/>
          <w:shd w:val="clear" w:color="auto" w:fill="FFFFFF"/>
          <w:lang w:val="en-US" w:eastAsia="zh-CN"/>
        </w:rPr>
      </w:pPr>
      <w:r>
        <w:rPr>
          <w:rFonts w:hint="eastAsia" w:ascii="宋体" w:hAnsi="宋体" w:eastAsia="宋体" w:cs="宋体"/>
          <w:color w:val="auto"/>
          <w:highlight w:val="none"/>
          <w:shd w:val="clear" w:color="auto" w:fill="FFFFFF"/>
          <w:lang w:eastAsia="zh-CN"/>
        </w:rPr>
        <w:t>为</w:t>
      </w:r>
      <w:r>
        <w:rPr>
          <w:rFonts w:hint="eastAsia" w:ascii="宋体" w:hAnsi="宋体" w:eastAsia="宋体" w:cs="宋体"/>
          <w:color w:val="auto"/>
          <w:highlight w:val="none"/>
          <w:shd w:val="clear" w:color="auto" w:fill="FFFFFF"/>
          <w:lang w:val="en-US" w:eastAsia="zh-CN"/>
        </w:rPr>
        <w:t>项目建设需要，需对东关押点操场进行维修工程。</w:t>
      </w:r>
    </w:p>
    <w:p w14:paraId="69367C01">
      <w:pPr>
        <w:pStyle w:val="27"/>
        <w:pageBreakBefore w:val="0"/>
        <w:widowControl/>
        <w:kinsoku/>
        <w:wordWrap/>
        <w:overflowPunct/>
        <w:topLinePunct w:val="0"/>
        <w:autoSpaceDE/>
        <w:autoSpaceDN/>
        <w:bidi w:val="0"/>
        <w:adjustRightInd/>
        <w:snapToGrid w:val="0"/>
        <w:spacing w:before="0" w:beforeAutospacing="0" w:after="0" w:afterAutospacing="0" w:line="360" w:lineRule="auto"/>
        <w:ind w:firstLine="482" w:firstLineChars="200"/>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二、技术规范及要求</w:t>
      </w:r>
    </w:p>
    <w:p w14:paraId="684F22CA">
      <w:pPr>
        <w:pStyle w:val="27"/>
        <w:pageBreakBefore w:val="0"/>
        <w:widowControl/>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1、在工程施工中所有的材料、设备和施工质量均应符合下列技术规范的要求：</w:t>
      </w:r>
    </w:p>
    <w:p w14:paraId="77B63D93">
      <w:pPr>
        <w:pStyle w:val="27"/>
        <w:pageBreakBefore w:val="0"/>
        <w:widowControl/>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(1)国家现行的设计规范；</w:t>
      </w:r>
    </w:p>
    <w:p w14:paraId="56B612E7">
      <w:pPr>
        <w:pStyle w:val="27"/>
        <w:pageBreakBefore w:val="0"/>
        <w:widowControl/>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(2)国家现行的施工规范；</w:t>
      </w:r>
    </w:p>
    <w:p w14:paraId="71453249">
      <w:pPr>
        <w:pStyle w:val="27"/>
        <w:pageBreakBefore w:val="0"/>
        <w:widowControl/>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(3)国家现行的质量验收合格规范和评定标准；</w:t>
      </w:r>
    </w:p>
    <w:p w14:paraId="62AEC000">
      <w:pPr>
        <w:pStyle w:val="27"/>
        <w:pageBreakBefore w:val="0"/>
        <w:widowControl/>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(4)国家及地方现行的施工验收合格及施工安全技术规范；</w:t>
      </w:r>
    </w:p>
    <w:p w14:paraId="70939E70">
      <w:pPr>
        <w:pStyle w:val="27"/>
        <w:pageBreakBefore w:val="0"/>
        <w:widowControl/>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(5)其他：与本项目相关的现行工程技术规范和标准；</w:t>
      </w:r>
    </w:p>
    <w:p w14:paraId="2A9898A9">
      <w:pPr>
        <w:pStyle w:val="27"/>
        <w:pageBreakBefore w:val="0"/>
        <w:widowControl/>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2、施工必须达到现行国家、省、市、行业的一切有关法规、规范的要求，如上述标准及规范要求有出入则以较严格者为准。</w:t>
      </w:r>
    </w:p>
    <w:p w14:paraId="4E5E5372">
      <w:pPr>
        <w:pStyle w:val="27"/>
        <w:pageBreakBefore w:val="0"/>
        <w:widowControl/>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3、规范和标准的获得由供应商自行解决。</w:t>
      </w:r>
    </w:p>
    <w:p w14:paraId="33D4155F">
      <w:pPr>
        <w:pStyle w:val="27"/>
        <w:pageBreakBefore w:val="0"/>
        <w:widowControl/>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Theme="minorEastAsia" w:hAnsiTheme="minorEastAsia" w:eastAsiaTheme="minorEastAsia" w:cstheme="minorEastAsia"/>
          <w:b w:val="0"/>
          <w:bCs w:val="0"/>
          <w:color w:val="auto"/>
          <w:sz w:val="32"/>
          <w:szCs w:val="32"/>
          <w:highlight w:val="none"/>
          <w:lang w:val="en-US" w:eastAsia="zh-CN"/>
        </w:rPr>
      </w:pPr>
      <w:r>
        <w:rPr>
          <w:rFonts w:hint="eastAsia" w:ascii="宋体" w:hAnsi="宋体" w:eastAsia="宋体" w:cs="宋体"/>
          <w:color w:val="auto"/>
          <w:highlight w:val="none"/>
          <w:lang w:val="en-US" w:eastAsia="zh-CN"/>
        </w:rPr>
        <w:t>4、在合同履行期间，若上述标准或规范若有修改或重新颁布，承包人应自觉严格遵守执行。</w:t>
      </w:r>
    </w:p>
    <w:p w14:paraId="19D44D03">
      <w:pPr>
        <w:pStyle w:val="27"/>
        <w:pageBreakBefore w:val="0"/>
        <w:widowControl/>
        <w:kinsoku/>
        <w:wordWrap/>
        <w:overflowPunct/>
        <w:topLinePunct w:val="0"/>
        <w:autoSpaceDE/>
        <w:autoSpaceDN/>
        <w:bidi w:val="0"/>
        <w:adjustRightInd/>
        <w:snapToGrid w:val="0"/>
        <w:spacing w:before="0" w:beforeAutospacing="0" w:after="0" w:afterAutospacing="0" w:line="360" w:lineRule="auto"/>
        <w:ind w:firstLine="482" w:firstLineChars="200"/>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三、服务期限</w:t>
      </w:r>
    </w:p>
    <w:p w14:paraId="7E1017F1">
      <w:pPr>
        <w:pStyle w:val="27"/>
        <w:pageBreakBefore w:val="0"/>
        <w:widowControl/>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default" w:ascii="宋体" w:hAnsi="宋体" w:eastAsia="宋体" w:cs="宋体"/>
          <w:b w:val="0"/>
          <w:bCs w:val="0"/>
          <w:color w:val="auto"/>
          <w:highlight w:val="none"/>
          <w:lang w:val="en-US" w:eastAsia="zh-CN"/>
        </w:rPr>
      </w:pPr>
      <w:r>
        <w:rPr>
          <w:rFonts w:hint="eastAsia" w:ascii="宋体" w:hAnsi="宋体" w:eastAsia="宋体" w:cs="宋体"/>
          <w:color w:val="auto"/>
          <w:highlight w:val="none"/>
          <w:lang w:val="en-US" w:eastAsia="zh-CN"/>
        </w:rPr>
        <w:t>自合同签订之日起95个日历天内完成所有工程项目</w:t>
      </w:r>
    </w:p>
    <w:p w14:paraId="3195341C">
      <w:pPr>
        <w:pStyle w:val="27"/>
        <w:pageBreakBefore w:val="0"/>
        <w:widowControl/>
        <w:kinsoku/>
        <w:wordWrap/>
        <w:overflowPunct/>
        <w:topLinePunct w:val="0"/>
        <w:autoSpaceDE/>
        <w:autoSpaceDN/>
        <w:bidi w:val="0"/>
        <w:adjustRightInd/>
        <w:snapToGrid w:val="0"/>
        <w:spacing w:before="0" w:beforeAutospacing="0" w:after="0" w:afterAutospacing="0" w:line="360" w:lineRule="auto"/>
        <w:ind w:firstLine="482" w:firstLineChars="200"/>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四、付款方式：</w:t>
      </w:r>
    </w:p>
    <w:p w14:paraId="44DF6DC5">
      <w:pPr>
        <w:pStyle w:val="27"/>
        <w:pageBreakBefore w:val="0"/>
        <w:widowControl/>
        <w:kinsoku/>
        <w:wordWrap/>
        <w:overflowPunct/>
        <w:topLinePunct w:val="0"/>
        <w:autoSpaceDE/>
        <w:autoSpaceDN/>
        <w:bidi w:val="0"/>
        <w:adjustRightInd/>
        <w:snapToGrid w:val="0"/>
        <w:spacing w:before="0" w:beforeAutospacing="0" w:after="0" w:afterAutospacing="0" w:line="360" w:lineRule="auto"/>
        <w:ind w:firstLine="480" w:firstLineChars="200"/>
        <w:textAlignment w:val="auto"/>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auto"/>
          <w:highlight w:val="none"/>
          <w:lang w:val="en-US" w:eastAsia="zh-CN"/>
        </w:rPr>
        <w:t>详见合同条款</w:t>
      </w:r>
    </w:p>
    <w:p w14:paraId="578E9C2F">
      <w:pPr>
        <w:pStyle w:val="27"/>
        <w:pageBreakBefore w:val="0"/>
        <w:widowControl/>
        <w:kinsoku/>
        <w:wordWrap/>
        <w:overflowPunct/>
        <w:topLinePunct w:val="0"/>
        <w:autoSpaceDE/>
        <w:autoSpaceDN/>
        <w:bidi w:val="0"/>
        <w:adjustRightInd/>
        <w:snapToGrid w:val="0"/>
        <w:spacing w:before="0" w:beforeAutospacing="0" w:after="0" w:afterAutospacing="0" w:line="360" w:lineRule="auto"/>
        <w:ind w:firstLine="482" w:firstLineChars="200"/>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 xml:space="preserve">五、注意事项： </w:t>
      </w:r>
    </w:p>
    <w:p w14:paraId="1BA85C3E">
      <w:pPr>
        <w:spacing w:line="440" w:lineRule="exact"/>
        <w:ind w:firstLine="480" w:firstLineChars="200"/>
        <w:rPr>
          <w:rFonts w:hint="eastAsia" w:ascii="宋体" w:hAnsi="宋体" w:eastAsia="宋体" w:cs="宋体"/>
          <w:color w:val="auto"/>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因监狱施工的特殊性，</w:t>
      </w:r>
      <w:r>
        <w:rPr>
          <w:rFonts w:hint="eastAsia" w:ascii="宋体" w:hAnsi="宋体" w:eastAsia="宋体" w:cs="宋体"/>
          <w:b/>
          <w:bCs/>
          <w:color w:val="auto"/>
          <w:sz w:val="24"/>
          <w:szCs w:val="24"/>
          <w:highlight w:val="none"/>
          <w:lang w:val="en-US" w:eastAsia="zh-CN"/>
        </w:rPr>
        <w:t>供应商拟派项目负责人及拟派现场施工人员须为男性并提供承诺书（格式详见附件）</w:t>
      </w:r>
      <w:r>
        <w:rPr>
          <w:rFonts w:hint="eastAsia" w:ascii="宋体" w:hAnsi="宋体" w:eastAsia="宋体" w:cs="宋体"/>
          <w:b w:val="0"/>
          <w:bCs w:val="0"/>
          <w:color w:val="auto"/>
          <w:sz w:val="24"/>
          <w:szCs w:val="24"/>
          <w:highlight w:val="none"/>
          <w:lang w:val="en-US" w:eastAsia="zh-CN"/>
        </w:rPr>
        <w:t>，中标人必须按照采购人内部管理要求施工，施工区域为封闭区域，工作人员需遵守采购人各项管理规定。相关机械、人员、工具进场须由相关人员审批</w:t>
      </w:r>
      <w:r>
        <w:rPr>
          <w:rFonts w:hint="eastAsia" w:asciiTheme="minorEastAsia" w:hAnsiTheme="minorEastAsia" w:eastAsiaTheme="minorEastAsia" w:cstheme="minorEastAsia"/>
          <w:b w:val="0"/>
          <w:bCs w:val="0"/>
          <w:color w:val="auto"/>
          <w:sz w:val="24"/>
          <w:szCs w:val="24"/>
          <w:highlight w:val="none"/>
          <w:lang w:val="en-US" w:eastAsia="zh-CN"/>
        </w:rPr>
        <w:br w:type="page"/>
      </w:r>
    </w:p>
    <w:p w14:paraId="0E026FB2">
      <w:pPr>
        <w:spacing w:line="276" w:lineRule="auto"/>
        <w:jc w:val="center"/>
        <w:rPr>
          <w:rFonts w:ascii="仿宋" w:hAnsi="仿宋" w:eastAsia="仿宋"/>
          <w:sz w:val="28"/>
          <w:szCs w:val="28"/>
        </w:rPr>
      </w:pPr>
      <w:bookmarkStart w:id="19" w:name="_Toc15461"/>
      <w:r>
        <w:rPr>
          <w:rFonts w:hint="eastAsia" w:ascii="宋体" w:hAnsi="宋体"/>
          <w:b/>
          <w:color w:val="auto"/>
          <w:sz w:val="44"/>
          <w:szCs w:val="44"/>
          <w:highlight w:val="none"/>
        </w:rPr>
        <w:t>采购控制价编制说明</w:t>
      </w:r>
    </w:p>
    <w:p w14:paraId="45D798E3">
      <w:pPr>
        <w:keepNext w:val="0"/>
        <w:keepLines w:val="0"/>
        <w:pageBreakBefore w:val="0"/>
        <w:widowControl w:val="0"/>
        <w:kinsoku/>
        <w:wordWrap/>
        <w:overflowPunct/>
        <w:topLinePunct w:val="0"/>
        <w:autoSpaceDE w:val="0"/>
        <w:autoSpaceDN w:val="0"/>
        <w:bidi w:val="0"/>
        <w:adjustRightInd w:val="0"/>
        <w:snapToGrid/>
        <w:spacing w:line="520" w:lineRule="exact"/>
        <w:ind w:left="-181" w:right="33" w:firstLine="193"/>
        <w:jc w:val="left"/>
        <w:textAlignment w:val="auto"/>
        <w:rPr>
          <w:rFonts w:eastAsia="仿宋"/>
          <w:b/>
          <w:bCs/>
          <w:sz w:val="30"/>
          <w:szCs w:val="30"/>
        </w:rPr>
      </w:pPr>
      <w:r>
        <w:rPr>
          <w:rFonts w:hint="eastAsia" w:ascii="仿宋" w:eastAsia="仿宋" w:cs="仿宋"/>
          <w:b/>
          <w:bCs/>
          <w:sz w:val="30"/>
          <w:szCs w:val="30"/>
          <w:lang w:val="zh-CN"/>
        </w:rPr>
        <w:t>一、工程概况</w:t>
      </w:r>
    </w:p>
    <w:p w14:paraId="3D82608E">
      <w:pPr>
        <w:keepNext w:val="0"/>
        <w:keepLines w:val="0"/>
        <w:pageBreakBefore w:val="0"/>
        <w:widowControl w:val="0"/>
        <w:kinsoku/>
        <w:wordWrap/>
        <w:overflowPunct/>
        <w:topLinePunct w:val="0"/>
        <w:autoSpaceDE w:val="0"/>
        <w:autoSpaceDN w:val="0"/>
        <w:bidi w:val="0"/>
        <w:adjustRightInd w:val="0"/>
        <w:snapToGrid/>
        <w:spacing w:line="360" w:lineRule="auto"/>
        <w:ind w:left="1077" w:right="34" w:hanging="361"/>
        <w:jc w:val="left"/>
        <w:textAlignment w:val="auto"/>
        <w:rPr>
          <w:rFonts w:hint="eastAsia" w:eastAsia="仿宋"/>
          <w:sz w:val="28"/>
          <w:szCs w:val="28"/>
          <w:lang w:val="en-US" w:eastAsia="zh-CN"/>
        </w:rPr>
      </w:pPr>
      <w:r>
        <w:rPr>
          <w:rFonts w:ascii="仿宋" w:eastAsia="仿宋" w:cs="仿宋"/>
          <w:sz w:val="28"/>
          <w:szCs w:val="28"/>
          <w:lang w:val="zh-CN"/>
        </w:rPr>
        <w:t>1.</w:t>
      </w:r>
      <w:r>
        <w:rPr>
          <w:rFonts w:hint="eastAsia" w:ascii="仿宋" w:eastAsia="仿宋" w:cs="仿宋"/>
          <w:sz w:val="28"/>
          <w:szCs w:val="28"/>
          <w:lang w:val="zh-CN"/>
        </w:rPr>
        <w:t>工程名称：浙江省金华监狱东关押点操场维修工程</w:t>
      </w:r>
      <w:r>
        <w:rPr>
          <w:rFonts w:hint="eastAsia" w:ascii="仿宋" w:eastAsia="仿宋" w:cs="仿宋"/>
          <w:sz w:val="28"/>
          <w:szCs w:val="28"/>
          <w:lang w:val="en-US" w:eastAsia="zh-CN"/>
        </w:rPr>
        <w:t>;</w:t>
      </w:r>
    </w:p>
    <w:p w14:paraId="7E636D82">
      <w:pPr>
        <w:keepNext w:val="0"/>
        <w:keepLines w:val="0"/>
        <w:pageBreakBefore w:val="0"/>
        <w:widowControl w:val="0"/>
        <w:kinsoku/>
        <w:wordWrap/>
        <w:overflowPunct/>
        <w:topLinePunct w:val="0"/>
        <w:autoSpaceDE w:val="0"/>
        <w:autoSpaceDN w:val="0"/>
        <w:bidi w:val="0"/>
        <w:adjustRightInd w:val="0"/>
        <w:snapToGrid/>
        <w:spacing w:line="360" w:lineRule="auto"/>
        <w:ind w:left="1077" w:right="34" w:hanging="361"/>
        <w:jc w:val="left"/>
        <w:textAlignment w:val="auto"/>
        <w:rPr>
          <w:rFonts w:hint="eastAsia" w:ascii="仿宋" w:eastAsia="仿宋" w:cs="仿宋"/>
          <w:sz w:val="28"/>
          <w:szCs w:val="28"/>
          <w:lang w:val="en-US" w:eastAsia="zh-CN"/>
        </w:rPr>
      </w:pPr>
      <w:r>
        <w:rPr>
          <w:rFonts w:ascii="仿宋" w:eastAsia="仿宋" w:cs="仿宋"/>
          <w:sz w:val="28"/>
          <w:szCs w:val="28"/>
          <w:lang w:val="zh-CN"/>
        </w:rPr>
        <w:t>2.</w:t>
      </w:r>
      <w:r>
        <w:rPr>
          <w:rFonts w:hint="eastAsia" w:ascii="仿宋" w:eastAsia="仿宋" w:cs="仿宋"/>
          <w:sz w:val="28"/>
          <w:szCs w:val="28"/>
          <w:lang w:val="zh-CN"/>
        </w:rPr>
        <w:t>建设单位：浙江省金华监狱</w:t>
      </w:r>
      <w:r>
        <w:rPr>
          <w:rFonts w:hint="eastAsia" w:ascii="仿宋" w:eastAsia="仿宋" w:cs="仿宋"/>
          <w:sz w:val="28"/>
          <w:szCs w:val="28"/>
          <w:lang w:val="en-US" w:eastAsia="zh-CN"/>
        </w:rPr>
        <w:t>;</w:t>
      </w:r>
    </w:p>
    <w:p w14:paraId="283A6FC1">
      <w:pPr>
        <w:keepNext w:val="0"/>
        <w:keepLines w:val="0"/>
        <w:pageBreakBefore w:val="0"/>
        <w:widowControl w:val="0"/>
        <w:kinsoku/>
        <w:wordWrap/>
        <w:overflowPunct/>
        <w:topLinePunct w:val="0"/>
        <w:autoSpaceDE w:val="0"/>
        <w:autoSpaceDN w:val="0"/>
        <w:bidi w:val="0"/>
        <w:adjustRightInd w:val="0"/>
        <w:snapToGrid/>
        <w:spacing w:line="360" w:lineRule="auto"/>
        <w:ind w:left="1077" w:right="34" w:hanging="361"/>
        <w:jc w:val="left"/>
        <w:textAlignment w:val="auto"/>
        <w:rPr>
          <w:rFonts w:hint="default"/>
          <w:lang w:val="en-US" w:eastAsia="zh-CN"/>
        </w:rPr>
      </w:pPr>
      <w:r>
        <w:rPr>
          <w:rFonts w:hint="eastAsia" w:ascii="仿宋" w:eastAsia="仿宋" w:cs="仿宋"/>
          <w:sz w:val="28"/>
          <w:szCs w:val="28"/>
          <w:lang w:val="en-US" w:eastAsia="zh-CN"/>
        </w:rPr>
        <w:t>3.</w:t>
      </w:r>
      <w:r>
        <w:rPr>
          <w:rFonts w:hint="eastAsia" w:ascii="仿宋" w:eastAsia="仿宋" w:cs="仿宋"/>
          <w:sz w:val="28"/>
          <w:szCs w:val="28"/>
          <w:lang w:val="zh-CN"/>
        </w:rPr>
        <w:t>建设地点：东关押点</w:t>
      </w:r>
      <w:r>
        <w:rPr>
          <w:rFonts w:hint="eastAsia" w:ascii="仿宋" w:eastAsia="仿宋" w:cs="仿宋"/>
          <w:sz w:val="28"/>
          <w:szCs w:val="28"/>
          <w:lang w:val="zh-CN" w:eastAsia="zh-CN"/>
        </w:rPr>
        <w:t>；</w:t>
      </w:r>
    </w:p>
    <w:p w14:paraId="110B2B2A">
      <w:pPr>
        <w:keepNext w:val="0"/>
        <w:keepLines w:val="0"/>
        <w:pageBreakBefore w:val="0"/>
        <w:widowControl w:val="0"/>
        <w:kinsoku/>
        <w:wordWrap/>
        <w:overflowPunct/>
        <w:topLinePunct w:val="0"/>
        <w:autoSpaceDE w:val="0"/>
        <w:autoSpaceDN w:val="0"/>
        <w:bidi w:val="0"/>
        <w:adjustRightInd w:val="0"/>
        <w:snapToGrid/>
        <w:spacing w:line="360" w:lineRule="auto"/>
        <w:ind w:left="1" w:right="33" w:firstLine="714"/>
        <w:jc w:val="left"/>
        <w:textAlignment w:val="auto"/>
        <w:rPr>
          <w:rFonts w:hint="eastAsia" w:ascii="仿宋" w:eastAsia="仿宋" w:cs="仿宋"/>
          <w:sz w:val="28"/>
          <w:szCs w:val="28"/>
          <w:lang w:val="en-US" w:eastAsia="zh-CN"/>
        </w:rPr>
      </w:pPr>
      <w:r>
        <w:rPr>
          <w:rFonts w:hint="eastAsia" w:ascii="仿宋" w:eastAsia="仿宋" w:cs="仿宋"/>
          <w:sz w:val="28"/>
          <w:szCs w:val="28"/>
          <w:lang w:val="en-US" w:eastAsia="zh-CN"/>
        </w:rPr>
        <w:t>4</w:t>
      </w:r>
      <w:r>
        <w:rPr>
          <w:rFonts w:ascii="仿宋" w:eastAsia="仿宋" w:cs="仿宋"/>
          <w:sz w:val="28"/>
          <w:szCs w:val="28"/>
          <w:lang w:val="zh-CN"/>
        </w:rPr>
        <w:t>.</w:t>
      </w:r>
      <w:r>
        <w:rPr>
          <w:rFonts w:hint="eastAsia" w:ascii="仿宋" w:eastAsia="仿宋" w:cs="仿宋"/>
          <w:sz w:val="28"/>
          <w:szCs w:val="28"/>
          <w:lang w:val="zh-CN"/>
        </w:rPr>
        <w:t>工程范围：图纸范围内硅pu、人造草坪、排水沟等内容</w:t>
      </w:r>
      <w:r>
        <w:rPr>
          <w:rFonts w:hint="eastAsia" w:ascii="仿宋" w:eastAsia="仿宋" w:cs="仿宋"/>
          <w:sz w:val="28"/>
          <w:szCs w:val="28"/>
          <w:lang w:val="en-US" w:eastAsia="zh-CN"/>
        </w:rPr>
        <w:t>。</w:t>
      </w:r>
    </w:p>
    <w:p w14:paraId="516E4C1A">
      <w:pPr>
        <w:keepNext w:val="0"/>
        <w:keepLines w:val="0"/>
        <w:pageBreakBefore w:val="0"/>
        <w:widowControl w:val="0"/>
        <w:kinsoku/>
        <w:wordWrap/>
        <w:overflowPunct/>
        <w:topLinePunct w:val="0"/>
        <w:autoSpaceDE w:val="0"/>
        <w:autoSpaceDN w:val="0"/>
        <w:bidi w:val="0"/>
        <w:adjustRightInd w:val="0"/>
        <w:snapToGrid/>
        <w:spacing w:line="520" w:lineRule="exact"/>
        <w:ind w:right="33"/>
        <w:jc w:val="left"/>
        <w:textAlignment w:val="auto"/>
        <w:rPr>
          <w:rFonts w:ascii="仿宋" w:eastAsia="仿宋" w:cs="仿宋"/>
          <w:b/>
          <w:bCs/>
          <w:sz w:val="30"/>
          <w:szCs w:val="30"/>
          <w:lang w:val="zh-CN"/>
        </w:rPr>
      </w:pPr>
      <w:r>
        <w:rPr>
          <w:rFonts w:hint="eastAsia" w:ascii="仿宋" w:eastAsia="仿宋" w:cs="仿宋"/>
          <w:b/>
          <w:bCs/>
          <w:sz w:val="30"/>
          <w:szCs w:val="30"/>
          <w:lang w:val="zh-CN"/>
        </w:rPr>
        <w:t>二、编制依据</w:t>
      </w:r>
    </w:p>
    <w:p w14:paraId="742F4B16">
      <w:pPr>
        <w:keepNext w:val="0"/>
        <w:keepLines w:val="0"/>
        <w:pageBreakBefore w:val="0"/>
        <w:widowControl w:val="0"/>
        <w:kinsoku/>
        <w:wordWrap/>
        <w:overflowPunct/>
        <w:topLinePunct w:val="0"/>
        <w:autoSpaceDE w:val="0"/>
        <w:autoSpaceDN w:val="0"/>
        <w:bidi w:val="0"/>
        <w:adjustRightInd w:val="0"/>
        <w:snapToGrid/>
        <w:spacing w:line="360" w:lineRule="auto"/>
        <w:ind w:right="34" w:firstLine="560" w:firstLineChars="200"/>
        <w:jc w:val="left"/>
        <w:textAlignment w:val="auto"/>
        <w:rPr>
          <w:rFonts w:hint="eastAsia" w:ascii="仿宋" w:eastAsia="仿宋" w:cs="仿宋"/>
          <w:sz w:val="28"/>
          <w:szCs w:val="28"/>
          <w:lang w:val="zh-CN"/>
        </w:rPr>
      </w:pPr>
      <w:r>
        <w:rPr>
          <w:rFonts w:hint="eastAsia" w:ascii="仿宋" w:eastAsia="仿宋" w:cs="仿宋"/>
          <w:sz w:val="28"/>
          <w:szCs w:val="28"/>
          <w:lang w:val="en-US" w:eastAsia="zh-CN"/>
        </w:rPr>
        <w:t>1、</w:t>
      </w:r>
      <w:r>
        <w:rPr>
          <w:rFonts w:hint="eastAsia" w:ascii="仿宋" w:eastAsia="仿宋" w:cs="仿宋"/>
          <w:sz w:val="28"/>
          <w:szCs w:val="28"/>
          <w:lang w:val="zh-CN"/>
        </w:rPr>
        <w:t>清单规范：</w:t>
      </w:r>
    </w:p>
    <w:p w14:paraId="06C7A8E1">
      <w:pPr>
        <w:keepNext w:val="0"/>
        <w:keepLines w:val="0"/>
        <w:pageBreakBefore w:val="0"/>
        <w:widowControl w:val="0"/>
        <w:kinsoku/>
        <w:wordWrap/>
        <w:overflowPunct/>
        <w:topLinePunct w:val="0"/>
        <w:autoSpaceDE w:val="0"/>
        <w:autoSpaceDN w:val="0"/>
        <w:bidi w:val="0"/>
        <w:adjustRightInd w:val="0"/>
        <w:snapToGrid/>
        <w:spacing w:line="360" w:lineRule="auto"/>
        <w:ind w:right="34" w:firstLine="560" w:firstLineChars="200"/>
        <w:jc w:val="left"/>
        <w:textAlignment w:val="auto"/>
        <w:rPr>
          <w:rFonts w:hint="eastAsia" w:ascii="仿宋" w:eastAsia="仿宋" w:cs="仿宋"/>
          <w:sz w:val="28"/>
          <w:szCs w:val="28"/>
          <w:lang w:val="en-GB" w:eastAsia="zh-CN"/>
        </w:rPr>
      </w:pPr>
      <w:r>
        <w:rPr>
          <w:rFonts w:hint="eastAsia" w:ascii="仿宋" w:eastAsia="仿宋" w:cs="仿宋"/>
          <w:sz w:val="28"/>
          <w:szCs w:val="28"/>
          <w:lang w:val="zh-CN" w:eastAsia="zh-CN"/>
        </w:rPr>
        <w:t>（</w:t>
      </w:r>
      <w:r>
        <w:rPr>
          <w:rFonts w:hint="eastAsia" w:ascii="仿宋" w:eastAsia="仿宋" w:cs="仿宋"/>
          <w:sz w:val="28"/>
          <w:szCs w:val="28"/>
          <w:lang w:val="en-US" w:eastAsia="zh-CN"/>
        </w:rPr>
        <w:t>1</w:t>
      </w:r>
      <w:r>
        <w:rPr>
          <w:rFonts w:hint="eastAsia" w:ascii="仿宋" w:eastAsia="仿宋" w:cs="仿宋"/>
          <w:sz w:val="28"/>
          <w:szCs w:val="28"/>
          <w:lang w:val="zh-CN" w:eastAsia="zh-CN"/>
        </w:rPr>
        <w:t>）</w:t>
      </w:r>
      <w:r>
        <w:rPr>
          <w:rFonts w:hint="eastAsia" w:ascii="仿宋" w:eastAsia="仿宋" w:cs="仿宋"/>
          <w:sz w:val="28"/>
          <w:szCs w:val="28"/>
          <w:lang w:val="en-GB"/>
        </w:rPr>
        <w:t>《建设工程工程量清单计价规范（GB50500—2013）》</w:t>
      </w:r>
      <w:r>
        <w:rPr>
          <w:rFonts w:hint="eastAsia" w:ascii="仿宋" w:eastAsia="仿宋" w:cs="仿宋"/>
          <w:sz w:val="28"/>
          <w:szCs w:val="28"/>
          <w:lang w:val="en-GB" w:eastAsia="zh-CN"/>
        </w:rPr>
        <w:t>；</w:t>
      </w:r>
    </w:p>
    <w:p w14:paraId="14967E8D">
      <w:pPr>
        <w:keepNext w:val="0"/>
        <w:keepLines w:val="0"/>
        <w:pageBreakBefore w:val="0"/>
        <w:widowControl w:val="0"/>
        <w:kinsoku/>
        <w:wordWrap/>
        <w:overflowPunct/>
        <w:topLinePunct w:val="0"/>
        <w:autoSpaceDE w:val="0"/>
        <w:autoSpaceDN w:val="0"/>
        <w:bidi w:val="0"/>
        <w:adjustRightInd w:val="0"/>
        <w:snapToGrid/>
        <w:spacing w:line="360" w:lineRule="auto"/>
        <w:ind w:right="34" w:firstLine="560" w:firstLineChars="200"/>
        <w:jc w:val="left"/>
        <w:textAlignment w:val="auto"/>
        <w:rPr>
          <w:rFonts w:hint="eastAsia" w:ascii="仿宋" w:eastAsia="仿宋" w:cs="仿宋"/>
          <w:sz w:val="28"/>
          <w:szCs w:val="28"/>
          <w:lang w:val="en-GB" w:eastAsia="zh-CN"/>
        </w:rPr>
      </w:pPr>
      <w:r>
        <w:rPr>
          <w:rFonts w:hint="eastAsia" w:ascii="仿宋" w:eastAsia="仿宋" w:cs="仿宋"/>
          <w:sz w:val="28"/>
          <w:szCs w:val="28"/>
          <w:lang w:val="zh-CN" w:eastAsia="zh-CN"/>
        </w:rPr>
        <w:t>（</w:t>
      </w:r>
      <w:r>
        <w:rPr>
          <w:rFonts w:hint="eastAsia" w:ascii="仿宋" w:eastAsia="仿宋" w:cs="仿宋"/>
          <w:sz w:val="28"/>
          <w:szCs w:val="28"/>
          <w:lang w:val="en-US" w:eastAsia="zh-CN"/>
        </w:rPr>
        <w:t>2</w:t>
      </w:r>
      <w:r>
        <w:rPr>
          <w:rFonts w:hint="eastAsia" w:ascii="仿宋" w:eastAsia="仿宋" w:cs="仿宋"/>
          <w:sz w:val="28"/>
          <w:szCs w:val="28"/>
          <w:lang w:val="zh-CN" w:eastAsia="zh-CN"/>
        </w:rPr>
        <w:t>）</w:t>
      </w:r>
      <w:r>
        <w:rPr>
          <w:rFonts w:hint="eastAsia" w:ascii="仿宋" w:eastAsia="仿宋" w:cs="仿宋"/>
          <w:sz w:val="28"/>
          <w:szCs w:val="28"/>
          <w:lang w:val="en-GB" w:eastAsia="zh-CN"/>
        </w:rPr>
        <w:t>《</w:t>
      </w:r>
      <w:r>
        <w:rPr>
          <w:rFonts w:hint="eastAsia" w:ascii="仿宋" w:eastAsia="仿宋" w:cs="仿宋"/>
          <w:sz w:val="28"/>
          <w:szCs w:val="28"/>
          <w:lang w:val="en-US" w:eastAsia="zh-CN"/>
        </w:rPr>
        <w:t>市政</w:t>
      </w:r>
      <w:r>
        <w:rPr>
          <w:rFonts w:hint="eastAsia" w:ascii="仿宋" w:eastAsia="仿宋" w:cs="仿宋"/>
          <w:sz w:val="28"/>
          <w:szCs w:val="28"/>
          <w:lang w:val="zh-CN" w:eastAsia="zh-CN"/>
        </w:rPr>
        <w:t>工程工程量计算规范</w:t>
      </w:r>
      <w:r>
        <w:rPr>
          <w:rFonts w:hint="eastAsia" w:ascii="仿宋" w:eastAsia="仿宋" w:cs="仿宋"/>
          <w:sz w:val="28"/>
          <w:szCs w:val="28"/>
          <w:lang w:val="en-GB" w:eastAsia="zh-CN"/>
        </w:rPr>
        <w:t>（GB5085</w:t>
      </w:r>
      <w:r>
        <w:rPr>
          <w:rFonts w:hint="eastAsia" w:ascii="仿宋" w:eastAsia="仿宋" w:cs="仿宋"/>
          <w:sz w:val="28"/>
          <w:szCs w:val="28"/>
          <w:lang w:val="en-US" w:eastAsia="zh-CN"/>
        </w:rPr>
        <w:t>7</w:t>
      </w:r>
      <w:r>
        <w:rPr>
          <w:rFonts w:hint="eastAsia" w:ascii="仿宋" w:eastAsia="仿宋" w:cs="仿宋"/>
          <w:sz w:val="28"/>
          <w:szCs w:val="28"/>
          <w:lang w:val="en-GB" w:eastAsia="zh-CN"/>
        </w:rPr>
        <w:t>—2013）》。</w:t>
      </w:r>
    </w:p>
    <w:p w14:paraId="6F2D3C70">
      <w:pPr>
        <w:keepNext w:val="0"/>
        <w:keepLines w:val="0"/>
        <w:pageBreakBefore w:val="0"/>
        <w:widowControl w:val="0"/>
        <w:kinsoku/>
        <w:wordWrap/>
        <w:overflowPunct/>
        <w:topLinePunct w:val="0"/>
        <w:autoSpaceDE w:val="0"/>
        <w:autoSpaceDN w:val="0"/>
        <w:bidi w:val="0"/>
        <w:adjustRightInd w:val="0"/>
        <w:snapToGrid/>
        <w:spacing w:line="360" w:lineRule="auto"/>
        <w:ind w:right="34" w:firstLine="560" w:firstLineChars="200"/>
        <w:jc w:val="left"/>
        <w:textAlignment w:val="auto"/>
        <w:rPr>
          <w:rFonts w:hint="eastAsia" w:ascii="仿宋" w:eastAsia="仿宋" w:cs="仿宋"/>
          <w:sz w:val="28"/>
          <w:szCs w:val="28"/>
          <w:lang w:val="zh-CN"/>
        </w:rPr>
      </w:pPr>
      <w:r>
        <w:rPr>
          <w:rFonts w:hint="eastAsia" w:ascii="仿宋" w:eastAsia="仿宋" w:cs="仿宋"/>
          <w:sz w:val="28"/>
          <w:szCs w:val="28"/>
          <w:lang w:val="en-US" w:eastAsia="zh-CN"/>
        </w:rPr>
        <w:t>2、</w:t>
      </w:r>
      <w:r>
        <w:rPr>
          <w:rFonts w:hint="eastAsia" w:ascii="仿宋" w:eastAsia="仿宋" w:cs="仿宋"/>
          <w:sz w:val="28"/>
          <w:szCs w:val="28"/>
          <w:lang w:val="zh-CN"/>
        </w:rPr>
        <w:t>定额依据：</w:t>
      </w:r>
    </w:p>
    <w:p w14:paraId="62236A6B">
      <w:pPr>
        <w:keepNext w:val="0"/>
        <w:keepLines w:val="0"/>
        <w:pageBreakBefore w:val="0"/>
        <w:widowControl w:val="0"/>
        <w:kinsoku/>
        <w:wordWrap/>
        <w:overflowPunct/>
        <w:topLinePunct w:val="0"/>
        <w:autoSpaceDE w:val="0"/>
        <w:autoSpaceDN w:val="0"/>
        <w:bidi w:val="0"/>
        <w:adjustRightInd w:val="0"/>
        <w:snapToGrid/>
        <w:spacing w:line="360" w:lineRule="auto"/>
        <w:ind w:right="34" w:firstLine="560" w:firstLineChars="200"/>
        <w:jc w:val="left"/>
        <w:textAlignment w:val="auto"/>
        <w:rPr>
          <w:rFonts w:hint="eastAsia" w:ascii="仿宋" w:eastAsia="仿宋" w:cs="仿宋"/>
          <w:sz w:val="28"/>
          <w:szCs w:val="28"/>
          <w:lang w:val="zh-CN" w:eastAsia="zh-CN"/>
        </w:rPr>
      </w:pPr>
      <w:r>
        <w:rPr>
          <w:rFonts w:hint="eastAsia" w:ascii="仿宋" w:eastAsia="仿宋" w:cs="仿宋"/>
          <w:sz w:val="28"/>
          <w:szCs w:val="28"/>
          <w:lang w:val="en-US" w:eastAsia="zh-CN"/>
        </w:rPr>
        <w:t>（1）</w:t>
      </w:r>
      <w:r>
        <w:rPr>
          <w:rFonts w:hint="eastAsia" w:ascii="仿宋" w:eastAsia="仿宋" w:cs="仿宋"/>
          <w:sz w:val="28"/>
          <w:szCs w:val="28"/>
          <w:lang w:val="zh-CN" w:eastAsia="zh-CN"/>
        </w:rPr>
        <w:t>《浙江省市政工程预算定额（2018版）</w:t>
      </w:r>
      <w:r>
        <w:rPr>
          <w:rFonts w:hint="eastAsia" w:ascii="仿宋" w:eastAsia="仿宋" w:cs="仿宋"/>
          <w:sz w:val="28"/>
          <w:szCs w:val="28"/>
          <w:lang w:val="en-GB" w:eastAsia="zh-CN"/>
        </w:rPr>
        <w:t>》；</w:t>
      </w:r>
    </w:p>
    <w:p w14:paraId="10A1EEAA">
      <w:pPr>
        <w:keepNext w:val="0"/>
        <w:keepLines w:val="0"/>
        <w:pageBreakBefore w:val="0"/>
        <w:widowControl w:val="0"/>
        <w:kinsoku/>
        <w:wordWrap/>
        <w:overflowPunct/>
        <w:topLinePunct w:val="0"/>
        <w:autoSpaceDE w:val="0"/>
        <w:autoSpaceDN w:val="0"/>
        <w:bidi w:val="0"/>
        <w:adjustRightInd w:val="0"/>
        <w:snapToGrid/>
        <w:spacing w:line="360" w:lineRule="auto"/>
        <w:ind w:right="34" w:firstLine="560" w:firstLineChars="200"/>
        <w:jc w:val="left"/>
        <w:textAlignment w:val="auto"/>
        <w:rPr>
          <w:rFonts w:hint="eastAsia" w:ascii="仿宋" w:eastAsia="仿宋" w:cs="仿宋"/>
          <w:sz w:val="28"/>
          <w:szCs w:val="28"/>
          <w:lang w:val="en-GB" w:eastAsia="zh-CN"/>
        </w:rPr>
      </w:pPr>
      <w:r>
        <w:rPr>
          <w:rFonts w:hint="eastAsia" w:ascii="仿宋" w:eastAsia="仿宋" w:cs="仿宋"/>
          <w:sz w:val="28"/>
          <w:szCs w:val="28"/>
          <w:lang w:val="en-US" w:eastAsia="zh-CN"/>
        </w:rPr>
        <w:t>（2）</w:t>
      </w:r>
      <w:r>
        <w:rPr>
          <w:rFonts w:hint="eastAsia" w:ascii="仿宋" w:eastAsia="仿宋" w:cs="仿宋"/>
          <w:sz w:val="28"/>
          <w:szCs w:val="28"/>
          <w:lang w:val="en-GB" w:eastAsia="zh-CN"/>
        </w:rPr>
        <w:t>《浙江省建设工程计价规则（2018版）》；</w:t>
      </w:r>
    </w:p>
    <w:p w14:paraId="67B8905C">
      <w:pPr>
        <w:keepNext w:val="0"/>
        <w:keepLines w:val="0"/>
        <w:pageBreakBefore w:val="0"/>
        <w:widowControl w:val="0"/>
        <w:kinsoku/>
        <w:wordWrap/>
        <w:overflowPunct/>
        <w:topLinePunct w:val="0"/>
        <w:autoSpaceDE w:val="0"/>
        <w:autoSpaceDN w:val="0"/>
        <w:bidi w:val="0"/>
        <w:adjustRightInd w:val="0"/>
        <w:snapToGrid/>
        <w:spacing w:line="360" w:lineRule="auto"/>
        <w:ind w:right="34" w:firstLine="560" w:firstLineChars="200"/>
        <w:jc w:val="left"/>
        <w:textAlignment w:val="auto"/>
        <w:rPr>
          <w:rFonts w:hint="eastAsia" w:ascii="仿宋" w:eastAsia="仿宋" w:cs="仿宋"/>
          <w:sz w:val="28"/>
          <w:szCs w:val="28"/>
          <w:lang w:val="en-US" w:eastAsia="zh-CN"/>
        </w:rPr>
      </w:pPr>
      <w:r>
        <w:rPr>
          <w:rFonts w:hint="eastAsia" w:ascii="仿宋" w:eastAsia="仿宋" w:cs="仿宋"/>
          <w:sz w:val="28"/>
          <w:szCs w:val="28"/>
          <w:lang w:val="en-US" w:eastAsia="zh-CN"/>
        </w:rPr>
        <w:t>（3）</w:t>
      </w:r>
      <w:r>
        <w:rPr>
          <w:rFonts w:hint="eastAsia" w:ascii="仿宋" w:eastAsia="仿宋" w:cs="仿宋"/>
          <w:sz w:val="28"/>
          <w:szCs w:val="28"/>
          <w:lang w:val="zh-CN" w:eastAsia="zh-CN"/>
        </w:rPr>
        <w:t>《浙江省建设工程施工机械台班费用定额（2018版）》。</w:t>
      </w:r>
    </w:p>
    <w:p w14:paraId="6E5DC564">
      <w:pPr>
        <w:keepNext w:val="0"/>
        <w:keepLines w:val="0"/>
        <w:pageBreakBefore w:val="0"/>
        <w:widowControl w:val="0"/>
        <w:kinsoku/>
        <w:wordWrap/>
        <w:overflowPunct/>
        <w:topLinePunct w:val="0"/>
        <w:autoSpaceDE w:val="0"/>
        <w:autoSpaceDN w:val="0"/>
        <w:bidi w:val="0"/>
        <w:adjustRightInd w:val="0"/>
        <w:snapToGrid/>
        <w:spacing w:line="360" w:lineRule="auto"/>
        <w:ind w:right="33" w:firstLine="560" w:firstLineChars="200"/>
        <w:jc w:val="left"/>
        <w:textAlignment w:val="auto"/>
        <w:rPr>
          <w:rFonts w:eastAsia="仿宋"/>
          <w:sz w:val="28"/>
          <w:szCs w:val="28"/>
        </w:rPr>
      </w:pPr>
      <w:r>
        <w:rPr>
          <w:rFonts w:ascii="仿宋" w:eastAsia="仿宋" w:cs="仿宋"/>
          <w:sz w:val="28"/>
          <w:szCs w:val="28"/>
          <w:lang w:val="zh-CN"/>
        </w:rPr>
        <w:t>3</w:t>
      </w:r>
      <w:r>
        <w:rPr>
          <w:rFonts w:hint="eastAsia" w:ascii="仿宋" w:eastAsia="仿宋" w:cs="仿宋"/>
          <w:sz w:val="28"/>
          <w:szCs w:val="28"/>
          <w:lang w:val="zh-CN"/>
        </w:rPr>
        <w:t>、政策依据：</w:t>
      </w:r>
    </w:p>
    <w:p w14:paraId="19B1B539">
      <w:pPr>
        <w:keepNext w:val="0"/>
        <w:keepLines w:val="0"/>
        <w:pageBreakBefore w:val="0"/>
        <w:widowControl w:val="0"/>
        <w:kinsoku/>
        <w:wordWrap/>
        <w:overflowPunct/>
        <w:topLinePunct w:val="0"/>
        <w:autoSpaceDE w:val="0"/>
        <w:autoSpaceDN w:val="0"/>
        <w:bidi w:val="0"/>
        <w:adjustRightInd w:val="0"/>
        <w:snapToGrid/>
        <w:spacing w:line="360" w:lineRule="auto"/>
        <w:ind w:right="33" w:firstLine="540"/>
        <w:jc w:val="left"/>
        <w:textAlignment w:val="auto"/>
        <w:rPr>
          <w:rFonts w:hint="eastAsia" w:ascii="仿宋" w:eastAsia="仿宋" w:cs="仿宋"/>
          <w:sz w:val="28"/>
          <w:szCs w:val="28"/>
          <w:lang w:val="zh-CN"/>
        </w:rPr>
      </w:pPr>
      <w:r>
        <w:rPr>
          <w:rFonts w:hint="eastAsia" w:ascii="仿宋" w:eastAsia="仿宋" w:cs="仿宋"/>
          <w:sz w:val="28"/>
          <w:szCs w:val="28"/>
          <w:lang w:val="zh-CN"/>
        </w:rPr>
        <w:t>（</w:t>
      </w:r>
      <w:r>
        <w:rPr>
          <w:rFonts w:ascii="仿宋" w:eastAsia="仿宋" w:cs="仿宋"/>
          <w:sz w:val="28"/>
          <w:szCs w:val="28"/>
          <w:lang w:val="zh-CN"/>
        </w:rPr>
        <w:t>1</w:t>
      </w:r>
      <w:r>
        <w:rPr>
          <w:rFonts w:hint="eastAsia" w:ascii="仿宋" w:eastAsia="仿宋" w:cs="仿宋"/>
          <w:sz w:val="28"/>
          <w:szCs w:val="28"/>
          <w:lang w:val="zh-CN"/>
        </w:rPr>
        <w:t>）浙建建发</w:t>
      </w:r>
      <w:r>
        <w:rPr>
          <w:rFonts w:ascii="仿宋" w:eastAsia="仿宋" w:cs="仿宋"/>
          <w:sz w:val="28"/>
          <w:szCs w:val="28"/>
          <w:lang w:val="zh-CN"/>
        </w:rPr>
        <w:t>[2019]92</w:t>
      </w:r>
      <w:r>
        <w:rPr>
          <w:rFonts w:hint="eastAsia" w:ascii="仿宋" w:eastAsia="仿宋" w:cs="仿宋"/>
          <w:sz w:val="28"/>
          <w:szCs w:val="28"/>
          <w:lang w:val="zh-CN"/>
        </w:rPr>
        <w:t>号《关于增值税调整后我省建设工程计价依据增值税税率及有关计价调整的通知》；</w:t>
      </w:r>
    </w:p>
    <w:p w14:paraId="6AE11881">
      <w:pPr>
        <w:keepNext w:val="0"/>
        <w:keepLines w:val="0"/>
        <w:pageBreakBefore w:val="0"/>
        <w:widowControl w:val="0"/>
        <w:kinsoku/>
        <w:wordWrap/>
        <w:overflowPunct/>
        <w:topLinePunct w:val="0"/>
        <w:autoSpaceDE w:val="0"/>
        <w:autoSpaceDN w:val="0"/>
        <w:bidi w:val="0"/>
        <w:adjustRightInd w:val="0"/>
        <w:snapToGrid/>
        <w:spacing w:line="360" w:lineRule="auto"/>
        <w:ind w:right="33" w:firstLine="540"/>
        <w:jc w:val="left"/>
        <w:textAlignment w:val="auto"/>
        <w:rPr>
          <w:rFonts w:eastAsia="仿宋"/>
          <w:sz w:val="28"/>
          <w:szCs w:val="28"/>
        </w:rPr>
      </w:pPr>
      <w:r>
        <w:rPr>
          <w:rFonts w:hint="eastAsia" w:ascii="仿宋" w:eastAsia="仿宋" w:cs="仿宋"/>
          <w:sz w:val="28"/>
          <w:szCs w:val="28"/>
          <w:lang w:val="zh-CN"/>
        </w:rPr>
        <w:t>（</w:t>
      </w:r>
      <w:r>
        <w:rPr>
          <w:rFonts w:hint="eastAsia" w:ascii="仿宋" w:eastAsia="仿宋" w:cs="仿宋"/>
          <w:sz w:val="28"/>
          <w:szCs w:val="28"/>
          <w:lang w:val="en-US" w:eastAsia="zh-CN"/>
        </w:rPr>
        <w:t>2</w:t>
      </w:r>
      <w:r>
        <w:rPr>
          <w:rFonts w:hint="eastAsia" w:ascii="仿宋" w:eastAsia="仿宋" w:cs="仿宋"/>
          <w:sz w:val="28"/>
          <w:szCs w:val="28"/>
          <w:lang w:val="zh-CN"/>
        </w:rPr>
        <w:t>）省、市有关造价方面的文件和规定。</w:t>
      </w:r>
    </w:p>
    <w:p w14:paraId="55EF9BB6">
      <w:pPr>
        <w:keepNext w:val="0"/>
        <w:keepLines w:val="0"/>
        <w:pageBreakBefore w:val="0"/>
        <w:widowControl w:val="0"/>
        <w:kinsoku/>
        <w:wordWrap/>
        <w:overflowPunct/>
        <w:topLinePunct w:val="0"/>
        <w:autoSpaceDE w:val="0"/>
        <w:autoSpaceDN w:val="0"/>
        <w:bidi w:val="0"/>
        <w:adjustRightInd w:val="0"/>
        <w:snapToGrid/>
        <w:spacing w:line="360" w:lineRule="auto"/>
        <w:ind w:right="33" w:firstLine="560" w:firstLineChars="200"/>
        <w:jc w:val="left"/>
        <w:textAlignment w:val="auto"/>
        <w:rPr>
          <w:rFonts w:hint="eastAsia" w:eastAsia="仿宋"/>
          <w:sz w:val="28"/>
          <w:szCs w:val="28"/>
          <w:lang w:val="en-US" w:eastAsia="zh-CN"/>
        </w:rPr>
      </w:pPr>
      <w:r>
        <w:rPr>
          <w:rFonts w:ascii="仿宋" w:eastAsia="仿宋" w:cs="仿宋"/>
          <w:sz w:val="28"/>
          <w:szCs w:val="28"/>
          <w:lang w:val="zh-CN"/>
        </w:rPr>
        <w:t>4</w:t>
      </w:r>
      <w:r>
        <w:rPr>
          <w:rFonts w:hint="eastAsia" w:ascii="仿宋" w:eastAsia="仿宋" w:cs="仿宋"/>
          <w:sz w:val="28"/>
          <w:szCs w:val="28"/>
          <w:lang w:val="zh-CN"/>
        </w:rPr>
        <w:t>、《金华造价信息》、《浙江造价信息》</w:t>
      </w:r>
      <w:r>
        <w:rPr>
          <w:rFonts w:ascii="仿宋" w:eastAsia="仿宋" w:cs="仿宋"/>
          <w:sz w:val="28"/>
          <w:szCs w:val="28"/>
          <w:lang w:val="zh-CN"/>
        </w:rPr>
        <w:t>202</w:t>
      </w:r>
      <w:r>
        <w:rPr>
          <w:rFonts w:hint="eastAsia" w:ascii="仿宋" w:eastAsia="仿宋" w:cs="仿宋"/>
          <w:sz w:val="28"/>
          <w:szCs w:val="28"/>
          <w:lang w:val="en-US" w:eastAsia="zh-CN"/>
        </w:rPr>
        <w:t>5</w:t>
      </w:r>
      <w:r>
        <w:rPr>
          <w:rFonts w:hint="eastAsia" w:ascii="仿宋" w:eastAsia="仿宋" w:cs="仿宋"/>
          <w:sz w:val="28"/>
          <w:szCs w:val="28"/>
          <w:lang w:val="zh-CN"/>
        </w:rPr>
        <w:t>年第</w:t>
      </w:r>
      <w:r>
        <w:rPr>
          <w:rFonts w:hint="eastAsia" w:ascii="仿宋" w:eastAsia="仿宋" w:cs="仿宋"/>
          <w:sz w:val="28"/>
          <w:szCs w:val="28"/>
          <w:lang w:val="en-US" w:eastAsia="zh-CN"/>
        </w:rPr>
        <w:t>4</w:t>
      </w:r>
      <w:r>
        <w:rPr>
          <w:rFonts w:hint="eastAsia" w:ascii="仿宋" w:eastAsia="仿宋" w:cs="仿宋"/>
          <w:sz w:val="28"/>
          <w:szCs w:val="28"/>
          <w:lang w:val="zh-CN"/>
        </w:rPr>
        <w:t>期</w:t>
      </w:r>
      <w:r>
        <w:rPr>
          <w:rFonts w:hint="eastAsia" w:ascii="仿宋" w:eastAsia="仿宋" w:cs="仿宋"/>
          <w:sz w:val="28"/>
          <w:szCs w:val="28"/>
          <w:lang w:val="en-US" w:eastAsia="zh-CN"/>
        </w:rPr>
        <w:t>。</w:t>
      </w:r>
    </w:p>
    <w:p w14:paraId="153EB93A">
      <w:pPr>
        <w:keepNext w:val="0"/>
        <w:keepLines w:val="0"/>
        <w:pageBreakBefore w:val="0"/>
        <w:widowControl w:val="0"/>
        <w:kinsoku/>
        <w:wordWrap/>
        <w:overflowPunct/>
        <w:topLinePunct w:val="0"/>
        <w:autoSpaceDE w:val="0"/>
        <w:autoSpaceDN w:val="0"/>
        <w:bidi w:val="0"/>
        <w:adjustRightInd w:val="0"/>
        <w:snapToGrid/>
        <w:spacing w:line="360" w:lineRule="auto"/>
        <w:ind w:left="-2" w:right="33" w:firstLine="2"/>
        <w:jc w:val="left"/>
        <w:textAlignment w:val="auto"/>
        <w:rPr>
          <w:rFonts w:eastAsia="仿宋"/>
          <w:b/>
          <w:bCs/>
          <w:sz w:val="30"/>
          <w:szCs w:val="30"/>
        </w:rPr>
      </w:pPr>
      <w:r>
        <w:rPr>
          <w:rFonts w:hint="eastAsia" w:ascii="仿宋" w:eastAsia="仿宋" w:cs="仿宋"/>
          <w:b/>
          <w:bCs/>
          <w:sz w:val="30"/>
          <w:szCs w:val="30"/>
          <w:lang w:val="zh-CN"/>
        </w:rPr>
        <w:t>三、编制原则</w:t>
      </w:r>
    </w:p>
    <w:p w14:paraId="65ECCB79">
      <w:pPr>
        <w:keepNext w:val="0"/>
        <w:keepLines w:val="0"/>
        <w:pageBreakBefore w:val="0"/>
        <w:widowControl w:val="0"/>
        <w:kinsoku/>
        <w:wordWrap/>
        <w:overflowPunct/>
        <w:topLinePunct w:val="0"/>
        <w:autoSpaceDE w:val="0"/>
        <w:autoSpaceDN w:val="0"/>
        <w:bidi w:val="0"/>
        <w:adjustRightInd w:val="0"/>
        <w:snapToGrid/>
        <w:spacing w:line="360" w:lineRule="auto"/>
        <w:ind w:right="33" w:firstLine="540"/>
        <w:jc w:val="left"/>
        <w:textAlignment w:val="auto"/>
        <w:rPr>
          <w:rFonts w:eastAsia="仿宋"/>
          <w:sz w:val="28"/>
          <w:szCs w:val="28"/>
        </w:rPr>
      </w:pPr>
      <w:r>
        <w:rPr>
          <w:rFonts w:ascii="仿宋" w:eastAsia="仿宋" w:cs="仿宋"/>
          <w:sz w:val="28"/>
          <w:szCs w:val="28"/>
          <w:lang w:val="zh-CN"/>
        </w:rPr>
        <w:t>1.</w:t>
      </w:r>
      <w:r>
        <w:rPr>
          <w:rFonts w:hint="eastAsia" w:ascii="仿宋" w:eastAsia="仿宋" w:cs="仿宋"/>
          <w:sz w:val="28"/>
          <w:szCs w:val="28"/>
          <w:lang w:val="zh-CN"/>
        </w:rPr>
        <w:t>计价方法：一般计税，国标工程量清单计价；</w:t>
      </w:r>
    </w:p>
    <w:p w14:paraId="0D3EA726">
      <w:pPr>
        <w:keepNext w:val="0"/>
        <w:keepLines w:val="0"/>
        <w:pageBreakBefore w:val="0"/>
        <w:widowControl w:val="0"/>
        <w:kinsoku/>
        <w:wordWrap/>
        <w:overflowPunct/>
        <w:topLinePunct w:val="0"/>
        <w:autoSpaceDE w:val="0"/>
        <w:autoSpaceDN w:val="0"/>
        <w:bidi w:val="0"/>
        <w:adjustRightInd w:val="0"/>
        <w:snapToGrid/>
        <w:spacing w:line="360" w:lineRule="auto"/>
        <w:ind w:right="33" w:firstLine="540"/>
        <w:jc w:val="left"/>
        <w:textAlignment w:val="auto"/>
        <w:rPr>
          <w:rFonts w:eastAsia="仿宋"/>
          <w:sz w:val="28"/>
          <w:szCs w:val="28"/>
        </w:rPr>
      </w:pPr>
      <w:r>
        <w:rPr>
          <w:rFonts w:ascii="仿宋" w:eastAsia="仿宋" w:cs="仿宋"/>
          <w:sz w:val="28"/>
          <w:szCs w:val="28"/>
          <w:lang w:val="zh-CN"/>
        </w:rPr>
        <w:t>2.</w:t>
      </w:r>
      <w:r>
        <w:rPr>
          <w:rFonts w:hint="eastAsia" w:ascii="仿宋" w:eastAsia="仿宋" w:cs="仿宋"/>
          <w:sz w:val="28"/>
          <w:szCs w:val="28"/>
          <w:lang w:val="zh-CN"/>
        </w:rPr>
        <w:t>费用计取：</w:t>
      </w:r>
    </w:p>
    <w:p w14:paraId="0173BB34">
      <w:pPr>
        <w:keepNext w:val="0"/>
        <w:keepLines w:val="0"/>
        <w:pageBreakBefore w:val="0"/>
        <w:widowControl w:val="0"/>
        <w:kinsoku/>
        <w:wordWrap/>
        <w:overflowPunct/>
        <w:topLinePunct w:val="0"/>
        <w:autoSpaceDE w:val="0"/>
        <w:autoSpaceDN w:val="0"/>
        <w:bidi w:val="0"/>
        <w:adjustRightInd w:val="0"/>
        <w:snapToGrid/>
        <w:spacing w:line="360" w:lineRule="auto"/>
        <w:ind w:right="33" w:firstLine="540"/>
        <w:jc w:val="left"/>
        <w:textAlignment w:val="auto"/>
        <w:rPr>
          <w:rFonts w:hint="eastAsia" w:ascii="仿宋" w:eastAsia="仿宋" w:cs="仿宋"/>
          <w:color w:val="auto"/>
          <w:sz w:val="28"/>
          <w:szCs w:val="28"/>
          <w:lang w:val="zh-CN"/>
        </w:rPr>
      </w:pPr>
      <w:r>
        <w:rPr>
          <w:rFonts w:hint="eastAsia" w:ascii="仿宋" w:eastAsia="仿宋" w:cs="仿宋"/>
          <w:sz w:val="28"/>
          <w:szCs w:val="28"/>
          <w:lang w:val="zh-CN"/>
        </w:rPr>
        <w:t>（</w:t>
      </w:r>
      <w:r>
        <w:rPr>
          <w:rFonts w:ascii="仿宋" w:eastAsia="仿宋" w:cs="仿宋"/>
          <w:sz w:val="28"/>
          <w:szCs w:val="28"/>
          <w:lang w:val="zh-CN"/>
        </w:rPr>
        <w:t>1</w:t>
      </w:r>
      <w:r>
        <w:rPr>
          <w:rFonts w:hint="eastAsia" w:ascii="仿宋" w:eastAsia="仿宋" w:cs="仿宋"/>
          <w:sz w:val="28"/>
          <w:szCs w:val="28"/>
          <w:lang w:val="zh-CN"/>
        </w:rPr>
        <w:t>）</w:t>
      </w:r>
      <w:r>
        <w:rPr>
          <w:rFonts w:hint="eastAsia" w:ascii="仿宋" w:eastAsia="仿宋" w:cs="仿宋"/>
          <w:color w:val="auto"/>
          <w:sz w:val="28"/>
          <w:szCs w:val="28"/>
          <w:lang w:val="zh-CN"/>
        </w:rPr>
        <w:t>市政工程：道路、排水、河道护岸、水处理构筑物及城市综合管廊、生活垃圾处理工程非市区中值计取，管理费</w:t>
      </w:r>
      <w:r>
        <w:rPr>
          <w:rFonts w:hint="eastAsia" w:ascii="仿宋" w:eastAsia="仿宋" w:cs="仿宋"/>
          <w:color w:val="auto"/>
          <w:sz w:val="28"/>
          <w:szCs w:val="28"/>
          <w:lang w:val="en-US" w:eastAsia="zh-CN"/>
        </w:rPr>
        <w:t>17.04</w:t>
      </w:r>
      <w:r>
        <w:rPr>
          <w:rFonts w:hint="eastAsia" w:ascii="仿宋" w:eastAsia="仿宋" w:cs="仿宋"/>
          <w:color w:val="auto"/>
          <w:sz w:val="28"/>
          <w:szCs w:val="28"/>
          <w:lang w:val="zh-CN"/>
        </w:rPr>
        <w:t>%，利润</w:t>
      </w:r>
      <w:r>
        <w:rPr>
          <w:rFonts w:hint="eastAsia" w:ascii="仿宋" w:eastAsia="仿宋" w:cs="仿宋"/>
          <w:color w:val="auto"/>
          <w:sz w:val="28"/>
          <w:szCs w:val="28"/>
          <w:lang w:val="en-US" w:eastAsia="zh-CN"/>
        </w:rPr>
        <w:t>9.99</w:t>
      </w:r>
      <w:r>
        <w:rPr>
          <w:rFonts w:hint="eastAsia" w:ascii="仿宋" w:eastAsia="仿宋" w:cs="仿宋"/>
          <w:color w:val="auto"/>
          <w:sz w:val="28"/>
          <w:szCs w:val="28"/>
          <w:lang w:val="zh-CN"/>
        </w:rPr>
        <w:t>%，安全文明费</w:t>
      </w:r>
      <w:r>
        <w:rPr>
          <w:rFonts w:hint="eastAsia" w:ascii="仿宋" w:eastAsia="仿宋" w:cs="仿宋"/>
          <w:color w:val="auto"/>
          <w:sz w:val="28"/>
          <w:szCs w:val="28"/>
          <w:lang w:val="en-US" w:eastAsia="zh-CN"/>
        </w:rPr>
        <w:t>7.30</w:t>
      </w:r>
      <w:r>
        <w:rPr>
          <w:rFonts w:hint="eastAsia" w:ascii="仿宋" w:eastAsia="仿宋" w:cs="仿宋"/>
          <w:color w:val="auto"/>
          <w:sz w:val="28"/>
          <w:szCs w:val="28"/>
          <w:lang w:val="zh-CN"/>
        </w:rPr>
        <w:t>%，规费</w:t>
      </w:r>
      <w:r>
        <w:rPr>
          <w:rFonts w:hint="eastAsia" w:ascii="仿宋" w:eastAsia="仿宋" w:cs="仿宋"/>
          <w:color w:val="auto"/>
          <w:sz w:val="28"/>
          <w:szCs w:val="28"/>
          <w:lang w:val="en-US" w:eastAsia="zh-CN"/>
        </w:rPr>
        <w:t>9.38</w:t>
      </w:r>
      <w:r>
        <w:rPr>
          <w:rFonts w:hint="eastAsia" w:ascii="仿宋" w:eastAsia="仿宋" w:cs="仿宋"/>
          <w:color w:val="auto"/>
          <w:sz w:val="28"/>
          <w:szCs w:val="28"/>
          <w:lang w:val="zh-CN"/>
        </w:rPr>
        <w:t>%（</w:t>
      </w:r>
      <w:r>
        <w:rPr>
          <w:rFonts w:hint="eastAsia" w:ascii="仿宋" w:eastAsia="仿宋" w:cs="仿宋"/>
          <w:color w:val="auto"/>
          <w:sz w:val="28"/>
          <w:szCs w:val="28"/>
          <w:lang w:val="en-US" w:eastAsia="zh-CN"/>
        </w:rPr>
        <w:t>18.75</w:t>
      </w:r>
      <w:r>
        <w:rPr>
          <w:rFonts w:hint="eastAsia" w:ascii="仿宋" w:eastAsia="仿宋" w:cs="仿宋"/>
          <w:color w:val="auto"/>
          <w:sz w:val="28"/>
          <w:szCs w:val="28"/>
        </w:rPr>
        <w:t>%</w:t>
      </w:r>
      <w:r>
        <w:rPr>
          <w:rFonts w:hint="eastAsia" w:ascii="仿宋" w:eastAsia="仿宋" w:cs="仿宋"/>
          <w:color w:val="auto"/>
          <w:sz w:val="28"/>
          <w:szCs w:val="28"/>
          <w:lang w:val="zh-CN"/>
        </w:rPr>
        <w:t>×0.5系数），税金9%；</w:t>
      </w:r>
    </w:p>
    <w:p w14:paraId="1D1B57A4">
      <w:pPr>
        <w:keepNext w:val="0"/>
        <w:keepLines w:val="0"/>
        <w:pageBreakBefore w:val="0"/>
        <w:widowControl w:val="0"/>
        <w:kinsoku/>
        <w:wordWrap/>
        <w:overflowPunct/>
        <w:topLinePunct w:val="0"/>
        <w:autoSpaceDE w:val="0"/>
        <w:autoSpaceDN w:val="0"/>
        <w:bidi w:val="0"/>
        <w:adjustRightInd w:val="0"/>
        <w:snapToGrid/>
        <w:spacing w:line="360" w:lineRule="auto"/>
        <w:ind w:right="33" w:firstLine="560"/>
        <w:jc w:val="left"/>
        <w:textAlignment w:val="auto"/>
        <w:rPr>
          <w:rFonts w:eastAsia="仿宋"/>
          <w:sz w:val="28"/>
          <w:szCs w:val="28"/>
        </w:rPr>
      </w:pPr>
      <w:r>
        <w:rPr>
          <w:rFonts w:ascii="仿宋" w:eastAsia="仿宋" w:cs="仿宋"/>
          <w:sz w:val="28"/>
          <w:szCs w:val="28"/>
          <w:lang w:val="zh-CN"/>
        </w:rPr>
        <w:t>3.</w:t>
      </w:r>
      <w:r>
        <w:rPr>
          <w:rFonts w:hint="eastAsia" w:ascii="仿宋" w:eastAsia="仿宋" w:cs="仿宋"/>
          <w:sz w:val="28"/>
          <w:szCs w:val="28"/>
          <w:lang w:val="zh-CN"/>
        </w:rPr>
        <w:t>人工价格：按202</w:t>
      </w:r>
      <w:r>
        <w:rPr>
          <w:rFonts w:hint="eastAsia" w:ascii="仿宋" w:eastAsia="仿宋" w:cs="仿宋"/>
          <w:sz w:val="28"/>
          <w:szCs w:val="28"/>
          <w:lang w:val="en-US" w:eastAsia="zh-CN"/>
        </w:rPr>
        <w:t>5</w:t>
      </w:r>
      <w:r>
        <w:rPr>
          <w:rFonts w:hint="eastAsia" w:ascii="仿宋" w:eastAsia="仿宋" w:cs="仿宋"/>
          <w:sz w:val="28"/>
          <w:szCs w:val="28"/>
          <w:lang w:val="zh-CN"/>
        </w:rPr>
        <w:t>年</w:t>
      </w:r>
      <w:r>
        <w:rPr>
          <w:rFonts w:hint="eastAsia" w:ascii="仿宋" w:eastAsia="仿宋" w:cs="仿宋"/>
          <w:sz w:val="28"/>
          <w:szCs w:val="28"/>
          <w:lang w:val="en-US" w:eastAsia="zh-CN"/>
        </w:rPr>
        <w:t>4</w:t>
      </w:r>
      <w:r>
        <w:rPr>
          <w:rFonts w:hint="eastAsia" w:ascii="仿宋" w:eastAsia="仿宋" w:cs="仿宋"/>
          <w:sz w:val="28"/>
          <w:szCs w:val="28"/>
          <w:lang w:val="zh-CN"/>
        </w:rPr>
        <w:t>月金华市建设工程人工市场信息价，一类人工</w:t>
      </w:r>
      <w:r>
        <w:rPr>
          <w:rFonts w:hint="eastAsia" w:ascii="仿宋" w:eastAsia="仿宋" w:cs="仿宋"/>
          <w:sz w:val="28"/>
          <w:szCs w:val="28"/>
          <w:lang w:val="en-US" w:eastAsia="zh-CN"/>
        </w:rPr>
        <w:t>136</w:t>
      </w:r>
      <w:r>
        <w:rPr>
          <w:rFonts w:hint="eastAsia" w:ascii="仿宋" w:eastAsia="仿宋" w:cs="仿宋"/>
          <w:sz w:val="28"/>
          <w:szCs w:val="28"/>
          <w:lang w:val="zh-CN"/>
        </w:rPr>
        <w:t>元</w:t>
      </w:r>
      <w:r>
        <w:rPr>
          <w:rFonts w:ascii="仿宋" w:eastAsia="仿宋" w:cs="仿宋"/>
          <w:sz w:val="28"/>
          <w:szCs w:val="28"/>
          <w:lang w:val="zh-CN"/>
        </w:rPr>
        <w:t>/</w:t>
      </w:r>
      <w:r>
        <w:rPr>
          <w:rFonts w:hint="eastAsia" w:ascii="仿宋" w:eastAsia="仿宋" w:cs="仿宋"/>
          <w:sz w:val="28"/>
          <w:szCs w:val="28"/>
          <w:lang w:val="zh-CN"/>
        </w:rPr>
        <w:t>工日，二类人工14</w:t>
      </w:r>
      <w:r>
        <w:rPr>
          <w:rFonts w:hint="eastAsia" w:ascii="仿宋" w:eastAsia="仿宋" w:cs="仿宋"/>
          <w:sz w:val="28"/>
          <w:szCs w:val="28"/>
          <w:lang w:val="en-US" w:eastAsia="zh-CN"/>
        </w:rPr>
        <w:t>9</w:t>
      </w:r>
      <w:r>
        <w:rPr>
          <w:rFonts w:hint="eastAsia" w:ascii="仿宋" w:eastAsia="仿宋" w:cs="仿宋"/>
          <w:sz w:val="28"/>
          <w:szCs w:val="28"/>
          <w:lang w:val="zh-CN"/>
        </w:rPr>
        <w:t>元</w:t>
      </w:r>
      <w:r>
        <w:rPr>
          <w:rFonts w:ascii="仿宋" w:eastAsia="仿宋" w:cs="仿宋"/>
          <w:sz w:val="28"/>
          <w:szCs w:val="28"/>
          <w:lang w:val="zh-CN"/>
        </w:rPr>
        <w:t>/</w:t>
      </w:r>
      <w:r>
        <w:rPr>
          <w:rFonts w:hint="eastAsia" w:ascii="仿宋" w:eastAsia="仿宋" w:cs="仿宋"/>
          <w:sz w:val="28"/>
          <w:szCs w:val="28"/>
          <w:lang w:val="zh-CN"/>
        </w:rPr>
        <w:t>工日，三类人工1</w:t>
      </w:r>
      <w:r>
        <w:rPr>
          <w:rFonts w:hint="eastAsia" w:ascii="仿宋" w:eastAsia="仿宋" w:cs="仿宋"/>
          <w:sz w:val="28"/>
          <w:szCs w:val="28"/>
          <w:lang w:val="en-US" w:eastAsia="zh-CN"/>
        </w:rPr>
        <w:t>72</w:t>
      </w:r>
      <w:r>
        <w:rPr>
          <w:rFonts w:hint="eastAsia" w:ascii="仿宋" w:eastAsia="仿宋" w:cs="仿宋"/>
          <w:sz w:val="28"/>
          <w:szCs w:val="28"/>
          <w:lang w:val="zh-CN"/>
        </w:rPr>
        <w:t>元</w:t>
      </w:r>
      <w:r>
        <w:rPr>
          <w:rFonts w:ascii="仿宋" w:eastAsia="仿宋" w:cs="仿宋"/>
          <w:sz w:val="28"/>
          <w:szCs w:val="28"/>
          <w:lang w:val="zh-CN"/>
        </w:rPr>
        <w:t>/</w:t>
      </w:r>
      <w:r>
        <w:rPr>
          <w:rFonts w:hint="eastAsia" w:ascii="仿宋" w:eastAsia="仿宋" w:cs="仿宋"/>
          <w:sz w:val="28"/>
          <w:szCs w:val="28"/>
          <w:lang w:val="zh-CN"/>
        </w:rPr>
        <w:t>工日；</w:t>
      </w:r>
    </w:p>
    <w:p w14:paraId="77282A2E">
      <w:pPr>
        <w:keepNext w:val="0"/>
        <w:keepLines w:val="0"/>
        <w:pageBreakBefore w:val="0"/>
        <w:widowControl w:val="0"/>
        <w:kinsoku/>
        <w:wordWrap/>
        <w:overflowPunct/>
        <w:topLinePunct w:val="0"/>
        <w:autoSpaceDE w:val="0"/>
        <w:autoSpaceDN w:val="0"/>
        <w:bidi w:val="0"/>
        <w:adjustRightInd w:val="0"/>
        <w:snapToGrid/>
        <w:spacing w:line="360" w:lineRule="auto"/>
        <w:ind w:right="33" w:firstLine="540"/>
        <w:jc w:val="left"/>
        <w:textAlignment w:val="auto"/>
        <w:rPr>
          <w:rFonts w:hint="eastAsia" w:eastAsia="仿宋"/>
          <w:sz w:val="28"/>
          <w:szCs w:val="28"/>
          <w:lang w:eastAsia="zh-CN"/>
        </w:rPr>
      </w:pPr>
      <w:r>
        <w:rPr>
          <w:rFonts w:ascii="仿宋" w:eastAsia="仿宋" w:cs="仿宋"/>
          <w:sz w:val="28"/>
          <w:szCs w:val="28"/>
          <w:lang w:val="zh-CN"/>
        </w:rPr>
        <w:t>4.</w:t>
      </w:r>
      <w:r>
        <w:rPr>
          <w:rFonts w:hint="eastAsia" w:ascii="仿宋" w:eastAsia="仿宋" w:cs="仿宋"/>
          <w:sz w:val="28"/>
          <w:szCs w:val="28"/>
          <w:lang w:val="zh-CN"/>
        </w:rPr>
        <w:t>材料价格：《金华造价信息》、《浙江造价信息》</w:t>
      </w:r>
      <w:r>
        <w:rPr>
          <w:rFonts w:ascii="仿宋" w:eastAsia="仿宋" w:cs="仿宋"/>
          <w:sz w:val="28"/>
          <w:szCs w:val="28"/>
          <w:lang w:val="zh-CN"/>
        </w:rPr>
        <w:t>202</w:t>
      </w:r>
      <w:r>
        <w:rPr>
          <w:rFonts w:hint="eastAsia" w:ascii="仿宋" w:eastAsia="仿宋" w:cs="仿宋"/>
          <w:sz w:val="28"/>
          <w:szCs w:val="28"/>
          <w:lang w:val="en-US" w:eastAsia="zh-CN"/>
        </w:rPr>
        <w:t>5</w:t>
      </w:r>
      <w:r>
        <w:rPr>
          <w:rFonts w:hint="eastAsia" w:ascii="仿宋" w:eastAsia="仿宋" w:cs="仿宋"/>
          <w:sz w:val="28"/>
          <w:szCs w:val="28"/>
          <w:lang w:val="zh-CN"/>
        </w:rPr>
        <w:t>年第</w:t>
      </w:r>
      <w:r>
        <w:rPr>
          <w:rFonts w:hint="eastAsia" w:ascii="仿宋" w:eastAsia="仿宋" w:cs="仿宋"/>
          <w:sz w:val="28"/>
          <w:szCs w:val="28"/>
          <w:lang w:val="en-US" w:eastAsia="zh-CN"/>
        </w:rPr>
        <w:t>4</w:t>
      </w:r>
      <w:r>
        <w:rPr>
          <w:rFonts w:hint="eastAsia" w:ascii="仿宋" w:eastAsia="仿宋" w:cs="仿宋"/>
          <w:sz w:val="28"/>
          <w:szCs w:val="28"/>
          <w:lang w:val="zh-CN"/>
        </w:rPr>
        <w:t>期</w:t>
      </w:r>
      <w:r>
        <w:rPr>
          <w:rFonts w:hint="eastAsia" w:ascii="仿宋" w:eastAsia="仿宋" w:cs="仿宋"/>
          <w:sz w:val="28"/>
          <w:szCs w:val="28"/>
          <w:lang w:val="en-US" w:eastAsia="zh-CN"/>
        </w:rPr>
        <w:t>。</w:t>
      </w:r>
    </w:p>
    <w:p w14:paraId="480BC471">
      <w:pPr>
        <w:pStyle w:val="5"/>
        <w:rPr>
          <w:rFonts w:hint="eastAsia" w:ascii="仿宋" w:eastAsia="仿宋" w:cs="仿宋"/>
          <w:b/>
          <w:bCs/>
          <w:sz w:val="30"/>
          <w:szCs w:val="30"/>
          <w:lang w:val="zh-CN"/>
        </w:rPr>
      </w:pPr>
      <w:r>
        <w:rPr>
          <w:rFonts w:hint="eastAsia" w:ascii="仿宋" w:eastAsia="仿宋" w:cs="仿宋"/>
          <w:b/>
          <w:bCs/>
          <w:sz w:val="30"/>
          <w:szCs w:val="30"/>
          <w:lang w:val="zh-CN"/>
        </w:rPr>
        <w:t>四、有关说明</w:t>
      </w:r>
    </w:p>
    <w:p w14:paraId="5DE7804E">
      <w:pPr>
        <w:rPr>
          <w:rFonts w:hint="eastAsia"/>
          <w:lang w:val="zh-CN"/>
        </w:rPr>
      </w:pPr>
    </w:p>
    <w:p w14:paraId="6D693BFD">
      <w:pPr>
        <w:keepNext w:val="0"/>
        <w:keepLines w:val="0"/>
        <w:pageBreakBefore w:val="0"/>
        <w:widowControl w:val="0"/>
        <w:kinsoku/>
        <w:wordWrap/>
        <w:overflowPunct/>
        <w:topLinePunct w:val="0"/>
        <w:autoSpaceDE w:val="0"/>
        <w:autoSpaceDN w:val="0"/>
        <w:bidi w:val="0"/>
        <w:adjustRightInd w:val="0"/>
        <w:snapToGrid/>
        <w:spacing w:line="360" w:lineRule="auto"/>
        <w:ind w:right="33" w:firstLine="560"/>
        <w:jc w:val="left"/>
        <w:textAlignment w:val="auto"/>
        <w:rPr>
          <w:rFonts w:hint="default" w:ascii="仿宋" w:eastAsia="仿宋" w:cs="仿宋"/>
          <w:sz w:val="28"/>
          <w:szCs w:val="28"/>
          <w:lang w:val="en-US" w:eastAsia="zh-CN"/>
        </w:rPr>
      </w:pPr>
      <w:r>
        <w:rPr>
          <w:rFonts w:hint="eastAsia" w:ascii="仿宋" w:eastAsia="仿宋" w:cs="仿宋"/>
          <w:sz w:val="28"/>
          <w:szCs w:val="28"/>
          <w:lang w:val="en-US" w:eastAsia="zh-CN"/>
        </w:rPr>
        <w:t>1.经建设单位确认，增加隔离网313.09m，拆除2次，安装1次。</w:t>
      </w:r>
    </w:p>
    <w:p w14:paraId="33CC8317">
      <w:pPr>
        <w:autoSpaceDE w:val="0"/>
        <w:autoSpaceDN w:val="0"/>
        <w:adjustRightInd w:val="0"/>
        <w:spacing w:line="276" w:lineRule="auto"/>
        <w:ind w:right="601"/>
        <w:jc w:val="left"/>
        <w:rPr>
          <w:lang w:val="zh-CN"/>
        </w:rPr>
      </w:pPr>
      <w:r>
        <w:rPr>
          <w:rFonts w:hint="eastAsia" w:ascii="仿宋" w:eastAsia="仿宋" w:cs="仿宋"/>
          <w:b/>
          <w:bCs/>
          <w:sz w:val="30"/>
          <w:szCs w:val="30"/>
          <w:lang w:val="zh-CN"/>
        </w:rPr>
        <w:t>五、主要材料推荐品牌汇总表或（注：中档及以上档次，低于该档次施工，建设单位有权要求返工，由此造成的损失由施工单位自行承担）</w:t>
      </w:r>
    </w:p>
    <w:tbl>
      <w:tblPr>
        <w:tblStyle w:val="31"/>
        <w:tblpPr w:leftFromText="180" w:rightFromText="180" w:vertAnchor="text" w:horzAnchor="page" w:tblpXSpec="center" w:tblpY="311"/>
        <w:tblOverlap w:val="never"/>
        <w:tblW w:w="8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552"/>
        <w:gridCol w:w="3020"/>
        <w:gridCol w:w="2224"/>
      </w:tblGrid>
      <w:tr w14:paraId="461EC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blHeader/>
          <w:jc w:val="center"/>
        </w:trPr>
        <w:tc>
          <w:tcPr>
            <w:tcW w:w="704" w:type="dxa"/>
            <w:noWrap/>
            <w:vAlign w:val="center"/>
          </w:tcPr>
          <w:p w14:paraId="2339D075">
            <w:pPr>
              <w:widowControl/>
              <w:spacing w:line="240" w:lineRule="exact"/>
              <w:jc w:val="center"/>
              <w:rPr>
                <w:b/>
                <w:bCs/>
                <w:sz w:val="24"/>
              </w:rPr>
            </w:pPr>
            <w:r>
              <w:rPr>
                <w:b/>
                <w:bCs/>
                <w:sz w:val="24"/>
              </w:rPr>
              <w:t>序号</w:t>
            </w:r>
          </w:p>
        </w:tc>
        <w:tc>
          <w:tcPr>
            <w:tcW w:w="2552" w:type="dxa"/>
            <w:noWrap/>
            <w:vAlign w:val="center"/>
          </w:tcPr>
          <w:p w14:paraId="7BFECE26">
            <w:pPr>
              <w:widowControl/>
              <w:spacing w:line="240" w:lineRule="exact"/>
              <w:jc w:val="center"/>
              <w:rPr>
                <w:b/>
                <w:bCs/>
                <w:sz w:val="24"/>
              </w:rPr>
            </w:pPr>
            <w:r>
              <w:rPr>
                <w:b/>
                <w:bCs/>
                <w:sz w:val="24"/>
              </w:rPr>
              <w:t>材料/设备</w:t>
            </w:r>
          </w:p>
          <w:p w14:paraId="79378A1A">
            <w:pPr>
              <w:widowControl/>
              <w:spacing w:line="240" w:lineRule="exact"/>
              <w:jc w:val="center"/>
              <w:rPr>
                <w:b/>
                <w:bCs/>
                <w:sz w:val="24"/>
              </w:rPr>
            </w:pPr>
            <w:r>
              <w:rPr>
                <w:b/>
                <w:bCs/>
                <w:sz w:val="24"/>
              </w:rPr>
              <w:t>名称</w:t>
            </w:r>
          </w:p>
        </w:tc>
        <w:tc>
          <w:tcPr>
            <w:tcW w:w="3020" w:type="dxa"/>
            <w:noWrap/>
            <w:vAlign w:val="center"/>
          </w:tcPr>
          <w:p w14:paraId="62BA02DA">
            <w:pPr>
              <w:widowControl/>
              <w:spacing w:line="240" w:lineRule="exact"/>
              <w:jc w:val="center"/>
              <w:rPr>
                <w:b/>
                <w:bCs/>
                <w:sz w:val="24"/>
              </w:rPr>
            </w:pPr>
            <w:r>
              <w:rPr>
                <w:b/>
                <w:bCs/>
                <w:sz w:val="24"/>
              </w:rPr>
              <w:t>招标人推荐品牌</w:t>
            </w:r>
          </w:p>
        </w:tc>
        <w:tc>
          <w:tcPr>
            <w:tcW w:w="2224" w:type="dxa"/>
            <w:noWrap/>
            <w:vAlign w:val="center"/>
          </w:tcPr>
          <w:p w14:paraId="150C4555">
            <w:pPr>
              <w:widowControl/>
              <w:spacing w:line="240" w:lineRule="exact"/>
              <w:jc w:val="center"/>
              <w:rPr>
                <w:b/>
                <w:bCs/>
                <w:sz w:val="24"/>
              </w:rPr>
            </w:pPr>
            <w:r>
              <w:rPr>
                <w:b/>
                <w:bCs/>
                <w:sz w:val="24"/>
              </w:rPr>
              <w:t>备注</w:t>
            </w:r>
          </w:p>
        </w:tc>
      </w:tr>
      <w:tr w14:paraId="57B2C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704" w:type="dxa"/>
            <w:noWrap/>
            <w:vAlign w:val="center"/>
          </w:tcPr>
          <w:p w14:paraId="27170F0B">
            <w:pPr>
              <w:pStyle w:val="80"/>
              <w:widowControl/>
              <w:numPr>
                <w:ilvl w:val="0"/>
                <w:numId w:val="2"/>
              </w:numPr>
              <w:spacing w:line="240" w:lineRule="exact"/>
              <w:ind w:firstLineChars="0"/>
              <w:jc w:val="center"/>
              <w:rPr>
                <w:sz w:val="24"/>
              </w:rPr>
            </w:pPr>
          </w:p>
        </w:tc>
        <w:tc>
          <w:tcPr>
            <w:tcW w:w="2552" w:type="dxa"/>
            <w:noWrap/>
            <w:vAlign w:val="center"/>
          </w:tcPr>
          <w:p w14:paraId="3AA8E07A">
            <w:pPr>
              <w:widowControl/>
              <w:spacing w:line="240" w:lineRule="exact"/>
              <w:jc w:val="center"/>
              <w:rPr>
                <w:rFonts w:hint="eastAsia" w:eastAsia="宋体"/>
                <w:kern w:val="0"/>
                <w:sz w:val="24"/>
                <w:lang w:val="en-US" w:eastAsia="zh-CN"/>
              </w:rPr>
            </w:pPr>
            <w:r>
              <w:rPr>
                <w:rFonts w:hint="eastAsia"/>
                <w:kern w:val="0"/>
                <w:sz w:val="24"/>
                <w:lang w:val="en-US" w:eastAsia="zh-CN"/>
              </w:rPr>
              <w:t>硅pu</w:t>
            </w:r>
          </w:p>
        </w:tc>
        <w:tc>
          <w:tcPr>
            <w:tcW w:w="3020" w:type="dxa"/>
            <w:noWrap/>
            <w:vAlign w:val="center"/>
          </w:tcPr>
          <w:p w14:paraId="7209DDAF">
            <w:pPr>
              <w:widowControl/>
              <w:spacing w:line="240" w:lineRule="exact"/>
              <w:jc w:val="center"/>
              <w:rPr>
                <w:rFonts w:hint="default" w:eastAsia="宋体"/>
                <w:kern w:val="0"/>
                <w:sz w:val="24"/>
                <w:lang w:val="en-US" w:eastAsia="zh-CN"/>
              </w:rPr>
            </w:pPr>
            <w:r>
              <w:rPr>
                <w:rFonts w:hint="eastAsia" w:ascii="Times New Roman" w:hAnsi="Times New Roman" w:eastAsia="宋体" w:cs="Times New Roman"/>
                <w:kern w:val="0"/>
                <w:sz w:val="24"/>
                <w:lang w:val="zh-CN" w:eastAsia="zh-CN"/>
              </w:rPr>
              <w:t>绿能、格林斯柏、川奥、湖南盛亚、</w:t>
            </w:r>
            <w:r>
              <w:rPr>
                <w:rFonts w:hint="eastAsia" w:ascii="Times New Roman" w:hAnsi="Times New Roman" w:eastAsia="宋体" w:cs="Times New Roman"/>
                <w:kern w:val="0"/>
                <w:sz w:val="24"/>
                <w:lang w:val="en-US" w:eastAsia="zh-CN"/>
              </w:rPr>
              <w:t>广东恒利</w:t>
            </w:r>
          </w:p>
        </w:tc>
        <w:tc>
          <w:tcPr>
            <w:tcW w:w="2224" w:type="dxa"/>
            <w:noWrap/>
            <w:vAlign w:val="center"/>
          </w:tcPr>
          <w:p w14:paraId="7F8A6819">
            <w:pPr>
              <w:widowControl/>
              <w:spacing w:line="240" w:lineRule="exact"/>
              <w:jc w:val="center"/>
              <w:rPr>
                <w:kern w:val="0"/>
                <w:sz w:val="24"/>
              </w:rPr>
            </w:pPr>
          </w:p>
        </w:tc>
      </w:tr>
      <w:tr w14:paraId="2EB12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704" w:type="dxa"/>
            <w:noWrap/>
            <w:vAlign w:val="center"/>
          </w:tcPr>
          <w:p w14:paraId="2FD907BD">
            <w:pPr>
              <w:pStyle w:val="80"/>
              <w:widowControl/>
              <w:numPr>
                <w:ilvl w:val="0"/>
                <w:numId w:val="2"/>
              </w:numPr>
              <w:spacing w:line="240" w:lineRule="exact"/>
              <w:ind w:firstLineChars="0"/>
              <w:jc w:val="center"/>
              <w:rPr>
                <w:sz w:val="24"/>
              </w:rPr>
            </w:pPr>
          </w:p>
        </w:tc>
        <w:tc>
          <w:tcPr>
            <w:tcW w:w="2552" w:type="dxa"/>
            <w:noWrap/>
            <w:vAlign w:val="center"/>
          </w:tcPr>
          <w:p w14:paraId="39C5FED1">
            <w:pPr>
              <w:widowControl/>
              <w:spacing w:line="240" w:lineRule="exact"/>
              <w:jc w:val="center"/>
              <w:rPr>
                <w:rFonts w:hint="eastAsia"/>
                <w:kern w:val="0"/>
                <w:sz w:val="24"/>
                <w:lang w:val="en-US" w:eastAsia="zh-CN"/>
              </w:rPr>
            </w:pPr>
            <w:r>
              <w:rPr>
                <w:rFonts w:hint="eastAsia"/>
                <w:kern w:val="0"/>
                <w:sz w:val="24"/>
                <w:lang w:val="en-US" w:eastAsia="zh-CN"/>
              </w:rPr>
              <w:t>水泥</w:t>
            </w:r>
          </w:p>
        </w:tc>
        <w:tc>
          <w:tcPr>
            <w:tcW w:w="3020" w:type="dxa"/>
            <w:noWrap/>
            <w:vAlign w:val="center"/>
          </w:tcPr>
          <w:p w14:paraId="6C74E2BB">
            <w:pPr>
              <w:widowControl/>
              <w:spacing w:line="240" w:lineRule="exact"/>
              <w:jc w:val="center"/>
              <w:rPr>
                <w:rFonts w:hint="eastAsia"/>
                <w:kern w:val="0"/>
                <w:sz w:val="24"/>
                <w:lang w:val="zh-CN"/>
              </w:rPr>
            </w:pPr>
            <w:r>
              <w:rPr>
                <w:rFonts w:hint="eastAsia" w:ascii="Times New Roman" w:hAnsi="Times New Roman" w:eastAsia="宋体" w:cs="Times New Roman"/>
                <w:kern w:val="0"/>
                <w:sz w:val="24"/>
                <w:lang w:val="zh-CN" w:eastAsia="zh-CN"/>
              </w:rPr>
              <w:t>尖峰、金圆、立马、红狮、豪龙</w:t>
            </w:r>
          </w:p>
        </w:tc>
        <w:tc>
          <w:tcPr>
            <w:tcW w:w="2224" w:type="dxa"/>
            <w:noWrap/>
            <w:vAlign w:val="center"/>
          </w:tcPr>
          <w:p w14:paraId="4CEE0FDB">
            <w:pPr>
              <w:widowControl/>
              <w:spacing w:line="240" w:lineRule="exact"/>
              <w:jc w:val="center"/>
              <w:rPr>
                <w:kern w:val="0"/>
                <w:sz w:val="24"/>
              </w:rPr>
            </w:pPr>
          </w:p>
        </w:tc>
      </w:tr>
    </w:tbl>
    <w:p w14:paraId="217E9E09">
      <w:pPr>
        <w:keepNext w:val="0"/>
        <w:keepLines w:val="0"/>
        <w:pageBreakBefore w:val="0"/>
        <w:widowControl w:val="0"/>
        <w:kinsoku/>
        <w:wordWrap/>
        <w:overflowPunct/>
        <w:topLinePunct w:val="0"/>
        <w:autoSpaceDE w:val="0"/>
        <w:autoSpaceDN w:val="0"/>
        <w:bidi w:val="0"/>
        <w:adjustRightInd w:val="0"/>
        <w:snapToGrid/>
        <w:spacing w:line="520" w:lineRule="exact"/>
        <w:ind w:right="601"/>
        <w:jc w:val="left"/>
        <w:textAlignment w:val="auto"/>
        <w:rPr>
          <w:rFonts w:eastAsia="仿宋"/>
          <w:b/>
          <w:bCs/>
          <w:sz w:val="30"/>
          <w:szCs w:val="30"/>
        </w:rPr>
      </w:pPr>
      <w:r>
        <w:rPr>
          <w:rFonts w:hint="eastAsia" w:ascii="仿宋" w:eastAsia="仿宋" w:cs="仿宋"/>
          <w:b/>
          <w:bCs/>
          <w:sz w:val="30"/>
          <w:szCs w:val="30"/>
          <w:lang w:val="zh-CN"/>
        </w:rPr>
        <w:t>六、编制结论</w:t>
      </w:r>
    </w:p>
    <w:p w14:paraId="3CAB9901">
      <w:pPr>
        <w:keepNext w:val="0"/>
        <w:keepLines w:val="0"/>
        <w:pageBreakBefore w:val="0"/>
        <w:widowControl w:val="0"/>
        <w:kinsoku/>
        <w:wordWrap/>
        <w:overflowPunct/>
        <w:topLinePunct w:val="0"/>
        <w:autoSpaceDE w:val="0"/>
        <w:autoSpaceDN w:val="0"/>
        <w:bidi w:val="0"/>
        <w:adjustRightInd w:val="0"/>
        <w:snapToGrid/>
        <w:spacing w:line="520" w:lineRule="exact"/>
        <w:ind w:right="33" w:firstLine="560" w:firstLineChars="200"/>
        <w:jc w:val="left"/>
        <w:textAlignment w:val="auto"/>
        <w:rPr>
          <w:rFonts w:hint="eastAsia" w:ascii="宋体" w:hAnsi="宋体"/>
          <w:b/>
          <w:color w:val="auto"/>
          <w:sz w:val="44"/>
          <w:szCs w:val="44"/>
          <w:highlight w:val="none"/>
        </w:rPr>
      </w:pPr>
      <w:r>
        <w:rPr>
          <w:rFonts w:hint="eastAsia" w:ascii="仿宋" w:eastAsia="仿宋" w:cs="仿宋"/>
          <w:color w:val="auto"/>
          <w:sz w:val="28"/>
          <w:szCs w:val="28"/>
          <w:lang w:val="zh-CN"/>
        </w:rPr>
        <w:t>本工程预算造价为</w:t>
      </w:r>
      <w:r>
        <w:rPr>
          <w:rFonts w:hint="eastAsia" w:ascii="仿宋" w:eastAsia="仿宋" w:cs="仿宋"/>
          <w:color w:val="auto"/>
          <w:sz w:val="28"/>
          <w:szCs w:val="28"/>
          <w:lang w:val="en-US" w:eastAsia="zh-CN"/>
        </w:rPr>
        <w:t>1872461</w:t>
      </w:r>
      <w:r>
        <w:rPr>
          <w:rFonts w:hint="eastAsia" w:ascii="仿宋" w:eastAsia="仿宋" w:cs="仿宋"/>
          <w:color w:val="auto"/>
          <w:sz w:val="28"/>
          <w:szCs w:val="28"/>
          <w:lang w:val="zh-CN"/>
        </w:rPr>
        <w:t>元（壹佰捌拾柒万贰仟肆佰陆拾壹元整），该项目不考虑暂列金</w:t>
      </w:r>
      <w:r>
        <w:rPr>
          <w:rFonts w:hint="eastAsia" w:ascii="仿宋" w:eastAsia="仿宋" w:cs="仿宋"/>
          <w:color w:val="auto"/>
          <w:sz w:val="28"/>
          <w:szCs w:val="28"/>
          <w:lang w:val="zh-CN" w:eastAsia="zh-CN"/>
        </w:rPr>
        <w:t>。</w:t>
      </w:r>
    </w:p>
    <w:p w14:paraId="6AAFA369">
      <w:pPr>
        <w:pStyle w:val="4"/>
        <w:keepNext w:val="0"/>
        <w:keepLines w:val="0"/>
        <w:pageBreakBefore/>
        <w:spacing w:beforeLines="50" w:afterLines="50" w:line="240" w:lineRule="auto"/>
        <w:jc w:val="center"/>
        <w:rPr>
          <w:rFonts w:hint="eastAsia" w:ascii="宋体" w:hAnsi="宋体" w:eastAsia="宋体" w:cs="宋体"/>
          <w:color w:val="auto"/>
          <w:sz w:val="28"/>
          <w:szCs w:val="36"/>
          <w:highlight w:val="none"/>
        </w:rPr>
      </w:pPr>
      <w:r>
        <w:rPr>
          <w:rFonts w:hint="eastAsia" w:cs="宋体"/>
          <w:color w:val="auto"/>
          <w:sz w:val="28"/>
          <w:szCs w:val="36"/>
          <w:highlight w:val="none"/>
          <w:lang w:val="en-US" w:eastAsia="zh-CN"/>
        </w:rPr>
        <w:t>第三章</w:t>
      </w:r>
      <w:r>
        <w:rPr>
          <w:rFonts w:hint="eastAsia" w:ascii="宋体" w:hAnsi="宋体" w:eastAsia="宋体" w:cs="宋体"/>
          <w:color w:val="auto"/>
          <w:sz w:val="28"/>
          <w:szCs w:val="36"/>
          <w:highlight w:val="none"/>
        </w:rPr>
        <w:t xml:space="preserve">  磋商供应商须知</w:t>
      </w:r>
      <w:bookmarkEnd w:id="17"/>
      <w:bookmarkEnd w:id="19"/>
    </w:p>
    <w:p w14:paraId="5EE50620">
      <w:pPr>
        <w:pStyle w:val="5"/>
        <w:spacing w:beforeLines="50" w:afterLines="50" w:line="240" w:lineRule="auto"/>
        <w:jc w:val="center"/>
        <w:rPr>
          <w:rFonts w:hint="eastAsia" w:ascii="宋体" w:hAnsi="宋体" w:eastAsia="宋体" w:cs="宋体"/>
          <w:bCs w:val="0"/>
          <w:color w:val="auto"/>
          <w:sz w:val="24"/>
          <w:szCs w:val="24"/>
          <w:highlight w:val="none"/>
        </w:rPr>
      </w:pPr>
      <w:bookmarkStart w:id="20" w:name="_Toc24421"/>
      <w:bookmarkStart w:id="21" w:name="_Toc11219"/>
      <w:bookmarkStart w:id="22" w:name="_Toc7328"/>
      <w:r>
        <w:rPr>
          <w:rFonts w:hint="eastAsia" w:ascii="宋体" w:hAnsi="宋体" w:eastAsia="宋体" w:cs="宋体"/>
          <w:bCs w:val="0"/>
          <w:color w:val="auto"/>
          <w:sz w:val="24"/>
          <w:szCs w:val="24"/>
          <w:highlight w:val="none"/>
        </w:rPr>
        <w:t>磋商须知前附表</w:t>
      </w:r>
      <w:bookmarkEnd w:id="20"/>
      <w:bookmarkEnd w:id="21"/>
      <w:bookmarkEnd w:id="22"/>
    </w:p>
    <w:tbl>
      <w:tblPr>
        <w:tblStyle w:val="31"/>
        <w:tblW w:w="953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816"/>
        <w:gridCol w:w="1707"/>
        <w:gridCol w:w="7013"/>
      </w:tblGrid>
      <w:tr w14:paraId="35330A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75" w:hRule="atLeast"/>
          <w:jc w:val="center"/>
        </w:trPr>
        <w:tc>
          <w:tcPr>
            <w:tcW w:w="816" w:type="dxa"/>
            <w:vAlign w:val="center"/>
          </w:tcPr>
          <w:p w14:paraId="74286A92">
            <w:pPr>
              <w:spacing w:line="276"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项号</w:t>
            </w:r>
          </w:p>
        </w:tc>
        <w:tc>
          <w:tcPr>
            <w:tcW w:w="1707" w:type="dxa"/>
            <w:vAlign w:val="center"/>
          </w:tcPr>
          <w:p w14:paraId="67125BE1">
            <w:pPr>
              <w:spacing w:line="276"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内容</w:t>
            </w:r>
          </w:p>
        </w:tc>
        <w:tc>
          <w:tcPr>
            <w:tcW w:w="7013" w:type="dxa"/>
            <w:vAlign w:val="center"/>
          </w:tcPr>
          <w:p w14:paraId="226ECAF7">
            <w:pPr>
              <w:spacing w:line="276"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说明与要求</w:t>
            </w:r>
          </w:p>
        </w:tc>
      </w:tr>
      <w:tr w14:paraId="24633D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448" w:hRule="atLeast"/>
          <w:jc w:val="center"/>
        </w:trPr>
        <w:tc>
          <w:tcPr>
            <w:tcW w:w="816" w:type="dxa"/>
            <w:vAlign w:val="center"/>
          </w:tcPr>
          <w:p w14:paraId="36216319">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707" w:type="dxa"/>
            <w:vAlign w:val="center"/>
          </w:tcPr>
          <w:p w14:paraId="06AE5553">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w:t>
            </w:r>
          </w:p>
        </w:tc>
        <w:tc>
          <w:tcPr>
            <w:tcW w:w="7013" w:type="dxa"/>
            <w:vAlign w:val="center"/>
          </w:tcPr>
          <w:p w14:paraId="1CB1DE76">
            <w:pPr>
              <w:spacing w:line="276" w:lineRule="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浙江省金华监狱东关押点操场维修工程</w:t>
            </w:r>
          </w:p>
        </w:tc>
      </w:tr>
      <w:tr w14:paraId="5D3415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97" w:hRule="atLeast"/>
          <w:jc w:val="center"/>
        </w:trPr>
        <w:tc>
          <w:tcPr>
            <w:tcW w:w="816" w:type="dxa"/>
            <w:vAlign w:val="center"/>
          </w:tcPr>
          <w:p w14:paraId="773F19A6">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707" w:type="dxa"/>
            <w:vAlign w:val="center"/>
          </w:tcPr>
          <w:p w14:paraId="78D25F97">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项目编号</w:t>
            </w:r>
          </w:p>
        </w:tc>
        <w:tc>
          <w:tcPr>
            <w:tcW w:w="7013" w:type="dxa"/>
            <w:vAlign w:val="center"/>
          </w:tcPr>
          <w:p w14:paraId="547C3500">
            <w:pPr>
              <w:spacing w:line="276" w:lineRule="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eastAsia="zh-CN"/>
              </w:rPr>
              <w:t>SJH-A202513005</w:t>
            </w:r>
          </w:p>
        </w:tc>
      </w:tr>
      <w:tr w14:paraId="6A40E9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90" w:hRule="atLeast"/>
          <w:jc w:val="center"/>
        </w:trPr>
        <w:tc>
          <w:tcPr>
            <w:tcW w:w="816" w:type="dxa"/>
            <w:vAlign w:val="center"/>
          </w:tcPr>
          <w:p w14:paraId="448BD9BA">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707" w:type="dxa"/>
            <w:vAlign w:val="center"/>
          </w:tcPr>
          <w:p w14:paraId="3BFE7BAF">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资金来源</w:t>
            </w:r>
          </w:p>
        </w:tc>
        <w:tc>
          <w:tcPr>
            <w:tcW w:w="7013" w:type="dxa"/>
            <w:vAlign w:val="center"/>
          </w:tcPr>
          <w:p w14:paraId="06760B05">
            <w:pPr>
              <w:spacing w:line="276"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财政资金</w:t>
            </w:r>
          </w:p>
        </w:tc>
      </w:tr>
      <w:tr w14:paraId="439451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31" w:hRule="atLeast"/>
          <w:jc w:val="center"/>
        </w:trPr>
        <w:tc>
          <w:tcPr>
            <w:tcW w:w="816" w:type="dxa"/>
            <w:vAlign w:val="center"/>
          </w:tcPr>
          <w:p w14:paraId="10BCE4C9">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1707" w:type="dxa"/>
            <w:vAlign w:val="center"/>
          </w:tcPr>
          <w:p w14:paraId="154E0ABD">
            <w:pPr>
              <w:spacing w:line="276"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服务期限</w:t>
            </w:r>
          </w:p>
        </w:tc>
        <w:tc>
          <w:tcPr>
            <w:tcW w:w="7013" w:type="dxa"/>
            <w:vAlign w:val="center"/>
          </w:tcPr>
          <w:p w14:paraId="3AFF9C6E">
            <w:pPr>
              <w:spacing w:line="276" w:lineRule="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自合同签订之日起95个日历天内完成所有工程项目</w:t>
            </w:r>
          </w:p>
        </w:tc>
      </w:tr>
      <w:tr w14:paraId="6A9DE8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86" w:hRule="atLeast"/>
          <w:jc w:val="center"/>
        </w:trPr>
        <w:tc>
          <w:tcPr>
            <w:tcW w:w="816" w:type="dxa"/>
            <w:vAlign w:val="center"/>
          </w:tcPr>
          <w:p w14:paraId="54A98511">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1707" w:type="dxa"/>
            <w:vAlign w:val="center"/>
          </w:tcPr>
          <w:p w14:paraId="47F78884">
            <w:pPr>
              <w:adjustRightInd w:val="0"/>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采购业务部门</w:t>
            </w:r>
          </w:p>
        </w:tc>
        <w:tc>
          <w:tcPr>
            <w:tcW w:w="7013" w:type="dxa"/>
            <w:vAlign w:val="center"/>
          </w:tcPr>
          <w:p w14:paraId="18FFB3A4">
            <w:pPr>
              <w:spacing w:line="420" w:lineRule="exact"/>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项目联系人（询问）：</w:t>
            </w:r>
            <w:r>
              <w:rPr>
                <w:rFonts w:hint="eastAsia" w:ascii="宋体" w:hAnsi="宋体" w:cs="宋体"/>
                <w:color w:val="auto"/>
                <w:sz w:val="24"/>
                <w:szCs w:val="24"/>
                <w:highlight w:val="none"/>
                <w:lang w:val="en-US" w:eastAsia="zh-CN"/>
              </w:rPr>
              <w:t>应先生</w:t>
            </w:r>
          </w:p>
          <w:p w14:paraId="245CAA84">
            <w:pPr>
              <w:spacing w:line="420" w:lineRule="exact"/>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项目联系方式（询问）：</w:t>
            </w:r>
            <w:r>
              <w:rPr>
                <w:rFonts w:hint="eastAsia" w:ascii="宋体" w:hAnsi="宋体" w:cs="宋体"/>
                <w:color w:val="auto"/>
                <w:sz w:val="24"/>
                <w:szCs w:val="24"/>
                <w:highlight w:val="none"/>
                <w:lang w:val="en-US" w:eastAsia="zh-CN"/>
              </w:rPr>
              <w:t>15868971118</w:t>
            </w:r>
          </w:p>
        </w:tc>
      </w:tr>
      <w:tr w14:paraId="61B542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1338" w:hRule="atLeast"/>
          <w:jc w:val="center"/>
        </w:trPr>
        <w:tc>
          <w:tcPr>
            <w:tcW w:w="816" w:type="dxa"/>
            <w:vAlign w:val="center"/>
          </w:tcPr>
          <w:p w14:paraId="03C137CC">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1707" w:type="dxa"/>
            <w:vAlign w:val="center"/>
          </w:tcPr>
          <w:p w14:paraId="4BD55D9C">
            <w:pPr>
              <w:adjustRightInd w:val="0"/>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采购代理机构</w:t>
            </w:r>
          </w:p>
        </w:tc>
        <w:tc>
          <w:tcPr>
            <w:tcW w:w="7013" w:type="dxa"/>
            <w:vAlign w:val="center"/>
          </w:tcPr>
          <w:p w14:paraId="72A01E30">
            <w:pPr>
              <w:adjustRightInd w:val="0"/>
              <w:spacing w:line="276"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lang w:eastAsia="zh-CN"/>
              </w:rPr>
              <w:t>浙江华杰工程咨询有限公司</w:t>
            </w:r>
          </w:p>
          <w:p w14:paraId="4B90B76D">
            <w:pPr>
              <w:adjustRightInd w:val="0"/>
              <w:spacing w:line="276"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r>
              <w:rPr>
                <w:rFonts w:hint="eastAsia" w:ascii="宋体" w:hAnsi="宋体" w:cs="宋体"/>
                <w:bCs/>
                <w:color w:val="auto"/>
                <w:sz w:val="24"/>
                <w:szCs w:val="24"/>
                <w:highlight w:val="none"/>
                <w:lang w:eastAsia="zh-CN"/>
              </w:rPr>
              <w:t>金华市金东区环城东路1777号11楼</w:t>
            </w:r>
            <w:r>
              <w:rPr>
                <w:rFonts w:hint="eastAsia" w:ascii="宋体" w:hAnsi="宋体" w:eastAsia="宋体" w:cs="宋体"/>
                <w:bCs/>
                <w:color w:val="auto"/>
                <w:sz w:val="24"/>
                <w:szCs w:val="24"/>
                <w:highlight w:val="none"/>
              </w:rPr>
              <w:t xml:space="preserve">招标代理部 </w:t>
            </w:r>
          </w:p>
          <w:p w14:paraId="6AA5EE07">
            <w:pPr>
              <w:spacing w:line="400" w:lineRule="exact"/>
              <w:rPr>
                <w:rFonts w:hint="eastAsia" w:ascii="宋体" w:hAnsi="宋体" w:cs="宋体"/>
                <w:color w:val="auto"/>
                <w:sz w:val="24"/>
                <w:szCs w:val="24"/>
                <w:highlight w:val="none"/>
                <w:lang w:eastAsia="zh-CN"/>
              </w:rPr>
            </w:pPr>
            <w:r>
              <w:rPr>
                <w:rFonts w:hint="eastAsia" w:ascii="宋体" w:hAnsi="宋体" w:eastAsia="宋体" w:cs="宋体"/>
                <w:color w:val="auto"/>
                <w:sz w:val="24"/>
                <w:szCs w:val="24"/>
                <w:highlight w:val="none"/>
              </w:rPr>
              <w:t>联系人：</w:t>
            </w:r>
            <w:r>
              <w:rPr>
                <w:rFonts w:hint="eastAsia" w:ascii="宋体" w:hAnsi="宋体" w:cs="宋体"/>
                <w:color w:val="auto"/>
                <w:sz w:val="24"/>
                <w:szCs w:val="24"/>
                <w:highlight w:val="none"/>
                <w:lang w:val="en-US" w:eastAsia="zh-CN"/>
              </w:rPr>
              <w:t>祝浩亮</w:t>
            </w:r>
          </w:p>
          <w:p w14:paraId="10C2995C">
            <w:pPr>
              <w:spacing w:line="40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联系电话：</w:t>
            </w:r>
            <w:r>
              <w:rPr>
                <w:rFonts w:hint="eastAsia" w:ascii="宋体" w:hAnsi="宋体" w:cs="宋体"/>
                <w:color w:val="auto"/>
                <w:sz w:val="24"/>
                <w:szCs w:val="24"/>
                <w:highlight w:val="none"/>
                <w:lang w:eastAsia="zh-CN"/>
              </w:rPr>
              <w:t>15669561362</w:t>
            </w:r>
          </w:p>
        </w:tc>
      </w:tr>
      <w:tr w14:paraId="51CF0F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584" w:hRule="atLeast"/>
          <w:jc w:val="center"/>
        </w:trPr>
        <w:tc>
          <w:tcPr>
            <w:tcW w:w="816" w:type="dxa"/>
            <w:vAlign w:val="center"/>
          </w:tcPr>
          <w:p w14:paraId="350AFE3B">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1707" w:type="dxa"/>
            <w:vAlign w:val="center"/>
          </w:tcPr>
          <w:p w14:paraId="465047BB">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采购内容</w:t>
            </w:r>
          </w:p>
        </w:tc>
        <w:tc>
          <w:tcPr>
            <w:tcW w:w="7013" w:type="dxa"/>
            <w:vAlign w:val="center"/>
          </w:tcPr>
          <w:p w14:paraId="70130987">
            <w:pPr>
              <w:spacing w:line="36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施工图纸范围内硅pu、人造草坪、排水沟等内容，详见施工图及招标控制价，具体以采购人要求为准。</w:t>
            </w:r>
          </w:p>
        </w:tc>
      </w:tr>
      <w:tr w14:paraId="3801BA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90" w:hRule="atLeast"/>
          <w:jc w:val="center"/>
        </w:trPr>
        <w:tc>
          <w:tcPr>
            <w:tcW w:w="816" w:type="dxa"/>
            <w:vAlign w:val="center"/>
          </w:tcPr>
          <w:p w14:paraId="4B4F005A">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1707" w:type="dxa"/>
            <w:vAlign w:val="center"/>
          </w:tcPr>
          <w:p w14:paraId="262C0D41">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磋商供应商</w:t>
            </w:r>
          </w:p>
          <w:p w14:paraId="02C0227A">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资格要求</w:t>
            </w:r>
          </w:p>
        </w:tc>
        <w:tc>
          <w:tcPr>
            <w:tcW w:w="7013" w:type="dxa"/>
            <w:vAlign w:val="center"/>
          </w:tcPr>
          <w:p w14:paraId="34DB6F0B">
            <w:pPr>
              <w:widowControl w:val="0"/>
              <w:tabs>
                <w:tab w:val="left" w:pos="540"/>
                <w:tab w:val="left" w:pos="1080"/>
              </w:tabs>
              <w:spacing w:line="40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满足《中华人民共和国政府采购法》第二十二条规定；未被“信用中国”（www.creditchina.gov.cn)、中国政府采购网（www.ccgp.gov.cn）列入失信被执行人、重大税收违法失信主体、政府采购严重违法失信行为记录名单。</w:t>
            </w:r>
          </w:p>
          <w:p w14:paraId="6B410C7F">
            <w:pPr>
              <w:widowControl w:val="0"/>
              <w:tabs>
                <w:tab w:val="left" w:pos="540"/>
                <w:tab w:val="left" w:pos="1080"/>
              </w:tabs>
              <w:spacing w:line="4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2、供应商的特定资格条件：</w:t>
            </w:r>
          </w:p>
          <w:p w14:paraId="681A92BB">
            <w:pPr>
              <w:widowControl w:val="0"/>
              <w:tabs>
                <w:tab w:val="left" w:pos="540"/>
                <w:tab w:val="left" w:pos="1080"/>
              </w:tabs>
              <w:spacing w:line="4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①供应商须为独立法人，且</w:t>
            </w:r>
            <w:r>
              <w:rPr>
                <w:rFonts w:hint="eastAsia" w:ascii="宋体" w:hAnsi="宋体" w:cs="宋体"/>
                <w:color w:val="auto"/>
                <w:sz w:val="24"/>
                <w:szCs w:val="24"/>
                <w:highlight w:val="none"/>
                <w:lang w:val="en-US" w:eastAsia="zh-CN"/>
              </w:rPr>
              <w:t>具有</w:t>
            </w:r>
            <w:r>
              <w:rPr>
                <w:rFonts w:hint="eastAsia" w:ascii="宋体" w:hAnsi="宋体" w:cs="宋体"/>
                <w:b/>
                <w:bCs/>
                <w:color w:val="auto"/>
                <w:sz w:val="24"/>
                <w:szCs w:val="24"/>
                <w:highlight w:val="none"/>
                <w:lang w:eastAsia="zh-CN"/>
              </w:rPr>
              <w:t>市政公用工程施工总承包叁级及以上资质</w:t>
            </w:r>
            <w:r>
              <w:rPr>
                <w:rFonts w:hint="eastAsia" w:ascii="宋体" w:hAnsi="宋体" w:eastAsia="宋体" w:cs="宋体"/>
                <w:color w:val="auto"/>
                <w:sz w:val="24"/>
                <w:szCs w:val="24"/>
                <w:highlight w:val="none"/>
              </w:rPr>
              <w:t>，具有有效的安全生产许可证，并在人员、设备、资金等方面具备相应的施工能力；②</w:t>
            </w:r>
            <w:r>
              <w:rPr>
                <w:rFonts w:hint="eastAsia" w:ascii="宋体" w:hAnsi="宋体" w:eastAsia="宋体" w:cs="宋体"/>
                <w:b/>
                <w:bCs/>
                <w:color w:val="auto"/>
                <w:sz w:val="24"/>
                <w:szCs w:val="24"/>
                <w:highlight w:val="none"/>
              </w:rPr>
              <w:t>供应商拟派项目负责人及拟派现场施工人员须为男性并提供承诺书（格式详见附件）</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项目负责人</w:t>
            </w:r>
            <w:r>
              <w:rPr>
                <w:rFonts w:hint="eastAsia" w:ascii="宋体" w:hAnsi="宋体" w:eastAsia="宋体" w:cs="宋体"/>
                <w:color w:val="auto"/>
                <w:sz w:val="24"/>
                <w:szCs w:val="24"/>
                <w:highlight w:val="none"/>
              </w:rPr>
              <w:t>须具有注册在响应人单位的</w:t>
            </w:r>
            <w:r>
              <w:rPr>
                <w:rFonts w:hint="eastAsia" w:ascii="宋体" w:hAnsi="宋体" w:cs="宋体"/>
                <w:b/>
                <w:bCs/>
                <w:color w:val="auto"/>
                <w:sz w:val="24"/>
                <w:szCs w:val="24"/>
                <w:highlight w:val="none"/>
                <w:lang w:eastAsia="zh-CN"/>
              </w:rPr>
              <w:t>市政公用工程工程专业二级及以上</w:t>
            </w:r>
            <w:r>
              <w:rPr>
                <w:rFonts w:hint="eastAsia" w:ascii="宋体" w:hAnsi="宋体" w:eastAsia="宋体" w:cs="宋体"/>
                <w:color w:val="auto"/>
                <w:sz w:val="24"/>
                <w:szCs w:val="24"/>
                <w:highlight w:val="none"/>
              </w:rPr>
              <w:t>注册建造师资格，同时具有有效的专职安全生产管理人员B类证书；③供应商拟驻现场的安全专职管理员具有“三类人员”C类证书；④</w:t>
            </w:r>
            <w:r>
              <w:rPr>
                <w:rFonts w:hint="eastAsia" w:ascii="宋体" w:hAnsi="宋体" w:eastAsia="宋体" w:cs="宋体"/>
                <w:b/>
                <w:bCs/>
                <w:color w:val="auto"/>
                <w:sz w:val="24"/>
                <w:szCs w:val="24"/>
                <w:highlight w:val="none"/>
              </w:rPr>
              <w:t>供应商及拟派项目负责人及安全专职管理人员202</w:t>
            </w:r>
            <w:r>
              <w:rPr>
                <w:rFonts w:hint="eastAsia" w:ascii="宋体" w:hAnsi="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年1月1日至磋商响应截止时间前无行贿犯罪记录（以中国裁判文书网查询结果为准）</w:t>
            </w:r>
            <w:r>
              <w:rPr>
                <w:rFonts w:hint="eastAsia" w:ascii="宋体" w:hAnsi="宋体" w:cs="宋体"/>
                <w:b/>
                <w:bCs/>
                <w:color w:val="auto"/>
                <w:sz w:val="24"/>
                <w:szCs w:val="24"/>
                <w:highlight w:val="none"/>
                <w:lang w:val="en-US" w:eastAsia="zh-CN"/>
              </w:rPr>
              <w:t>并提供相应承诺书</w:t>
            </w:r>
            <w:r>
              <w:rPr>
                <w:rFonts w:hint="eastAsia" w:ascii="宋体" w:hAnsi="宋体" w:eastAsia="宋体" w:cs="宋体"/>
                <w:color w:val="auto"/>
                <w:sz w:val="24"/>
                <w:szCs w:val="24"/>
                <w:highlight w:val="none"/>
              </w:rPr>
              <w:t>；</w:t>
            </w:r>
          </w:p>
          <w:p w14:paraId="2EFF2177">
            <w:pPr>
              <w:widowControl w:val="0"/>
              <w:tabs>
                <w:tab w:val="left" w:pos="540"/>
                <w:tab w:val="left" w:pos="1080"/>
              </w:tabs>
              <w:spacing w:line="400" w:lineRule="exact"/>
              <w:rPr>
                <w:rFonts w:hint="eastAsia" w:ascii="宋体" w:hAnsi="宋体" w:eastAsia="宋体" w:cs="宋体"/>
                <w:b/>
                <w:bCs/>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单位负责人为同一人或者存在直接控股、管理关系的不同供应商，不得参加同一合同项下的政府采购活动。为采购项目提供整体设计、规范编制或者项目管理、监理、检测等服务的供应商，不得再参加该采购项目的其他采购活动。</w:t>
            </w:r>
          </w:p>
          <w:p w14:paraId="308A6308">
            <w:pPr>
              <w:widowControl w:val="0"/>
              <w:tabs>
                <w:tab w:val="left" w:pos="540"/>
                <w:tab w:val="left" w:pos="1080"/>
              </w:tabs>
              <w:spacing w:line="400" w:lineRule="exact"/>
              <w:rPr>
                <w:rFonts w:hint="eastAsia" w:ascii="宋体" w:hAnsi="宋体" w:eastAsia="宋体" w:cs="宋体"/>
                <w:color w:val="auto"/>
                <w:sz w:val="24"/>
                <w:szCs w:val="24"/>
                <w:highlight w:val="none"/>
                <w:lang w:eastAsia="zh-CN"/>
              </w:rPr>
            </w:pPr>
            <w:r>
              <w:rPr>
                <w:rFonts w:hint="eastAsia" w:ascii="宋体" w:hAnsi="宋体" w:cs="宋体"/>
                <w:b/>
                <w:bCs/>
                <w:color w:val="auto"/>
                <w:sz w:val="24"/>
                <w:szCs w:val="24"/>
                <w:highlight w:val="none"/>
                <w:lang w:val="en-US" w:eastAsia="zh-CN"/>
              </w:rPr>
              <w:t>4、</w:t>
            </w:r>
            <w:r>
              <w:rPr>
                <w:rFonts w:hint="eastAsia" w:ascii="宋体" w:hAnsi="宋体"/>
                <w:b/>
                <w:bCs/>
                <w:color w:val="auto"/>
                <w:sz w:val="24"/>
                <w:szCs w:val="24"/>
                <w:highlight w:val="none"/>
              </w:rPr>
              <w:t>本项目仅面向中小企业</w:t>
            </w:r>
            <w:r>
              <w:rPr>
                <w:rFonts w:hint="eastAsia" w:ascii="宋体" w:hAnsi="宋体"/>
                <w:b/>
                <w:bCs/>
                <w:color w:val="auto"/>
                <w:sz w:val="24"/>
                <w:szCs w:val="24"/>
                <w:highlight w:val="none"/>
                <w:lang w:val="en-US" w:eastAsia="zh-CN"/>
              </w:rPr>
              <w:t>/</w:t>
            </w:r>
            <w:r>
              <w:rPr>
                <w:rFonts w:hint="eastAsia" w:ascii="宋体" w:hAnsi="宋体"/>
                <w:b/>
                <w:bCs/>
                <w:color w:val="auto"/>
                <w:sz w:val="24"/>
                <w:szCs w:val="24"/>
                <w:highlight w:val="none"/>
                <w:lang w:eastAsia="zh-CN"/>
              </w:rPr>
              <w:t>小微企业</w:t>
            </w:r>
            <w:r>
              <w:rPr>
                <w:rFonts w:hint="eastAsia" w:ascii="宋体" w:hAnsi="宋体"/>
                <w:b/>
                <w:bCs/>
                <w:color w:val="auto"/>
                <w:sz w:val="24"/>
                <w:szCs w:val="24"/>
                <w:highlight w:val="none"/>
              </w:rPr>
              <w:t>进行采购</w:t>
            </w:r>
            <w:r>
              <w:rPr>
                <w:rFonts w:hint="eastAsia" w:ascii="宋体" w:hAnsi="宋体"/>
                <w:b/>
                <w:bCs/>
                <w:color w:val="auto"/>
                <w:sz w:val="24"/>
                <w:szCs w:val="24"/>
                <w:highlight w:val="none"/>
                <w:lang w:eastAsia="zh-CN"/>
              </w:rPr>
              <w:t>。</w:t>
            </w:r>
          </w:p>
        </w:tc>
      </w:tr>
      <w:tr w14:paraId="646598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521" w:hRule="atLeast"/>
          <w:jc w:val="center"/>
        </w:trPr>
        <w:tc>
          <w:tcPr>
            <w:tcW w:w="816" w:type="dxa"/>
            <w:vAlign w:val="center"/>
          </w:tcPr>
          <w:p w14:paraId="75BC67B6">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1707" w:type="dxa"/>
            <w:vAlign w:val="center"/>
          </w:tcPr>
          <w:p w14:paraId="4AC190A1">
            <w:pPr>
              <w:adjustRightInd w:val="0"/>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是否接受联合体响应</w:t>
            </w:r>
          </w:p>
        </w:tc>
        <w:tc>
          <w:tcPr>
            <w:tcW w:w="7013" w:type="dxa"/>
            <w:vAlign w:val="center"/>
          </w:tcPr>
          <w:p w14:paraId="28BD0084">
            <w:pPr>
              <w:adjustRightInd w:val="0"/>
              <w:spacing w:line="276"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sym w:font="Wingdings" w:char="00FE"/>
            </w:r>
            <w:r>
              <w:rPr>
                <w:rFonts w:hint="eastAsia" w:ascii="宋体" w:hAnsi="宋体" w:eastAsia="宋体" w:cs="宋体"/>
                <w:color w:val="auto"/>
                <w:sz w:val="24"/>
                <w:szCs w:val="24"/>
                <w:highlight w:val="none"/>
              </w:rPr>
              <w:t>不接受</w:t>
            </w:r>
          </w:p>
          <w:p w14:paraId="000A3330">
            <w:pPr>
              <w:adjustRightInd w:val="0"/>
              <w:spacing w:line="276" w:lineRule="auto"/>
              <w:rPr>
                <w:rFonts w:hint="eastAsia" w:ascii="宋体" w:hAnsi="宋体" w:eastAsia="宋体" w:cs="宋体"/>
                <w:i/>
                <w:color w:val="auto"/>
                <w:sz w:val="24"/>
                <w:szCs w:val="24"/>
                <w:highlight w:val="none"/>
              </w:rPr>
            </w:pP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 xml:space="preserve"> 接受</w:t>
            </w:r>
          </w:p>
        </w:tc>
      </w:tr>
      <w:tr w14:paraId="6A926B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1040" w:hRule="atLeast"/>
          <w:jc w:val="center"/>
        </w:trPr>
        <w:tc>
          <w:tcPr>
            <w:tcW w:w="816" w:type="dxa"/>
            <w:vAlign w:val="center"/>
          </w:tcPr>
          <w:p w14:paraId="6D46F611">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1707" w:type="dxa"/>
            <w:vAlign w:val="center"/>
          </w:tcPr>
          <w:p w14:paraId="7E70B812">
            <w:pPr>
              <w:adjustRightInd w:val="0"/>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踏勘现场</w:t>
            </w:r>
          </w:p>
        </w:tc>
        <w:tc>
          <w:tcPr>
            <w:tcW w:w="7013" w:type="dxa"/>
            <w:vAlign w:val="center"/>
          </w:tcPr>
          <w:p w14:paraId="1A03101F">
            <w:pPr>
              <w:pStyle w:val="29"/>
              <w:ind w:firstLine="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不组织踏勘。</w:t>
            </w:r>
          </w:p>
          <w:p w14:paraId="10E2150C">
            <w:pPr>
              <w:pStyle w:val="29"/>
              <w:ind w:firstLine="0" w:firstLineChars="0"/>
              <w:rPr>
                <w:rFonts w:hint="eastAsia" w:ascii="宋体" w:hAnsi="宋体" w:eastAsia="宋体" w:cs="宋体"/>
                <w:color w:val="auto"/>
                <w:highlight w:val="none"/>
                <w:lang w:val="en-US" w:eastAsia="zh-CN"/>
              </w:rPr>
            </w:pPr>
            <w:r>
              <w:rPr>
                <w:rFonts w:hint="eastAsia" w:ascii="宋体" w:hAnsi="宋体" w:eastAsia="宋体" w:cs="宋体"/>
                <w:color w:val="auto"/>
                <w:sz w:val="24"/>
                <w:szCs w:val="24"/>
                <w:highlight w:val="none"/>
                <w:lang w:eastAsia="zh-CN"/>
              </w:rPr>
              <w:t>如有需要请</w:t>
            </w:r>
            <w:r>
              <w:rPr>
                <w:rFonts w:hint="eastAsia" w:ascii="宋体" w:hAnsi="宋体" w:eastAsia="宋体" w:cs="宋体"/>
                <w:color w:val="auto"/>
                <w:sz w:val="24"/>
                <w:szCs w:val="24"/>
                <w:highlight w:val="none"/>
              </w:rPr>
              <w:t>联系</w:t>
            </w:r>
            <w:r>
              <w:rPr>
                <w:rFonts w:hint="eastAsia" w:ascii="宋体" w:hAnsi="宋体" w:eastAsia="宋体" w:cs="宋体"/>
                <w:color w:val="auto"/>
                <w:sz w:val="24"/>
                <w:szCs w:val="24"/>
                <w:highlight w:val="none"/>
                <w:lang w:eastAsia="zh-CN"/>
              </w:rPr>
              <w:t>业务部门</w:t>
            </w:r>
          </w:p>
        </w:tc>
      </w:tr>
      <w:tr w14:paraId="79B553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491" w:hRule="atLeast"/>
          <w:jc w:val="center"/>
        </w:trPr>
        <w:tc>
          <w:tcPr>
            <w:tcW w:w="816" w:type="dxa"/>
            <w:vAlign w:val="center"/>
          </w:tcPr>
          <w:p w14:paraId="5F83AD0A">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1707" w:type="dxa"/>
            <w:vAlign w:val="center"/>
          </w:tcPr>
          <w:p w14:paraId="061566D9">
            <w:pPr>
              <w:adjustRightInd w:val="0"/>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是否允许递交备选磋商方案</w:t>
            </w:r>
          </w:p>
        </w:tc>
        <w:tc>
          <w:tcPr>
            <w:tcW w:w="7013" w:type="dxa"/>
            <w:vAlign w:val="center"/>
          </w:tcPr>
          <w:p w14:paraId="512A89DE">
            <w:pPr>
              <w:adjustRightInd w:val="0"/>
              <w:spacing w:line="276"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sym w:font="Wingdings" w:char="00FE"/>
            </w:r>
            <w:r>
              <w:rPr>
                <w:rFonts w:hint="eastAsia" w:ascii="宋体" w:hAnsi="宋体" w:eastAsia="宋体" w:cs="宋体"/>
                <w:color w:val="auto"/>
                <w:sz w:val="24"/>
                <w:szCs w:val="24"/>
                <w:highlight w:val="none"/>
              </w:rPr>
              <w:t xml:space="preserve"> 不允许</w:t>
            </w:r>
          </w:p>
          <w:p w14:paraId="4728A545">
            <w:pPr>
              <w:adjustRightInd w:val="0"/>
              <w:spacing w:line="276"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允许</w:t>
            </w:r>
          </w:p>
        </w:tc>
      </w:tr>
      <w:tr w14:paraId="275FD9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162" w:hRule="atLeast"/>
          <w:jc w:val="center"/>
        </w:trPr>
        <w:tc>
          <w:tcPr>
            <w:tcW w:w="816" w:type="dxa"/>
            <w:vAlign w:val="center"/>
          </w:tcPr>
          <w:p w14:paraId="3AA282BA">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1707" w:type="dxa"/>
            <w:vAlign w:val="center"/>
          </w:tcPr>
          <w:p w14:paraId="68C4C381">
            <w:pPr>
              <w:adjustRightInd w:val="0"/>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报价货币</w:t>
            </w:r>
          </w:p>
        </w:tc>
        <w:tc>
          <w:tcPr>
            <w:tcW w:w="7013" w:type="dxa"/>
            <w:vAlign w:val="center"/>
          </w:tcPr>
          <w:p w14:paraId="2A85F9D0">
            <w:pPr>
              <w:adjustRightInd w:val="0"/>
              <w:spacing w:line="276"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w:t>
            </w:r>
          </w:p>
        </w:tc>
      </w:tr>
      <w:tr w14:paraId="0E3EFB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90" w:hRule="atLeast"/>
          <w:jc w:val="center"/>
        </w:trPr>
        <w:tc>
          <w:tcPr>
            <w:tcW w:w="816" w:type="dxa"/>
            <w:vAlign w:val="center"/>
          </w:tcPr>
          <w:p w14:paraId="3623880B">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1707" w:type="dxa"/>
            <w:vAlign w:val="center"/>
          </w:tcPr>
          <w:p w14:paraId="7E3BB271">
            <w:pPr>
              <w:adjustRightInd w:val="0"/>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报价语言</w:t>
            </w:r>
          </w:p>
        </w:tc>
        <w:tc>
          <w:tcPr>
            <w:tcW w:w="7013" w:type="dxa"/>
            <w:vAlign w:val="center"/>
          </w:tcPr>
          <w:p w14:paraId="6C187228">
            <w:pPr>
              <w:adjustRightInd w:val="0"/>
              <w:spacing w:line="276"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中文</w:t>
            </w:r>
          </w:p>
        </w:tc>
      </w:tr>
      <w:tr w14:paraId="6B3E5C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266" w:hRule="atLeast"/>
          <w:jc w:val="center"/>
        </w:trPr>
        <w:tc>
          <w:tcPr>
            <w:tcW w:w="816" w:type="dxa"/>
            <w:vAlign w:val="center"/>
          </w:tcPr>
          <w:p w14:paraId="5E29DAF7">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1707" w:type="dxa"/>
            <w:vAlign w:val="center"/>
          </w:tcPr>
          <w:p w14:paraId="21C2D8F8">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磋商响应</w:t>
            </w:r>
          </w:p>
          <w:p w14:paraId="44948C57">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文件份数</w:t>
            </w:r>
          </w:p>
        </w:tc>
        <w:tc>
          <w:tcPr>
            <w:tcW w:w="7013" w:type="dxa"/>
            <w:vAlign w:val="center"/>
          </w:tcPr>
          <w:p w14:paraId="530E5F6E">
            <w:pPr>
              <w:pStyle w:val="20"/>
              <w:spacing w:line="276"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本项目实施线上响应，磋商时无纸质响应文件，成交候选人在获取成交通知书后3个工作日内补齐纸质响应文件正本壹份，副本叁份。</w:t>
            </w:r>
          </w:p>
        </w:tc>
      </w:tr>
      <w:tr w14:paraId="030413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26" w:hRule="atLeast"/>
          <w:jc w:val="center"/>
        </w:trPr>
        <w:tc>
          <w:tcPr>
            <w:tcW w:w="816" w:type="dxa"/>
            <w:vAlign w:val="center"/>
          </w:tcPr>
          <w:p w14:paraId="3F3920A3">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1707" w:type="dxa"/>
            <w:vAlign w:val="center"/>
          </w:tcPr>
          <w:p w14:paraId="2B68BFA1">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磋商有效期</w:t>
            </w:r>
          </w:p>
        </w:tc>
        <w:tc>
          <w:tcPr>
            <w:tcW w:w="7013" w:type="dxa"/>
            <w:vAlign w:val="center"/>
          </w:tcPr>
          <w:p w14:paraId="34E98690">
            <w:pPr>
              <w:spacing w:line="276"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磋商截止时间起90日历天</w:t>
            </w:r>
          </w:p>
        </w:tc>
      </w:tr>
      <w:tr w14:paraId="5913F7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485" w:hRule="atLeast"/>
          <w:jc w:val="center"/>
        </w:trPr>
        <w:tc>
          <w:tcPr>
            <w:tcW w:w="816" w:type="dxa"/>
            <w:vAlign w:val="center"/>
          </w:tcPr>
          <w:p w14:paraId="05F92450">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1707" w:type="dxa"/>
            <w:vAlign w:val="center"/>
          </w:tcPr>
          <w:p w14:paraId="2A7F5B97">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签字或盖章要求</w:t>
            </w:r>
          </w:p>
        </w:tc>
        <w:tc>
          <w:tcPr>
            <w:tcW w:w="7013" w:type="dxa"/>
            <w:vAlign w:val="center"/>
          </w:tcPr>
          <w:p w14:paraId="1FC04BFA">
            <w:pPr>
              <w:spacing w:line="276"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磋商响应文件中需签字或盖章的地方均加盖磋商供应商单位全称的公章，不得使用投标专用章、合同章等类似图章代替，并经法定代表人或其授权代表盖章（或签字），否则作无效响应文件处理。</w:t>
            </w:r>
          </w:p>
        </w:tc>
      </w:tr>
      <w:tr w14:paraId="2DEE40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90" w:hRule="atLeast"/>
          <w:jc w:val="center"/>
        </w:trPr>
        <w:tc>
          <w:tcPr>
            <w:tcW w:w="816" w:type="dxa"/>
            <w:vAlign w:val="center"/>
          </w:tcPr>
          <w:p w14:paraId="5591A9E7">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1707" w:type="dxa"/>
            <w:vAlign w:val="center"/>
          </w:tcPr>
          <w:p w14:paraId="7DB2B59C">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密封、装订要求</w:t>
            </w:r>
          </w:p>
        </w:tc>
        <w:tc>
          <w:tcPr>
            <w:tcW w:w="7013" w:type="dxa"/>
            <w:vAlign w:val="center"/>
          </w:tcPr>
          <w:p w14:paraId="0E3BC6E0">
            <w:pPr>
              <w:spacing w:line="276"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磋商时无纸质响应文件，成交后由成交供应商提交壹正叁副纸质响应文件</w:t>
            </w:r>
          </w:p>
        </w:tc>
      </w:tr>
      <w:tr w14:paraId="317716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142" w:hRule="atLeast"/>
          <w:jc w:val="center"/>
        </w:trPr>
        <w:tc>
          <w:tcPr>
            <w:tcW w:w="816" w:type="dxa"/>
            <w:vAlign w:val="center"/>
          </w:tcPr>
          <w:p w14:paraId="39A1DC02">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1707" w:type="dxa"/>
            <w:vAlign w:val="center"/>
          </w:tcPr>
          <w:p w14:paraId="4E2F2A04">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磋商样品</w:t>
            </w:r>
          </w:p>
        </w:tc>
        <w:tc>
          <w:tcPr>
            <w:tcW w:w="7013" w:type="dxa"/>
            <w:vAlign w:val="center"/>
          </w:tcPr>
          <w:p w14:paraId="08EC8DFE">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sym w:font="Wingdings" w:char="00FE"/>
            </w:r>
            <w:r>
              <w:rPr>
                <w:rFonts w:hint="eastAsia" w:ascii="宋体" w:hAnsi="宋体" w:eastAsia="宋体" w:cs="宋体"/>
                <w:color w:val="auto"/>
                <w:sz w:val="24"/>
                <w:szCs w:val="24"/>
                <w:highlight w:val="none"/>
              </w:rPr>
              <w:t>不需要</w:t>
            </w:r>
          </w:p>
          <w:p w14:paraId="6B331C30">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需要</w:t>
            </w:r>
          </w:p>
        </w:tc>
      </w:tr>
      <w:tr w14:paraId="60F281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736" w:hRule="atLeast"/>
          <w:jc w:val="center"/>
        </w:trPr>
        <w:tc>
          <w:tcPr>
            <w:tcW w:w="816" w:type="dxa"/>
            <w:vAlign w:val="center"/>
          </w:tcPr>
          <w:p w14:paraId="4FA0D758">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w:t>
            </w:r>
          </w:p>
        </w:tc>
        <w:tc>
          <w:tcPr>
            <w:tcW w:w="1707" w:type="dxa"/>
            <w:vAlign w:val="center"/>
          </w:tcPr>
          <w:p w14:paraId="0830B7CD">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磋商保证金</w:t>
            </w:r>
          </w:p>
        </w:tc>
        <w:tc>
          <w:tcPr>
            <w:tcW w:w="7013" w:type="dxa"/>
            <w:vAlign w:val="center"/>
          </w:tcPr>
          <w:p w14:paraId="07C2D3E1">
            <w:pPr>
              <w:spacing w:line="4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本项目无须交纳磋商保证金。</w:t>
            </w:r>
          </w:p>
        </w:tc>
      </w:tr>
      <w:tr w14:paraId="561BAA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462" w:hRule="atLeast"/>
          <w:jc w:val="center"/>
        </w:trPr>
        <w:tc>
          <w:tcPr>
            <w:tcW w:w="816" w:type="dxa"/>
            <w:vAlign w:val="center"/>
          </w:tcPr>
          <w:p w14:paraId="58CDF17B">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1707" w:type="dxa"/>
            <w:vAlign w:val="center"/>
          </w:tcPr>
          <w:p w14:paraId="7AE61CD2">
            <w:pPr>
              <w:adjustRightInd w:val="0"/>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履约担保</w:t>
            </w:r>
          </w:p>
        </w:tc>
        <w:tc>
          <w:tcPr>
            <w:tcW w:w="7013" w:type="dxa"/>
            <w:vAlign w:val="center"/>
          </w:tcPr>
          <w:p w14:paraId="3403C465">
            <w:pPr>
              <w:spacing w:line="276"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sym w:font="Wingdings" w:char="00A8"/>
            </w:r>
            <w:r>
              <w:rPr>
                <w:rFonts w:hint="eastAsia" w:ascii="宋体" w:hAnsi="宋体" w:eastAsia="宋体" w:cs="宋体"/>
                <w:color w:val="auto"/>
                <w:sz w:val="24"/>
                <w:szCs w:val="24"/>
                <w:highlight w:val="none"/>
              </w:rPr>
              <w:t>不需要</w:t>
            </w:r>
          </w:p>
          <w:p w14:paraId="182C9460">
            <w:pPr>
              <w:adjustRightInd w:val="0"/>
              <w:spacing w:line="276"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sym w:font="Wingdings" w:char="00FE"/>
            </w:r>
            <w:r>
              <w:rPr>
                <w:rFonts w:hint="eastAsia" w:ascii="宋体" w:hAnsi="宋体" w:eastAsia="宋体" w:cs="宋体"/>
                <w:color w:val="auto"/>
                <w:sz w:val="24"/>
                <w:szCs w:val="24"/>
                <w:highlight w:val="none"/>
              </w:rPr>
              <w:t>需要  成交通知书发出后，按</w:t>
            </w:r>
            <w:r>
              <w:rPr>
                <w:rFonts w:hint="eastAsia" w:ascii="宋体" w:hAnsi="宋体" w:cs="宋体"/>
                <w:b/>
                <w:bCs/>
                <w:color w:val="auto"/>
                <w:sz w:val="24"/>
                <w:szCs w:val="24"/>
                <w:highlight w:val="none"/>
                <w:lang w:val="en-US" w:eastAsia="zh-CN"/>
              </w:rPr>
              <w:t>合同价的1%</w:t>
            </w:r>
            <w:r>
              <w:rPr>
                <w:rFonts w:hint="eastAsia" w:ascii="宋体" w:hAnsi="宋体" w:eastAsia="宋体" w:cs="宋体"/>
                <w:color w:val="auto"/>
                <w:sz w:val="24"/>
                <w:szCs w:val="24"/>
                <w:highlight w:val="none"/>
              </w:rPr>
              <w:t>收取履约保证金</w:t>
            </w:r>
            <w:r>
              <w:rPr>
                <w:rFonts w:hint="eastAsia" w:ascii="宋体" w:hAnsi="宋体" w:cs="宋体"/>
                <w:color w:val="auto"/>
                <w:sz w:val="24"/>
                <w:szCs w:val="24"/>
                <w:highlight w:val="none"/>
                <w:lang w:eastAsia="zh-CN"/>
              </w:rPr>
              <w:t>，具体约定详见合同</w:t>
            </w:r>
          </w:p>
        </w:tc>
      </w:tr>
      <w:tr w14:paraId="417F68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90" w:hRule="atLeast"/>
          <w:jc w:val="center"/>
        </w:trPr>
        <w:tc>
          <w:tcPr>
            <w:tcW w:w="816" w:type="dxa"/>
            <w:vAlign w:val="center"/>
          </w:tcPr>
          <w:p w14:paraId="598E7A26">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1707" w:type="dxa"/>
            <w:vAlign w:val="center"/>
          </w:tcPr>
          <w:p w14:paraId="61EF9493">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磋商文件发售时间及获取方式</w:t>
            </w:r>
          </w:p>
        </w:tc>
        <w:tc>
          <w:tcPr>
            <w:tcW w:w="7013" w:type="dxa"/>
            <w:vAlign w:val="center"/>
          </w:tcPr>
          <w:p w14:paraId="6DB153EA">
            <w:pPr>
              <w:spacing w:line="276"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详见采购公告有关内容</w:t>
            </w:r>
          </w:p>
        </w:tc>
      </w:tr>
      <w:tr w14:paraId="51F529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03" w:hRule="atLeast"/>
          <w:jc w:val="center"/>
        </w:trPr>
        <w:tc>
          <w:tcPr>
            <w:tcW w:w="816" w:type="dxa"/>
            <w:vAlign w:val="center"/>
          </w:tcPr>
          <w:p w14:paraId="6F9C6FB4">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1707" w:type="dxa"/>
            <w:vAlign w:val="center"/>
          </w:tcPr>
          <w:p w14:paraId="7852C8DE">
            <w:pPr>
              <w:spacing w:line="276" w:lineRule="auto"/>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磋商截止时间</w:t>
            </w:r>
          </w:p>
        </w:tc>
        <w:tc>
          <w:tcPr>
            <w:tcW w:w="7013" w:type="dxa"/>
            <w:vAlign w:val="center"/>
          </w:tcPr>
          <w:p w14:paraId="01681DE3">
            <w:pPr>
              <w:spacing w:line="276" w:lineRule="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日</w:t>
            </w:r>
            <w:r>
              <w:rPr>
                <w:rFonts w:hint="eastAsia" w:ascii="宋体" w:hAnsi="宋体" w:eastAsia="宋体" w:cs="宋体"/>
                <w:color w:val="auto"/>
                <w:sz w:val="24"/>
                <w:szCs w:val="24"/>
                <w:highlight w:val="none"/>
                <w:lang w:val="en-US" w:eastAsia="zh-CN"/>
              </w:rPr>
              <w:t>9时00分</w:t>
            </w:r>
            <w:r>
              <w:rPr>
                <w:rFonts w:hint="eastAsia" w:ascii="宋体" w:hAnsi="宋体" w:eastAsia="宋体" w:cs="宋体"/>
                <w:color w:val="auto"/>
                <w:sz w:val="24"/>
                <w:szCs w:val="24"/>
                <w:highlight w:val="none"/>
              </w:rPr>
              <w:t>；</w:t>
            </w:r>
            <w:r>
              <w:rPr>
                <w:rFonts w:hint="eastAsia" w:ascii="宋体" w:hAnsi="宋体" w:eastAsia="宋体" w:cs="宋体"/>
                <w:b/>
                <w:bCs/>
                <w:color w:val="auto"/>
                <w:sz w:val="24"/>
                <w:szCs w:val="24"/>
                <w:highlight w:val="none"/>
              </w:rPr>
              <w:t>(北京时间)</w:t>
            </w:r>
          </w:p>
        </w:tc>
      </w:tr>
      <w:tr w14:paraId="70AB4C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90" w:hRule="atLeast"/>
          <w:jc w:val="center"/>
        </w:trPr>
        <w:tc>
          <w:tcPr>
            <w:tcW w:w="816" w:type="dxa"/>
            <w:vAlign w:val="center"/>
          </w:tcPr>
          <w:p w14:paraId="69DF3912">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1707" w:type="dxa"/>
            <w:vAlign w:val="center"/>
          </w:tcPr>
          <w:p w14:paraId="33C10805">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磋商响应文件递交时间</w:t>
            </w:r>
          </w:p>
        </w:tc>
        <w:tc>
          <w:tcPr>
            <w:tcW w:w="7013" w:type="dxa"/>
            <w:vAlign w:val="center"/>
          </w:tcPr>
          <w:p w14:paraId="50BE0583">
            <w:pPr>
              <w:spacing w:line="276"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日</w:t>
            </w:r>
            <w:r>
              <w:rPr>
                <w:rFonts w:hint="eastAsia" w:ascii="宋体" w:hAnsi="宋体" w:eastAsia="宋体" w:cs="宋体"/>
                <w:color w:val="auto"/>
                <w:sz w:val="24"/>
                <w:szCs w:val="24"/>
                <w:highlight w:val="none"/>
                <w:lang w:val="en-US" w:eastAsia="zh-CN"/>
              </w:rPr>
              <w:t>9时00分</w:t>
            </w:r>
            <w:r>
              <w:rPr>
                <w:rFonts w:hint="eastAsia" w:ascii="宋体" w:hAnsi="宋体" w:eastAsia="宋体" w:cs="宋体"/>
                <w:color w:val="auto"/>
                <w:sz w:val="24"/>
                <w:szCs w:val="24"/>
                <w:highlight w:val="none"/>
              </w:rPr>
              <w:t>；</w:t>
            </w:r>
            <w:r>
              <w:rPr>
                <w:rFonts w:hint="eastAsia" w:ascii="宋体" w:hAnsi="宋体" w:eastAsia="宋体" w:cs="宋体"/>
                <w:b/>
                <w:bCs/>
                <w:color w:val="auto"/>
                <w:sz w:val="24"/>
                <w:szCs w:val="24"/>
                <w:highlight w:val="none"/>
              </w:rPr>
              <w:t>(北京时间)</w:t>
            </w:r>
          </w:p>
        </w:tc>
      </w:tr>
      <w:tr w14:paraId="6C9C34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1296" w:hRule="atLeast"/>
          <w:jc w:val="center"/>
        </w:trPr>
        <w:tc>
          <w:tcPr>
            <w:tcW w:w="816" w:type="dxa"/>
            <w:vAlign w:val="center"/>
          </w:tcPr>
          <w:p w14:paraId="6033C58E">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1707" w:type="dxa"/>
            <w:vAlign w:val="center"/>
          </w:tcPr>
          <w:p w14:paraId="0F81D2C3">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磋商开始时间</w:t>
            </w:r>
          </w:p>
          <w:p w14:paraId="5F781BAC">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磋商地点</w:t>
            </w:r>
          </w:p>
        </w:tc>
        <w:tc>
          <w:tcPr>
            <w:tcW w:w="7013" w:type="dxa"/>
            <w:vAlign w:val="center"/>
          </w:tcPr>
          <w:p w14:paraId="3C2544D7">
            <w:pPr>
              <w:spacing w:line="276"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磋商开始时间：</w:t>
            </w: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日</w:t>
            </w:r>
            <w:r>
              <w:rPr>
                <w:rFonts w:hint="eastAsia" w:ascii="宋体" w:hAnsi="宋体" w:eastAsia="宋体" w:cs="宋体"/>
                <w:color w:val="auto"/>
                <w:sz w:val="24"/>
                <w:szCs w:val="24"/>
                <w:highlight w:val="none"/>
                <w:lang w:val="en-US" w:eastAsia="zh-CN"/>
              </w:rPr>
              <w:t>9时00分</w:t>
            </w:r>
            <w:r>
              <w:rPr>
                <w:rFonts w:hint="eastAsia" w:ascii="宋体" w:hAnsi="宋体" w:eastAsia="宋体" w:cs="宋体"/>
                <w:color w:val="auto"/>
                <w:sz w:val="24"/>
                <w:szCs w:val="24"/>
                <w:highlight w:val="none"/>
              </w:rPr>
              <w:t>(北京时间)</w:t>
            </w:r>
          </w:p>
          <w:p w14:paraId="023B504E">
            <w:pPr>
              <w:spacing w:line="276" w:lineRule="auto"/>
              <w:rPr>
                <w:rFonts w:hint="eastAsia" w:ascii="宋体" w:hAnsi="宋体" w:eastAsia="宋体" w:cs="宋体"/>
                <w:color w:val="auto"/>
                <w:sz w:val="24"/>
                <w:highlight w:val="none"/>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磋商地点：</w:t>
            </w:r>
            <w:r>
              <w:rPr>
                <w:rFonts w:hint="eastAsia" w:ascii="宋体" w:hAnsi="宋体" w:eastAsia="宋体" w:cs="宋体"/>
                <w:color w:val="auto"/>
                <w:sz w:val="24"/>
                <w:highlight w:val="none"/>
              </w:rPr>
              <w:t>金华市行政服务中心新办事大厅4楼</w:t>
            </w:r>
            <w:r>
              <w:rPr>
                <w:rFonts w:hint="eastAsia" w:ascii="宋体" w:hAnsi="宋体" w:cs="宋体"/>
                <w:color w:val="auto"/>
                <w:sz w:val="24"/>
                <w:highlight w:val="none"/>
                <w:lang w:eastAsia="zh-CN"/>
              </w:rPr>
              <w:t>开标</w:t>
            </w:r>
            <w:r>
              <w:rPr>
                <w:rFonts w:hint="eastAsia" w:ascii="宋体" w:hAnsi="宋体" w:cs="宋体"/>
                <w:color w:val="auto"/>
                <w:sz w:val="24"/>
                <w:highlight w:val="none"/>
                <w:lang w:val="en-US" w:eastAsia="zh-CN"/>
              </w:rPr>
              <w:t>jutiyuedi</w:t>
            </w:r>
            <w:r>
              <w:rPr>
                <w:rFonts w:hint="eastAsia" w:ascii="宋体" w:hAnsi="宋体" w:cs="宋体"/>
                <w:color w:val="auto"/>
                <w:sz w:val="24"/>
                <w:highlight w:val="none"/>
                <w:lang w:eastAsia="zh-CN"/>
              </w:rPr>
              <w:t>室</w:t>
            </w:r>
            <w:r>
              <w:rPr>
                <w:rFonts w:hint="eastAsia" w:ascii="宋体" w:hAnsi="宋体" w:eastAsia="宋体" w:cs="宋体"/>
                <w:color w:val="auto"/>
                <w:sz w:val="24"/>
                <w:highlight w:val="none"/>
              </w:rPr>
              <w:t>（金华市858号金华财富大厦）</w:t>
            </w:r>
          </w:p>
          <w:p w14:paraId="1BB527FE">
            <w:pPr>
              <w:spacing w:line="276"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https://www.zcygov.cn/。</w:t>
            </w:r>
          </w:p>
          <w:p w14:paraId="1B6FEA14">
            <w:pPr>
              <w:spacing w:line="276"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 xml:space="preserve">、开标在线解密：开标后，采购组织机构将向各供应商发出“电子加密投标文件”的解密通知，各供应商代表应当在接到解密通知后30分钟内自行完成“电子加密投标文件”的在线解密。 </w:t>
            </w:r>
          </w:p>
          <w:p w14:paraId="11AC39B0">
            <w:pPr>
              <w:spacing w:line="276"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解密异常处理：如在线解密失败，开标活动组织人员将启动异常处理，上传供应商在响应截止时间前提交的备份电子投标文件进行再次解密，如未提供备份电子投标文件，将不进行再次解密程序。无法在线解密视为供应商放弃投标，其响应文件按拒收处理。</w:t>
            </w:r>
          </w:p>
          <w:p w14:paraId="673CE36D">
            <w:pPr>
              <w:spacing w:line="276"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在线解密时间：在线解密时间为30分钟，无法在线解密视为供应商放弃投标，其响应文件按拒收处理。</w:t>
            </w:r>
          </w:p>
        </w:tc>
      </w:tr>
      <w:tr w14:paraId="59D476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1448" w:hRule="atLeast"/>
          <w:jc w:val="center"/>
        </w:trPr>
        <w:tc>
          <w:tcPr>
            <w:tcW w:w="816" w:type="dxa"/>
            <w:vAlign w:val="center"/>
          </w:tcPr>
          <w:p w14:paraId="4CAA367F">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1707" w:type="dxa"/>
            <w:vAlign w:val="center"/>
          </w:tcPr>
          <w:p w14:paraId="016544AC">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磋商小组的组建</w:t>
            </w:r>
          </w:p>
        </w:tc>
        <w:tc>
          <w:tcPr>
            <w:tcW w:w="7013" w:type="dxa"/>
            <w:vAlign w:val="center"/>
          </w:tcPr>
          <w:p w14:paraId="2B1051EA">
            <w:pPr>
              <w:spacing w:line="276"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小组由采购人代表和评审专家共3人或以上单数组成，其中评审专家人数不得少于磋商小组成员总数的2/3。采购代理机构人员不得参加本机构代理的采购项目的评审。评审专家确定方式：按相关规定从专家库中抽取。</w:t>
            </w:r>
          </w:p>
        </w:tc>
      </w:tr>
      <w:tr w14:paraId="55CEC4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433" w:hRule="atLeast"/>
          <w:jc w:val="center"/>
        </w:trPr>
        <w:tc>
          <w:tcPr>
            <w:tcW w:w="816" w:type="dxa"/>
            <w:vAlign w:val="center"/>
          </w:tcPr>
          <w:p w14:paraId="3CC2033A">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1707" w:type="dxa"/>
            <w:vAlign w:val="center"/>
          </w:tcPr>
          <w:p w14:paraId="7C4A441C">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报价要求</w:t>
            </w:r>
          </w:p>
        </w:tc>
        <w:tc>
          <w:tcPr>
            <w:tcW w:w="7013" w:type="dxa"/>
            <w:vAlign w:val="center"/>
          </w:tcPr>
          <w:p w14:paraId="726C63A0">
            <w:pPr>
              <w:spacing w:line="276" w:lineRule="auto"/>
              <w:rPr>
                <w:rFonts w:ascii="宋体" w:hAnsi="宋体" w:cs="宋体"/>
                <w:b/>
                <w:color w:val="auto"/>
                <w:sz w:val="24"/>
                <w:szCs w:val="24"/>
                <w:highlight w:val="none"/>
              </w:rPr>
            </w:pPr>
            <w:r>
              <w:rPr>
                <w:rFonts w:hint="eastAsia" w:ascii="宋体" w:hAnsi="宋体" w:cs="宋体"/>
                <w:color w:val="auto"/>
                <w:sz w:val="24"/>
                <w:szCs w:val="24"/>
                <w:highlight w:val="none"/>
              </w:rPr>
              <w:t>本项目采购预算为人民</w:t>
            </w:r>
            <w:r>
              <w:rPr>
                <w:rFonts w:hint="eastAsia" w:ascii="宋体" w:hAnsi="宋体" w:cs="宋体"/>
                <w:color w:val="auto"/>
                <w:sz w:val="24"/>
                <w:szCs w:val="24"/>
                <w:highlight w:val="none"/>
                <w:lang w:val="zh-CN"/>
              </w:rPr>
              <w:t>币</w:t>
            </w:r>
            <w:r>
              <w:rPr>
                <w:rFonts w:hint="eastAsia" w:ascii="宋体" w:hAnsi="宋体" w:cs="宋体"/>
                <w:color w:val="auto"/>
                <w:sz w:val="24"/>
                <w:szCs w:val="24"/>
                <w:highlight w:val="none"/>
                <w:u w:val="single"/>
                <w:lang w:val="en-US" w:eastAsia="zh-CN"/>
              </w:rPr>
              <w:t>187.2461</w:t>
            </w:r>
            <w:r>
              <w:rPr>
                <w:rFonts w:hint="eastAsia" w:ascii="宋体" w:hAnsi="宋体" w:cs="宋体"/>
                <w:color w:val="auto"/>
                <w:sz w:val="24"/>
                <w:szCs w:val="24"/>
                <w:highlight w:val="none"/>
                <w:lang w:val="zh-CN"/>
              </w:rPr>
              <w:t>万元，</w:t>
            </w:r>
            <w:r>
              <w:rPr>
                <w:rFonts w:hint="eastAsia" w:ascii="宋体" w:hAnsi="宋体" w:cs="宋体"/>
                <w:b/>
                <w:bCs/>
                <w:color w:val="auto"/>
                <w:sz w:val="24"/>
                <w:szCs w:val="24"/>
                <w:highlight w:val="none"/>
                <w:lang w:val="zh-CN"/>
              </w:rPr>
              <w:t>采购</w:t>
            </w:r>
            <w:r>
              <w:rPr>
                <w:rFonts w:hint="eastAsia" w:ascii="宋体" w:hAnsi="宋体" w:cs="宋体"/>
                <w:b/>
                <w:bCs/>
                <w:color w:val="auto"/>
                <w:sz w:val="24"/>
                <w:szCs w:val="24"/>
                <w:highlight w:val="none"/>
              </w:rPr>
              <w:t>控</w:t>
            </w:r>
            <w:r>
              <w:rPr>
                <w:rFonts w:hint="eastAsia" w:ascii="宋体" w:hAnsi="宋体" w:cs="宋体"/>
                <w:b/>
                <w:bCs/>
                <w:color w:val="auto"/>
                <w:sz w:val="24"/>
                <w:szCs w:val="24"/>
                <w:highlight w:val="none"/>
                <w:lang w:val="zh-CN"/>
              </w:rPr>
              <w:t>制价为</w:t>
            </w:r>
            <w:r>
              <w:rPr>
                <w:rFonts w:hint="eastAsia" w:ascii="宋体" w:hAnsi="宋体" w:cs="宋体"/>
                <w:b/>
                <w:bCs/>
                <w:color w:val="auto"/>
                <w:sz w:val="24"/>
                <w:szCs w:val="24"/>
                <w:highlight w:val="none"/>
                <w:u w:val="single"/>
                <w:lang w:val="en-US" w:eastAsia="zh-CN"/>
              </w:rPr>
              <w:t>187.2461</w:t>
            </w:r>
            <w:r>
              <w:rPr>
                <w:rFonts w:hint="eastAsia" w:ascii="宋体" w:hAnsi="宋体" w:cs="宋体"/>
                <w:b/>
                <w:bCs/>
                <w:color w:val="auto"/>
                <w:sz w:val="24"/>
                <w:szCs w:val="24"/>
                <w:highlight w:val="none"/>
                <w:lang w:val="zh-CN"/>
              </w:rPr>
              <w:t>万元</w:t>
            </w:r>
            <w:r>
              <w:rPr>
                <w:rFonts w:hint="eastAsia" w:ascii="宋体" w:hAnsi="宋体" w:cs="宋体"/>
                <w:color w:val="auto"/>
                <w:sz w:val="24"/>
                <w:szCs w:val="24"/>
                <w:highlight w:val="none"/>
              </w:rPr>
              <w:t>。</w:t>
            </w:r>
            <w:r>
              <w:rPr>
                <w:rFonts w:hint="eastAsia" w:ascii="宋体" w:hAnsi="宋体" w:cs="宋体"/>
                <w:color w:val="auto"/>
                <w:sz w:val="24"/>
                <w:szCs w:val="24"/>
                <w:highlight w:val="none"/>
                <w:lang w:eastAsia="zh-CN"/>
              </w:rPr>
              <w:t>采用折扣率报价</w:t>
            </w:r>
            <w:r>
              <w:rPr>
                <w:rFonts w:hint="eastAsia" w:ascii="宋体" w:hAnsi="宋体" w:cs="宋体"/>
                <w:color w:val="auto"/>
                <w:sz w:val="24"/>
                <w:szCs w:val="24"/>
                <w:highlight w:val="none"/>
              </w:rPr>
              <w:t>（以采购控制价的综合单价为计算基数，结算价款时单价以人民币元为单位，精确到小数点后2位，第三位四舍五入）</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w:t>
            </w:r>
            <w:r>
              <w:rPr>
                <w:rFonts w:hint="eastAsia" w:ascii="宋体" w:hAnsi="宋体" w:cs="宋体"/>
                <w:b/>
                <w:color w:val="auto"/>
                <w:sz w:val="24"/>
                <w:szCs w:val="24"/>
                <w:highlight w:val="none"/>
              </w:rPr>
              <w:t>注意：报价费率为折扣率，（在采购控制价单价的基础上进行打折）非下浮率，请勿填报错误。】</w:t>
            </w:r>
          </w:p>
          <w:p w14:paraId="751F3C71">
            <w:pPr>
              <w:spacing w:line="276"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为防止供应商低价抢标，设置采购控制价的85%作为风险控制价，凡低于该风险控制价成交的，成交供应商在提交履约保证金的同时必须额外提交成交价净值与风险控制价之差额。</w:t>
            </w:r>
          </w:p>
        </w:tc>
      </w:tr>
      <w:tr w14:paraId="06E926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938" w:hRule="atLeast"/>
          <w:jc w:val="center"/>
        </w:trPr>
        <w:tc>
          <w:tcPr>
            <w:tcW w:w="816" w:type="dxa"/>
            <w:vAlign w:val="center"/>
          </w:tcPr>
          <w:p w14:paraId="5AB4FBEE">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1707" w:type="dxa"/>
            <w:vAlign w:val="center"/>
          </w:tcPr>
          <w:p w14:paraId="0EFBF9F1">
            <w:pPr>
              <w:spacing w:line="276" w:lineRule="auto"/>
              <w:jc w:val="center"/>
              <w:rPr>
                <w:rFonts w:hint="eastAsia" w:ascii="宋体" w:hAnsi="宋体" w:eastAsia="宋体" w:cs="宋体"/>
                <w:strike/>
                <w:color w:val="auto"/>
                <w:sz w:val="24"/>
                <w:szCs w:val="24"/>
                <w:highlight w:val="none"/>
              </w:rPr>
            </w:pPr>
            <w:r>
              <w:rPr>
                <w:rFonts w:hint="eastAsia" w:ascii="宋体" w:hAnsi="宋体" w:eastAsia="宋体" w:cs="宋体"/>
                <w:color w:val="auto"/>
                <w:sz w:val="24"/>
                <w:szCs w:val="24"/>
                <w:highlight w:val="none"/>
              </w:rPr>
              <w:t>合同授予前的最终审查</w:t>
            </w:r>
          </w:p>
        </w:tc>
        <w:tc>
          <w:tcPr>
            <w:tcW w:w="7013" w:type="dxa"/>
            <w:vAlign w:val="center"/>
          </w:tcPr>
          <w:p w14:paraId="60D1A4A2">
            <w:pPr>
              <w:spacing w:line="276" w:lineRule="auto"/>
              <w:rPr>
                <w:rFonts w:hint="eastAsia" w:ascii="宋体" w:hAnsi="宋体" w:eastAsia="宋体" w:cs="宋体"/>
                <w:strike/>
                <w:color w:val="auto"/>
                <w:sz w:val="24"/>
                <w:szCs w:val="24"/>
                <w:highlight w:val="none"/>
              </w:rPr>
            </w:pPr>
            <w:r>
              <w:rPr>
                <w:rFonts w:hint="eastAsia" w:ascii="宋体" w:hAnsi="宋体" w:eastAsia="宋体" w:cs="宋体"/>
                <w:color w:val="auto"/>
                <w:sz w:val="24"/>
                <w:szCs w:val="24"/>
                <w:highlight w:val="none"/>
              </w:rPr>
              <w:t>磋商结束后，采购人将对成交供应商进行最终审查。最终审查的主要内容是：（1）磋商供应商的资质、业务能力、信誉及以往政府采购活动中的业绩和表现；（2）磋商供应商履行合同的能力。</w:t>
            </w:r>
          </w:p>
        </w:tc>
      </w:tr>
      <w:tr w14:paraId="31E254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90" w:hRule="atLeast"/>
          <w:jc w:val="center"/>
        </w:trPr>
        <w:tc>
          <w:tcPr>
            <w:tcW w:w="816" w:type="dxa"/>
            <w:vAlign w:val="center"/>
          </w:tcPr>
          <w:p w14:paraId="062D7730">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w:t>
            </w:r>
          </w:p>
        </w:tc>
        <w:tc>
          <w:tcPr>
            <w:tcW w:w="1707" w:type="dxa"/>
            <w:vAlign w:val="center"/>
          </w:tcPr>
          <w:p w14:paraId="2E8E7874">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诚信履约管理</w:t>
            </w:r>
          </w:p>
        </w:tc>
        <w:tc>
          <w:tcPr>
            <w:tcW w:w="7013" w:type="dxa"/>
            <w:vAlign w:val="center"/>
          </w:tcPr>
          <w:p w14:paraId="22AF63C6">
            <w:pPr>
              <w:spacing w:line="276"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合同签订后，采购人依法加强对合同履约进行管理，并在成交供应商服务等重要环节，如实填写《诚信评价反馈表》（表附合同条款中）。建立成交供应商诚信履约评价制度，结果纳入诚信档案库。</w:t>
            </w:r>
          </w:p>
        </w:tc>
      </w:tr>
      <w:tr w14:paraId="425656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1149" w:hRule="atLeast"/>
          <w:jc w:val="center"/>
        </w:trPr>
        <w:tc>
          <w:tcPr>
            <w:tcW w:w="816" w:type="dxa"/>
            <w:vAlign w:val="center"/>
          </w:tcPr>
          <w:p w14:paraId="5F86E213">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30</w:t>
            </w:r>
          </w:p>
        </w:tc>
        <w:tc>
          <w:tcPr>
            <w:tcW w:w="1707" w:type="dxa"/>
            <w:vAlign w:val="center"/>
          </w:tcPr>
          <w:p w14:paraId="01213260">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解释权</w:t>
            </w:r>
          </w:p>
        </w:tc>
        <w:tc>
          <w:tcPr>
            <w:tcW w:w="7013" w:type="dxa"/>
            <w:vAlign w:val="center"/>
          </w:tcPr>
          <w:p w14:paraId="675B1EB0">
            <w:pPr>
              <w:spacing w:line="276"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构成本磋商文件的各个组成文件应互为解释，互为说明；如有不明确或不一致，构成合同文件组成内容的，以合同文件约定内容为准；仅适用于磋商阶段的约定，按竞争性磋商公告、磋商供应商须知、评定办法、磋商响应文件格式的先后顺序解释；同一文件中就同一事项的约定不一致的，以逻辑顺序在后者为准；同一文件不同版本之间有不一致的，以形成时间在后者为准。按本款前述约定仍不能形成结论的，由采购人负责解释。</w:t>
            </w:r>
          </w:p>
        </w:tc>
      </w:tr>
      <w:tr w14:paraId="7B28A1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52" w:hRule="atLeast"/>
          <w:jc w:val="center"/>
        </w:trPr>
        <w:tc>
          <w:tcPr>
            <w:tcW w:w="816" w:type="dxa"/>
            <w:vAlign w:val="center"/>
          </w:tcPr>
          <w:p w14:paraId="42B17FE7">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1707" w:type="dxa"/>
            <w:vAlign w:val="center"/>
          </w:tcPr>
          <w:p w14:paraId="4BD1C065">
            <w:pPr>
              <w:spacing w:line="276" w:lineRule="auto"/>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合同管理</w:t>
            </w:r>
          </w:p>
        </w:tc>
        <w:tc>
          <w:tcPr>
            <w:tcW w:w="7013" w:type="dxa"/>
            <w:vAlign w:val="center"/>
          </w:tcPr>
          <w:p w14:paraId="15FA6710">
            <w:pPr>
              <w:spacing w:line="276"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成交供应商与采购人签订合同后，三个工作日内将合同副本一份交给</w:t>
            </w:r>
            <w:r>
              <w:rPr>
                <w:rFonts w:hint="eastAsia" w:ascii="宋体" w:hAnsi="宋体" w:eastAsia="宋体" w:cs="宋体"/>
                <w:color w:val="auto"/>
                <w:sz w:val="24"/>
                <w:szCs w:val="24"/>
                <w:highlight w:val="none"/>
                <w:lang w:eastAsia="zh-CN"/>
              </w:rPr>
              <w:t>浙江华杰工程咨询有限公司</w:t>
            </w:r>
            <w:r>
              <w:rPr>
                <w:rFonts w:hint="eastAsia" w:ascii="宋体" w:hAnsi="宋体" w:eastAsia="宋体" w:cs="宋体"/>
                <w:color w:val="auto"/>
                <w:sz w:val="24"/>
                <w:szCs w:val="24"/>
                <w:highlight w:val="none"/>
              </w:rPr>
              <w:t>备案。</w:t>
            </w:r>
          </w:p>
        </w:tc>
      </w:tr>
      <w:tr w14:paraId="54251D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727" w:hRule="atLeast"/>
          <w:jc w:val="center"/>
        </w:trPr>
        <w:tc>
          <w:tcPr>
            <w:tcW w:w="816" w:type="dxa"/>
            <w:vAlign w:val="center"/>
          </w:tcPr>
          <w:p w14:paraId="0593BC22">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1707" w:type="dxa"/>
            <w:vAlign w:val="center"/>
          </w:tcPr>
          <w:p w14:paraId="72C24926">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采购代理费、造价咨询费和公证费</w:t>
            </w:r>
          </w:p>
        </w:tc>
        <w:tc>
          <w:tcPr>
            <w:tcW w:w="7013" w:type="dxa"/>
            <w:vAlign w:val="center"/>
          </w:tcPr>
          <w:p w14:paraId="5E446F12">
            <w:pPr>
              <w:spacing w:line="276" w:lineRule="auto"/>
              <w:rPr>
                <w:rFonts w:hint="eastAsia" w:ascii="宋体" w:hAnsi="宋体" w:cs="宋体"/>
                <w:color w:val="auto"/>
                <w:sz w:val="24"/>
                <w:szCs w:val="24"/>
                <w:highlight w:val="none"/>
              </w:rPr>
            </w:pPr>
            <w:r>
              <w:rPr>
                <w:rFonts w:hint="eastAsia" w:ascii="宋体" w:hAnsi="宋体" w:eastAsia="宋体" w:cs="宋体"/>
                <w:color w:val="auto"/>
                <w:sz w:val="24"/>
                <w:szCs w:val="24"/>
                <w:highlight w:val="none"/>
              </w:rPr>
              <w:t>本项目招标代理服务费共计</w:t>
            </w:r>
            <w:r>
              <w:rPr>
                <w:rFonts w:hint="eastAsia" w:ascii="宋体" w:hAnsi="宋体" w:cs="宋体"/>
                <w:color w:val="auto"/>
                <w:sz w:val="24"/>
                <w:szCs w:val="24"/>
                <w:highlight w:val="none"/>
                <w:lang w:val="en-US" w:eastAsia="zh-CN"/>
              </w:rPr>
              <w:t>12700</w:t>
            </w:r>
            <w:r>
              <w:rPr>
                <w:rFonts w:hint="eastAsia" w:ascii="宋体" w:hAnsi="宋体" w:eastAsia="宋体" w:cs="宋体"/>
                <w:color w:val="auto"/>
                <w:sz w:val="24"/>
                <w:szCs w:val="24"/>
                <w:highlight w:val="none"/>
              </w:rPr>
              <w:t>元</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lang w:eastAsia="zh-CN"/>
              </w:rPr>
              <w:t>由</w:t>
            </w:r>
            <w:r>
              <w:rPr>
                <w:rFonts w:hint="eastAsia" w:ascii="宋体" w:hAnsi="宋体" w:cs="宋体"/>
                <w:strike w:val="0"/>
                <w:dstrike w:val="0"/>
                <w:color w:val="auto"/>
                <w:sz w:val="24"/>
                <w:szCs w:val="24"/>
                <w:highlight w:val="none"/>
                <w:lang w:eastAsia="zh-CN"/>
              </w:rPr>
              <w:t>成交人</w:t>
            </w:r>
            <w:r>
              <w:rPr>
                <w:rFonts w:hint="eastAsia" w:ascii="宋体" w:hAnsi="宋体" w:cs="宋体"/>
                <w:color w:val="auto"/>
                <w:sz w:val="24"/>
                <w:szCs w:val="24"/>
                <w:highlight w:val="none"/>
                <w:lang w:eastAsia="zh-CN"/>
              </w:rPr>
              <w:t>支付</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rPr>
              <w:t>转账至以下账户：</w:t>
            </w:r>
          </w:p>
          <w:p w14:paraId="7ED38DEB">
            <w:pPr>
              <w:spacing w:line="276"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户    名：浙江华杰工程咨询有限公司</w:t>
            </w:r>
          </w:p>
          <w:p w14:paraId="36180813">
            <w:pPr>
              <w:spacing w:line="276"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开户银行：中国建设银行金磐支行</w:t>
            </w:r>
          </w:p>
          <w:p w14:paraId="792A1A17">
            <w:pPr>
              <w:spacing w:line="276"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账    号：33001676745053002506</w:t>
            </w:r>
          </w:p>
          <w:p w14:paraId="42013409">
            <w:pPr>
              <w:spacing w:line="276" w:lineRule="auto"/>
              <w:rPr>
                <w:rFonts w:hint="eastAsia" w:ascii="宋体" w:hAnsi="宋体" w:eastAsia="宋体" w:cs="宋体"/>
                <w:color w:val="auto"/>
                <w:sz w:val="24"/>
                <w:szCs w:val="24"/>
                <w:highlight w:val="none"/>
              </w:rPr>
            </w:pPr>
            <w:r>
              <w:rPr>
                <w:rFonts w:hint="eastAsia" w:ascii="宋体" w:hAnsi="宋体" w:cs="宋体"/>
                <w:strike w:val="0"/>
                <w:dstrike w:val="0"/>
                <w:color w:val="auto"/>
                <w:sz w:val="24"/>
                <w:szCs w:val="24"/>
                <w:highlight w:val="none"/>
                <w:lang w:eastAsia="zh-CN"/>
              </w:rPr>
              <w:t>成交人</w:t>
            </w:r>
            <w:r>
              <w:rPr>
                <w:rFonts w:hint="eastAsia" w:ascii="宋体" w:hAnsi="宋体" w:cs="宋体"/>
                <w:color w:val="auto"/>
                <w:sz w:val="24"/>
                <w:szCs w:val="24"/>
                <w:highlight w:val="none"/>
              </w:rPr>
              <w:t>在</w:t>
            </w:r>
            <w:r>
              <w:rPr>
                <w:rFonts w:hint="eastAsia" w:ascii="宋体" w:hAnsi="宋体" w:cs="宋体"/>
                <w:color w:val="auto"/>
                <w:sz w:val="24"/>
                <w:szCs w:val="24"/>
                <w:highlight w:val="none"/>
                <w:lang w:val="en-US" w:eastAsia="zh-CN"/>
              </w:rPr>
              <w:t>代理机构发出</w:t>
            </w:r>
            <w:r>
              <w:rPr>
                <w:rFonts w:hint="eastAsia" w:ascii="宋体" w:hAnsi="宋体" w:cs="宋体"/>
                <w:color w:val="auto"/>
                <w:sz w:val="24"/>
                <w:szCs w:val="24"/>
                <w:highlight w:val="none"/>
              </w:rPr>
              <w:t>成交通知书</w:t>
            </w:r>
            <w:r>
              <w:rPr>
                <w:rFonts w:hint="eastAsia" w:ascii="宋体" w:hAnsi="宋体" w:cs="宋体"/>
                <w:color w:val="auto"/>
                <w:sz w:val="24"/>
                <w:szCs w:val="24"/>
                <w:highlight w:val="none"/>
                <w:lang w:val="en-US" w:eastAsia="zh-CN"/>
              </w:rPr>
              <w:t>后</w:t>
            </w:r>
            <w:r>
              <w:rPr>
                <w:rFonts w:hint="eastAsia" w:ascii="宋体" w:hAnsi="宋体" w:cs="宋体"/>
                <w:color w:val="auto"/>
                <w:sz w:val="24"/>
                <w:szCs w:val="24"/>
                <w:highlight w:val="none"/>
              </w:rPr>
              <w:t>向采购代理机构支付</w:t>
            </w:r>
            <w:r>
              <w:rPr>
                <w:rFonts w:hint="eastAsia" w:ascii="宋体" w:hAnsi="宋体" w:cs="宋体"/>
                <w:color w:val="auto"/>
                <w:sz w:val="24"/>
                <w:szCs w:val="24"/>
                <w:highlight w:val="none"/>
                <w:lang w:eastAsia="zh-CN"/>
              </w:rPr>
              <w:t>。</w:t>
            </w:r>
          </w:p>
        </w:tc>
      </w:tr>
      <w:tr w14:paraId="248B4A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35" w:hRule="atLeast"/>
          <w:jc w:val="center"/>
        </w:trPr>
        <w:tc>
          <w:tcPr>
            <w:tcW w:w="816" w:type="dxa"/>
            <w:vAlign w:val="center"/>
          </w:tcPr>
          <w:p w14:paraId="55F864EB">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1707" w:type="dxa"/>
            <w:vAlign w:val="center"/>
          </w:tcPr>
          <w:p w14:paraId="692E67B7">
            <w:pPr>
              <w:spacing w:line="276"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特别提醒</w:t>
            </w:r>
          </w:p>
        </w:tc>
        <w:tc>
          <w:tcPr>
            <w:tcW w:w="7013" w:type="dxa"/>
            <w:vAlign w:val="center"/>
          </w:tcPr>
          <w:p w14:paraId="6D2D9971">
            <w:pPr>
              <w:spacing w:line="44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因监狱施工的特殊性，</w:t>
            </w:r>
            <w:r>
              <w:rPr>
                <w:rFonts w:hint="eastAsia" w:ascii="宋体" w:hAnsi="宋体" w:eastAsia="宋体" w:cs="宋体"/>
                <w:b/>
                <w:bCs/>
                <w:color w:val="auto"/>
                <w:sz w:val="24"/>
                <w:szCs w:val="24"/>
                <w:highlight w:val="none"/>
                <w:u w:val="single"/>
                <w:lang w:val="en-US" w:eastAsia="zh-CN"/>
              </w:rPr>
              <w:t>供应商拟派项目负责人及拟派现场施工人员须为男性并提供承诺书（格式详见附件）</w:t>
            </w:r>
            <w:r>
              <w:rPr>
                <w:rFonts w:hint="eastAsia" w:ascii="宋体" w:hAnsi="宋体" w:eastAsia="宋体" w:cs="宋体"/>
                <w:b w:val="0"/>
                <w:bCs w:val="0"/>
                <w:color w:val="auto"/>
                <w:sz w:val="24"/>
                <w:szCs w:val="24"/>
                <w:highlight w:val="none"/>
                <w:lang w:val="en-US" w:eastAsia="zh-CN"/>
              </w:rPr>
              <w:t>，中标人必须按照采购人内部管理要求施工，施工区域为封闭区域，工作人员需遵守采购人各项管理规定。相关机械、人员、工具进场须由相关人员审批</w:t>
            </w:r>
          </w:p>
        </w:tc>
      </w:tr>
      <w:tr w14:paraId="7FA2D9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35" w:hRule="atLeast"/>
          <w:jc w:val="center"/>
        </w:trPr>
        <w:tc>
          <w:tcPr>
            <w:tcW w:w="816" w:type="dxa"/>
            <w:vAlign w:val="center"/>
          </w:tcPr>
          <w:p w14:paraId="6BB5B652">
            <w:pPr>
              <w:spacing w:line="276" w:lineRule="auto"/>
              <w:jc w:val="center"/>
              <w:rPr>
                <w:rFonts w:hint="default" w:ascii="宋体" w:hAnsi="宋体" w:eastAsia="宋体" w:cs="宋体"/>
                <w:color w:val="auto"/>
                <w:sz w:val="24"/>
                <w:szCs w:val="24"/>
                <w:highlight w:val="none"/>
                <w:lang w:val="en-US" w:eastAsia="zh-CN"/>
              </w:rPr>
            </w:pPr>
            <w:bookmarkStart w:id="23" w:name="_Toc306200953"/>
            <w:r>
              <w:rPr>
                <w:rFonts w:hint="eastAsia" w:ascii="宋体" w:hAnsi="宋体" w:cs="宋体"/>
                <w:color w:val="auto"/>
                <w:sz w:val="24"/>
                <w:szCs w:val="24"/>
                <w:highlight w:val="none"/>
                <w:lang w:val="en-US" w:eastAsia="zh-CN"/>
              </w:rPr>
              <w:t>34</w:t>
            </w:r>
          </w:p>
        </w:tc>
        <w:tc>
          <w:tcPr>
            <w:tcW w:w="1707" w:type="dxa"/>
            <w:vAlign w:val="center"/>
          </w:tcPr>
          <w:p w14:paraId="75649ABD">
            <w:pPr>
              <w:keepNext w:val="0"/>
              <w:keepLines w:val="0"/>
              <w:pageBreakBefore w:val="0"/>
              <w:kinsoku/>
              <w:wordWrap/>
              <w:overflowPunct/>
              <w:topLinePunct w:val="0"/>
              <w:bidi w:val="0"/>
              <w:snapToGrid w:val="0"/>
              <w:spacing w:beforeAutospacing="0" w:afterAutospacing="0" w:line="240" w:lineRule="auto"/>
              <w:jc w:val="center"/>
              <w:textAlignment w:val="auto"/>
              <w:rPr>
                <w:rFonts w:hint="eastAsia" w:ascii="宋体" w:hAnsi="宋体" w:eastAsia="宋体" w:cs="宋体"/>
                <w:color w:val="auto"/>
                <w:sz w:val="24"/>
                <w:szCs w:val="24"/>
                <w:highlight w:val="none"/>
              </w:rPr>
            </w:pPr>
            <w:r>
              <w:rPr>
                <w:rFonts w:hint="eastAsia" w:ascii="宋体" w:hAnsi="宋体" w:cs="宋体"/>
                <w:b w:val="0"/>
                <w:bCs w:val="0"/>
                <w:color w:val="auto"/>
                <w:sz w:val="24"/>
                <w:szCs w:val="24"/>
                <w:highlight w:val="none"/>
                <w:lang w:val="en-US" w:eastAsia="zh-CN"/>
              </w:rPr>
              <w:t>政府采购政策落实</w:t>
            </w:r>
          </w:p>
        </w:tc>
        <w:tc>
          <w:tcPr>
            <w:tcW w:w="7013" w:type="dxa"/>
            <w:vAlign w:val="center"/>
          </w:tcPr>
          <w:p w14:paraId="6B766582">
            <w:pPr>
              <w:keepNext w:val="0"/>
              <w:keepLines w:val="0"/>
              <w:pageBreakBefore w:val="0"/>
              <w:widowControl/>
              <w:kinsoku/>
              <w:wordWrap/>
              <w:overflowPunct/>
              <w:topLinePunct w:val="0"/>
              <w:bidi w:val="0"/>
              <w:snapToGrid w:val="0"/>
              <w:spacing w:beforeAutospacing="0" w:afterAutospacing="0" w:line="24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1、扶持中小企业（监狱企业、残疾人福利性单位）：</w:t>
            </w:r>
          </w:p>
          <w:p w14:paraId="7FAA6B7D">
            <w:pPr>
              <w:keepNext w:val="0"/>
              <w:keepLines w:val="0"/>
              <w:pageBreakBefore w:val="0"/>
              <w:widowControl/>
              <w:kinsoku/>
              <w:wordWrap/>
              <w:overflowPunct/>
              <w:topLinePunct w:val="0"/>
              <w:bidi w:val="0"/>
              <w:snapToGrid w:val="0"/>
              <w:spacing w:beforeAutospacing="0" w:afterAutospacing="0" w:line="24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根据《政府采购促进中小企业发展管理办法》（财库〔2020〕46号），本单位在政府采购活动中应当通过加强采购需求管理，落实预留采购份额，价格评审优惠、优先采购等措施，提高中小企业在政府采购中的份额，支持中小企业发展。项目相关情况如下：</w:t>
            </w:r>
          </w:p>
          <w:p w14:paraId="2F5D33F4">
            <w:pPr>
              <w:keepNext w:val="0"/>
              <w:keepLines w:val="0"/>
              <w:pageBreakBefore w:val="0"/>
              <w:widowControl/>
              <w:kinsoku/>
              <w:wordWrap/>
              <w:overflowPunct/>
              <w:topLinePunct w:val="0"/>
              <w:bidi w:val="0"/>
              <w:snapToGrid w:val="0"/>
              <w:spacing w:beforeAutospacing="0" w:afterAutospacing="0" w:line="24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（1）项目预算：</w:t>
            </w:r>
            <w:r>
              <w:rPr>
                <w:rFonts w:hint="eastAsia" w:ascii="宋体" w:hAnsi="宋体" w:cs="宋体"/>
                <w:color w:val="auto"/>
                <w:sz w:val="24"/>
                <w:szCs w:val="24"/>
                <w:highlight w:val="none"/>
                <w:u w:val="single"/>
                <w:lang w:val="en-US" w:eastAsia="zh-CN"/>
              </w:rPr>
              <w:t>187.2461</w:t>
            </w:r>
            <w:r>
              <w:rPr>
                <w:rFonts w:hint="eastAsia" w:ascii="宋体" w:hAnsi="宋体" w:cs="宋体"/>
                <w:color w:val="auto"/>
                <w:sz w:val="24"/>
                <w:szCs w:val="24"/>
                <w:highlight w:val="none"/>
                <w:u w:val="none"/>
                <w:lang w:val="en-US" w:eastAsia="zh-CN"/>
              </w:rPr>
              <w:t>万</w:t>
            </w:r>
            <w:r>
              <w:rPr>
                <w:rFonts w:hint="eastAsia" w:ascii="宋体" w:hAnsi="宋体" w:eastAsia="宋体" w:cs="宋体"/>
                <w:color w:val="auto"/>
                <w:kern w:val="0"/>
                <w:sz w:val="24"/>
                <w:szCs w:val="24"/>
                <w:highlight w:val="none"/>
                <w:u w:val="none"/>
                <w:lang w:val="en-US" w:eastAsia="zh-CN"/>
              </w:rPr>
              <w:t>元</w:t>
            </w:r>
            <w:r>
              <w:rPr>
                <w:rFonts w:hint="eastAsia" w:ascii="宋体" w:hAnsi="宋体" w:eastAsia="宋体" w:cs="宋体"/>
                <w:color w:val="auto"/>
                <w:kern w:val="0"/>
                <w:sz w:val="24"/>
                <w:szCs w:val="24"/>
                <w:highlight w:val="none"/>
                <w:lang w:val="en-US" w:eastAsia="zh-CN"/>
              </w:rPr>
              <w:t>；；</w:t>
            </w:r>
          </w:p>
          <w:p w14:paraId="02F33ED1">
            <w:pPr>
              <w:keepNext w:val="0"/>
              <w:keepLines w:val="0"/>
              <w:pageBreakBefore w:val="0"/>
              <w:widowControl/>
              <w:kinsoku/>
              <w:wordWrap/>
              <w:overflowPunct/>
              <w:topLinePunct w:val="0"/>
              <w:bidi w:val="0"/>
              <w:snapToGrid w:val="0"/>
              <w:spacing w:beforeAutospacing="0" w:afterAutospacing="0" w:line="24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（2）项目属性：</w:t>
            </w:r>
            <w:r>
              <w:rPr>
                <w:rFonts w:hint="eastAsia" w:ascii="宋体" w:hAnsi="宋体" w:eastAsia="宋体" w:cs="宋体"/>
                <w:color w:val="auto"/>
                <w:kern w:val="0"/>
                <w:sz w:val="24"/>
                <w:szCs w:val="24"/>
                <w:highlight w:val="none"/>
                <w:u w:val="single"/>
              </w:rPr>
              <w:t>③工程类</w:t>
            </w:r>
            <w:r>
              <w:rPr>
                <w:rFonts w:hint="eastAsia" w:ascii="宋体" w:hAnsi="宋体" w:eastAsia="宋体" w:cs="宋体"/>
                <w:color w:val="auto"/>
                <w:kern w:val="0"/>
                <w:sz w:val="24"/>
                <w:szCs w:val="24"/>
                <w:highlight w:val="none"/>
              </w:rPr>
              <w:t>（①货物类/②服务类/③工程类）</w:t>
            </w:r>
          </w:p>
          <w:p w14:paraId="3BDBE775">
            <w:pPr>
              <w:keepNext w:val="0"/>
              <w:keepLines w:val="0"/>
              <w:pageBreakBefore w:val="0"/>
              <w:widowControl/>
              <w:kinsoku/>
              <w:wordWrap/>
              <w:overflowPunct/>
              <w:topLinePunct w:val="0"/>
              <w:bidi w:val="0"/>
              <w:snapToGrid w:val="0"/>
              <w:spacing w:beforeAutospacing="0" w:afterAutospacing="0" w:line="24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（3）项目对应的中小企业划分标准所属行业：</w:t>
            </w:r>
            <w:r>
              <w:rPr>
                <w:rFonts w:hint="eastAsia" w:ascii="宋体" w:hAnsi="宋体" w:eastAsia="宋体" w:cs="宋体"/>
                <w:color w:val="auto"/>
                <w:kern w:val="0"/>
                <w:sz w:val="24"/>
                <w:szCs w:val="24"/>
                <w:highlight w:val="none"/>
                <w:u w:val="single"/>
              </w:rPr>
              <w:t>建筑业</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（具体根据《中小企业划型标准规定》执行）</w:t>
            </w:r>
          </w:p>
          <w:p w14:paraId="5C77422D">
            <w:pPr>
              <w:keepNext w:val="0"/>
              <w:keepLines w:val="0"/>
              <w:pageBreakBefore w:val="0"/>
              <w:widowControl/>
              <w:kinsoku/>
              <w:wordWrap/>
              <w:overflowPunct/>
              <w:topLinePunct w:val="0"/>
              <w:bidi w:val="0"/>
              <w:snapToGrid w:val="0"/>
              <w:spacing w:beforeAutospacing="0" w:afterAutospacing="0" w:line="24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（备注：现行中小企业划分标准行业包括农、林、牧、渔业，工业，建筑业，批发业，零售业，交通运输业，仓储业，邮政业，住宿业，餐饮业，信息传输业，</w:t>
            </w:r>
            <w:r>
              <w:rPr>
                <w:rFonts w:hint="eastAsia" w:ascii="宋体" w:hAnsi="宋体" w:eastAsia="宋体" w:cs="宋体"/>
                <w:color w:val="auto"/>
                <w:kern w:val="0"/>
                <w:sz w:val="24"/>
                <w:szCs w:val="24"/>
                <w:highlight w:val="none"/>
                <w:lang w:eastAsia="zh-CN"/>
              </w:rPr>
              <w:t>其他未列明行业</w:t>
            </w:r>
            <w:r>
              <w:rPr>
                <w:rFonts w:hint="eastAsia" w:ascii="宋体" w:hAnsi="宋体" w:eastAsia="宋体" w:cs="宋体"/>
                <w:color w:val="auto"/>
                <w:kern w:val="0"/>
                <w:sz w:val="24"/>
                <w:szCs w:val="24"/>
                <w:highlight w:val="none"/>
              </w:rPr>
              <w:t>，房地产开发经营，物业管理，租赁和商业服务业和其他未列明行业等十六类。）</w:t>
            </w:r>
          </w:p>
          <w:p w14:paraId="407A0DC5">
            <w:pPr>
              <w:keepNext w:val="0"/>
              <w:keepLines w:val="0"/>
              <w:pageBreakBefore w:val="0"/>
              <w:widowControl/>
              <w:kinsoku/>
              <w:wordWrap/>
              <w:overflowPunct/>
              <w:topLinePunct w:val="0"/>
              <w:bidi w:val="0"/>
              <w:snapToGrid w:val="0"/>
              <w:spacing w:beforeAutospacing="0" w:afterAutospacing="0" w:line="24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（4）本项目 </w:t>
            </w:r>
            <w:r>
              <w:rPr>
                <w:rFonts w:hint="eastAsia" w:ascii="宋体" w:hAnsi="宋体" w:eastAsia="宋体" w:cs="宋体"/>
                <w:color w:val="auto"/>
                <w:kern w:val="0"/>
                <w:sz w:val="24"/>
                <w:szCs w:val="24"/>
                <w:highlight w:val="none"/>
                <w:u w:val="single"/>
                <w:lang w:val="en-US" w:eastAsia="zh-CN"/>
              </w:rPr>
              <w:t xml:space="preserve"> 是 </w:t>
            </w:r>
            <w:r>
              <w:rPr>
                <w:rFonts w:hint="eastAsia" w:ascii="宋体" w:hAnsi="宋体" w:eastAsia="宋体" w:cs="宋体"/>
                <w:color w:val="auto"/>
                <w:kern w:val="0"/>
                <w:sz w:val="24"/>
                <w:szCs w:val="24"/>
                <w:highlight w:val="none"/>
              </w:rPr>
              <w:t>（是/否）属于预留份额专门面向中小企业采购的项目。</w:t>
            </w:r>
          </w:p>
          <w:p w14:paraId="6AAA3301">
            <w:pPr>
              <w:keepNext w:val="0"/>
              <w:keepLines w:val="0"/>
              <w:pageBreakBefore w:val="0"/>
              <w:widowControl/>
              <w:kinsoku/>
              <w:wordWrap/>
              <w:overflowPunct/>
              <w:topLinePunct w:val="0"/>
              <w:bidi w:val="0"/>
              <w:snapToGrid w:val="0"/>
              <w:spacing w:beforeAutospacing="0" w:afterAutospacing="0" w:line="24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（5）上述第4项中确定为“是”的采购项目，预留份额通过</w:t>
            </w:r>
            <w:r>
              <w:rPr>
                <w:rFonts w:hint="eastAsia" w:ascii="宋体" w:hAnsi="宋体" w:cs="宋体"/>
                <w:color w:val="auto"/>
                <w:kern w:val="0"/>
                <w:sz w:val="24"/>
                <w:szCs w:val="24"/>
                <w:highlight w:val="none"/>
                <w:lang w:val="en-US" w:eastAsia="zh-CN"/>
              </w:rPr>
              <w:t>第</w:t>
            </w:r>
            <w:r>
              <w:rPr>
                <w:rFonts w:hint="eastAsia" w:ascii="宋体" w:hAnsi="宋体" w:eastAsia="宋体" w:cs="宋体"/>
                <w:color w:val="auto"/>
                <w:kern w:val="0"/>
                <w:sz w:val="24"/>
                <w:szCs w:val="24"/>
                <w:highlight w:val="none"/>
                <w:u w:val="single"/>
              </w:rPr>
              <w:t>①</w:t>
            </w:r>
            <w:r>
              <w:rPr>
                <w:rFonts w:hint="eastAsia" w:ascii="宋体" w:hAnsi="宋体" w:cs="宋体"/>
                <w:color w:val="auto"/>
                <w:kern w:val="0"/>
                <w:sz w:val="24"/>
                <w:szCs w:val="24"/>
                <w:highlight w:val="none"/>
                <w:u w:val="none"/>
                <w:lang w:val="en-US" w:eastAsia="zh-CN"/>
              </w:rPr>
              <w:t>项</w:t>
            </w:r>
            <w:r>
              <w:rPr>
                <w:rFonts w:hint="eastAsia" w:ascii="宋体" w:hAnsi="宋体" w:eastAsia="宋体" w:cs="宋体"/>
                <w:color w:val="auto"/>
                <w:kern w:val="0"/>
                <w:sz w:val="24"/>
                <w:szCs w:val="24"/>
                <w:highlight w:val="none"/>
              </w:rPr>
              <w:t>措施进行：</w:t>
            </w:r>
          </w:p>
          <w:p w14:paraId="3F55CDC1">
            <w:pPr>
              <w:keepNext w:val="0"/>
              <w:keepLines w:val="0"/>
              <w:pageBreakBefore w:val="0"/>
              <w:widowControl/>
              <w:kinsoku/>
              <w:wordWrap/>
              <w:overflowPunct/>
              <w:topLinePunct w:val="0"/>
              <w:bidi w:val="0"/>
              <w:snapToGrid w:val="0"/>
              <w:spacing w:beforeAutospacing="0" w:afterAutospacing="0" w:line="24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①将采购项目整体或者设置采购包专门面向中小企业采购； </w:t>
            </w:r>
          </w:p>
          <w:p w14:paraId="53C9CA33">
            <w:pPr>
              <w:keepNext w:val="0"/>
              <w:keepLines w:val="0"/>
              <w:pageBreakBefore w:val="0"/>
              <w:widowControl/>
              <w:kinsoku/>
              <w:wordWrap/>
              <w:overflowPunct/>
              <w:topLinePunct w:val="0"/>
              <w:bidi w:val="0"/>
              <w:snapToGrid w:val="0"/>
              <w:spacing w:beforeAutospacing="0" w:afterAutospacing="0" w:line="24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②要求供应商以联合体形式参加采购活动，且联合体中中小企业承担的部分达到</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rPr>
              <w:t xml:space="preserve">(比例)； </w:t>
            </w:r>
          </w:p>
          <w:p w14:paraId="10869508">
            <w:pPr>
              <w:keepNext w:val="0"/>
              <w:keepLines w:val="0"/>
              <w:pageBreakBefore w:val="0"/>
              <w:widowControl/>
              <w:kinsoku/>
              <w:wordWrap/>
              <w:overflowPunct/>
              <w:topLinePunct w:val="0"/>
              <w:bidi w:val="0"/>
              <w:snapToGrid w:val="0"/>
              <w:spacing w:beforeAutospacing="0" w:afterAutospacing="0" w:line="24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③要求获得采购合同的供应商将采购项目中的</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(比例)分包给一家或者多家中小企业。</w:t>
            </w:r>
          </w:p>
          <w:p w14:paraId="673910A9">
            <w:pPr>
              <w:keepNext w:val="0"/>
              <w:keepLines w:val="0"/>
              <w:pageBreakBefore w:val="0"/>
              <w:widowControl/>
              <w:kinsoku/>
              <w:wordWrap/>
              <w:overflowPunct/>
              <w:topLinePunct w:val="0"/>
              <w:bidi w:val="0"/>
              <w:snapToGrid w:val="0"/>
              <w:spacing w:beforeAutospacing="0" w:afterAutospacing="0" w:line="240" w:lineRule="auto"/>
              <w:ind w:firstLine="482" w:firstLineChars="200"/>
              <w:jc w:val="left"/>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专门面向中小企业采购的项目或者标项，不再执行价格评审优惠的扶持政策。</w:t>
            </w:r>
          </w:p>
          <w:p w14:paraId="5B08DA40">
            <w:pPr>
              <w:keepNext w:val="0"/>
              <w:keepLines w:val="0"/>
              <w:pageBreakBefore w:val="0"/>
              <w:widowControl/>
              <w:kinsoku/>
              <w:wordWrap/>
              <w:overflowPunct/>
              <w:topLinePunct w:val="0"/>
              <w:bidi w:val="0"/>
              <w:snapToGrid w:val="0"/>
              <w:spacing w:beforeAutospacing="0" w:afterAutospacing="0" w:line="240" w:lineRule="auto"/>
              <w:ind w:firstLine="480" w:firstLineChars="200"/>
              <w:jc w:val="left"/>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2、节能产品、环境标志产品的强制采购政策</w:t>
            </w: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lang w:val="en-US" w:eastAsia="zh-CN"/>
              </w:rPr>
              <w:t>本项目不适用</w:t>
            </w:r>
            <w:r>
              <w:rPr>
                <w:rFonts w:hint="eastAsia" w:ascii="宋体" w:hAnsi="宋体" w:cs="宋体"/>
                <w:color w:val="auto"/>
                <w:kern w:val="0"/>
                <w:sz w:val="24"/>
                <w:szCs w:val="24"/>
                <w:highlight w:val="none"/>
                <w:lang w:eastAsia="zh-CN"/>
              </w:rPr>
              <w:t>】</w:t>
            </w:r>
          </w:p>
          <w:p w14:paraId="20489173">
            <w:pPr>
              <w:keepNext w:val="0"/>
              <w:keepLines w:val="0"/>
              <w:pageBreakBefore w:val="0"/>
              <w:widowControl/>
              <w:kinsoku/>
              <w:wordWrap/>
              <w:overflowPunct/>
              <w:topLinePunct w:val="0"/>
              <w:bidi w:val="0"/>
              <w:snapToGrid w:val="0"/>
              <w:spacing w:beforeAutospacing="0" w:afterAutospacing="0" w:line="24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根据财政部、国家发展和改革委员会、生态环境部等部门公布的政府采购节能产品、环境标志产品品目清单的规定，依据品目清单和认证证书实施政府优先采购和强制采购。采购人拟采购的产品属于品目清单范围内的强制采购品目的，</w:t>
            </w:r>
            <w:r>
              <w:rPr>
                <w:rFonts w:hint="eastAsia" w:ascii="宋体" w:hAnsi="宋体" w:cs="宋体"/>
                <w:color w:val="auto"/>
                <w:kern w:val="0"/>
                <w:sz w:val="24"/>
                <w:szCs w:val="24"/>
                <w:highlight w:val="none"/>
                <w:lang w:eastAsia="zh-CN"/>
              </w:rPr>
              <w:t>供应商</w:t>
            </w:r>
            <w:r>
              <w:rPr>
                <w:rFonts w:hint="eastAsia" w:ascii="宋体" w:hAnsi="宋体" w:eastAsia="宋体" w:cs="宋体"/>
                <w:color w:val="auto"/>
                <w:kern w:val="0"/>
                <w:sz w:val="24"/>
                <w:szCs w:val="24"/>
                <w:highlight w:val="none"/>
              </w:rPr>
              <w:t>提供的产品应具有国家确定的认证机构出具的、处于有效期之内的节能产品、环境标志产品认证证书，并在响应文件中提供该产品节能产品、环境标志产品认证证书，否则无效。（注：本项目执行最新政府采购节能产品、环境标志产品品目清单。）</w:t>
            </w:r>
          </w:p>
          <w:p w14:paraId="2C5088D3">
            <w:pPr>
              <w:keepNext w:val="0"/>
              <w:keepLines w:val="0"/>
              <w:pageBreakBefore w:val="0"/>
              <w:kinsoku/>
              <w:wordWrap/>
              <w:overflowPunct/>
              <w:topLinePunct w:val="0"/>
              <w:bidi w:val="0"/>
              <w:snapToGrid w:val="0"/>
              <w:spacing w:beforeAutospacing="0" w:afterAutospacing="0" w:line="240" w:lineRule="auto"/>
              <w:ind w:firstLine="720" w:firstLineChars="3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 强制采购节能产品</w:t>
            </w:r>
          </w:p>
          <w:p w14:paraId="38C7E14E">
            <w:pPr>
              <w:pStyle w:val="101"/>
              <w:keepNext w:val="0"/>
              <w:keepLines w:val="0"/>
              <w:pageBreakBefore w:val="0"/>
              <w:kinsoku/>
              <w:wordWrap/>
              <w:overflowPunct/>
              <w:topLinePunct w:val="0"/>
              <w:bidi w:val="0"/>
              <w:spacing w:before="0" w:beforeAutospacing="0" w:afterAutospacing="0" w:line="240" w:lineRule="auto"/>
              <w:ind w:left="0" w:leftChars="0" w:firstLine="720" w:firstLineChars="3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 优先采购节能产品</w:t>
            </w:r>
          </w:p>
          <w:p w14:paraId="039942CE">
            <w:pPr>
              <w:pStyle w:val="30"/>
              <w:ind w:left="0" w:leftChars="0" w:firstLine="720" w:firstLineChars="300"/>
              <w:rPr>
                <w:rFonts w:hint="eastAsia"/>
                <w:color w:val="auto"/>
                <w:highlight w:val="none"/>
              </w:rPr>
            </w:pPr>
            <w:r>
              <w:rPr>
                <w:rFonts w:hint="eastAsia" w:ascii="宋体" w:hAnsi="宋体" w:eastAsia="宋体" w:cs="宋体"/>
                <w:color w:val="auto"/>
                <w:kern w:val="2"/>
                <w:sz w:val="24"/>
                <w:szCs w:val="24"/>
                <w:highlight w:val="none"/>
                <w:lang w:val="en-US" w:eastAsia="zh-CN" w:bidi="ar-SA"/>
              </w:rPr>
              <w:sym w:font="Wingdings" w:char="00FE"/>
            </w:r>
            <w:r>
              <w:rPr>
                <w:rFonts w:hint="eastAsia" w:ascii="宋体" w:hAnsi="宋体" w:eastAsia="宋体" w:cs="宋体"/>
                <w:color w:val="auto"/>
                <w:kern w:val="2"/>
                <w:sz w:val="24"/>
                <w:szCs w:val="24"/>
                <w:highlight w:val="none"/>
                <w:lang w:val="en-US" w:eastAsia="zh-CN" w:bidi="ar-SA"/>
              </w:rPr>
              <w:t xml:space="preserve"> 不适用</w:t>
            </w:r>
          </w:p>
          <w:p w14:paraId="10460508">
            <w:pPr>
              <w:keepNext w:val="0"/>
              <w:keepLines w:val="0"/>
              <w:pageBreakBefore w:val="0"/>
              <w:widowControl/>
              <w:kinsoku/>
              <w:wordWrap/>
              <w:overflowPunct/>
              <w:topLinePunct w:val="0"/>
              <w:bidi w:val="0"/>
              <w:snapToGrid w:val="0"/>
              <w:spacing w:beforeAutospacing="0" w:afterAutospacing="0" w:line="24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3、节能产品、环境标志产品的优先采购政策</w:t>
            </w:r>
          </w:p>
          <w:p w14:paraId="2BABF86E">
            <w:pPr>
              <w:pStyle w:val="101"/>
              <w:keepNext w:val="0"/>
              <w:keepLines w:val="0"/>
              <w:pageBreakBefore w:val="0"/>
              <w:kinsoku/>
              <w:wordWrap/>
              <w:overflowPunct/>
              <w:topLinePunct w:val="0"/>
              <w:bidi w:val="0"/>
              <w:spacing w:before="0" w:beforeAutospacing="0" w:afterAutospacing="0" w:line="240" w:lineRule="auto"/>
              <w:ind w:left="0" w:leftChars="0" w:firstLine="0" w:firstLineChars="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根据财政部、国家发展和改革委员会、生态环境部等部门公布的政府采购节能产品、环境标志产品品目清单的规定、依据品目清单和认证证书实施政府优先采购和强制采购。采购人拟采购的产品属于品目清单范围内的优先采购品目的，</w:t>
            </w:r>
            <w:r>
              <w:rPr>
                <w:rFonts w:hint="eastAsia" w:ascii="宋体" w:hAnsi="宋体" w:cs="宋体"/>
                <w:color w:val="auto"/>
                <w:kern w:val="0"/>
                <w:sz w:val="24"/>
                <w:szCs w:val="24"/>
                <w:highlight w:val="none"/>
                <w:lang w:eastAsia="zh-CN"/>
              </w:rPr>
              <w:t>供应商</w:t>
            </w:r>
            <w:r>
              <w:rPr>
                <w:rFonts w:hint="eastAsia" w:ascii="宋体" w:hAnsi="宋体" w:eastAsia="宋体" w:cs="宋体"/>
                <w:color w:val="auto"/>
                <w:kern w:val="0"/>
                <w:sz w:val="24"/>
                <w:szCs w:val="24"/>
                <w:highlight w:val="none"/>
              </w:rPr>
              <w:t>提供的产品应具有国家确定的认证机构出具的、处于有效期之内的节能产品、环境标志产品认证证书，并在响应文件中提供该产品节能产品、环境标志产品认证证书，（注：本项目执行最新政府采购节能产品、环境标志产品品目清单。</w:t>
            </w:r>
            <w:r>
              <w:rPr>
                <w:rFonts w:hint="eastAsia" w:ascii="宋体" w:hAnsi="宋体" w:eastAsia="宋体" w:cs="宋体"/>
                <w:color w:val="auto"/>
                <w:kern w:val="0"/>
                <w:sz w:val="24"/>
                <w:szCs w:val="24"/>
                <w:highlight w:val="none"/>
                <w:lang w:eastAsia="zh-CN"/>
              </w:rPr>
              <w:t>）</w:t>
            </w:r>
          </w:p>
          <w:p w14:paraId="4C203D0F">
            <w:pPr>
              <w:pStyle w:val="101"/>
              <w:keepNext w:val="0"/>
              <w:keepLines w:val="0"/>
              <w:pageBreakBefore w:val="0"/>
              <w:kinsoku/>
              <w:wordWrap/>
              <w:overflowPunct/>
              <w:topLinePunct w:val="0"/>
              <w:bidi w:val="0"/>
              <w:spacing w:before="0" w:beforeAutospacing="0" w:afterAutospacing="0" w:line="240" w:lineRule="auto"/>
              <w:ind w:left="0" w:leftChars="0" w:firstLine="720" w:firstLineChars="3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 优先采购环境标志产品</w:t>
            </w:r>
          </w:p>
          <w:p w14:paraId="78CF8AAD">
            <w:pPr>
              <w:keepNext w:val="0"/>
              <w:keepLines w:val="0"/>
              <w:pageBreakBefore w:val="0"/>
              <w:kinsoku/>
              <w:wordWrap/>
              <w:overflowPunct/>
              <w:topLinePunct w:val="0"/>
              <w:bidi w:val="0"/>
              <w:snapToGrid w:val="0"/>
              <w:spacing w:beforeAutospacing="0" w:afterAutospacing="0" w:line="240" w:lineRule="auto"/>
              <w:ind w:firstLine="720" w:firstLineChars="3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en-US" w:eastAsia="zh-CN" w:bidi="ar-SA"/>
              </w:rPr>
              <w:sym w:font="Wingdings" w:char="00FE"/>
            </w:r>
            <w:r>
              <w:rPr>
                <w:rFonts w:hint="eastAsia" w:ascii="宋体" w:hAnsi="宋体" w:eastAsia="宋体" w:cs="宋体"/>
                <w:color w:val="auto"/>
                <w:kern w:val="2"/>
                <w:sz w:val="24"/>
                <w:szCs w:val="24"/>
                <w:highlight w:val="none"/>
                <w:lang w:val="en-US" w:eastAsia="zh-CN" w:bidi="ar-SA"/>
              </w:rPr>
              <w:t xml:space="preserve"> 不适用</w:t>
            </w:r>
          </w:p>
        </w:tc>
      </w:tr>
      <w:tr w14:paraId="15049C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35" w:hRule="atLeast"/>
          <w:jc w:val="center"/>
        </w:trPr>
        <w:tc>
          <w:tcPr>
            <w:tcW w:w="816" w:type="dxa"/>
            <w:vAlign w:val="center"/>
          </w:tcPr>
          <w:p w14:paraId="119CD44E">
            <w:pPr>
              <w:spacing w:line="276" w:lineRule="auto"/>
              <w:jc w:val="cente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34</w:t>
            </w:r>
          </w:p>
        </w:tc>
        <w:tc>
          <w:tcPr>
            <w:tcW w:w="1707" w:type="dxa"/>
            <w:vAlign w:val="center"/>
          </w:tcPr>
          <w:p w14:paraId="39297BAC">
            <w:pPr>
              <w:spacing w:line="276" w:lineRule="auto"/>
              <w:jc w:val="center"/>
              <w:rPr>
                <w:rFonts w:hint="eastAsia" w:ascii="宋体" w:hAnsi="宋体" w:eastAsia="宋体" w:cs="宋体"/>
                <w:color w:val="auto"/>
                <w:kern w:val="2"/>
                <w:sz w:val="24"/>
                <w:szCs w:val="24"/>
                <w:highlight w:val="none"/>
                <w:lang w:val="en-US" w:eastAsia="zh-CN" w:bidi="ar-SA"/>
              </w:rPr>
            </w:pPr>
            <w:r>
              <w:rPr>
                <w:rFonts w:hint="default" w:ascii="宋体" w:hAnsi="宋体" w:eastAsia="宋体" w:cs="宋体"/>
                <w:b w:val="0"/>
                <w:bCs w:val="0"/>
                <w:color w:val="auto"/>
                <w:sz w:val="24"/>
                <w:szCs w:val="24"/>
                <w:highlight w:val="none"/>
                <w:lang w:val="en-US" w:eastAsia="zh-CN"/>
              </w:rPr>
              <w:t>信用查询</w:t>
            </w:r>
          </w:p>
        </w:tc>
        <w:tc>
          <w:tcPr>
            <w:tcW w:w="7013" w:type="dxa"/>
            <w:vAlign w:val="center"/>
          </w:tcPr>
          <w:p w14:paraId="6D0E5D04">
            <w:pPr>
              <w:spacing w:line="276" w:lineRule="auto"/>
              <w:rPr>
                <w:rFonts w:hint="eastAsia" w:ascii="宋体" w:hAnsi="宋体" w:cs="宋体"/>
                <w:b w:val="0"/>
                <w:bCs w:val="0"/>
                <w:color w:val="auto"/>
                <w:sz w:val="24"/>
                <w:szCs w:val="24"/>
                <w:highlight w:val="none"/>
              </w:rPr>
            </w:pPr>
            <w:r>
              <w:rPr>
                <w:rFonts w:hint="eastAsia" w:ascii="宋体" w:hAnsi="宋体" w:cs="宋体"/>
                <w:b w:val="0"/>
                <w:bCs w:val="0"/>
                <w:color w:val="auto"/>
                <w:sz w:val="24"/>
                <w:szCs w:val="24"/>
                <w:highlight w:val="none"/>
              </w:rPr>
              <w:t>根据《关于在政府采购活动中查询及使用信用记录有关问题的通知》财库[2016]125号的规定：</w:t>
            </w:r>
          </w:p>
          <w:p w14:paraId="31BEAEF0">
            <w:pPr>
              <w:spacing w:line="276" w:lineRule="auto"/>
              <w:rPr>
                <w:rFonts w:hint="eastAsia" w:ascii="宋体" w:hAnsi="宋体" w:cs="宋体"/>
                <w:b w:val="0"/>
                <w:bCs w:val="0"/>
                <w:color w:val="auto"/>
                <w:sz w:val="24"/>
                <w:szCs w:val="24"/>
                <w:highlight w:val="none"/>
              </w:rPr>
            </w:pPr>
            <w:r>
              <w:rPr>
                <w:rFonts w:hint="eastAsia" w:ascii="宋体" w:hAnsi="宋体" w:cs="宋体"/>
                <w:b w:val="0"/>
                <w:bCs w:val="0"/>
                <w:color w:val="auto"/>
                <w:sz w:val="24"/>
                <w:szCs w:val="24"/>
                <w:highlight w:val="none"/>
              </w:rPr>
              <w:t>（1）招标人或采购代理机构将对本项目供应商的信用记录进行查询。查询渠道为信用中国网站（www.creditchina.gov.cn）、中国政府采购网（www.ccgp.gov.cn）；</w:t>
            </w:r>
          </w:p>
          <w:p w14:paraId="0AD1CBEF">
            <w:pPr>
              <w:spacing w:line="276" w:lineRule="auto"/>
              <w:rPr>
                <w:rFonts w:hint="eastAsia" w:ascii="宋体" w:hAnsi="宋体" w:cs="宋体"/>
                <w:b w:val="0"/>
                <w:bCs w:val="0"/>
                <w:color w:val="auto"/>
                <w:sz w:val="24"/>
                <w:szCs w:val="24"/>
                <w:highlight w:val="none"/>
              </w:rPr>
            </w:pPr>
            <w:r>
              <w:rPr>
                <w:rFonts w:hint="eastAsia" w:ascii="宋体" w:hAnsi="宋体" w:cs="宋体"/>
                <w:b w:val="0"/>
                <w:bCs w:val="0"/>
                <w:color w:val="auto"/>
                <w:sz w:val="24"/>
                <w:szCs w:val="24"/>
                <w:highlight w:val="none"/>
              </w:rPr>
              <w:t>（2）截止时点：提交投标文件（响应文件）截止时间前3年内；</w:t>
            </w:r>
          </w:p>
          <w:p w14:paraId="1F7CC7AB">
            <w:pPr>
              <w:spacing w:line="276" w:lineRule="auto"/>
              <w:rPr>
                <w:rFonts w:hint="eastAsia" w:ascii="宋体" w:hAnsi="宋体" w:cs="宋体"/>
                <w:b w:val="0"/>
                <w:bCs w:val="0"/>
                <w:color w:val="auto"/>
                <w:sz w:val="24"/>
                <w:szCs w:val="24"/>
                <w:highlight w:val="none"/>
              </w:rPr>
            </w:pPr>
            <w:r>
              <w:rPr>
                <w:rFonts w:hint="eastAsia" w:ascii="宋体" w:hAnsi="宋体" w:cs="宋体"/>
                <w:b w:val="0"/>
                <w:bCs w:val="0"/>
                <w:color w:val="auto"/>
                <w:sz w:val="24"/>
                <w:szCs w:val="24"/>
                <w:highlight w:val="none"/>
              </w:rPr>
              <w:t>（3）查询记录和证据的留存：信用信息查询记录和证据以网页截图等方式留存。</w:t>
            </w:r>
          </w:p>
          <w:p w14:paraId="36B58268">
            <w:pPr>
              <w:spacing w:line="276" w:lineRule="auto"/>
              <w:rPr>
                <w:rFonts w:hint="eastAsia" w:ascii="宋体" w:hAnsi="宋体" w:cs="宋体"/>
                <w:b w:val="0"/>
                <w:bCs w:val="0"/>
                <w:color w:val="auto"/>
                <w:sz w:val="24"/>
                <w:szCs w:val="24"/>
                <w:highlight w:val="none"/>
              </w:rPr>
            </w:pPr>
            <w:r>
              <w:rPr>
                <w:rFonts w:hint="eastAsia" w:ascii="宋体" w:hAnsi="宋体" w:cs="宋体"/>
                <w:b w:val="0"/>
                <w:bCs w:val="0"/>
                <w:color w:val="auto"/>
                <w:sz w:val="24"/>
                <w:szCs w:val="24"/>
                <w:highlight w:val="none"/>
              </w:rPr>
              <w:t>（4）使用规则：被列入失信被执行人、重大税收违法案件当事人名单、政府采购严重违法失信行为记录名单及其它不符合《中华人民共和国政府采购法》第二十二条规定条件的，其投标将被拒绝。</w:t>
            </w:r>
          </w:p>
          <w:p w14:paraId="6F122EC4">
            <w:pPr>
              <w:spacing w:line="276" w:lineRule="auto"/>
              <w:rPr>
                <w:rFonts w:hint="eastAsia" w:ascii="宋体" w:hAnsi="宋体" w:eastAsia="宋体" w:cs="宋体"/>
                <w:color w:val="auto"/>
                <w:kern w:val="2"/>
                <w:sz w:val="24"/>
                <w:szCs w:val="24"/>
                <w:highlight w:val="none"/>
                <w:lang w:val="en-US" w:eastAsia="zh-CN" w:bidi="ar-SA"/>
              </w:rPr>
            </w:pPr>
            <w:r>
              <w:rPr>
                <w:rFonts w:hint="eastAsia" w:ascii="宋体" w:hAnsi="宋体" w:cs="宋体"/>
                <w:b w:val="0"/>
                <w:bCs w:val="0"/>
                <w:color w:val="auto"/>
                <w:sz w:val="24"/>
                <w:szCs w:val="24"/>
                <w:highlight w:val="none"/>
              </w:rPr>
              <w:t>（5）联合体成员任意一方存在不良信用记录的，视同联合体存在不良信用记录。</w:t>
            </w:r>
          </w:p>
        </w:tc>
      </w:tr>
      <w:tr w14:paraId="713B9E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35" w:hRule="atLeast"/>
          <w:jc w:val="center"/>
        </w:trPr>
        <w:tc>
          <w:tcPr>
            <w:tcW w:w="816" w:type="dxa"/>
            <w:vAlign w:val="center"/>
          </w:tcPr>
          <w:p w14:paraId="1FF1E49C">
            <w:pPr>
              <w:spacing w:line="276" w:lineRule="auto"/>
              <w:jc w:val="cente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35</w:t>
            </w:r>
          </w:p>
        </w:tc>
        <w:tc>
          <w:tcPr>
            <w:tcW w:w="1707" w:type="dxa"/>
            <w:vAlign w:val="center"/>
          </w:tcPr>
          <w:p w14:paraId="2B233016">
            <w:pPr>
              <w:pStyle w:val="15"/>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成交结果</w:t>
            </w:r>
          </w:p>
          <w:p w14:paraId="6D55FA78">
            <w:pPr>
              <w:pStyle w:val="15"/>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公告日期</w:t>
            </w:r>
          </w:p>
        </w:tc>
        <w:tc>
          <w:tcPr>
            <w:tcW w:w="7013" w:type="dxa"/>
            <w:vAlign w:val="center"/>
          </w:tcPr>
          <w:p w14:paraId="6AB7DA91">
            <w:pPr>
              <w:pStyle w:val="15"/>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auto"/>
              <w:ind w:left="105" w:leftChars="50" w:right="105" w:rightChars="50" w:firstLine="0" w:firstLineChars="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采购代理机构应当在</w:t>
            </w:r>
            <w:r>
              <w:rPr>
                <w:rFonts w:hint="eastAsia" w:ascii="宋体" w:hAnsi="宋体" w:eastAsia="宋体" w:cs="宋体"/>
                <w:color w:val="auto"/>
                <w:sz w:val="24"/>
                <w:szCs w:val="24"/>
                <w:highlight w:val="none"/>
                <w:lang w:val="en-US" w:eastAsia="zh-CN"/>
              </w:rPr>
              <w:t>评审</w:t>
            </w:r>
            <w:r>
              <w:rPr>
                <w:rFonts w:hint="eastAsia" w:ascii="宋体" w:hAnsi="宋体" w:eastAsia="宋体" w:cs="宋体"/>
                <w:color w:val="auto"/>
                <w:sz w:val="24"/>
                <w:szCs w:val="24"/>
                <w:highlight w:val="none"/>
              </w:rPr>
              <w:t>结束后2个工作日内将</w:t>
            </w:r>
            <w:r>
              <w:rPr>
                <w:rFonts w:hint="eastAsia" w:ascii="宋体" w:hAnsi="宋体" w:eastAsia="宋体" w:cs="宋体"/>
                <w:color w:val="auto"/>
                <w:sz w:val="24"/>
                <w:szCs w:val="24"/>
                <w:highlight w:val="none"/>
                <w:lang w:val="en-US" w:eastAsia="zh-CN"/>
              </w:rPr>
              <w:t>评审</w:t>
            </w:r>
            <w:r>
              <w:rPr>
                <w:rFonts w:hint="eastAsia" w:ascii="宋体" w:hAnsi="宋体" w:eastAsia="宋体" w:cs="宋体"/>
                <w:color w:val="auto"/>
                <w:sz w:val="24"/>
                <w:szCs w:val="24"/>
                <w:highlight w:val="none"/>
              </w:rPr>
              <w:t>报告送采购人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采购人应当自收到</w:t>
            </w:r>
            <w:r>
              <w:rPr>
                <w:rFonts w:hint="eastAsia" w:ascii="宋体" w:hAnsi="宋体" w:eastAsia="宋体" w:cs="宋体"/>
                <w:color w:val="auto"/>
                <w:sz w:val="24"/>
                <w:szCs w:val="24"/>
                <w:highlight w:val="none"/>
                <w:lang w:val="en-US" w:eastAsia="zh-CN"/>
              </w:rPr>
              <w:t>评审</w:t>
            </w:r>
            <w:r>
              <w:rPr>
                <w:rFonts w:hint="eastAsia" w:ascii="宋体" w:hAnsi="宋体" w:eastAsia="宋体" w:cs="宋体"/>
                <w:color w:val="auto"/>
                <w:sz w:val="24"/>
                <w:szCs w:val="24"/>
                <w:highlight w:val="none"/>
              </w:rPr>
              <w:t>报告之日起</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个工作日内确定</w:t>
            </w: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rPr>
              <w:t>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采购人或者采购代理机构应当自</w:t>
            </w: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rPr>
              <w:t>人确定之日起2个工作日内，在</w:t>
            </w:r>
            <w:r>
              <w:rPr>
                <w:rFonts w:hint="eastAsia" w:ascii="宋体" w:hAnsi="宋体" w:eastAsia="宋体" w:cs="宋体"/>
                <w:color w:val="auto"/>
                <w:sz w:val="24"/>
                <w:szCs w:val="24"/>
                <w:highlight w:val="none"/>
                <w:lang w:val="en-US" w:eastAsia="zh-CN"/>
              </w:rPr>
              <w:t>浙江省政府采购网</w:t>
            </w:r>
            <w:r>
              <w:rPr>
                <w:rFonts w:hint="eastAsia" w:ascii="宋体" w:hAnsi="宋体" w:eastAsia="宋体" w:cs="宋体"/>
                <w:color w:val="auto"/>
                <w:sz w:val="24"/>
                <w:szCs w:val="24"/>
                <w:highlight w:val="none"/>
              </w:rPr>
              <w:t>上公告</w:t>
            </w: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rPr>
              <w:t>结果</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rPr>
              <w:t>公告期限为1个工作日。</w:t>
            </w:r>
          </w:p>
        </w:tc>
      </w:tr>
      <w:tr w14:paraId="5F836C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35" w:hRule="atLeast"/>
          <w:jc w:val="center"/>
        </w:trPr>
        <w:tc>
          <w:tcPr>
            <w:tcW w:w="816" w:type="dxa"/>
            <w:vAlign w:val="center"/>
          </w:tcPr>
          <w:p w14:paraId="6EF74ADF">
            <w:pPr>
              <w:spacing w:line="276" w:lineRule="auto"/>
              <w:jc w:val="cente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36</w:t>
            </w:r>
          </w:p>
        </w:tc>
        <w:tc>
          <w:tcPr>
            <w:tcW w:w="1707" w:type="dxa"/>
            <w:vAlign w:val="center"/>
          </w:tcPr>
          <w:p w14:paraId="13D88639">
            <w:pPr>
              <w:pStyle w:val="15"/>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成交通知</w:t>
            </w:r>
          </w:p>
        </w:tc>
        <w:tc>
          <w:tcPr>
            <w:tcW w:w="7013" w:type="dxa"/>
            <w:vAlign w:val="center"/>
          </w:tcPr>
          <w:p w14:paraId="5D18B027">
            <w:pPr>
              <w:pStyle w:val="15"/>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auto"/>
              <w:ind w:left="105" w:leftChars="50" w:right="105" w:rightChars="50" w:firstLine="0" w:firstLineChars="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在公告</w:t>
            </w: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rPr>
              <w:t>结果的同时，采购人及采购代理机构将以书面形式向</w:t>
            </w: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rPr>
              <w:t>人发出</w:t>
            </w: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rPr>
              <w:t>通知书</w:t>
            </w:r>
            <w:r>
              <w:rPr>
                <w:rFonts w:hint="eastAsia" w:ascii="宋体" w:hAnsi="宋体" w:eastAsia="宋体" w:cs="宋体"/>
                <w:color w:val="auto"/>
                <w:sz w:val="24"/>
                <w:szCs w:val="24"/>
                <w:highlight w:val="none"/>
                <w:lang w:eastAsia="zh-CN"/>
              </w:rPr>
              <w:t>。</w:t>
            </w:r>
          </w:p>
        </w:tc>
      </w:tr>
      <w:tr w14:paraId="4FB9A9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35" w:hRule="atLeast"/>
          <w:jc w:val="center"/>
        </w:trPr>
        <w:tc>
          <w:tcPr>
            <w:tcW w:w="816" w:type="dxa"/>
            <w:vAlign w:val="center"/>
          </w:tcPr>
          <w:p w14:paraId="597E0203">
            <w:pPr>
              <w:spacing w:line="276" w:lineRule="auto"/>
              <w:jc w:val="cente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37</w:t>
            </w:r>
          </w:p>
        </w:tc>
        <w:tc>
          <w:tcPr>
            <w:tcW w:w="1707" w:type="dxa"/>
            <w:vAlign w:val="center"/>
          </w:tcPr>
          <w:p w14:paraId="4348D31E">
            <w:pPr>
              <w:pStyle w:val="15"/>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合同备案</w:t>
            </w:r>
          </w:p>
        </w:tc>
        <w:tc>
          <w:tcPr>
            <w:tcW w:w="7013" w:type="dxa"/>
            <w:vAlign w:val="center"/>
          </w:tcPr>
          <w:p w14:paraId="06CA2D2E">
            <w:pPr>
              <w:pStyle w:val="15"/>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auto"/>
              <w:ind w:left="105" w:leftChars="50" w:right="105" w:rightChars="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1、成交</w:t>
            </w:r>
            <w:r>
              <w:rPr>
                <w:rFonts w:hint="eastAsia" w:ascii="宋体" w:hAnsi="宋体" w:eastAsia="宋体" w:cs="宋体"/>
                <w:color w:val="auto"/>
                <w:sz w:val="24"/>
                <w:szCs w:val="24"/>
                <w:highlight w:val="none"/>
              </w:rPr>
              <w:t>人应当在</w:t>
            </w: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rPr>
              <w:t>通知书发出之日起</w:t>
            </w:r>
            <w:r>
              <w:rPr>
                <w:rFonts w:hint="eastAsia" w:hAnsi="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0日历天内与采购人签订合同。 </w:t>
            </w:r>
          </w:p>
          <w:p w14:paraId="0B0AA9A6">
            <w:pPr>
              <w:pStyle w:val="15"/>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auto"/>
              <w:ind w:left="105" w:leftChars="50" w:right="105" w:rightChars="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2、成交</w:t>
            </w:r>
            <w:r>
              <w:rPr>
                <w:rFonts w:hint="eastAsia" w:ascii="宋体" w:hAnsi="宋体" w:eastAsia="宋体" w:cs="宋体"/>
                <w:color w:val="auto"/>
                <w:sz w:val="24"/>
                <w:szCs w:val="24"/>
                <w:highlight w:val="none"/>
              </w:rPr>
              <w:t xml:space="preserve">人与采购人签订合同后，2天内将合同原件送至采购代理机构上传浙江政府采购网政采云平台备案。 </w:t>
            </w:r>
          </w:p>
          <w:p w14:paraId="26752389">
            <w:pPr>
              <w:pStyle w:val="15"/>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240" w:lineRule="auto"/>
              <w:ind w:left="105" w:leftChars="50" w:right="105" w:rightChars="50" w:firstLine="0" w:firstLineChars="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本项目政府采购合同按规定在浙江政府采购网予以公告</w:t>
            </w:r>
            <w:r>
              <w:rPr>
                <w:rFonts w:hint="eastAsia" w:ascii="宋体" w:hAnsi="宋体" w:eastAsia="宋体" w:cs="宋体"/>
                <w:color w:val="auto"/>
                <w:sz w:val="24"/>
                <w:szCs w:val="24"/>
                <w:highlight w:val="none"/>
                <w:lang w:eastAsia="zh-CN"/>
              </w:rPr>
              <w:t>。</w:t>
            </w:r>
          </w:p>
        </w:tc>
      </w:tr>
      <w:tr w14:paraId="5CC8D0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35" w:hRule="atLeast"/>
          <w:jc w:val="center"/>
        </w:trPr>
        <w:tc>
          <w:tcPr>
            <w:tcW w:w="816" w:type="dxa"/>
            <w:vAlign w:val="center"/>
          </w:tcPr>
          <w:p w14:paraId="1BF0EA92">
            <w:pPr>
              <w:spacing w:line="276"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38</w:t>
            </w:r>
          </w:p>
        </w:tc>
        <w:tc>
          <w:tcPr>
            <w:tcW w:w="1707" w:type="dxa"/>
            <w:vAlign w:val="center"/>
          </w:tcPr>
          <w:p w14:paraId="29952617">
            <w:pPr>
              <w:pStyle w:val="15"/>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注意事项</w:t>
            </w:r>
          </w:p>
        </w:tc>
        <w:tc>
          <w:tcPr>
            <w:tcW w:w="7013" w:type="dxa"/>
            <w:vAlign w:val="center"/>
          </w:tcPr>
          <w:p w14:paraId="5B2C5FF9">
            <w:pPr>
              <w:pStyle w:val="15"/>
              <w:keepNext w:val="0"/>
              <w:keepLines w:val="0"/>
              <w:pageBreakBefore w:val="0"/>
              <w:widowControl w:val="0"/>
              <w:numPr>
                <w:ilvl w:val="0"/>
                <w:numId w:val="3"/>
              </w:numPr>
              <w:kinsoku/>
              <w:wordWrap/>
              <w:overflowPunct/>
              <w:topLinePunct w:val="0"/>
              <w:autoSpaceDE/>
              <w:autoSpaceDN/>
              <w:bidi w:val="0"/>
              <w:adjustRightInd/>
              <w:snapToGrid/>
              <w:spacing w:before="0" w:beforeAutospacing="0" w:after="0" w:afterAutospacing="0" w:line="240" w:lineRule="auto"/>
              <w:ind w:left="105" w:leftChars="50" w:right="105" w:rightChars="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请务必确保投标文件制作客户端为最新版本，旧版本可能导致投标文件解密失败。 </w:t>
            </w:r>
          </w:p>
          <w:p w14:paraId="26A265A8">
            <w:pPr>
              <w:pStyle w:val="15"/>
              <w:keepNext w:val="0"/>
              <w:keepLines w:val="0"/>
              <w:pageBreakBefore w:val="0"/>
              <w:widowControl w:val="0"/>
              <w:numPr>
                <w:ilvl w:val="0"/>
                <w:numId w:val="3"/>
              </w:numPr>
              <w:kinsoku/>
              <w:wordWrap/>
              <w:overflowPunct/>
              <w:topLinePunct w:val="0"/>
              <w:autoSpaceDE/>
              <w:autoSpaceDN/>
              <w:bidi w:val="0"/>
              <w:adjustRightInd/>
              <w:snapToGrid/>
              <w:spacing w:before="0" w:beforeAutospacing="0" w:after="0" w:afterAutospacing="0" w:line="240" w:lineRule="auto"/>
              <w:ind w:left="105" w:leftChars="50" w:right="105" w:rightChars="50" w:firstLine="0" w:firstLineChars="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请务必确保投标文件制作时所用的CA锁与投标文件解密时的CA锁为同一把，否则可能导致投标文件解密失败。</w:t>
            </w:r>
          </w:p>
        </w:tc>
      </w:tr>
      <w:tr w14:paraId="2A8C97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35" w:hRule="atLeast"/>
          <w:jc w:val="center"/>
        </w:trPr>
        <w:tc>
          <w:tcPr>
            <w:tcW w:w="816" w:type="dxa"/>
            <w:vAlign w:val="center"/>
          </w:tcPr>
          <w:p w14:paraId="6C36CA8F">
            <w:pPr>
              <w:spacing w:line="276"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39</w:t>
            </w:r>
          </w:p>
        </w:tc>
        <w:tc>
          <w:tcPr>
            <w:tcW w:w="1707" w:type="dxa"/>
            <w:vAlign w:val="center"/>
          </w:tcPr>
          <w:p w14:paraId="0D4A471E">
            <w:pPr>
              <w:keepNext w:val="0"/>
              <w:keepLines w:val="0"/>
              <w:pageBreakBefore w:val="0"/>
              <w:widowControl w:val="0"/>
              <w:kinsoku/>
              <w:wordWrap/>
              <w:overflowPunct/>
              <w:topLinePunct w:val="0"/>
              <w:bidi w:val="0"/>
              <w:adjustRightInd w:val="0"/>
              <w:snapToGrid w:val="0"/>
              <w:spacing w:beforeAutospacing="0" w:afterAutospacing="0" w:line="24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特别说明</w:t>
            </w:r>
          </w:p>
        </w:tc>
        <w:tc>
          <w:tcPr>
            <w:tcW w:w="7013" w:type="dxa"/>
            <w:vAlign w:val="center"/>
          </w:tcPr>
          <w:p w14:paraId="301A1C8F">
            <w:pPr>
              <w:keepNext w:val="0"/>
              <w:keepLines w:val="0"/>
              <w:pageBreakBefore w:val="0"/>
              <w:widowControl w:val="0"/>
              <w:kinsoku/>
              <w:wordWrap/>
              <w:overflowPunct/>
              <w:topLinePunct w:val="0"/>
              <w:bidi w:val="0"/>
              <w:adjustRightInd w:val="0"/>
              <w:snapToGrid w:val="0"/>
              <w:spacing w:beforeAutospacing="0" w:afterAutospacing="0" w:line="24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当</w:t>
            </w:r>
            <w:r>
              <w:rPr>
                <w:rFonts w:hint="eastAsia" w:ascii="宋体" w:hAnsi="宋体" w:eastAsia="宋体" w:cs="宋体"/>
                <w:color w:val="auto"/>
                <w:sz w:val="24"/>
                <w:szCs w:val="24"/>
                <w:highlight w:val="none"/>
                <w:lang w:eastAsia="zh-CN"/>
              </w:rPr>
              <w:t>采购文件</w:t>
            </w:r>
            <w:r>
              <w:rPr>
                <w:rFonts w:hint="eastAsia" w:ascii="宋体" w:hAnsi="宋体" w:eastAsia="宋体" w:cs="宋体"/>
                <w:color w:val="auto"/>
                <w:sz w:val="24"/>
                <w:szCs w:val="24"/>
                <w:highlight w:val="none"/>
              </w:rPr>
              <w:t>中的内容与前附表规定不一致时，以前附表规定为准。</w:t>
            </w:r>
          </w:p>
        </w:tc>
      </w:tr>
    </w:tbl>
    <w:p w14:paraId="579E1C5C">
      <w:pPr>
        <w:pStyle w:val="46"/>
        <w:rPr>
          <w:rFonts w:hint="eastAsia" w:ascii="宋体" w:hAnsi="宋体" w:eastAsia="宋体" w:cs="宋体"/>
          <w:color w:val="auto"/>
          <w:highlight w:val="none"/>
        </w:rPr>
      </w:pPr>
    </w:p>
    <w:p w14:paraId="482CAA72">
      <w:pPr>
        <w:rPr>
          <w:rFonts w:hint="eastAsia" w:ascii="宋体" w:hAnsi="宋体" w:eastAsia="宋体" w:cs="宋体"/>
          <w:b/>
          <w:color w:val="auto"/>
          <w:sz w:val="28"/>
          <w:szCs w:val="28"/>
          <w:highlight w:val="none"/>
        </w:rPr>
      </w:pPr>
      <w:bookmarkStart w:id="24" w:name="_Toc18339"/>
      <w:r>
        <w:rPr>
          <w:rFonts w:hint="eastAsia" w:ascii="宋体" w:hAnsi="宋体" w:eastAsia="宋体" w:cs="宋体"/>
          <w:b/>
          <w:color w:val="auto"/>
          <w:sz w:val="28"/>
          <w:szCs w:val="28"/>
          <w:highlight w:val="none"/>
        </w:rPr>
        <w:br w:type="page"/>
      </w:r>
    </w:p>
    <w:p w14:paraId="30F6C2FE">
      <w:pPr>
        <w:pStyle w:val="5"/>
        <w:bidi w:val="0"/>
        <w:jc w:val="center"/>
        <w:rPr>
          <w:color w:val="auto"/>
          <w:highlight w:val="none"/>
        </w:rPr>
      </w:pPr>
      <w:bookmarkStart w:id="25" w:name="_Toc15566"/>
      <w:bookmarkStart w:id="26" w:name="_Toc2265"/>
      <w:r>
        <w:rPr>
          <w:rFonts w:hint="eastAsia"/>
          <w:color w:val="auto"/>
          <w:highlight w:val="none"/>
        </w:rPr>
        <w:t>一、说明</w:t>
      </w:r>
      <w:bookmarkEnd w:id="25"/>
      <w:bookmarkEnd w:id="26"/>
    </w:p>
    <w:p w14:paraId="2879DE0B">
      <w:pPr>
        <w:widowControl w:val="0"/>
        <w:spacing w:line="360" w:lineRule="auto"/>
        <w:ind w:firstLine="478"/>
        <w:rPr>
          <w:rFonts w:ascii="宋体" w:hAnsi="宋体" w:cs="宋体"/>
          <w:b/>
          <w:color w:val="auto"/>
          <w:sz w:val="24"/>
          <w:szCs w:val="22"/>
          <w:highlight w:val="none"/>
        </w:rPr>
      </w:pPr>
      <w:r>
        <w:rPr>
          <w:rFonts w:hint="eastAsia" w:ascii="宋体" w:hAnsi="宋体" w:cs="宋体"/>
          <w:b/>
          <w:color w:val="auto"/>
          <w:sz w:val="24"/>
          <w:szCs w:val="22"/>
          <w:highlight w:val="none"/>
        </w:rPr>
        <w:t>（一）适用范围</w:t>
      </w:r>
    </w:p>
    <w:p w14:paraId="5E39A85D">
      <w:pPr>
        <w:widowControl w:val="0"/>
        <w:spacing w:line="360" w:lineRule="auto"/>
        <w:ind w:firstLine="478"/>
        <w:rPr>
          <w:rFonts w:ascii="宋体" w:hAnsi="宋体" w:cs="宋体"/>
          <w:color w:val="auto"/>
          <w:sz w:val="24"/>
          <w:szCs w:val="22"/>
          <w:highlight w:val="none"/>
        </w:rPr>
      </w:pPr>
      <w:r>
        <w:rPr>
          <w:rFonts w:hint="eastAsia" w:ascii="宋体" w:hAnsi="宋体" w:cs="宋体"/>
          <w:color w:val="auto"/>
          <w:sz w:val="24"/>
          <w:szCs w:val="22"/>
          <w:highlight w:val="none"/>
        </w:rPr>
        <w:t>本采购文件仅适用于磋商公告中所述项目的磋商活动。</w:t>
      </w:r>
    </w:p>
    <w:p w14:paraId="10FF9E04">
      <w:pPr>
        <w:widowControl w:val="0"/>
        <w:spacing w:line="360" w:lineRule="auto"/>
        <w:ind w:firstLine="478"/>
        <w:rPr>
          <w:rFonts w:ascii="宋体" w:hAnsi="宋体" w:cs="宋体"/>
          <w:b/>
          <w:color w:val="auto"/>
          <w:sz w:val="24"/>
          <w:szCs w:val="22"/>
          <w:highlight w:val="none"/>
        </w:rPr>
      </w:pPr>
      <w:r>
        <w:rPr>
          <w:rFonts w:hint="eastAsia" w:ascii="宋体" w:hAnsi="宋体" w:cs="宋体"/>
          <w:b/>
          <w:color w:val="auto"/>
          <w:sz w:val="24"/>
          <w:szCs w:val="22"/>
          <w:highlight w:val="none"/>
        </w:rPr>
        <w:t>（二）定义</w:t>
      </w:r>
    </w:p>
    <w:p w14:paraId="3F69139D">
      <w:pPr>
        <w:widowControl w:val="0"/>
        <w:spacing w:line="360" w:lineRule="auto"/>
        <w:ind w:firstLine="478"/>
        <w:rPr>
          <w:rFonts w:ascii="宋体" w:hAnsi="宋体" w:cs="宋体"/>
          <w:color w:val="auto"/>
          <w:sz w:val="24"/>
          <w:szCs w:val="22"/>
          <w:highlight w:val="none"/>
        </w:rPr>
      </w:pPr>
      <w:r>
        <w:rPr>
          <w:rFonts w:hint="eastAsia" w:ascii="宋体" w:hAnsi="宋体" w:cs="宋体"/>
          <w:color w:val="auto"/>
          <w:sz w:val="24"/>
          <w:szCs w:val="22"/>
          <w:highlight w:val="none"/>
        </w:rPr>
        <w:t>1.“采购人”系指</w:t>
      </w:r>
      <w:r>
        <w:rPr>
          <w:rFonts w:hint="eastAsia" w:ascii="宋体" w:hAnsi="宋体" w:cs="宋体"/>
          <w:color w:val="auto"/>
          <w:sz w:val="24"/>
          <w:szCs w:val="22"/>
          <w:highlight w:val="none"/>
          <w:lang w:eastAsia="zh-CN"/>
        </w:rPr>
        <w:tab/>
      </w:r>
      <w:r>
        <w:rPr>
          <w:rFonts w:hint="eastAsia" w:ascii="宋体" w:hAnsi="宋体" w:cs="宋体"/>
          <w:color w:val="auto"/>
          <w:sz w:val="24"/>
          <w:szCs w:val="22"/>
          <w:highlight w:val="none"/>
          <w:lang w:eastAsia="zh-CN"/>
        </w:rPr>
        <w:t>浙江省金华监狱</w:t>
      </w:r>
      <w:r>
        <w:rPr>
          <w:rFonts w:hint="eastAsia" w:ascii="宋体" w:hAnsi="宋体" w:cs="宋体"/>
          <w:color w:val="auto"/>
          <w:sz w:val="24"/>
          <w:szCs w:val="22"/>
          <w:highlight w:val="none"/>
        </w:rPr>
        <w:t>。</w:t>
      </w:r>
    </w:p>
    <w:p w14:paraId="38D77C05">
      <w:pPr>
        <w:widowControl w:val="0"/>
        <w:spacing w:line="360" w:lineRule="auto"/>
        <w:ind w:firstLine="478"/>
        <w:rPr>
          <w:rFonts w:ascii="宋体" w:hAnsi="宋体" w:cs="宋体"/>
          <w:color w:val="auto"/>
          <w:sz w:val="24"/>
          <w:szCs w:val="22"/>
          <w:highlight w:val="none"/>
        </w:rPr>
      </w:pPr>
      <w:r>
        <w:rPr>
          <w:rFonts w:hint="eastAsia" w:ascii="宋体" w:hAnsi="宋体" w:cs="宋体"/>
          <w:color w:val="auto"/>
          <w:sz w:val="24"/>
          <w:szCs w:val="22"/>
          <w:highlight w:val="none"/>
        </w:rPr>
        <w:t>2.“供应商”系指经</w:t>
      </w:r>
      <w:r>
        <w:rPr>
          <w:rFonts w:hint="eastAsia" w:ascii="宋体" w:hAnsi="宋体" w:cs="宋体"/>
          <w:color w:val="auto"/>
          <w:sz w:val="24"/>
          <w:szCs w:val="22"/>
          <w:highlight w:val="none"/>
          <w:lang w:val="en-US" w:eastAsia="zh-CN"/>
        </w:rPr>
        <w:t>获取采购文件</w:t>
      </w:r>
      <w:r>
        <w:rPr>
          <w:rFonts w:hint="eastAsia" w:ascii="宋体" w:hAnsi="宋体" w:cs="宋体"/>
          <w:color w:val="auto"/>
          <w:sz w:val="24"/>
          <w:szCs w:val="22"/>
          <w:highlight w:val="none"/>
        </w:rPr>
        <w:t>，允许向代理机构提交响应文件的单位或个人。</w:t>
      </w:r>
    </w:p>
    <w:p w14:paraId="4936CEEB">
      <w:pPr>
        <w:widowControl w:val="0"/>
        <w:spacing w:line="360" w:lineRule="auto"/>
        <w:ind w:firstLine="478"/>
        <w:rPr>
          <w:rFonts w:ascii="宋体" w:hAnsi="宋体" w:cs="宋体"/>
          <w:color w:val="auto"/>
          <w:sz w:val="24"/>
          <w:szCs w:val="22"/>
          <w:highlight w:val="none"/>
        </w:rPr>
      </w:pPr>
      <w:r>
        <w:rPr>
          <w:rFonts w:hint="eastAsia" w:ascii="宋体" w:hAnsi="宋体" w:cs="宋体"/>
          <w:color w:val="auto"/>
          <w:sz w:val="24"/>
          <w:szCs w:val="22"/>
          <w:highlight w:val="none"/>
        </w:rPr>
        <w:t>3.“代理机构”系指组织磋商活动的浙江华杰工程咨询有限公司。</w:t>
      </w:r>
    </w:p>
    <w:p w14:paraId="6D69E5DB">
      <w:pPr>
        <w:widowControl w:val="0"/>
        <w:spacing w:line="360" w:lineRule="auto"/>
        <w:ind w:firstLine="478"/>
        <w:rPr>
          <w:rFonts w:ascii="宋体" w:hAnsi="宋体" w:cs="宋体"/>
          <w:color w:val="auto"/>
          <w:sz w:val="24"/>
          <w:szCs w:val="22"/>
          <w:highlight w:val="none"/>
        </w:rPr>
      </w:pPr>
      <w:r>
        <w:rPr>
          <w:rFonts w:hint="eastAsia" w:ascii="宋体" w:hAnsi="宋体" w:cs="宋体"/>
          <w:color w:val="auto"/>
          <w:sz w:val="24"/>
          <w:szCs w:val="22"/>
          <w:highlight w:val="none"/>
        </w:rPr>
        <w:t>4.“</w:t>
      </w:r>
      <w:r>
        <w:rPr>
          <w:rFonts w:hint="eastAsia" w:ascii="宋体" w:hAnsi="宋体" w:cs="宋体"/>
          <w:color w:val="auto"/>
          <w:sz w:val="24"/>
          <w:szCs w:val="22"/>
          <w:highlight w:val="none"/>
          <w:lang w:val="en-US" w:eastAsia="zh-CN"/>
        </w:rPr>
        <w:t>工程</w:t>
      </w:r>
      <w:r>
        <w:rPr>
          <w:rFonts w:hint="eastAsia" w:ascii="宋体" w:hAnsi="宋体" w:cs="宋体"/>
          <w:color w:val="auto"/>
          <w:sz w:val="24"/>
          <w:szCs w:val="22"/>
          <w:highlight w:val="none"/>
        </w:rPr>
        <w:t>”系指根据采购人要求，完成本项目及其他类似的义务所需的全部工作。具体工作范围按照《采购需求及要求》执行。</w:t>
      </w:r>
    </w:p>
    <w:p w14:paraId="262CFD8C">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5.“★”系指实质性要求条款，“▲”系指重要性指标条款，“☑” 系指适用本项目的要求，“☐” 系指不适用本项目的要求。</w:t>
      </w:r>
    </w:p>
    <w:p w14:paraId="1AE69F47">
      <w:pPr>
        <w:widowControl w:val="0"/>
        <w:spacing w:line="360" w:lineRule="auto"/>
        <w:ind w:firstLine="478"/>
        <w:rPr>
          <w:rFonts w:ascii="宋体" w:hAnsi="宋体" w:cs="宋体"/>
          <w:b/>
          <w:color w:val="auto"/>
          <w:sz w:val="24"/>
          <w:szCs w:val="22"/>
          <w:highlight w:val="none"/>
        </w:rPr>
      </w:pPr>
      <w:r>
        <w:rPr>
          <w:rFonts w:hint="eastAsia" w:ascii="宋体" w:hAnsi="宋体" w:cs="宋体"/>
          <w:b/>
          <w:color w:val="auto"/>
          <w:sz w:val="24"/>
          <w:szCs w:val="22"/>
          <w:highlight w:val="none"/>
        </w:rPr>
        <w:t>（三）磋商委托</w:t>
      </w:r>
    </w:p>
    <w:p w14:paraId="262F22F1">
      <w:pPr>
        <w:spacing w:line="360" w:lineRule="auto"/>
        <w:ind w:firstLine="480" w:firstLineChars="200"/>
        <w:jc w:val="both"/>
        <w:rPr>
          <w:rFonts w:hint="eastAsia" w:ascii="宋体" w:hAnsi="宋体" w:eastAsia="宋体" w:cs="宋体"/>
          <w:color w:val="auto"/>
          <w:sz w:val="24"/>
          <w:szCs w:val="22"/>
          <w:highlight w:val="none"/>
          <w:lang w:eastAsia="zh-CN"/>
        </w:rPr>
      </w:pPr>
      <w:r>
        <w:rPr>
          <w:rFonts w:hint="eastAsia" w:ascii="宋体" w:hAnsi="宋体" w:cs="宋体"/>
          <w:color w:val="auto"/>
          <w:sz w:val="24"/>
          <w:szCs w:val="22"/>
          <w:highlight w:val="none"/>
        </w:rPr>
        <w:t>参加现场磋商的供应商授权代表须携带有效身份证件，如供应商代表不是法定代表人（或单位负责人），须有法定代表人（或单位负责人）出具的授权委托书（正本用原件，副本用复印件）。</w:t>
      </w:r>
      <w:r>
        <w:rPr>
          <w:rFonts w:hint="eastAsia" w:ascii="宋体" w:hAnsi="宋体" w:cs="宋体"/>
          <w:color w:val="auto"/>
          <w:sz w:val="24"/>
          <w:szCs w:val="22"/>
          <w:highlight w:val="none"/>
          <w:lang w:eastAsia="zh-CN"/>
        </w:rPr>
        <w:t>（</w:t>
      </w:r>
      <w:r>
        <w:rPr>
          <w:rFonts w:hint="eastAsia" w:ascii="宋体" w:hAnsi="宋体" w:cs="宋体"/>
          <w:color w:val="auto"/>
          <w:sz w:val="24"/>
          <w:szCs w:val="22"/>
          <w:highlight w:val="none"/>
          <w:lang w:val="en-US" w:eastAsia="zh-CN"/>
        </w:rPr>
        <w:t>本项目不适用</w:t>
      </w:r>
      <w:r>
        <w:rPr>
          <w:rFonts w:hint="eastAsia" w:ascii="宋体" w:hAnsi="宋体" w:cs="宋体"/>
          <w:color w:val="auto"/>
          <w:sz w:val="24"/>
          <w:szCs w:val="22"/>
          <w:highlight w:val="none"/>
          <w:lang w:eastAsia="zh-CN"/>
        </w:rPr>
        <w:t>）</w:t>
      </w:r>
    </w:p>
    <w:p w14:paraId="1351EA32">
      <w:pPr>
        <w:widowControl w:val="0"/>
        <w:adjustRightInd w:val="0"/>
        <w:snapToGrid w:val="0"/>
        <w:spacing w:line="360" w:lineRule="auto"/>
        <w:ind w:firstLine="540" w:firstLineChars="224"/>
        <w:rPr>
          <w:rFonts w:ascii="宋体" w:hAnsi="宋体" w:cs="宋体"/>
          <w:b/>
          <w:color w:val="auto"/>
          <w:sz w:val="24"/>
          <w:szCs w:val="22"/>
          <w:highlight w:val="none"/>
        </w:rPr>
      </w:pPr>
      <w:r>
        <w:rPr>
          <w:rFonts w:hint="eastAsia" w:ascii="宋体" w:hAnsi="宋体" w:cs="宋体"/>
          <w:b/>
          <w:color w:val="auto"/>
          <w:sz w:val="24"/>
          <w:szCs w:val="22"/>
          <w:highlight w:val="none"/>
        </w:rPr>
        <w:t>（四）合格的供应商</w:t>
      </w:r>
    </w:p>
    <w:p w14:paraId="4504F5BD">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详见《竞争性磋商公告》。</w:t>
      </w:r>
    </w:p>
    <w:p w14:paraId="485A49E1">
      <w:pPr>
        <w:widowControl w:val="0"/>
        <w:adjustRightInd w:val="0"/>
        <w:snapToGrid w:val="0"/>
        <w:spacing w:line="360" w:lineRule="auto"/>
        <w:ind w:firstLine="540" w:firstLineChars="224"/>
        <w:rPr>
          <w:rFonts w:ascii="宋体" w:hAnsi="宋体" w:cs="宋体"/>
          <w:b/>
          <w:color w:val="auto"/>
          <w:sz w:val="24"/>
          <w:szCs w:val="22"/>
          <w:highlight w:val="none"/>
        </w:rPr>
      </w:pPr>
      <w:r>
        <w:rPr>
          <w:rFonts w:hint="eastAsia" w:ascii="宋体" w:hAnsi="宋体" w:cs="宋体"/>
          <w:b/>
          <w:color w:val="auto"/>
          <w:sz w:val="24"/>
          <w:szCs w:val="22"/>
          <w:highlight w:val="none"/>
        </w:rPr>
        <w:t>（五）采购方式</w:t>
      </w:r>
    </w:p>
    <w:p w14:paraId="4ECAADC3">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本次采用竞争性磋商方式进行。</w:t>
      </w:r>
    </w:p>
    <w:p w14:paraId="12F248C3">
      <w:pPr>
        <w:widowControl w:val="0"/>
        <w:adjustRightInd w:val="0"/>
        <w:snapToGrid w:val="0"/>
        <w:spacing w:line="360" w:lineRule="auto"/>
        <w:ind w:firstLine="540" w:firstLineChars="224"/>
        <w:rPr>
          <w:rFonts w:ascii="宋体" w:hAnsi="宋体" w:cs="宋体"/>
          <w:b/>
          <w:color w:val="auto"/>
          <w:sz w:val="24"/>
          <w:szCs w:val="22"/>
          <w:highlight w:val="none"/>
        </w:rPr>
      </w:pPr>
      <w:r>
        <w:rPr>
          <w:rFonts w:hint="eastAsia" w:ascii="宋体" w:hAnsi="宋体" w:cs="宋体"/>
          <w:b/>
          <w:color w:val="auto"/>
          <w:sz w:val="24"/>
          <w:szCs w:val="22"/>
          <w:highlight w:val="none"/>
        </w:rPr>
        <w:t>（六）磋商费用</w:t>
      </w:r>
    </w:p>
    <w:p w14:paraId="75446732">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无论响应过程中的做法和结果如何，供应商自行承担所有与参加响应有关的全部费用，供应商取得成交资格后，须向</w:t>
      </w:r>
      <w:r>
        <w:rPr>
          <w:rFonts w:hint="eastAsia" w:ascii="宋体" w:hAnsi="宋体" w:cs="宋体"/>
          <w:color w:val="auto"/>
          <w:sz w:val="24"/>
          <w:szCs w:val="22"/>
          <w:highlight w:val="none"/>
          <w:lang w:eastAsia="zh-CN"/>
        </w:rPr>
        <w:t>采购代理机构</w:t>
      </w:r>
      <w:r>
        <w:rPr>
          <w:rFonts w:hint="eastAsia" w:ascii="宋体" w:hAnsi="宋体" w:cs="宋体"/>
          <w:color w:val="auto"/>
          <w:sz w:val="24"/>
          <w:szCs w:val="22"/>
          <w:highlight w:val="none"/>
        </w:rPr>
        <w:t>支付</w:t>
      </w:r>
      <w:r>
        <w:rPr>
          <w:rFonts w:hint="eastAsia" w:ascii="宋体" w:hAnsi="宋体" w:cs="宋体"/>
          <w:color w:val="auto"/>
          <w:sz w:val="24"/>
          <w:szCs w:val="24"/>
          <w:highlight w:val="none"/>
        </w:rPr>
        <w:t>采购代理服务费</w:t>
      </w:r>
      <w:r>
        <w:rPr>
          <w:rFonts w:hint="eastAsia" w:ascii="宋体" w:hAnsi="宋体" w:cs="宋体"/>
          <w:color w:val="auto"/>
          <w:sz w:val="24"/>
          <w:szCs w:val="22"/>
          <w:highlight w:val="none"/>
        </w:rPr>
        <w:t>（详见须知前附表）。</w:t>
      </w:r>
    </w:p>
    <w:p w14:paraId="6EC165D0">
      <w:pPr>
        <w:widowControl w:val="0"/>
        <w:adjustRightInd w:val="0"/>
        <w:snapToGrid w:val="0"/>
        <w:spacing w:line="360" w:lineRule="auto"/>
        <w:ind w:firstLine="540" w:firstLineChars="224"/>
        <w:rPr>
          <w:rFonts w:ascii="宋体" w:hAnsi="宋体" w:cs="宋体"/>
          <w:b/>
          <w:color w:val="auto"/>
          <w:sz w:val="24"/>
          <w:szCs w:val="22"/>
          <w:highlight w:val="none"/>
        </w:rPr>
      </w:pPr>
      <w:r>
        <w:rPr>
          <w:rFonts w:hint="eastAsia" w:ascii="宋体" w:hAnsi="宋体" w:cs="宋体"/>
          <w:b/>
          <w:color w:val="auto"/>
          <w:sz w:val="24"/>
          <w:szCs w:val="22"/>
          <w:highlight w:val="none"/>
        </w:rPr>
        <w:t>（七）★联合体</w:t>
      </w:r>
    </w:p>
    <w:p w14:paraId="05738FD0">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本项目不接受联合体。</w:t>
      </w:r>
    </w:p>
    <w:p w14:paraId="351194B9">
      <w:pPr>
        <w:widowControl w:val="0"/>
        <w:adjustRightInd w:val="0"/>
        <w:snapToGrid w:val="0"/>
        <w:spacing w:line="360" w:lineRule="auto"/>
        <w:ind w:firstLine="540" w:firstLineChars="224"/>
        <w:rPr>
          <w:rFonts w:ascii="宋体" w:hAnsi="宋体" w:cs="宋体"/>
          <w:b/>
          <w:color w:val="auto"/>
          <w:sz w:val="24"/>
          <w:szCs w:val="22"/>
          <w:highlight w:val="none"/>
        </w:rPr>
      </w:pPr>
      <w:r>
        <w:rPr>
          <w:rFonts w:hint="eastAsia" w:ascii="宋体" w:hAnsi="宋体" w:cs="宋体"/>
          <w:b/>
          <w:color w:val="auto"/>
          <w:sz w:val="24"/>
          <w:szCs w:val="22"/>
          <w:highlight w:val="none"/>
        </w:rPr>
        <w:t>（八）转包与分包</w:t>
      </w:r>
    </w:p>
    <w:p w14:paraId="61957ECB">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1.本项目不允许转包。</w:t>
      </w:r>
    </w:p>
    <w:p w14:paraId="44B33C21">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2.未经采购人同意的，本项目不可以分包。</w:t>
      </w:r>
    </w:p>
    <w:p w14:paraId="48AEB29F">
      <w:pPr>
        <w:widowControl w:val="0"/>
        <w:adjustRightInd w:val="0"/>
        <w:snapToGrid w:val="0"/>
        <w:spacing w:line="360" w:lineRule="auto"/>
        <w:ind w:firstLine="540" w:firstLineChars="224"/>
        <w:rPr>
          <w:rFonts w:ascii="宋体" w:hAnsi="宋体" w:cs="宋体"/>
          <w:b/>
          <w:color w:val="auto"/>
          <w:sz w:val="24"/>
          <w:szCs w:val="22"/>
          <w:highlight w:val="none"/>
        </w:rPr>
      </w:pPr>
      <w:r>
        <w:rPr>
          <w:rFonts w:hint="eastAsia" w:ascii="宋体" w:hAnsi="宋体" w:cs="宋体"/>
          <w:b/>
          <w:color w:val="auto"/>
          <w:sz w:val="24"/>
          <w:szCs w:val="22"/>
          <w:highlight w:val="none"/>
        </w:rPr>
        <w:t>（九）特别说明：</w:t>
      </w:r>
    </w:p>
    <w:p w14:paraId="4554D047">
      <w:pPr>
        <w:widowControl w:val="0"/>
        <w:adjustRightInd w:val="0"/>
        <w:snapToGrid w:val="0"/>
        <w:spacing w:line="360" w:lineRule="auto"/>
        <w:ind w:firstLine="480" w:firstLineChars="200"/>
        <w:rPr>
          <w:rFonts w:ascii="宋体" w:hAnsi="宋体" w:cs="宋体"/>
          <w:color w:val="auto"/>
          <w:sz w:val="24"/>
          <w:szCs w:val="22"/>
          <w:highlight w:val="none"/>
        </w:rPr>
      </w:pPr>
      <w:r>
        <w:rPr>
          <w:rFonts w:hint="eastAsia" w:ascii="宋体" w:hAnsi="宋体" w:cs="宋体"/>
          <w:color w:val="auto"/>
          <w:sz w:val="24"/>
          <w:szCs w:val="22"/>
          <w:highlight w:val="none"/>
        </w:rPr>
        <w:t>1.单位负责人为同一人或者存在直接控股、管理关系的不同供应商，不得参加同一合同项下的政府采购活动。</w:t>
      </w:r>
    </w:p>
    <w:p w14:paraId="5851E4D9">
      <w:pPr>
        <w:widowControl w:val="0"/>
        <w:adjustRightInd w:val="0"/>
        <w:snapToGrid w:val="0"/>
        <w:spacing w:line="360" w:lineRule="auto"/>
        <w:ind w:firstLine="480" w:firstLineChars="200"/>
        <w:rPr>
          <w:rFonts w:ascii="宋体" w:hAnsi="宋体" w:cs="宋体"/>
          <w:color w:val="auto"/>
          <w:sz w:val="24"/>
          <w:szCs w:val="22"/>
          <w:highlight w:val="none"/>
        </w:rPr>
      </w:pPr>
      <w:r>
        <w:rPr>
          <w:rFonts w:hint="eastAsia" w:ascii="宋体" w:hAnsi="宋体" w:cs="宋体"/>
          <w:color w:val="auto"/>
          <w:sz w:val="24"/>
          <w:szCs w:val="22"/>
          <w:highlight w:val="none"/>
        </w:rPr>
        <w:t>2.为采购项目提供整体设计、规范编制或者项目管理、监理、检测等服务的供应商，不得再参加该采购项目的其他采购活动。</w:t>
      </w:r>
    </w:p>
    <w:p w14:paraId="060F41FD">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3.供应商投标所使用的资格、信誉、荣誉、业绩与企业认证必须为本法人所拥有。</w:t>
      </w:r>
    </w:p>
    <w:p w14:paraId="1C92CABA">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4.供应商应仔细阅读采购文件的所有内容，按照采购文件的要求提交响应文件，并对所提供的全部资料的真实性承担法律责任。</w:t>
      </w:r>
    </w:p>
    <w:p w14:paraId="129E438A">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5.供应商在磋商活动中提供任何虚假材料，其响应无效，并报监管部门查处；成交后发现的，成交人须依照《中华人民共和国消费者权益保护法》规定赔偿采购人，且民事赔偿并不免除违法供应商的行政与刑事责任。</w:t>
      </w:r>
    </w:p>
    <w:p w14:paraId="62E2CD2C">
      <w:pPr>
        <w:widowControl w:val="0"/>
        <w:adjustRightInd w:val="0"/>
        <w:snapToGrid w:val="0"/>
        <w:spacing w:line="360" w:lineRule="auto"/>
        <w:ind w:firstLine="540" w:firstLineChars="224"/>
        <w:rPr>
          <w:rFonts w:ascii="宋体" w:hAnsi="宋体" w:cs="宋体"/>
          <w:b/>
          <w:color w:val="auto"/>
          <w:sz w:val="24"/>
          <w:szCs w:val="22"/>
          <w:highlight w:val="none"/>
        </w:rPr>
      </w:pPr>
      <w:r>
        <w:rPr>
          <w:rFonts w:hint="eastAsia" w:ascii="宋体" w:hAnsi="宋体" w:cs="宋体"/>
          <w:b/>
          <w:color w:val="auto"/>
          <w:sz w:val="24"/>
          <w:szCs w:val="22"/>
          <w:highlight w:val="none"/>
        </w:rPr>
        <w:t>（十）现场踏勘</w:t>
      </w:r>
    </w:p>
    <w:p w14:paraId="773A8CCA">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1.不组织集中踏勘，由各供应商自行安排。供应商在踏勘过程中发生的各类事件和所发生的各项费用，均由供应商自行承担，采购人和代理机构概不负责。</w:t>
      </w:r>
    </w:p>
    <w:p w14:paraId="1AE652D7">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2.采购人向供应商提供的有关现场的数据和资料，是采购人现有的能被供应商利用的资料，采购人对供应商据此做出的任何推论、理解和结论不负责任。</w:t>
      </w:r>
    </w:p>
    <w:p w14:paraId="4C597DFC">
      <w:pPr>
        <w:widowControl w:val="0"/>
        <w:adjustRightInd w:val="0"/>
        <w:snapToGrid w:val="0"/>
        <w:spacing w:line="360" w:lineRule="auto"/>
        <w:ind w:firstLine="540" w:firstLineChars="224"/>
        <w:rPr>
          <w:rFonts w:ascii="宋体" w:hAnsi="宋体" w:cs="宋体"/>
          <w:b/>
          <w:color w:val="auto"/>
          <w:sz w:val="24"/>
          <w:szCs w:val="22"/>
          <w:highlight w:val="none"/>
        </w:rPr>
      </w:pPr>
      <w:r>
        <w:rPr>
          <w:rFonts w:hint="eastAsia" w:ascii="宋体" w:hAnsi="宋体" w:cs="宋体"/>
          <w:b/>
          <w:color w:val="auto"/>
          <w:sz w:val="24"/>
          <w:szCs w:val="22"/>
          <w:highlight w:val="none"/>
        </w:rPr>
        <w:t>（十一）质疑和投诉</w:t>
      </w:r>
    </w:p>
    <w:p w14:paraId="51579B30">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1.供应商认为采购文件使自己的合法权益受到损害的，可以自获取采购文件之日（采购文件公告期限届满之后获取采购文件的以公告期限届满之日起计算）起7个工作日内，以书面形式向采购人和采购代理机构提出质疑，逾期提出不予受理。</w:t>
      </w:r>
    </w:p>
    <w:p w14:paraId="6488EFC7">
      <w:pPr>
        <w:spacing w:line="360" w:lineRule="auto"/>
        <w:ind w:firstLine="480" w:firstLineChars="200"/>
        <w:jc w:val="both"/>
        <w:rPr>
          <w:rFonts w:ascii="宋体" w:hAnsi="宋体" w:cs="宋体"/>
          <w:color w:val="auto"/>
          <w:sz w:val="24"/>
          <w:szCs w:val="22"/>
          <w:highlight w:val="none"/>
        </w:rPr>
      </w:pPr>
      <w:r>
        <w:rPr>
          <w:rFonts w:hint="eastAsia" w:ascii="宋体" w:hAnsi="宋体" w:cs="宋体"/>
          <w:color w:val="auto"/>
          <w:sz w:val="24"/>
          <w:szCs w:val="22"/>
          <w:highlight w:val="none"/>
        </w:rPr>
        <w:t>2.供应商认为磋商过程或成交结果使自己的合法权益受到损害的，应当在知道或者应知其权益受到损害之日起七个工作日内，以书面形式向代理机构提出质疑。</w:t>
      </w:r>
    </w:p>
    <w:p w14:paraId="085587ED">
      <w:pPr>
        <w:spacing w:line="360" w:lineRule="auto"/>
        <w:ind w:firstLine="480" w:firstLineChars="200"/>
        <w:jc w:val="both"/>
        <w:rPr>
          <w:rFonts w:ascii="宋体" w:hAnsi="宋体" w:cs="宋体"/>
          <w:color w:val="auto"/>
          <w:sz w:val="24"/>
          <w:szCs w:val="22"/>
          <w:highlight w:val="none"/>
        </w:rPr>
      </w:pPr>
      <w:r>
        <w:rPr>
          <w:rFonts w:hint="eastAsia" w:ascii="宋体" w:hAnsi="宋体" w:cs="宋体"/>
          <w:color w:val="auto"/>
          <w:sz w:val="24"/>
          <w:szCs w:val="22"/>
          <w:highlight w:val="none"/>
        </w:rPr>
        <w:t>（1）采购过程的质疑期限自各采购程序环节结束之日起计算，7个工作日内向采购代理机构提出，逾期提出不予受理。</w:t>
      </w:r>
    </w:p>
    <w:p w14:paraId="7244B7F6">
      <w:pPr>
        <w:spacing w:line="360" w:lineRule="auto"/>
        <w:ind w:firstLine="480" w:firstLineChars="200"/>
        <w:jc w:val="both"/>
        <w:rPr>
          <w:rFonts w:ascii="宋体" w:hAnsi="宋体" w:cs="宋体"/>
          <w:color w:val="auto"/>
          <w:sz w:val="24"/>
          <w:szCs w:val="22"/>
          <w:highlight w:val="none"/>
        </w:rPr>
      </w:pPr>
      <w:r>
        <w:rPr>
          <w:rFonts w:hint="eastAsia" w:ascii="宋体" w:hAnsi="宋体" w:cs="宋体"/>
          <w:color w:val="auto"/>
          <w:sz w:val="24"/>
          <w:szCs w:val="22"/>
          <w:highlight w:val="none"/>
        </w:rPr>
        <w:t>（2）采购结果的质疑期限自采购结果公告期限届满之日起计算，7个工作日内向采购代理机构提出，逾期提出不予受理。</w:t>
      </w:r>
    </w:p>
    <w:p w14:paraId="7490EBF4">
      <w:pPr>
        <w:spacing w:line="360" w:lineRule="auto"/>
        <w:ind w:firstLine="480" w:firstLineChars="200"/>
        <w:jc w:val="both"/>
        <w:rPr>
          <w:rFonts w:ascii="宋体" w:hAnsi="宋体" w:cs="宋体"/>
          <w:color w:val="auto"/>
          <w:sz w:val="24"/>
          <w:szCs w:val="22"/>
          <w:highlight w:val="none"/>
        </w:rPr>
      </w:pPr>
      <w:r>
        <w:rPr>
          <w:rFonts w:hint="eastAsia" w:ascii="宋体" w:hAnsi="宋体" w:cs="宋体"/>
          <w:color w:val="auto"/>
          <w:sz w:val="24"/>
          <w:szCs w:val="22"/>
          <w:highlight w:val="none"/>
        </w:rPr>
        <w:t>3.质疑、投诉应当采用书面形式，根据《政府采购质疑和投诉办法》（财政部令第94号）和和财库[2014]214号《财政部关于印发&lt;政府采购竞争性磋商采购人式管理暂行办法&gt;的通知》的规定要求，质疑书、投诉书均应明确阐述采购文件、招标过程或成交结果中使自己合法权益受到损害的实质性内容，提供相关事实、依据和证据及其来源或线索，便于有关单位调查、答复和处理。质疑函范本、投诉书范本请到浙江政府采购网下载专区下载。</w:t>
      </w:r>
    </w:p>
    <w:p w14:paraId="49F5AFEB">
      <w:pPr>
        <w:spacing w:line="360" w:lineRule="auto"/>
        <w:ind w:firstLine="480" w:firstLineChars="200"/>
        <w:jc w:val="both"/>
        <w:rPr>
          <w:rFonts w:ascii="宋体" w:hAnsi="宋体" w:cs="宋体"/>
          <w:color w:val="auto"/>
          <w:sz w:val="24"/>
          <w:szCs w:val="22"/>
          <w:highlight w:val="none"/>
        </w:rPr>
      </w:pPr>
      <w:r>
        <w:rPr>
          <w:rFonts w:hint="eastAsia" w:ascii="宋体" w:hAnsi="宋体" w:cs="宋体"/>
          <w:color w:val="auto"/>
          <w:sz w:val="24"/>
          <w:szCs w:val="22"/>
          <w:highlight w:val="none"/>
        </w:rPr>
        <w:t>质疑函须包括以下内容：</w:t>
      </w:r>
    </w:p>
    <w:p w14:paraId="5E96545B">
      <w:pPr>
        <w:spacing w:line="360" w:lineRule="auto"/>
        <w:ind w:firstLine="480" w:firstLineChars="200"/>
        <w:jc w:val="both"/>
        <w:rPr>
          <w:rFonts w:ascii="宋体" w:hAnsi="宋体" w:cs="宋体"/>
          <w:color w:val="auto"/>
          <w:sz w:val="24"/>
          <w:szCs w:val="22"/>
          <w:highlight w:val="none"/>
        </w:rPr>
      </w:pPr>
      <w:r>
        <w:rPr>
          <w:rFonts w:hint="eastAsia" w:ascii="宋体" w:hAnsi="宋体" w:cs="宋体"/>
          <w:color w:val="auto"/>
          <w:sz w:val="24"/>
          <w:szCs w:val="22"/>
          <w:highlight w:val="none"/>
        </w:rPr>
        <w:t>（1）供应商的姓名或者名称、地址、邮编、联系人及联系电话；</w:t>
      </w:r>
    </w:p>
    <w:p w14:paraId="5A3E3CB8">
      <w:pPr>
        <w:spacing w:line="360" w:lineRule="auto"/>
        <w:ind w:firstLine="480" w:firstLineChars="200"/>
        <w:jc w:val="both"/>
        <w:rPr>
          <w:rFonts w:ascii="宋体" w:hAnsi="宋体" w:cs="宋体"/>
          <w:color w:val="auto"/>
          <w:sz w:val="24"/>
          <w:szCs w:val="22"/>
          <w:highlight w:val="none"/>
        </w:rPr>
      </w:pPr>
      <w:r>
        <w:rPr>
          <w:rFonts w:hint="eastAsia" w:ascii="宋体" w:hAnsi="宋体" w:cs="宋体"/>
          <w:color w:val="auto"/>
          <w:sz w:val="24"/>
          <w:szCs w:val="22"/>
          <w:highlight w:val="none"/>
        </w:rPr>
        <w:t>（2）质疑项目的名称、编号；</w:t>
      </w:r>
    </w:p>
    <w:p w14:paraId="4603A586">
      <w:pPr>
        <w:spacing w:line="360" w:lineRule="auto"/>
        <w:ind w:firstLine="480" w:firstLineChars="200"/>
        <w:jc w:val="both"/>
        <w:rPr>
          <w:rFonts w:ascii="宋体" w:hAnsi="宋体" w:cs="宋体"/>
          <w:color w:val="auto"/>
          <w:sz w:val="24"/>
          <w:szCs w:val="22"/>
          <w:highlight w:val="none"/>
        </w:rPr>
      </w:pPr>
      <w:r>
        <w:rPr>
          <w:rFonts w:hint="eastAsia" w:ascii="宋体" w:hAnsi="宋体" w:cs="宋体"/>
          <w:color w:val="auto"/>
          <w:sz w:val="24"/>
          <w:szCs w:val="22"/>
          <w:highlight w:val="none"/>
        </w:rPr>
        <w:t>（3）具体、明确的质疑事项和与质疑事项相关的请求；</w:t>
      </w:r>
    </w:p>
    <w:p w14:paraId="43FCF668">
      <w:pPr>
        <w:spacing w:line="360" w:lineRule="auto"/>
        <w:ind w:firstLine="480" w:firstLineChars="200"/>
        <w:jc w:val="both"/>
        <w:rPr>
          <w:rFonts w:ascii="宋体" w:hAnsi="宋体" w:cs="宋体"/>
          <w:color w:val="auto"/>
          <w:sz w:val="24"/>
          <w:szCs w:val="22"/>
          <w:highlight w:val="none"/>
        </w:rPr>
      </w:pPr>
      <w:r>
        <w:rPr>
          <w:rFonts w:hint="eastAsia" w:ascii="宋体" w:hAnsi="宋体" w:cs="宋体"/>
          <w:color w:val="auto"/>
          <w:sz w:val="24"/>
          <w:szCs w:val="22"/>
          <w:highlight w:val="none"/>
        </w:rPr>
        <w:t>（4）事实依据；</w:t>
      </w:r>
    </w:p>
    <w:p w14:paraId="607F93D5">
      <w:pPr>
        <w:spacing w:line="360" w:lineRule="auto"/>
        <w:ind w:firstLine="480" w:firstLineChars="200"/>
        <w:jc w:val="both"/>
        <w:rPr>
          <w:rFonts w:ascii="宋体" w:hAnsi="宋体" w:cs="宋体"/>
          <w:color w:val="auto"/>
          <w:sz w:val="24"/>
          <w:szCs w:val="22"/>
          <w:highlight w:val="none"/>
        </w:rPr>
      </w:pPr>
      <w:r>
        <w:rPr>
          <w:rFonts w:hint="eastAsia" w:ascii="宋体" w:hAnsi="宋体" w:cs="宋体"/>
          <w:color w:val="auto"/>
          <w:sz w:val="24"/>
          <w:szCs w:val="22"/>
          <w:highlight w:val="none"/>
        </w:rPr>
        <w:t>（5）必要的法律依据；</w:t>
      </w:r>
    </w:p>
    <w:p w14:paraId="067467AD">
      <w:pPr>
        <w:spacing w:line="360" w:lineRule="auto"/>
        <w:ind w:firstLine="480" w:firstLineChars="200"/>
        <w:jc w:val="both"/>
        <w:rPr>
          <w:rFonts w:ascii="宋体" w:hAnsi="宋体" w:cs="宋体"/>
          <w:color w:val="auto"/>
          <w:sz w:val="24"/>
          <w:szCs w:val="22"/>
          <w:highlight w:val="none"/>
        </w:rPr>
      </w:pPr>
      <w:r>
        <w:rPr>
          <w:rFonts w:hint="eastAsia" w:ascii="宋体" w:hAnsi="宋体" w:cs="宋体"/>
          <w:color w:val="auto"/>
          <w:sz w:val="24"/>
          <w:szCs w:val="22"/>
          <w:highlight w:val="none"/>
        </w:rPr>
        <w:t>（6）提出质疑的日期。</w:t>
      </w:r>
    </w:p>
    <w:p w14:paraId="4105AA05">
      <w:pPr>
        <w:spacing w:line="360" w:lineRule="auto"/>
        <w:ind w:firstLine="480" w:firstLineChars="200"/>
        <w:jc w:val="both"/>
        <w:rPr>
          <w:rFonts w:ascii="宋体" w:hAnsi="宋体" w:cs="宋体"/>
          <w:color w:val="auto"/>
          <w:sz w:val="24"/>
          <w:szCs w:val="22"/>
          <w:highlight w:val="none"/>
        </w:rPr>
      </w:pPr>
      <w:r>
        <w:rPr>
          <w:rFonts w:hint="eastAsia" w:ascii="宋体" w:hAnsi="宋体" w:cs="宋体"/>
          <w:color w:val="auto"/>
          <w:sz w:val="24"/>
          <w:szCs w:val="22"/>
          <w:highlight w:val="none"/>
        </w:rPr>
        <w:t>4.供应商须在法定质疑期内一次性提出针对同一采购程序环节的质疑。未按上述要求提供的质疑函，采购代理机构有权不予受理。</w:t>
      </w:r>
    </w:p>
    <w:p w14:paraId="1E6B2DC4">
      <w:pPr>
        <w:spacing w:line="360" w:lineRule="auto"/>
        <w:ind w:firstLine="480" w:firstLineChars="200"/>
        <w:jc w:val="both"/>
        <w:rPr>
          <w:rFonts w:ascii="宋体" w:hAnsi="宋体" w:cs="宋体"/>
          <w:color w:val="auto"/>
          <w:sz w:val="24"/>
          <w:szCs w:val="22"/>
          <w:highlight w:val="none"/>
        </w:rPr>
      </w:pPr>
      <w:r>
        <w:rPr>
          <w:rFonts w:hint="eastAsia" w:ascii="宋体" w:hAnsi="宋体" w:cs="宋体"/>
          <w:color w:val="auto"/>
          <w:sz w:val="24"/>
          <w:szCs w:val="22"/>
          <w:highlight w:val="none"/>
        </w:rPr>
        <w:t>5.供应商对质疑答复不满意或者招标采购人未在规定时间内作出答复的，可以在答复期满后十五个工作日内向同级采购监管部门投诉。</w:t>
      </w:r>
    </w:p>
    <w:p w14:paraId="1B7D4F04">
      <w:pPr>
        <w:pStyle w:val="5"/>
        <w:bidi w:val="0"/>
        <w:jc w:val="center"/>
        <w:rPr>
          <w:color w:val="auto"/>
          <w:highlight w:val="none"/>
        </w:rPr>
      </w:pPr>
      <w:bookmarkStart w:id="27" w:name="_Toc13089"/>
      <w:bookmarkStart w:id="28" w:name="_Toc74910240"/>
      <w:bookmarkStart w:id="29" w:name="_Toc23707"/>
      <w:r>
        <w:rPr>
          <w:rFonts w:hint="eastAsia"/>
          <w:color w:val="auto"/>
          <w:highlight w:val="none"/>
        </w:rPr>
        <w:t>二、磋商文件</w:t>
      </w:r>
      <w:bookmarkEnd w:id="27"/>
      <w:bookmarkEnd w:id="28"/>
      <w:bookmarkEnd w:id="29"/>
    </w:p>
    <w:p w14:paraId="4D342E6C">
      <w:pPr>
        <w:widowControl w:val="0"/>
        <w:spacing w:line="360" w:lineRule="auto"/>
        <w:ind w:firstLine="478"/>
        <w:rPr>
          <w:rFonts w:ascii="宋体" w:hAnsi="宋体" w:cs="宋体"/>
          <w:b/>
          <w:color w:val="auto"/>
          <w:sz w:val="24"/>
          <w:szCs w:val="22"/>
          <w:highlight w:val="none"/>
        </w:rPr>
      </w:pPr>
      <w:r>
        <w:rPr>
          <w:rFonts w:hint="eastAsia" w:ascii="宋体" w:hAnsi="宋体" w:cs="宋体"/>
          <w:b/>
          <w:color w:val="auto"/>
          <w:sz w:val="24"/>
          <w:szCs w:val="22"/>
          <w:highlight w:val="none"/>
        </w:rPr>
        <w:t>（一）要求</w:t>
      </w:r>
    </w:p>
    <w:p w14:paraId="6796F457">
      <w:pPr>
        <w:widowControl w:val="0"/>
        <w:spacing w:line="360" w:lineRule="auto"/>
        <w:ind w:firstLine="478"/>
        <w:rPr>
          <w:rFonts w:ascii="宋体" w:hAnsi="宋体" w:cs="宋体"/>
          <w:color w:val="auto"/>
          <w:sz w:val="21"/>
          <w:szCs w:val="21"/>
          <w:highlight w:val="none"/>
        </w:rPr>
      </w:pPr>
      <w:r>
        <w:rPr>
          <w:rFonts w:hint="eastAsia" w:ascii="宋体" w:hAnsi="宋体" w:cs="宋体"/>
          <w:color w:val="auto"/>
          <w:sz w:val="24"/>
          <w:szCs w:val="22"/>
          <w:highlight w:val="none"/>
        </w:rPr>
        <w:t>1.供应</w:t>
      </w:r>
      <w:r>
        <w:rPr>
          <w:rFonts w:hint="eastAsia" w:ascii="宋体" w:hAnsi="宋体" w:cs="宋体"/>
          <w:color w:val="auto"/>
          <w:sz w:val="21"/>
          <w:szCs w:val="21"/>
          <w:highlight w:val="none"/>
        </w:rPr>
        <w:t>商应仔细阅读采购文件的所有内容，按采购文件的要求提供响应文件，并保证所提供的全部资料的真实性，以使其对采购文件的实质性要求做出完全响应，否则其响应将被拒绝。</w:t>
      </w:r>
    </w:p>
    <w:p w14:paraId="69435DE6">
      <w:pPr>
        <w:widowControl w:val="0"/>
        <w:spacing w:line="360" w:lineRule="auto"/>
        <w:ind w:firstLine="478"/>
        <w:rPr>
          <w:rFonts w:ascii="宋体" w:hAnsi="宋体" w:cs="宋体"/>
          <w:color w:val="auto"/>
          <w:sz w:val="21"/>
          <w:szCs w:val="21"/>
          <w:highlight w:val="none"/>
        </w:rPr>
      </w:pPr>
      <w:r>
        <w:rPr>
          <w:rFonts w:hint="eastAsia" w:ascii="宋体" w:hAnsi="宋体" w:cs="宋体"/>
          <w:color w:val="auto"/>
          <w:sz w:val="21"/>
          <w:szCs w:val="21"/>
          <w:highlight w:val="none"/>
        </w:rPr>
        <w:t>2.供应商应按照采购文件要求及有关资料，详细编制响应文件，并保证响应文件的正确性和真实性，所有文件资料必须是针对本次磋商。</w:t>
      </w:r>
    </w:p>
    <w:p w14:paraId="509DFFAE">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3.本次磋商采用</w:t>
      </w:r>
      <w:r>
        <w:rPr>
          <w:rFonts w:hint="eastAsia" w:ascii="宋体" w:hAnsi="宋体" w:cs="宋体"/>
          <w:b/>
          <w:color w:val="auto"/>
          <w:sz w:val="24"/>
          <w:szCs w:val="22"/>
          <w:highlight w:val="none"/>
          <w:u w:val="single"/>
        </w:rPr>
        <w:t>综合评分法</w:t>
      </w:r>
      <w:r>
        <w:rPr>
          <w:rFonts w:hint="eastAsia" w:ascii="宋体" w:hAnsi="宋体" w:cs="宋体"/>
          <w:color w:val="auto"/>
          <w:sz w:val="24"/>
          <w:szCs w:val="22"/>
          <w:highlight w:val="none"/>
        </w:rPr>
        <w:t>选定成交供应商。先进行技术、服务、价格磋商，再对提交最后报价的供应商的响应文件和最后报价进行综合评分。技术和价格相加得分数值最高的供应商，将取得成交资格。</w:t>
      </w:r>
    </w:p>
    <w:p w14:paraId="5FC51372">
      <w:pPr>
        <w:widowControl w:val="0"/>
        <w:adjustRightInd w:val="0"/>
        <w:snapToGrid w:val="0"/>
        <w:spacing w:line="360" w:lineRule="auto"/>
        <w:ind w:firstLine="540" w:firstLineChars="224"/>
        <w:rPr>
          <w:rFonts w:ascii="宋体" w:hAnsi="宋体" w:cs="宋体"/>
          <w:b/>
          <w:color w:val="auto"/>
          <w:sz w:val="24"/>
          <w:szCs w:val="22"/>
          <w:highlight w:val="none"/>
        </w:rPr>
      </w:pPr>
      <w:r>
        <w:rPr>
          <w:rFonts w:hint="eastAsia" w:ascii="宋体" w:hAnsi="宋体" w:cs="宋体"/>
          <w:b/>
          <w:color w:val="auto"/>
          <w:sz w:val="24"/>
          <w:szCs w:val="22"/>
          <w:highlight w:val="none"/>
        </w:rPr>
        <w:t>（二）采购文件的构成</w:t>
      </w:r>
    </w:p>
    <w:p w14:paraId="61323A6F">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本采购文件由以下部份组成：</w:t>
      </w:r>
    </w:p>
    <w:p w14:paraId="6C01CDF9">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1.竞争性磋商公告</w:t>
      </w:r>
    </w:p>
    <w:p w14:paraId="2B7394CB">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2.采购需求</w:t>
      </w:r>
    </w:p>
    <w:p w14:paraId="5AB13804">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3.供应商须知</w:t>
      </w:r>
    </w:p>
    <w:p w14:paraId="0B9FFA16">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4.磋商、评审办法及标准</w:t>
      </w:r>
    </w:p>
    <w:p w14:paraId="7640D9F0">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5.合同范本</w:t>
      </w:r>
    </w:p>
    <w:p w14:paraId="181006BE">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6.响应文件格式</w:t>
      </w:r>
    </w:p>
    <w:p w14:paraId="5AF911E0">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7.本项目采购文件的澄清、答复、修改、补充的内容（如有）</w:t>
      </w:r>
    </w:p>
    <w:p w14:paraId="609C1788">
      <w:pPr>
        <w:widowControl w:val="0"/>
        <w:adjustRightInd w:val="0"/>
        <w:snapToGrid w:val="0"/>
        <w:spacing w:line="360" w:lineRule="auto"/>
        <w:ind w:firstLine="540" w:firstLineChars="224"/>
        <w:rPr>
          <w:rFonts w:ascii="宋体" w:hAnsi="宋体" w:cs="宋体"/>
          <w:b/>
          <w:color w:val="auto"/>
          <w:sz w:val="24"/>
          <w:szCs w:val="22"/>
          <w:highlight w:val="none"/>
        </w:rPr>
      </w:pPr>
      <w:r>
        <w:rPr>
          <w:rFonts w:hint="eastAsia" w:ascii="宋体" w:hAnsi="宋体" w:cs="宋体"/>
          <w:b/>
          <w:color w:val="auto"/>
          <w:sz w:val="24"/>
          <w:szCs w:val="22"/>
          <w:highlight w:val="none"/>
        </w:rPr>
        <w:t>（三）供应商的风险</w:t>
      </w:r>
    </w:p>
    <w:p w14:paraId="4EE5BBBF">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1.供应商没有按照采购文件要求提供全部资料，或者供应商没有对采购文件在各方面作出实质性响应是供应商的风险，并可能导致其响应被拒绝。</w:t>
      </w:r>
    </w:p>
    <w:p w14:paraId="78C0173A">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2.采购人、采购代理机构不保证所有已完成报名的供应商都符合资格要求。</w:t>
      </w:r>
    </w:p>
    <w:p w14:paraId="76CCB2A5">
      <w:pPr>
        <w:widowControl w:val="0"/>
        <w:adjustRightInd w:val="0"/>
        <w:snapToGrid w:val="0"/>
        <w:spacing w:line="360" w:lineRule="auto"/>
        <w:ind w:firstLine="540" w:firstLineChars="224"/>
        <w:rPr>
          <w:rFonts w:ascii="宋体" w:hAnsi="宋体" w:cs="宋体"/>
          <w:b/>
          <w:color w:val="auto"/>
          <w:sz w:val="24"/>
          <w:szCs w:val="22"/>
          <w:highlight w:val="none"/>
        </w:rPr>
      </w:pPr>
      <w:r>
        <w:rPr>
          <w:rFonts w:hint="eastAsia" w:ascii="宋体" w:hAnsi="宋体" w:cs="宋体"/>
          <w:b/>
          <w:color w:val="auto"/>
          <w:sz w:val="24"/>
          <w:szCs w:val="22"/>
          <w:highlight w:val="none"/>
        </w:rPr>
        <w:t xml:space="preserve">（四）采购文件的澄清与修改 </w:t>
      </w:r>
    </w:p>
    <w:p w14:paraId="1AB01E96">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1.供应商应认真阅读本采购文件，发现其中有误或有不合理要求的，</w:t>
      </w:r>
      <w:r>
        <w:rPr>
          <w:rFonts w:hint="eastAsia" w:ascii="宋体" w:hAnsi="宋体" w:cs="宋体"/>
          <w:b/>
          <w:color w:val="auto"/>
          <w:sz w:val="24"/>
          <w:szCs w:val="22"/>
          <w:highlight w:val="none"/>
        </w:rPr>
        <w:t>供应商必须在响应截止时间5日前以书面形式要求采购人及代理机构澄清</w:t>
      </w:r>
      <w:r>
        <w:rPr>
          <w:rFonts w:hint="eastAsia" w:ascii="宋体" w:hAnsi="宋体" w:cs="宋体"/>
          <w:color w:val="auto"/>
          <w:sz w:val="24"/>
          <w:szCs w:val="22"/>
          <w:highlight w:val="none"/>
        </w:rPr>
        <w:t>。采购人及代理机构对已发出的采购文件进行必要澄清、答复、修改或补充的，应当在采购文件要求提交响应文件截止时间5日前，以书面形式通知所有采购文件收受人。</w:t>
      </w:r>
    </w:p>
    <w:p w14:paraId="22277115">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2.采购代理机构必须以书面形式答复供应商要求澄清的问题，并将不包含问题来源的答复书面通知所有购买采购文件的供应商；除书面答复以外的其他澄清方式及澄清内容均无效。</w:t>
      </w:r>
    </w:p>
    <w:p w14:paraId="6AAB1459">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3.采购文件澄清、答复、修改、补充的内容为采购文件的组成部分。当采购文件与采购文件的答复、澄清、修改、补充通知就同一内容的表述不一致时，以最后发出的书面文件为准。</w:t>
      </w:r>
    </w:p>
    <w:p w14:paraId="12F8643B">
      <w:pPr>
        <w:widowControl w:val="0"/>
        <w:spacing w:line="360" w:lineRule="auto"/>
        <w:ind w:firstLine="478"/>
        <w:rPr>
          <w:rFonts w:ascii="宋体" w:hAnsi="宋体" w:cs="宋体"/>
          <w:color w:val="auto"/>
          <w:sz w:val="24"/>
          <w:szCs w:val="22"/>
          <w:highlight w:val="none"/>
        </w:rPr>
      </w:pPr>
      <w:r>
        <w:rPr>
          <w:rFonts w:hint="eastAsia" w:ascii="宋体" w:hAnsi="宋体" w:cs="宋体"/>
          <w:color w:val="auto"/>
          <w:sz w:val="24"/>
          <w:szCs w:val="22"/>
          <w:highlight w:val="none"/>
        </w:rPr>
        <w:t>4.采购文件的澄清、答复、修改或补充都应该通过本代理机构以法定形式发布，采购人非通过本机构，不得擅自澄清、答复、修改或补充采购文件。</w:t>
      </w:r>
    </w:p>
    <w:p w14:paraId="5B34A320">
      <w:pPr>
        <w:pStyle w:val="5"/>
        <w:bidi w:val="0"/>
        <w:jc w:val="center"/>
        <w:rPr>
          <w:color w:val="auto"/>
          <w:highlight w:val="none"/>
        </w:rPr>
      </w:pPr>
      <w:bookmarkStart w:id="30" w:name="_Toc26207"/>
      <w:bookmarkStart w:id="31" w:name="_Toc7159"/>
      <w:bookmarkStart w:id="32" w:name="_Toc74910241"/>
      <w:r>
        <w:rPr>
          <w:rFonts w:hint="eastAsia"/>
          <w:color w:val="auto"/>
          <w:highlight w:val="none"/>
        </w:rPr>
        <w:t>三、响应文件的编制</w:t>
      </w:r>
      <w:bookmarkEnd w:id="30"/>
      <w:bookmarkEnd w:id="31"/>
      <w:bookmarkEnd w:id="32"/>
    </w:p>
    <w:p w14:paraId="008A06F7">
      <w:pPr>
        <w:pStyle w:val="15"/>
        <w:adjustRightInd w:val="0"/>
        <w:snapToGrid w:val="0"/>
        <w:spacing w:line="360" w:lineRule="auto"/>
        <w:ind w:firstLine="540" w:firstLineChars="224"/>
        <w:rPr>
          <w:rFonts w:hAnsi="宋体" w:cs="宋体"/>
          <w:b/>
          <w:color w:val="auto"/>
          <w:sz w:val="24"/>
          <w:szCs w:val="22"/>
          <w:highlight w:val="none"/>
        </w:rPr>
      </w:pPr>
      <w:r>
        <w:rPr>
          <w:rFonts w:hint="eastAsia" w:hAnsi="宋体" w:cs="宋体"/>
          <w:b/>
          <w:color w:val="auto"/>
          <w:sz w:val="24"/>
          <w:szCs w:val="22"/>
          <w:highlight w:val="none"/>
        </w:rPr>
        <w:t>（一） 磋商响应文件的形式</w:t>
      </w:r>
    </w:p>
    <w:p w14:paraId="25427843">
      <w:pPr>
        <w:widowControl w:val="0"/>
        <w:spacing w:line="360" w:lineRule="auto"/>
        <w:ind w:firstLine="478"/>
        <w:rPr>
          <w:rFonts w:ascii="宋体" w:hAnsi="宋体" w:cs="宋体"/>
          <w:color w:val="auto"/>
          <w:sz w:val="24"/>
          <w:szCs w:val="22"/>
          <w:highlight w:val="none"/>
        </w:rPr>
      </w:pPr>
      <w:r>
        <w:rPr>
          <w:rFonts w:hint="eastAsia" w:ascii="宋体" w:hAnsi="宋体" w:cs="宋体"/>
          <w:color w:val="auto"/>
          <w:sz w:val="24"/>
          <w:szCs w:val="22"/>
          <w:highlight w:val="none"/>
        </w:rPr>
        <w:t>1.磋商响应文件为电子响应文件。</w:t>
      </w:r>
    </w:p>
    <w:p w14:paraId="18D6D005">
      <w:pPr>
        <w:widowControl w:val="0"/>
        <w:spacing w:line="360" w:lineRule="auto"/>
        <w:ind w:firstLine="478"/>
        <w:rPr>
          <w:rFonts w:ascii="宋体" w:hAnsi="宋体" w:cs="宋体"/>
          <w:color w:val="auto"/>
          <w:sz w:val="24"/>
          <w:szCs w:val="22"/>
          <w:highlight w:val="none"/>
        </w:rPr>
      </w:pPr>
      <w:r>
        <w:rPr>
          <w:rFonts w:hint="eastAsia" w:ascii="宋体" w:hAnsi="宋体" w:cs="宋体"/>
          <w:color w:val="auto"/>
          <w:sz w:val="24"/>
          <w:szCs w:val="22"/>
          <w:highlight w:val="none"/>
        </w:rPr>
        <w:t>1.1电子投标文件：电子投标文件按政采云平台供应商项目采购-电子交易操作指南（https://edu.zcygov.cn/luban/e-biding?utm=a0004.2ef5001f.0001.0109.da8b35e0da8611e98d8937b7ef8a3544 ）及本采购文件要求制作、加密并递交；</w:t>
      </w:r>
    </w:p>
    <w:p w14:paraId="064B6952">
      <w:pPr>
        <w:widowControl w:val="0"/>
        <w:spacing w:line="360" w:lineRule="auto"/>
        <w:ind w:firstLine="478"/>
        <w:rPr>
          <w:rFonts w:ascii="宋体" w:hAnsi="宋体" w:cs="宋体"/>
          <w:b/>
          <w:color w:val="auto"/>
          <w:sz w:val="24"/>
          <w:szCs w:val="22"/>
          <w:highlight w:val="none"/>
        </w:rPr>
      </w:pPr>
      <w:r>
        <w:rPr>
          <w:rFonts w:hint="eastAsia" w:ascii="宋体" w:hAnsi="宋体" w:cs="宋体"/>
          <w:b/>
          <w:color w:val="auto"/>
          <w:sz w:val="24"/>
          <w:szCs w:val="22"/>
          <w:highlight w:val="none"/>
        </w:rPr>
        <w:t>（二）磋商响应文件的组成</w:t>
      </w:r>
    </w:p>
    <w:p w14:paraId="1DA5E34A">
      <w:pPr>
        <w:widowControl w:val="0"/>
        <w:spacing w:line="360" w:lineRule="auto"/>
        <w:ind w:firstLine="478"/>
        <w:rPr>
          <w:rFonts w:ascii="宋体" w:hAnsi="宋体" w:cs="宋体"/>
          <w:color w:val="auto"/>
          <w:sz w:val="24"/>
          <w:szCs w:val="22"/>
          <w:highlight w:val="none"/>
        </w:rPr>
      </w:pPr>
      <w:r>
        <w:rPr>
          <w:rFonts w:hint="eastAsia" w:ascii="宋体" w:hAnsi="宋体" w:cs="宋体"/>
          <w:color w:val="auto"/>
          <w:sz w:val="24"/>
          <w:szCs w:val="22"/>
          <w:highlight w:val="none"/>
        </w:rPr>
        <w:t>磋商响应文件（电子投标文件）由</w:t>
      </w:r>
      <w:r>
        <w:rPr>
          <w:rFonts w:hint="eastAsia" w:ascii="宋体" w:hAnsi="宋体" w:cs="宋体"/>
          <w:b/>
          <w:color w:val="auto"/>
          <w:sz w:val="24"/>
          <w:szCs w:val="22"/>
          <w:highlight w:val="none"/>
        </w:rPr>
        <w:t>资格文件、商务技术响应文件和价格响应文件</w:t>
      </w:r>
      <w:r>
        <w:rPr>
          <w:rFonts w:hint="eastAsia" w:ascii="宋体" w:hAnsi="宋体" w:cs="宋体"/>
          <w:color w:val="auto"/>
          <w:sz w:val="24"/>
          <w:szCs w:val="22"/>
          <w:highlight w:val="none"/>
        </w:rPr>
        <w:t>三部份组成。</w:t>
      </w:r>
    </w:p>
    <w:p w14:paraId="04E6D55A">
      <w:pPr>
        <w:widowControl w:val="0"/>
        <w:spacing w:line="360" w:lineRule="auto"/>
        <w:ind w:firstLine="478"/>
        <w:rPr>
          <w:rFonts w:ascii="宋体" w:hAnsi="宋体" w:cs="宋体"/>
          <w:color w:val="auto"/>
          <w:sz w:val="24"/>
          <w:szCs w:val="22"/>
          <w:highlight w:val="none"/>
        </w:rPr>
      </w:pPr>
      <w:r>
        <w:rPr>
          <w:rFonts w:hint="eastAsia" w:ascii="宋体" w:hAnsi="宋体" w:cs="宋体"/>
          <w:color w:val="auto"/>
          <w:sz w:val="24"/>
          <w:szCs w:val="22"/>
          <w:highlight w:val="none"/>
        </w:rPr>
        <w:t>电子投标文件中所须加盖公章部分均采用 CA 签章。</w:t>
      </w:r>
    </w:p>
    <w:p w14:paraId="77044B9C">
      <w:pPr>
        <w:widowControl w:val="0"/>
        <w:spacing w:line="360" w:lineRule="auto"/>
        <w:ind w:firstLine="478"/>
        <w:rPr>
          <w:rFonts w:ascii="宋体" w:hAnsi="宋体" w:cs="宋体"/>
          <w:color w:val="auto"/>
          <w:sz w:val="24"/>
          <w:szCs w:val="22"/>
          <w:highlight w:val="none"/>
        </w:rPr>
      </w:pPr>
      <w:r>
        <w:rPr>
          <w:rFonts w:hint="eastAsia" w:ascii="宋体" w:hAnsi="宋体" w:cs="宋体"/>
          <w:color w:val="auto"/>
          <w:sz w:val="24"/>
          <w:szCs w:val="22"/>
          <w:highlight w:val="none"/>
        </w:rPr>
        <w:t>注：本项目响应价格的信息只允许出现在“价格响应文件”中，不得出现在资格文件、商务技术响应文件。否则作无效</w:t>
      </w:r>
      <w:r>
        <w:rPr>
          <w:rFonts w:hint="eastAsia" w:ascii="宋体" w:hAnsi="宋体" w:cs="宋体"/>
          <w:color w:val="auto"/>
          <w:sz w:val="24"/>
          <w:szCs w:val="22"/>
          <w:highlight w:val="none"/>
          <w:lang w:val="en-US" w:eastAsia="zh-CN"/>
        </w:rPr>
        <w:t>响应</w:t>
      </w:r>
      <w:r>
        <w:rPr>
          <w:rFonts w:hint="eastAsia" w:ascii="宋体" w:hAnsi="宋体" w:cs="宋体"/>
          <w:color w:val="auto"/>
          <w:sz w:val="24"/>
          <w:szCs w:val="22"/>
          <w:highlight w:val="none"/>
        </w:rPr>
        <w:t>处理。</w:t>
      </w:r>
    </w:p>
    <w:p w14:paraId="51FD13B5">
      <w:pPr>
        <w:widowControl w:val="0"/>
        <w:adjustRightInd w:val="0"/>
        <w:snapToGrid w:val="0"/>
        <w:spacing w:line="360" w:lineRule="auto"/>
        <w:ind w:firstLine="540" w:firstLineChars="224"/>
        <w:rPr>
          <w:rFonts w:ascii="宋体" w:hAnsi="宋体" w:cs="宋体"/>
          <w:b/>
          <w:color w:val="auto"/>
          <w:sz w:val="24"/>
          <w:szCs w:val="22"/>
          <w:highlight w:val="none"/>
        </w:rPr>
      </w:pPr>
      <w:r>
        <w:rPr>
          <w:rFonts w:hint="eastAsia" w:ascii="宋体" w:hAnsi="宋体" w:cs="宋体"/>
          <w:b/>
          <w:color w:val="auto"/>
          <w:sz w:val="24"/>
          <w:szCs w:val="22"/>
          <w:highlight w:val="none"/>
        </w:rPr>
        <w:t>1.资格文件：</w:t>
      </w:r>
    </w:p>
    <w:p w14:paraId="3F11758D">
      <w:pPr>
        <w:widowControl w:val="0"/>
        <w:adjustRightInd w:val="0"/>
        <w:snapToGrid w:val="0"/>
        <w:spacing w:line="360" w:lineRule="auto"/>
        <w:ind w:firstLine="537" w:firstLineChars="224"/>
        <w:rPr>
          <w:rFonts w:hint="eastAsia" w:ascii="宋体" w:hAnsi="宋体" w:eastAsia="宋体" w:cs="宋体"/>
          <w:color w:val="auto"/>
          <w:sz w:val="24"/>
          <w:szCs w:val="22"/>
          <w:highlight w:val="none"/>
        </w:rPr>
      </w:pPr>
      <w:bookmarkStart w:id="33" w:name="_Hlk103778968"/>
      <w:r>
        <w:rPr>
          <w:rFonts w:hint="eastAsia" w:ascii="宋体" w:hAnsi="宋体" w:eastAsia="宋体" w:cs="宋体"/>
          <w:color w:val="auto"/>
          <w:sz w:val="24"/>
          <w:szCs w:val="22"/>
          <w:highlight w:val="none"/>
        </w:rPr>
        <w:t xml:space="preserve">1.1满足《中华人民共和国政府采购法》第二十二条规定的承诺函： </w:t>
      </w:r>
    </w:p>
    <w:p w14:paraId="32302747">
      <w:pPr>
        <w:widowControl w:val="0"/>
        <w:adjustRightInd w:val="0"/>
        <w:snapToGrid w:val="0"/>
        <w:spacing w:line="360" w:lineRule="auto"/>
        <w:ind w:firstLine="537" w:firstLineChars="224"/>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（1）</w:t>
      </w:r>
      <w:r>
        <w:rPr>
          <w:rFonts w:hint="eastAsia" w:ascii="宋体" w:hAnsi="宋体" w:eastAsia="宋体" w:cs="宋体"/>
          <w:color w:val="auto"/>
          <w:sz w:val="24"/>
          <w:szCs w:val="22"/>
          <w:highlight w:val="none"/>
          <w:lang w:eastAsia="zh-CN"/>
        </w:rPr>
        <w:t>供应商</w:t>
      </w:r>
      <w:r>
        <w:rPr>
          <w:rFonts w:hint="eastAsia" w:ascii="宋体" w:hAnsi="宋体" w:eastAsia="宋体" w:cs="宋体"/>
          <w:color w:val="auto"/>
          <w:sz w:val="24"/>
          <w:szCs w:val="22"/>
          <w:highlight w:val="none"/>
        </w:rPr>
        <w:t>法人营业执照（副本）或事业单位法人证书（副本）或个体工商户营业执照或有效的自然人身份证明或社会团体法人登记证书（提供复印件上传）；</w:t>
      </w:r>
    </w:p>
    <w:bookmarkEnd w:id="33"/>
    <w:p w14:paraId="2399C62E">
      <w:pPr>
        <w:widowControl w:val="0"/>
        <w:adjustRightInd w:val="0"/>
        <w:snapToGrid w:val="0"/>
        <w:spacing w:line="360" w:lineRule="auto"/>
        <w:ind w:firstLine="537" w:firstLineChars="224"/>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（2）符合参加政府采购活动应当具备的一般条件的承诺函；</w:t>
      </w:r>
    </w:p>
    <w:p w14:paraId="221BC5D1">
      <w:pPr>
        <w:widowControl w:val="0"/>
        <w:adjustRightInd w:val="0"/>
        <w:snapToGrid w:val="0"/>
        <w:spacing w:line="360" w:lineRule="auto"/>
        <w:ind w:firstLine="537" w:firstLineChars="224"/>
        <w:rPr>
          <w:rFonts w:hint="default" w:ascii="宋体" w:hAnsi="宋体" w:eastAsia="宋体" w:cs="宋体"/>
          <w:color w:val="auto"/>
          <w:sz w:val="24"/>
          <w:szCs w:val="22"/>
          <w:highlight w:val="none"/>
          <w:lang w:val="en-US" w:eastAsia="zh-CN"/>
        </w:rPr>
      </w:pPr>
      <w:r>
        <w:rPr>
          <w:rFonts w:hint="eastAsia" w:ascii="宋体" w:hAnsi="宋体" w:eastAsia="宋体" w:cs="宋体"/>
          <w:color w:val="auto"/>
          <w:sz w:val="24"/>
          <w:szCs w:val="22"/>
          <w:highlight w:val="none"/>
        </w:rPr>
        <w:t>1.2落实政府采购政策需满足的资格要求：</w:t>
      </w:r>
      <w:r>
        <w:rPr>
          <w:rFonts w:hint="eastAsia" w:ascii="宋体" w:hAnsi="宋体" w:eastAsia="宋体" w:cs="宋体"/>
          <w:color w:val="auto"/>
          <w:sz w:val="24"/>
          <w:szCs w:val="22"/>
          <w:highlight w:val="none"/>
          <w:lang w:val="en-US" w:eastAsia="zh-CN"/>
        </w:rPr>
        <w:t>提供《中小企业声明函》或《残疾人福利性单位声明函》或《监狱企业证明文件》；</w:t>
      </w:r>
    </w:p>
    <w:p w14:paraId="4880E7BF">
      <w:pPr>
        <w:widowControl w:val="0"/>
        <w:adjustRightInd w:val="0"/>
        <w:snapToGrid w:val="0"/>
        <w:spacing w:line="360" w:lineRule="auto"/>
        <w:ind w:firstLine="537" w:firstLineChars="224"/>
        <w:rPr>
          <w:rFonts w:hint="eastAsia" w:ascii="宋体" w:hAnsi="宋体" w:eastAsia="宋体" w:cs="宋体"/>
          <w:color w:val="auto"/>
          <w:sz w:val="24"/>
          <w:szCs w:val="22"/>
          <w:highlight w:val="none"/>
          <w:lang w:eastAsia="zh-CN"/>
        </w:rPr>
      </w:pPr>
      <w:r>
        <w:rPr>
          <w:rFonts w:hint="eastAsia" w:ascii="宋体" w:hAnsi="宋体" w:eastAsia="宋体" w:cs="宋体"/>
          <w:color w:val="auto"/>
          <w:sz w:val="24"/>
          <w:szCs w:val="22"/>
          <w:highlight w:val="none"/>
        </w:rPr>
        <w:t>1.3“本项目的特定资格要求”中规定的相关证书复印件</w:t>
      </w:r>
      <w:r>
        <w:rPr>
          <w:rFonts w:hint="eastAsia" w:ascii="宋体" w:hAnsi="宋体" w:eastAsia="宋体" w:cs="宋体"/>
          <w:color w:val="auto"/>
          <w:sz w:val="24"/>
          <w:szCs w:val="22"/>
          <w:highlight w:val="none"/>
          <w:lang w:eastAsia="zh-CN"/>
        </w:rPr>
        <w:t>（</w:t>
      </w:r>
      <w:r>
        <w:rPr>
          <w:rFonts w:hint="eastAsia" w:ascii="宋体" w:hAnsi="宋体" w:eastAsia="宋体" w:cs="宋体"/>
          <w:color w:val="auto"/>
          <w:sz w:val="24"/>
          <w:szCs w:val="22"/>
          <w:highlight w:val="none"/>
          <w:lang w:val="en-US" w:eastAsia="zh-CN"/>
        </w:rPr>
        <w:t>如有</w:t>
      </w:r>
      <w:r>
        <w:rPr>
          <w:rFonts w:hint="eastAsia" w:ascii="宋体" w:hAnsi="宋体" w:eastAsia="宋体" w:cs="宋体"/>
          <w:color w:val="auto"/>
          <w:sz w:val="24"/>
          <w:szCs w:val="22"/>
          <w:highlight w:val="none"/>
          <w:lang w:eastAsia="zh-CN"/>
        </w:rPr>
        <w:t>）</w:t>
      </w:r>
      <w:r>
        <w:rPr>
          <w:rFonts w:hint="eastAsia" w:ascii="宋体" w:hAnsi="宋体" w:eastAsia="宋体" w:cs="宋体"/>
          <w:color w:val="auto"/>
          <w:sz w:val="24"/>
          <w:szCs w:val="22"/>
          <w:highlight w:val="none"/>
        </w:rPr>
        <w:t>：详见公告</w:t>
      </w:r>
      <w:r>
        <w:rPr>
          <w:rFonts w:hint="eastAsia" w:ascii="宋体" w:hAnsi="宋体" w:cs="宋体"/>
          <w:color w:val="auto"/>
          <w:sz w:val="24"/>
          <w:szCs w:val="22"/>
          <w:highlight w:val="none"/>
          <w:lang w:eastAsia="zh-CN"/>
        </w:rPr>
        <w:t>。</w:t>
      </w:r>
    </w:p>
    <w:p w14:paraId="51A5081D">
      <w:pPr>
        <w:widowControl w:val="0"/>
        <w:adjustRightInd w:val="0"/>
        <w:snapToGrid w:val="0"/>
        <w:spacing w:line="360" w:lineRule="auto"/>
        <w:ind w:firstLine="540" w:firstLineChars="224"/>
        <w:rPr>
          <w:rFonts w:ascii="宋体" w:hAnsi="宋体" w:cs="宋体"/>
          <w:b/>
          <w:color w:val="auto"/>
          <w:sz w:val="24"/>
          <w:szCs w:val="22"/>
          <w:highlight w:val="none"/>
        </w:rPr>
      </w:pPr>
      <w:r>
        <w:rPr>
          <w:rFonts w:hint="eastAsia" w:ascii="宋体" w:hAnsi="宋体" w:cs="宋体"/>
          <w:b/>
          <w:color w:val="auto"/>
          <w:sz w:val="24"/>
          <w:szCs w:val="22"/>
          <w:highlight w:val="none"/>
        </w:rPr>
        <w:t>2.商务技术文件：</w:t>
      </w:r>
    </w:p>
    <w:p w14:paraId="0BCA125D">
      <w:pPr>
        <w:widowControl w:val="0"/>
        <w:adjustRightInd w:val="0"/>
        <w:snapToGrid w:val="0"/>
        <w:spacing w:line="360" w:lineRule="auto"/>
        <w:ind w:firstLine="537" w:firstLineChars="224"/>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1.响应声明书</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声明函</w:t>
      </w:r>
      <w:r>
        <w:rPr>
          <w:rFonts w:hint="eastAsia" w:ascii="宋体" w:hAnsi="宋体" w:eastAsia="宋体" w:cs="宋体"/>
          <w:color w:val="auto"/>
          <w:sz w:val="24"/>
          <w:szCs w:val="24"/>
          <w:highlight w:val="none"/>
        </w:rPr>
        <w:t>。</w:t>
      </w:r>
    </w:p>
    <w:p w14:paraId="242D7976">
      <w:pPr>
        <w:widowControl w:val="0"/>
        <w:adjustRightInd w:val="0"/>
        <w:snapToGrid w:val="0"/>
        <w:spacing w:line="360" w:lineRule="auto"/>
        <w:ind w:firstLine="537" w:firstLineChars="224"/>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2.法定代表人（负责人）授权委托书（法定代表人或负责人亲自参加的仅须提供身份证复印件）；</w:t>
      </w:r>
    </w:p>
    <w:p w14:paraId="180C5A86">
      <w:pPr>
        <w:widowControl w:val="0"/>
        <w:adjustRightInd w:val="0"/>
        <w:snapToGrid w:val="0"/>
        <w:spacing w:line="360" w:lineRule="auto"/>
        <w:ind w:firstLine="537" w:firstLineChars="224"/>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3.服务要求偏离表。（</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拟提供的服务要求与</w:t>
      </w:r>
      <w:r>
        <w:rPr>
          <w:rFonts w:hint="eastAsia" w:ascii="宋体" w:hAnsi="宋体" w:eastAsia="宋体" w:cs="宋体"/>
          <w:color w:val="auto"/>
          <w:sz w:val="24"/>
          <w:szCs w:val="24"/>
          <w:highlight w:val="none"/>
          <w:u w:val="thick" w:color="FFFFFF"/>
          <w:lang w:eastAsia="zh-CN"/>
        </w:rPr>
        <w:t>采购文件</w:t>
      </w:r>
      <w:r>
        <w:rPr>
          <w:rFonts w:hint="eastAsia" w:ascii="宋体" w:hAnsi="宋体" w:eastAsia="宋体" w:cs="宋体"/>
          <w:color w:val="auto"/>
          <w:sz w:val="24"/>
          <w:szCs w:val="24"/>
          <w:highlight w:val="none"/>
        </w:rPr>
        <w:t>中的要求不一致时，则必须在《服务要求偏离表》中予以明确，否则将视为</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完全响应</w:t>
      </w:r>
      <w:r>
        <w:rPr>
          <w:rFonts w:hint="eastAsia" w:ascii="宋体" w:hAnsi="宋体" w:eastAsia="宋体" w:cs="宋体"/>
          <w:color w:val="auto"/>
          <w:sz w:val="24"/>
          <w:szCs w:val="24"/>
          <w:highlight w:val="none"/>
          <w:u w:val="thick" w:color="FFFFFF"/>
          <w:lang w:eastAsia="zh-CN"/>
        </w:rPr>
        <w:t>采购文件</w:t>
      </w:r>
      <w:r>
        <w:rPr>
          <w:rFonts w:hint="eastAsia" w:ascii="宋体" w:hAnsi="宋体" w:eastAsia="宋体" w:cs="宋体"/>
          <w:color w:val="auto"/>
          <w:sz w:val="24"/>
          <w:szCs w:val="24"/>
          <w:highlight w:val="none"/>
        </w:rPr>
        <w:t>的要求，并以</w:t>
      </w:r>
      <w:r>
        <w:rPr>
          <w:rFonts w:hint="eastAsia" w:ascii="宋体" w:hAnsi="宋体" w:eastAsia="宋体" w:cs="宋体"/>
          <w:color w:val="auto"/>
          <w:sz w:val="24"/>
          <w:szCs w:val="24"/>
          <w:highlight w:val="none"/>
          <w:u w:val="thick" w:color="FFFFFF"/>
          <w:lang w:eastAsia="zh-CN"/>
        </w:rPr>
        <w:t>采购文件</w:t>
      </w:r>
      <w:r>
        <w:rPr>
          <w:rFonts w:hint="eastAsia" w:ascii="宋体" w:hAnsi="宋体" w:eastAsia="宋体" w:cs="宋体"/>
          <w:color w:val="auto"/>
          <w:sz w:val="24"/>
          <w:szCs w:val="24"/>
          <w:highlight w:val="none"/>
        </w:rPr>
        <w:t>作为合同条件。）</w:t>
      </w:r>
    </w:p>
    <w:p w14:paraId="12922310">
      <w:pPr>
        <w:widowControl w:val="0"/>
        <w:adjustRightInd w:val="0"/>
        <w:snapToGrid w:val="0"/>
        <w:spacing w:line="360" w:lineRule="auto"/>
        <w:ind w:firstLine="537" w:firstLineChars="224"/>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4.人员配备到位承诺书。</w:t>
      </w:r>
    </w:p>
    <w:p w14:paraId="2CD44D53">
      <w:pPr>
        <w:widowControl w:val="0"/>
        <w:adjustRightInd w:val="0"/>
        <w:snapToGrid w:val="0"/>
        <w:spacing w:line="360" w:lineRule="auto"/>
        <w:ind w:firstLine="537" w:firstLineChars="224"/>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5.拟投入本项目的设备明细表。（如有）</w:t>
      </w:r>
    </w:p>
    <w:p w14:paraId="05640F94">
      <w:pPr>
        <w:widowControl w:val="0"/>
        <w:adjustRightInd w:val="0"/>
        <w:snapToGrid w:val="0"/>
        <w:spacing w:line="360" w:lineRule="auto"/>
        <w:ind w:firstLine="537" w:firstLineChars="224"/>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6.</w:t>
      </w:r>
      <w:r>
        <w:rPr>
          <w:rFonts w:hint="eastAsia" w:ascii="宋体" w:hAnsi="宋体" w:cs="宋体"/>
          <w:color w:val="auto"/>
          <w:sz w:val="24"/>
          <w:szCs w:val="24"/>
          <w:highlight w:val="none"/>
          <w:lang w:eastAsia="zh-CN"/>
        </w:rPr>
        <w:t>施工组织设计、服务计划书（例</w:t>
      </w:r>
      <w:r>
        <w:rPr>
          <w:rFonts w:hint="eastAsia" w:ascii="宋体" w:hAnsi="宋体" w:eastAsia="宋体" w:cs="宋体"/>
          <w:color w:val="auto"/>
          <w:sz w:val="24"/>
          <w:szCs w:val="24"/>
          <w:highlight w:val="none"/>
        </w:rPr>
        <w:t>：质量保证措施及承诺，服务措施及承诺，售后服务措施及承诺，其他服务措施及承诺）。</w:t>
      </w:r>
    </w:p>
    <w:p w14:paraId="7C092883">
      <w:pPr>
        <w:widowControl w:val="0"/>
        <w:adjustRightInd w:val="0"/>
        <w:snapToGrid w:val="0"/>
        <w:spacing w:line="360" w:lineRule="auto"/>
        <w:ind w:firstLine="537" w:firstLineChars="224"/>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情况：</w:t>
      </w:r>
    </w:p>
    <w:p w14:paraId="5DC45084">
      <w:pPr>
        <w:widowControl w:val="0"/>
        <w:adjustRightInd w:val="0"/>
        <w:snapToGrid w:val="0"/>
        <w:spacing w:line="360" w:lineRule="auto"/>
        <w:ind w:firstLine="537" w:firstLineChars="2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（1）单位简介；</w:t>
      </w:r>
    </w:p>
    <w:p w14:paraId="44D8B0DC">
      <w:pPr>
        <w:widowControl w:val="0"/>
        <w:adjustRightInd w:val="0"/>
        <w:snapToGrid w:val="0"/>
        <w:spacing w:line="360" w:lineRule="auto"/>
        <w:ind w:firstLine="537" w:firstLineChars="2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的信誉、荣誉证书；（如有）</w:t>
      </w:r>
    </w:p>
    <w:p w14:paraId="00A6BA9E">
      <w:pPr>
        <w:widowControl w:val="0"/>
        <w:adjustRightInd w:val="0"/>
        <w:snapToGrid w:val="0"/>
        <w:spacing w:line="360" w:lineRule="auto"/>
        <w:ind w:firstLine="537" w:firstLineChars="2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质量管理和质量保证体系等方面的认证证书。（如有）</w:t>
      </w:r>
    </w:p>
    <w:p w14:paraId="0032A84A">
      <w:pPr>
        <w:widowControl w:val="0"/>
        <w:adjustRightInd w:val="0"/>
        <w:snapToGrid w:val="0"/>
        <w:spacing w:line="360" w:lineRule="auto"/>
        <w:ind w:firstLine="537" w:firstLineChars="2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（3）同类业绩证明（如有，需提供合同复印件）；</w:t>
      </w:r>
    </w:p>
    <w:p w14:paraId="7A205F73">
      <w:pPr>
        <w:widowControl w:val="0"/>
        <w:adjustRightInd w:val="0"/>
        <w:snapToGrid w:val="0"/>
        <w:spacing w:line="360" w:lineRule="auto"/>
        <w:ind w:firstLine="537" w:firstLineChars="224"/>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8.评审标准相应的商务技术资料。</w:t>
      </w:r>
    </w:p>
    <w:p w14:paraId="5E1DB622">
      <w:pPr>
        <w:widowControl w:val="0"/>
        <w:adjustRightInd w:val="0"/>
        <w:snapToGrid w:val="0"/>
        <w:spacing w:line="360" w:lineRule="auto"/>
        <w:ind w:firstLine="540" w:firstLineChars="224"/>
        <w:rPr>
          <w:rFonts w:ascii="宋体" w:hAnsi="宋体" w:cs="宋体"/>
          <w:b/>
          <w:color w:val="auto"/>
          <w:sz w:val="24"/>
          <w:szCs w:val="22"/>
          <w:highlight w:val="none"/>
        </w:rPr>
      </w:pPr>
      <w:r>
        <w:rPr>
          <w:rFonts w:hint="eastAsia" w:ascii="宋体" w:hAnsi="宋体" w:cs="宋体"/>
          <w:b/>
          <w:color w:val="auto"/>
          <w:sz w:val="24"/>
          <w:szCs w:val="22"/>
          <w:highlight w:val="none"/>
        </w:rPr>
        <w:t>3.</w:t>
      </w:r>
      <w:r>
        <w:rPr>
          <w:rFonts w:hint="eastAsia" w:ascii="宋体" w:hAnsi="宋体" w:cs="宋体"/>
          <w:b/>
          <w:color w:val="auto"/>
          <w:sz w:val="24"/>
          <w:szCs w:val="22"/>
          <w:highlight w:val="none"/>
          <w:lang w:eastAsia="zh-CN"/>
        </w:rPr>
        <w:t>报价文件</w:t>
      </w:r>
      <w:r>
        <w:rPr>
          <w:rFonts w:hint="eastAsia" w:ascii="宋体" w:hAnsi="宋体" w:cs="宋体"/>
          <w:b/>
          <w:color w:val="auto"/>
          <w:sz w:val="24"/>
          <w:szCs w:val="22"/>
          <w:highlight w:val="none"/>
        </w:rPr>
        <w:t>：</w:t>
      </w:r>
    </w:p>
    <w:p w14:paraId="253C3B96">
      <w:pPr>
        <w:widowControl w:val="0"/>
        <w:adjustRightInd w:val="0"/>
        <w:snapToGrid w:val="0"/>
        <w:spacing w:line="420" w:lineRule="exact"/>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w:t>
      </w:r>
      <w:r>
        <w:rPr>
          <w:rFonts w:hint="eastAsia" w:ascii="宋体" w:hAnsi="宋体" w:cs="宋体"/>
          <w:color w:val="auto"/>
          <w:sz w:val="24"/>
          <w:szCs w:val="22"/>
          <w:highlight w:val="none"/>
          <w:lang w:val="en-US" w:eastAsia="zh-CN"/>
        </w:rPr>
        <w:t>1</w:t>
      </w:r>
      <w:r>
        <w:rPr>
          <w:rFonts w:hint="eastAsia" w:ascii="宋体" w:hAnsi="宋体" w:cs="宋体"/>
          <w:color w:val="auto"/>
          <w:sz w:val="24"/>
          <w:szCs w:val="22"/>
          <w:highlight w:val="none"/>
        </w:rPr>
        <w:t>）报价一览表；</w:t>
      </w:r>
    </w:p>
    <w:p w14:paraId="29E34F67">
      <w:pPr>
        <w:widowControl w:val="0"/>
        <w:adjustRightInd w:val="0"/>
        <w:snapToGrid w:val="0"/>
        <w:spacing w:line="420" w:lineRule="exact"/>
        <w:ind w:firstLine="537" w:firstLineChars="224"/>
        <w:rPr>
          <w:rFonts w:hint="eastAsia" w:ascii="宋体" w:hAnsi="宋体" w:cs="宋体"/>
          <w:color w:val="auto"/>
          <w:sz w:val="24"/>
          <w:szCs w:val="22"/>
          <w:highlight w:val="none"/>
        </w:rPr>
      </w:pPr>
      <w:r>
        <w:rPr>
          <w:rFonts w:hint="eastAsia" w:ascii="宋体" w:hAnsi="宋体" w:cs="宋体"/>
          <w:color w:val="auto"/>
          <w:sz w:val="24"/>
          <w:szCs w:val="22"/>
          <w:highlight w:val="none"/>
        </w:rPr>
        <w:t>（</w:t>
      </w:r>
      <w:r>
        <w:rPr>
          <w:rFonts w:hint="eastAsia" w:ascii="宋体" w:hAnsi="宋体" w:cs="宋体"/>
          <w:color w:val="auto"/>
          <w:sz w:val="24"/>
          <w:szCs w:val="22"/>
          <w:highlight w:val="none"/>
          <w:lang w:val="en-US" w:eastAsia="zh-CN"/>
        </w:rPr>
        <w:t>2</w:t>
      </w:r>
      <w:r>
        <w:rPr>
          <w:rFonts w:hint="eastAsia" w:ascii="宋体" w:hAnsi="宋体" w:cs="宋体"/>
          <w:color w:val="auto"/>
          <w:sz w:val="24"/>
          <w:szCs w:val="22"/>
          <w:highlight w:val="none"/>
        </w:rPr>
        <w:t>）其他供应商认为有必要提供的资料。</w:t>
      </w:r>
    </w:p>
    <w:p w14:paraId="35EB89BE">
      <w:pPr>
        <w:widowControl w:val="0"/>
        <w:adjustRightInd w:val="0"/>
        <w:snapToGrid w:val="0"/>
        <w:spacing w:line="420" w:lineRule="exact"/>
        <w:ind w:firstLine="537" w:firstLineChars="224"/>
        <w:rPr>
          <w:rFonts w:hint="eastAsia" w:ascii="宋体" w:hAnsi="宋体" w:eastAsia="宋体" w:cs="宋体"/>
          <w:color w:val="auto"/>
          <w:sz w:val="24"/>
          <w:szCs w:val="22"/>
          <w:highlight w:val="none"/>
          <w:lang w:eastAsia="zh-CN"/>
        </w:rPr>
      </w:pPr>
      <w:r>
        <w:rPr>
          <w:rFonts w:hint="eastAsia" w:ascii="宋体" w:hAnsi="宋体" w:cs="宋体"/>
          <w:color w:val="auto"/>
          <w:sz w:val="24"/>
          <w:szCs w:val="22"/>
          <w:highlight w:val="none"/>
          <w:lang w:eastAsia="zh-CN"/>
        </w:rPr>
        <w:t>（</w:t>
      </w:r>
      <w:r>
        <w:rPr>
          <w:rFonts w:hint="eastAsia" w:ascii="宋体" w:hAnsi="宋体" w:cs="宋体"/>
          <w:color w:val="auto"/>
          <w:sz w:val="24"/>
          <w:szCs w:val="22"/>
          <w:highlight w:val="none"/>
          <w:lang w:val="en-US" w:eastAsia="zh-CN"/>
        </w:rPr>
        <w:t>3</w:t>
      </w:r>
      <w:r>
        <w:rPr>
          <w:rFonts w:hint="eastAsia" w:ascii="宋体" w:hAnsi="宋体" w:cs="宋体"/>
          <w:color w:val="auto"/>
          <w:sz w:val="24"/>
          <w:szCs w:val="22"/>
          <w:highlight w:val="none"/>
          <w:lang w:eastAsia="zh-CN"/>
        </w:rPr>
        <w:t>）主要品牌响应表</w:t>
      </w:r>
    </w:p>
    <w:p w14:paraId="13E31B7A">
      <w:pPr>
        <w:widowControl w:val="0"/>
        <w:adjustRightInd w:val="0"/>
        <w:snapToGrid w:val="0"/>
        <w:spacing w:line="420" w:lineRule="exact"/>
        <w:ind w:firstLine="537" w:firstLineChars="224"/>
        <w:rPr>
          <w:rFonts w:hint="eastAsia" w:ascii="宋体" w:hAnsi="宋体" w:cs="宋体"/>
          <w:color w:val="auto"/>
          <w:sz w:val="24"/>
          <w:szCs w:val="22"/>
          <w:highlight w:val="none"/>
        </w:rPr>
      </w:pPr>
      <w:r>
        <w:rPr>
          <w:rFonts w:hint="eastAsia" w:ascii="宋体" w:hAnsi="宋体" w:cs="宋体"/>
          <w:color w:val="auto"/>
          <w:sz w:val="24"/>
          <w:szCs w:val="22"/>
          <w:highlight w:val="none"/>
        </w:rPr>
        <w:t>备注：供应商必须按后附表规定的格式完整、清晰、正确的填写，磋商报价一览表中不得填报有选择性的报价方案。</w:t>
      </w:r>
    </w:p>
    <w:p w14:paraId="073AF9B6">
      <w:pPr>
        <w:widowControl w:val="0"/>
        <w:adjustRightInd w:val="0"/>
        <w:snapToGrid w:val="0"/>
        <w:spacing w:line="420" w:lineRule="exact"/>
        <w:ind w:firstLine="540" w:firstLineChars="224"/>
        <w:rPr>
          <w:rFonts w:hint="eastAsia" w:ascii="宋体" w:hAnsi="宋体" w:cs="宋体"/>
          <w:b/>
          <w:bCs/>
          <w:color w:val="auto"/>
          <w:sz w:val="24"/>
          <w:szCs w:val="22"/>
          <w:highlight w:val="none"/>
        </w:rPr>
      </w:pPr>
      <w:r>
        <w:rPr>
          <w:rFonts w:hint="eastAsia" w:ascii="宋体" w:hAnsi="宋体" w:cs="宋体"/>
          <w:b/>
          <w:bCs/>
          <w:color w:val="auto"/>
          <w:sz w:val="24"/>
          <w:szCs w:val="22"/>
          <w:highlight w:val="none"/>
        </w:rPr>
        <w:t>资格文件和商务技术文件不得出现报价，否则作无效</w:t>
      </w:r>
      <w:r>
        <w:rPr>
          <w:rFonts w:hint="eastAsia" w:ascii="宋体" w:hAnsi="宋体" w:cs="宋体"/>
          <w:b/>
          <w:bCs/>
          <w:color w:val="auto"/>
          <w:sz w:val="24"/>
          <w:szCs w:val="22"/>
          <w:highlight w:val="none"/>
          <w:lang w:val="en-US" w:eastAsia="zh-CN"/>
        </w:rPr>
        <w:t>响应</w:t>
      </w:r>
      <w:r>
        <w:rPr>
          <w:rFonts w:hint="eastAsia" w:ascii="宋体" w:hAnsi="宋体" w:cs="宋体"/>
          <w:b/>
          <w:bCs/>
          <w:color w:val="auto"/>
          <w:sz w:val="24"/>
          <w:szCs w:val="22"/>
          <w:highlight w:val="none"/>
        </w:rPr>
        <w:t>处理。</w:t>
      </w:r>
    </w:p>
    <w:p w14:paraId="7DE03416">
      <w:pPr>
        <w:widowControl w:val="0"/>
        <w:adjustRightInd w:val="0"/>
        <w:snapToGrid w:val="0"/>
        <w:spacing w:line="360" w:lineRule="auto"/>
        <w:ind w:firstLine="540" w:firstLineChars="224"/>
        <w:rPr>
          <w:rFonts w:ascii="宋体" w:hAnsi="宋体" w:cs="宋体"/>
          <w:b/>
          <w:color w:val="auto"/>
          <w:sz w:val="24"/>
          <w:szCs w:val="22"/>
          <w:highlight w:val="none"/>
        </w:rPr>
      </w:pPr>
      <w:r>
        <w:rPr>
          <w:rFonts w:hint="eastAsia" w:ascii="宋体" w:hAnsi="宋体" w:cs="宋体"/>
          <w:b/>
          <w:color w:val="auto"/>
          <w:sz w:val="24"/>
          <w:szCs w:val="22"/>
          <w:highlight w:val="none"/>
        </w:rPr>
        <w:t>（三）语言及计量</w:t>
      </w:r>
    </w:p>
    <w:p w14:paraId="7ABF6115">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1.磋商响应文件以及供应商就有关竞争性磋商事宜的所有来往函电，均应以中文汉语书写。除签名、盖章、专用名称等特殊情形外，以中文汉语以外的文字表述的磋商响应文件视同未提供。</w:t>
      </w:r>
    </w:p>
    <w:p w14:paraId="4FD4E5F8">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2.计量单位：磋商文件已有明确规定的，使用磋商文件规定的计量单位；磋商文件没有规定的，应采用中华人民共和国法定计量单位（货币单位：人民币元），否则视同未响应。</w:t>
      </w:r>
    </w:p>
    <w:p w14:paraId="5DFC72DF">
      <w:pPr>
        <w:widowControl w:val="0"/>
        <w:adjustRightInd w:val="0"/>
        <w:snapToGrid w:val="0"/>
        <w:spacing w:line="360" w:lineRule="auto"/>
        <w:ind w:firstLine="540" w:firstLineChars="224"/>
        <w:rPr>
          <w:rFonts w:ascii="宋体" w:hAnsi="宋体" w:cs="宋体"/>
          <w:b/>
          <w:color w:val="auto"/>
          <w:sz w:val="24"/>
          <w:szCs w:val="22"/>
          <w:highlight w:val="none"/>
        </w:rPr>
      </w:pPr>
      <w:r>
        <w:rPr>
          <w:rFonts w:hint="eastAsia" w:ascii="宋体" w:hAnsi="宋体" w:cs="宋体"/>
          <w:b/>
          <w:color w:val="auto"/>
          <w:sz w:val="24"/>
          <w:szCs w:val="22"/>
          <w:highlight w:val="none"/>
        </w:rPr>
        <w:t>（四）服务承诺</w:t>
      </w:r>
    </w:p>
    <w:p w14:paraId="2B627125">
      <w:pPr>
        <w:widowControl w:val="0"/>
        <w:adjustRightInd w:val="0"/>
        <w:snapToGrid w:val="0"/>
        <w:spacing w:line="360" w:lineRule="auto"/>
        <w:ind w:firstLine="537" w:firstLineChars="224"/>
        <w:rPr>
          <w:rFonts w:hint="eastAsia" w:ascii="宋体" w:hAnsi="宋体" w:cs="宋体"/>
          <w:color w:val="auto"/>
          <w:sz w:val="24"/>
          <w:szCs w:val="22"/>
          <w:highlight w:val="none"/>
        </w:rPr>
      </w:pPr>
      <w:r>
        <w:rPr>
          <w:rFonts w:hint="eastAsia" w:ascii="宋体" w:hAnsi="宋体" w:cs="宋体"/>
          <w:color w:val="auto"/>
          <w:sz w:val="24"/>
          <w:szCs w:val="22"/>
          <w:highlight w:val="none"/>
        </w:rPr>
        <w:t>供应商拟提供的服务承诺与采购文件中的要求不一致时，则必须在技术标《服务条款响应表》中予以明确。否则将视为供应商完全响应采购文件的要求，并以采购文件作为合同条件。</w:t>
      </w:r>
    </w:p>
    <w:p w14:paraId="280C4394">
      <w:pPr>
        <w:widowControl w:val="0"/>
        <w:spacing w:line="360" w:lineRule="auto"/>
        <w:ind w:firstLine="480"/>
        <w:rPr>
          <w:rFonts w:ascii="宋体" w:hAnsi="宋体" w:cs="宋体"/>
          <w:b/>
          <w:color w:val="auto"/>
          <w:sz w:val="24"/>
          <w:szCs w:val="22"/>
          <w:highlight w:val="none"/>
        </w:rPr>
      </w:pPr>
      <w:r>
        <w:rPr>
          <w:rFonts w:hint="eastAsia" w:ascii="宋体" w:hAnsi="宋体" w:cs="宋体"/>
          <w:b/>
          <w:color w:val="auto"/>
          <w:sz w:val="24"/>
          <w:szCs w:val="22"/>
          <w:highlight w:val="none"/>
        </w:rPr>
        <w:t>★（五）磋商报价</w:t>
      </w:r>
    </w:p>
    <w:p w14:paraId="2B69250A">
      <w:pPr>
        <w:widowControl w:val="0"/>
        <w:spacing w:line="360" w:lineRule="auto"/>
        <w:ind w:firstLine="480" w:firstLineChars="200"/>
        <w:rPr>
          <w:rFonts w:ascii="宋体" w:hAnsi="宋体" w:cs="宋体"/>
          <w:color w:val="auto"/>
          <w:sz w:val="24"/>
          <w:szCs w:val="22"/>
          <w:highlight w:val="none"/>
        </w:rPr>
      </w:pPr>
      <w:r>
        <w:rPr>
          <w:rFonts w:hint="eastAsia" w:ascii="宋体" w:hAnsi="宋体" w:cs="宋体"/>
          <w:color w:val="auto"/>
          <w:sz w:val="24"/>
          <w:szCs w:val="22"/>
          <w:highlight w:val="none"/>
        </w:rPr>
        <w:t>1.磋商报价应按竞争性磋商采购文件中相关附表格式填写。</w:t>
      </w:r>
    </w:p>
    <w:p w14:paraId="27BCA422">
      <w:pPr>
        <w:widowControl w:val="0"/>
        <w:spacing w:line="360" w:lineRule="auto"/>
        <w:ind w:firstLine="480"/>
        <w:rPr>
          <w:rFonts w:ascii="宋体" w:hAnsi="宋体" w:cs="宋体"/>
          <w:color w:val="auto"/>
          <w:sz w:val="24"/>
          <w:szCs w:val="22"/>
          <w:highlight w:val="none"/>
        </w:rPr>
      </w:pPr>
      <w:r>
        <w:rPr>
          <w:rFonts w:hint="eastAsia" w:ascii="宋体" w:hAnsi="宋体" w:cs="宋体"/>
          <w:color w:val="auto"/>
          <w:sz w:val="24"/>
          <w:szCs w:val="22"/>
          <w:highlight w:val="none"/>
        </w:rPr>
        <w:t>2.磋商报价应包括项目施工</w:t>
      </w:r>
      <w:r>
        <w:rPr>
          <w:rFonts w:hint="eastAsia" w:ascii="宋体" w:hAnsi="宋体" w:cs="宋体"/>
          <w:color w:val="auto"/>
          <w:sz w:val="24"/>
          <w:szCs w:val="22"/>
          <w:highlight w:val="none"/>
          <w:lang w:eastAsia="zh-CN"/>
        </w:rPr>
        <w:t>、</w:t>
      </w:r>
      <w:r>
        <w:rPr>
          <w:rFonts w:hint="eastAsia" w:ascii="宋体" w:hAnsi="宋体" w:cs="宋体"/>
          <w:color w:val="auto"/>
          <w:sz w:val="24"/>
          <w:szCs w:val="22"/>
          <w:highlight w:val="none"/>
        </w:rPr>
        <w:t>人员费、管理费、材料编制费、采购代理服务费、专家评审验收费、技术支持、利润、税费、政策性文件规定及合同包含的所有风险及责任等等，即：项目实施过程中产生的任何费用，均由成交人承担。供应商应参照国家的相应标准，结合自身综合实力、市场行情、本项目具体特点和技术要求自行报价。</w:t>
      </w:r>
    </w:p>
    <w:p w14:paraId="5FCCFD1E">
      <w:pPr>
        <w:widowControl w:val="0"/>
        <w:spacing w:line="360" w:lineRule="auto"/>
        <w:ind w:firstLine="480"/>
        <w:rPr>
          <w:rFonts w:ascii="宋体" w:hAnsi="宋体" w:cs="宋体"/>
          <w:b/>
          <w:strike/>
          <w:color w:val="auto"/>
          <w:sz w:val="24"/>
          <w:szCs w:val="22"/>
          <w:highlight w:val="none"/>
        </w:rPr>
      </w:pPr>
      <w:r>
        <w:rPr>
          <w:rFonts w:hint="eastAsia" w:ascii="宋体" w:hAnsi="宋体" w:cs="宋体"/>
          <w:color w:val="auto"/>
          <w:sz w:val="24"/>
          <w:szCs w:val="22"/>
          <w:highlight w:val="none"/>
        </w:rPr>
        <w:t>3.由供应商根据企业内部的管理水平，结合市场综合分析后自主确定报价，报价时需考虑以下因素：</w:t>
      </w:r>
    </w:p>
    <w:p w14:paraId="5C802C51">
      <w:pPr>
        <w:spacing w:line="360" w:lineRule="auto"/>
        <w:ind w:firstLine="480" w:firstLineChars="200"/>
        <w:rPr>
          <w:rFonts w:ascii="宋体" w:hAnsi="宋体" w:cs="宋体"/>
          <w:color w:val="auto"/>
          <w:sz w:val="24"/>
          <w:szCs w:val="22"/>
          <w:highlight w:val="none"/>
        </w:rPr>
      </w:pPr>
      <w:r>
        <w:rPr>
          <w:rFonts w:hint="eastAsia" w:ascii="宋体" w:hAnsi="宋体" w:cs="宋体"/>
          <w:color w:val="auto"/>
          <w:sz w:val="24"/>
          <w:szCs w:val="22"/>
          <w:highlight w:val="none"/>
        </w:rPr>
        <w:t>（1）因国家政策性调整或市场供求关系引起的各种材料、设备的价格调整。</w:t>
      </w:r>
    </w:p>
    <w:p w14:paraId="2EBD96A3">
      <w:pPr>
        <w:spacing w:line="360" w:lineRule="auto"/>
        <w:ind w:firstLine="480" w:firstLineChars="200"/>
        <w:rPr>
          <w:rFonts w:hint="eastAsia" w:ascii="宋体" w:hAnsi="宋体" w:cs="宋体"/>
          <w:color w:val="auto"/>
          <w:sz w:val="24"/>
          <w:szCs w:val="22"/>
          <w:highlight w:val="none"/>
        </w:rPr>
      </w:pPr>
      <w:r>
        <w:rPr>
          <w:rFonts w:hint="eastAsia" w:ascii="宋体" w:hAnsi="宋体" w:cs="宋体"/>
          <w:color w:val="auto"/>
          <w:sz w:val="24"/>
          <w:szCs w:val="22"/>
          <w:highlight w:val="none"/>
        </w:rPr>
        <w:t>（2）其它各种风险和费用。</w:t>
      </w:r>
    </w:p>
    <w:p w14:paraId="7E635EBE">
      <w:pPr>
        <w:spacing w:line="360" w:lineRule="auto"/>
        <w:ind w:firstLine="480" w:firstLineChars="200"/>
        <w:rPr>
          <w:rFonts w:hint="default" w:ascii="宋体" w:hAnsi="宋体" w:cs="宋体"/>
          <w:color w:val="auto"/>
          <w:sz w:val="24"/>
          <w:szCs w:val="22"/>
          <w:highlight w:val="none"/>
          <w:lang w:val="en-US" w:eastAsia="zh-CN"/>
        </w:rPr>
      </w:pPr>
      <w:r>
        <w:rPr>
          <w:rFonts w:hint="eastAsia" w:ascii="宋体" w:hAnsi="宋体" w:cs="宋体"/>
          <w:color w:val="auto"/>
          <w:sz w:val="24"/>
          <w:szCs w:val="22"/>
          <w:highlight w:val="none"/>
          <w:lang w:eastAsia="zh-CN"/>
        </w:rPr>
        <w:t>（</w:t>
      </w:r>
      <w:r>
        <w:rPr>
          <w:rFonts w:hint="eastAsia" w:ascii="宋体" w:hAnsi="宋体" w:cs="宋体"/>
          <w:color w:val="auto"/>
          <w:sz w:val="24"/>
          <w:szCs w:val="22"/>
          <w:highlight w:val="none"/>
          <w:lang w:val="en-US" w:eastAsia="zh-CN"/>
        </w:rPr>
        <w:t>3</w:t>
      </w:r>
      <w:r>
        <w:rPr>
          <w:rFonts w:hint="eastAsia" w:ascii="宋体" w:hAnsi="宋体" w:cs="宋体"/>
          <w:color w:val="auto"/>
          <w:sz w:val="24"/>
          <w:szCs w:val="22"/>
          <w:highlight w:val="none"/>
          <w:lang w:eastAsia="zh-CN"/>
        </w:rPr>
        <w:t>）</w:t>
      </w:r>
      <w:r>
        <w:rPr>
          <w:rFonts w:hint="eastAsia" w:ascii="宋体" w:hAnsi="宋体" w:cs="宋体"/>
          <w:color w:val="auto"/>
          <w:sz w:val="24"/>
          <w:szCs w:val="22"/>
          <w:highlight w:val="none"/>
          <w:lang w:val="en-US" w:eastAsia="zh-CN"/>
        </w:rPr>
        <w:t>采购文件规定的其他须由供应商承担的费用</w:t>
      </w:r>
    </w:p>
    <w:p w14:paraId="51285379">
      <w:pPr>
        <w:spacing w:line="360" w:lineRule="auto"/>
        <w:ind w:firstLine="482" w:firstLineChars="200"/>
        <w:rPr>
          <w:rFonts w:ascii="宋体" w:hAnsi="宋体" w:cs="宋体"/>
          <w:b/>
          <w:color w:val="auto"/>
          <w:sz w:val="24"/>
          <w:szCs w:val="22"/>
          <w:highlight w:val="none"/>
        </w:rPr>
      </w:pPr>
      <w:r>
        <w:rPr>
          <w:rFonts w:hint="eastAsia" w:ascii="宋体" w:hAnsi="宋体" w:cs="宋体"/>
          <w:b/>
          <w:color w:val="auto"/>
          <w:sz w:val="24"/>
          <w:szCs w:val="22"/>
          <w:highlight w:val="none"/>
        </w:rPr>
        <w:t>4.本次采购设有最高</w:t>
      </w:r>
      <w:r>
        <w:rPr>
          <w:rFonts w:hint="eastAsia" w:ascii="宋体" w:hAnsi="宋体" w:cs="宋体"/>
          <w:b/>
          <w:color w:val="auto"/>
          <w:sz w:val="24"/>
          <w:szCs w:val="22"/>
          <w:highlight w:val="none"/>
          <w:lang w:val="en-US" w:eastAsia="zh-CN"/>
        </w:rPr>
        <w:t>折扣率</w:t>
      </w:r>
      <w:r>
        <w:rPr>
          <w:rFonts w:hint="eastAsia" w:ascii="宋体" w:hAnsi="宋体" w:cs="宋体"/>
          <w:b/>
          <w:color w:val="auto"/>
          <w:sz w:val="24"/>
          <w:szCs w:val="22"/>
          <w:highlight w:val="none"/>
        </w:rPr>
        <w:t>，超过最高</w:t>
      </w:r>
      <w:r>
        <w:rPr>
          <w:rFonts w:hint="eastAsia" w:ascii="宋体" w:hAnsi="宋体" w:cs="宋体"/>
          <w:b/>
          <w:color w:val="auto"/>
          <w:sz w:val="24"/>
          <w:szCs w:val="22"/>
          <w:highlight w:val="none"/>
          <w:lang w:val="en-US" w:eastAsia="zh-CN"/>
        </w:rPr>
        <w:t>折扣率（即100%）</w:t>
      </w:r>
      <w:r>
        <w:rPr>
          <w:rFonts w:hint="eastAsia" w:ascii="宋体" w:hAnsi="宋体" w:cs="宋体"/>
          <w:b/>
          <w:color w:val="auto"/>
          <w:sz w:val="24"/>
          <w:szCs w:val="22"/>
          <w:highlight w:val="none"/>
        </w:rPr>
        <w:t>的作无效</w:t>
      </w:r>
      <w:r>
        <w:rPr>
          <w:rFonts w:hint="eastAsia" w:ascii="宋体" w:hAnsi="宋体" w:cs="宋体"/>
          <w:b/>
          <w:color w:val="auto"/>
          <w:sz w:val="24"/>
          <w:szCs w:val="22"/>
          <w:highlight w:val="none"/>
          <w:lang w:val="en-US" w:eastAsia="zh-CN"/>
        </w:rPr>
        <w:t>响应</w:t>
      </w:r>
      <w:r>
        <w:rPr>
          <w:rFonts w:hint="eastAsia" w:ascii="宋体" w:hAnsi="宋体" w:cs="宋体"/>
          <w:b/>
          <w:color w:val="auto"/>
          <w:sz w:val="24"/>
          <w:szCs w:val="22"/>
          <w:highlight w:val="none"/>
        </w:rPr>
        <w:t>处理。</w:t>
      </w:r>
    </w:p>
    <w:p w14:paraId="56AC60A3">
      <w:pPr>
        <w:widowControl w:val="0"/>
        <w:adjustRightInd w:val="0"/>
        <w:snapToGrid w:val="0"/>
        <w:spacing w:line="360" w:lineRule="auto"/>
        <w:ind w:firstLine="537" w:firstLineChars="224"/>
        <w:rPr>
          <w:rFonts w:hint="eastAsia" w:ascii="宋体" w:hAnsi="宋体" w:cs="宋体"/>
          <w:color w:val="auto"/>
          <w:sz w:val="24"/>
          <w:szCs w:val="22"/>
          <w:highlight w:val="none"/>
        </w:rPr>
      </w:pPr>
      <w:r>
        <w:rPr>
          <w:rFonts w:hint="eastAsia" w:ascii="宋体" w:hAnsi="宋体" w:cs="宋体"/>
          <w:color w:val="auto"/>
          <w:sz w:val="24"/>
          <w:szCs w:val="22"/>
          <w:highlight w:val="none"/>
        </w:rPr>
        <w:t>5.响应文件只允许有一个报价，有选择的或有条件的报价将不予接受。</w:t>
      </w:r>
    </w:p>
    <w:p w14:paraId="2E6C1EC8">
      <w:pPr>
        <w:widowControl w:val="0"/>
        <w:adjustRightInd w:val="0"/>
        <w:snapToGrid w:val="0"/>
        <w:spacing w:line="360" w:lineRule="auto"/>
        <w:ind w:firstLine="540" w:firstLineChars="224"/>
        <w:rPr>
          <w:rFonts w:ascii="宋体" w:hAnsi="宋体" w:cs="宋体"/>
          <w:color w:val="auto"/>
          <w:sz w:val="24"/>
          <w:szCs w:val="22"/>
          <w:highlight w:val="none"/>
        </w:rPr>
      </w:pPr>
      <w:r>
        <w:rPr>
          <w:rFonts w:hint="eastAsia" w:ascii="宋体" w:hAnsi="宋体" w:cs="宋体"/>
          <w:b/>
          <w:color w:val="auto"/>
          <w:sz w:val="24"/>
          <w:szCs w:val="22"/>
          <w:highlight w:val="none"/>
          <w:lang w:val="en-US" w:eastAsia="zh-CN"/>
        </w:rPr>
        <w:t>6</w:t>
      </w:r>
      <w:r>
        <w:rPr>
          <w:rFonts w:hint="eastAsia" w:ascii="宋体" w:hAnsi="宋体" w:cs="宋体"/>
          <w:b/>
          <w:color w:val="auto"/>
          <w:sz w:val="24"/>
          <w:szCs w:val="22"/>
          <w:highlight w:val="none"/>
        </w:rPr>
        <w:t>.扶持政策说明：根据《政府采购促进中小企业发展管理办法》(财库[2020]46号）文件及《金华市财政局关于明确2022年度政府采购相关问题执行口径的函》（金市财函[2022]5号）文件精神，本项目仅面向中小企业进行采购。本项目仅面向中小企业进行采购，小微企业价格在评审时不进行优惠扣除</w:t>
      </w:r>
      <w:r>
        <w:rPr>
          <w:rFonts w:hint="eastAsia" w:ascii="宋体" w:hAnsi="宋体" w:cs="宋体"/>
          <w:color w:val="auto"/>
          <w:sz w:val="24"/>
          <w:szCs w:val="22"/>
          <w:highlight w:val="none"/>
        </w:rPr>
        <w:t>。</w:t>
      </w:r>
    </w:p>
    <w:p w14:paraId="007E3228">
      <w:pPr>
        <w:widowControl w:val="0"/>
        <w:adjustRightInd w:val="0"/>
        <w:snapToGrid w:val="0"/>
        <w:spacing w:line="360" w:lineRule="auto"/>
        <w:ind w:firstLine="540" w:firstLineChars="224"/>
        <w:rPr>
          <w:rFonts w:ascii="宋体" w:hAnsi="宋体" w:cs="宋体"/>
          <w:b/>
          <w:color w:val="auto"/>
          <w:sz w:val="24"/>
          <w:szCs w:val="22"/>
          <w:highlight w:val="none"/>
        </w:rPr>
      </w:pPr>
      <w:r>
        <w:rPr>
          <w:rFonts w:hint="eastAsia" w:ascii="宋体" w:hAnsi="宋体" w:cs="宋体"/>
          <w:b/>
          <w:color w:val="auto"/>
          <w:sz w:val="24"/>
          <w:szCs w:val="22"/>
          <w:highlight w:val="none"/>
        </w:rPr>
        <w:t>（六）履约保证金</w:t>
      </w:r>
    </w:p>
    <w:p w14:paraId="0DC0AEEA">
      <w:pPr>
        <w:widowControl w:val="0"/>
        <w:adjustRightInd w:val="0"/>
        <w:snapToGrid w:val="0"/>
        <w:spacing w:line="360" w:lineRule="auto"/>
        <w:ind w:firstLine="537" w:firstLineChars="224"/>
        <w:rPr>
          <w:rFonts w:hint="eastAsia" w:ascii="宋体" w:hAnsi="宋体" w:eastAsia="宋体" w:cs="宋体"/>
          <w:b w:val="0"/>
          <w:bCs/>
          <w:color w:val="auto"/>
          <w:sz w:val="24"/>
          <w:szCs w:val="22"/>
          <w:highlight w:val="none"/>
        </w:rPr>
      </w:pPr>
      <w:r>
        <w:rPr>
          <w:rFonts w:hint="eastAsia" w:ascii="宋体" w:hAnsi="宋体" w:eastAsia="宋体" w:cs="宋体"/>
          <w:b w:val="0"/>
          <w:bCs/>
          <w:color w:val="auto"/>
          <w:sz w:val="24"/>
          <w:szCs w:val="22"/>
          <w:highlight w:val="none"/>
          <w:lang w:val="en-US" w:eastAsia="zh-CN"/>
        </w:rPr>
        <w:t>1.</w:t>
      </w:r>
      <w:r>
        <w:rPr>
          <w:rFonts w:hint="eastAsia" w:ascii="宋体" w:hAnsi="宋体" w:eastAsia="宋体" w:cs="宋体"/>
          <w:b w:val="0"/>
          <w:bCs/>
          <w:color w:val="auto"/>
          <w:sz w:val="24"/>
          <w:szCs w:val="22"/>
          <w:highlight w:val="none"/>
        </w:rPr>
        <w:t>缴纳规则详见前附表。</w:t>
      </w:r>
    </w:p>
    <w:p w14:paraId="0E7937D8">
      <w:pPr>
        <w:widowControl w:val="0"/>
        <w:adjustRightInd w:val="0"/>
        <w:snapToGrid w:val="0"/>
        <w:spacing w:line="360" w:lineRule="auto"/>
        <w:ind w:firstLine="537" w:firstLineChars="224"/>
        <w:rPr>
          <w:rFonts w:hint="eastAsia" w:ascii="宋体" w:hAnsi="宋体" w:eastAsia="宋体" w:cs="宋体"/>
          <w:b w:val="0"/>
          <w:bCs/>
          <w:color w:val="auto"/>
          <w:sz w:val="24"/>
          <w:szCs w:val="22"/>
          <w:highlight w:val="none"/>
        </w:rPr>
      </w:pPr>
      <w:r>
        <w:rPr>
          <w:rFonts w:hint="eastAsia" w:ascii="宋体" w:hAnsi="宋体" w:eastAsia="宋体" w:cs="宋体"/>
          <w:b w:val="0"/>
          <w:bCs/>
          <w:color w:val="auto"/>
          <w:sz w:val="24"/>
          <w:szCs w:val="22"/>
          <w:highlight w:val="none"/>
          <w:lang w:val="en-US" w:eastAsia="zh-CN"/>
        </w:rPr>
        <w:t>2.</w:t>
      </w:r>
      <w:r>
        <w:rPr>
          <w:rFonts w:hint="eastAsia" w:ascii="宋体" w:hAnsi="宋体" w:eastAsia="宋体" w:cs="宋体"/>
          <w:b w:val="0"/>
          <w:bCs/>
          <w:color w:val="auto"/>
          <w:sz w:val="24"/>
          <w:szCs w:val="22"/>
          <w:highlight w:val="none"/>
        </w:rPr>
        <w:t>签订合同后，如中标人不按双方合同约定履约，违反有关法律法规的规定及合同约定的条款，损害了采购人利益的，采购人将没收全部履约保证金。履约保证金不足以赔偿损失的，按实际损失赔偿。</w:t>
      </w:r>
    </w:p>
    <w:p w14:paraId="050B90F2">
      <w:pPr>
        <w:widowControl w:val="0"/>
        <w:adjustRightInd w:val="0"/>
        <w:snapToGrid w:val="0"/>
        <w:spacing w:line="360" w:lineRule="auto"/>
        <w:ind w:firstLine="537" w:firstLineChars="224"/>
        <w:rPr>
          <w:rFonts w:hint="eastAsia" w:ascii="宋体" w:hAnsi="宋体" w:eastAsia="宋体" w:cs="宋体"/>
          <w:b w:val="0"/>
          <w:bCs/>
          <w:color w:val="auto"/>
          <w:sz w:val="24"/>
          <w:szCs w:val="22"/>
          <w:highlight w:val="none"/>
        </w:rPr>
      </w:pPr>
      <w:r>
        <w:rPr>
          <w:rFonts w:hint="eastAsia" w:ascii="宋体" w:hAnsi="宋体" w:eastAsia="宋体" w:cs="宋体"/>
          <w:b w:val="0"/>
          <w:bCs/>
          <w:color w:val="auto"/>
          <w:sz w:val="24"/>
          <w:szCs w:val="22"/>
          <w:highlight w:val="none"/>
          <w:lang w:val="en-US" w:eastAsia="zh-CN"/>
        </w:rPr>
        <w:t>3.</w:t>
      </w:r>
      <w:r>
        <w:rPr>
          <w:rFonts w:hint="eastAsia" w:ascii="宋体" w:hAnsi="宋体" w:eastAsia="宋体" w:cs="宋体"/>
          <w:b w:val="0"/>
          <w:bCs/>
          <w:color w:val="auto"/>
          <w:sz w:val="24"/>
          <w:szCs w:val="22"/>
          <w:highlight w:val="none"/>
        </w:rPr>
        <w:t>供应商可登录政采云平台-【金融服务】—【我的项目】—【已备案合同】以保函形式提供：1、供应商在合同列表选择需要投保的合同，点击[保函推荐]。2、在弹框里查看推荐的保函产品，供应商自行选择保函产品，点击[立即申请]。3、在弹框里填写保函申请信息。具体步骤：选择产品—填写供应商信息—选择中标项目—确认信息—等待保险/保函受理—确认保单—支付保费—成功出单。政采云金融专线400-903-9583。</w:t>
      </w:r>
    </w:p>
    <w:p w14:paraId="5FCA61A8">
      <w:pPr>
        <w:widowControl w:val="0"/>
        <w:adjustRightInd w:val="0"/>
        <w:snapToGrid w:val="0"/>
        <w:spacing w:line="360" w:lineRule="auto"/>
        <w:ind w:firstLine="540" w:firstLineChars="224"/>
        <w:rPr>
          <w:rFonts w:ascii="宋体" w:hAnsi="宋体" w:cs="宋体"/>
          <w:b/>
          <w:color w:val="auto"/>
          <w:sz w:val="24"/>
          <w:szCs w:val="22"/>
          <w:highlight w:val="none"/>
        </w:rPr>
      </w:pPr>
      <w:r>
        <w:rPr>
          <w:rFonts w:hint="eastAsia" w:ascii="宋体" w:hAnsi="宋体" w:cs="宋体"/>
          <w:b/>
          <w:color w:val="auto"/>
          <w:sz w:val="24"/>
          <w:szCs w:val="22"/>
          <w:highlight w:val="none"/>
        </w:rPr>
        <w:t>（七）响应有效期</w:t>
      </w:r>
    </w:p>
    <w:p w14:paraId="6FA3055F">
      <w:pPr>
        <w:widowControl w:val="0"/>
        <w:adjustRightInd w:val="0"/>
        <w:snapToGrid w:val="0"/>
        <w:spacing w:line="360" w:lineRule="auto"/>
        <w:ind w:firstLine="540" w:firstLineChars="224"/>
        <w:rPr>
          <w:rFonts w:ascii="宋体" w:hAnsi="宋体" w:cs="宋体"/>
          <w:color w:val="auto"/>
          <w:sz w:val="24"/>
          <w:szCs w:val="22"/>
          <w:highlight w:val="none"/>
        </w:rPr>
      </w:pPr>
      <w:r>
        <w:rPr>
          <w:rFonts w:hint="eastAsia" w:ascii="宋体" w:hAnsi="宋体" w:cs="宋体"/>
          <w:b/>
          <w:color w:val="auto"/>
          <w:sz w:val="24"/>
          <w:szCs w:val="22"/>
          <w:highlight w:val="none"/>
        </w:rPr>
        <w:t>★</w:t>
      </w:r>
      <w:r>
        <w:rPr>
          <w:rFonts w:hint="eastAsia" w:ascii="宋体" w:hAnsi="宋体" w:cs="宋体"/>
          <w:color w:val="auto"/>
          <w:sz w:val="24"/>
          <w:szCs w:val="22"/>
          <w:highlight w:val="none"/>
        </w:rPr>
        <w:t>1.自磋商响应截止日起90天响应文件应保持有效。有效期不足的响应文件将被拒绝。</w:t>
      </w:r>
    </w:p>
    <w:p w14:paraId="0E4DBC05">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2.在特殊情况下，采购人可与供应商协商延长投标书的有效期，这种要求和答复均以书面形式进行。</w:t>
      </w:r>
    </w:p>
    <w:p w14:paraId="66BF840E">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 xml:space="preserve">3.供应商可拒绝接受延期要求。同意延长有效期的供应商不能修改响应文件。 </w:t>
      </w:r>
    </w:p>
    <w:p w14:paraId="63AE2D09">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4.成交人的响应文件自开标之日起至合同履行完毕止均应保持有效。</w:t>
      </w:r>
    </w:p>
    <w:p w14:paraId="7480A250">
      <w:pPr>
        <w:widowControl w:val="0"/>
        <w:adjustRightInd w:val="0"/>
        <w:snapToGrid w:val="0"/>
        <w:spacing w:line="360" w:lineRule="auto"/>
        <w:ind w:firstLine="540" w:firstLineChars="224"/>
        <w:rPr>
          <w:rFonts w:ascii="宋体" w:hAnsi="宋体" w:cs="宋体"/>
          <w:b/>
          <w:color w:val="auto"/>
          <w:sz w:val="24"/>
          <w:szCs w:val="22"/>
          <w:highlight w:val="none"/>
        </w:rPr>
      </w:pPr>
      <w:r>
        <w:rPr>
          <w:rFonts w:hint="eastAsia" w:ascii="宋体" w:hAnsi="宋体" w:cs="宋体"/>
          <w:b/>
          <w:color w:val="auto"/>
          <w:sz w:val="24"/>
          <w:szCs w:val="22"/>
          <w:highlight w:val="none"/>
        </w:rPr>
        <w:t>（八）磋商响应文件的签署和份数</w:t>
      </w:r>
    </w:p>
    <w:p w14:paraId="0D1ADA51">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1.电子磋商响应文件（投标文件）部分：</w:t>
      </w:r>
    </w:p>
    <w:p w14:paraId="70364BAD">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供应商应根据“政采云供应商项目采购-电子交易操作指南”及本采购文件规定的格式和顺序编制电子投标文件并进行关联定位。</w:t>
      </w:r>
    </w:p>
    <w:p w14:paraId="02920D73">
      <w:pPr>
        <w:widowControl w:val="0"/>
        <w:adjustRightInd w:val="0"/>
        <w:snapToGrid w:val="0"/>
        <w:spacing w:line="360" w:lineRule="auto"/>
        <w:ind w:firstLine="540" w:firstLineChars="224"/>
        <w:rPr>
          <w:rFonts w:ascii="宋体" w:hAnsi="宋体" w:cs="宋体"/>
          <w:b/>
          <w:color w:val="auto"/>
          <w:sz w:val="24"/>
          <w:szCs w:val="22"/>
          <w:highlight w:val="none"/>
        </w:rPr>
      </w:pPr>
      <w:r>
        <w:rPr>
          <w:rFonts w:hint="eastAsia" w:ascii="宋体" w:hAnsi="宋体" w:cs="宋体"/>
          <w:b/>
          <w:color w:val="auto"/>
          <w:sz w:val="24"/>
          <w:szCs w:val="22"/>
          <w:highlight w:val="none"/>
        </w:rPr>
        <w:t>（九）磋商响应文件（投标文件）的包装、递交、修改和撤回</w:t>
      </w:r>
    </w:p>
    <w:p w14:paraId="2B81F6A4">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1.供应商应当在投标截止时间前在“政采云”（ 电子交易客户端 ）上自行上传加密的电子投标文件。</w:t>
      </w:r>
    </w:p>
    <w:p w14:paraId="094BBC2D">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★2. 供应商未在“政采云”（电子交易客户端）上自行上传加密的电子投标文件的，投标无效。</w:t>
      </w:r>
    </w:p>
    <w:p w14:paraId="28B00376">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3. 供应商应当在投标截止时间前完成电子投标文件的传输递交，并可以补充、修改或者撤回电子投标文件。补充或者修改电子投标文件的，应当先行撤回原文件，补充、修改后重新传输递交。投标截止时间前未完成传输的，视为撤回投标文件。投标、响应截止时间后送达的投标、响应文件，将被政采云平台拒收。</w:t>
      </w:r>
    </w:p>
    <w:p w14:paraId="4DD30318">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4.截止开标时间，政采云（电子交易客户端）自动提取所有投标文件，</w:t>
      </w:r>
      <w:r>
        <w:rPr>
          <w:rFonts w:hint="eastAsia" w:ascii="宋体" w:hAnsi="宋体" w:cs="宋体"/>
          <w:color w:val="auto"/>
          <w:sz w:val="24"/>
          <w:szCs w:val="22"/>
          <w:highlight w:val="none"/>
          <w:lang w:eastAsia="zh-CN"/>
        </w:rPr>
        <w:t>供应商</w:t>
      </w:r>
      <w:r>
        <w:rPr>
          <w:rFonts w:hint="eastAsia" w:ascii="宋体" w:hAnsi="宋体" w:cs="宋体"/>
          <w:color w:val="auto"/>
          <w:sz w:val="24"/>
          <w:szCs w:val="22"/>
          <w:highlight w:val="none"/>
        </w:rPr>
        <w:t>须在解密时限内完成解密，解密时限由财政部门设置，</w:t>
      </w:r>
      <w:r>
        <w:rPr>
          <w:rFonts w:hint="eastAsia" w:ascii="宋体" w:hAnsi="宋体" w:cs="宋体"/>
          <w:color w:val="auto"/>
          <w:sz w:val="24"/>
          <w:szCs w:val="22"/>
          <w:highlight w:val="none"/>
          <w:lang w:eastAsia="zh-CN"/>
        </w:rPr>
        <w:t>供应商</w:t>
      </w:r>
      <w:r>
        <w:rPr>
          <w:rFonts w:hint="eastAsia" w:ascii="宋体" w:hAnsi="宋体" w:cs="宋体"/>
          <w:color w:val="auto"/>
          <w:sz w:val="24"/>
          <w:szCs w:val="22"/>
          <w:highlight w:val="none"/>
        </w:rPr>
        <w:t>在规定的时间内都已解密完成，则系统自动结束解密，采购代理机构开启投标文件；</w:t>
      </w:r>
      <w:r>
        <w:rPr>
          <w:rFonts w:hint="eastAsia" w:ascii="宋体" w:hAnsi="宋体" w:cs="宋体"/>
          <w:color w:val="auto"/>
          <w:sz w:val="24"/>
          <w:szCs w:val="22"/>
          <w:highlight w:val="none"/>
          <w:lang w:eastAsia="zh-CN"/>
        </w:rPr>
        <w:t>供应商</w:t>
      </w:r>
      <w:r>
        <w:rPr>
          <w:rFonts w:hint="eastAsia" w:ascii="宋体" w:hAnsi="宋体" w:cs="宋体"/>
          <w:color w:val="auto"/>
          <w:sz w:val="24"/>
          <w:szCs w:val="22"/>
          <w:highlight w:val="none"/>
        </w:rPr>
        <w:t>超过解密时限的，系统默认自动放弃。</w:t>
      </w:r>
    </w:p>
    <w:p w14:paraId="7136358A">
      <w:pPr>
        <w:pStyle w:val="15"/>
        <w:adjustRightInd w:val="0"/>
        <w:snapToGrid w:val="0"/>
        <w:spacing w:line="360" w:lineRule="auto"/>
        <w:ind w:firstLine="540" w:firstLineChars="224"/>
        <w:rPr>
          <w:rFonts w:hAnsi="宋体" w:cs="宋体"/>
          <w:b/>
          <w:color w:val="auto"/>
          <w:sz w:val="24"/>
          <w:szCs w:val="22"/>
          <w:highlight w:val="none"/>
        </w:rPr>
      </w:pPr>
      <w:r>
        <w:rPr>
          <w:rFonts w:hint="eastAsia" w:hAnsi="宋体" w:cs="宋体"/>
          <w:b/>
          <w:color w:val="auto"/>
          <w:sz w:val="24"/>
          <w:szCs w:val="22"/>
          <w:highlight w:val="none"/>
        </w:rPr>
        <w:t>（十）响应无效的情形</w:t>
      </w:r>
    </w:p>
    <w:p w14:paraId="099514F4">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实质上没有响应磋商采购文件要求的磋商响应文件将被视为无效。供应商不得通过修正或撤消不合要求的偏离或保留从而使其磋商响应文件成为实质上响应，但经磋商小组认定属于供应商疏忽、笔误所造成的差错，应当允许其在磋商结束之前进行修改或者补正（可以是复印件、传真件等，原件必须加盖单位公章）。修改或者补正磋商响应文件必须以书面形式进行，并应在成交结果公告之前查核原件。限期内不补正或经补正后仍不符合磋商文件要求的，应认定其无效。供应商修改、补正磋商响应文件后，不影响磋商小组对其磋商响应文件所作的评价和评分结果。</w:t>
      </w:r>
    </w:p>
    <w:p w14:paraId="77717603">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1.在符合性审查和商务评审时，如发现下列情形之一的，磋商响应文件将被视为无效：</w:t>
      </w:r>
    </w:p>
    <w:p w14:paraId="45E528AE">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（1）资格证明文件不全的，或者不符合磋商文件标明的资格要求的；</w:t>
      </w:r>
    </w:p>
    <w:p w14:paraId="13184249">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（2）磋商响应文件无法定代表人（或单位负责人）或其授权委托人签字,或未提供法定代表人授权委托书、投标声明书或者填写项目不齐全的；</w:t>
      </w:r>
    </w:p>
    <w:p w14:paraId="79ACDDAD">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（3）投标代表人未能出具身份证明或与法定代表人（或单位负责人）授权委托人身份不符的；</w:t>
      </w:r>
    </w:p>
    <w:p w14:paraId="1042803B">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（4）磋商响应文件格式不规范、项目不齐全或者内容虚假的；</w:t>
      </w:r>
    </w:p>
    <w:p w14:paraId="76B20DBF">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（5）磋商响应文件的实质性内容未使用中文表述、意思表述不明确、前后矛盾或者使用计量单位不符合磋商文件要求的（经磋商小组认定并允许其当场更正的笔误除外）；</w:t>
      </w:r>
    </w:p>
    <w:p w14:paraId="4CF3E143">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（6）电子磋商响应文件解密失败的；</w:t>
      </w:r>
    </w:p>
    <w:p w14:paraId="3BBE8D4A">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（7）未实质性响应磋商文件要求或者磋商响应文件不能接受的附加条件的。</w:t>
      </w:r>
    </w:p>
    <w:p w14:paraId="6670112A">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2.在</w:t>
      </w:r>
      <w:r>
        <w:rPr>
          <w:rFonts w:hint="eastAsia" w:ascii="宋体" w:hAnsi="宋体" w:cs="宋体"/>
          <w:color w:val="auto"/>
          <w:sz w:val="24"/>
          <w:szCs w:val="22"/>
          <w:highlight w:val="none"/>
          <w:lang w:eastAsia="zh-CN"/>
        </w:rPr>
        <w:t>商务技术</w:t>
      </w:r>
      <w:r>
        <w:rPr>
          <w:rFonts w:hint="eastAsia" w:ascii="宋体" w:hAnsi="宋体" w:cs="宋体"/>
          <w:color w:val="auto"/>
          <w:sz w:val="24"/>
          <w:szCs w:val="22"/>
          <w:highlight w:val="none"/>
        </w:rPr>
        <w:t>评审时，如发现下列情形之一的，磋商响应文件将被视为无效：</w:t>
      </w:r>
    </w:p>
    <w:p w14:paraId="65D2D58F">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（1）不符合法律、法规和磋商文件中规定的其他实质性要求的（磋商小组一致认定）的；</w:t>
      </w:r>
    </w:p>
    <w:p w14:paraId="243D37C5">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（2）未提供或未如实提供</w:t>
      </w:r>
      <w:r>
        <w:rPr>
          <w:rFonts w:hint="eastAsia" w:ascii="宋体" w:hAnsi="宋体" w:cs="宋体"/>
          <w:color w:val="auto"/>
          <w:sz w:val="24"/>
          <w:szCs w:val="22"/>
          <w:highlight w:val="none"/>
          <w:lang w:val="en-US" w:eastAsia="zh-CN"/>
        </w:rPr>
        <w:t>响应内容</w:t>
      </w:r>
      <w:r>
        <w:rPr>
          <w:rFonts w:hint="eastAsia" w:ascii="宋体" w:hAnsi="宋体" w:cs="宋体"/>
          <w:color w:val="auto"/>
          <w:sz w:val="24"/>
          <w:szCs w:val="22"/>
          <w:highlight w:val="none"/>
        </w:rPr>
        <w:t>的技术参数，或者磋商响应文件标明的响应或偏离与事实不符或虚假投标的；</w:t>
      </w:r>
    </w:p>
    <w:p w14:paraId="58F5480E">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（3）磋商过程中实质性变动采购需求中的技术、服务要求以及合同草案，未经采购人代表确认或未按要求重新提交响应文件的；</w:t>
      </w:r>
    </w:p>
    <w:p w14:paraId="2D710CBA">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（4）明显不符合采购文件要求的服务要求、产品质量标准，或者与采购文件中标“★”的技术要求发生未经磋商认可的实质性偏离或磋商小组的实质性变动内容未经采购人代表确认的。</w:t>
      </w:r>
    </w:p>
    <w:p w14:paraId="696BD9D0">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（5）技术方案不明确，存在一个或一个以上备选（替代）投标方案的；</w:t>
      </w:r>
    </w:p>
    <w:p w14:paraId="596D468B">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（6）与其他参加本次供应商的磋商响应文件（技术文件）的文字表述内容相同连续 20 行以上或者差错相同 2 处以上的。</w:t>
      </w:r>
    </w:p>
    <w:p w14:paraId="5B2932C5">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（7）提供不真实材料的；</w:t>
      </w:r>
    </w:p>
    <w:p w14:paraId="7F6AA827">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（8）法律、法规、规章等规定的其他情形。</w:t>
      </w:r>
    </w:p>
    <w:p w14:paraId="6711D23F">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3.在报价评审时，如发现下列情形之一的，磋商响应文件将被视为无效：</w:t>
      </w:r>
    </w:p>
    <w:p w14:paraId="725B734B">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（1）未采用人民币报价或者未按照磋商采购文件标明的报价方式报价的；</w:t>
      </w:r>
    </w:p>
    <w:p w14:paraId="66460772">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（2）报价超出最高</w:t>
      </w:r>
      <w:r>
        <w:rPr>
          <w:rFonts w:hint="eastAsia" w:ascii="宋体" w:hAnsi="宋体" w:cs="宋体"/>
          <w:color w:val="auto"/>
          <w:sz w:val="24"/>
          <w:szCs w:val="22"/>
          <w:highlight w:val="none"/>
          <w:lang w:val="en-US" w:eastAsia="zh-CN"/>
        </w:rPr>
        <w:t>限制折扣率</w:t>
      </w:r>
      <w:r>
        <w:rPr>
          <w:rFonts w:hint="eastAsia" w:ascii="宋体" w:hAnsi="宋体" w:cs="宋体"/>
          <w:color w:val="auto"/>
          <w:sz w:val="24"/>
          <w:szCs w:val="22"/>
          <w:highlight w:val="none"/>
        </w:rPr>
        <w:t>，采购人不能支付的；</w:t>
      </w:r>
    </w:p>
    <w:p w14:paraId="4F903445">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（3）报价明显低于其他通过符合性审查供应商的报价，供应商不能证明其报价合理性的，磋商小组将其作为无效报价处理的。</w:t>
      </w:r>
    </w:p>
    <w:p w14:paraId="79EE2C91">
      <w:pPr>
        <w:widowControl w:val="0"/>
        <w:adjustRightInd w:val="0"/>
        <w:snapToGrid w:val="0"/>
        <w:spacing w:line="360" w:lineRule="auto"/>
        <w:ind w:firstLine="537" w:firstLineChars="224"/>
        <w:rPr>
          <w:rFonts w:hint="eastAsia" w:ascii="宋体" w:hAnsi="宋体" w:cs="宋体"/>
          <w:color w:val="auto"/>
          <w:sz w:val="24"/>
          <w:szCs w:val="22"/>
          <w:highlight w:val="none"/>
        </w:rPr>
      </w:pPr>
      <w:r>
        <w:rPr>
          <w:rFonts w:hint="eastAsia" w:ascii="宋体" w:hAnsi="宋体" w:cs="宋体"/>
          <w:color w:val="auto"/>
          <w:sz w:val="24"/>
          <w:szCs w:val="22"/>
          <w:highlight w:val="none"/>
        </w:rPr>
        <w:t>4.被拒绝的磋商响应文件为无效磋商响应文件。</w:t>
      </w:r>
    </w:p>
    <w:p w14:paraId="0C1CA240">
      <w:pPr>
        <w:widowControl w:val="0"/>
        <w:adjustRightInd w:val="0"/>
        <w:snapToGrid w:val="0"/>
        <w:spacing w:line="360" w:lineRule="auto"/>
        <w:ind w:firstLine="537" w:firstLineChars="224"/>
        <w:rPr>
          <w:color w:val="auto"/>
          <w:highlight w:val="none"/>
        </w:rPr>
      </w:pPr>
      <w:r>
        <w:rPr>
          <w:rFonts w:hint="eastAsia" w:ascii="宋体" w:hAnsi="宋体" w:cs="宋体"/>
          <w:color w:val="auto"/>
          <w:sz w:val="24"/>
          <w:szCs w:val="22"/>
          <w:highlight w:val="none"/>
          <w:lang w:val="en-US" w:eastAsia="zh-CN"/>
        </w:rPr>
        <w:t>5.“除政府采购法律法规规定的恶意串通、视同串通投标情形外，在不影响公平竞争的前提下，采购人、采购代理机构应在采购文件中明确规定参与同一个标段(包)的供应商存在下列情形之一的，其投标(响应)文件无效：(一)不同供应商制作电子投标(响应)文件的计算机网卡MAC地址相同的；(二)不同供应商制作电子投标(响应)文件的计算机硬盘序列号相同的；(三)不同供应商的投标(响应)文件的内容存在两处以上细节错误一致，且无法合理解释的。”符合以上情形之一的，作为无效响应。</w:t>
      </w:r>
    </w:p>
    <w:p w14:paraId="1E308BEF">
      <w:pPr>
        <w:pStyle w:val="5"/>
        <w:bidi w:val="0"/>
        <w:jc w:val="center"/>
        <w:rPr>
          <w:color w:val="auto"/>
          <w:highlight w:val="none"/>
        </w:rPr>
      </w:pPr>
      <w:bookmarkStart w:id="34" w:name="_Toc74910242"/>
      <w:bookmarkStart w:id="35" w:name="_Toc31122"/>
      <w:bookmarkStart w:id="36" w:name="_Toc31883"/>
      <w:r>
        <w:rPr>
          <w:rFonts w:hint="eastAsia"/>
          <w:color w:val="auto"/>
          <w:highlight w:val="none"/>
        </w:rPr>
        <w:t>四、磋商程序</w:t>
      </w:r>
      <w:bookmarkEnd w:id="34"/>
      <w:bookmarkEnd w:id="35"/>
      <w:bookmarkEnd w:id="36"/>
    </w:p>
    <w:p w14:paraId="12472809">
      <w:pPr>
        <w:widowControl w:val="0"/>
        <w:adjustRightInd w:val="0"/>
        <w:snapToGrid w:val="0"/>
        <w:spacing w:line="360" w:lineRule="auto"/>
        <w:ind w:firstLine="540" w:firstLineChars="224"/>
        <w:rPr>
          <w:rFonts w:ascii="宋体" w:hAnsi="宋体" w:cs="宋体"/>
          <w:b/>
          <w:color w:val="auto"/>
          <w:sz w:val="24"/>
          <w:szCs w:val="22"/>
          <w:highlight w:val="none"/>
        </w:rPr>
      </w:pPr>
      <w:r>
        <w:rPr>
          <w:rFonts w:hint="eastAsia" w:ascii="宋体" w:hAnsi="宋体" w:cs="宋体"/>
          <w:b/>
          <w:color w:val="auto"/>
          <w:sz w:val="24"/>
          <w:szCs w:val="22"/>
          <w:highlight w:val="none"/>
        </w:rPr>
        <w:t>（一）磋商准备</w:t>
      </w:r>
    </w:p>
    <w:p w14:paraId="7417E326">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采购代理机构将在规定的时间和地点进行竞争性磋商，供应商的法定代表人（或单位负责人）或其授权代表应</w:t>
      </w:r>
      <w:r>
        <w:rPr>
          <w:rFonts w:hint="eastAsia" w:ascii="宋体" w:hAnsi="宋体" w:cs="宋体"/>
          <w:color w:val="auto"/>
          <w:sz w:val="24"/>
          <w:szCs w:val="22"/>
          <w:highlight w:val="none"/>
          <w:lang w:val="en-US" w:eastAsia="zh-CN"/>
        </w:rPr>
        <w:t>在线</w:t>
      </w:r>
      <w:r>
        <w:rPr>
          <w:rFonts w:hint="eastAsia" w:ascii="宋体" w:hAnsi="宋体" w:cs="宋体"/>
          <w:color w:val="auto"/>
          <w:sz w:val="24"/>
          <w:szCs w:val="22"/>
          <w:highlight w:val="none"/>
        </w:rPr>
        <w:t>参加磋商会议。供应商的法定代表人（或单位负责人）或其授权代表未</w:t>
      </w:r>
      <w:r>
        <w:rPr>
          <w:rFonts w:hint="eastAsia" w:ascii="宋体" w:hAnsi="宋体" w:cs="宋体"/>
          <w:color w:val="auto"/>
          <w:sz w:val="24"/>
          <w:szCs w:val="22"/>
          <w:highlight w:val="none"/>
          <w:lang w:val="en-US" w:eastAsia="zh-CN"/>
        </w:rPr>
        <w:t>在规定时间内响应磋商</w:t>
      </w:r>
      <w:r>
        <w:rPr>
          <w:rFonts w:hint="eastAsia" w:ascii="宋体" w:hAnsi="宋体" w:cs="宋体"/>
          <w:color w:val="auto"/>
          <w:sz w:val="24"/>
          <w:szCs w:val="22"/>
          <w:highlight w:val="none"/>
        </w:rPr>
        <w:t>的，视同放弃磋商监督权利、认可磋商结果。</w:t>
      </w:r>
    </w:p>
    <w:p w14:paraId="4B9B0B81">
      <w:pPr>
        <w:widowControl w:val="0"/>
        <w:adjustRightInd w:val="0"/>
        <w:snapToGrid w:val="0"/>
        <w:spacing w:line="360" w:lineRule="auto"/>
        <w:ind w:firstLine="540" w:firstLineChars="224"/>
        <w:rPr>
          <w:rFonts w:ascii="宋体" w:hAnsi="宋体" w:cs="宋体"/>
          <w:b/>
          <w:color w:val="auto"/>
          <w:sz w:val="24"/>
          <w:szCs w:val="22"/>
          <w:highlight w:val="none"/>
        </w:rPr>
      </w:pPr>
      <w:r>
        <w:rPr>
          <w:rFonts w:hint="eastAsia" w:ascii="宋体" w:hAnsi="宋体" w:cs="宋体"/>
          <w:b/>
          <w:color w:val="auto"/>
          <w:sz w:val="24"/>
          <w:szCs w:val="22"/>
          <w:highlight w:val="none"/>
        </w:rPr>
        <w:t>（二） 磋商程序：</w:t>
      </w:r>
    </w:p>
    <w:p w14:paraId="52286C8D">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1.磋商会议由采购代理机构主持，主持人宣布磋商会议开始；</w:t>
      </w:r>
    </w:p>
    <w:p w14:paraId="2CE49E12">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2.在开标后投标供应商</w:t>
      </w:r>
      <w:r>
        <w:rPr>
          <w:rFonts w:hint="eastAsia" w:ascii="宋体" w:hAnsi="宋体" w:cs="宋体"/>
          <w:color w:val="auto"/>
          <w:sz w:val="24"/>
          <w:szCs w:val="22"/>
          <w:highlight w:val="none"/>
          <w:lang w:eastAsia="zh-CN"/>
        </w:rPr>
        <w:t>登录</w:t>
      </w:r>
      <w:r>
        <w:rPr>
          <w:rFonts w:hint="eastAsia" w:ascii="宋体" w:hAnsi="宋体" w:cs="宋体"/>
          <w:color w:val="auto"/>
          <w:sz w:val="24"/>
          <w:szCs w:val="22"/>
          <w:highlight w:val="none"/>
        </w:rPr>
        <w:t>“政采云”平台，用“项目采购-开标评标”功能进行解密（磋商响应文件）投标文件。若投标供应商在规定时间内无法解密或解密失败的，视为投标文件撤回。</w:t>
      </w:r>
    </w:p>
    <w:p w14:paraId="218A0C66">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3.采购人或采购代理机构先对供应商的资格进行审查，如磋商小组对响应文件有疑问，对供应商进行在线询标，供应商须在澄清截止时间前上传澄清函，若在澄清截止时间前未进行有效澄清的，逾期将不再接受澄清。资格审查不合格的</w:t>
      </w:r>
      <w:r>
        <w:rPr>
          <w:rFonts w:hint="eastAsia" w:ascii="宋体" w:hAnsi="宋体" w:cs="宋体"/>
          <w:color w:val="auto"/>
          <w:sz w:val="24"/>
          <w:szCs w:val="22"/>
          <w:highlight w:val="none"/>
          <w:lang w:eastAsia="zh-CN"/>
        </w:rPr>
        <w:t>供应商</w:t>
      </w:r>
      <w:r>
        <w:rPr>
          <w:rFonts w:hint="eastAsia" w:ascii="宋体" w:hAnsi="宋体" w:cs="宋体"/>
          <w:color w:val="auto"/>
          <w:sz w:val="24"/>
          <w:szCs w:val="22"/>
          <w:highlight w:val="none"/>
        </w:rPr>
        <w:t>不再进入商务技术响应文件和价格响应文件的评审。</w:t>
      </w:r>
    </w:p>
    <w:p w14:paraId="4CC76D34">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4.磋商小组先对商务技术文件进行评审，如对投标文件有疑问，对</w:t>
      </w:r>
      <w:r>
        <w:rPr>
          <w:rFonts w:hint="eastAsia" w:ascii="宋体" w:hAnsi="宋体" w:cs="宋体"/>
          <w:color w:val="auto"/>
          <w:sz w:val="24"/>
          <w:szCs w:val="22"/>
          <w:highlight w:val="none"/>
          <w:lang w:eastAsia="zh-CN"/>
        </w:rPr>
        <w:t>供应商</w:t>
      </w:r>
      <w:r>
        <w:rPr>
          <w:rFonts w:hint="eastAsia" w:ascii="宋体" w:hAnsi="宋体" w:cs="宋体"/>
          <w:color w:val="auto"/>
          <w:sz w:val="24"/>
          <w:szCs w:val="22"/>
          <w:highlight w:val="none"/>
        </w:rPr>
        <w:t>进行在线询标，</w:t>
      </w:r>
      <w:r>
        <w:rPr>
          <w:rFonts w:hint="eastAsia" w:ascii="宋体" w:hAnsi="宋体" w:cs="宋体"/>
          <w:color w:val="auto"/>
          <w:sz w:val="24"/>
          <w:szCs w:val="22"/>
          <w:highlight w:val="none"/>
          <w:lang w:eastAsia="zh-CN"/>
        </w:rPr>
        <w:t>供应商</w:t>
      </w:r>
      <w:r>
        <w:rPr>
          <w:rFonts w:hint="eastAsia" w:ascii="宋体" w:hAnsi="宋体" w:cs="宋体"/>
          <w:color w:val="auto"/>
          <w:sz w:val="24"/>
          <w:szCs w:val="22"/>
          <w:highlight w:val="none"/>
        </w:rPr>
        <w:t>须在发起的澄清截止时间前上传澄清函，若在发起的澄清截止时间前未进行有效澄清的，逾期将不再接受澄清。商务技术文件不合格的</w:t>
      </w:r>
      <w:r>
        <w:rPr>
          <w:rFonts w:hint="eastAsia" w:ascii="宋体" w:hAnsi="宋体" w:cs="宋体"/>
          <w:color w:val="auto"/>
          <w:sz w:val="24"/>
          <w:szCs w:val="22"/>
          <w:highlight w:val="none"/>
          <w:lang w:eastAsia="zh-CN"/>
        </w:rPr>
        <w:t>供应商</w:t>
      </w:r>
      <w:r>
        <w:rPr>
          <w:rFonts w:hint="eastAsia" w:ascii="宋体" w:hAnsi="宋体" w:cs="宋体"/>
          <w:color w:val="auto"/>
          <w:sz w:val="24"/>
          <w:szCs w:val="22"/>
          <w:highlight w:val="none"/>
        </w:rPr>
        <w:t>不再进入报价文件评审。</w:t>
      </w:r>
    </w:p>
    <w:p w14:paraId="6C28EF59">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5.</w:t>
      </w:r>
      <w:r>
        <w:rPr>
          <w:rFonts w:hint="eastAsia" w:ascii="宋体" w:hAnsi="宋体" w:cs="宋体"/>
          <w:color w:val="auto"/>
          <w:sz w:val="24"/>
          <w:szCs w:val="22"/>
          <w:highlight w:val="none"/>
          <w:lang w:eastAsia="zh-CN"/>
        </w:rPr>
        <w:t>商务技术</w:t>
      </w:r>
      <w:r>
        <w:rPr>
          <w:rFonts w:hint="eastAsia" w:ascii="宋体" w:hAnsi="宋体" w:cs="宋体"/>
          <w:color w:val="auto"/>
          <w:sz w:val="24"/>
          <w:szCs w:val="22"/>
          <w:highlight w:val="none"/>
        </w:rPr>
        <w:t>文件评分结束后，然后在线开启价格</w:t>
      </w:r>
      <w:r>
        <w:rPr>
          <w:rFonts w:hint="eastAsia" w:ascii="宋体" w:hAnsi="宋体" w:cs="宋体"/>
          <w:color w:val="auto"/>
          <w:sz w:val="24"/>
          <w:szCs w:val="22"/>
          <w:highlight w:val="none"/>
          <w:lang w:eastAsia="zh-CN"/>
        </w:rPr>
        <w:t>响应文件</w:t>
      </w:r>
      <w:r>
        <w:rPr>
          <w:rFonts w:hint="eastAsia" w:ascii="宋体" w:hAnsi="宋体" w:cs="宋体"/>
          <w:color w:val="auto"/>
          <w:sz w:val="24"/>
          <w:szCs w:val="22"/>
          <w:highlight w:val="none"/>
        </w:rPr>
        <w:t>，进行磋商，要求供应商提交最后报价。</w:t>
      </w:r>
    </w:p>
    <w:p w14:paraId="281A4062">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6.</w:t>
      </w:r>
      <w:r>
        <w:rPr>
          <w:rFonts w:hint="eastAsia" w:ascii="宋体" w:hAnsi="宋体" w:cs="宋体"/>
          <w:color w:val="auto"/>
          <w:sz w:val="24"/>
          <w:szCs w:val="22"/>
          <w:highlight w:val="none"/>
          <w:lang w:eastAsia="zh-CN"/>
        </w:rPr>
        <w:t>商务技术</w:t>
      </w:r>
      <w:r>
        <w:rPr>
          <w:rFonts w:hint="eastAsia" w:ascii="宋体" w:hAnsi="宋体" w:cs="宋体"/>
          <w:color w:val="auto"/>
          <w:sz w:val="24"/>
          <w:szCs w:val="22"/>
          <w:highlight w:val="none"/>
        </w:rPr>
        <w:t>文件评审结果在线公布后，在线开启最后报价，并由评标委员会进行报价评审。</w:t>
      </w:r>
    </w:p>
    <w:p w14:paraId="0390D316">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7.综合评审结果在线公布各供应商得分汇总，并在线提交（宣布）中标候选人。</w:t>
      </w:r>
    </w:p>
    <w:p w14:paraId="6DD0B67B">
      <w:pPr>
        <w:widowControl w:val="0"/>
        <w:adjustRightInd w:val="0"/>
        <w:snapToGrid w:val="0"/>
        <w:spacing w:line="360" w:lineRule="auto"/>
        <w:ind w:firstLine="537" w:firstLineChars="224"/>
        <w:rPr>
          <w:rFonts w:hint="eastAsia" w:ascii="宋体" w:hAnsi="宋体" w:cs="宋体"/>
          <w:color w:val="auto"/>
          <w:sz w:val="24"/>
          <w:szCs w:val="22"/>
          <w:highlight w:val="none"/>
        </w:rPr>
      </w:pPr>
      <w:r>
        <w:rPr>
          <w:rFonts w:hint="eastAsia" w:ascii="宋体" w:hAnsi="宋体" w:cs="宋体"/>
          <w:color w:val="auto"/>
          <w:sz w:val="24"/>
          <w:szCs w:val="22"/>
          <w:highlight w:val="none"/>
        </w:rPr>
        <w:t>8.评审结束后，代理机构宣布开标结束，并公布采购结果 。</w:t>
      </w:r>
    </w:p>
    <w:p w14:paraId="22B63235">
      <w:pPr>
        <w:widowControl w:val="0"/>
        <w:adjustRightInd w:val="0"/>
        <w:snapToGrid w:val="0"/>
        <w:spacing w:line="360" w:lineRule="auto"/>
        <w:ind w:firstLine="540" w:firstLineChars="224"/>
        <w:rPr>
          <w:rFonts w:ascii="宋体" w:hAnsi="宋体" w:cs="宋体"/>
          <w:b/>
          <w:color w:val="auto"/>
          <w:sz w:val="24"/>
          <w:szCs w:val="22"/>
          <w:highlight w:val="none"/>
        </w:rPr>
      </w:pPr>
      <w:r>
        <w:rPr>
          <w:rFonts w:hint="eastAsia" w:ascii="宋体" w:hAnsi="宋体" w:cs="宋体"/>
          <w:b/>
          <w:color w:val="auto"/>
          <w:sz w:val="24"/>
          <w:szCs w:val="22"/>
          <w:highlight w:val="none"/>
        </w:rPr>
        <w:t>注：政采云公司如对电子化开标及评审程序有调整的，按调整后的程序操作。</w:t>
      </w:r>
    </w:p>
    <w:p w14:paraId="702B0D9C">
      <w:pPr>
        <w:pStyle w:val="5"/>
        <w:bidi w:val="0"/>
        <w:jc w:val="center"/>
        <w:rPr>
          <w:color w:val="auto"/>
          <w:highlight w:val="none"/>
        </w:rPr>
      </w:pPr>
      <w:bookmarkStart w:id="37" w:name="_Toc19969"/>
      <w:bookmarkStart w:id="38" w:name="_Toc74910243"/>
      <w:bookmarkStart w:id="39" w:name="_Toc12199"/>
      <w:r>
        <w:rPr>
          <w:rFonts w:hint="eastAsia"/>
          <w:color w:val="auto"/>
          <w:highlight w:val="none"/>
        </w:rPr>
        <w:t>五、磋商</w:t>
      </w:r>
      <w:bookmarkEnd w:id="37"/>
      <w:bookmarkEnd w:id="38"/>
      <w:bookmarkEnd w:id="39"/>
    </w:p>
    <w:p w14:paraId="30F2A6C4">
      <w:pPr>
        <w:widowControl w:val="0"/>
        <w:adjustRightInd w:val="0"/>
        <w:snapToGrid w:val="0"/>
        <w:spacing w:line="360" w:lineRule="auto"/>
        <w:ind w:firstLine="540" w:firstLineChars="224"/>
        <w:rPr>
          <w:rFonts w:ascii="宋体" w:hAnsi="宋体" w:cs="宋体"/>
          <w:b/>
          <w:color w:val="auto"/>
          <w:sz w:val="24"/>
          <w:szCs w:val="22"/>
          <w:highlight w:val="none"/>
        </w:rPr>
      </w:pPr>
      <w:r>
        <w:rPr>
          <w:rFonts w:hint="eastAsia" w:ascii="宋体" w:hAnsi="宋体" w:cs="宋体"/>
          <w:b/>
          <w:color w:val="auto"/>
          <w:sz w:val="24"/>
          <w:szCs w:val="22"/>
          <w:highlight w:val="none"/>
        </w:rPr>
        <w:t>（一）组建磋商小组</w:t>
      </w:r>
    </w:p>
    <w:p w14:paraId="72CC0324">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采购人和采购代理机构将根据本项目的特点依法组建磋商小组，磋商小组由采购人和有关技术、经济等方面</w:t>
      </w:r>
      <w:r>
        <w:rPr>
          <w:rFonts w:hint="eastAsia" w:ascii="宋体" w:hAnsi="宋体" w:cs="宋体"/>
          <w:color w:val="auto"/>
          <w:sz w:val="24"/>
          <w:szCs w:val="22"/>
          <w:highlight w:val="none"/>
          <w:lang w:val="en-US" w:eastAsia="zh-CN"/>
        </w:rPr>
        <w:t>三</w:t>
      </w:r>
      <w:r>
        <w:rPr>
          <w:rFonts w:hint="eastAsia" w:ascii="宋体" w:hAnsi="宋体" w:cs="宋体"/>
          <w:color w:val="auto"/>
          <w:sz w:val="24"/>
          <w:szCs w:val="22"/>
          <w:highlight w:val="none"/>
        </w:rPr>
        <w:t>名或以上单数的专家组成，其中技术、经济等方面的专家不少于成员总数的三分之二。专家统一在浙江省政府采购专家管理系统（政采云）的专家库中随机抽取。</w:t>
      </w:r>
    </w:p>
    <w:p w14:paraId="67FB2C91">
      <w:pPr>
        <w:widowControl w:val="0"/>
        <w:adjustRightInd w:val="0"/>
        <w:snapToGrid w:val="0"/>
        <w:spacing w:line="360" w:lineRule="auto"/>
        <w:ind w:firstLine="540" w:firstLineChars="224"/>
        <w:rPr>
          <w:rFonts w:ascii="宋体" w:hAnsi="宋体" w:cs="宋体"/>
          <w:b/>
          <w:color w:val="auto"/>
          <w:sz w:val="24"/>
          <w:szCs w:val="22"/>
          <w:highlight w:val="none"/>
        </w:rPr>
      </w:pPr>
      <w:r>
        <w:rPr>
          <w:rFonts w:hint="eastAsia" w:ascii="宋体" w:hAnsi="宋体" w:cs="宋体"/>
          <w:b/>
          <w:color w:val="auto"/>
          <w:sz w:val="24"/>
          <w:szCs w:val="22"/>
          <w:highlight w:val="none"/>
        </w:rPr>
        <w:t>（二）磋商的方式</w:t>
      </w:r>
    </w:p>
    <w:p w14:paraId="763F3E62">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本项目采用不公开方式磋商，磋商的依据为磋商文件和磋商响应文件。</w:t>
      </w:r>
    </w:p>
    <w:p w14:paraId="20D98945">
      <w:pPr>
        <w:widowControl w:val="0"/>
        <w:adjustRightInd w:val="0"/>
        <w:snapToGrid w:val="0"/>
        <w:spacing w:line="360" w:lineRule="auto"/>
        <w:ind w:firstLine="540" w:firstLineChars="224"/>
        <w:rPr>
          <w:rFonts w:ascii="宋体" w:hAnsi="宋体" w:cs="宋体"/>
          <w:b/>
          <w:color w:val="auto"/>
          <w:sz w:val="24"/>
          <w:szCs w:val="22"/>
          <w:highlight w:val="none"/>
        </w:rPr>
      </w:pPr>
      <w:r>
        <w:rPr>
          <w:rFonts w:hint="eastAsia" w:ascii="宋体" w:hAnsi="宋体" w:cs="宋体"/>
          <w:b/>
          <w:color w:val="auto"/>
          <w:sz w:val="24"/>
          <w:szCs w:val="22"/>
          <w:highlight w:val="none"/>
        </w:rPr>
        <w:t>（三）磋商响应文件鉴定</w:t>
      </w:r>
    </w:p>
    <w:p w14:paraId="7FA28BB8">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1.在磋商前，磋商小组对每份磋商响应文件进行符合性等方面的预审，如磋商响应文件被确认为无效，采购代理机构将及时通知该供应商。</w:t>
      </w:r>
    </w:p>
    <w:p w14:paraId="697A0FB3">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2.就本条款而言，实质上响应要求的磋商响应文件，应该与文件的规定主要要求、条件、条款和规范相符，无显著差异或保留。</w:t>
      </w:r>
    </w:p>
    <w:p w14:paraId="35389E8D">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3.如果磋商响应文件实质上不响应磋商文件的要求，不允许通过修正或撤消不符合要求的差异或保留，使之成为具有响应性的磋商。</w:t>
      </w:r>
    </w:p>
    <w:p w14:paraId="7A8AE1E7">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4.磋商响应文件中磋商报价一览表内容与磋商响应文件中相应内容不一致的，以磋商报价一览表为准；磋商响应文件的大写金额和小写金额不一致的，以大写金额为准；总价金额与按单价汇总金额不一致的，以单价金额计算结果为准；单价金额小数点或者百分比有明显错位的，以磋商报价一览表的总价为准，并修改单价；对不同文字文本磋商响应文件的解释发生异议的，以中文文本为准。同时出现两种以上不一致的，按照前款规定的顺序修正。修正后的报价经响应人确认后产生约束力，供应商不确认的，其投标无效。</w:t>
      </w:r>
    </w:p>
    <w:p w14:paraId="03983C20">
      <w:pPr>
        <w:widowControl w:val="0"/>
        <w:adjustRightInd w:val="0"/>
        <w:snapToGrid w:val="0"/>
        <w:spacing w:line="360" w:lineRule="auto"/>
        <w:ind w:firstLine="540" w:firstLineChars="224"/>
        <w:rPr>
          <w:rFonts w:ascii="宋体" w:hAnsi="宋体" w:cs="宋体"/>
          <w:b/>
          <w:color w:val="auto"/>
          <w:sz w:val="24"/>
          <w:szCs w:val="22"/>
          <w:highlight w:val="none"/>
        </w:rPr>
      </w:pPr>
      <w:r>
        <w:rPr>
          <w:rFonts w:hint="eastAsia" w:ascii="宋体" w:hAnsi="宋体" w:cs="宋体"/>
          <w:b/>
          <w:color w:val="auto"/>
          <w:sz w:val="24"/>
          <w:szCs w:val="22"/>
          <w:highlight w:val="none"/>
        </w:rPr>
        <w:t>（四）磋商原则</w:t>
      </w:r>
    </w:p>
    <w:p w14:paraId="7F97F31F">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1.竞争优选。</w:t>
      </w:r>
    </w:p>
    <w:p w14:paraId="72F53464">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2.坚持公开、公平、公正、科学合理的原则。</w:t>
      </w:r>
    </w:p>
    <w:p w14:paraId="294C32B0">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3.价格合理，方案、产品先进可行。</w:t>
      </w:r>
    </w:p>
    <w:p w14:paraId="5CE32A64">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4.反对不正当竞争。</w:t>
      </w:r>
    </w:p>
    <w:p w14:paraId="4A190029">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5.磋商小组将遵循评审原则的前提下，对供应商提供的服务、磋商价格、履约能力等进行分析。</w:t>
      </w:r>
    </w:p>
    <w:p w14:paraId="1F3E102C">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6.客观、公正对待所有供应商，对所有磋商评价，均采用相同的程序和标准。</w:t>
      </w:r>
    </w:p>
    <w:p w14:paraId="31CE889E">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7.在磋商响应期间，供应商不得向磋商小组成员询问磋商情况，不得进行旨在影响磋商结果的活动。</w:t>
      </w:r>
    </w:p>
    <w:p w14:paraId="546DF61A">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8.在磋商过程中，磋商小组成员不得与供应商私下交换意见，在竞争性磋商工作结束后，凡与磋商情况有接触的人不得将磋商情况扩散出磋商小组成员之外。</w:t>
      </w:r>
    </w:p>
    <w:p w14:paraId="6E067C60">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9.采购人不向未成交人解释未成交原因，不退还磋商响应文件。</w:t>
      </w:r>
    </w:p>
    <w:p w14:paraId="6B0FE069">
      <w:pPr>
        <w:widowControl w:val="0"/>
        <w:adjustRightInd w:val="0"/>
        <w:snapToGrid w:val="0"/>
        <w:spacing w:line="360" w:lineRule="auto"/>
        <w:ind w:firstLine="540" w:firstLineChars="224"/>
        <w:rPr>
          <w:rFonts w:ascii="宋体" w:hAnsi="宋体" w:cs="宋体"/>
          <w:b/>
          <w:color w:val="auto"/>
          <w:sz w:val="24"/>
          <w:szCs w:val="22"/>
          <w:highlight w:val="none"/>
        </w:rPr>
      </w:pPr>
      <w:r>
        <w:rPr>
          <w:rFonts w:hint="eastAsia" w:ascii="宋体" w:hAnsi="宋体" w:cs="宋体"/>
          <w:b/>
          <w:color w:val="auto"/>
          <w:sz w:val="24"/>
          <w:szCs w:val="22"/>
          <w:highlight w:val="none"/>
        </w:rPr>
        <w:t>（五）磋商工作流程</w:t>
      </w:r>
    </w:p>
    <w:p w14:paraId="27386DF9">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1.根据公开、公平、公正、诚信科学的原则，组织竞争性磋商采购。</w:t>
      </w:r>
    </w:p>
    <w:p w14:paraId="0FCAE811">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2.具体工作流程：</w:t>
      </w:r>
    </w:p>
    <w:p w14:paraId="0764BA41">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（1）磋商小组所有成员应当集中与单一供应商分别进行磋商，并给予所有参加磋商的供应商平等的磋商机会。</w:t>
      </w:r>
    </w:p>
    <w:p w14:paraId="088023BD">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（2）在磋商过程中，磋商小组可以根据磋商文件和磋商情况实质性变动采购需求中的技术、服务要求以及合同草案条款。实质性变动的内容，须经采购人代表确认。</w:t>
      </w:r>
    </w:p>
    <w:p w14:paraId="4A98B671">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（3）磋商文件作出的实质性变动是磋商文件的有效组成部分，磋商小组应当及时以书面形式同时通知所有参加磋商的供应商。</w:t>
      </w:r>
    </w:p>
    <w:p w14:paraId="75BD3419">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（4）供应商应当按照磋商文件的变动情况和磋商小组的要求重新提交响应文件，并由其法定代表人或授权代表签字或者加盖公章。由授权代表签字的，应当附法定代表人授权书。</w:t>
      </w:r>
    </w:p>
    <w:p w14:paraId="79FDD115">
      <w:pPr>
        <w:widowControl w:val="0"/>
        <w:adjustRightInd w:val="0"/>
        <w:snapToGrid w:val="0"/>
        <w:spacing w:line="360" w:lineRule="auto"/>
        <w:ind w:firstLine="540" w:firstLineChars="224"/>
        <w:rPr>
          <w:rFonts w:ascii="宋体" w:hAnsi="宋体" w:cs="宋体"/>
          <w:b/>
          <w:color w:val="auto"/>
          <w:sz w:val="24"/>
          <w:szCs w:val="22"/>
          <w:highlight w:val="none"/>
        </w:rPr>
      </w:pPr>
      <w:r>
        <w:rPr>
          <w:rFonts w:hint="eastAsia" w:ascii="宋体" w:hAnsi="宋体" w:cs="宋体"/>
          <w:b/>
          <w:color w:val="auto"/>
          <w:sz w:val="24"/>
          <w:szCs w:val="22"/>
          <w:highlight w:val="none"/>
        </w:rPr>
        <w:t>（六）最后报价</w:t>
      </w:r>
    </w:p>
    <w:p w14:paraId="63AC1153">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1.磋商结束后，磋商小组应当要求所有实质性响应的供应商在规定时间内提交最后报价。</w:t>
      </w:r>
    </w:p>
    <w:p w14:paraId="365F33DE">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2.最后报价是磋商响应文件的有效组成部分。</w:t>
      </w:r>
    </w:p>
    <w:p w14:paraId="3A692D70">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3.已提交磋商响应文件的供应商，在提交最后报价之前，若因磋商文件实质性变动导致供应商无法满足采购需求的，允许供应商退出磋商。</w:t>
      </w:r>
    </w:p>
    <w:p w14:paraId="639F7BE2">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4.</w:t>
      </w:r>
      <w:r>
        <w:rPr>
          <w:rFonts w:hint="eastAsia" w:ascii="宋体" w:hAnsi="宋体" w:cs="宋体"/>
          <w:color w:val="auto"/>
          <w:sz w:val="24"/>
          <w:szCs w:val="22"/>
          <w:highlight w:val="none"/>
          <w:lang w:eastAsia="zh-CN"/>
        </w:rPr>
        <w:t>商务技术</w:t>
      </w:r>
      <w:r>
        <w:rPr>
          <w:rFonts w:hint="eastAsia" w:ascii="宋体" w:hAnsi="宋体" w:cs="宋体"/>
          <w:color w:val="auto"/>
          <w:sz w:val="24"/>
          <w:szCs w:val="22"/>
          <w:highlight w:val="none"/>
        </w:rPr>
        <w:t>文件评审</w:t>
      </w:r>
      <w:r>
        <w:rPr>
          <w:rFonts w:hint="eastAsia" w:ascii="宋体" w:hAnsi="宋体" w:cs="宋体"/>
          <w:color w:val="auto"/>
          <w:sz w:val="24"/>
          <w:szCs w:val="22"/>
          <w:highlight w:val="none"/>
          <w:lang w:val="en-US" w:eastAsia="zh-CN"/>
        </w:rPr>
        <w:t>结束</w:t>
      </w:r>
      <w:r>
        <w:rPr>
          <w:rFonts w:hint="eastAsia" w:ascii="宋体" w:hAnsi="宋体" w:cs="宋体"/>
          <w:color w:val="auto"/>
          <w:sz w:val="24"/>
          <w:szCs w:val="22"/>
          <w:highlight w:val="none"/>
        </w:rPr>
        <w:t>后，采购代理机构将在线开启最后报价。</w:t>
      </w:r>
    </w:p>
    <w:p w14:paraId="52CBD16A">
      <w:pPr>
        <w:widowControl w:val="0"/>
        <w:adjustRightInd w:val="0"/>
        <w:snapToGrid w:val="0"/>
        <w:spacing w:line="360" w:lineRule="auto"/>
        <w:ind w:firstLine="540" w:firstLineChars="224"/>
        <w:rPr>
          <w:rFonts w:ascii="宋体" w:hAnsi="宋体" w:cs="宋体"/>
          <w:b/>
          <w:color w:val="auto"/>
          <w:sz w:val="24"/>
          <w:szCs w:val="22"/>
          <w:highlight w:val="none"/>
        </w:rPr>
      </w:pPr>
      <w:r>
        <w:rPr>
          <w:rFonts w:hint="eastAsia" w:ascii="宋体" w:hAnsi="宋体" w:cs="宋体"/>
          <w:b/>
          <w:color w:val="auto"/>
          <w:sz w:val="24"/>
          <w:szCs w:val="22"/>
          <w:highlight w:val="none"/>
        </w:rPr>
        <w:t>（七）磋商办法</w:t>
      </w:r>
    </w:p>
    <w:p w14:paraId="6A6D8B09">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具体磋商内容及评分标准等详见《第四章：磋商办法及评分标准》。</w:t>
      </w:r>
    </w:p>
    <w:p w14:paraId="3CBE57BB">
      <w:pPr>
        <w:widowControl w:val="0"/>
        <w:adjustRightInd w:val="0"/>
        <w:snapToGrid w:val="0"/>
        <w:spacing w:line="360" w:lineRule="auto"/>
        <w:ind w:firstLine="540" w:firstLineChars="224"/>
        <w:rPr>
          <w:rFonts w:ascii="宋体" w:hAnsi="宋体" w:cs="宋体"/>
          <w:b/>
          <w:color w:val="auto"/>
          <w:sz w:val="24"/>
          <w:szCs w:val="22"/>
          <w:highlight w:val="none"/>
        </w:rPr>
      </w:pPr>
      <w:r>
        <w:rPr>
          <w:rFonts w:hint="eastAsia" w:ascii="宋体" w:hAnsi="宋体" w:cs="宋体"/>
          <w:b/>
          <w:color w:val="auto"/>
          <w:sz w:val="24"/>
          <w:szCs w:val="22"/>
          <w:highlight w:val="none"/>
        </w:rPr>
        <w:t>（八）磋商过程的监控</w:t>
      </w:r>
    </w:p>
    <w:p w14:paraId="2240CA06">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本项目磋商过程实行全程录音、录像监控，供应商在磋商过程中所进行的试图影响磋商结果的不公正活动，可能导致其投标被拒绝。</w:t>
      </w:r>
    </w:p>
    <w:p w14:paraId="43FE596A">
      <w:pPr>
        <w:widowControl w:val="0"/>
        <w:adjustRightInd w:val="0"/>
        <w:snapToGrid w:val="0"/>
        <w:spacing w:line="360" w:lineRule="auto"/>
        <w:ind w:firstLine="540" w:firstLineChars="224"/>
        <w:rPr>
          <w:rFonts w:ascii="宋体" w:hAnsi="宋体" w:cs="宋体"/>
          <w:b/>
          <w:color w:val="auto"/>
          <w:sz w:val="24"/>
          <w:szCs w:val="22"/>
          <w:highlight w:val="none"/>
        </w:rPr>
      </w:pPr>
      <w:r>
        <w:rPr>
          <w:rFonts w:hint="eastAsia" w:ascii="宋体" w:hAnsi="宋体" w:cs="宋体"/>
          <w:b/>
          <w:color w:val="auto"/>
          <w:sz w:val="24"/>
          <w:szCs w:val="22"/>
          <w:highlight w:val="none"/>
        </w:rPr>
        <w:t>（九）中止电子交易活动的情形</w:t>
      </w:r>
    </w:p>
    <w:p w14:paraId="4A57115E">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磋商过程中出现以下情形，导致电子交易平台无法正常运行，或者无法保证电子交易的公平、公正和安全时，中止电子交易活动：</w:t>
      </w:r>
    </w:p>
    <w:p w14:paraId="69FA60B7">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1.电子交易平台发生故障而无法登录访问的；</w:t>
      </w:r>
    </w:p>
    <w:p w14:paraId="6661AFD8">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2.电子交易平台应用或数据库出现错误，不能进行正常操作的；</w:t>
      </w:r>
    </w:p>
    <w:p w14:paraId="41C8A5CA">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3.电子交易平台发现严重安全漏洞，有潜在泄密危险的；</w:t>
      </w:r>
    </w:p>
    <w:p w14:paraId="6E806282">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4.病毒发作导致不能进行正常操作的；</w:t>
      </w:r>
    </w:p>
    <w:p w14:paraId="22F8178D">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5.其他无法保证电子交易的公平、公正和安全的情况。</w:t>
      </w:r>
    </w:p>
    <w:p w14:paraId="0021E2EF">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出现前款规定情形，不影响采购公平、公正性的，采购组织机构可以待上述情形消除后继续组织电子交易活动，也可以决定某些环节以纸质形式进行评审；影响或可能影响采购公平、公正性的，应当重新采购。</w:t>
      </w:r>
    </w:p>
    <w:p w14:paraId="368CD7FA">
      <w:pPr>
        <w:pStyle w:val="5"/>
        <w:bidi w:val="0"/>
        <w:jc w:val="center"/>
        <w:rPr>
          <w:color w:val="auto"/>
          <w:highlight w:val="none"/>
        </w:rPr>
      </w:pPr>
      <w:bookmarkStart w:id="40" w:name="_Toc74910244"/>
      <w:bookmarkStart w:id="41" w:name="_Toc6922"/>
      <w:bookmarkStart w:id="42" w:name="_Toc21114"/>
      <w:r>
        <w:rPr>
          <w:rFonts w:hint="eastAsia"/>
          <w:color w:val="auto"/>
          <w:highlight w:val="none"/>
        </w:rPr>
        <w:t>六．确定成交人</w:t>
      </w:r>
      <w:bookmarkEnd w:id="40"/>
      <w:bookmarkEnd w:id="41"/>
      <w:bookmarkEnd w:id="42"/>
    </w:p>
    <w:p w14:paraId="16DFF151">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1.磋商小组将根据磋商文件和有关规定，履行评标工作职责，以评标办法为标准，全面衡量各供应商对磋商文件的响应情况。对实质上响应磋商文件的供应商，以打分的方法，排出推荐成交的供应商的先后顺序，并按顺序提出授标建议。评标结果报经采购人同意，最终确定成交人。</w:t>
      </w:r>
    </w:p>
    <w:p w14:paraId="6301DFDE">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2.采购人应当根据磋商小组推荐的顺序确定成交人，不得在磋商小组推荐的成交候选人以外确定成交人。</w:t>
      </w:r>
    </w:p>
    <w:p w14:paraId="3F478CFD">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3.采购代理机构在磋商结束后 2 个工作日内将磋商报告交采购人确认。</w:t>
      </w:r>
    </w:p>
    <w:p w14:paraId="24F6A2EE">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4.供应商对磋商结果无异议的，采购人应在收到磋商报告后 5 个工作日内对磋商结果进行确认。如有供应商对磋商结果提出质疑的，采购人可在质疑处理完毕后确定成交供应商。</w:t>
      </w:r>
    </w:p>
    <w:p w14:paraId="0846EB0C">
      <w:pPr>
        <w:widowControl w:val="0"/>
        <w:adjustRightInd w:val="0"/>
        <w:snapToGrid w:val="0"/>
        <w:spacing w:line="360" w:lineRule="auto"/>
        <w:ind w:firstLine="537" w:firstLineChars="224"/>
        <w:rPr>
          <w:rFonts w:hint="eastAsia" w:ascii="宋体" w:hAnsi="宋体" w:cs="宋体"/>
          <w:color w:val="auto"/>
          <w:sz w:val="24"/>
          <w:szCs w:val="22"/>
          <w:highlight w:val="none"/>
        </w:rPr>
      </w:pPr>
      <w:r>
        <w:rPr>
          <w:rFonts w:hint="eastAsia" w:ascii="宋体" w:hAnsi="宋体" w:cs="宋体"/>
          <w:color w:val="auto"/>
          <w:sz w:val="24"/>
          <w:szCs w:val="22"/>
          <w:highlight w:val="none"/>
        </w:rPr>
        <w:t>5.磋商结果公告：采购人确认磋商结果后发出磋商结果公告，磋商结果公告发出的同时采购代理机构以书面形式发出《成交通知书》。</w:t>
      </w:r>
    </w:p>
    <w:p w14:paraId="4C35EB23">
      <w:pPr>
        <w:pStyle w:val="5"/>
        <w:bidi w:val="0"/>
        <w:jc w:val="center"/>
        <w:rPr>
          <w:color w:val="auto"/>
          <w:highlight w:val="none"/>
        </w:rPr>
      </w:pPr>
      <w:bookmarkStart w:id="43" w:name="_Toc74910245"/>
      <w:bookmarkStart w:id="44" w:name="_Toc9007"/>
      <w:bookmarkStart w:id="45" w:name="_Toc23021"/>
      <w:r>
        <w:rPr>
          <w:rFonts w:hint="eastAsia"/>
          <w:color w:val="auto"/>
          <w:highlight w:val="none"/>
        </w:rPr>
        <w:t>七、合同授予</w:t>
      </w:r>
      <w:bookmarkEnd w:id="43"/>
      <w:bookmarkEnd w:id="44"/>
      <w:bookmarkEnd w:id="45"/>
    </w:p>
    <w:p w14:paraId="2911A66A">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1.采购人与成交供应商应当在《成交通知书》发出之日起</w:t>
      </w:r>
      <w:r>
        <w:rPr>
          <w:rFonts w:hint="eastAsia" w:ascii="宋体" w:hAnsi="宋体" w:cs="宋体"/>
          <w:color w:val="auto"/>
          <w:sz w:val="24"/>
          <w:szCs w:val="22"/>
          <w:highlight w:val="none"/>
          <w:lang w:val="en-US" w:eastAsia="zh-CN"/>
        </w:rPr>
        <w:t>30</w:t>
      </w:r>
      <w:r>
        <w:rPr>
          <w:rFonts w:hint="eastAsia" w:ascii="宋体" w:hAnsi="宋体" w:cs="宋体"/>
          <w:color w:val="auto"/>
          <w:sz w:val="24"/>
          <w:szCs w:val="22"/>
          <w:highlight w:val="none"/>
        </w:rPr>
        <w:t>日内签订合同。同时采购代理机构对合同内容进行审查，如发现与采购结果和磋商承诺内容不一致的，应予以纠正。</w:t>
      </w:r>
    </w:p>
    <w:p w14:paraId="37D50FB3">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2.成交供应商拖延、拒签合同的,将被取消成交资格。在此情况下，采购单位和采购代理机构可将成交权授予小组提供的第二名候选人或重新招标，对受影响的供应商不承担任何责任。</w:t>
      </w:r>
    </w:p>
    <w:p w14:paraId="7D0D436C">
      <w:pPr>
        <w:pStyle w:val="5"/>
        <w:bidi w:val="0"/>
        <w:jc w:val="center"/>
        <w:rPr>
          <w:color w:val="auto"/>
          <w:highlight w:val="none"/>
        </w:rPr>
      </w:pPr>
      <w:bookmarkStart w:id="46" w:name="_Toc23633"/>
      <w:bookmarkStart w:id="47" w:name="_Toc31902"/>
      <w:bookmarkStart w:id="48" w:name="_Toc74910246"/>
      <w:r>
        <w:rPr>
          <w:rFonts w:hint="eastAsia"/>
          <w:color w:val="auto"/>
          <w:highlight w:val="none"/>
        </w:rPr>
        <w:t>八、电子投标特别提醒</w:t>
      </w:r>
      <w:bookmarkEnd w:id="46"/>
      <w:bookmarkEnd w:id="47"/>
      <w:bookmarkEnd w:id="48"/>
    </w:p>
    <w:p w14:paraId="18A25A1B">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1.请所有供应商在政采云系统准时参加线上开标活动,并且要求法定代表人或授权委托人全程在线。</w:t>
      </w:r>
    </w:p>
    <w:p w14:paraId="0533BEF6">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2.投标截止时间后，代理机构将线上开启解密，供应商需及时用CA锁在线解密，解密时间一般为半小时（解密时限由财政部门设置），逾期解密，供应商自行承担风险。</w:t>
      </w:r>
    </w:p>
    <w:p w14:paraId="41BD3EA9">
      <w:pPr>
        <w:widowControl w:val="0"/>
        <w:adjustRightInd w:val="0"/>
        <w:snapToGrid w:val="0"/>
        <w:spacing w:line="360" w:lineRule="auto"/>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3.解密响应文件的CA锁必须跟制作响应文件的CA锁为同一个，否则将导致解密失败。</w:t>
      </w:r>
    </w:p>
    <w:bookmarkEnd w:id="24"/>
    <w:p w14:paraId="3CC6E7CA">
      <w:pPr>
        <w:rPr>
          <w:rFonts w:hint="eastAsia" w:ascii="宋体" w:hAnsi="宋体" w:eastAsia="宋体" w:cs="宋体"/>
          <w:color w:val="auto"/>
          <w:sz w:val="32"/>
          <w:szCs w:val="32"/>
          <w:highlight w:val="none"/>
        </w:rPr>
      </w:pPr>
      <w:bookmarkStart w:id="49" w:name="_Toc19510"/>
      <w:bookmarkStart w:id="50" w:name="_Toc17216936"/>
      <w:r>
        <w:rPr>
          <w:rFonts w:hint="eastAsia" w:ascii="宋体" w:hAnsi="宋体" w:eastAsia="宋体" w:cs="宋体"/>
          <w:color w:val="auto"/>
          <w:sz w:val="32"/>
          <w:szCs w:val="32"/>
          <w:highlight w:val="none"/>
        </w:rPr>
        <w:br w:type="page"/>
      </w:r>
    </w:p>
    <w:p w14:paraId="28DC980C">
      <w:pPr>
        <w:pStyle w:val="4"/>
        <w:jc w:val="center"/>
        <w:rPr>
          <w:rFonts w:hint="eastAsia" w:ascii="宋体" w:hAnsi="宋体" w:eastAsia="宋体" w:cs="宋体"/>
          <w:color w:val="auto"/>
          <w:sz w:val="32"/>
          <w:szCs w:val="32"/>
          <w:highlight w:val="none"/>
        </w:rPr>
      </w:pPr>
      <w:bookmarkStart w:id="51" w:name="_Toc4455"/>
      <w:r>
        <w:rPr>
          <w:rFonts w:hint="eastAsia" w:ascii="宋体" w:hAnsi="宋体" w:eastAsia="宋体" w:cs="宋体"/>
          <w:color w:val="auto"/>
          <w:sz w:val="32"/>
          <w:szCs w:val="32"/>
          <w:highlight w:val="none"/>
        </w:rPr>
        <w:t>第</w:t>
      </w:r>
      <w:r>
        <w:rPr>
          <w:rFonts w:hint="eastAsia" w:cs="宋体"/>
          <w:color w:val="auto"/>
          <w:sz w:val="32"/>
          <w:szCs w:val="32"/>
          <w:highlight w:val="none"/>
          <w:lang w:val="en-US" w:eastAsia="zh-CN"/>
        </w:rPr>
        <w:t xml:space="preserve">四章 </w:t>
      </w:r>
      <w:r>
        <w:rPr>
          <w:rFonts w:hint="eastAsia" w:ascii="宋体" w:hAnsi="宋体" w:eastAsia="宋体" w:cs="宋体"/>
          <w:color w:val="auto"/>
          <w:sz w:val="32"/>
          <w:szCs w:val="32"/>
          <w:highlight w:val="none"/>
        </w:rPr>
        <w:t xml:space="preserve"> </w:t>
      </w:r>
      <w:bookmarkEnd w:id="49"/>
      <w:r>
        <w:rPr>
          <w:rFonts w:hint="eastAsia" w:ascii="宋体" w:hAnsi="宋体" w:eastAsia="宋体" w:cs="宋体"/>
          <w:color w:val="auto"/>
          <w:sz w:val="32"/>
          <w:szCs w:val="32"/>
          <w:highlight w:val="none"/>
        </w:rPr>
        <w:t>磋商办法及评分标准</w:t>
      </w:r>
      <w:bookmarkEnd w:id="51"/>
    </w:p>
    <w:p w14:paraId="5F965907">
      <w:pPr>
        <w:tabs>
          <w:tab w:val="left" w:pos="993"/>
        </w:tabs>
        <w:autoSpaceDE w:val="0"/>
        <w:autoSpaceDN w:val="0"/>
        <w:adjustRightInd w:val="0"/>
        <w:snapToGrid w:val="0"/>
        <w:spacing w:line="360" w:lineRule="auto"/>
        <w:ind w:firstLine="480" w:firstLineChars="200"/>
        <w:rPr>
          <w:rFonts w:hint="eastAsia" w:ascii="宋体" w:hAnsi="宋体" w:eastAsia="宋体" w:cs="宋体"/>
          <w:color w:val="auto"/>
          <w:sz w:val="24"/>
          <w:highlight w:val="none"/>
        </w:rPr>
      </w:pPr>
      <w:bookmarkStart w:id="52" w:name="_Toc31038"/>
      <w:bookmarkStart w:id="53" w:name="_Toc17216980"/>
      <w:r>
        <w:rPr>
          <w:rFonts w:hint="eastAsia" w:ascii="宋体" w:hAnsi="宋体" w:eastAsia="宋体" w:cs="宋体"/>
          <w:color w:val="auto"/>
          <w:sz w:val="24"/>
          <w:highlight w:val="none"/>
        </w:rPr>
        <w:t>为公正、公平、科学地选择成交供应商，根据《中华人民共和国政府采购法》等有关法律法规的规定，并结合本项目的实际，制定本办法。</w:t>
      </w:r>
    </w:p>
    <w:p w14:paraId="499B58B5">
      <w:pPr>
        <w:tabs>
          <w:tab w:val="left" w:pos="993"/>
        </w:tabs>
        <w:autoSpaceDE w:val="0"/>
        <w:autoSpaceDN w:val="0"/>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本办法适用本项目的磋商。</w:t>
      </w:r>
    </w:p>
    <w:p w14:paraId="2F5781D0">
      <w:pPr>
        <w:pStyle w:val="5"/>
        <w:bidi w:val="0"/>
        <w:rPr>
          <w:rFonts w:hint="eastAsia" w:ascii="宋体" w:hAnsi="宋体" w:eastAsia="宋体" w:cs="宋体"/>
          <w:color w:val="auto"/>
          <w:highlight w:val="none"/>
        </w:rPr>
      </w:pPr>
      <w:bookmarkStart w:id="54" w:name="_Toc4371"/>
      <w:r>
        <w:rPr>
          <w:rFonts w:hint="eastAsia" w:ascii="宋体" w:hAnsi="宋体" w:eastAsia="宋体" w:cs="宋体"/>
          <w:color w:val="auto"/>
          <w:highlight w:val="none"/>
          <w:lang w:val="en-US" w:eastAsia="zh-CN"/>
        </w:rPr>
        <w:t>一</w:t>
      </w:r>
      <w:r>
        <w:rPr>
          <w:rFonts w:hint="eastAsia" w:ascii="宋体" w:hAnsi="宋体" w:eastAsia="宋体" w:cs="宋体"/>
          <w:color w:val="auto"/>
          <w:highlight w:val="none"/>
        </w:rPr>
        <w:t>、</w:t>
      </w:r>
      <w:bookmarkEnd w:id="52"/>
      <w:r>
        <w:rPr>
          <w:rFonts w:hint="eastAsia" w:ascii="宋体" w:hAnsi="宋体" w:cs="宋体"/>
          <w:color w:val="auto"/>
          <w:highlight w:val="none"/>
        </w:rPr>
        <w:t>磋商内容及标准</w:t>
      </w:r>
      <w:bookmarkEnd w:id="54"/>
    </w:p>
    <w:p w14:paraId="33D4DB53">
      <w:pPr>
        <w:widowControl w:val="0"/>
        <w:adjustRightInd w:val="0"/>
        <w:snapToGrid w:val="0"/>
        <w:spacing w:line="360" w:lineRule="auto"/>
        <w:ind w:firstLine="537" w:firstLineChars="224"/>
        <w:rPr>
          <w:rFonts w:ascii="宋体" w:hAnsi="宋体" w:cs="宋体"/>
          <w:color w:val="auto"/>
          <w:sz w:val="24"/>
          <w:szCs w:val="24"/>
          <w:highlight w:val="none"/>
        </w:rPr>
      </w:pPr>
      <w:r>
        <w:rPr>
          <w:rFonts w:hint="eastAsia" w:ascii="宋体" w:hAnsi="宋体" w:cs="宋体"/>
          <w:color w:val="auto"/>
          <w:sz w:val="24"/>
          <w:szCs w:val="24"/>
          <w:highlight w:val="none"/>
        </w:rPr>
        <w:t>1.本次磋商采用综合评分法，总分为100分，其中价格分（磋商报价得分）</w:t>
      </w:r>
      <w:r>
        <w:rPr>
          <w:rFonts w:hint="eastAsia" w:ascii="宋体" w:hAnsi="宋体" w:cs="宋体"/>
          <w:color w:val="auto"/>
          <w:sz w:val="24"/>
          <w:szCs w:val="24"/>
          <w:highlight w:val="none"/>
          <w:lang w:val="en-US" w:eastAsia="zh-CN"/>
        </w:rPr>
        <w:t>50</w:t>
      </w:r>
      <w:r>
        <w:rPr>
          <w:rFonts w:hint="eastAsia" w:ascii="宋体" w:hAnsi="宋体" w:cs="宋体"/>
          <w:color w:val="auto"/>
          <w:sz w:val="24"/>
          <w:szCs w:val="24"/>
          <w:highlight w:val="none"/>
        </w:rPr>
        <w:t>分，</w:t>
      </w:r>
      <w:r>
        <w:rPr>
          <w:rFonts w:hint="eastAsia" w:ascii="宋体" w:hAnsi="宋体" w:cs="宋体"/>
          <w:color w:val="auto"/>
          <w:sz w:val="24"/>
          <w:szCs w:val="24"/>
          <w:highlight w:val="none"/>
          <w:lang w:eastAsia="zh-CN"/>
        </w:rPr>
        <w:t>商务技术</w:t>
      </w:r>
      <w:r>
        <w:rPr>
          <w:rFonts w:hint="eastAsia" w:ascii="宋体" w:hAnsi="宋体" w:cs="宋体"/>
          <w:color w:val="auto"/>
          <w:sz w:val="24"/>
          <w:szCs w:val="24"/>
          <w:highlight w:val="none"/>
        </w:rPr>
        <w:t>分</w:t>
      </w:r>
      <w:r>
        <w:rPr>
          <w:rFonts w:hint="eastAsia" w:ascii="宋体" w:hAnsi="宋体" w:cs="宋体"/>
          <w:color w:val="auto"/>
          <w:sz w:val="24"/>
          <w:szCs w:val="24"/>
          <w:highlight w:val="none"/>
          <w:lang w:val="en-US" w:eastAsia="zh-CN"/>
        </w:rPr>
        <w:t>50</w:t>
      </w:r>
      <w:r>
        <w:rPr>
          <w:rFonts w:hint="eastAsia" w:ascii="宋体" w:hAnsi="宋体" w:cs="宋体"/>
          <w:color w:val="auto"/>
          <w:sz w:val="24"/>
          <w:szCs w:val="24"/>
          <w:highlight w:val="none"/>
        </w:rPr>
        <w:t>分二部分。合格供应商的磋商得分为各项目汇总得分，成交候选资格按磋商得分由高到低顺序排列；得分相同的，按磋商最终报价由低到高顺序排列；得分及报价均相同的，由供应商代表抽签决定。排名第一的供应商为成交候选人，排名第二的供应商为候补成交候选人……其他供应商成交候选资格依此类推。评分过程中采用四舍五入法，并保留小数 2 位。</w:t>
      </w:r>
    </w:p>
    <w:p w14:paraId="3542D737">
      <w:pPr>
        <w:widowControl w:val="0"/>
        <w:adjustRightInd w:val="0"/>
        <w:snapToGrid w:val="0"/>
        <w:spacing w:line="360" w:lineRule="auto"/>
        <w:ind w:firstLine="537" w:firstLineChars="224"/>
        <w:rPr>
          <w:rFonts w:ascii="宋体" w:hAnsi="宋体" w:cs="宋体"/>
          <w:color w:val="auto"/>
          <w:sz w:val="24"/>
          <w:szCs w:val="24"/>
          <w:highlight w:val="none"/>
        </w:rPr>
      </w:pPr>
      <w:r>
        <w:rPr>
          <w:rFonts w:hint="eastAsia" w:ascii="宋体" w:hAnsi="宋体" w:cs="宋体"/>
          <w:color w:val="auto"/>
          <w:sz w:val="24"/>
          <w:szCs w:val="24"/>
          <w:highlight w:val="none"/>
        </w:rPr>
        <w:t>供应商磋商综合得分=价格分+</w:t>
      </w:r>
      <w:r>
        <w:rPr>
          <w:rFonts w:hint="eastAsia" w:ascii="宋体" w:hAnsi="宋体" w:cs="宋体"/>
          <w:color w:val="auto"/>
          <w:sz w:val="24"/>
          <w:szCs w:val="24"/>
          <w:highlight w:val="none"/>
          <w:lang w:eastAsia="zh-CN"/>
        </w:rPr>
        <w:t>商务技术</w:t>
      </w:r>
      <w:r>
        <w:rPr>
          <w:rFonts w:hint="eastAsia" w:ascii="宋体" w:hAnsi="宋体" w:cs="宋体"/>
          <w:color w:val="auto"/>
          <w:sz w:val="24"/>
          <w:szCs w:val="24"/>
          <w:highlight w:val="none"/>
        </w:rPr>
        <w:t>分</w:t>
      </w:r>
    </w:p>
    <w:p w14:paraId="3B2B563A">
      <w:pPr>
        <w:pStyle w:val="5"/>
        <w:bidi w:val="0"/>
        <w:rPr>
          <w:rFonts w:hint="eastAsia" w:ascii="宋体" w:hAnsi="宋体" w:eastAsia="宋体" w:cs="宋体"/>
          <w:color w:val="auto"/>
          <w:highlight w:val="none"/>
        </w:rPr>
      </w:pPr>
      <w:bookmarkStart w:id="55" w:name="_Toc31289"/>
      <w:bookmarkStart w:id="56" w:name="_Toc1868"/>
      <w:r>
        <w:rPr>
          <w:rFonts w:hint="eastAsia" w:ascii="宋体" w:hAnsi="宋体" w:eastAsia="宋体" w:cs="宋体"/>
          <w:color w:val="auto"/>
          <w:highlight w:val="none"/>
          <w:lang w:val="en-US" w:eastAsia="zh-CN"/>
        </w:rPr>
        <w:t>二</w:t>
      </w:r>
      <w:r>
        <w:rPr>
          <w:rFonts w:hint="eastAsia" w:ascii="宋体" w:hAnsi="宋体" w:eastAsia="宋体" w:cs="宋体"/>
          <w:color w:val="auto"/>
          <w:highlight w:val="none"/>
        </w:rPr>
        <w:t>、评审程序</w:t>
      </w:r>
      <w:bookmarkEnd w:id="55"/>
      <w:bookmarkEnd w:id="56"/>
    </w:p>
    <w:p w14:paraId="69AAA972">
      <w:pPr>
        <w:tabs>
          <w:tab w:val="left" w:pos="1134"/>
        </w:tabs>
        <w:autoSpaceDE w:val="0"/>
        <w:autoSpaceDN w:val="0"/>
        <w:adjustRightInd w:val="0"/>
        <w:snapToGrid w:val="0"/>
        <w:spacing w:line="360" w:lineRule="auto"/>
        <w:ind w:firstLine="480" w:firstLineChars="200"/>
        <w:outlineLvl w:val="9"/>
        <w:rPr>
          <w:rFonts w:hint="eastAsia" w:ascii="宋体" w:hAnsi="宋体" w:eastAsia="宋体" w:cs="宋体"/>
          <w:color w:val="auto"/>
          <w:sz w:val="24"/>
          <w:highlight w:val="none"/>
        </w:rPr>
      </w:pPr>
      <w:bookmarkStart w:id="57" w:name="_Toc614"/>
      <w:r>
        <w:rPr>
          <w:rFonts w:hint="eastAsia" w:ascii="宋体" w:hAnsi="宋体" w:cs="宋体"/>
          <w:color w:val="auto"/>
          <w:sz w:val="24"/>
          <w:highlight w:val="none"/>
          <w:lang w:val="en-US" w:eastAsia="zh-CN"/>
        </w:rPr>
        <w:t>2</w:t>
      </w:r>
      <w:r>
        <w:rPr>
          <w:rFonts w:hint="eastAsia" w:ascii="宋体" w:hAnsi="宋体" w:eastAsia="宋体" w:cs="宋体"/>
          <w:color w:val="auto"/>
          <w:sz w:val="24"/>
          <w:highlight w:val="none"/>
        </w:rPr>
        <w:t>.1 资格审查及符合性审查</w:t>
      </w:r>
      <w:bookmarkEnd w:id="57"/>
    </w:p>
    <w:p w14:paraId="57C583C3">
      <w:pPr>
        <w:tabs>
          <w:tab w:val="left" w:pos="1134"/>
        </w:tabs>
        <w:autoSpaceDE w:val="0"/>
        <w:autoSpaceDN w:val="0"/>
        <w:adjustRightInd w:val="0"/>
        <w:snapToGrid w:val="0"/>
        <w:spacing w:line="360" w:lineRule="auto"/>
        <w:ind w:firstLine="480" w:firstLineChars="200"/>
        <w:outlineLvl w:val="9"/>
        <w:rPr>
          <w:rFonts w:hint="eastAsia" w:ascii="宋体" w:hAnsi="宋体" w:eastAsia="宋体" w:cs="宋体"/>
          <w:color w:val="auto"/>
          <w:sz w:val="24"/>
          <w:highlight w:val="none"/>
        </w:rPr>
      </w:pPr>
      <w:bookmarkStart w:id="58" w:name="_Toc13625"/>
      <w:r>
        <w:rPr>
          <w:rFonts w:hint="eastAsia" w:ascii="宋体" w:hAnsi="宋体" w:cs="宋体"/>
          <w:color w:val="auto"/>
          <w:sz w:val="24"/>
          <w:szCs w:val="22"/>
          <w:highlight w:val="none"/>
          <w:lang w:val="en-US" w:eastAsia="zh-CN"/>
        </w:rPr>
        <w:t>2</w:t>
      </w:r>
      <w:r>
        <w:rPr>
          <w:rFonts w:hint="eastAsia" w:ascii="宋体" w:hAnsi="宋体" w:eastAsia="宋体" w:cs="宋体"/>
          <w:color w:val="auto"/>
          <w:sz w:val="24"/>
          <w:szCs w:val="22"/>
          <w:highlight w:val="none"/>
        </w:rPr>
        <w:t>.1.1</w:t>
      </w:r>
      <w:r>
        <w:rPr>
          <w:rFonts w:hint="eastAsia" w:ascii="宋体" w:hAnsi="宋体" w:eastAsia="宋体" w:cs="宋体"/>
          <w:color w:val="auto"/>
          <w:sz w:val="24"/>
          <w:highlight w:val="none"/>
        </w:rPr>
        <w:t xml:space="preserve"> 磋商小组按附表一所列审查标准，对供应商资格进行审查，以确定供应商是否具备磋商资格。</w:t>
      </w:r>
      <w:bookmarkEnd w:id="58"/>
    </w:p>
    <w:p w14:paraId="52E7181F">
      <w:pPr>
        <w:tabs>
          <w:tab w:val="left" w:pos="1134"/>
          <w:tab w:val="left" w:pos="1560"/>
        </w:tabs>
        <w:autoSpaceDE w:val="0"/>
        <w:autoSpaceDN w:val="0"/>
        <w:adjustRightInd w:val="0"/>
        <w:snapToGrid w:val="0"/>
        <w:spacing w:line="360" w:lineRule="auto"/>
        <w:ind w:firstLine="480" w:firstLineChars="200"/>
        <w:outlineLvl w:val="9"/>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2</w:t>
      </w:r>
      <w:r>
        <w:rPr>
          <w:rFonts w:hint="eastAsia" w:ascii="宋体" w:hAnsi="宋体" w:eastAsia="宋体" w:cs="宋体"/>
          <w:color w:val="auto"/>
          <w:sz w:val="24"/>
          <w:highlight w:val="none"/>
        </w:rPr>
        <w:t>.1.2 磋商小组对符合资格要求的供应商进行符合性审查，以确定其是否满足磋商文件的实质性要求（见第二章内的符合性审查表）。</w:t>
      </w:r>
    </w:p>
    <w:p w14:paraId="03A972CD">
      <w:pPr>
        <w:tabs>
          <w:tab w:val="left" w:pos="1134"/>
          <w:tab w:val="left" w:pos="1560"/>
        </w:tabs>
        <w:autoSpaceDE w:val="0"/>
        <w:autoSpaceDN w:val="0"/>
        <w:adjustRightInd w:val="0"/>
        <w:snapToGrid w:val="0"/>
        <w:spacing w:line="360" w:lineRule="auto"/>
        <w:ind w:firstLine="480" w:firstLineChars="200"/>
        <w:outlineLvl w:val="9"/>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2</w:t>
      </w:r>
      <w:r>
        <w:rPr>
          <w:rFonts w:hint="eastAsia" w:ascii="宋体" w:hAnsi="宋体" w:eastAsia="宋体" w:cs="宋体"/>
          <w:color w:val="auto"/>
          <w:sz w:val="24"/>
          <w:highlight w:val="none"/>
        </w:rPr>
        <w:t>.1.3 磋商小组在符合性审查时，可以要求供应商对响应文件中含义不明确、同类问题表述不一致或者有明显文字和计算错误的内容作出必要的澄清、说明或更正。供应商的澄清、说明或更正不得超出响应文件的范围或者改变响应文件的实质性内容。评审小组不接受供应商主动提出的澄清、说明或补正。供应商的书面澄清、说明和补正属于响应文件的组成部分。评审小组对供应商提交的澄清、说明或补正有疑问的，可以要求供应商进一步澄清、说明或补正，直至满足评审小组的要求。</w:t>
      </w:r>
    </w:p>
    <w:p w14:paraId="3FFB3607">
      <w:pPr>
        <w:tabs>
          <w:tab w:val="left" w:pos="1134"/>
          <w:tab w:val="left" w:pos="1560"/>
        </w:tabs>
        <w:autoSpaceDE w:val="0"/>
        <w:autoSpaceDN w:val="0"/>
        <w:adjustRightInd w:val="0"/>
        <w:snapToGrid w:val="0"/>
        <w:spacing w:line="360" w:lineRule="auto"/>
        <w:ind w:firstLine="480" w:firstLineChars="200"/>
        <w:outlineLvl w:val="9"/>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2</w:t>
      </w:r>
      <w:r>
        <w:rPr>
          <w:rFonts w:hint="eastAsia" w:ascii="宋体" w:hAnsi="宋体" w:eastAsia="宋体" w:cs="宋体"/>
          <w:color w:val="auto"/>
          <w:sz w:val="24"/>
          <w:highlight w:val="none"/>
        </w:rPr>
        <w:t>.1.4 不具备磋商文件要求的资格或未通过符合性审查的供应商，不参与磋商，由磋商小组告知该供应商。</w:t>
      </w:r>
    </w:p>
    <w:p w14:paraId="4E161408">
      <w:pPr>
        <w:tabs>
          <w:tab w:val="left" w:pos="1134"/>
          <w:tab w:val="left" w:pos="1560"/>
        </w:tabs>
        <w:autoSpaceDE w:val="0"/>
        <w:autoSpaceDN w:val="0"/>
        <w:adjustRightInd w:val="0"/>
        <w:snapToGrid w:val="0"/>
        <w:spacing w:line="360" w:lineRule="auto"/>
        <w:ind w:firstLine="480" w:firstLineChars="200"/>
        <w:outlineLvl w:val="9"/>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2</w:t>
      </w:r>
      <w:r>
        <w:rPr>
          <w:rFonts w:hint="eastAsia" w:ascii="宋体" w:hAnsi="宋体" w:eastAsia="宋体" w:cs="宋体"/>
          <w:color w:val="auto"/>
          <w:sz w:val="24"/>
          <w:highlight w:val="none"/>
        </w:rPr>
        <w:t>.1.5 通过资格审查和符合性审查的合格供应商不足3家的，不再进行评审和磋商，但市场竞争不充分的科研项目以及需要扶持的科技成果转化项目除外。</w:t>
      </w:r>
    </w:p>
    <w:p w14:paraId="5C307740">
      <w:pPr>
        <w:tabs>
          <w:tab w:val="left" w:pos="1077"/>
          <w:tab w:val="left" w:pos="1134"/>
        </w:tabs>
        <w:autoSpaceDE w:val="0"/>
        <w:autoSpaceDN w:val="0"/>
        <w:adjustRightInd w:val="0"/>
        <w:snapToGrid w:val="0"/>
        <w:spacing w:line="360" w:lineRule="auto"/>
        <w:ind w:firstLine="480" w:firstLineChars="200"/>
        <w:outlineLvl w:val="9"/>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2.1.6</w:t>
      </w:r>
      <w:r>
        <w:rPr>
          <w:rFonts w:hint="eastAsia" w:ascii="宋体" w:hAnsi="宋体" w:eastAsia="宋体" w:cs="宋体"/>
          <w:color w:val="auto"/>
          <w:sz w:val="24"/>
          <w:highlight w:val="none"/>
        </w:rPr>
        <w:t>评审会议的符合性审查。在评审会议时，有下列情形之一的，按无效文件处理，不再进入后续评审：</w:t>
      </w:r>
    </w:p>
    <w:p w14:paraId="04AF7B60">
      <w:pPr>
        <w:numPr>
          <w:ilvl w:val="0"/>
          <w:numId w:val="4"/>
        </w:numPr>
        <w:tabs>
          <w:tab w:val="left" w:pos="1060"/>
          <w:tab w:val="left" w:pos="1134"/>
        </w:tabs>
        <w:autoSpaceDE w:val="0"/>
        <w:autoSpaceDN w:val="0"/>
        <w:adjustRightInd w:val="0"/>
        <w:snapToGrid w:val="0"/>
        <w:spacing w:line="360" w:lineRule="auto"/>
        <w:ind w:left="420" w:leftChars="0" w:firstLine="420" w:firstLineChars="175"/>
        <w:outlineLvl w:val="9"/>
        <w:rPr>
          <w:rFonts w:hint="eastAsia" w:ascii="宋体" w:hAnsi="宋体" w:eastAsia="宋体" w:cs="宋体"/>
          <w:color w:val="auto"/>
          <w:sz w:val="24"/>
          <w:highlight w:val="none"/>
        </w:rPr>
      </w:pPr>
      <w:r>
        <w:rPr>
          <w:rFonts w:hint="eastAsia" w:ascii="宋体" w:hAnsi="宋体" w:cs="宋体"/>
          <w:color w:val="auto"/>
          <w:sz w:val="24"/>
          <w:highlight w:val="none"/>
          <w:lang w:eastAsia="zh-CN"/>
        </w:rPr>
        <w:t>供应商</w:t>
      </w:r>
      <w:r>
        <w:rPr>
          <w:rFonts w:hint="eastAsia" w:ascii="宋体" w:hAnsi="宋体" w:eastAsia="宋体" w:cs="宋体"/>
          <w:color w:val="auto"/>
          <w:sz w:val="24"/>
          <w:highlight w:val="none"/>
        </w:rPr>
        <w:t>资格条件不符合国家有关规定或采购文件要求的；</w:t>
      </w:r>
    </w:p>
    <w:p w14:paraId="4BE94BC4">
      <w:pPr>
        <w:numPr>
          <w:ilvl w:val="0"/>
          <w:numId w:val="4"/>
        </w:numPr>
        <w:tabs>
          <w:tab w:val="left" w:pos="1060"/>
          <w:tab w:val="left" w:pos="1134"/>
        </w:tabs>
        <w:autoSpaceDE w:val="0"/>
        <w:autoSpaceDN w:val="0"/>
        <w:adjustRightInd w:val="0"/>
        <w:snapToGrid w:val="0"/>
        <w:spacing w:line="360" w:lineRule="auto"/>
        <w:ind w:left="420" w:leftChars="0" w:firstLine="420" w:firstLineChars="175"/>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响应文件中的响应函未加盖</w:t>
      </w:r>
      <w:r>
        <w:rPr>
          <w:rFonts w:hint="eastAsia" w:ascii="宋体" w:hAnsi="宋体" w:cs="宋体"/>
          <w:color w:val="auto"/>
          <w:sz w:val="24"/>
          <w:highlight w:val="none"/>
          <w:lang w:eastAsia="zh-CN"/>
        </w:rPr>
        <w:t>供应商</w:t>
      </w:r>
      <w:r>
        <w:rPr>
          <w:rFonts w:hint="eastAsia" w:ascii="宋体" w:hAnsi="宋体" w:eastAsia="宋体" w:cs="宋体"/>
          <w:color w:val="auto"/>
          <w:sz w:val="24"/>
          <w:highlight w:val="none"/>
        </w:rPr>
        <w:t>的电子公章（或公章扫描件）及企业法定代表人电子印章（或印章扫描件）的，或者企业法定代表人委托代理人没有合法、有效的委托书及委托代理人印章的；</w:t>
      </w:r>
    </w:p>
    <w:p w14:paraId="6D0D5170">
      <w:pPr>
        <w:numPr>
          <w:ilvl w:val="0"/>
          <w:numId w:val="4"/>
        </w:numPr>
        <w:tabs>
          <w:tab w:val="left" w:pos="1060"/>
          <w:tab w:val="left" w:pos="1134"/>
        </w:tabs>
        <w:autoSpaceDE w:val="0"/>
        <w:autoSpaceDN w:val="0"/>
        <w:adjustRightInd w:val="0"/>
        <w:snapToGrid w:val="0"/>
        <w:spacing w:line="360" w:lineRule="auto"/>
        <w:ind w:left="420" w:leftChars="0" w:firstLine="420" w:firstLineChars="175"/>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未按采购文件规定的实质性响应格式填写，或关键字错误、字迹模糊、无法辨认的；响应文件有涂改或行间插字未加盖</w:t>
      </w:r>
      <w:r>
        <w:rPr>
          <w:rFonts w:hint="eastAsia" w:ascii="宋体" w:hAnsi="宋体" w:cs="宋体"/>
          <w:color w:val="auto"/>
          <w:sz w:val="24"/>
          <w:highlight w:val="none"/>
          <w:lang w:eastAsia="zh-CN"/>
        </w:rPr>
        <w:t>供应商</w:t>
      </w:r>
      <w:r>
        <w:rPr>
          <w:rFonts w:hint="eastAsia" w:ascii="宋体" w:hAnsi="宋体" w:eastAsia="宋体" w:cs="宋体"/>
          <w:color w:val="auto"/>
          <w:sz w:val="24"/>
          <w:highlight w:val="none"/>
        </w:rPr>
        <w:t>法人电子公章（或公章扫描件）的；</w:t>
      </w:r>
    </w:p>
    <w:p w14:paraId="3CA2F0F6">
      <w:pPr>
        <w:numPr>
          <w:ilvl w:val="0"/>
          <w:numId w:val="4"/>
        </w:numPr>
        <w:tabs>
          <w:tab w:val="left" w:pos="1060"/>
          <w:tab w:val="left" w:pos="1134"/>
        </w:tabs>
        <w:autoSpaceDE w:val="0"/>
        <w:autoSpaceDN w:val="0"/>
        <w:adjustRightInd w:val="0"/>
        <w:snapToGrid w:val="0"/>
        <w:spacing w:line="360" w:lineRule="auto"/>
        <w:ind w:left="420" w:leftChars="0" w:firstLine="420" w:firstLineChars="175"/>
        <w:outlineLvl w:val="9"/>
        <w:rPr>
          <w:rFonts w:hint="eastAsia" w:ascii="宋体" w:hAnsi="宋体" w:eastAsia="宋体" w:cs="宋体"/>
          <w:color w:val="auto"/>
          <w:sz w:val="24"/>
          <w:highlight w:val="none"/>
        </w:rPr>
      </w:pPr>
      <w:r>
        <w:rPr>
          <w:rFonts w:hint="eastAsia" w:ascii="宋体" w:hAnsi="宋体" w:cs="宋体"/>
          <w:color w:val="auto"/>
          <w:sz w:val="24"/>
          <w:highlight w:val="none"/>
          <w:lang w:eastAsia="zh-CN"/>
        </w:rPr>
        <w:t>供应商</w:t>
      </w:r>
      <w:r>
        <w:rPr>
          <w:rFonts w:hint="eastAsia" w:ascii="宋体" w:hAnsi="宋体" w:eastAsia="宋体" w:cs="宋体"/>
          <w:color w:val="auto"/>
          <w:sz w:val="24"/>
          <w:highlight w:val="none"/>
        </w:rPr>
        <w:t>名称或组织结构与资格审查时不一致的且未提供有效证明的；</w:t>
      </w:r>
    </w:p>
    <w:p w14:paraId="5D7FD30D">
      <w:pPr>
        <w:numPr>
          <w:ilvl w:val="0"/>
          <w:numId w:val="4"/>
        </w:numPr>
        <w:tabs>
          <w:tab w:val="left" w:pos="1060"/>
          <w:tab w:val="left" w:pos="1134"/>
        </w:tabs>
        <w:autoSpaceDE w:val="0"/>
        <w:autoSpaceDN w:val="0"/>
        <w:adjustRightInd w:val="0"/>
        <w:snapToGrid w:val="0"/>
        <w:spacing w:line="360" w:lineRule="auto"/>
        <w:ind w:left="420" w:leftChars="0" w:firstLine="420" w:firstLineChars="175"/>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响应文件载明的采购项目完成期限超过采购文件规定的期限； </w:t>
      </w:r>
    </w:p>
    <w:p w14:paraId="69554FAC">
      <w:pPr>
        <w:numPr>
          <w:ilvl w:val="0"/>
          <w:numId w:val="4"/>
        </w:numPr>
        <w:tabs>
          <w:tab w:val="left" w:pos="1060"/>
          <w:tab w:val="left" w:pos="1134"/>
        </w:tabs>
        <w:autoSpaceDE w:val="0"/>
        <w:autoSpaceDN w:val="0"/>
        <w:adjustRightInd w:val="0"/>
        <w:snapToGrid w:val="0"/>
        <w:spacing w:line="360" w:lineRule="auto"/>
        <w:ind w:left="420" w:leftChars="0" w:firstLine="420" w:firstLineChars="175"/>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明显不符合技术规范、技术标准的要求；</w:t>
      </w:r>
    </w:p>
    <w:p w14:paraId="3845BB25">
      <w:pPr>
        <w:numPr>
          <w:ilvl w:val="0"/>
          <w:numId w:val="4"/>
        </w:numPr>
        <w:tabs>
          <w:tab w:val="left" w:pos="1060"/>
          <w:tab w:val="left" w:pos="1134"/>
        </w:tabs>
        <w:autoSpaceDE w:val="0"/>
        <w:autoSpaceDN w:val="0"/>
        <w:adjustRightInd w:val="0"/>
        <w:snapToGrid w:val="0"/>
        <w:spacing w:line="360" w:lineRule="auto"/>
        <w:ind w:left="420" w:leftChars="0" w:firstLine="420" w:firstLineChars="175"/>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不同</w:t>
      </w:r>
      <w:r>
        <w:rPr>
          <w:rFonts w:hint="eastAsia" w:ascii="宋体" w:hAnsi="宋体" w:cs="宋体"/>
          <w:color w:val="auto"/>
          <w:sz w:val="24"/>
          <w:highlight w:val="none"/>
          <w:lang w:eastAsia="zh-CN"/>
        </w:rPr>
        <w:t>供应商</w:t>
      </w:r>
      <w:r>
        <w:rPr>
          <w:rFonts w:hint="eastAsia" w:ascii="宋体" w:hAnsi="宋体" w:eastAsia="宋体" w:cs="宋体"/>
          <w:color w:val="auto"/>
          <w:sz w:val="24"/>
          <w:highlight w:val="none"/>
        </w:rPr>
        <w:t>的响应文件出现了评审委员会认为不应当雷同的情况；</w:t>
      </w:r>
    </w:p>
    <w:p w14:paraId="28EF1483">
      <w:pPr>
        <w:numPr>
          <w:ilvl w:val="0"/>
          <w:numId w:val="4"/>
        </w:numPr>
        <w:tabs>
          <w:tab w:val="left" w:pos="1060"/>
          <w:tab w:val="left" w:pos="1134"/>
        </w:tabs>
        <w:autoSpaceDE w:val="0"/>
        <w:autoSpaceDN w:val="0"/>
        <w:adjustRightInd w:val="0"/>
        <w:snapToGrid w:val="0"/>
        <w:spacing w:line="360" w:lineRule="auto"/>
        <w:ind w:left="420" w:leftChars="0" w:firstLine="420" w:firstLineChars="175"/>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改变采购文件约定的品牌或不可竞争费用的；</w:t>
      </w:r>
    </w:p>
    <w:p w14:paraId="7EF795FF">
      <w:pPr>
        <w:numPr>
          <w:ilvl w:val="0"/>
          <w:numId w:val="4"/>
        </w:numPr>
        <w:tabs>
          <w:tab w:val="left" w:pos="1060"/>
          <w:tab w:val="left" w:pos="1134"/>
        </w:tabs>
        <w:autoSpaceDE w:val="0"/>
        <w:autoSpaceDN w:val="0"/>
        <w:adjustRightInd w:val="0"/>
        <w:snapToGrid w:val="0"/>
        <w:spacing w:line="360" w:lineRule="auto"/>
        <w:ind w:left="420" w:leftChars="0" w:firstLine="420" w:firstLineChars="175"/>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未按采购文件要求提供电子响应文件或电子响应文件无法读取的；</w:t>
      </w:r>
    </w:p>
    <w:p w14:paraId="1CD0F0A4">
      <w:pPr>
        <w:numPr>
          <w:ilvl w:val="0"/>
          <w:numId w:val="4"/>
        </w:numPr>
        <w:tabs>
          <w:tab w:val="left" w:pos="1060"/>
          <w:tab w:val="left" w:pos="1134"/>
        </w:tabs>
        <w:autoSpaceDE w:val="0"/>
        <w:autoSpaceDN w:val="0"/>
        <w:adjustRightInd w:val="0"/>
        <w:snapToGrid w:val="0"/>
        <w:spacing w:line="360" w:lineRule="auto"/>
        <w:ind w:left="420" w:leftChars="0" w:firstLine="420" w:firstLineChars="175"/>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响应文件载明的货物包装方式、检验标准和方法等不符合采购文件的要求； </w:t>
      </w:r>
    </w:p>
    <w:p w14:paraId="00A81DC8">
      <w:pPr>
        <w:numPr>
          <w:ilvl w:val="0"/>
          <w:numId w:val="4"/>
        </w:numPr>
        <w:tabs>
          <w:tab w:val="left" w:pos="1060"/>
          <w:tab w:val="left" w:pos="1134"/>
        </w:tabs>
        <w:autoSpaceDE w:val="0"/>
        <w:autoSpaceDN w:val="0"/>
        <w:adjustRightInd w:val="0"/>
        <w:snapToGrid w:val="0"/>
        <w:spacing w:line="360" w:lineRule="auto"/>
        <w:ind w:left="420" w:leftChars="0" w:firstLine="420" w:firstLineChars="175"/>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响应文件提出了不能满足采购文件要求或采购人不能接受的工程验收、计量、价款结算支付办法； </w:t>
      </w:r>
    </w:p>
    <w:p w14:paraId="44439BE8">
      <w:pPr>
        <w:numPr>
          <w:ilvl w:val="0"/>
          <w:numId w:val="4"/>
        </w:numPr>
        <w:tabs>
          <w:tab w:val="left" w:pos="1060"/>
          <w:tab w:val="left" w:pos="1134"/>
        </w:tabs>
        <w:autoSpaceDE w:val="0"/>
        <w:autoSpaceDN w:val="0"/>
        <w:adjustRightInd w:val="0"/>
        <w:snapToGrid w:val="0"/>
        <w:spacing w:line="360" w:lineRule="auto"/>
        <w:ind w:left="420" w:leftChars="0" w:firstLine="420" w:firstLineChars="175"/>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以他人的名义响应、串通响应、以行贿手段谋取成交或者以其他弄虚作假方式响应的；</w:t>
      </w:r>
    </w:p>
    <w:p w14:paraId="48109D92">
      <w:pPr>
        <w:numPr>
          <w:ilvl w:val="0"/>
          <w:numId w:val="4"/>
        </w:numPr>
        <w:tabs>
          <w:tab w:val="left" w:pos="1060"/>
          <w:tab w:val="left" w:pos="1134"/>
        </w:tabs>
        <w:autoSpaceDE w:val="0"/>
        <w:autoSpaceDN w:val="0"/>
        <w:adjustRightInd w:val="0"/>
        <w:snapToGrid w:val="0"/>
        <w:spacing w:line="360" w:lineRule="auto"/>
        <w:ind w:left="420" w:leftChars="0" w:firstLine="420" w:firstLineChars="175"/>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经评审委员会认定</w:t>
      </w:r>
      <w:r>
        <w:rPr>
          <w:rFonts w:hint="eastAsia" w:ascii="宋体" w:hAnsi="宋体" w:cs="宋体"/>
          <w:color w:val="auto"/>
          <w:sz w:val="24"/>
          <w:highlight w:val="none"/>
          <w:lang w:eastAsia="zh-CN"/>
        </w:rPr>
        <w:t>供应商</w:t>
      </w:r>
      <w:r>
        <w:rPr>
          <w:rFonts w:hint="eastAsia" w:ascii="宋体" w:hAnsi="宋体" w:eastAsia="宋体" w:cs="宋体"/>
          <w:color w:val="auto"/>
          <w:sz w:val="24"/>
          <w:highlight w:val="none"/>
        </w:rPr>
        <w:t>的响应报价低于成本价的；</w:t>
      </w:r>
    </w:p>
    <w:p w14:paraId="0C357364">
      <w:pPr>
        <w:numPr>
          <w:ilvl w:val="0"/>
          <w:numId w:val="4"/>
        </w:numPr>
        <w:tabs>
          <w:tab w:val="left" w:pos="1060"/>
          <w:tab w:val="left" w:pos="1134"/>
        </w:tabs>
        <w:autoSpaceDE w:val="0"/>
        <w:autoSpaceDN w:val="0"/>
        <w:adjustRightInd w:val="0"/>
        <w:snapToGrid w:val="0"/>
        <w:spacing w:line="360" w:lineRule="auto"/>
        <w:ind w:left="420" w:leftChars="0" w:firstLine="420" w:firstLineChars="175"/>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不同</w:t>
      </w:r>
      <w:r>
        <w:rPr>
          <w:rFonts w:hint="eastAsia" w:ascii="宋体" w:hAnsi="宋体" w:cs="宋体"/>
          <w:color w:val="auto"/>
          <w:sz w:val="24"/>
          <w:highlight w:val="none"/>
          <w:lang w:eastAsia="zh-CN"/>
        </w:rPr>
        <w:t>供应商</w:t>
      </w:r>
      <w:r>
        <w:rPr>
          <w:rFonts w:hint="eastAsia" w:ascii="宋体" w:hAnsi="宋体" w:eastAsia="宋体" w:cs="宋体"/>
          <w:color w:val="auto"/>
          <w:sz w:val="24"/>
          <w:highlight w:val="none"/>
        </w:rPr>
        <w:t>的</w:t>
      </w:r>
      <w:r>
        <w:rPr>
          <w:rFonts w:hint="eastAsia" w:ascii="宋体" w:hAnsi="宋体" w:cs="宋体"/>
          <w:color w:val="auto"/>
          <w:sz w:val="24"/>
          <w:highlight w:val="none"/>
          <w:lang w:val="en-US" w:eastAsia="zh-CN"/>
        </w:rPr>
        <w:t>响应</w:t>
      </w:r>
      <w:r>
        <w:rPr>
          <w:rFonts w:hint="eastAsia" w:ascii="宋体" w:hAnsi="宋体" w:eastAsia="宋体" w:cs="宋体"/>
          <w:color w:val="auto"/>
          <w:sz w:val="24"/>
          <w:highlight w:val="none"/>
        </w:rPr>
        <w:t>文件相同错误在三处（含）以上 ；</w:t>
      </w:r>
    </w:p>
    <w:p w14:paraId="30BD6E16">
      <w:pPr>
        <w:numPr>
          <w:ilvl w:val="0"/>
          <w:numId w:val="4"/>
        </w:numPr>
        <w:tabs>
          <w:tab w:val="left" w:pos="1060"/>
          <w:tab w:val="left" w:pos="1134"/>
        </w:tabs>
        <w:autoSpaceDE w:val="0"/>
        <w:autoSpaceDN w:val="0"/>
        <w:adjustRightInd w:val="0"/>
        <w:snapToGrid w:val="0"/>
        <w:spacing w:line="360" w:lineRule="auto"/>
        <w:ind w:left="420" w:leftChars="0" w:firstLine="420" w:firstLineChars="175"/>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采购文件要求提交的复印件，</w:t>
      </w:r>
      <w:r>
        <w:rPr>
          <w:rFonts w:hint="eastAsia" w:ascii="宋体" w:hAnsi="宋体" w:cs="宋体"/>
          <w:color w:val="auto"/>
          <w:sz w:val="24"/>
          <w:highlight w:val="none"/>
          <w:lang w:eastAsia="zh-CN"/>
        </w:rPr>
        <w:t>供应商</w:t>
      </w:r>
      <w:r>
        <w:rPr>
          <w:rFonts w:hint="eastAsia" w:ascii="宋体" w:hAnsi="宋体" w:eastAsia="宋体" w:cs="宋体"/>
          <w:color w:val="auto"/>
          <w:sz w:val="24"/>
          <w:highlight w:val="none"/>
        </w:rPr>
        <w:t>未提交的；或提交虚假证件的；</w:t>
      </w:r>
    </w:p>
    <w:p w14:paraId="02F5B922">
      <w:pPr>
        <w:numPr>
          <w:ilvl w:val="0"/>
          <w:numId w:val="4"/>
        </w:numPr>
        <w:tabs>
          <w:tab w:val="left" w:pos="1060"/>
          <w:tab w:val="left" w:pos="1134"/>
        </w:tabs>
        <w:autoSpaceDE w:val="0"/>
        <w:autoSpaceDN w:val="0"/>
        <w:adjustRightInd w:val="0"/>
        <w:snapToGrid w:val="0"/>
        <w:spacing w:line="360" w:lineRule="auto"/>
        <w:ind w:left="420" w:leftChars="0" w:firstLine="420" w:firstLineChars="175"/>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响应文件附有采购人不能接受的条件的；</w:t>
      </w:r>
    </w:p>
    <w:p w14:paraId="12F1C2F9">
      <w:pPr>
        <w:numPr>
          <w:ilvl w:val="0"/>
          <w:numId w:val="4"/>
        </w:numPr>
        <w:tabs>
          <w:tab w:val="left" w:pos="1060"/>
          <w:tab w:val="left" w:pos="1134"/>
        </w:tabs>
        <w:autoSpaceDE w:val="0"/>
        <w:autoSpaceDN w:val="0"/>
        <w:adjustRightInd w:val="0"/>
        <w:snapToGrid w:val="0"/>
        <w:spacing w:line="360" w:lineRule="auto"/>
        <w:ind w:left="420" w:leftChars="0" w:firstLine="420" w:firstLineChars="175"/>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法律、法规、规章、规定的其他无效响应的；</w:t>
      </w:r>
    </w:p>
    <w:p w14:paraId="50C116BC">
      <w:pPr>
        <w:numPr>
          <w:ilvl w:val="0"/>
          <w:numId w:val="4"/>
        </w:numPr>
        <w:tabs>
          <w:tab w:val="left" w:pos="1060"/>
          <w:tab w:val="left" w:pos="1134"/>
        </w:tabs>
        <w:autoSpaceDE w:val="0"/>
        <w:autoSpaceDN w:val="0"/>
        <w:adjustRightInd w:val="0"/>
        <w:snapToGrid w:val="0"/>
        <w:spacing w:line="360" w:lineRule="auto"/>
        <w:ind w:left="420" w:leftChars="0" w:firstLine="420" w:firstLineChars="175"/>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提供的响应文件内容前后不一致的（如项目管理班子成员与提供复印件不一致；同一岗位人员前后不一致等）。</w:t>
      </w:r>
    </w:p>
    <w:p w14:paraId="3593AF37">
      <w:pPr>
        <w:tabs>
          <w:tab w:val="left" w:pos="1077"/>
          <w:tab w:val="left" w:pos="1134"/>
        </w:tabs>
        <w:autoSpaceDE w:val="0"/>
        <w:autoSpaceDN w:val="0"/>
        <w:adjustRightInd w:val="0"/>
        <w:snapToGrid w:val="0"/>
        <w:spacing w:line="360" w:lineRule="auto"/>
        <w:ind w:firstLine="480" w:firstLineChars="200"/>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采购人对</w:t>
      </w:r>
      <w:r>
        <w:rPr>
          <w:rFonts w:hint="eastAsia" w:ascii="宋体" w:hAnsi="宋体" w:cs="宋体"/>
          <w:color w:val="auto"/>
          <w:sz w:val="24"/>
          <w:highlight w:val="none"/>
          <w:lang w:eastAsia="zh-CN"/>
        </w:rPr>
        <w:t>供应商</w:t>
      </w:r>
      <w:r>
        <w:rPr>
          <w:rFonts w:hint="eastAsia" w:ascii="宋体" w:hAnsi="宋体" w:eastAsia="宋体" w:cs="宋体"/>
          <w:color w:val="auto"/>
          <w:sz w:val="24"/>
          <w:highlight w:val="none"/>
        </w:rPr>
        <w:t>提供的证件及资料的真实性保留核对的权利。如发现资料和证件有虚假的，一经查实，采购人有权利取消该</w:t>
      </w:r>
      <w:r>
        <w:rPr>
          <w:rFonts w:hint="eastAsia" w:ascii="宋体" w:hAnsi="宋体" w:cs="宋体"/>
          <w:color w:val="auto"/>
          <w:sz w:val="24"/>
          <w:highlight w:val="none"/>
          <w:lang w:eastAsia="zh-CN"/>
        </w:rPr>
        <w:t>供应商</w:t>
      </w:r>
      <w:r>
        <w:rPr>
          <w:rFonts w:hint="eastAsia" w:ascii="宋体" w:hAnsi="宋体" w:eastAsia="宋体" w:cs="宋体"/>
          <w:color w:val="auto"/>
          <w:sz w:val="24"/>
          <w:highlight w:val="none"/>
        </w:rPr>
        <w:t>的响应资格。</w:t>
      </w:r>
    </w:p>
    <w:p w14:paraId="67C37EE2">
      <w:pPr>
        <w:tabs>
          <w:tab w:val="left" w:pos="1077"/>
          <w:tab w:val="left" w:pos="1134"/>
        </w:tabs>
        <w:autoSpaceDE w:val="0"/>
        <w:autoSpaceDN w:val="0"/>
        <w:adjustRightInd w:val="0"/>
        <w:snapToGrid w:val="0"/>
        <w:spacing w:line="360" w:lineRule="auto"/>
        <w:ind w:firstLine="480" w:firstLineChars="200"/>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对于</w:t>
      </w:r>
      <w:r>
        <w:rPr>
          <w:rFonts w:hint="eastAsia" w:ascii="宋体" w:hAnsi="宋体" w:cs="宋体"/>
          <w:color w:val="auto"/>
          <w:sz w:val="24"/>
          <w:highlight w:val="none"/>
          <w:lang w:eastAsia="zh-CN"/>
        </w:rPr>
        <w:t>供应商</w:t>
      </w:r>
      <w:r>
        <w:rPr>
          <w:rFonts w:hint="eastAsia" w:ascii="宋体" w:hAnsi="宋体" w:eastAsia="宋体" w:cs="宋体"/>
          <w:color w:val="auto"/>
          <w:sz w:val="24"/>
          <w:highlight w:val="none"/>
        </w:rPr>
        <w:t>人为哄抬采购价、串价，致使响应价背离市场价格竞争规律的响应，经评审委员会认定，将不予评审；评审委员会经评审，认为所有响应都不符合采购文件要求的，可以否决所有响应，所有响应都被否决的，采购人将依法重新组织采购。</w:t>
      </w:r>
    </w:p>
    <w:p w14:paraId="58E0B08D">
      <w:pPr>
        <w:pStyle w:val="5"/>
        <w:bidi w:val="0"/>
        <w:rPr>
          <w:rFonts w:hint="eastAsia" w:ascii="宋体" w:hAnsi="宋体" w:eastAsia="宋体" w:cs="宋体"/>
          <w:color w:val="auto"/>
          <w:highlight w:val="none"/>
        </w:rPr>
      </w:pPr>
      <w:bookmarkStart w:id="59" w:name="_Toc30583"/>
      <w:bookmarkStart w:id="60" w:name="_Toc394"/>
      <w:r>
        <w:rPr>
          <w:rFonts w:hint="eastAsia" w:ascii="宋体" w:hAnsi="宋体" w:eastAsia="宋体" w:cs="宋体"/>
          <w:color w:val="auto"/>
          <w:highlight w:val="none"/>
          <w:lang w:val="en-US" w:eastAsia="zh-CN"/>
        </w:rPr>
        <w:t>三</w:t>
      </w:r>
      <w:r>
        <w:rPr>
          <w:rFonts w:hint="eastAsia" w:ascii="宋体" w:hAnsi="宋体" w:eastAsia="宋体" w:cs="宋体"/>
          <w:color w:val="auto"/>
          <w:highlight w:val="none"/>
        </w:rPr>
        <w:t>、磋商</w:t>
      </w:r>
      <w:bookmarkEnd w:id="59"/>
      <w:bookmarkEnd w:id="60"/>
    </w:p>
    <w:p w14:paraId="6077B8CB">
      <w:pPr>
        <w:tabs>
          <w:tab w:val="left" w:pos="1134"/>
          <w:tab w:val="left" w:pos="1560"/>
        </w:tabs>
        <w:autoSpaceDE w:val="0"/>
        <w:autoSpaceDN w:val="0"/>
        <w:adjustRightInd w:val="0"/>
        <w:snapToGrid w:val="0"/>
        <w:spacing w:line="360" w:lineRule="auto"/>
        <w:ind w:firstLine="480" w:firstLineChars="200"/>
        <w:outlineLvl w:val="9"/>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3</w:t>
      </w:r>
      <w:r>
        <w:rPr>
          <w:rFonts w:hint="eastAsia" w:ascii="宋体" w:hAnsi="宋体" w:eastAsia="宋体" w:cs="宋体"/>
          <w:color w:val="auto"/>
          <w:sz w:val="24"/>
          <w:highlight w:val="none"/>
        </w:rPr>
        <w:t>.1 按“供应商须知”规定，由磋商小组与供应商进行磋商。</w:t>
      </w:r>
    </w:p>
    <w:p w14:paraId="458091E1">
      <w:pPr>
        <w:tabs>
          <w:tab w:val="left" w:pos="1134"/>
          <w:tab w:val="left" w:pos="1560"/>
        </w:tabs>
        <w:autoSpaceDE w:val="0"/>
        <w:autoSpaceDN w:val="0"/>
        <w:adjustRightInd w:val="0"/>
        <w:snapToGrid w:val="0"/>
        <w:spacing w:line="360" w:lineRule="auto"/>
        <w:ind w:firstLine="480" w:firstLineChars="200"/>
        <w:outlineLvl w:val="9"/>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3</w:t>
      </w:r>
      <w:r>
        <w:rPr>
          <w:rFonts w:hint="eastAsia" w:ascii="宋体" w:hAnsi="宋体" w:eastAsia="宋体" w:cs="宋体"/>
          <w:color w:val="auto"/>
          <w:sz w:val="24"/>
          <w:highlight w:val="none"/>
        </w:rPr>
        <w:t>.2 磋商过程中，磋商小组可以根据与供应商的磋商情况，在不违反相关法律法规、强制性标准、规范情况下，并经采购人代表同意后，对磋商文件的技术标准、拟签订合同的部分条款进行变动。变动内容是磋商文件的有效组成部分，磋商小组以书面形式通知所有参加磋商的供应商。</w:t>
      </w:r>
    </w:p>
    <w:p w14:paraId="7B77469C">
      <w:pPr>
        <w:tabs>
          <w:tab w:val="left" w:pos="1134"/>
          <w:tab w:val="left" w:pos="1560"/>
        </w:tabs>
        <w:autoSpaceDE w:val="0"/>
        <w:autoSpaceDN w:val="0"/>
        <w:adjustRightInd w:val="0"/>
        <w:snapToGrid w:val="0"/>
        <w:spacing w:line="360" w:lineRule="auto"/>
        <w:ind w:firstLine="480" w:firstLineChars="200"/>
        <w:outlineLvl w:val="9"/>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3</w:t>
      </w:r>
      <w:r>
        <w:rPr>
          <w:rFonts w:hint="eastAsia" w:ascii="宋体" w:hAnsi="宋体" w:eastAsia="宋体" w:cs="宋体"/>
          <w:color w:val="auto"/>
          <w:sz w:val="24"/>
          <w:highlight w:val="none"/>
        </w:rPr>
        <w:t>.3 磋商结束后，磋商小组可以要求所有继续参加磋商的供应商在规定时间内提交最后报价函，提交最后报价函的供应商不得少于3家，但市场竞争不充分的科研项目以及需要扶持的科技成果转化项目除外。</w:t>
      </w:r>
    </w:p>
    <w:p w14:paraId="0C419BAC">
      <w:pPr>
        <w:pStyle w:val="5"/>
        <w:bidi w:val="0"/>
        <w:rPr>
          <w:rFonts w:hint="eastAsia" w:ascii="宋体" w:hAnsi="宋体" w:eastAsia="宋体" w:cs="宋体"/>
          <w:color w:val="auto"/>
          <w:highlight w:val="none"/>
          <w:lang w:eastAsia="zh-CN"/>
        </w:rPr>
      </w:pPr>
      <w:bookmarkStart w:id="61" w:name="_Toc32557"/>
      <w:bookmarkStart w:id="62" w:name="_Toc16925"/>
      <w:r>
        <w:rPr>
          <w:rFonts w:hint="eastAsia" w:ascii="宋体" w:hAnsi="宋体" w:eastAsia="宋体" w:cs="宋体"/>
          <w:color w:val="auto"/>
          <w:highlight w:val="none"/>
          <w:lang w:val="en-US" w:eastAsia="zh-CN"/>
        </w:rPr>
        <w:t>四</w:t>
      </w:r>
      <w:r>
        <w:rPr>
          <w:rFonts w:hint="eastAsia" w:ascii="宋体" w:hAnsi="宋体" w:eastAsia="宋体" w:cs="宋体"/>
          <w:color w:val="auto"/>
          <w:highlight w:val="none"/>
        </w:rPr>
        <w:t>、</w:t>
      </w:r>
      <w:bookmarkEnd w:id="61"/>
      <w:r>
        <w:rPr>
          <w:rFonts w:hint="eastAsia" w:ascii="宋体" w:hAnsi="宋体" w:cs="宋体"/>
          <w:color w:val="auto"/>
          <w:highlight w:val="none"/>
          <w:lang w:eastAsia="zh-CN"/>
        </w:rPr>
        <w:t>商务技术</w:t>
      </w:r>
      <w:r>
        <w:rPr>
          <w:rFonts w:hint="eastAsia" w:ascii="宋体" w:hAnsi="宋体" w:cs="宋体"/>
          <w:color w:val="auto"/>
          <w:highlight w:val="none"/>
        </w:rPr>
        <w:t>响应文件评分标准</w:t>
      </w:r>
      <w:bookmarkEnd w:id="62"/>
      <w:r>
        <w:rPr>
          <w:rFonts w:hint="eastAsia" w:ascii="宋体" w:hAnsi="宋体" w:cs="宋体"/>
          <w:color w:val="auto"/>
          <w:highlight w:val="none"/>
          <w:lang w:eastAsia="zh-CN"/>
        </w:rPr>
        <w:t>（</w:t>
      </w:r>
      <w:r>
        <w:rPr>
          <w:rFonts w:hint="eastAsia" w:ascii="宋体" w:hAnsi="宋体" w:cs="宋体"/>
          <w:color w:val="auto"/>
          <w:highlight w:val="none"/>
          <w:lang w:val="en-US" w:eastAsia="zh-CN"/>
        </w:rPr>
        <w:t>40分</w:t>
      </w:r>
      <w:r>
        <w:rPr>
          <w:rFonts w:hint="eastAsia" w:ascii="宋体" w:hAnsi="宋体" w:cs="宋体"/>
          <w:color w:val="auto"/>
          <w:highlight w:val="none"/>
          <w:lang w:eastAsia="zh-CN"/>
        </w:rPr>
        <w:t>）</w:t>
      </w:r>
    </w:p>
    <w:tbl>
      <w:tblPr>
        <w:tblStyle w:val="31"/>
        <w:tblW w:w="92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1276"/>
        <w:gridCol w:w="6399"/>
        <w:gridCol w:w="872"/>
      </w:tblGrid>
      <w:tr w14:paraId="1177F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shd w:val="clear" w:color="auto" w:fill="C0C0C0"/>
            <w:vAlign w:val="center"/>
          </w:tcPr>
          <w:p w14:paraId="0D6544C9">
            <w:pPr>
              <w:jc w:val="center"/>
              <w:rPr>
                <w:rFonts w:hint="eastAsia" w:ascii="宋体" w:hAnsi="宋体" w:cs="宋体"/>
                <w:b/>
                <w:bCs/>
                <w:color w:val="auto"/>
                <w:sz w:val="24"/>
                <w:highlight w:val="none"/>
              </w:rPr>
            </w:pPr>
            <w:r>
              <w:rPr>
                <w:rFonts w:hint="eastAsia" w:ascii="宋体" w:hAnsi="宋体" w:cs="宋体"/>
                <w:b/>
                <w:bCs/>
                <w:color w:val="auto"/>
                <w:sz w:val="24"/>
                <w:highlight w:val="none"/>
              </w:rPr>
              <w:t>序号</w:t>
            </w:r>
          </w:p>
        </w:tc>
        <w:tc>
          <w:tcPr>
            <w:tcW w:w="1276" w:type="dxa"/>
            <w:shd w:val="clear" w:color="auto" w:fill="C0C0C0"/>
            <w:vAlign w:val="center"/>
          </w:tcPr>
          <w:p w14:paraId="05720A9C">
            <w:pPr>
              <w:jc w:val="center"/>
              <w:rPr>
                <w:rFonts w:hint="eastAsia" w:ascii="宋体" w:hAnsi="宋体" w:cs="宋体"/>
                <w:b/>
                <w:bCs/>
                <w:color w:val="auto"/>
                <w:sz w:val="24"/>
                <w:highlight w:val="none"/>
              </w:rPr>
            </w:pPr>
            <w:r>
              <w:rPr>
                <w:rFonts w:hint="eastAsia" w:ascii="宋体" w:hAnsi="宋体" w:cs="宋体"/>
                <w:b/>
                <w:bCs/>
                <w:color w:val="auto"/>
                <w:sz w:val="24"/>
                <w:highlight w:val="none"/>
              </w:rPr>
              <w:t>评分内容</w:t>
            </w:r>
          </w:p>
        </w:tc>
        <w:tc>
          <w:tcPr>
            <w:tcW w:w="6399" w:type="dxa"/>
            <w:shd w:val="clear" w:color="auto" w:fill="C0C0C0"/>
            <w:vAlign w:val="center"/>
          </w:tcPr>
          <w:p w14:paraId="729BBDA7">
            <w:pPr>
              <w:jc w:val="center"/>
              <w:rPr>
                <w:rFonts w:hint="eastAsia" w:ascii="宋体" w:hAnsi="宋体" w:cs="宋体"/>
                <w:b/>
                <w:bCs/>
                <w:color w:val="auto"/>
                <w:sz w:val="24"/>
                <w:highlight w:val="none"/>
              </w:rPr>
            </w:pPr>
            <w:r>
              <w:rPr>
                <w:rFonts w:hint="eastAsia" w:ascii="宋体" w:hAnsi="宋体" w:cs="宋体"/>
                <w:b/>
                <w:bCs/>
                <w:color w:val="auto"/>
                <w:sz w:val="24"/>
                <w:highlight w:val="none"/>
              </w:rPr>
              <w:t>评分标准</w:t>
            </w:r>
          </w:p>
        </w:tc>
        <w:tc>
          <w:tcPr>
            <w:tcW w:w="872" w:type="dxa"/>
            <w:shd w:val="clear" w:color="auto" w:fill="C0C0C0"/>
            <w:vAlign w:val="center"/>
          </w:tcPr>
          <w:p w14:paraId="18B6E785">
            <w:pPr>
              <w:jc w:val="center"/>
              <w:rPr>
                <w:rFonts w:hint="eastAsia" w:ascii="宋体" w:hAnsi="宋体" w:cs="宋体"/>
                <w:b/>
                <w:bCs/>
                <w:color w:val="auto"/>
                <w:sz w:val="24"/>
                <w:highlight w:val="none"/>
              </w:rPr>
            </w:pPr>
            <w:r>
              <w:rPr>
                <w:rFonts w:hint="eastAsia" w:ascii="宋体" w:hAnsi="宋体" w:cs="宋体"/>
                <w:b/>
                <w:bCs/>
                <w:color w:val="auto"/>
                <w:sz w:val="24"/>
                <w:highlight w:val="none"/>
              </w:rPr>
              <w:t>分值</w:t>
            </w:r>
          </w:p>
        </w:tc>
      </w:tr>
      <w:tr w14:paraId="2D146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vAlign w:val="center"/>
          </w:tcPr>
          <w:p w14:paraId="649782D1">
            <w:pPr>
              <w:widowControl w:val="0"/>
              <w:snapToGrid w:val="0"/>
              <w:spacing w:line="400" w:lineRule="exact"/>
              <w:jc w:val="center"/>
              <w:rPr>
                <w:rFonts w:hint="eastAsia" w:ascii="宋体" w:hAnsi="宋体" w:cs="宋体"/>
                <w:color w:val="auto"/>
                <w:highlight w:val="none"/>
              </w:rPr>
            </w:pPr>
            <w:r>
              <w:rPr>
                <w:rFonts w:hint="eastAsia" w:ascii="宋体" w:hAnsi="宋体" w:cs="宋体"/>
                <w:color w:val="auto"/>
                <w:highlight w:val="none"/>
              </w:rPr>
              <w:t>1</w:t>
            </w:r>
          </w:p>
        </w:tc>
        <w:tc>
          <w:tcPr>
            <w:tcW w:w="1276" w:type="dxa"/>
            <w:vAlign w:val="center"/>
          </w:tcPr>
          <w:p w14:paraId="57AFD364">
            <w:pPr>
              <w:widowControl w:val="0"/>
              <w:snapToGrid w:val="0"/>
              <w:spacing w:line="400" w:lineRule="exact"/>
              <w:jc w:val="both"/>
              <w:rPr>
                <w:rFonts w:hint="eastAsia" w:ascii="宋体" w:hAnsi="宋体" w:cs="宋体"/>
                <w:color w:val="auto"/>
                <w:highlight w:val="none"/>
              </w:rPr>
            </w:pPr>
            <w:r>
              <w:rPr>
                <w:rFonts w:hint="eastAsia" w:ascii="宋体" w:hAnsi="宋体" w:cs="宋体"/>
                <w:color w:val="auto"/>
                <w:highlight w:val="none"/>
              </w:rPr>
              <w:t>投标人情况</w:t>
            </w:r>
          </w:p>
        </w:tc>
        <w:tc>
          <w:tcPr>
            <w:tcW w:w="6399" w:type="dxa"/>
            <w:vAlign w:val="center"/>
          </w:tcPr>
          <w:p w14:paraId="7DEBF402">
            <w:pPr>
              <w:widowControl w:val="0"/>
              <w:snapToGrid w:val="0"/>
              <w:spacing w:line="400" w:lineRule="exact"/>
              <w:jc w:val="both"/>
              <w:rPr>
                <w:rFonts w:hint="eastAsia" w:ascii="宋体" w:hAnsi="宋体" w:eastAsia="宋体" w:cs="宋体"/>
                <w:color w:val="auto"/>
                <w:highlight w:val="none"/>
                <w:lang w:eastAsia="zh-CN"/>
              </w:rPr>
            </w:pPr>
            <w:r>
              <w:rPr>
                <w:rFonts w:hint="eastAsia" w:ascii="宋体" w:hAnsi="宋体" w:cs="宋体"/>
                <w:color w:val="auto"/>
                <w:highlight w:val="none"/>
                <w:lang w:val="en-US" w:eastAsia="zh-CN"/>
              </w:rPr>
              <w:t>【客观分】</w:t>
            </w:r>
          </w:p>
          <w:p w14:paraId="672D7BBE">
            <w:pPr>
              <w:widowControl w:val="0"/>
              <w:snapToGrid w:val="0"/>
              <w:spacing w:line="400" w:lineRule="exact"/>
              <w:jc w:val="both"/>
              <w:rPr>
                <w:rFonts w:hint="eastAsia" w:ascii="宋体" w:hAnsi="宋体" w:cs="宋体"/>
                <w:color w:val="auto"/>
                <w:highlight w:val="none"/>
              </w:rPr>
            </w:pPr>
            <w:r>
              <w:rPr>
                <w:rFonts w:hint="eastAsia" w:ascii="宋体" w:hAnsi="宋体" w:cs="宋体"/>
                <w:color w:val="auto"/>
                <w:highlight w:val="none"/>
              </w:rPr>
              <w:t>1.投标人具有</w:t>
            </w:r>
            <w:r>
              <w:rPr>
                <w:rFonts w:hint="eastAsia" w:cs="宋体"/>
                <w:color w:val="auto"/>
                <w:sz w:val="21"/>
                <w:szCs w:val="21"/>
                <w:highlight w:val="none"/>
                <w:lang w:bidi="ar-SA"/>
              </w:rPr>
              <w:t>质量管理体系认证证书、环境管理体系认证证书、职业健康安全管理体系认证证书</w:t>
            </w:r>
            <w:r>
              <w:rPr>
                <w:rFonts w:hint="eastAsia" w:cs="宋体"/>
                <w:color w:val="auto"/>
                <w:sz w:val="21"/>
                <w:szCs w:val="21"/>
                <w:highlight w:val="none"/>
                <w:lang w:bidi="ar"/>
              </w:rPr>
              <w:t>、信息安全管理体系认证</w:t>
            </w:r>
            <w:r>
              <w:rPr>
                <w:rFonts w:hint="eastAsia" w:cs="宋体"/>
                <w:color w:val="auto"/>
                <w:sz w:val="21"/>
                <w:szCs w:val="21"/>
                <w:highlight w:val="none"/>
                <w:lang w:val="en-US" w:eastAsia="zh-CN" w:bidi="ar"/>
              </w:rPr>
              <w:t>证</w:t>
            </w:r>
            <w:r>
              <w:rPr>
                <w:rFonts w:hint="eastAsia" w:cs="宋体"/>
                <w:color w:val="auto"/>
                <w:sz w:val="21"/>
                <w:szCs w:val="21"/>
                <w:highlight w:val="none"/>
                <w:lang w:bidi="ar"/>
              </w:rPr>
              <w:t>书</w:t>
            </w:r>
            <w:r>
              <w:rPr>
                <w:rFonts w:hint="eastAsia" w:ascii="宋体" w:hAnsi="宋体" w:cs="宋体"/>
                <w:color w:val="auto"/>
                <w:highlight w:val="none"/>
              </w:rPr>
              <w:t>的，每个得1分，最高得4分。</w:t>
            </w:r>
          </w:p>
          <w:p w14:paraId="5D3A69D0">
            <w:pPr>
              <w:widowControl w:val="0"/>
              <w:snapToGrid w:val="0"/>
              <w:spacing w:line="400" w:lineRule="exact"/>
              <w:jc w:val="both"/>
              <w:rPr>
                <w:rFonts w:hint="eastAsia" w:ascii="宋体" w:hAnsi="宋体" w:cs="宋体"/>
                <w:color w:val="auto"/>
                <w:highlight w:val="none"/>
              </w:rPr>
            </w:pPr>
            <w:r>
              <w:rPr>
                <w:rFonts w:hint="eastAsia" w:ascii="宋体" w:hAnsi="宋体" w:cs="宋体"/>
                <w:color w:val="auto"/>
                <w:highlight w:val="none"/>
              </w:rPr>
              <w:t>（需提供有效期内相关证书复印件加盖单位公章）</w:t>
            </w:r>
          </w:p>
        </w:tc>
        <w:tc>
          <w:tcPr>
            <w:tcW w:w="872" w:type="dxa"/>
            <w:vAlign w:val="center"/>
          </w:tcPr>
          <w:p w14:paraId="34F3D983">
            <w:pPr>
              <w:widowControl w:val="0"/>
              <w:snapToGrid w:val="0"/>
              <w:spacing w:line="400" w:lineRule="exact"/>
              <w:jc w:val="center"/>
              <w:rPr>
                <w:rFonts w:hint="eastAsia" w:ascii="宋体" w:hAnsi="宋体" w:cs="宋体"/>
                <w:color w:val="auto"/>
                <w:highlight w:val="none"/>
              </w:rPr>
            </w:pPr>
            <w:r>
              <w:rPr>
                <w:rFonts w:hint="eastAsia" w:ascii="宋体" w:hAnsi="宋体" w:cs="宋体"/>
                <w:color w:val="auto"/>
                <w:highlight w:val="none"/>
              </w:rPr>
              <w:t>4</w:t>
            </w:r>
          </w:p>
        </w:tc>
      </w:tr>
      <w:tr w14:paraId="1A107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vAlign w:val="center"/>
          </w:tcPr>
          <w:p w14:paraId="232D6C63">
            <w:pPr>
              <w:widowControl w:val="0"/>
              <w:snapToGrid w:val="0"/>
              <w:spacing w:line="400" w:lineRule="exact"/>
              <w:jc w:val="center"/>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2</w:t>
            </w:r>
          </w:p>
        </w:tc>
        <w:tc>
          <w:tcPr>
            <w:tcW w:w="1276" w:type="dxa"/>
            <w:vAlign w:val="center"/>
          </w:tcPr>
          <w:p w14:paraId="7D9ABA55">
            <w:pPr>
              <w:pageBreakBefore w:val="0"/>
              <w:tabs>
                <w:tab w:val="left" w:pos="1260"/>
                <w:tab w:val="left" w:pos="1620"/>
              </w:tabs>
              <w:kinsoku/>
              <w:overflowPunct/>
              <w:topLinePunct w:val="0"/>
              <w:bidi w:val="0"/>
              <w:adjustRightInd w:val="0"/>
              <w:snapToGrid w:val="0"/>
              <w:spacing w:beforeAutospacing="0" w:afterAutospacing="0" w:line="360" w:lineRule="auto"/>
              <w:ind w:left="0" w:leftChars="0" w:right="0" w:rightChars="0"/>
              <w:jc w:val="center"/>
              <w:textAlignment w:val="baseline"/>
              <w:rPr>
                <w:rFonts w:hint="eastAsia" w:ascii="宋体" w:hAnsi="宋体" w:cs="宋体"/>
                <w:color w:val="auto"/>
                <w:highlight w:val="none"/>
              </w:rPr>
            </w:pPr>
            <w:r>
              <w:rPr>
                <w:rFonts w:hint="eastAsia" w:ascii="宋体" w:hAnsi="宋体" w:eastAsia="宋体" w:cs="宋体"/>
                <w:b w:val="0"/>
                <w:bCs w:val="0"/>
                <w:color w:val="auto"/>
                <w:sz w:val="24"/>
                <w:szCs w:val="24"/>
                <w:highlight w:val="none"/>
                <w:lang w:eastAsia="zh-CN"/>
              </w:rPr>
              <w:t>企业荣誉</w:t>
            </w:r>
          </w:p>
        </w:tc>
        <w:tc>
          <w:tcPr>
            <w:tcW w:w="6399" w:type="dxa"/>
            <w:vAlign w:val="center"/>
          </w:tcPr>
          <w:p w14:paraId="56045957">
            <w:pPr>
              <w:widowControl w:val="0"/>
              <w:snapToGrid w:val="0"/>
              <w:spacing w:line="400" w:lineRule="exact"/>
              <w:jc w:val="both"/>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【客观分】</w:t>
            </w:r>
          </w:p>
          <w:p w14:paraId="24F93524">
            <w:pPr>
              <w:pageBreakBefore w:val="0"/>
              <w:tabs>
                <w:tab w:val="left" w:pos="1260"/>
                <w:tab w:val="left" w:pos="1620"/>
              </w:tabs>
              <w:kinsoku/>
              <w:overflowPunct/>
              <w:topLinePunct w:val="0"/>
              <w:bidi w:val="0"/>
              <w:adjustRightInd w:val="0"/>
              <w:snapToGrid w:val="0"/>
              <w:spacing w:beforeAutospacing="0" w:afterAutospacing="0" w:line="360" w:lineRule="auto"/>
              <w:ind w:left="0" w:leftChars="0" w:right="0" w:rightChars="0"/>
              <w:jc w:val="left"/>
              <w:textAlignment w:val="baseline"/>
              <w:rPr>
                <w:rFonts w:hint="eastAsia" w:ascii="宋体" w:hAnsi="宋体" w:cs="宋体"/>
                <w:color w:val="auto"/>
                <w:highlight w:val="none"/>
              </w:rPr>
            </w:pPr>
            <w:r>
              <w:rPr>
                <w:rFonts w:hint="eastAsia" w:ascii="Times New Roman" w:hAnsi="Times New Roman" w:eastAsia="宋体" w:cs="宋体"/>
                <w:color w:val="auto"/>
                <w:sz w:val="21"/>
                <w:szCs w:val="21"/>
                <w:highlight w:val="none"/>
                <w:lang w:val="en-US" w:eastAsia="zh-CN" w:bidi="ar-SA"/>
              </w:rPr>
              <w:t>供应商获得过政府颁发的工程服务能力或工程质量相关的奖项(荣誉)的，国家级以上的企业荣誉每个1.5分，省、部级奖项的每个得1分，县(市、区)的每个得0.5分，本项最高得3分。</w:t>
            </w:r>
          </w:p>
        </w:tc>
        <w:tc>
          <w:tcPr>
            <w:tcW w:w="872" w:type="dxa"/>
            <w:vAlign w:val="center"/>
          </w:tcPr>
          <w:p w14:paraId="34F69FC0">
            <w:pPr>
              <w:widowControl w:val="0"/>
              <w:snapToGrid w:val="0"/>
              <w:spacing w:line="400" w:lineRule="exact"/>
              <w:jc w:val="center"/>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3</w:t>
            </w:r>
          </w:p>
        </w:tc>
      </w:tr>
      <w:tr w14:paraId="60197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vAlign w:val="center"/>
          </w:tcPr>
          <w:p w14:paraId="190BC69A">
            <w:pPr>
              <w:widowControl w:val="0"/>
              <w:snapToGrid w:val="0"/>
              <w:spacing w:line="400" w:lineRule="exact"/>
              <w:jc w:val="center"/>
              <w:rPr>
                <w:rFonts w:hint="eastAsia" w:ascii="宋体" w:hAnsi="宋体" w:eastAsia="宋体" w:cs="宋体"/>
                <w:color w:val="auto"/>
                <w:highlight w:val="none"/>
                <w:lang w:eastAsia="zh-CN"/>
              </w:rPr>
            </w:pPr>
            <w:r>
              <w:rPr>
                <w:rFonts w:hint="eastAsia" w:ascii="宋体" w:hAnsi="宋体" w:cs="宋体"/>
                <w:color w:val="auto"/>
                <w:highlight w:val="none"/>
                <w:lang w:val="en-US" w:eastAsia="zh-CN"/>
              </w:rPr>
              <w:t>3</w:t>
            </w:r>
          </w:p>
        </w:tc>
        <w:tc>
          <w:tcPr>
            <w:tcW w:w="1276" w:type="dxa"/>
            <w:vAlign w:val="center"/>
          </w:tcPr>
          <w:p w14:paraId="3E84BF7B">
            <w:pPr>
              <w:widowControl w:val="0"/>
              <w:snapToGrid w:val="0"/>
              <w:spacing w:line="400" w:lineRule="exact"/>
              <w:jc w:val="both"/>
              <w:rPr>
                <w:rFonts w:hint="eastAsia" w:ascii="宋体" w:hAnsi="宋体" w:cs="宋体"/>
                <w:color w:val="auto"/>
                <w:highlight w:val="none"/>
              </w:rPr>
            </w:pPr>
            <w:r>
              <w:rPr>
                <w:rFonts w:hint="eastAsia" w:ascii="宋体" w:hAnsi="宋体" w:cs="宋体"/>
                <w:color w:val="auto"/>
                <w:highlight w:val="none"/>
              </w:rPr>
              <w:t>项目业绩</w:t>
            </w:r>
          </w:p>
        </w:tc>
        <w:tc>
          <w:tcPr>
            <w:tcW w:w="6399" w:type="dxa"/>
            <w:vAlign w:val="center"/>
          </w:tcPr>
          <w:p w14:paraId="3733178D">
            <w:pPr>
              <w:widowControl w:val="0"/>
              <w:snapToGrid w:val="0"/>
              <w:spacing w:line="400" w:lineRule="exact"/>
              <w:jc w:val="both"/>
              <w:rPr>
                <w:rFonts w:hint="eastAsia" w:ascii="宋体" w:hAnsi="宋体" w:eastAsia="宋体" w:cs="宋体"/>
                <w:color w:val="auto"/>
                <w:highlight w:val="none"/>
                <w:lang w:eastAsia="zh-CN"/>
              </w:rPr>
            </w:pPr>
            <w:r>
              <w:rPr>
                <w:rFonts w:hint="eastAsia" w:ascii="宋体" w:hAnsi="宋体" w:cs="宋体"/>
                <w:color w:val="auto"/>
                <w:highlight w:val="none"/>
                <w:lang w:val="en-US" w:eastAsia="zh-CN"/>
              </w:rPr>
              <w:t>【客观分】</w:t>
            </w:r>
          </w:p>
          <w:p w14:paraId="1BA74B05">
            <w:pPr>
              <w:widowControl w:val="0"/>
              <w:snapToGrid w:val="0"/>
              <w:spacing w:line="400" w:lineRule="exact"/>
              <w:jc w:val="both"/>
              <w:rPr>
                <w:rFonts w:hint="eastAsia" w:ascii="宋体" w:hAnsi="宋体" w:cs="宋体"/>
                <w:color w:val="auto"/>
                <w:highlight w:val="none"/>
              </w:rPr>
            </w:pPr>
            <w:r>
              <w:rPr>
                <w:rFonts w:hint="eastAsia" w:ascii="宋体" w:hAnsi="宋体" w:cs="宋体"/>
                <w:color w:val="auto"/>
                <w:highlight w:val="none"/>
              </w:rPr>
              <w:t>投标人自202</w:t>
            </w:r>
            <w:r>
              <w:rPr>
                <w:rFonts w:hint="eastAsia" w:ascii="宋体" w:hAnsi="宋体" w:cs="宋体"/>
                <w:color w:val="auto"/>
                <w:highlight w:val="none"/>
                <w:lang w:val="en-US" w:eastAsia="zh-CN"/>
              </w:rPr>
              <w:t>2</w:t>
            </w:r>
            <w:r>
              <w:rPr>
                <w:rFonts w:hint="eastAsia" w:ascii="宋体" w:hAnsi="宋体" w:cs="宋体"/>
                <w:color w:val="auto"/>
                <w:highlight w:val="none"/>
              </w:rPr>
              <w:t>年1月1日起至今（以合同签订日期为准）具有相关同类项目的业绩每个得1分，最高得</w:t>
            </w:r>
            <w:r>
              <w:rPr>
                <w:rFonts w:hint="eastAsia" w:ascii="宋体" w:hAnsi="宋体" w:cs="宋体"/>
                <w:color w:val="auto"/>
                <w:highlight w:val="none"/>
                <w:lang w:val="en-US" w:eastAsia="zh-CN"/>
              </w:rPr>
              <w:t>3</w:t>
            </w:r>
            <w:r>
              <w:rPr>
                <w:rFonts w:hint="eastAsia" w:ascii="宋体" w:hAnsi="宋体" w:cs="宋体"/>
                <w:color w:val="auto"/>
                <w:highlight w:val="none"/>
              </w:rPr>
              <w:t>分。</w:t>
            </w:r>
          </w:p>
          <w:p w14:paraId="730FE546">
            <w:pPr>
              <w:widowControl w:val="0"/>
              <w:snapToGrid w:val="0"/>
              <w:spacing w:line="400" w:lineRule="exact"/>
              <w:jc w:val="both"/>
              <w:rPr>
                <w:rFonts w:hint="eastAsia" w:ascii="宋体" w:hAnsi="宋体" w:cs="宋体"/>
                <w:color w:val="auto"/>
                <w:highlight w:val="none"/>
              </w:rPr>
            </w:pPr>
            <w:r>
              <w:rPr>
                <w:rFonts w:hint="eastAsia" w:ascii="宋体" w:hAnsi="宋体" w:cs="宋体"/>
                <w:color w:val="auto"/>
                <w:highlight w:val="none"/>
              </w:rPr>
              <w:t>（注：需提供合同等相关证明材料复印件，投标人提供的合同属于无效业绩、或未按要求提供合同复印件字迹模糊无法辨识的、时间不明确的，该笔业绩均不予计分）</w:t>
            </w:r>
          </w:p>
        </w:tc>
        <w:tc>
          <w:tcPr>
            <w:tcW w:w="872" w:type="dxa"/>
            <w:vAlign w:val="center"/>
          </w:tcPr>
          <w:p w14:paraId="4ED7F849">
            <w:pPr>
              <w:widowControl w:val="0"/>
              <w:snapToGrid w:val="0"/>
              <w:spacing w:line="400" w:lineRule="exact"/>
              <w:jc w:val="center"/>
              <w:rPr>
                <w:rFonts w:hint="eastAsia" w:ascii="宋体" w:hAnsi="宋体" w:eastAsia="宋体" w:cs="宋体"/>
                <w:color w:val="auto"/>
                <w:highlight w:val="none"/>
                <w:lang w:eastAsia="zh-CN"/>
              </w:rPr>
            </w:pPr>
            <w:r>
              <w:rPr>
                <w:rFonts w:hint="eastAsia" w:ascii="宋体" w:hAnsi="宋体" w:cs="宋体"/>
                <w:color w:val="auto"/>
                <w:highlight w:val="none"/>
                <w:lang w:val="en-US" w:eastAsia="zh-CN"/>
              </w:rPr>
              <w:t>3</w:t>
            </w:r>
          </w:p>
        </w:tc>
      </w:tr>
      <w:tr w14:paraId="30C2B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vAlign w:val="center"/>
          </w:tcPr>
          <w:p w14:paraId="604F9C39">
            <w:pPr>
              <w:widowControl w:val="0"/>
              <w:snapToGrid w:val="0"/>
              <w:spacing w:line="400" w:lineRule="exact"/>
              <w:jc w:val="center"/>
              <w:rPr>
                <w:rFonts w:hint="eastAsia" w:ascii="宋体" w:hAnsi="宋体" w:eastAsia="宋体" w:cs="宋体"/>
                <w:color w:val="auto"/>
                <w:highlight w:val="none"/>
                <w:lang w:eastAsia="zh-CN"/>
              </w:rPr>
            </w:pPr>
            <w:r>
              <w:rPr>
                <w:rFonts w:hint="eastAsia" w:ascii="宋体" w:hAnsi="宋体" w:cs="宋体"/>
                <w:color w:val="auto"/>
                <w:highlight w:val="none"/>
                <w:lang w:val="en-US" w:eastAsia="zh-CN"/>
              </w:rPr>
              <w:t>4</w:t>
            </w:r>
          </w:p>
        </w:tc>
        <w:tc>
          <w:tcPr>
            <w:tcW w:w="1276" w:type="dxa"/>
            <w:shd w:val="clear" w:color="auto" w:fill="auto"/>
            <w:vAlign w:val="center"/>
          </w:tcPr>
          <w:p w14:paraId="4B1C0EF4">
            <w:pPr>
              <w:widowControl w:val="0"/>
              <w:snapToGrid w:val="0"/>
              <w:spacing w:line="400" w:lineRule="exact"/>
              <w:jc w:val="both"/>
              <w:rPr>
                <w:rFonts w:hint="eastAsia" w:ascii="宋体" w:hAnsi="宋体" w:cs="宋体"/>
                <w:color w:val="auto"/>
                <w:highlight w:val="none"/>
              </w:rPr>
            </w:pPr>
            <w:r>
              <w:rPr>
                <w:rFonts w:hint="eastAsia" w:ascii="宋体" w:hAnsi="宋体" w:cs="宋体"/>
                <w:color w:val="auto"/>
                <w:highlight w:val="none"/>
              </w:rPr>
              <w:t>施工技术方案</w:t>
            </w:r>
          </w:p>
        </w:tc>
        <w:tc>
          <w:tcPr>
            <w:tcW w:w="6399" w:type="dxa"/>
            <w:shd w:val="clear" w:color="auto" w:fill="auto"/>
            <w:vAlign w:val="center"/>
          </w:tcPr>
          <w:p w14:paraId="77F3F802">
            <w:pPr>
              <w:widowControl w:val="0"/>
              <w:snapToGrid w:val="0"/>
              <w:spacing w:line="400" w:lineRule="exact"/>
              <w:jc w:val="both"/>
              <w:rPr>
                <w:rFonts w:hint="eastAsia" w:ascii="宋体" w:hAnsi="宋体" w:eastAsia="宋体" w:cs="宋体"/>
                <w:color w:val="auto"/>
                <w:highlight w:val="none"/>
                <w:lang w:eastAsia="zh-CN"/>
              </w:rPr>
            </w:pPr>
            <w:r>
              <w:rPr>
                <w:rFonts w:hint="eastAsia" w:ascii="宋体" w:hAnsi="宋体" w:cs="宋体"/>
                <w:color w:val="auto"/>
                <w:highlight w:val="none"/>
                <w:lang w:val="en-US" w:eastAsia="zh-CN"/>
              </w:rPr>
              <w:t>【主观分】</w:t>
            </w:r>
          </w:p>
          <w:p w14:paraId="207A27FD">
            <w:pPr>
              <w:widowControl w:val="0"/>
              <w:snapToGrid w:val="0"/>
              <w:spacing w:line="400" w:lineRule="exact"/>
              <w:jc w:val="both"/>
              <w:rPr>
                <w:rFonts w:hint="eastAsia" w:ascii="宋体" w:hAnsi="宋体" w:cs="宋体"/>
                <w:color w:val="auto"/>
                <w:highlight w:val="none"/>
              </w:rPr>
            </w:pPr>
            <w:r>
              <w:rPr>
                <w:rFonts w:hint="eastAsia" w:ascii="宋体" w:hAnsi="宋体" w:cs="宋体"/>
                <w:color w:val="auto"/>
                <w:highlight w:val="none"/>
              </w:rPr>
              <w:t>施工技术方案结合本项目情况</w:t>
            </w:r>
            <w:r>
              <w:rPr>
                <w:rFonts w:hint="eastAsia" w:ascii="宋体" w:hAnsi="宋体" w:cs="宋体"/>
                <w:color w:val="auto"/>
                <w:highlight w:val="none"/>
                <w:lang w:val="en-US" w:eastAsia="zh-CN"/>
              </w:rPr>
              <w:t>全面的由专家进行打分（2,1.5，1,0.5,0）</w:t>
            </w:r>
            <w:r>
              <w:rPr>
                <w:rFonts w:hint="eastAsia" w:ascii="宋体" w:hAnsi="宋体" w:cs="宋体"/>
                <w:color w:val="auto"/>
                <w:highlight w:val="none"/>
              </w:rPr>
              <w:t>、施工现场平面布置合理</w:t>
            </w:r>
            <w:r>
              <w:rPr>
                <w:rFonts w:hint="eastAsia" w:ascii="宋体" w:hAnsi="宋体" w:cs="宋体"/>
                <w:color w:val="auto"/>
                <w:highlight w:val="none"/>
                <w:lang w:val="en-US" w:eastAsia="zh-CN"/>
              </w:rPr>
              <w:t>程度进行打分（2,1.5，1,0.5，0）</w:t>
            </w:r>
            <w:r>
              <w:rPr>
                <w:rFonts w:hint="eastAsia" w:ascii="宋体" w:hAnsi="宋体" w:cs="宋体"/>
                <w:color w:val="auto"/>
                <w:highlight w:val="none"/>
              </w:rPr>
              <w:t>、具备施工力量快速组织能力</w:t>
            </w:r>
            <w:r>
              <w:rPr>
                <w:rFonts w:hint="eastAsia" w:ascii="宋体" w:hAnsi="宋体" w:cs="宋体"/>
                <w:color w:val="auto"/>
                <w:highlight w:val="none"/>
                <w:lang w:val="en-US" w:eastAsia="zh-CN"/>
              </w:rPr>
              <w:t>进行打分（2,1.5，1,0.5，0）</w:t>
            </w:r>
            <w:r>
              <w:rPr>
                <w:rFonts w:hint="eastAsia" w:ascii="宋体" w:hAnsi="宋体" w:cs="宋体"/>
                <w:color w:val="auto"/>
                <w:highlight w:val="none"/>
              </w:rPr>
              <w:t>、与施工相关的社会资源协调能力</w:t>
            </w:r>
            <w:r>
              <w:rPr>
                <w:rFonts w:hint="eastAsia" w:ascii="宋体" w:hAnsi="宋体" w:cs="宋体"/>
                <w:color w:val="auto"/>
                <w:highlight w:val="none"/>
                <w:lang w:eastAsia="zh-CN"/>
              </w:rPr>
              <w:t>的</w:t>
            </w:r>
            <w:r>
              <w:rPr>
                <w:rFonts w:hint="eastAsia" w:ascii="宋体" w:hAnsi="宋体" w:cs="宋体"/>
                <w:color w:val="auto"/>
                <w:highlight w:val="none"/>
                <w:lang w:val="en-US" w:eastAsia="zh-CN"/>
              </w:rPr>
              <w:t>进行打分（2,1.5，1,0.5，0）</w:t>
            </w:r>
            <w:r>
              <w:rPr>
                <w:rFonts w:hint="eastAsia" w:ascii="宋体" w:hAnsi="宋体" w:cs="宋体"/>
                <w:color w:val="auto"/>
                <w:highlight w:val="none"/>
              </w:rPr>
              <w:t>，施工方案针对本项目体现绿色、环保、节能的要求</w:t>
            </w:r>
            <w:r>
              <w:rPr>
                <w:rFonts w:hint="eastAsia" w:ascii="宋体" w:hAnsi="宋体" w:cs="宋体"/>
                <w:color w:val="auto"/>
                <w:highlight w:val="none"/>
                <w:lang w:val="en-US" w:eastAsia="zh-CN"/>
              </w:rPr>
              <w:t>进行打分（1,0.5，0）</w:t>
            </w:r>
            <w:r>
              <w:rPr>
                <w:rFonts w:hint="eastAsia" w:ascii="宋体" w:hAnsi="宋体" w:cs="宋体"/>
                <w:color w:val="auto"/>
                <w:highlight w:val="none"/>
                <w:lang w:eastAsia="zh-CN"/>
              </w:rPr>
              <w:t>）</w:t>
            </w:r>
            <w:r>
              <w:rPr>
                <w:rFonts w:hint="eastAsia" w:ascii="宋体" w:hAnsi="宋体" w:cs="宋体"/>
                <w:color w:val="auto"/>
                <w:highlight w:val="none"/>
              </w:rPr>
              <w:t>，施工工艺的合理性及针对性</w:t>
            </w:r>
            <w:r>
              <w:rPr>
                <w:rFonts w:hint="eastAsia" w:ascii="宋体" w:hAnsi="宋体" w:cs="宋体"/>
                <w:color w:val="auto"/>
                <w:highlight w:val="none"/>
                <w:lang w:val="en-US" w:eastAsia="zh-CN"/>
              </w:rPr>
              <w:t>完善的进行打分（1,0.5，0）</w:t>
            </w:r>
            <w:r>
              <w:rPr>
                <w:rFonts w:hint="eastAsia" w:ascii="宋体" w:hAnsi="宋体" w:cs="宋体"/>
                <w:color w:val="auto"/>
                <w:highlight w:val="none"/>
              </w:rPr>
              <w:t>共</w:t>
            </w:r>
            <w:r>
              <w:rPr>
                <w:rFonts w:hint="eastAsia" w:ascii="宋体" w:hAnsi="宋体" w:cs="宋体"/>
                <w:color w:val="auto"/>
                <w:highlight w:val="none"/>
                <w:lang w:val="en-US" w:eastAsia="zh-CN"/>
              </w:rPr>
              <w:t>10</w:t>
            </w:r>
            <w:r>
              <w:rPr>
                <w:rFonts w:hint="eastAsia" w:ascii="宋体" w:hAnsi="宋体" w:cs="宋体"/>
                <w:color w:val="auto"/>
                <w:highlight w:val="none"/>
              </w:rPr>
              <w:t>分。</w:t>
            </w:r>
          </w:p>
        </w:tc>
        <w:tc>
          <w:tcPr>
            <w:tcW w:w="872" w:type="dxa"/>
            <w:vAlign w:val="center"/>
          </w:tcPr>
          <w:p w14:paraId="587715A2">
            <w:pPr>
              <w:widowControl w:val="0"/>
              <w:snapToGrid w:val="0"/>
              <w:spacing w:line="400" w:lineRule="exact"/>
              <w:jc w:val="center"/>
              <w:rPr>
                <w:rFonts w:hint="default" w:ascii="宋体" w:hAnsi="宋体" w:eastAsia="宋体" w:cs="宋体"/>
                <w:color w:val="auto"/>
                <w:highlight w:val="none"/>
                <w:lang w:val="en-US" w:eastAsia="zh-CN"/>
              </w:rPr>
            </w:pPr>
            <w:r>
              <w:rPr>
                <w:rFonts w:hint="eastAsia" w:ascii="宋体" w:hAnsi="宋体" w:cs="宋体"/>
                <w:color w:val="auto"/>
                <w:highlight w:val="none"/>
                <w:lang w:val="en-US" w:eastAsia="zh-CN"/>
              </w:rPr>
              <w:t>10</w:t>
            </w:r>
          </w:p>
        </w:tc>
      </w:tr>
      <w:tr w14:paraId="4AA6D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vAlign w:val="center"/>
          </w:tcPr>
          <w:p w14:paraId="1C82AF6D">
            <w:pPr>
              <w:widowControl w:val="0"/>
              <w:snapToGrid w:val="0"/>
              <w:spacing w:line="400" w:lineRule="exact"/>
              <w:jc w:val="center"/>
              <w:rPr>
                <w:rFonts w:hint="eastAsia" w:ascii="宋体" w:hAnsi="宋体" w:eastAsia="宋体" w:cs="宋体"/>
                <w:color w:val="auto"/>
                <w:highlight w:val="none"/>
                <w:lang w:eastAsia="zh-CN"/>
              </w:rPr>
            </w:pPr>
            <w:r>
              <w:rPr>
                <w:rFonts w:hint="eastAsia" w:ascii="宋体" w:hAnsi="宋体" w:cs="宋体"/>
                <w:color w:val="auto"/>
                <w:highlight w:val="none"/>
                <w:lang w:val="en-US" w:eastAsia="zh-CN"/>
              </w:rPr>
              <w:t>5</w:t>
            </w:r>
          </w:p>
        </w:tc>
        <w:tc>
          <w:tcPr>
            <w:tcW w:w="1276" w:type="dxa"/>
            <w:shd w:val="clear" w:color="auto" w:fill="auto"/>
            <w:vAlign w:val="center"/>
          </w:tcPr>
          <w:p w14:paraId="1C3B2F90">
            <w:pPr>
              <w:widowControl w:val="0"/>
              <w:snapToGrid w:val="0"/>
              <w:spacing w:line="400" w:lineRule="exact"/>
              <w:jc w:val="both"/>
              <w:rPr>
                <w:rFonts w:hint="eastAsia" w:ascii="宋体" w:hAnsi="宋体" w:cs="宋体"/>
                <w:color w:val="auto"/>
                <w:highlight w:val="none"/>
              </w:rPr>
            </w:pPr>
            <w:r>
              <w:rPr>
                <w:rFonts w:hint="eastAsia" w:ascii="宋体" w:hAnsi="宋体" w:cs="宋体"/>
                <w:color w:val="auto"/>
                <w:highlight w:val="none"/>
              </w:rPr>
              <w:t>安全生产、文明施工环境保护措施</w:t>
            </w:r>
          </w:p>
        </w:tc>
        <w:tc>
          <w:tcPr>
            <w:tcW w:w="6399" w:type="dxa"/>
            <w:shd w:val="clear" w:color="auto" w:fill="auto"/>
            <w:vAlign w:val="center"/>
          </w:tcPr>
          <w:p w14:paraId="3BFE4EF4">
            <w:pPr>
              <w:widowControl w:val="0"/>
              <w:snapToGrid w:val="0"/>
              <w:spacing w:line="400" w:lineRule="exact"/>
              <w:jc w:val="both"/>
              <w:rPr>
                <w:rFonts w:hint="eastAsia" w:ascii="宋体" w:hAnsi="宋体" w:eastAsia="宋体" w:cs="宋体"/>
                <w:color w:val="auto"/>
                <w:highlight w:val="none"/>
                <w:lang w:eastAsia="zh-CN"/>
              </w:rPr>
            </w:pPr>
            <w:r>
              <w:rPr>
                <w:rFonts w:hint="eastAsia" w:ascii="宋体" w:hAnsi="宋体" w:cs="宋体"/>
                <w:color w:val="auto"/>
                <w:highlight w:val="none"/>
                <w:lang w:val="en-US" w:eastAsia="zh-CN"/>
              </w:rPr>
              <w:t>【主观分】</w:t>
            </w:r>
          </w:p>
          <w:p w14:paraId="7CD6B137">
            <w:pPr>
              <w:widowControl w:val="0"/>
              <w:snapToGrid w:val="0"/>
              <w:spacing w:line="400" w:lineRule="exact"/>
              <w:jc w:val="both"/>
              <w:rPr>
                <w:rFonts w:hint="eastAsia" w:ascii="宋体" w:hAnsi="宋体" w:cs="宋体"/>
                <w:color w:val="auto"/>
                <w:highlight w:val="none"/>
              </w:rPr>
            </w:pPr>
            <w:r>
              <w:rPr>
                <w:rFonts w:hint="eastAsia" w:ascii="宋体" w:hAnsi="宋体" w:cs="宋体"/>
                <w:color w:val="auto"/>
                <w:highlight w:val="none"/>
              </w:rPr>
              <w:t>确保安全生产</w:t>
            </w:r>
            <w:r>
              <w:rPr>
                <w:rFonts w:hint="eastAsia" w:ascii="宋体" w:hAnsi="宋体" w:cs="宋体"/>
                <w:color w:val="auto"/>
                <w:highlight w:val="none"/>
                <w:lang w:val="en-US" w:eastAsia="zh-CN"/>
              </w:rPr>
              <w:t>方案进行打分（2,1.5,1,0.5,0）</w:t>
            </w:r>
            <w:r>
              <w:rPr>
                <w:rFonts w:hint="eastAsia" w:ascii="宋体" w:hAnsi="宋体" w:cs="宋体"/>
                <w:color w:val="auto"/>
                <w:highlight w:val="none"/>
              </w:rPr>
              <w:t>、文明施工</w:t>
            </w:r>
            <w:r>
              <w:rPr>
                <w:rFonts w:hint="eastAsia" w:ascii="宋体" w:hAnsi="宋体" w:cs="宋体"/>
                <w:color w:val="auto"/>
                <w:highlight w:val="none"/>
                <w:lang w:val="en-US" w:eastAsia="zh-CN"/>
              </w:rPr>
              <w:t>方案进行打分（2,1.5,1,0.5,0）</w:t>
            </w:r>
            <w:r>
              <w:rPr>
                <w:rFonts w:hint="eastAsia" w:ascii="宋体" w:hAnsi="宋体" w:cs="宋体"/>
                <w:color w:val="auto"/>
                <w:highlight w:val="none"/>
              </w:rPr>
              <w:t>、环境保护的技术组织措施</w:t>
            </w:r>
            <w:r>
              <w:rPr>
                <w:rFonts w:hint="eastAsia" w:ascii="宋体" w:hAnsi="宋体" w:cs="宋体"/>
                <w:color w:val="auto"/>
                <w:highlight w:val="none"/>
                <w:lang w:val="en-US" w:eastAsia="zh-CN"/>
              </w:rPr>
              <w:t>方案进行打分（2,1.5,1,0.5,0）</w:t>
            </w:r>
            <w:r>
              <w:rPr>
                <w:rFonts w:hint="eastAsia" w:ascii="宋体" w:hAnsi="宋体" w:cs="宋体"/>
                <w:color w:val="auto"/>
                <w:highlight w:val="none"/>
              </w:rPr>
              <w:t>，由专家酌情打分，最高得</w:t>
            </w:r>
            <w:r>
              <w:rPr>
                <w:rFonts w:hint="eastAsia" w:ascii="宋体" w:hAnsi="宋体" w:cs="宋体"/>
                <w:color w:val="auto"/>
                <w:highlight w:val="none"/>
                <w:lang w:val="en-US" w:eastAsia="zh-CN"/>
              </w:rPr>
              <w:t>6</w:t>
            </w:r>
            <w:r>
              <w:rPr>
                <w:rFonts w:hint="eastAsia" w:ascii="宋体" w:hAnsi="宋体" w:cs="宋体"/>
                <w:color w:val="auto"/>
                <w:highlight w:val="none"/>
              </w:rPr>
              <w:t>分。</w:t>
            </w:r>
          </w:p>
        </w:tc>
        <w:tc>
          <w:tcPr>
            <w:tcW w:w="872" w:type="dxa"/>
            <w:vAlign w:val="center"/>
          </w:tcPr>
          <w:p w14:paraId="4BE52F9A">
            <w:pPr>
              <w:widowControl w:val="0"/>
              <w:snapToGrid w:val="0"/>
              <w:spacing w:line="400" w:lineRule="exact"/>
              <w:jc w:val="center"/>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6</w:t>
            </w:r>
          </w:p>
        </w:tc>
      </w:tr>
      <w:tr w14:paraId="44945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vAlign w:val="center"/>
          </w:tcPr>
          <w:p w14:paraId="38AD270D">
            <w:pPr>
              <w:widowControl w:val="0"/>
              <w:snapToGrid w:val="0"/>
              <w:spacing w:line="400" w:lineRule="exact"/>
              <w:jc w:val="center"/>
              <w:rPr>
                <w:rFonts w:hint="eastAsia" w:ascii="宋体" w:hAnsi="宋体" w:eastAsia="宋体" w:cs="宋体"/>
                <w:color w:val="auto"/>
                <w:highlight w:val="none"/>
                <w:lang w:eastAsia="zh-CN"/>
              </w:rPr>
            </w:pPr>
            <w:r>
              <w:rPr>
                <w:rFonts w:hint="eastAsia" w:ascii="宋体" w:hAnsi="宋体" w:cs="宋体"/>
                <w:color w:val="auto"/>
                <w:highlight w:val="none"/>
                <w:lang w:val="en-US" w:eastAsia="zh-CN"/>
              </w:rPr>
              <w:t>6</w:t>
            </w:r>
          </w:p>
        </w:tc>
        <w:tc>
          <w:tcPr>
            <w:tcW w:w="1276" w:type="dxa"/>
            <w:shd w:val="clear" w:color="auto" w:fill="auto"/>
            <w:vAlign w:val="center"/>
          </w:tcPr>
          <w:p w14:paraId="20273FDC">
            <w:pPr>
              <w:widowControl w:val="0"/>
              <w:snapToGrid w:val="0"/>
              <w:spacing w:line="400" w:lineRule="exact"/>
              <w:jc w:val="both"/>
              <w:rPr>
                <w:rFonts w:hint="eastAsia" w:ascii="宋体" w:hAnsi="宋体" w:cs="宋体"/>
                <w:color w:val="auto"/>
                <w:highlight w:val="none"/>
              </w:rPr>
            </w:pPr>
            <w:r>
              <w:rPr>
                <w:rFonts w:hint="eastAsia" w:ascii="宋体" w:hAnsi="宋体" w:cs="宋体"/>
                <w:color w:val="auto"/>
                <w:highlight w:val="none"/>
              </w:rPr>
              <w:t>有效的改进措施及建议</w:t>
            </w:r>
          </w:p>
        </w:tc>
        <w:tc>
          <w:tcPr>
            <w:tcW w:w="6399" w:type="dxa"/>
            <w:shd w:val="clear" w:color="auto" w:fill="auto"/>
            <w:vAlign w:val="center"/>
          </w:tcPr>
          <w:p w14:paraId="7A8D3746">
            <w:pPr>
              <w:widowControl w:val="0"/>
              <w:snapToGrid w:val="0"/>
              <w:spacing w:line="400" w:lineRule="exact"/>
              <w:jc w:val="both"/>
              <w:rPr>
                <w:rFonts w:hint="eastAsia" w:ascii="宋体" w:hAnsi="宋体" w:eastAsia="宋体" w:cs="宋体"/>
                <w:color w:val="auto"/>
                <w:highlight w:val="none"/>
                <w:lang w:eastAsia="zh-CN"/>
              </w:rPr>
            </w:pPr>
            <w:r>
              <w:rPr>
                <w:rFonts w:hint="eastAsia" w:ascii="宋体" w:hAnsi="宋体" w:cs="宋体"/>
                <w:color w:val="auto"/>
                <w:highlight w:val="none"/>
                <w:lang w:val="en-US" w:eastAsia="zh-CN"/>
              </w:rPr>
              <w:t>【客观分】</w:t>
            </w:r>
          </w:p>
          <w:p w14:paraId="4AFA6E9C">
            <w:pPr>
              <w:widowControl w:val="0"/>
              <w:snapToGrid w:val="0"/>
              <w:spacing w:line="400" w:lineRule="exact"/>
              <w:jc w:val="both"/>
              <w:rPr>
                <w:rFonts w:hint="eastAsia" w:ascii="宋体" w:hAnsi="宋体" w:cs="宋体"/>
                <w:color w:val="auto"/>
                <w:highlight w:val="none"/>
              </w:rPr>
            </w:pPr>
            <w:r>
              <w:rPr>
                <w:rFonts w:hint="eastAsia" w:ascii="宋体" w:hAnsi="宋体" w:cs="宋体"/>
                <w:color w:val="auto"/>
                <w:highlight w:val="none"/>
              </w:rPr>
              <w:t>针对本项目，供应商提供的有效建议和措施每提供一项得2分，最高得4分，要求合理、切实可行，不提供不得分。</w:t>
            </w:r>
          </w:p>
        </w:tc>
        <w:tc>
          <w:tcPr>
            <w:tcW w:w="872" w:type="dxa"/>
            <w:vAlign w:val="center"/>
          </w:tcPr>
          <w:p w14:paraId="430B573A">
            <w:pPr>
              <w:widowControl w:val="0"/>
              <w:snapToGrid w:val="0"/>
              <w:spacing w:line="400" w:lineRule="exact"/>
              <w:jc w:val="center"/>
              <w:rPr>
                <w:rFonts w:hint="eastAsia" w:ascii="宋体" w:hAnsi="宋体" w:cs="宋体"/>
                <w:color w:val="auto"/>
                <w:highlight w:val="none"/>
              </w:rPr>
            </w:pPr>
            <w:r>
              <w:rPr>
                <w:rFonts w:hint="eastAsia" w:ascii="宋体" w:hAnsi="宋体" w:cs="宋体"/>
                <w:color w:val="auto"/>
                <w:highlight w:val="none"/>
              </w:rPr>
              <w:t>4</w:t>
            </w:r>
          </w:p>
        </w:tc>
      </w:tr>
      <w:tr w14:paraId="65A05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vAlign w:val="center"/>
          </w:tcPr>
          <w:p w14:paraId="1C679C04">
            <w:pPr>
              <w:widowControl w:val="0"/>
              <w:snapToGrid w:val="0"/>
              <w:spacing w:line="400" w:lineRule="exact"/>
              <w:jc w:val="center"/>
              <w:rPr>
                <w:rFonts w:hint="eastAsia" w:ascii="宋体" w:hAnsi="宋体" w:eastAsia="宋体" w:cs="宋体"/>
                <w:color w:val="auto"/>
                <w:highlight w:val="none"/>
                <w:lang w:eastAsia="zh-CN"/>
              </w:rPr>
            </w:pPr>
            <w:r>
              <w:rPr>
                <w:rFonts w:hint="eastAsia" w:ascii="宋体" w:hAnsi="宋体" w:cs="宋体"/>
                <w:color w:val="auto"/>
                <w:highlight w:val="none"/>
                <w:lang w:val="en-US" w:eastAsia="zh-CN"/>
              </w:rPr>
              <w:t>7</w:t>
            </w:r>
          </w:p>
        </w:tc>
        <w:tc>
          <w:tcPr>
            <w:tcW w:w="1276" w:type="dxa"/>
            <w:shd w:val="clear" w:color="auto" w:fill="auto"/>
            <w:vAlign w:val="center"/>
          </w:tcPr>
          <w:p w14:paraId="77DA5F59">
            <w:pPr>
              <w:widowControl w:val="0"/>
              <w:snapToGrid w:val="0"/>
              <w:spacing w:line="400" w:lineRule="exact"/>
              <w:jc w:val="both"/>
              <w:rPr>
                <w:rFonts w:hint="eastAsia" w:ascii="宋体" w:hAnsi="宋体" w:cs="宋体"/>
                <w:color w:val="auto"/>
                <w:highlight w:val="none"/>
              </w:rPr>
            </w:pPr>
            <w:r>
              <w:rPr>
                <w:rFonts w:hint="eastAsia" w:ascii="宋体" w:hAnsi="宋体" w:cs="宋体"/>
                <w:color w:val="auto"/>
                <w:highlight w:val="none"/>
              </w:rPr>
              <w:t>合理的培训方案</w:t>
            </w:r>
          </w:p>
        </w:tc>
        <w:tc>
          <w:tcPr>
            <w:tcW w:w="6399" w:type="dxa"/>
            <w:shd w:val="clear" w:color="auto" w:fill="auto"/>
            <w:vAlign w:val="center"/>
          </w:tcPr>
          <w:p w14:paraId="5CB84E87">
            <w:pPr>
              <w:widowControl w:val="0"/>
              <w:snapToGrid w:val="0"/>
              <w:spacing w:line="400" w:lineRule="exact"/>
              <w:jc w:val="both"/>
              <w:rPr>
                <w:rFonts w:hint="eastAsia" w:ascii="宋体" w:hAnsi="宋体" w:eastAsia="宋体" w:cs="宋体"/>
                <w:color w:val="auto"/>
                <w:highlight w:val="none"/>
                <w:lang w:eastAsia="zh-CN"/>
              </w:rPr>
            </w:pPr>
            <w:r>
              <w:rPr>
                <w:rFonts w:hint="eastAsia" w:ascii="宋体" w:hAnsi="宋体" w:cs="宋体"/>
                <w:color w:val="auto"/>
                <w:highlight w:val="none"/>
                <w:lang w:val="en-US" w:eastAsia="zh-CN"/>
              </w:rPr>
              <w:t>【主观分】</w:t>
            </w:r>
          </w:p>
          <w:p w14:paraId="1C37248D">
            <w:pPr>
              <w:widowControl w:val="0"/>
              <w:snapToGrid w:val="0"/>
              <w:spacing w:line="400" w:lineRule="exact"/>
              <w:jc w:val="both"/>
              <w:rPr>
                <w:rFonts w:hint="eastAsia" w:ascii="宋体" w:hAnsi="宋体" w:cs="宋体"/>
                <w:color w:val="auto"/>
                <w:highlight w:val="none"/>
              </w:rPr>
            </w:pPr>
            <w:r>
              <w:rPr>
                <w:rFonts w:hint="eastAsia" w:ascii="宋体" w:hAnsi="宋体" w:cs="宋体"/>
                <w:color w:val="auto"/>
                <w:highlight w:val="none"/>
              </w:rPr>
              <w:t>针对本次采购项目提供合理的培训方案，按照培训方案的详细程度进行评分</w:t>
            </w:r>
            <w:r>
              <w:rPr>
                <w:rFonts w:hint="eastAsia" w:ascii="宋体" w:hAnsi="宋体" w:cs="宋体"/>
                <w:color w:val="auto"/>
                <w:highlight w:val="none"/>
                <w:lang w:eastAsia="zh-CN"/>
              </w:rPr>
              <w:t>（</w:t>
            </w:r>
            <w:r>
              <w:rPr>
                <w:rFonts w:hint="eastAsia" w:ascii="宋体" w:hAnsi="宋体" w:cs="宋体"/>
                <w:color w:val="auto"/>
                <w:highlight w:val="none"/>
                <w:lang w:val="en-US" w:eastAsia="zh-CN"/>
              </w:rPr>
              <w:t>2.5,2,1.5,1,0.5,0</w:t>
            </w:r>
            <w:r>
              <w:rPr>
                <w:rFonts w:hint="eastAsia" w:ascii="宋体" w:hAnsi="宋体" w:cs="宋体"/>
                <w:color w:val="auto"/>
                <w:highlight w:val="none"/>
                <w:lang w:eastAsia="zh-CN"/>
              </w:rPr>
              <w:t>），</w:t>
            </w:r>
            <w:r>
              <w:rPr>
                <w:rFonts w:hint="eastAsia" w:ascii="宋体" w:hAnsi="宋体" w:cs="宋体"/>
                <w:color w:val="auto"/>
                <w:highlight w:val="none"/>
              </w:rPr>
              <w:t>方案的合理性进行评分</w:t>
            </w:r>
            <w:r>
              <w:rPr>
                <w:rFonts w:hint="eastAsia" w:ascii="宋体" w:hAnsi="宋体" w:cs="宋体"/>
                <w:color w:val="auto"/>
                <w:highlight w:val="none"/>
                <w:lang w:eastAsia="zh-CN"/>
              </w:rPr>
              <w:t>（</w:t>
            </w:r>
            <w:r>
              <w:rPr>
                <w:rFonts w:hint="eastAsia" w:ascii="宋体" w:hAnsi="宋体" w:cs="宋体"/>
                <w:color w:val="auto"/>
                <w:highlight w:val="none"/>
                <w:lang w:val="en-US" w:eastAsia="zh-CN"/>
              </w:rPr>
              <w:t>2.5,2,1.5,1,0.5,0</w:t>
            </w:r>
            <w:r>
              <w:rPr>
                <w:rFonts w:hint="eastAsia" w:ascii="宋体" w:hAnsi="宋体" w:cs="宋体"/>
                <w:color w:val="auto"/>
                <w:highlight w:val="none"/>
                <w:lang w:eastAsia="zh-CN"/>
              </w:rPr>
              <w:t>）</w:t>
            </w:r>
            <w:r>
              <w:rPr>
                <w:rFonts w:hint="eastAsia" w:ascii="宋体" w:hAnsi="宋体" w:cs="宋体"/>
                <w:color w:val="auto"/>
                <w:highlight w:val="none"/>
              </w:rPr>
              <w:t>，最高</w:t>
            </w:r>
            <w:r>
              <w:rPr>
                <w:rFonts w:hint="eastAsia" w:ascii="宋体" w:hAnsi="宋体" w:cs="宋体"/>
                <w:color w:val="auto"/>
                <w:highlight w:val="none"/>
                <w:lang w:val="en-US" w:eastAsia="zh-CN"/>
              </w:rPr>
              <w:t>5</w:t>
            </w:r>
            <w:r>
              <w:rPr>
                <w:rFonts w:hint="eastAsia" w:ascii="宋体" w:hAnsi="宋体" w:cs="宋体"/>
                <w:color w:val="auto"/>
                <w:highlight w:val="none"/>
              </w:rPr>
              <w:t>分。</w:t>
            </w:r>
          </w:p>
        </w:tc>
        <w:tc>
          <w:tcPr>
            <w:tcW w:w="872" w:type="dxa"/>
            <w:vAlign w:val="center"/>
          </w:tcPr>
          <w:p w14:paraId="0DC58AA4">
            <w:pPr>
              <w:widowControl w:val="0"/>
              <w:snapToGrid w:val="0"/>
              <w:spacing w:line="400" w:lineRule="exact"/>
              <w:jc w:val="center"/>
              <w:rPr>
                <w:rFonts w:hint="eastAsia" w:ascii="宋体" w:hAnsi="宋体" w:eastAsia="宋体" w:cs="宋体"/>
                <w:color w:val="auto"/>
                <w:highlight w:val="none"/>
                <w:lang w:eastAsia="zh-CN"/>
              </w:rPr>
            </w:pPr>
            <w:r>
              <w:rPr>
                <w:rFonts w:hint="eastAsia" w:ascii="宋体" w:hAnsi="宋体" w:cs="宋体"/>
                <w:color w:val="auto"/>
                <w:highlight w:val="none"/>
                <w:lang w:val="en-US" w:eastAsia="zh-CN"/>
              </w:rPr>
              <w:t>5</w:t>
            </w:r>
          </w:p>
        </w:tc>
      </w:tr>
      <w:tr w14:paraId="73CA7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vMerge w:val="restart"/>
            <w:vAlign w:val="center"/>
          </w:tcPr>
          <w:p w14:paraId="46336047">
            <w:pPr>
              <w:widowControl w:val="0"/>
              <w:snapToGrid w:val="0"/>
              <w:spacing w:line="400" w:lineRule="exact"/>
              <w:jc w:val="center"/>
              <w:rPr>
                <w:rFonts w:hint="eastAsia" w:ascii="宋体" w:hAnsi="宋体" w:eastAsia="宋体" w:cs="宋体"/>
                <w:color w:val="auto"/>
                <w:highlight w:val="none"/>
                <w:lang w:eastAsia="zh-CN"/>
              </w:rPr>
            </w:pPr>
            <w:r>
              <w:rPr>
                <w:rFonts w:hint="eastAsia" w:ascii="宋体" w:hAnsi="宋体" w:cs="宋体"/>
                <w:color w:val="auto"/>
                <w:highlight w:val="none"/>
                <w:lang w:val="en-US" w:eastAsia="zh-CN"/>
              </w:rPr>
              <w:t>8</w:t>
            </w:r>
          </w:p>
        </w:tc>
        <w:tc>
          <w:tcPr>
            <w:tcW w:w="1276" w:type="dxa"/>
            <w:vMerge w:val="restart"/>
            <w:vAlign w:val="center"/>
          </w:tcPr>
          <w:p w14:paraId="1361C7FD">
            <w:pPr>
              <w:widowControl w:val="0"/>
              <w:snapToGrid w:val="0"/>
              <w:spacing w:line="400" w:lineRule="exact"/>
              <w:jc w:val="both"/>
              <w:rPr>
                <w:rFonts w:hint="eastAsia" w:ascii="宋体" w:hAnsi="宋体" w:cs="宋体"/>
                <w:color w:val="auto"/>
                <w:highlight w:val="none"/>
              </w:rPr>
            </w:pPr>
            <w:r>
              <w:rPr>
                <w:rFonts w:hint="eastAsia" w:ascii="宋体" w:hAnsi="宋体" w:cs="宋体"/>
                <w:color w:val="auto"/>
                <w:highlight w:val="none"/>
              </w:rPr>
              <w:t>服务质量承诺及售后</w:t>
            </w:r>
          </w:p>
        </w:tc>
        <w:tc>
          <w:tcPr>
            <w:tcW w:w="6399" w:type="dxa"/>
            <w:shd w:val="clear" w:color="auto" w:fill="auto"/>
            <w:vAlign w:val="center"/>
          </w:tcPr>
          <w:p w14:paraId="2FCD5CF1">
            <w:pPr>
              <w:widowControl w:val="0"/>
              <w:snapToGrid w:val="0"/>
              <w:spacing w:line="400" w:lineRule="exact"/>
              <w:jc w:val="both"/>
              <w:rPr>
                <w:rFonts w:hint="eastAsia" w:ascii="宋体" w:hAnsi="宋体" w:cs="宋体"/>
                <w:color w:val="auto"/>
                <w:highlight w:val="none"/>
              </w:rPr>
            </w:pPr>
            <w:r>
              <w:rPr>
                <w:rFonts w:hint="eastAsia" w:ascii="宋体" w:hAnsi="宋体" w:cs="宋体"/>
                <w:color w:val="auto"/>
                <w:highlight w:val="none"/>
              </w:rPr>
              <w:t>投标人针对本项目的突发应急事件（突然停电情况处理、设备故障应急处理、恶劣天气影响、自然灾害、疫情防控措施等）的处理预案是否合理</w:t>
            </w:r>
            <w:r>
              <w:rPr>
                <w:rFonts w:hint="eastAsia" w:ascii="宋体" w:hAnsi="宋体" w:cs="宋体"/>
                <w:color w:val="auto"/>
                <w:highlight w:val="none"/>
                <w:lang w:eastAsia="zh-CN"/>
              </w:rPr>
              <w:t>（</w:t>
            </w:r>
            <w:r>
              <w:rPr>
                <w:rFonts w:hint="eastAsia" w:ascii="宋体" w:hAnsi="宋体" w:cs="宋体"/>
                <w:color w:val="auto"/>
                <w:highlight w:val="none"/>
                <w:lang w:val="en-US" w:eastAsia="zh-CN"/>
              </w:rPr>
              <w:t>3,2.5，2,1.5,1,0.5,0</w:t>
            </w:r>
            <w:r>
              <w:rPr>
                <w:rFonts w:hint="eastAsia" w:ascii="宋体" w:hAnsi="宋体" w:cs="宋体"/>
                <w:color w:val="auto"/>
                <w:highlight w:val="none"/>
                <w:lang w:eastAsia="zh-CN"/>
              </w:rPr>
              <w:t>）</w:t>
            </w:r>
            <w:r>
              <w:rPr>
                <w:rFonts w:hint="eastAsia" w:ascii="宋体" w:hAnsi="宋体" w:cs="宋体"/>
                <w:color w:val="auto"/>
                <w:highlight w:val="none"/>
              </w:rPr>
              <w:t>及时有效等由专家酌情打分。</w:t>
            </w:r>
          </w:p>
        </w:tc>
        <w:tc>
          <w:tcPr>
            <w:tcW w:w="872" w:type="dxa"/>
            <w:vAlign w:val="center"/>
          </w:tcPr>
          <w:p w14:paraId="44660610">
            <w:pPr>
              <w:widowControl w:val="0"/>
              <w:snapToGrid w:val="0"/>
              <w:spacing w:line="400" w:lineRule="exact"/>
              <w:jc w:val="center"/>
              <w:rPr>
                <w:rFonts w:hint="default" w:ascii="宋体" w:hAnsi="宋体" w:eastAsia="宋体" w:cs="宋体"/>
                <w:color w:val="auto"/>
                <w:highlight w:val="none"/>
                <w:lang w:val="en-US" w:eastAsia="zh-CN"/>
              </w:rPr>
            </w:pPr>
            <w:r>
              <w:rPr>
                <w:rFonts w:hint="eastAsia" w:ascii="宋体" w:hAnsi="宋体" w:cs="宋体"/>
                <w:color w:val="auto"/>
                <w:highlight w:val="none"/>
                <w:lang w:val="en-US" w:eastAsia="zh-CN"/>
              </w:rPr>
              <w:t>3</w:t>
            </w:r>
          </w:p>
        </w:tc>
      </w:tr>
      <w:tr w14:paraId="05FA8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8" w:type="dxa"/>
            <w:vMerge w:val="continue"/>
            <w:vAlign w:val="center"/>
          </w:tcPr>
          <w:p w14:paraId="75837A2B">
            <w:pPr>
              <w:widowControl w:val="0"/>
              <w:snapToGrid w:val="0"/>
              <w:spacing w:line="400" w:lineRule="exact"/>
              <w:jc w:val="both"/>
              <w:rPr>
                <w:rFonts w:hint="eastAsia" w:ascii="宋体" w:hAnsi="宋体" w:cs="宋体"/>
                <w:color w:val="auto"/>
                <w:highlight w:val="none"/>
              </w:rPr>
            </w:pPr>
          </w:p>
        </w:tc>
        <w:tc>
          <w:tcPr>
            <w:tcW w:w="1276" w:type="dxa"/>
            <w:vMerge w:val="continue"/>
            <w:vAlign w:val="center"/>
          </w:tcPr>
          <w:p w14:paraId="7404F2C4">
            <w:pPr>
              <w:widowControl w:val="0"/>
              <w:snapToGrid w:val="0"/>
              <w:spacing w:line="400" w:lineRule="exact"/>
              <w:jc w:val="both"/>
              <w:rPr>
                <w:rFonts w:hint="eastAsia" w:ascii="宋体" w:hAnsi="宋体" w:cs="宋体"/>
                <w:color w:val="auto"/>
                <w:highlight w:val="none"/>
              </w:rPr>
            </w:pPr>
          </w:p>
        </w:tc>
        <w:tc>
          <w:tcPr>
            <w:tcW w:w="6399" w:type="dxa"/>
            <w:shd w:val="clear" w:color="auto" w:fill="auto"/>
            <w:vAlign w:val="center"/>
          </w:tcPr>
          <w:p w14:paraId="208867F7">
            <w:pPr>
              <w:widowControl w:val="0"/>
              <w:snapToGrid w:val="0"/>
              <w:spacing w:line="400" w:lineRule="exact"/>
              <w:jc w:val="both"/>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【客观分】</w:t>
            </w:r>
          </w:p>
          <w:p w14:paraId="763948AB">
            <w:pPr>
              <w:widowControl w:val="0"/>
              <w:snapToGrid w:val="0"/>
              <w:spacing w:line="400" w:lineRule="exact"/>
              <w:jc w:val="both"/>
              <w:rPr>
                <w:rFonts w:hint="eastAsia" w:ascii="宋体" w:hAnsi="宋体" w:cs="宋体"/>
                <w:color w:val="auto"/>
                <w:highlight w:val="none"/>
              </w:rPr>
            </w:pPr>
            <w:r>
              <w:rPr>
                <w:rFonts w:hint="eastAsia" w:ascii="宋体" w:hAnsi="宋体" w:eastAsia="宋体" w:cs="宋体"/>
                <w:color w:val="auto"/>
                <w:highlight w:val="none"/>
                <w:lang w:val="en-US" w:eastAsia="zh-CN"/>
              </w:rPr>
              <w:t>质保服务响应时间：供应商承诺接到采购人要求和通知后在2小时内可派人到达现场提供服务的得2分，在4小时内可派人到达现场提供服务的得1分,4小时以上或没有承诺的得0分。</w:t>
            </w:r>
          </w:p>
        </w:tc>
        <w:tc>
          <w:tcPr>
            <w:tcW w:w="872" w:type="dxa"/>
            <w:vAlign w:val="center"/>
          </w:tcPr>
          <w:p w14:paraId="415D681D">
            <w:pPr>
              <w:widowControl w:val="0"/>
              <w:snapToGrid w:val="0"/>
              <w:spacing w:line="400" w:lineRule="exact"/>
              <w:jc w:val="center"/>
              <w:rPr>
                <w:rFonts w:hint="eastAsia" w:ascii="宋体" w:hAnsi="宋体" w:eastAsia="宋体" w:cs="宋体"/>
                <w:color w:val="auto"/>
                <w:highlight w:val="none"/>
                <w:lang w:eastAsia="zh-CN"/>
              </w:rPr>
            </w:pPr>
            <w:r>
              <w:rPr>
                <w:rFonts w:hint="eastAsia" w:ascii="宋体" w:hAnsi="宋体" w:cs="宋体"/>
                <w:color w:val="auto"/>
                <w:highlight w:val="none"/>
                <w:lang w:val="en-US" w:eastAsia="zh-CN"/>
              </w:rPr>
              <w:t>2</w:t>
            </w:r>
          </w:p>
        </w:tc>
      </w:tr>
      <w:tr w14:paraId="34376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44" w:type="dxa"/>
            <w:gridSpan w:val="2"/>
            <w:vAlign w:val="center"/>
          </w:tcPr>
          <w:p w14:paraId="75A5540D">
            <w:pPr>
              <w:widowControl w:val="0"/>
              <w:snapToGrid w:val="0"/>
              <w:spacing w:line="400" w:lineRule="exact"/>
              <w:jc w:val="center"/>
              <w:rPr>
                <w:rFonts w:hint="eastAsia" w:ascii="宋体" w:hAnsi="宋体" w:eastAsia="宋体" w:cs="宋体"/>
                <w:color w:val="auto"/>
                <w:highlight w:val="none"/>
                <w:lang w:eastAsia="zh-CN"/>
              </w:rPr>
            </w:pPr>
            <w:r>
              <w:rPr>
                <w:rFonts w:hint="eastAsia" w:ascii="宋体" w:hAnsi="宋体" w:cs="宋体"/>
                <w:color w:val="auto"/>
                <w:highlight w:val="none"/>
                <w:lang w:eastAsia="zh-CN"/>
              </w:rPr>
              <w:t>合计</w:t>
            </w:r>
          </w:p>
        </w:tc>
        <w:tc>
          <w:tcPr>
            <w:tcW w:w="6399" w:type="dxa"/>
            <w:shd w:val="clear" w:color="auto" w:fill="auto"/>
            <w:vAlign w:val="center"/>
          </w:tcPr>
          <w:p w14:paraId="12F8A4CF">
            <w:pPr>
              <w:widowControl w:val="0"/>
              <w:snapToGrid w:val="0"/>
              <w:spacing w:line="400" w:lineRule="exact"/>
              <w:jc w:val="both"/>
              <w:rPr>
                <w:rFonts w:hint="eastAsia" w:ascii="宋体" w:hAnsi="宋体" w:eastAsia="宋体" w:cs="宋体"/>
                <w:color w:val="auto"/>
                <w:highlight w:val="none"/>
                <w:lang w:val="en-US" w:eastAsia="zh-CN"/>
              </w:rPr>
            </w:pPr>
          </w:p>
        </w:tc>
        <w:tc>
          <w:tcPr>
            <w:tcW w:w="872" w:type="dxa"/>
            <w:vAlign w:val="center"/>
          </w:tcPr>
          <w:p w14:paraId="647ADF0A">
            <w:pPr>
              <w:widowControl w:val="0"/>
              <w:snapToGrid w:val="0"/>
              <w:spacing w:line="400" w:lineRule="exact"/>
              <w:jc w:val="center"/>
              <w:rPr>
                <w:rFonts w:hint="eastAsia" w:ascii="宋体" w:hAnsi="宋体" w:cs="宋体"/>
                <w:color w:val="auto"/>
                <w:highlight w:val="none"/>
                <w:lang w:val="en-US" w:eastAsia="zh-CN"/>
              </w:rPr>
            </w:pPr>
            <w:r>
              <w:rPr>
                <w:rFonts w:hint="eastAsia" w:ascii="宋体" w:hAnsi="宋体" w:cs="宋体"/>
                <w:color w:val="auto"/>
                <w:highlight w:val="none"/>
                <w:lang w:val="en-US" w:eastAsia="zh-CN"/>
              </w:rPr>
              <w:t>40</w:t>
            </w:r>
          </w:p>
        </w:tc>
      </w:tr>
    </w:tbl>
    <w:p w14:paraId="0E0ED0B5">
      <w:pPr>
        <w:widowControl w:val="0"/>
        <w:adjustRightInd w:val="0"/>
        <w:snapToGrid w:val="0"/>
        <w:spacing w:line="360" w:lineRule="auto"/>
        <w:ind w:firstLine="537" w:firstLineChars="224"/>
        <w:rPr>
          <w:rFonts w:hint="eastAsia" w:ascii="宋体" w:hAnsi="宋体" w:cs="宋体"/>
          <w:color w:val="auto"/>
          <w:sz w:val="24"/>
          <w:szCs w:val="24"/>
          <w:highlight w:val="none"/>
          <w:lang w:val="en-US" w:eastAsia="zh-CN"/>
        </w:rPr>
      </w:pPr>
    </w:p>
    <w:p w14:paraId="76181E7C">
      <w:pPr>
        <w:widowControl w:val="0"/>
        <w:adjustRightInd w:val="0"/>
        <w:snapToGrid w:val="0"/>
        <w:spacing w:line="360" w:lineRule="auto"/>
        <w:ind w:firstLine="537" w:firstLineChars="224"/>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供应商的</w:t>
      </w:r>
      <w:r>
        <w:rPr>
          <w:rFonts w:hint="eastAsia" w:ascii="宋体" w:hAnsi="宋体" w:cs="宋体"/>
          <w:color w:val="auto"/>
          <w:sz w:val="24"/>
          <w:szCs w:val="24"/>
          <w:highlight w:val="none"/>
          <w:lang w:eastAsia="zh-CN"/>
        </w:rPr>
        <w:t>商务技术</w:t>
      </w:r>
      <w:r>
        <w:rPr>
          <w:rFonts w:hint="eastAsia" w:ascii="宋体" w:hAnsi="宋体" w:cs="宋体"/>
          <w:color w:val="auto"/>
          <w:sz w:val="24"/>
          <w:szCs w:val="24"/>
          <w:highlight w:val="none"/>
          <w:lang w:val="en-US" w:eastAsia="zh-CN"/>
        </w:rPr>
        <w:t>得</w:t>
      </w:r>
      <w:r>
        <w:rPr>
          <w:rFonts w:hint="eastAsia" w:ascii="宋体" w:hAnsi="宋体" w:cs="宋体"/>
          <w:color w:val="auto"/>
          <w:sz w:val="24"/>
          <w:szCs w:val="24"/>
          <w:highlight w:val="none"/>
        </w:rPr>
        <w:t>分=（磋商小组所有成员评分合计数）/（磋商小组组成人员数）。</w:t>
      </w:r>
    </w:p>
    <w:p w14:paraId="784893A8">
      <w:pPr>
        <w:pStyle w:val="5"/>
        <w:bidi w:val="0"/>
        <w:rPr>
          <w:rFonts w:hint="default" w:ascii="宋体" w:hAnsi="宋体" w:eastAsia="宋体" w:cs="宋体"/>
          <w:color w:val="auto"/>
          <w:highlight w:val="none"/>
          <w:lang w:val="en-US" w:eastAsia="zh-CN"/>
        </w:rPr>
      </w:pPr>
      <w:bookmarkStart w:id="63" w:name="_Toc5564"/>
      <w:r>
        <w:rPr>
          <w:rFonts w:hint="eastAsia" w:ascii="宋体" w:hAnsi="宋体" w:eastAsia="宋体" w:cs="宋体"/>
          <w:color w:val="auto"/>
          <w:highlight w:val="none"/>
          <w:lang w:val="en-US" w:eastAsia="zh-CN"/>
        </w:rPr>
        <w:t>五、价格分评审标准</w:t>
      </w:r>
      <w:bookmarkEnd w:id="63"/>
    </w:p>
    <w:p w14:paraId="0F3B3FB3">
      <w:pPr>
        <w:widowControl w:val="0"/>
        <w:adjustRightInd w:val="0"/>
        <w:snapToGrid w:val="0"/>
        <w:spacing w:line="360" w:lineRule="auto"/>
        <w:ind w:firstLine="537" w:firstLineChars="224"/>
        <w:rPr>
          <w:rFonts w:ascii="宋体" w:hAnsi="宋体" w:cs="宋体"/>
          <w:color w:val="auto"/>
          <w:sz w:val="24"/>
          <w:szCs w:val="24"/>
          <w:highlight w:val="none"/>
        </w:rPr>
      </w:pPr>
      <w:r>
        <w:rPr>
          <w:rFonts w:hint="eastAsia" w:ascii="宋体" w:hAnsi="宋体" w:cs="宋体"/>
          <w:color w:val="auto"/>
          <w:sz w:val="24"/>
          <w:szCs w:val="24"/>
          <w:highlight w:val="none"/>
        </w:rPr>
        <w:t>价格分：价格分采用低价优先法计算，即满足磋商文件（磋商文件）要求，以最终评审价格的</w:t>
      </w:r>
      <w:r>
        <w:rPr>
          <w:rFonts w:hint="eastAsia" w:ascii="宋体" w:hAnsi="宋体" w:cs="宋体"/>
          <w:b/>
          <w:bCs/>
          <w:color w:val="auto"/>
          <w:sz w:val="24"/>
          <w:szCs w:val="24"/>
          <w:highlight w:val="none"/>
        </w:rPr>
        <w:t>最低价</w:t>
      </w:r>
      <w:r>
        <w:rPr>
          <w:rFonts w:hint="eastAsia" w:ascii="宋体" w:hAnsi="宋体" w:cs="宋体"/>
          <w:color w:val="auto"/>
          <w:sz w:val="24"/>
          <w:szCs w:val="24"/>
          <w:highlight w:val="none"/>
        </w:rPr>
        <w:t>者为磋商基准价</w:t>
      </w:r>
      <w:r>
        <w:rPr>
          <w:rFonts w:hint="eastAsia" w:ascii="宋体" w:hAnsi="宋体" w:eastAsia="宋体" w:cs="宋体"/>
          <w:b/>
          <w:bCs/>
          <w:color w:val="auto"/>
          <w:sz w:val="24"/>
          <w:highlight w:val="none"/>
        </w:rPr>
        <w:t>（说明：折扣率</w:t>
      </w:r>
      <w:r>
        <w:rPr>
          <w:rFonts w:hint="eastAsia" w:ascii="宋体" w:hAnsi="宋体" w:eastAsia="宋体" w:cs="宋体"/>
          <w:b/>
          <w:bCs/>
          <w:color w:val="auto"/>
          <w:sz w:val="24"/>
          <w:szCs w:val="22"/>
          <w:highlight w:val="none"/>
        </w:rPr>
        <w:t>9</w:t>
      </w:r>
      <w:r>
        <w:rPr>
          <w:rFonts w:hint="eastAsia" w:ascii="宋体" w:hAnsi="宋体" w:cs="宋体"/>
          <w:b/>
          <w:bCs/>
          <w:color w:val="auto"/>
          <w:sz w:val="24"/>
          <w:szCs w:val="22"/>
          <w:highlight w:val="none"/>
          <w:lang w:val="en-US" w:eastAsia="zh-CN"/>
        </w:rPr>
        <w:t>8</w:t>
      </w:r>
      <w:r>
        <w:rPr>
          <w:rFonts w:hint="eastAsia" w:ascii="宋体" w:hAnsi="宋体" w:eastAsia="宋体" w:cs="宋体"/>
          <w:b/>
          <w:bCs/>
          <w:color w:val="auto"/>
          <w:sz w:val="24"/>
          <w:szCs w:val="22"/>
          <w:highlight w:val="none"/>
        </w:rPr>
        <w:t>%</w:t>
      </w:r>
      <w:r>
        <w:rPr>
          <w:rFonts w:hint="eastAsia" w:ascii="宋体" w:hAnsi="宋体" w:cs="宋体"/>
          <w:b/>
          <w:bCs/>
          <w:color w:val="auto"/>
          <w:sz w:val="24"/>
          <w:szCs w:val="22"/>
          <w:highlight w:val="none"/>
          <w:lang w:val="en-US" w:eastAsia="zh-CN"/>
        </w:rPr>
        <w:t>低</w:t>
      </w:r>
      <w:r>
        <w:rPr>
          <w:rFonts w:hint="eastAsia" w:ascii="宋体" w:hAnsi="宋体" w:eastAsia="宋体" w:cs="宋体"/>
          <w:b/>
          <w:bCs/>
          <w:color w:val="auto"/>
          <w:sz w:val="24"/>
          <w:szCs w:val="22"/>
          <w:highlight w:val="none"/>
        </w:rPr>
        <w:t>于</w:t>
      </w:r>
      <w:r>
        <w:rPr>
          <w:rFonts w:hint="eastAsia" w:ascii="宋体" w:hAnsi="宋体" w:cs="宋体"/>
          <w:b/>
          <w:bCs/>
          <w:color w:val="auto"/>
          <w:sz w:val="24"/>
          <w:szCs w:val="22"/>
          <w:highlight w:val="none"/>
          <w:lang w:val="en-US" w:eastAsia="zh-CN"/>
        </w:rPr>
        <w:t>99</w:t>
      </w:r>
      <w:r>
        <w:rPr>
          <w:rFonts w:hint="eastAsia" w:ascii="宋体" w:hAnsi="宋体" w:eastAsia="宋体" w:cs="宋体"/>
          <w:b/>
          <w:bCs/>
          <w:color w:val="auto"/>
          <w:sz w:val="24"/>
          <w:szCs w:val="22"/>
          <w:highlight w:val="none"/>
        </w:rPr>
        <w:t>%）</w:t>
      </w:r>
      <w:r>
        <w:rPr>
          <w:rFonts w:hint="eastAsia" w:ascii="宋体" w:hAnsi="宋体" w:cs="宋体"/>
          <w:color w:val="auto"/>
          <w:sz w:val="24"/>
          <w:szCs w:val="24"/>
          <w:highlight w:val="none"/>
        </w:rPr>
        <w:t>，其他供应商的价格分按照下列公式计算：</w:t>
      </w:r>
    </w:p>
    <w:p w14:paraId="70EEE04F">
      <w:pPr>
        <w:widowControl w:val="0"/>
        <w:adjustRightInd w:val="0"/>
        <w:snapToGrid w:val="0"/>
        <w:spacing w:line="360" w:lineRule="auto"/>
        <w:ind w:firstLine="537" w:firstLineChars="224"/>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rPr>
        <w:t>价格分=（磋商基准价/最后磋商评审价格）×</w:t>
      </w:r>
      <w:r>
        <w:rPr>
          <w:rFonts w:hint="eastAsia" w:ascii="宋体" w:hAnsi="宋体" w:cs="宋体"/>
          <w:color w:val="auto"/>
          <w:sz w:val="24"/>
          <w:szCs w:val="24"/>
          <w:highlight w:val="none"/>
          <w:lang w:val="en-US" w:eastAsia="zh-CN"/>
        </w:rPr>
        <w:t>60</w:t>
      </w:r>
      <w:r>
        <w:rPr>
          <w:rFonts w:hint="eastAsia" w:ascii="宋体" w:hAnsi="宋体" w:cs="宋体"/>
          <w:color w:val="auto"/>
          <w:sz w:val="24"/>
          <w:szCs w:val="24"/>
          <w:highlight w:val="none"/>
          <w:lang w:eastAsia="zh-CN"/>
        </w:rPr>
        <w:t>。计算结果以四舍五入方式保留小数点</w:t>
      </w:r>
      <w:r>
        <w:rPr>
          <w:rFonts w:hint="eastAsia" w:ascii="宋体" w:hAnsi="宋体" w:cs="宋体"/>
          <w:color w:val="auto"/>
          <w:sz w:val="24"/>
          <w:szCs w:val="24"/>
          <w:highlight w:val="none"/>
          <w:lang w:val="en-US" w:eastAsia="zh-CN"/>
        </w:rPr>
        <w:t>后</w:t>
      </w:r>
      <w:r>
        <w:rPr>
          <w:rFonts w:hint="eastAsia" w:ascii="宋体" w:hAnsi="宋体" w:cs="宋体"/>
          <w:color w:val="auto"/>
          <w:sz w:val="24"/>
          <w:szCs w:val="24"/>
          <w:highlight w:val="none"/>
          <w:lang w:eastAsia="zh-CN"/>
        </w:rPr>
        <w:t>二位。</w:t>
      </w:r>
    </w:p>
    <w:p w14:paraId="22A05C30">
      <w:pPr>
        <w:pStyle w:val="30"/>
        <w:ind w:left="0" w:leftChars="0" w:firstLine="482" w:firstLineChars="200"/>
        <w:rPr>
          <w:rFonts w:hint="eastAsia" w:eastAsia="宋体"/>
          <w:b/>
          <w:bCs/>
          <w:color w:val="auto"/>
          <w:highlight w:val="none"/>
          <w:lang w:val="en-US" w:eastAsia="zh-CN"/>
        </w:rPr>
      </w:pPr>
      <w:r>
        <w:rPr>
          <w:rFonts w:hint="eastAsia" w:ascii="宋体" w:hAnsi="宋体" w:cs="宋体"/>
          <w:b/>
          <w:bCs/>
          <w:color w:val="auto"/>
          <w:sz w:val="24"/>
          <w:szCs w:val="24"/>
          <w:highlight w:val="none"/>
          <w:lang w:val="en-US" w:eastAsia="zh-CN"/>
        </w:rPr>
        <w:t>注：</w:t>
      </w:r>
      <w:r>
        <w:rPr>
          <w:rFonts w:hint="eastAsia" w:ascii="宋体" w:hAnsi="宋体" w:cs="宋体"/>
          <w:b/>
          <w:bCs/>
          <w:color w:val="auto"/>
          <w:sz w:val="24"/>
          <w:szCs w:val="22"/>
          <w:highlight w:val="none"/>
          <w:lang w:val="en-US" w:eastAsia="zh-CN"/>
        </w:rPr>
        <w:t>本项目</w:t>
      </w:r>
      <w:r>
        <w:rPr>
          <w:rFonts w:hint="eastAsia" w:ascii="宋体" w:hAnsi="宋体" w:eastAsia="宋体" w:cs="宋体"/>
          <w:b/>
          <w:bCs/>
          <w:color w:val="auto"/>
          <w:sz w:val="24"/>
          <w:szCs w:val="22"/>
          <w:highlight w:val="none"/>
        </w:rPr>
        <w:t>专门面向中小企业采购，不再执行价格评审优惠的扶持政策</w:t>
      </w:r>
      <w:r>
        <w:rPr>
          <w:rFonts w:hint="eastAsia" w:ascii="宋体" w:hAnsi="宋体" w:cs="宋体"/>
          <w:b/>
          <w:bCs/>
          <w:color w:val="auto"/>
          <w:sz w:val="24"/>
          <w:szCs w:val="22"/>
          <w:highlight w:val="none"/>
          <w:lang w:eastAsia="zh-CN"/>
        </w:rPr>
        <w:t>。</w:t>
      </w:r>
    </w:p>
    <w:p w14:paraId="394E450C">
      <w:pPr>
        <w:widowControl w:val="0"/>
        <w:adjustRightInd w:val="0"/>
        <w:snapToGrid w:val="0"/>
        <w:spacing w:line="360" w:lineRule="auto"/>
        <w:ind w:firstLine="537" w:firstLineChars="224"/>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供应商的最终磋商报价</w:t>
      </w:r>
      <w:r>
        <w:rPr>
          <w:rFonts w:hint="eastAsia" w:ascii="宋体" w:hAnsi="宋体" w:cs="宋体"/>
          <w:color w:val="auto"/>
          <w:sz w:val="24"/>
          <w:szCs w:val="24"/>
          <w:highlight w:val="none"/>
          <w:lang w:val="en-US" w:eastAsia="zh-CN"/>
        </w:rPr>
        <w:t>折扣率</w:t>
      </w:r>
      <w:r>
        <w:rPr>
          <w:rFonts w:hint="eastAsia" w:ascii="宋体" w:hAnsi="宋体" w:cs="宋体"/>
          <w:color w:val="auto"/>
          <w:sz w:val="24"/>
          <w:szCs w:val="24"/>
          <w:highlight w:val="none"/>
        </w:rPr>
        <w:t>超过采购人设定的最高</w:t>
      </w:r>
      <w:r>
        <w:rPr>
          <w:rFonts w:hint="eastAsia" w:ascii="宋体" w:hAnsi="宋体" w:cs="宋体"/>
          <w:color w:val="auto"/>
          <w:sz w:val="24"/>
          <w:szCs w:val="24"/>
          <w:highlight w:val="none"/>
          <w:lang w:val="en-US" w:eastAsia="zh-CN"/>
        </w:rPr>
        <w:t>限制折扣率</w:t>
      </w:r>
      <w:r>
        <w:rPr>
          <w:rFonts w:hint="eastAsia" w:ascii="宋体" w:hAnsi="宋体" w:cs="宋体"/>
          <w:color w:val="auto"/>
          <w:sz w:val="24"/>
          <w:szCs w:val="24"/>
          <w:highlight w:val="none"/>
        </w:rPr>
        <w:t>，其价格响应文件作无效处理。</w:t>
      </w:r>
    </w:p>
    <w:p w14:paraId="10AC8856">
      <w:pPr>
        <w:widowControl w:val="0"/>
        <w:adjustRightInd w:val="0"/>
        <w:snapToGrid w:val="0"/>
        <w:spacing w:line="360" w:lineRule="auto"/>
        <w:ind w:firstLine="537" w:firstLineChars="224"/>
        <w:rPr>
          <w:rFonts w:hint="eastAsia" w:ascii="宋体" w:hAnsi="宋体" w:eastAsia="宋体" w:cs="宋体"/>
          <w:color w:val="auto"/>
          <w:sz w:val="24"/>
          <w:highlight w:val="none"/>
        </w:rPr>
      </w:pP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lang w:val="zh-CN"/>
        </w:rPr>
        <w:t>如磋商小组会认为报价明显不合理或者明显</w:t>
      </w:r>
      <w:r>
        <w:rPr>
          <w:rFonts w:hint="eastAsia" w:ascii="宋体" w:hAnsi="宋体" w:cs="宋体"/>
          <w:color w:val="auto"/>
          <w:sz w:val="24"/>
          <w:szCs w:val="24"/>
          <w:highlight w:val="none"/>
        </w:rPr>
        <w:t>低于其他通过符合性审查供应商的报价</w:t>
      </w:r>
      <w:r>
        <w:rPr>
          <w:rFonts w:hint="eastAsia" w:ascii="宋体" w:hAnsi="宋体" w:cs="宋体"/>
          <w:color w:val="auto"/>
          <w:sz w:val="24"/>
          <w:szCs w:val="24"/>
          <w:highlight w:val="none"/>
          <w:lang w:val="en-US" w:eastAsia="zh-CN"/>
        </w:rPr>
        <w:t>20%的</w:t>
      </w:r>
      <w:r>
        <w:rPr>
          <w:rFonts w:hint="eastAsia" w:ascii="宋体" w:hAnsi="宋体" w:cs="宋体"/>
          <w:color w:val="auto"/>
          <w:sz w:val="24"/>
          <w:szCs w:val="24"/>
          <w:highlight w:val="none"/>
          <w:lang w:val="zh-CN"/>
        </w:rPr>
        <w:t>，有可能影响本项目服务质量和不能诚信履约，且在30分钟内不能提供书面材料予以解释说明的，则磋商小组</w:t>
      </w:r>
      <w:r>
        <w:rPr>
          <w:rFonts w:hint="eastAsia" w:ascii="宋体" w:hAnsi="宋体" w:cs="宋体"/>
          <w:color w:val="auto"/>
          <w:sz w:val="24"/>
          <w:szCs w:val="24"/>
          <w:highlight w:val="none"/>
        </w:rPr>
        <w:t>有权将</w:t>
      </w:r>
      <w:r>
        <w:rPr>
          <w:rFonts w:hint="eastAsia" w:ascii="宋体" w:hAnsi="宋体" w:cs="宋体"/>
          <w:color w:val="auto"/>
          <w:sz w:val="24"/>
          <w:szCs w:val="24"/>
          <w:highlight w:val="none"/>
          <w:lang w:val="zh-CN"/>
        </w:rPr>
        <w:t>该本次报价作为无效报价处理。</w:t>
      </w:r>
    </w:p>
    <w:p w14:paraId="71AB7021">
      <w:pPr>
        <w:pStyle w:val="5"/>
        <w:rPr>
          <w:rFonts w:ascii="宋体" w:hAnsi="宋体" w:cs="宋体"/>
          <w:color w:val="auto"/>
          <w:highlight w:val="none"/>
        </w:rPr>
      </w:pPr>
      <w:bookmarkStart w:id="64" w:name="_Toc20503"/>
      <w:bookmarkStart w:id="65" w:name="_Toc31318"/>
      <w:r>
        <w:rPr>
          <w:rFonts w:hint="eastAsia" w:ascii="宋体" w:hAnsi="宋体" w:cs="宋体"/>
          <w:color w:val="auto"/>
          <w:highlight w:val="none"/>
          <w:lang w:val="en-US" w:eastAsia="zh-CN"/>
        </w:rPr>
        <w:t>六</w:t>
      </w:r>
      <w:r>
        <w:rPr>
          <w:rFonts w:hint="eastAsia" w:ascii="宋体" w:hAnsi="宋体" w:cs="宋体"/>
          <w:color w:val="auto"/>
          <w:highlight w:val="none"/>
        </w:rPr>
        <w:t>、成交原则</w:t>
      </w:r>
      <w:bookmarkEnd w:id="64"/>
      <w:bookmarkEnd w:id="65"/>
    </w:p>
    <w:p w14:paraId="2C447171">
      <w:pPr>
        <w:widowControl w:val="0"/>
        <w:adjustRightInd w:val="0"/>
        <w:snapToGrid w:val="0"/>
        <w:spacing w:line="360" w:lineRule="auto"/>
        <w:ind w:firstLine="537" w:firstLineChars="224"/>
        <w:rPr>
          <w:rFonts w:ascii="宋体" w:hAnsi="宋体" w:cs="宋体"/>
          <w:color w:val="auto"/>
          <w:sz w:val="24"/>
          <w:szCs w:val="24"/>
          <w:highlight w:val="none"/>
        </w:rPr>
      </w:pPr>
      <w:r>
        <w:rPr>
          <w:rFonts w:hint="eastAsia" w:ascii="宋体" w:hAnsi="宋体" w:cs="宋体"/>
          <w:color w:val="auto"/>
          <w:sz w:val="24"/>
          <w:szCs w:val="24"/>
          <w:highlight w:val="none"/>
        </w:rPr>
        <w:t>1.严格按照采购文件规定“综合评分法，得分最高者成交”的原则确定成交供应商，法律法规和国家政策另有规定的从其规定。</w:t>
      </w:r>
    </w:p>
    <w:p w14:paraId="64D5DB8C">
      <w:pPr>
        <w:widowControl w:val="0"/>
        <w:adjustRightInd w:val="0"/>
        <w:snapToGrid w:val="0"/>
        <w:spacing w:line="360" w:lineRule="auto"/>
        <w:ind w:firstLine="537" w:firstLineChars="224"/>
        <w:rPr>
          <w:rFonts w:ascii="宋体" w:hAnsi="宋体" w:cs="宋体"/>
          <w:color w:val="auto"/>
          <w:sz w:val="24"/>
          <w:szCs w:val="24"/>
          <w:highlight w:val="none"/>
        </w:rPr>
      </w:pPr>
      <w:r>
        <w:rPr>
          <w:rFonts w:hint="eastAsia" w:ascii="宋体" w:hAnsi="宋体" w:cs="宋体"/>
          <w:color w:val="auto"/>
          <w:sz w:val="24"/>
          <w:szCs w:val="24"/>
          <w:highlight w:val="none"/>
        </w:rPr>
        <w:t>2.经成交结果公示期满无异议，成交候选供应商即成为成交供应商。</w:t>
      </w:r>
    </w:p>
    <w:p w14:paraId="364A8E5F">
      <w:pPr>
        <w:pStyle w:val="5"/>
        <w:rPr>
          <w:rFonts w:ascii="宋体" w:hAnsi="宋体" w:cs="宋体"/>
          <w:color w:val="auto"/>
          <w:highlight w:val="none"/>
        </w:rPr>
      </w:pPr>
      <w:bookmarkStart w:id="66" w:name="_Toc12731"/>
      <w:bookmarkStart w:id="67" w:name="_Toc20883"/>
      <w:r>
        <w:rPr>
          <w:rFonts w:hint="eastAsia" w:ascii="宋体" w:hAnsi="宋体" w:cs="宋体"/>
          <w:color w:val="auto"/>
          <w:highlight w:val="none"/>
          <w:lang w:val="en-US" w:eastAsia="zh-CN"/>
        </w:rPr>
        <w:t>七</w:t>
      </w:r>
      <w:r>
        <w:rPr>
          <w:rFonts w:hint="eastAsia" w:ascii="宋体" w:hAnsi="宋体" w:cs="宋体"/>
          <w:color w:val="auto"/>
          <w:highlight w:val="none"/>
        </w:rPr>
        <w:t>、保密及其它注意事项</w:t>
      </w:r>
      <w:bookmarkEnd w:id="66"/>
      <w:bookmarkEnd w:id="67"/>
    </w:p>
    <w:p w14:paraId="0AA43F39">
      <w:pPr>
        <w:widowControl w:val="0"/>
        <w:adjustRightInd w:val="0"/>
        <w:snapToGrid w:val="0"/>
        <w:spacing w:line="360" w:lineRule="auto"/>
        <w:ind w:firstLine="537" w:firstLineChars="224"/>
        <w:rPr>
          <w:rFonts w:ascii="宋体" w:hAnsi="宋体" w:cs="宋体"/>
          <w:color w:val="auto"/>
          <w:sz w:val="24"/>
          <w:szCs w:val="24"/>
          <w:highlight w:val="none"/>
        </w:rPr>
      </w:pPr>
      <w:r>
        <w:rPr>
          <w:rFonts w:hint="eastAsia" w:ascii="宋体" w:hAnsi="宋体" w:cs="宋体"/>
          <w:color w:val="auto"/>
          <w:sz w:val="24"/>
          <w:szCs w:val="24"/>
          <w:highlight w:val="none"/>
        </w:rPr>
        <w:t>1.评审是磋商过程中的重要环节，评审工作在磋商小组成员内独立进行。磋商小组将遵照评分原则，公正、公平、客观地对待所有供应商。</w:t>
      </w:r>
    </w:p>
    <w:p w14:paraId="6142B704">
      <w:pPr>
        <w:widowControl w:val="0"/>
        <w:adjustRightInd w:val="0"/>
        <w:snapToGrid w:val="0"/>
        <w:spacing w:line="360" w:lineRule="auto"/>
        <w:ind w:firstLine="537" w:firstLineChars="224"/>
        <w:rPr>
          <w:rFonts w:ascii="宋体" w:hAnsi="宋体" w:cs="宋体"/>
          <w:color w:val="auto"/>
          <w:sz w:val="24"/>
          <w:szCs w:val="24"/>
          <w:highlight w:val="none"/>
        </w:rPr>
      </w:pPr>
      <w:r>
        <w:rPr>
          <w:rFonts w:hint="eastAsia" w:ascii="宋体" w:hAnsi="宋体" w:cs="宋体"/>
          <w:color w:val="auto"/>
          <w:sz w:val="24"/>
          <w:szCs w:val="24"/>
          <w:highlight w:val="none"/>
        </w:rPr>
        <w:t>2.在磋商期间，供应商不得向磋商小组询问评分情况，不得进行旨在影响磋商评审结果的活动。</w:t>
      </w:r>
    </w:p>
    <w:p w14:paraId="6D832051">
      <w:pPr>
        <w:widowControl w:val="0"/>
        <w:adjustRightInd w:val="0"/>
        <w:snapToGrid w:val="0"/>
        <w:spacing w:line="360" w:lineRule="auto"/>
        <w:ind w:firstLine="537" w:firstLineChars="224"/>
        <w:rPr>
          <w:rFonts w:ascii="宋体" w:hAnsi="宋体" w:cs="宋体"/>
          <w:color w:val="auto"/>
          <w:sz w:val="24"/>
          <w:szCs w:val="24"/>
          <w:highlight w:val="none"/>
        </w:rPr>
      </w:pPr>
      <w:r>
        <w:rPr>
          <w:rFonts w:hint="eastAsia" w:ascii="宋体" w:hAnsi="宋体" w:cs="宋体"/>
          <w:color w:val="auto"/>
          <w:sz w:val="24"/>
          <w:szCs w:val="24"/>
          <w:highlight w:val="none"/>
        </w:rPr>
        <w:t>3.为保证确定成交人的公正性，在磋商评审过程中，磋商小组成员不得与供应商私下交换意见。在磋商工作结束后与磋商评审工作有接触的任何人，不得将评分情况外泄。</w:t>
      </w:r>
    </w:p>
    <w:p w14:paraId="131BD467">
      <w:pPr>
        <w:widowControl w:val="0"/>
        <w:adjustRightInd w:val="0"/>
        <w:snapToGrid w:val="0"/>
        <w:spacing w:line="360" w:lineRule="auto"/>
        <w:ind w:firstLine="537" w:firstLineChars="224"/>
        <w:rPr>
          <w:rFonts w:ascii="宋体" w:hAnsi="宋体" w:cs="宋体"/>
          <w:color w:val="auto"/>
          <w:sz w:val="24"/>
          <w:szCs w:val="24"/>
          <w:highlight w:val="none"/>
        </w:rPr>
      </w:pPr>
      <w:r>
        <w:rPr>
          <w:rFonts w:hint="eastAsia" w:ascii="宋体" w:hAnsi="宋体" w:cs="宋体"/>
          <w:color w:val="auto"/>
          <w:sz w:val="24"/>
          <w:szCs w:val="24"/>
          <w:highlight w:val="none"/>
        </w:rPr>
        <w:t>4.采购单位、代理机构及磋商小组成员不向未成交人解释未成交原因，不退还磋商响应文件。</w:t>
      </w:r>
    </w:p>
    <w:p w14:paraId="6C209F2D">
      <w:pPr>
        <w:tabs>
          <w:tab w:val="left" w:pos="1260"/>
          <w:tab w:val="left" w:pos="1620"/>
        </w:tabs>
        <w:adjustRightIn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注：</w:t>
      </w:r>
      <w:r>
        <w:rPr>
          <w:rFonts w:hint="eastAsia" w:ascii="宋体" w:hAnsi="宋体" w:eastAsia="宋体" w:cs="宋体"/>
          <w:color w:val="auto"/>
          <w:sz w:val="24"/>
          <w:szCs w:val="24"/>
          <w:highlight w:val="none"/>
        </w:rPr>
        <w:t>1、进行符合性审查过程中，磋商小组成员意见不同时，按少数服从多数的原则确定。</w:t>
      </w:r>
    </w:p>
    <w:p w14:paraId="617EAD1B">
      <w:pPr>
        <w:tabs>
          <w:tab w:val="left" w:pos="1260"/>
          <w:tab w:val="left" w:pos="1620"/>
        </w:tabs>
        <w:adjustRightIn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、有下列情形之一的，视为供应商相互串通：</w:t>
      </w:r>
    </w:p>
    <w:p w14:paraId="0D62CBD2">
      <w:pPr>
        <w:tabs>
          <w:tab w:val="left" w:pos="1260"/>
          <w:tab w:val="left" w:pos="1620"/>
        </w:tabs>
        <w:adjustRightInd w:val="0"/>
        <w:spacing w:line="360" w:lineRule="auto"/>
        <w:ind w:left="424" w:leftChars="202"/>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（1）不同供应商的响应文件由同一单位或者个人编制；</w:t>
      </w:r>
    </w:p>
    <w:p w14:paraId="571B7850">
      <w:pPr>
        <w:tabs>
          <w:tab w:val="left" w:pos="1260"/>
          <w:tab w:val="left" w:pos="1620"/>
        </w:tabs>
        <w:adjustRightInd w:val="0"/>
        <w:spacing w:line="360" w:lineRule="auto"/>
        <w:ind w:left="424" w:leftChars="202"/>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（2）不同供应商委托同一单位或者个人办理磋商事宜；</w:t>
      </w:r>
    </w:p>
    <w:p w14:paraId="4771B411">
      <w:pPr>
        <w:tabs>
          <w:tab w:val="left" w:pos="1260"/>
          <w:tab w:val="left" w:pos="1620"/>
        </w:tabs>
        <w:adjustRightInd w:val="0"/>
        <w:spacing w:line="360" w:lineRule="auto"/>
        <w:ind w:left="424" w:leftChars="202"/>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（3）不同供应商的响应文件载明的项目管理成员或者联系人员为同一人；</w:t>
      </w:r>
    </w:p>
    <w:p w14:paraId="484F064F">
      <w:pPr>
        <w:tabs>
          <w:tab w:val="left" w:pos="1260"/>
          <w:tab w:val="left" w:pos="1620"/>
        </w:tabs>
        <w:adjustRightInd w:val="0"/>
        <w:spacing w:line="360" w:lineRule="auto"/>
        <w:ind w:left="424" w:leftChars="202"/>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（4）不同供应商的响应文件异常一致或者报价呈规律性差异；</w:t>
      </w:r>
    </w:p>
    <w:p w14:paraId="3A529B65">
      <w:pPr>
        <w:tabs>
          <w:tab w:val="left" w:pos="1260"/>
          <w:tab w:val="left" w:pos="1620"/>
        </w:tabs>
        <w:adjustRightInd w:val="0"/>
        <w:spacing w:line="360" w:lineRule="auto"/>
        <w:ind w:left="424" w:leftChars="202"/>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（5）不同供应商的响应文件相互混装。</w:t>
      </w:r>
    </w:p>
    <w:p w14:paraId="78212180">
      <w:pPr>
        <w:tabs>
          <w:tab w:val="left" w:pos="1260"/>
          <w:tab w:val="left" w:pos="1620"/>
        </w:tabs>
        <w:adjustRightInd w:val="0"/>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、有下列情形之一的，属于提供虚假材料谋取成交的行为：</w:t>
      </w:r>
    </w:p>
    <w:p w14:paraId="54B9771C">
      <w:pPr>
        <w:tabs>
          <w:tab w:val="left" w:pos="1260"/>
          <w:tab w:val="left" w:pos="1620"/>
        </w:tabs>
        <w:adjustRightInd w:val="0"/>
        <w:spacing w:line="360" w:lineRule="auto"/>
        <w:ind w:left="424" w:leftChars="202"/>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（1）使用伪造、变造的许可证件；</w:t>
      </w:r>
    </w:p>
    <w:p w14:paraId="13927D40">
      <w:pPr>
        <w:tabs>
          <w:tab w:val="left" w:pos="1260"/>
          <w:tab w:val="left" w:pos="1620"/>
        </w:tabs>
        <w:adjustRightInd w:val="0"/>
        <w:spacing w:line="360" w:lineRule="auto"/>
        <w:ind w:left="424" w:leftChars="202"/>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（2）提供虚假的财务状况或者业绩；</w:t>
      </w:r>
    </w:p>
    <w:p w14:paraId="2F7B7F65">
      <w:pPr>
        <w:tabs>
          <w:tab w:val="left" w:pos="1260"/>
          <w:tab w:val="left" w:pos="1620"/>
        </w:tabs>
        <w:adjustRightInd w:val="0"/>
        <w:spacing w:line="360" w:lineRule="auto"/>
        <w:ind w:left="424" w:leftChars="202"/>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（3）提供虚假的项目负责人或者主要技术人员简历、劳动关系证明；</w:t>
      </w:r>
    </w:p>
    <w:p w14:paraId="2E7DC037">
      <w:pPr>
        <w:tabs>
          <w:tab w:val="left" w:pos="1260"/>
          <w:tab w:val="left" w:pos="1620"/>
        </w:tabs>
        <w:adjustRightInd w:val="0"/>
        <w:spacing w:line="360" w:lineRule="auto"/>
        <w:ind w:left="424" w:leftChars="202"/>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（4）提供虚假的信用状况；</w:t>
      </w:r>
    </w:p>
    <w:p w14:paraId="292D6276">
      <w:pPr>
        <w:tabs>
          <w:tab w:val="left" w:pos="1260"/>
          <w:tab w:val="left" w:pos="1620"/>
        </w:tabs>
        <w:adjustRightInd w:val="0"/>
        <w:spacing w:line="360" w:lineRule="auto"/>
        <w:ind w:left="424" w:leftChars="202"/>
        <w:textAlignment w:val="baseline"/>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（5）其他弄虚作假的行为。</w:t>
      </w:r>
      <w:bookmarkEnd w:id="50"/>
      <w:bookmarkEnd w:id="53"/>
      <w:bookmarkStart w:id="68" w:name="_Toc410631198"/>
      <w:bookmarkStart w:id="69" w:name="_Toc414446034"/>
    </w:p>
    <w:bookmarkEnd w:id="68"/>
    <w:bookmarkEnd w:id="69"/>
    <w:p w14:paraId="4BF6723E">
      <w:pPr>
        <w:rPr>
          <w:rFonts w:hint="eastAsia" w:ascii="宋体" w:hAnsi="宋体" w:eastAsia="宋体" w:cs="宋体"/>
          <w:b/>
          <w:color w:val="auto"/>
          <w:sz w:val="28"/>
          <w:szCs w:val="28"/>
          <w:highlight w:val="none"/>
        </w:rPr>
      </w:pPr>
      <w:bookmarkStart w:id="70" w:name="_Toc21611"/>
      <w:r>
        <w:rPr>
          <w:rFonts w:hint="eastAsia" w:ascii="宋体" w:hAnsi="宋体" w:eastAsia="宋体" w:cs="宋体"/>
          <w:b/>
          <w:color w:val="auto"/>
          <w:sz w:val="28"/>
          <w:szCs w:val="28"/>
          <w:highlight w:val="none"/>
        </w:rPr>
        <w:br w:type="page"/>
      </w:r>
    </w:p>
    <w:bookmarkEnd w:id="23"/>
    <w:bookmarkEnd w:id="70"/>
    <w:p w14:paraId="3FE5E940">
      <w:pPr>
        <w:pStyle w:val="4"/>
        <w:numPr>
          <w:ilvl w:val="0"/>
          <w:numId w:val="0"/>
        </w:numPr>
        <w:bidi w:val="0"/>
        <w:jc w:val="center"/>
        <w:rPr>
          <w:rFonts w:hint="eastAsia"/>
          <w:color w:val="auto"/>
          <w:highlight w:val="none"/>
        </w:rPr>
      </w:pPr>
      <w:bookmarkStart w:id="71" w:name="_Toc2792"/>
      <w:r>
        <w:rPr>
          <w:rFonts w:hint="eastAsia"/>
          <w:color w:val="auto"/>
          <w:highlight w:val="none"/>
          <w:lang w:val="en-US" w:eastAsia="zh-CN"/>
        </w:rPr>
        <w:t xml:space="preserve">第五章  </w:t>
      </w:r>
      <w:r>
        <w:rPr>
          <w:rFonts w:hint="eastAsia"/>
          <w:color w:val="auto"/>
          <w:highlight w:val="none"/>
        </w:rPr>
        <w:t>合同条款</w:t>
      </w:r>
      <w:bookmarkEnd w:id="71"/>
    </w:p>
    <w:p w14:paraId="35DF504B">
      <w:pPr>
        <w:pStyle w:val="6"/>
        <w:spacing w:before="0" w:beforeLines="0" w:after="0" w:afterLines="0" w:line="360" w:lineRule="exact"/>
        <w:jc w:val="center"/>
        <w:rPr>
          <w:rFonts w:ascii="宋体" w:hAnsi="宋体"/>
          <w:b w:val="0"/>
          <w:sz w:val="24"/>
          <w:szCs w:val="24"/>
        </w:rPr>
      </w:pPr>
      <w:bookmarkStart w:id="72" w:name="_Toc496280943"/>
      <w:bookmarkStart w:id="73" w:name="_Toc15360"/>
      <w:bookmarkStart w:id="74" w:name="_Toc28795"/>
      <w:r>
        <w:rPr>
          <w:rFonts w:ascii="宋体" w:hAnsi="宋体"/>
          <w:sz w:val="24"/>
          <w:szCs w:val="24"/>
        </w:rPr>
        <w:t>第一部分 合同协议书</w:t>
      </w:r>
      <w:bookmarkEnd w:id="72"/>
      <w:bookmarkEnd w:id="73"/>
    </w:p>
    <w:p w14:paraId="6159A71E">
      <w:pPr>
        <w:spacing w:line="300" w:lineRule="auto"/>
        <w:rPr>
          <w:rFonts w:ascii="宋体" w:hAnsi="宋体"/>
          <w:b/>
          <w:sz w:val="21"/>
          <w:szCs w:val="21"/>
          <w:u w:val="single"/>
        </w:rPr>
      </w:pPr>
      <w:r>
        <w:rPr>
          <w:rFonts w:ascii="宋体" w:hAnsi="宋体"/>
          <w:b/>
          <w:sz w:val="21"/>
          <w:szCs w:val="21"/>
        </w:rPr>
        <w:t>发包人（全称）：</w:t>
      </w:r>
      <w:r>
        <w:rPr>
          <w:rFonts w:hint="eastAsia" w:ascii="宋体" w:hAnsi="宋体"/>
          <w:b/>
          <w:sz w:val="21"/>
          <w:szCs w:val="21"/>
          <w:u w:val="single"/>
        </w:rPr>
        <w:t xml:space="preserve">                           </w:t>
      </w:r>
    </w:p>
    <w:p w14:paraId="7D9D375A">
      <w:pPr>
        <w:spacing w:line="300" w:lineRule="auto"/>
        <w:rPr>
          <w:rFonts w:ascii="宋体" w:hAnsi="宋体"/>
          <w:b/>
          <w:sz w:val="21"/>
          <w:szCs w:val="21"/>
          <w:u w:val="single"/>
        </w:rPr>
      </w:pPr>
      <w:r>
        <w:rPr>
          <w:rFonts w:ascii="宋体" w:hAnsi="宋体"/>
          <w:b/>
          <w:sz w:val="21"/>
          <w:szCs w:val="21"/>
        </w:rPr>
        <w:t>承包人（全称）：</w:t>
      </w:r>
      <w:r>
        <w:rPr>
          <w:rFonts w:hint="eastAsia" w:ascii="宋体" w:hAnsi="宋体"/>
          <w:sz w:val="21"/>
          <w:szCs w:val="21"/>
          <w:u w:val="single"/>
        </w:rPr>
        <w:t xml:space="preserve">                         </w:t>
      </w:r>
      <w:r>
        <w:rPr>
          <w:rFonts w:hint="eastAsia" w:ascii="宋体" w:hAnsi="宋体"/>
          <w:b/>
          <w:sz w:val="21"/>
          <w:szCs w:val="21"/>
          <w:u w:val="single"/>
        </w:rPr>
        <w:t xml:space="preserve">  </w:t>
      </w:r>
    </w:p>
    <w:p w14:paraId="490A005E">
      <w:pPr>
        <w:spacing w:line="300" w:lineRule="auto"/>
        <w:jc w:val="left"/>
        <w:rPr>
          <w:rFonts w:ascii="宋体" w:hAnsi="宋体"/>
          <w:b/>
          <w:sz w:val="21"/>
          <w:szCs w:val="21"/>
        </w:rPr>
      </w:pPr>
      <w:r>
        <w:rPr>
          <w:rFonts w:hint="eastAsia" w:ascii="宋体" w:hAnsi="宋体"/>
          <w:sz w:val="21"/>
          <w:szCs w:val="21"/>
        </w:rPr>
        <w:t xml:space="preserve">    </w:t>
      </w:r>
      <w:r>
        <w:rPr>
          <w:rFonts w:ascii="宋体" w:hAnsi="宋体"/>
          <w:sz w:val="21"/>
          <w:szCs w:val="21"/>
        </w:rPr>
        <w:t>根据《中华人民共和国</w:t>
      </w:r>
      <w:r>
        <w:rPr>
          <w:rFonts w:hint="eastAsia" w:ascii="宋体" w:hAnsi="宋体"/>
          <w:sz w:val="21"/>
          <w:szCs w:val="21"/>
          <w:lang w:val="en-US" w:eastAsia="zh-CN"/>
        </w:rPr>
        <w:t>民法典</w:t>
      </w:r>
      <w:r>
        <w:rPr>
          <w:rFonts w:ascii="宋体" w:hAnsi="宋体"/>
          <w:sz w:val="21"/>
          <w:szCs w:val="21"/>
        </w:rPr>
        <w:t>》、《中华人民共和国建筑法》及有关法律规定，遵循平等、自愿、公平和诚实信用的原则，双方就</w:t>
      </w:r>
      <w:r>
        <w:rPr>
          <w:rFonts w:hint="eastAsia" w:ascii="宋体" w:hAnsi="宋体"/>
          <w:sz w:val="21"/>
          <w:szCs w:val="21"/>
        </w:rPr>
        <w:t xml:space="preserve"> </w:t>
      </w:r>
      <w:r>
        <w:rPr>
          <w:rFonts w:hint="eastAsia" w:ascii="宋体" w:hAnsi="宋体"/>
          <w:sz w:val="21"/>
          <w:szCs w:val="21"/>
          <w:u w:val="single"/>
        </w:rPr>
        <w:t xml:space="preserve">                </w:t>
      </w:r>
      <w:r>
        <w:rPr>
          <w:rFonts w:ascii="宋体" w:hAnsi="宋体"/>
          <w:sz w:val="21"/>
          <w:szCs w:val="21"/>
        </w:rPr>
        <w:t>工程施工及有关事项协商一致</w:t>
      </w:r>
      <w:r>
        <w:rPr>
          <w:rFonts w:hint="eastAsia" w:ascii="宋体" w:hAnsi="宋体"/>
          <w:sz w:val="21"/>
          <w:szCs w:val="21"/>
        </w:rPr>
        <w:t>，</w:t>
      </w:r>
      <w:r>
        <w:rPr>
          <w:rFonts w:ascii="宋体" w:hAnsi="宋体"/>
          <w:sz w:val="21"/>
          <w:szCs w:val="21"/>
        </w:rPr>
        <w:t>共同达成如下协议：</w:t>
      </w:r>
    </w:p>
    <w:p w14:paraId="1A261AF9">
      <w:pPr>
        <w:keepNext/>
        <w:keepLines/>
        <w:tabs>
          <w:tab w:val="left" w:pos="2460"/>
        </w:tabs>
        <w:spacing w:before="120" w:after="120" w:line="300" w:lineRule="auto"/>
        <w:outlineLvl w:val="3"/>
        <w:rPr>
          <w:rFonts w:ascii="宋体" w:hAnsi="宋体"/>
          <w:b/>
          <w:bCs/>
          <w:sz w:val="21"/>
          <w:szCs w:val="21"/>
        </w:rPr>
      </w:pPr>
      <w:r>
        <w:rPr>
          <w:rFonts w:ascii="宋体" w:hAnsi="宋体"/>
          <w:b/>
          <w:bCs/>
          <w:sz w:val="21"/>
          <w:szCs w:val="21"/>
        </w:rPr>
        <w:t xml:space="preserve">   </w:t>
      </w:r>
      <w:r>
        <w:rPr>
          <w:rFonts w:ascii="宋体" w:hAnsi="宋体"/>
          <w:sz w:val="21"/>
          <w:szCs w:val="21"/>
        </w:rPr>
        <w:t xml:space="preserve"> </w:t>
      </w:r>
      <w:bookmarkStart w:id="75" w:name="_Toc351203481"/>
      <w:r>
        <w:rPr>
          <w:rFonts w:ascii="宋体" w:hAnsi="宋体"/>
          <w:sz w:val="21"/>
          <w:szCs w:val="21"/>
        </w:rPr>
        <w:t>一、工程概况</w:t>
      </w:r>
      <w:bookmarkEnd w:id="75"/>
      <w:r>
        <w:rPr>
          <w:rFonts w:ascii="宋体" w:hAnsi="宋体"/>
          <w:sz w:val="21"/>
          <w:szCs w:val="21"/>
        </w:rPr>
        <w:tab/>
      </w:r>
    </w:p>
    <w:p w14:paraId="39742D4A">
      <w:pPr>
        <w:spacing w:line="300" w:lineRule="auto"/>
        <w:ind w:firstLine="411" w:firstLineChars="196"/>
        <w:rPr>
          <w:rFonts w:ascii="宋体" w:hAnsi="宋体"/>
          <w:sz w:val="21"/>
          <w:szCs w:val="21"/>
          <w:u w:val="single"/>
        </w:rPr>
      </w:pPr>
      <w:r>
        <w:rPr>
          <w:rFonts w:ascii="宋体" w:hAnsi="宋体"/>
          <w:bCs/>
          <w:sz w:val="21"/>
          <w:szCs w:val="21"/>
        </w:rPr>
        <w:t>1.工程名称</w:t>
      </w:r>
      <w:r>
        <w:rPr>
          <w:rFonts w:ascii="宋体" w:hAnsi="宋体"/>
          <w:sz w:val="21"/>
          <w:szCs w:val="21"/>
        </w:rPr>
        <w:t>：</w:t>
      </w:r>
      <w:r>
        <w:rPr>
          <w:rFonts w:hint="eastAsia" w:ascii="宋体" w:hAnsi="宋体"/>
          <w:sz w:val="21"/>
          <w:szCs w:val="21"/>
          <w:u w:val="single"/>
          <w:lang w:eastAsia="zh-CN"/>
        </w:rPr>
        <w:t>浙江省金华监狱东关押点操场维修工程</w:t>
      </w:r>
      <w:r>
        <w:rPr>
          <w:rFonts w:ascii="宋体" w:hAnsi="宋体"/>
          <w:sz w:val="21"/>
          <w:szCs w:val="21"/>
        </w:rPr>
        <w:t>。</w:t>
      </w:r>
    </w:p>
    <w:p w14:paraId="21F9B91C">
      <w:pPr>
        <w:spacing w:line="300" w:lineRule="auto"/>
        <w:ind w:firstLine="411" w:firstLineChars="196"/>
        <w:rPr>
          <w:rFonts w:hint="eastAsia" w:ascii="宋体" w:hAnsi="宋体" w:eastAsia="宋体" w:cs="MingLiU_HKSCS"/>
          <w:sz w:val="21"/>
          <w:szCs w:val="21"/>
          <w:u w:val="single"/>
          <w:lang w:eastAsia="zh-CN"/>
        </w:rPr>
      </w:pPr>
      <w:r>
        <w:rPr>
          <w:rFonts w:ascii="宋体" w:hAnsi="宋体"/>
          <w:bCs/>
          <w:sz w:val="21"/>
          <w:szCs w:val="21"/>
        </w:rPr>
        <w:t>2.工程地点：</w:t>
      </w:r>
      <w:r>
        <w:rPr>
          <w:rFonts w:hint="eastAsia" w:ascii="宋体" w:hAnsi="宋体"/>
          <w:sz w:val="21"/>
          <w:szCs w:val="21"/>
          <w:u w:val="single"/>
          <w:lang w:eastAsia="zh-CN"/>
        </w:rPr>
        <w:t>浙江省金华监狱</w:t>
      </w:r>
    </w:p>
    <w:p w14:paraId="320454F1">
      <w:pPr>
        <w:spacing w:line="300" w:lineRule="auto"/>
        <w:ind w:firstLine="411" w:firstLineChars="196"/>
        <w:rPr>
          <w:rFonts w:ascii="宋体" w:hAnsi="宋体"/>
          <w:bCs/>
          <w:sz w:val="21"/>
          <w:szCs w:val="21"/>
        </w:rPr>
      </w:pPr>
      <w:r>
        <w:rPr>
          <w:rFonts w:ascii="宋体" w:hAnsi="宋体"/>
          <w:bCs/>
          <w:sz w:val="21"/>
          <w:szCs w:val="21"/>
        </w:rPr>
        <w:t>3.工程立项批准文号：</w:t>
      </w:r>
      <w:r>
        <w:rPr>
          <w:rFonts w:hint="eastAsia" w:ascii="宋体" w:hAnsi="宋体" w:cs="MingLiU_HKSCS"/>
          <w:sz w:val="21"/>
          <w:szCs w:val="21"/>
          <w:u w:val="single"/>
          <w:lang w:val="en-US" w:eastAsia="zh-CN"/>
        </w:rPr>
        <w:t>浙财采备（2025）13438号</w:t>
      </w:r>
      <w:r>
        <w:rPr>
          <w:rFonts w:ascii="宋体" w:hAnsi="宋体"/>
          <w:bCs/>
          <w:sz w:val="21"/>
          <w:szCs w:val="21"/>
        </w:rPr>
        <w:t>。</w:t>
      </w:r>
    </w:p>
    <w:p w14:paraId="0FECB30B">
      <w:pPr>
        <w:spacing w:line="300" w:lineRule="auto"/>
        <w:ind w:firstLine="411" w:firstLineChars="196"/>
        <w:rPr>
          <w:rFonts w:hint="eastAsia" w:ascii="宋体" w:hAnsi="宋体"/>
          <w:bCs/>
          <w:sz w:val="21"/>
          <w:szCs w:val="21"/>
        </w:rPr>
      </w:pPr>
      <w:r>
        <w:rPr>
          <w:rFonts w:ascii="宋体" w:hAnsi="宋体"/>
          <w:bCs/>
          <w:sz w:val="21"/>
          <w:szCs w:val="21"/>
        </w:rPr>
        <w:t>4.资金来源：</w:t>
      </w:r>
      <w:r>
        <w:rPr>
          <w:rFonts w:hint="eastAsia" w:ascii="宋体" w:hAnsi="宋体"/>
          <w:sz w:val="21"/>
          <w:szCs w:val="21"/>
          <w:u w:val="single"/>
          <w:lang w:val="en-US" w:eastAsia="zh-CN"/>
        </w:rPr>
        <w:t>财政资金</w:t>
      </w:r>
      <w:r>
        <w:rPr>
          <w:rFonts w:ascii="宋体" w:hAnsi="宋体"/>
          <w:bCs/>
          <w:sz w:val="21"/>
          <w:szCs w:val="21"/>
        </w:rPr>
        <w:t>。</w:t>
      </w:r>
    </w:p>
    <w:p w14:paraId="3B225343">
      <w:pPr>
        <w:spacing w:line="300" w:lineRule="auto"/>
        <w:ind w:firstLine="411" w:firstLineChars="196"/>
        <w:rPr>
          <w:rFonts w:hint="eastAsia" w:ascii="宋体" w:hAnsi="宋体"/>
          <w:sz w:val="21"/>
          <w:szCs w:val="21"/>
          <w:u w:val="single"/>
        </w:rPr>
      </w:pPr>
      <w:r>
        <w:rPr>
          <w:rFonts w:hint="eastAsia" w:ascii="宋体" w:hAnsi="宋体"/>
          <w:bCs/>
          <w:sz w:val="21"/>
          <w:szCs w:val="21"/>
        </w:rPr>
        <w:t>5.工程内容：</w:t>
      </w:r>
      <w:r>
        <w:rPr>
          <w:rFonts w:hint="eastAsia" w:ascii="宋体" w:hAnsi="宋体"/>
          <w:sz w:val="21"/>
          <w:szCs w:val="21"/>
          <w:u w:val="single"/>
          <w:lang w:eastAsia="zh-CN"/>
        </w:rPr>
        <w:t>施工图纸范围内硅pu、人造草坪、排水沟等内容，详见施工图及招标控制价，具体以采购人要求为准</w:t>
      </w:r>
      <w:r>
        <w:rPr>
          <w:rFonts w:ascii="宋体" w:hAnsi="宋体"/>
          <w:bCs/>
          <w:sz w:val="21"/>
          <w:szCs w:val="21"/>
        </w:rPr>
        <w:t>。</w:t>
      </w:r>
    </w:p>
    <w:p w14:paraId="21222AFE">
      <w:pPr>
        <w:spacing w:line="300" w:lineRule="auto"/>
        <w:ind w:firstLine="411" w:firstLineChars="196"/>
        <w:rPr>
          <w:rFonts w:ascii="宋体" w:hAnsi="宋体"/>
          <w:bCs/>
          <w:sz w:val="21"/>
          <w:szCs w:val="21"/>
        </w:rPr>
      </w:pPr>
      <w:r>
        <w:rPr>
          <w:rFonts w:hint="eastAsia" w:ascii="宋体" w:hAnsi="宋体"/>
          <w:sz w:val="21"/>
          <w:szCs w:val="21"/>
        </w:rPr>
        <w:t>群体工程应附《</w:t>
      </w:r>
      <w:r>
        <w:rPr>
          <w:rFonts w:ascii="宋体" w:hAnsi="宋体"/>
          <w:sz w:val="21"/>
          <w:szCs w:val="21"/>
        </w:rPr>
        <w:t>承包人承揽工程项目一览表</w:t>
      </w:r>
      <w:r>
        <w:rPr>
          <w:rFonts w:hint="eastAsia" w:ascii="宋体" w:hAnsi="宋体"/>
          <w:sz w:val="21"/>
          <w:szCs w:val="21"/>
        </w:rPr>
        <w:t>》（附件1）。</w:t>
      </w:r>
    </w:p>
    <w:p w14:paraId="6473D676">
      <w:pPr>
        <w:spacing w:line="300" w:lineRule="auto"/>
        <w:ind w:firstLine="411" w:firstLineChars="196"/>
        <w:rPr>
          <w:rFonts w:ascii="宋体" w:hAnsi="宋体"/>
          <w:bCs/>
          <w:sz w:val="21"/>
          <w:szCs w:val="21"/>
        </w:rPr>
      </w:pPr>
      <w:r>
        <w:rPr>
          <w:rFonts w:hint="eastAsia" w:ascii="宋体" w:hAnsi="宋体"/>
          <w:bCs/>
          <w:sz w:val="21"/>
          <w:szCs w:val="21"/>
        </w:rPr>
        <w:t>6</w:t>
      </w:r>
      <w:r>
        <w:rPr>
          <w:rFonts w:ascii="宋体" w:hAnsi="宋体"/>
          <w:bCs/>
          <w:sz w:val="21"/>
          <w:szCs w:val="21"/>
        </w:rPr>
        <w:t>.工程承包范围：</w:t>
      </w:r>
    </w:p>
    <w:p w14:paraId="18052C75">
      <w:pPr>
        <w:spacing w:line="300" w:lineRule="auto"/>
        <w:ind w:firstLine="405" w:firstLineChars="193"/>
        <w:rPr>
          <w:rFonts w:hint="eastAsia" w:ascii="宋体" w:hAnsi="宋体"/>
          <w:sz w:val="21"/>
          <w:szCs w:val="21"/>
        </w:rPr>
      </w:pPr>
      <w:r>
        <w:rPr>
          <w:rFonts w:hint="eastAsia" w:ascii="宋体" w:hAnsi="宋体"/>
          <w:sz w:val="21"/>
          <w:szCs w:val="21"/>
          <w:u w:val="single"/>
        </w:rPr>
        <w:t>工期、人工、材料、机械、质量、安全等</w:t>
      </w:r>
      <w:r>
        <w:rPr>
          <w:rFonts w:hint="eastAsia" w:ascii="宋体" w:hAnsi="宋体"/>
          <w:b/>
          <w:sz w:val="21"/>
          <w:szCs w:val="21"/>
          <w:u w:val="single"/>
        </w:rPr>
        <w:t>。</w:t>
      </w:r>
    </w:p>
    <w:p w14:paraId="36F359E4">
      <w:pPr>
        <w:keepNext/>
        <w:keepLines/>
        <w:spacing w:before="120" w:after="120" w:line="300" w:lineRule="auto"/>
        <w:outlineLvl w:val="3"/>
        <w:rPr>
          <w:rFonts w:ascii="宋体" w:hAnsi="宋体"/>
          <w:sz w:val="21"/>
          <w:szCs w:val="21"/>
        </w:rPr>
      </w:pPr>
      <w:r>
        <w:rPr>
          <w:rFonts w:ascii="宋体" w:hAnsi="宋体"/>
          <w:sz w:val="21"/>
          <w:szCs w:val="21"/>
        </w:rPr>
        <w:t xml:space="preserve">   </w:t>
      </w:r>
      <w:bookmarkStart w:id="76" w:name="_Toc351203482"/>
      <w:r>
        <w:rPr>
          <w:rFonts w:ascii="宋体" w:hAnsi="宋体"/>
          <w:sz w:val="21"/>
          <w:szCs w:val="21"/>
        </w:rPr>
        <w:t>二、合同工期</w:t>
      </w:r>
      <w:bookmarkEnd w:id="76"/>
    </w:p>
    <w:p w14:paraId="6BDD398B">
      <w:pPr>
        <w:spacing w:line="300" w:lineRule="auto"/>
        <w:ind w:firstLine="459"/>
        <w:rPr>
          <w:rFonts w:ascii="宋体" w:hAnsi="宋体"/>
          <w:sz w:val="21"/>
          <w:szCs w:val="21"/>
        </w:rPr>
      </w:pPr>
      <w:r>
        <w:rPr>
          <w:rFonts w:ascii="宋体" w:hAnsi="宋体"/>
          <w:sz w:val="21"/>
          <w:szCs w:val="21"/>
        </w:rPr>
        <w:t>计划开工日期：</w:t>
      </w:r>
      <w:r>
        <w:rPr>
          <w:rFonts w:hint="eastAsia" w:ascii="宋体" w:hAnsi="宋体"/>
          <w:sz w:val="21"/>
          <w:szCs w:val="21"/>
          <w:u w:val="single"/>
        </w:rPr>
        <w:t xml:space="preserve">   </w:t>
      </w:r>
      <w:r>
        <w:rPr>
          <w:rFonts w:ascii="宋体" w:hAnsi="宋体"/>
          <w:sz w:val="21"/>
          <w:szCs w:val="21"/>
        </w:rPr>
        <w:t>年</w:t>
      </w:r>
      <w:r>
        <w:rPr>
          <w:rFonts w:hint="eastAsia" w:ascii="宋体" w:hAnsi="宋体"/>
          <w:sz w:val="21"/>
          <w:szCs w:val="21"/>
          <w:u w:val="single"/>
        </w:rPr>
        <w:t xml:space="preserve">   </w:t>
      </w:r>
      <w:r>
        <w:rPr>
          <w:rFonts w:ascii="宋体" w:hAnsi="宋体"/>
          <w:sz w:val="21"/>
          <w:szCs w:val="21"/>
        </w:rPr>
        <w:t>月</w:t>
      </w:r>
      <w:r>
        <w:rPr>
          <w:rFonts w:hint="eastAsia" w:ascii="宋体" w:hAnsi="宋体"/>
          <w:sz w:val="21"/>
          <w:szCs w:val="21"/>
        </w:rPr>
        <w:t xml:space="preserve"> </w:t>
      </w:r>
      <w:r>
        <w:rPr>
          <w:rFonts w:hint="eastAsia" w:ascii="宋体" w:hAnsi="宋体"/>
          <w:sz w:val="21"/>
          <w:szCs w:val="21"/>
          <w:u w:val="single"/>
        </w:rPr>
        <w:t xml:space="preserve">   </w:t>
      </w:r>
      <w:r>
        <w:rPr>
          <w:rFonts w:ascii="宋体" w:hAnsi="宋体"/>
          <w:sz w:val="21"/>
          <w:szCs w:val="21"/>
        </w:rPr>
        <w:t>日。</w:t>
      </w:r>
    </w:p>
    <w:p w14:paraId="47CE383F">
      <w:pPr>
        <w:spacing w:line="300" w:lineRule="auto"/>
        <w:ind w:firstLine="459"/>
        <w:rPr>
          <w:rFonts w:hint="eastAsia" w:ascii="宋体" w:hAnsi="宋体"/>
          <w:sz w:val="21"/>
          <w:szCs w:val="21"/>
        </w:rPr>
      </w:pPr>
      <w:r>
        <w:rPr>
          <w:rFonts w:ascii="宋体" w:hAnsi="宋体"/>
          <w:sz w:val="21"/>
          <w:szCs w:val="21"/>
        </w:rPr>
        <w:t>计划竣工日期：</w:t>
      </w:r>
      <w:r>
        <w:rPr>
          <w:rFonts w:hint="eastAsia" w:ascii="宋体" w:hAnsi="宋体"/>
          <w:sz w:val="21"/>
          <w:szCs w:val="21"/>
          <w:u w:val="single"/>
        </w:rPr>
        <w:t xml:space="preserve">   </w:t>
      </w:r>
      <w:r>
        <w:rPr>
          <w:rFonts w:ascii="宋体" w:hAnsi="宋体"/>
          <w:sz w:val="21"/>
          <w:szCs w:val="21"/>
        </w:rPr>
        <w:t>年</w:t>
      </w:r>
      <w:r>
        <w:rPr>
          <w:rFonts w:hint="eastAsia" w:ascii="宋体" w:hAnsi="宋体"/>
          <w:sz w:val="21"/>
          <w:szCs w:val="21"/>
          <w:u w:val="single"/>
        </w:rPr>
        <w:t xml:space="preserve">   </w:t>
      </w:r>
      <w:r>
        <w:rPr>
          <w:rFonts w:ascii="宋体" w:hAnsi="宋体"/>
          <w:sz w:val="21"/>
          <w:szCs w:val="21"/>
        </w:rPr>
        <w:t>月</w:t>
      </w:r>
      <w:r>
        <w:rPr>
          <w:rFonts w:hint="eastAsia" w:ascii="宋体" w:hAnsi="宋体"/>
          <w:sz w:val="21"/>
          <w:szCs w:val="21"/>
          <w:u w:val="single"/>
        </w:rPr>
        <w:t xml:space="preserve">    </w:t>
      </w:r>
      <w:r>
        <w:rPr>
          <w:rFonts w:ascii="宋体" w:hAnsi="宋体"/>
          <w:sz w:val="21"/>
          <w:szCs w:val="21"/>
        </w:rPr>
        <w:t>日。</w:t>
      </w:r>
      <w:r>
        <w:rPr>
          <w:rFonts w:hint="eastAsia" w:ascii="宋体" w:hAnsi="宋体"/>
          <w:sz w:val="21"/>
          <w:szCs w:val="21"/>
        </w:rPr>
        <w:t>（实际开工和竣工以开竣工报告为准）</w:t>
      </w:r>
    </w:p>
    <w:p w14:paraId="3C892B7A">
      <w:pPr>
        <w:spacing w:line="300" w:lineRule="auto"/>
        <w:ind w:firstLine="459"/>
        <w:rPr>
          <w:rFonts w:ascii="宋体" w:hAnsi="宋体"/>
          <w:sz w:val="21"/>
          <w:szCs w:val="21"/>
        </w:rPr>
      </w:pPr>
      <w:r>
        <w:rPr>
          <w:rFonts w:ascii="宋体" w:hAnsi="宋体"/>
          <w:sz w:val="21"/>
          <w:szCs w:val="21"/>
        </w:rPr>
        <w:t>工期总日历天数：</w:t>
      </w:r>
      <w:r>
        <w:rPr>
          <w:rFonts w:hint="eastAsia" w:ascii="宋体" w:hAnsi="宋体" w:cs="MingLiU_HKSCS"/>
          <w:sz w:val="21"/>
          <w:szCs w:val="21"/>
          <w:u w:val="single"/>
          <w:lang w:val="en-US" w:eastAsia="zh-CN"/>
        </w:rPr>
        <w:t>自合同签订之日起   日历天内完工</w:t>
      </w:r>
      <w:r>
        <w:rPr>
          <w:rFonts w:ascii="宋体" w:hAnsi="宋体"/>
          <w:sz w:val="21"/>
          <w:szCs w:val="21"/>
        </w:rPr>
        <w:t>。工期总日历天数与根据前述计划开竣工日期计算的工期天数不一致的，以工期总日历天数为准。</w:t>
      </w:r>
    </w:p>
    <w:p w14:paraId="3AD99342">
      <w:pPr>
        <w:keepNext/>
        <w:keepLines/>
        <w:spacing w:before="120" w:after="120" w:line="300" w:lineRule="auto"/>
        <w:outlineLvl w:val="3"/>
        <w:rPr>
          <w:rFonts w:ascii="宋体" w:hAnsi="宋体"/>
          <w:b/>
          <w:bCs/>
          <w:sz w:val="21"/>
          <w:szCs w:val="21"/>
        </w:rPr>
      </w:pPr>
      <w:r>
        <w:rPr>
          <w:rFonts w:ascii="宋体" w:hAnsi="宋体"/>
          <w:b/>
          <w:bCs/>
          <w:sz w:val="21"/>
          <w:szCs w:val="21"/>
        </w:rPr>
        <w:t xml:space="preserve">    </w:t>
      </w:r>
      <w:bookmarkStart w:id="77" w:name="_Toc351203483"/>
      <w:r>
        <w:rPr>
          <w:rFonts w:ascii="宋体" w:hAnsi="宋体"/>
          <w:sz w:val="21"/>
          <w:szCs w:val="21"/>
        </w:rPr>
        <w:t>三、质量标准</w:t>
      </w:r>
      <w:bookmarkEnd w:id="77"/>
    </w:p>
    <w:p w14:paraId="6E77F414">
      <w:pPr>
        <w:spacing w:line="300" w:lineRule="auto"/>
        <w:ind w:firstLine="459"/>
        <w:rPr>
          <w:rFonts w:ascii="宋体" w:hAnsi="宋体"/>
          <w:sz w:val="21"/>
          <w:szCs w:val="21"/>
        </w:rPr>
      </w:pPr>
      <w:r>
        <w:rPr>
          <w:rFonts w:ascii="宋体" w:hAnsi="宋体"/>
          <w:sz w:val="21"/>
          <w:szCs w:val="21"/>
        </w:rPr>
        <w:t>工程质量符合</w:t>
      </w:r>
      <w:r>
        <w:rPr>
          <w:rFonts w:hint="eastAsia" w:ascii="宋体" w:hAnsi="宋体" w:cs="MingLiU_HKSCS"/>
          <w:sz w:val="21"/>
          <w:szCs w:val="21"/>
          <w:u w:val="single"/>
        </w:rPr>
        <w:t>不低于国家相关验收的合格</w:t>
      </w:r>
      <w:r>
        <w:rPr>
          <w:rFonts w:ascii="宋体" w:hAnsi="宋体"/>
          <w:sz w:val="21"/>
          <w:szCs w:val="21"/>
          <w:u w:val="single"/>
        </w:rPr>
        <w:t>标准</w:t>
      </w:r>
      <w:r>
        <w:rPr>
          <w:rFonts w:ascii="宋体" w:hAnsi="宋体"/>
          <w:sz w:val="21"/>
          <w:szCs w:val="21"/>
        </w:rPr>
        <w:t>。</w:t>
      </w:r>
    </w:p>
    <w:p w14:paraId="38BB12B9">
      <w:pPr>
        <w:keepNext/>
        <w:keepLines/>
        <w:spacing w:before="120" w:after="120" w:line="300" w:lineRule="auto"/>
        <w:outlineLvl w:val="3"/>
        <w:rPr>
          <w:rFonts w:ascii="宋体" w:hAnsi="宋体"/>
          <w:b/>
          <w:bCs/>
          <w:sz w:val="21"/>
          <w:szCs w:val="21"/>
        </w:rPr>
      </w:pPr>
      <w:r>
        <w:rPr>
          <w:rFonts w:ascii="宋体" w:hAnsi="宋体"/>
          <w:b/>
          <w:bCs/>
          <w:sz w:val="21"/>
          <w:szCs w:val="21"/>
        </w:rPr>
        <w:t xml:space="preserve">   </w:t>
      </w:r>
      <w:r>
        <w:rPr>
          <w:rFonts w:ascii="宋体" w:hAnsi="宋体"/>
          <w:sz w:val="21"/>
          <w:szCs w:val="21"/>
        </w:rPr>
        <w:t xml:space="preserve"> </w:t>
      </w:r>
      <w:bookmarkStart w:id="78" w:name="_Toc351203484"/>
      <w:r>
        <w:rPr>
          <w:rFonts w:ascii="宋体" w:hAnsi="宋体"/>
          <w:sz w:val="21"/>
          <w:szCs w:val="21"/>
        </w:rPr>
        <w:t>四、签约合同价与合同价格形式</w:t>
      </w:r>
      <w:bookmarkEnd w:id="78"/>
      <w:r>
        <w:rPr>
          <w:rFonts w:hint="eastAsia" w:ascii="宋体" w:hAnsi="宋体"/>
          <w:sz w:val="21"/>
          <w:szCs w:val="21"/>
        </w:rPr>
        <w:t>：</w:t>
      </w:r>
    </w:p>
    <w:p w14:paraId="31A48F38">
      <w:pPr>
        <w:spacing w:line="300" w:lineRule="auto"/>
        <w:ind w:firstLine="420" w:firstLineChars="200"/>
        <w:rPr>
          <w:rFonts w:ascii="宋体" w:hAnsi="宋体"/>
          <w:sz w:val="21"/>
          <w:szCs w:val="21"/>
        </w:rPr>
      </w:pPr>
      <w:r>
        <w:rPr>
          <w:rFonts w:ascii="宋体" w:hAnsi="宋体"/>
          <w:sz w:val="21"/>
          <w:szCs w:val="21"/>
        </w:rPr>
        <w:t>1.签约合同价为：</w:t>
      </w:r>
    </w:p>
    <w:p w14:paraId="7F4135AA">
      <w:pPr>
        <w:spacing w:line="300" w:lineRule="auto"/>
        <w:ind w:firstLine="420" w:firstLineChars="200"/>
        <w:rPr>
          <w:rFonts w:ascii="宋体" w:hAnsi="宋体"/>
          <w:sz w:val="21"/>
          <w:szCs w:val="21"/>
        </w:rPr>
      </w:pPr>
      <w:r>
        <w:rPr>
          <w:rFonts w:ascii="宋体" w:hAnsi="宋体"/>
          <w:sz w:val="21"/>
          <w:szCs w:val="21"/>
        </w:rPr>
        <w:t>人民币（大写）</w:t>
      </w:r>
      <w:r>
        <w:rPr>
          <w:rFonts w:hint="eastAsia" w:ascii="宋体" w:hAnsi="宋体"/>
          <w:sz w:val="21"/>
          <w:szCs w:val="21"/>
          <w:u w:val="single"/>
        </w:rPr>
        <w:t xml:space="preserve">                     元整  </w:t>
      </w:r>
      <w:r>
        <w:rPr>
          <w:rFonts w:ascii="宋体" w:hAnsi="宋体"/>
          <w:sz w:val="21"/>
          <w:szCs w:val="21"/>
        </w:rPr>
        <w:t>(¥</w:t>
      </w:r>
      <w:r>
        <w:rPr>
          <w:rFonts w:hint="eastAsia" w:ascii="宋体" w:hAnsi="宋体"/>
          <w:sz w:val="21"/>
          <w:szCs w:val="21"/>
          <w:u w:val="single"/>
        </w:rPr>
        <w:t xml:space="preserve">        </w:t>
      </w:r>
      <w:r>
        <w:rPr>
          <w:rFonts w:ascii="宋体" w:hAnsi="宋体"/>
          <w:sz w:val="21"/>
          <w:szCs w:val="21"/>
        </w:rPr>
        <w:t>元)；</w:t>
      </w:r>
    </w:p>
    <w:p w14:paraId="68C68B59">
      <w:pPr>
        <w:spacing w:line="300" w:lineRule="auto"/>
        <w:ind w:firstLine="420" w:firstLineChars="200"/>
        <w:rPr>
          <w:rFonts w:ascii="宋体" w:hAnsi="宋体"/>
          <w:sz w:val="21"/>
          <w:szCs w:val="21"/>
        </w:rPr>
      </w:pPr>
      <w:r>
        <w:rPr>
          <w:rFonts w:ascii="宋体" w:hAnsi="宋体"/>
          <w:sz w:val="21"/>
          <w:szCs w:val="21"/>
        </w:rPr>
        <w:t>2.合同价格形式：</w:t>
      </w:r>
      <w:r>
        <w:rPr>
          <w:rFonts w:hint="eastAsia" w:ascii="宋体" w:hAnsi="宋体" w:cs="MingLiU_HKSCS"/>
          <w:sz w:val="21"/>
          <w:szCs w:val="21"/>
          <w:u w:val="single"/>
        </w:rPr>
        <w:t xml:space="preserve"> </w:t>
      </w:r>
      <w:r>
        <w:rPr>
          <w:rFonts w:hint="eastAsia" w:ascii="宋体" w:hAnsi="宋体"/>
          <w:sz w:val="21"/>
          <w:szCs w:val="21"/>
          <w:u w:val="single"/>
        </w:rPr>
        <w:t>采用固定综合单价合同（按专用条款12.1执行）</w:t>
      </w:r>
      <w:r>
        <w:rPr>
          <w:rFonts w:ascii="宋体" w:hAnsi="宋体"/>
          <w:sz w:val="21"/>
          <w:szCs w:val="21"/>
          <w:u w:val="single"/>
        </w:rPr>
        <w:t xml:space="preserve"> </w:t>
      </w:r>
      <w:r>
        <w:rPr>
          <w:rFonts w:ascii="宋体" w:hAnsi="宋体"/>
          <w:sz w:val="21"/>
          <w:szCs w:val="21"/>
        </w:rPr>
        <w:t>。</w:t>
      </w:r>
    </w:p>
    <w:p w14:paraId="0BCF364C">
      <w:pPr>
        <w:keepNext/>
        <w:keepLines/>
        <w:spacing w:before="120" w:after="120" w:line="300" w:lineRule="auto"/>
        <w:outlineLvl w:val="3"/>
        <w:rPr>
          <w:rFonts w:ascii="宋体" w:hAnsi="宋体"/>
          <w:sz w:val="21"/>
          <w:szCs w:val="21"/>
        </w:rPr>
      </w:pPr>
      <w:r>
        <w:rPr>
          <w:rFonts w:ascii="宋体" w:hAnsi="宋体"/>
          <w:b/>
          <w:bCs/>
          <w:sz w:val="21"/>
          <w:szCs w:val="21"/>
        </w:rPr>
        <w:t xml:space="preserve">   </w:t>
      </w:r>
      <w:r>
        <w:rPr>
          <w:rFonts w:ascii="宋体" w:hAnsi="宋体"/>
          <w:sz w:val="21"/>
          <w:szCs w:val="21"/>
        </w:rPr>
        <w:t xml:space="preserve"> </w:t>
      </w:r>
      <w:bookmarkStart w:id="79" w:name="_Toc351203485"/>
      <w:r>
        <w:rPr>
          <w:rFonts w:ascii="宋体" w:hAnsi="宋体"/>
          <w:sz w:val="21"/>
          <w:szCs w:val="21"/>
        </w:rPr>
        <w:t>五、</w:t>
      </w:r>
      <w:bookmarkEnd w:id="79"/>
      <w:r>
        <w:rPr>
          <w:rFonts w:ascii="宋体" w:hAnsi="宋体"/>
          <w:sz w:val="21"/>
          <w:szCs w:val="21"/>
        </w:rPr>
        <w:t>项目经理</w:t>
      </w:r>
    </w:p>
    <w:p w14:paraId="7D90479F">
      <w:pPr>
        <w:spacing w:line="300" w:lineRule="auto"/>
        <w:ind w:firstLine="420" w:firstLineChars="200"/>
        <w:rPr>
          <w:rFonts w:ascii="宋体" w:hAnsi="宋体"/>
          <w:sz w:val="21"/>
          <w:szCs w:val="21"/>
        </w:rPr>
      </w:pPr>
      <w:r>
        <w:rPr>
          <w:rFonts w:ascii="宋体" w:hAnsi="宋体"/>
          <w:sz w:val="21"/>
          <w:szCs w:val="21"/>
        </w:rPr>
        <w:t>承包人项目经理：</w:t>
      </w:r>
      <w:r>
        <w:rPr>
          <w:rFonts w:hint="eastAsia" w:ascii="宋体" w:hAnsi="宋体" w:cs="MingLiU_HKSCS"/>
          <w:sz w:val="21"/>
          <w:szCs w:val="21"/>
          <w:u w:val="single"/>
        </w:rPr>
        <w:t xml:space="preserve"> </w:t>
      </w:r>
      <w:r>
        <w:rPr>
          <w:rFonts w:hint="eastAsia" w:ascii="宋体" w:hAnsi="宋体"/>
          <w:sz w:val="21"/>
          <w:szCs w:val="21"/>
          <w:u w:val="single"/>
        </w:rPr>
        <w:t xml:space="preserve">    </w:t>
      </w:r>
      <w:r>
        <w:rPr>
          <w:rFonts w:ascii="宋体" w:hAnsi="宋体"/>
          <w:sz w:val="21"/>
          <w:szCs w:val="21"/>
          <w:u w:val="single"/>
        </w:rPr>
        <w:t xml:space="preserve"> </w:t>
      </w:r>
      <w:r>
        <w:rPr>
          <w:rFonts w:hint="eastAsia" w:ascii="宋体" w:hAnsi="宋体" w:cs="MingLiU_HKSCS"/>
          <w:sz w:val="21"/>
          <w:szCs w:val="21"/>
          <w:u w:val="single"/>
        </w:rPr>
        <w:t xml:space="preserve"> </w:t>
      </w:r>
      <w:r>
        <w:rPr>
          <w:rFonts w:ascii="宋体" w:hAnsi="宋体"/>
          <w:sz w:val="21"/>
          <w:szCs w:val="21"/>
        </w:rPr>
        <w:t>。</w:t>
      </w:r>
    </w:p>
    <w:p w14:paraId="4A8BBF29">
      <w:pPr>
        <w:keepNext/>
        <w:keepLines/>
        <w:spacing w:before="120" w:after="120" w:line="300" w:lineRule="auto"/>
        <w:outlineLvl w:val="3"/>
        <w:rPr>
          <w:rFonts w:ascii="宋体" w:hAnsi="宋体"/>
          <w:b/>
          <w:bCs/>
          <w:sz w:val="21"/>
          <w:szCs w:val="21"/>
        </w:rPr>
      </w:pPr>
      <w:r>
        <w:rPr>
          <w:rFonts w:ascii="宋体" w:hAnsi="宋体"/>
          <w:b/>
          <w:bCs/>
          <w:sz w:val="21"/>
          <w:szCs w:val="21"/>
        </w:rPr>
        <w:t xml:space="preserve">   </w:t>
      </w:r>
      <w:r>
        <w:rPr>
          <w:rFonts w:ascii="宋体" w:hAnsi="宋体"/>
          <w:sz w:val="21"/>
          <w:szCs w:val="21"/>
        </w:rPr>
        <w:t xml:space="preserve"> </w:t>
      </w:r>
      <w:bookmarkStart w:id="80" w:name="_Toc351203486"/>
      <w:r>
        <w:rPr>
          <w:rFonts w:ascii="宋体" w:hAnsi="宋体"/>
          <w:sz w:val="21"/>
          <w:szCs w:val="21"/>
        </w:rPr>
        <w:t>六、合同文件构成</w:t>
      </w:r>
      <w:bookmarkEnd w:id="80"/>
    </w:p>
    <w:p w14:paraId="1C1F1E6E">
      <w:pPr>
        <w:spacing w:line="300" w:lineRule="auto"/>
        <w:ind w:firstLine="420" w:firstLineChars="200"/>
        <w:rPr>
          <w:rFonts w:hint="eastAsia" w:ascii="宋体" w:hAnsi="宋体"/>
          <w:bCs/>
          <w:sz w:val="21"/>
          <w:szCs w:val="21"/>
        </w:rPr>
      </w:pPr>
      <w:r>
        <w:rPr>
          <w:rFonts w:ascii="宋体" w:hAnsi="宋体"/>
          <w:bCs/>
          <w:sz w:val="21"/>
          <w:szCs w:val="21"/>
        </w:rPr>
        <w:t>本协议书与下列文件一起构成合同文件：</w:t>
      </w:r>
      <w:r>
        <w:rPr>
          <w:rFonts w:hint="eastAsia" w:ascii="宋体" w:hAnsi="宋体"/>
          <w:bCs/>
          <w:sz w:val="21"/>
          <w:szCs w:val="21"/>
        </w:rPr>
        <w:t xml:space="preserve"> </w:t>
      </w:r>
    </w:p>
    <w:p w14:paraId="60180387">
      <w:pPr>
        <w:autoSpaceDE w:val="0"/>
        <w:autoSpaceDN w:val="0"/>
        <w:adjustRightInd w:val="0"/>
        <w:spacing w:line="300" w:lineRule="auto"/>
        <w:ind w:firstLine="315" w:firstLineChars="150"/>
        <w:jc w:val="left"/>
        <w:rPr>
          <w:rFonts w:ascii="宋体" w:hAnsi="宋体"/>
          <w:sz w:val="21"/>
          <w:szCs w:val="21"/>
        </w:rPr>
      </w:pPr>
      <w:r>
        <w:rPr>
          <w:rFonts w:ascii="宋体" w:hAnsi="宋体"/>
          <w:sz w:val="21"/>
          <w:szCs w:val="21"/>
        </w:rPr>
        <w:t>（1）</w:t>
      </w:r>
      <w:r>
        <w:rPr>
          <w:rFonts w:hint="eastAsia" w:ascii="宋体" w:hAnsi="宋体"/>
          <w:sz w:val="21"/>
          <w:szCs w:val="21"/>
        </w:rPr>
        <w:t>本合同协议书</w:t>
      </w:r>
      <w:r>
        <w:rPr>
          <w:rFonts w:ascii="宋体" w:hAnsi="宋体"/>
          <w:sz w:val="21"/>
          <w:szCs w:val="21"/>
        </w:rPr>
        <w:t>；</w:t>
      </w:r>
    </w:p>
    <w:p w14:paraId="7592E470">
      <w:pPr>
        <w:autoSpaceDE w:val="0"/>
        <w:autoSpaceDN w:val="0"/>
        <w:adjustRightInd w:val="0"/>
        <w:spacing w:line="300" w:lineRule="auto"/>
        <w:ind w:firstLine="420" w:firstLineChars="200"/>
        <w:jc w:val="left"/>
        <w:rPr>
          <w:rFonts w:ascii="宋体" w:hAnsi="宋体"/>
          <w:sz w:val="21"/>
          <w:szCs w:val="21"/>
        </w:rPr>
      </w:pPr>
      <w:r>
        <w:rPr>
          <w:rFonts w:ascii="宋体" w:hAnsi="宋体"/>
          <w:sz w:val="21"/>
          <w:szCs w:val="21"/>
        </w:rPr>
        <w:t>（2）</w:t>
      </w:r>
      <w:r>
        <w:rPr>
          <w:rFonts w:hint="eastAsia" w:ascii="宋体" w:hAnsi="宋体"/>
          <w:sz w:val="21"/>
          <w:szCs w:val="21"/>
        </w:rPr>
        <w:t>补充协议</w:t>
      </w:r>
      <w:r>
        <w:rPr>
          <w:rFonts w:ascii="宋体" w:hAnsi="宋体"/>
          <w:sz w:val="21"/>
          <w:szCs w:val="21"/>
        </w:rPr>
        <w:t xml:space="preserve">； </w:t>
      </w:r>
    </w:p>
    <w:p w14:paraId="4C9F3C21">
      <w:pPr>
        <w:autoSpaceDE w:val="0"/>
        <w:autoSpaceDN w:val="0"/>
        <w:adjustRightInd w:val="0"/>
        <w:spacing w:line="300" w:lineRule="auto"/>
        <w:ind w:firstLine="420" w:firstLineChars="200"/>
        <w:jc w:val="left"/>
        <w:rPr>
          <w:rFonts w:ascii="宋体" w:hAnsi="宋体"/>
          <w:sz w:val="21"/>
          <w:szCs w:val="21"/>
        </w:rPr>
      </w:pPr>
      <w:r>
        <w:rPr>
          <w:rFonts w:ascii="宋体" w:hAnsi="宋体"/>
          <w:sz w:val="21"/>
          <w:szCs w:val="21"/>
        </w:rPr>
        <w:t>（3）</w:t>
      </w:r>
      <w:r>
        <w:rPr>
          <w:rFonts w:hint="eastAsia" w:ascii="宋体" w:hAnsi="宋体"/>
          <w:sz w:val="21"/>
          <w:szCs w:val="21"/>
        </w:rPr>
        <w:t>本合同</w:t>
      </w:r>
      <w:r>
        <w:rPr>
          <w:rFonts w:ascii="宋体" w:hAnsi="宋体"/>
          <w:sz w:val="21"/>
          <w:szCs w:val="21"/>
        </w:rPr>
        <w:t>专用合同条款及其附件</w:t>
      </w:r>
      <w:r>
        <w:rPr>
          <w:rFonts w:hint="eastAsia" w:ascii="宋体" w:hAnsi="宋体"/>
          <w:sz w:val="21"/>
          <w:szCs w:val="21"/>
        </w:rPr>
        <w:t>（合同专用条款</w:t>
      </w:r>
      <w:r>
        <w:rPr>
          <w:rFonts w:ascii="宋体" w:hAnsi="宋体"/>
          <w:kern w:val="0"/>
          <w:sz w:val="21"/>
          <w:szCs w:val="21"/>
        </w:rPr>
        <w:t>1.1.1.10</w:t>
      </w:r>
      <w:r>
        <w:rPr>
          <w:rFonts w:hint="eastAsia" w:ascii="宋体" w:hAnsi="宋体"/>
          <w:kern w:val="0"/>
          <w:sz w:val="21"/>
          <w:szCs w:val="21"/>
        </w:rPr>
        <w:t>所列文件</w:t>
      </w:r>
      <w:r>
        <w:rPr>
          <w:rFonts w:hint="eastAsia" w:ascii="宋体" w:hAnsi="宋体"/>
          <w:sz w:val="21"/>
          <w:szCs w:val="21"/>
        </w:rPr>
        <w:t>）</w:t>
      </w:r>
      <w:r>
        <w:rPr>
          <w:rFonts w:ascii="宋体" w:hAnsi="宋体"/>
          <w:sz w:val="21"/>
          <w:szCs w:val="21"/>
        </w:rPr>
        <w:t>；</w:t>
      </w:r>
    </w:p>
    <w:p w14:paraId="4DBC0274">
      <w:pPr>
        <w:autoSpaceDE w:val="0"/>
        <w:autoSpaceDN w:val="0"/>
        <w:adjustRightInd w:val="0"/>
        <w:spacing w:line="300" w:lineRule="auto"/>
        <w:ind w:firstLine="420" w:firstLineChars="200"/>
        <w:jc w:val="left"/>
        <w:rPr>
          <w:rFonts w:hint="eastAsia" w:ascii="宋体" w:hAnsi="宋体"/>
          <w:sz w:val="21"/>
          <w:szCs w:val="21"/>
        </w:rPr>
      </w:pPr>
      <w:r>
        <w:rPr>
          <w:rFonts w:ascii="宋体" w:hAnsi="宋体"/>
          <w:sz w:val="21"/>
          <w:szCs w:val="21"/>
        </w:rPr>
        <w:t>（4）</w:t>
      </w:r>
      <w:r>
        <w:rPr>
          <w:rFonts w:hint="eastAsia" w:ascii="宋体" w:hAnsi="宋体"/>
          <w:sz w:val="21"/>
          <w:szCs w:val="21"/>
        </w:rPr>
        <w:t>本合同</w:t>
      </w:r>
      <w:r>
        <w:rPr>
          <w:rFonts w:ascii="宋体" w:hAnsi="宋体"/>
          <w:sz w:val="21"/>
          <w:szCs w:val="21"/>
        </w:rPr>
        <w:t>通用合同条款；</w:t>
      </w:r>
    </w:p>
    <w:p w14:paraId="4F880DB0">
      <w:pPr>
        <w:autoSpaceDE w:val="0"/>
        <w:autoSpaceDN w:val="0"/>
        <w:adjustRightInd w:val="0"/>
        <w:spacing w:line="300" w:lineRule="auto"/>
        <w:ind w:firstLine="420" w:firstLineChars="200"/>
        <w:jc w:val="left"/>
        <w:rPr>
          <w:rFonts w:hint="eastAsia" w:ascii="宋体" w:hAnsi="宋体"/>
          <w:sz w:val="21"/>
          <w:szCs w:val="21"/>
        </w:rPr>
      </w:pPr>
      <w:r>
        <w:rPr>
          <w:rFonts w:ascii="宋体" w:hAnsi="宋体"/>
          <w:sz w:val="21"/>
          <w:szCs w:val="21"/>
        </w:rPr>
        <w:t>（</w:t>
      </w:r>
      <w:r>
        <w:rPr>
          <w:rFonts w:hint="eastAsia" w:ascii="宋体" w:hAnsi="宋体"/>
          <w:sz w:val="21"/>
          <w:szCs w:val="21"/>
        </w:rPr>
        <w:t>5</w:t>
      </w:r>
      <w:r>
        <w:rPr>
          <w:rFonts w:ascii="宋体" w:hAnsi="宋体"/>
          <w:sz w:val="21"/>
          <w:szCs w:val="21"/>
        </w:rPr>
        <w:t>）</w:t>
      </w:r>
      <w:r>
        <w:rPr>
          <w:rFonts w:hint="eastAsia" w:ascii="宋体" w:hAnsi="宋体"/>
          <w:sz w:val="21"/>
          <w:szCs w:val="21"/>
        </w:rPr>
        <w:t>招标文件</w:t>
      </w:r>
      <w:r>
        <w:rPr>
          <w:rFonts w:ascii="宋体" w:hAnsi="宋体"/>
          <w:sz w:val="21"/>
          <w:szCs w:val="21"/>
        </w:rPr>
        <w:t>；</w:t>
      </w:r>
    </w:p>
    <w:p w14:paraId="753F4148">
      <w:pPr>
        <w:autoSpaceDE w:val="0"/>
        <w:autoSpaceDN w:val="0"/>
        <w:adjustRightInd w:val="0"/>
        <w:spacing w:line="300" w:lineRule="auto"/>
        <w:ind w:firstLine="420" w:firstLineChars="200"/>
        <w:jc w:val="left"/>
        <w:rPr>
          <w:rFonts w:hint="eastAsia" w:ascii="宋体" w:hAnsi="宋体"/>
          <w:sz w:val="21"/>
          <w:szCs w:val="21"/>
        </w:rPr>
      </w:pPr>
      <w:r>
        <w:rPr>
          <w:rFonts w:ascii="宋体" w:hAnsi="宋体"/>
          <w:sz w:val="21"/>
          <w:szCs w:val="21"/>
        </w:rPr>
        <w:t>（4）投标函及其附录</w:t>
      </w:r>
      <w:r>
        <w:rPr>
          <w:rFonts w:hint="eastAsia" w:ascii="宋体" w:hAnsi="宋体"/>
          <w:sz w:val="21"/>
          <w:szCs w:val="21"/>
        </w:rPr>
        <w:t>；</w:t>
      </w:r>
    </w:p>
    <w:p w14:paraId="77389C43">
      <w:pPr>
        <w:autoSpaceDE w:val="0"/>
        <w:autoSpaceDN w:val="0"/>
        <w:adjustRightInd w:val="0"/>
        <w:spacing w:line="300" w:lineRule="auto"/>
        <w:ind w:firstLine="420" w:firstLineChars="200"/>
        <w:jc w:val="left"/>
        <w:rPr>
          <w:rFonts w:ascii="宋体" w:hAnsi="宋体"/>
          <w:sz w:val="21"/>
          <w:szCs w:val="21"/>
        </w:rPr>
      </w:pPr>
      <w:r>
        <w:rPr>
          <w:rFonts w:ascii="宋体" w:hAnsi="宋体"/>
          <w:sz w:val="21"/>
          <w:szCs w:val="21"/>
        </w:rPr>
        <w:t>（5）</w:t>
      </w:r>
      <w:r>
        <w:rPr>
          <w:rFonts w:hint="eastAsia" w:ascii="宋体" w:hAnsi="宋体"/>
          <w:sz w:val="21"/>
          <w:szCs w:val="21"/>
        </w:rPr>
        <w:t>标准、规范及有关技术文件</w:t>
      </w:r>
      <w:r>
        <w:rPr>
          <w:rFonts w:ascii="宋体" w:hAnsi="宋体"/>
          <w:sz w:val="21"/>
          <w:szCs w:val="21"/>
        </w:rPr>
        <w:t>；</w:t>
      </w:r>
    </w:p>
    <w:p w14:paraId="4C3AA09D">
      <w:pPr>
        <w:autoSpaceDE w:val="0"/>
        <w:autoSpaceDN w:val="0"/>
        <w:adjustRightInd w:val="0"/>
        <w:spacing w:line="300" w:lineRule="auto"/>
        <w:ind w:firstLine="420" w:firstLineChars="200"/>
        <w:jc w:val="left"/>
        <w:rPr>
          <w:rFonts w:hint="eastAsia" w:ascii="宋体" w:hAnsi="宋体"/>
          <w:sz w:val="21"/>
          <w:szCs w:val="21"/>
        </w:rPr>
      </w:pPr>
      <w:r>
        <w:rPr>
          <w:rFonts w:ascii="宋体" w:hAnsi="宋体"/>
          <w:sz w:val="21"/>
          <w:szCs w:val="21"/>
        </w:rPr>
        <w:t>（6）图纸；</w:t>
      </w:r>
    </w:p>
    <w:p w14:paraId="4CAF6A6B">
      <w:pPr>
        <w:autoSpaceDE w:val="0"/>
        <w:autoSpaceDN w:val="0"/>
        <w:adjustRightInd w:val="0"/>
        <w:spacing w:line="300" w:lineRule="auto"/>
        <w:ind w:firstLine="420" w:firstLineChars="200"/>
        <w:jc w:val="left"/>
        <w:rPr>
          <w:rFonts w:ascii="宋体" w:hAnsi="宋体"/>
          <w:sz w:val="21"/>
          <w:szCs w:val="21"/>
        </w:rPr>
      </w:pPr>
      <w:r>
        <w:rPr>
          <w:rFonts w:ascii="宋体" w:hAnsi="宋体"/>
          <w:sz w:val="21"/>
          <w:szCs w:val="21"/>
        </w:rPr>
        <w:t>（7）</w:t>
      </w:r>
      <w:r>
        <w:rPr>
          <w:rFonts w:hint="eastAsia" w:ascii="宋体" w:hAnsi="宋体"/>
          <w:sz w:val="21"/>
          <w:szCs w:val="21"/>
        </w:rPr>
        <w:t>确定基准价款和材料供应数量的工程预算书</w:t>
      </w:r>
      <w:r>
        <w:rPr>
          <w:rFonts w:ascii="宋体" w:hAnsi="宋体"/>
          <w:sz w:val="21"/>
          <w:szCs w:val="21"/>
        </w:rPr>
        <w:t>；</w:t>
      </w:r>
    </w:p>
    <w:p w14:paraId="6C3E06BA">
      <w:pPr>
        <w:autoSpaceDE w:val="0"/>
        <w:autoSpaceDN w:val="0"/>
        <w:adjustRightInd w:val="0"/>
        <w:spacing w:line="300" w:lineRule="auto"/>
        <w:ind w:firstLine="420" w:firstLineChars="200"/>
        <w:jc w:val="left"/>
        <w:rPr>
          <w:rFonts w:ascii="宋体" w:hAnsi="宋体"/>
          <w:sz w:val="21"/>
          <w:szCs w:val="21"/>
        </w:rPr>
      </w:pPr>
      <w:r>
        <w:rPr>
          <w:rFonts w:ascii="宋体" w:hAnsi="宋体"/>
          <w:sz w:val="21"/>
          <w:szCs w:val="21"/>
        </w:rPr>
        <w:t>（8）其他合同文件。</w:t>
      </w:r>
    </w:p>
    <w:p w14:paraId="0FA2A0CE">
      <w:pPr>
        <w:autoSpaceDE w:val="0"/>
        <w:autoSpaceDN w:val="0"/>
        <w:adjustRightInd w:val="0"/>
        <w:spacing w:line="300" w:lineRule="auto"/>
        <w:ind w:firstLine="420" w:firstLineChars="200"/>
        <w:jc w:val="left"/>
        <w:rPr>
          <w:rFonts w:ascii="宋体" w:hAnsi="宋体"/>
          <w:sz w:val="21"/>
          <w:szCs w:val="21"/>
        </w:rPr>
      </w:pPr>
      <w:r>
        <w:rPr>
          <w:rFonts w:ascii="宋体" w:hAnsi="宋体"/>
          <w:sz w:val="21"/>
          <w:szCs w:val="21"/>
        </w:rPr>
        <w:t>在合同订立及履行过程中形成的与合同有关的文件均构成合同文件组成部分。</w:t>
      </w:r>
    </w:p>
    <w:p w14:paraId="696356DF">
      <w:pPr>
        <w:autoSpaceDE w:val="0"/>
        <w:autoSpaceDN w:val="0"/>
        <w:adjustRightInd w:val="0"/>
        <w:spacing w:line="300" w:lineRule="auto"/>
        <w:ind w:firstLine="420" w:firstLineChars="200"/>
        <w:jc w:val="left"/>
        <w:rPr>
          <w:rFonts w:ascii="宋体" w:hAnsi="宋体"/>
          <w:sz w:val="21"/>
          <w:szCs w:val="21"/>
        </w:rPr>
      </w:pPr>
      <w:r>
        <w:rPr>
          <w:rFonts w:ascii="宋体" w:hAnsi="宋体"/>
          <w:sz w:val="21"/>
          <w:szCs w:val="21"/>
        </w:rPr>
        <w:t>上述各项合同文件包括合同当事人就该项合同文件所作出的补充和修改，属于同一类内容的文件，应以最新签署的为准。</w:t>
      </w:r>
      <w:r>
        <w:rPr>
          <w:rFonts w:hint="eastAsia" w:ascii="宋体" w:hAnsi="宋体"/>
          <w:sz w:val="21"/>
          <w:szCs w:val="21"/>
        </w:rPr>
        <w:t>专用合同条款及其附件须经合同当事人签字并盖章。</w:t>
      </w:r>
    </w:p>
    <w:p w14:paraId="3951A8B0">
      <w:pPr>
        <w:keepNext/>
        <w:keepLines/>
        <w:spacing w:before="120" w:after="120" w:line="300" w:lineRule="auto"/>
        <w:outlineLvl w:val="3"/>
        <w:rPr>
          <w:rFonts w:ascii="宋体" w:hAnsi="宋体"/>
          <w:bCs/>
          <w:sz w:val="21"/>
          <w:szCs w:val="21"/>
        </w:rPr>
      </w:pPr>
      <w:r>
        <w:rPr>
          <w:rFonts w:ascii="宋体" w:hAnsi="宋体"/>
          <w:bCs/>
          <w:sz w:val="21"/>
          <w:szCs w:val="21"/>
        </w:rPr>
        <w:t xml:space="preserve">   </w:t>
      </w:r>
      <w:r>
        <w:rPr>
          <w:rFonts w:ascii="宋体" w:hAnsi="宋体"/>
          <w:sz w:val="21"/>
          <w:szCs w:val="21"/>
        </w:rPr>
        <w:t xml:space="preserve"> </w:t>
      </w:r>
      <w:bookmarkStart w:id="81" w:name="_Toc351203487"/>
      <w:r>
        <w:rPr>
          <w:rFonts w:ascii="宋体" w:hAnsi="宋体"/>
          <w:sz w:val="21"/>
          <w:szCs w:val="21"/>
        </w:rPr>
        <w:t>七、承诺</w:t>
      </w:r>
      <w:bookmarkEnd w:id="81"/>
    </w:p>
    <w:p w14:paraId="21BE7057">
      <w:pPr>
        <w:spacing w:line="300" w:lineRule="auto"/>
        <w:ind w:firstLine="420" w:firstLineChars="200"/>
        <w:rPr>
          <w:rFonts w:ascii="宋体" w:hAnsi="宋体"/>
          <w:bCs/>
          <w:sz w:val="21"/>
          <w:szCs w:val="21"/>
        </w:rPr>
      </w:pPr>
      <w:r>
        <w:rPr>
          <w:rFonts w:ascii="宋体" w:hAnsi="宋体"/>
          <w:bCs/>
          <w:sz w:val="21"/>
          <w:szCs w:val="21"/>
        </w:rPr>
        <w:t>1.发包人承诺按照法律规定履行项目审批手续、筹集工程建设资金并按照合同约定的期限和方式支付合同价款。</w:t>
      </w:r>
    </w:p>
    <w:p w14:paraId="705E3123">
      <w:pPr>
        <w:spacing w:line="300" w:lineRule="auto"/>
        <w:ind w:firstLine="420" w:firstLineChars="200"/>
        <w:rPr>
          <w:rFonts w:ascii="宋体" w:hAnsi="宋体"/>
          <w:bCs/>
          <w:sz w:val="21"/>
          <w:szCs w:val="21"/>
        </w:rPr>
      </w:pPr>
      <w:r>
        <w:rPr>
          <w:rFonts w:ascii="宋体" w:hAnsi="宋体"/>
          <w:bCs/>
          <w:sz w:val="21"/>
          <w:szCs w:val="21"/>
        </w:rPr>
        <w:t>2.承包人承诺按照法律规定及合同约定组织完成工程施工，确保工程质量和安全，不进行转包及违法分包，并在缺陷责任期及保修期内承担相应的工程维修责任。</w:t>
      </w:r>
    </w:p>
    <w:p w14:paraId="41BEC438">
      <w:pPr>
        <w:spacing w:line="300" w:lineRule="auto"/>
        <w:ind w:firstLine="420" w:firstLineChars="200"/>
        <w:rPr>
          <w:rFonts w:hint="eastAsia" w:ascii="宋体" w:hAnsi="宋体"/>
          <w:bCs/>
          <w:sz w:val="21"/>
          <w:szCs w:val="21"/>
        </w:rPr>
      </w:pPr>
      <w:r>
        <w:rPr>
          <w:rFonts w:ascii="宋体" w:hAnsi="宋体"/>
          <w:bCs/>
          <w:sz w:val="21"/>
          <w:szCs w:val="21"/>
        </w:rPr>
        <w:t>3.发包人和承包人通过招投标形式签订合同的，双方理解并</w:t>
      </w:r>
      <w:r>
        <w:rPr>
          <w:rFonts w:hint="eastAsia" w:ascii="宋体" w:hAnsi="宋体"/>
          <w:bCs/>
          <w:sz w:val="21"/>
          <w:szCs w:val="21"/>
        </w:rPr>
        <w:t>承诺</w:t>
      </w:r>
      <w:r>
        <w:rPr>
          <w:rFonts w:ascii="宋体" w:hAnsi="宋体"/>
          <w:bCs/>
          <w:sz w:val="21"/>
          <w:szCs w:val="21"/>
        </w:rPr>
        <w:t>不再就同一工程另行签订与合同实质性内容相背离的协议。</w:t>
      </w:r>
    </w:p>
    <w:p w14:paraId="3ADFCAE6">
      <w:pPr>
        <w:spacing w:line="300" w:lineRule="auto"/>
        <w:ind w:firstLine="420" w:firstLineChars="200"/>
        <w:rPr>
          <w:rFonts w:hint="eastAsia" w:ascii="宋体" w:hAnsi="宋体"/>
          <w:bCs/>
          <w:sz w:val="21"/>
          <w:szCs w:val="21"/>
        </w:rPr>
      </w:pPr>
      <w:r>
        <w:rPr>
          <w:rFonts w:hint="eastAsia" w:ascii="宋体" w:hAnsi="宋体"/>
          <w:bCs/>
          <w:sz w:val="21"/>
          <w:szCs w:val="21"/>
        </w:rPr>
        <w:t>4、发包人和承包人承诺不擅自更改招标文件内合同内容的</w:t>
      </w:r>
      <w:r>
        <w:rPr>
          <w:rFonts w:hint="eastAsia" w:ascii="宋体" w:hAnsi="宋体"/>
          <w:b/>
          <w:bCs/>
          <w:sz w:val="21"/>
          <w:szCs w:val="21"/>
        </w:rPr>
        <w:t>主要条款</w:t>
      </w:r>
      <w:r>
        <w:rPr>
          <w:rFonts w:hint="eastAsia" w:ascii="宋体" w:hAnsi="宋体"/>
          <w:bCs/>
          <w:sz w:val="21"/>
          <w:szCs w:val="21"/>
        </w:rPr>
        <w:t>，如有更改需经双方协商，并在合同中的相应条款上加盖合同印章予以确认，否则视为无效更改，最终只以原招标文件内相应条款为准。</w:t>
      </w:r>
    </w:p>
    <w:p w14:paraId="1996B4F3">
      <w:pPr>
        <w:spacing w:line="300" w:lineRule="auto"/>
        <w:rPr>
          <w:rFonts w:ascii="宋体" w:hAnsi="宋体"/>
          <w:bCs/>
          <w:sz w:val="21"/>
          <w:szCs w:val="21"/>
        </w:rPr>
      </w:pPr>
      <w:bookmarkStart w:id="82" w:name="_Toc351203488"/>
      <w:r>
        <w:rPr>
          <w:rFonts w:hint="eastAsia" w:ascii="宋体" w:hAnsi="宋体"/>
          <w:b/>
          <w:sz w:val="21"/>
          <w:szCs w:val="21"/>
        </w:rPr>
        <w:t xml:space="preserve">    </w:t>
      </w:r>
      <w:r>
        <w:rPr>
          <w:rFonts w:ascii="宋体" w:hAnsi="宋体"/>
          <w:bCs/>
          <w:sz w:val="21"/>
          <w:szCs w:val="21"/>
        </w:rPr>
        <w:t>八、词语含义</w:t>
      </w:r>
      <w:bookmarkEnd w:id="82"/>
    </w:p>
    <w:p w14:paraId="3E734389">
      <w:pPr>
        <w:spacing w:line="300" w:lineRule="auto"/>
        <w:ind w:firstLine="420" w:firstLineChars="200"/>
        <w:rPr>
          <w:rFonts w:ascii="宋体" w:hAnsi="宋体"/>
          <w:bCs/>
          <w:sz w:val="21"/>
          <w:szCs w:val="21"/>
        </w:rPr>
      </w:pPr>
      <w:r>
        <w:rPr>
          <w:rFonts w:ascii="宋体" w:hAnsi="宋体"/>
          <w:bCs/>
          <w:sz w:val="21"/>
          <w:szCs w:val="21"/>
        </w:rPr>
        <w:t>本协议书中词语含义与第二部分通用合同条款中赋予的含义相同。</w:t>
      </w:r>
    </w:p>
    <w:p w14:paraId="41450AF3">
      <w:pPr>
        <w:keepNext/>
        <w:keepLines/>
        <w:spacing w:before="120" w:after="120" w:line="300" w:lineRule="auto"/>
        <w:outlineLvl w:val="3"/>
        <w:rPr>
          <w:rFonts w:ascii="宋体" w:hAnsi="宋体"/>
          <w:b/>
          <w:bCs/>
          <w:sz w:val="21"/>
          <w:szCs w:val="21"/>
        </w:rPr>
      </w:pPr>
      <w:r>
        <w:rPr>
          <w:rFonts w:ascii="宋体" w:hAnsi="宋体"/>
          <w:b/>
          <w:bCs/>
          <w:sz w:val="21"/>
          <w:szCs w:val="21"/>
        </w:rPr>
        <w:t xml:space="preserve">  </w:t>
      </w:r>
      <w:r>
        <w:rPr>
          <w:rFonts w:ascii="宋体" w:hAnsi="宋体"/>
          <w:sz w:val="21"/>
          <w:szCs w:val="21"/>
        </w:rPr>
        <w:t xml:space="preserve">  </w:t>
      </w:r>
      <w:bookmarkStart w:id="83" w:name="_Toc351203489"/>
      <w:r>
        <w:rPr>
          <w:rFonts w:ascii="宋体" w:hAnsi="宋体"/>
          <w:sz w:val="21"/>
          <w:szCs w:val="21"/>
        </w:rPr>
        <w:t>九、签订时间</w:t>
      </w:r>
      <w:bookmarkEnd w:id="83"/>
    </w:p>
    <w:p w14:paraId="264E5E55">
      <w:pPr>
        <w:spacing w:line="300" w:lineRule="auto"/>
        <w:ind w:firstLine="420" w:firstLineChars="200"/>
        <w:rPr>
          <w:rFonts w:ascii="宋体" w:hAnsi="宋体"/>
          <w:bCs/>
          <w:sz w:val="21"/>
          <w:szCs w:val="21"/>
        </w:rPr>
      </w:pPr>
      <w:r>
        <w:rPr>
          <w:rFonts w:ascii="宋体" w:hAnsi="宋体"/>
          <w:bCs/>
          <w:sz w:val="21"/>
          <w:szCs w:val="21"/>
        </w:rPr>
        <w:t>本合同于</w:t>
      </w:r>
      <w:r>
        <w:rPr>
          <w:rFonts w:ascii="宋体" w:hAnsi="宋体"/>
          <w:bCs/>
          <w:sz w:val="21"/>
          <w:szCs w:val="21"/>
          <w:u w:val="single"/>
        </w:rPr>
        <w:t xml:space="preserve">  </w:t>
      </w:r>
      <w:r>
        <w:rPr>
          <w:rFonts w:hint="eastAsia" w:ascii="宋体" w:hAnsi="宋体"/>
          <w:bCs/>
          <w:sz w:val="21"/>
          <w:szCs w:val="21"/>
          <w:u w:val="single"/>
        </w:rPr>
        <w:t xml:space="preserve">    </w:t>
      </w:r>
      <w:r>
        <w:rPr>
          <w:rFonts w:ascii="宋体" w:hAnsi="宋体"/>
          <w:bCs/>
          <w:sz w:val="21"/>
          <w:szCs w:val="21"/>
          <w:u w:val="single"/>
        </w:rPr>
        <w:t xml:space="preserve"> </w:t>
      </w:r>
      <w:r>
        <w:rPr>
          <w:rFonts w:ascii="宋体" w:hAnsi="宋体"/>
          <w:bCs/>
          <w:sz w:val="21"/>
          <w:szCs w:val="21"/>
        </w:rPr>
        <w:t>年</w:t>
      </w:r>
      <w:r>
        <w:rPr>
          <w:rFonts w:ascii="宋体" w:hAnsi="宋体"/>
          <w:bCs/>
          <w:sz w:val="21"/>
          <w:szCs w:val="21"/>
          <w:u w:val="single"/>
        </w:rPr>
        <w:t xml:space="preserve"> </w:t>
      </w:r>
      <w:r>
        <w:rPr>
          <w:rFonts w:hint="eastAsia" w:ascii="宋体" w:hAnsi="宋体"/>
          <w:bCs/>
          <w:sz w:val="21"/>
          <w:szCs w:val="21"/>
          <w:u w:val="single"/>
        </w:rPr>
        <w:t xml:space="preserve">    </w:t>
      </w:r>
      <w:r>
        <w:rPr>
          <w:rFonts w:ascii="宋体" w:hAnsi="宋体"/>
          <w:bCs/>
          <w:sz w:val="21"/>
          <w:szCs w:val="21"/>
          <w:u w:val="single"/>
        </w:rPr>
        <w:t xml:space="preserve"> </w:t>
      </w:r>
      <w:r>
        <w:rPr>
          <w:rFonts w:ascii="宋体" w:hAnsi="宋体"/>
          <w:bCs/>
          <w:sz w:val="21"/>
          <w:szCs w:val="21"/>
        </w:rPr>
        <w:t>月</w:t>
      </w:r>
      <w:r>
        <w:rPr>
          <w:rFonts w:hint="eastAsia" w:ascii="宋体" w:hAnsi="宋体"/>
          <w:bCs/>
          <w:sz w:val="21"/>
          <w:szCs w:val="21"/>
          <w:u w:val="single"/>
        </w:rPr>
        <w:t xml:space="preserve">    </w:t>
      </w:r>
      <w:r>
        <w:rPr>
          <w:rFonts w:ascii="宋体" w:hAnsi="宋体"/>
          <w:bCs/>
          <w:sz w:val="21"/>
          <w:szCs w:val="21"/>
          <w:u w:val="single"/>
        </w:rPr>
        <w:t xml:space="preserve"> </w:t>
      </w:r>
      <w:r>
        <w:rPr>
          <w:rFonts w:ascii="宋体" w:hAnsi="宋体"/>
          <w:bCs/>
          <w:sz w:val="21"/>
          <w:szCs w:val="21"/>
        </w:rPr>
        <w:t>日签订。</w:t>
      </w:r>
    </w:p>
    <w:p w14:paraId="0E008F88">
      <w:pPr>
        <w:keepNext/>
        <w:keepLines/>
        <w:spacing w:before="120" w:after="120" w:line="300" w:lineRule="auto"/>
        <w:outlineLvl w:val="3"/>
        <w:rPr>
          <w:rFonts w:ascii="宋体" w:hAnsi="宋体"/>
          <w:b/>
          <w:bCs/>
          <w:sz w:val="21"/>
          <w:szCs w:val="21"/>
        </w:rPr>
      </w:pPr>
      <w:r>
        <w:rPr>
          <w:rFonts w:ascii="宋体" w:hAnsi="宋体"/>
          <w:b/>
          <w:bCs/>
          <w:sz w:val="21"/>
          <w:szCs w:val="21"/>
        </w:rPr>
        <w:t xml:space="preserve">    </w:t>
      </w:r>
      <w:bookmarkStart w:id="84" w:name="_Toc351203490"/>
      <w:r>
        <w:rPr>
          <w:rFonts w:ascii="宋体" w:hAnsi="宋体"/>
          <w:sz w:val="21"/>
          <w:szCs w:val="21"/>
        </w:rPr>
        <w:t>十、签订地点</w:t>
      </w:r>
      <w:bookmarkEnd w:id="84"/>
    </w:p>
    <w:p w14:paraId="03C89132">
      <w:pPr>
        <w:spacing w:line="300" w:lineRule="auto"/>
        <w:ind w:firstLine="420" w:firstLineChars="200"/>
        <w:rPr>
          <w:rFonts w:ascii="宋体" w:hAnsi="宋体"/>
          <w:bCs/>
          <w:sz w:val="21"/>
          <w:szCs w:val="21"/>
        </w:rPr>
      </w:pPr>
      <w:r>
        <w:rPr>
          <w:rFonts w:ascii="宋体" w:hAnsi="宋体"/>
          <w:bCs/>
          <w:sz w:val="21"/>
          <w:szCs w:val="21"/>
        </w:rPr>
        <w:t>本合同在</w:t>
      </w:r>
      <w:r>
        <w:rPr>
          <w:rFonts w:hint="eastAsia" w:ascii="宋体" w:hAnsi="宋体"/>
          <w:bCs/>
          <w:sz w:val="21"/>
          <w:szCs w:val="21"/>
          <w:u w:val="single"/>
        </w:rPr>
        <w:t>金华市婺城区蒋堂镇开化村</w:t>
      </w:r>
      <w:r>
        <w:rPr>
          <w:rFonts w:ascii="宋体" w:hAnsi="宋体"/>
          <w:bCs/>
          <w:sz w:val="21"/>
          <w:szCs w:val="21"/>
          <w:u w:val="single"/>
        </w:rPr>
        <w:t xml:space="preserve"> </w:t>
      </w:r>
      <w:r>
        <w:rPr>
          <w:rFonts w:ascii="宋体" w:hAnsi="宋体"/>
          <w:bCs/>
          <w:sz w:val="21"/>
          <w:szCs w:val="21"/>
        </w:rPr>
        <w:t>签订。</w:t>
      </w:r>
    </w:p>
    <w:p w14:paraId="55B05467">
      <w:pPr>
        <w:keepNext/>
        <w:keepLines/>
        <w:spacing w:before="120" w:after="120" w:line="300" w:lineRule="auto"/>
        <w:outlineLvl w:val="3"/>
        <w:rPr>
          <w:rFonts w:ascii="宋体" w:hAnsi="宋体"/>
          <w:b/>
          <w:bCs/>
          <w:sz w:val="21"/>
          <w:szCs w:val="21"/>
        </w:rPr>
      </w:pPr>
      <w:r>
        <w:rPr>
          <w:rFonts w:ascii="宋体" w:hAnsi="宋体"/>
          <w:b/>
          <w:bCs/>
          <w:sz w:val="21"/>
          <w:szCs w:val="21"/>
        </w:rPr>
        <w:t xml:space="preserve">    </w:t>
      </w:r>
      <w:bookmarkStart w:id="85" w:name="_Toc351203491"/>
      <w:r>
        <w:rPr>
          <w:rFonts w:ascii="宋体" w:hAnsi="宋体"/>
          <w:sz w:val="21"/>
          <w:szCs w:val="21"/>
        </w:rPr>
        <w:t>十一、补充协议</w:t>
      </w:r>
      <w:bookmarkEnd w:id="85"/>
    </w:p>
    <w:p w14:paraId="7BD9BF06">
      <w:pPr>
        <w:spacing w:line="300" w:lineRule="auto"/>
        <w:ind w:firstLine="420" w:firstLineChars="200"/>
        <w:rPr>
          <w:rFonts w:ascii="宋体" w:hAnsi="宋体"/>
          <w:b/>
          <w:bCs/>
          <w:sz w:val="21"/>
          <w:szCs w:val="21"/>
        </w:rPr>
      </w:pPr>
      <w:r>
        <w:rPr>
          <w:rFonts w:ascii="宋体" w:hAnsi="宋体"/>
          <w:bCs/>
          <w:sz w:val="21"/>
          <w:szCs w:val="21"/>
        </w:rPr>
        <w:t>合同未尽事宜，合同当事人另行签订补充协议</w:t>
      </w:r>
      <w:r>
        <w:rPr>
          <w:rFonts w:hint="eastAsia" w:ascii="宋体" w:hAnsi="宋体"/>
          <w:bCs/>
          <w:sz w:val="21"/>
          <w:szCs w:val="21"/>
        </w:rPr>
        <w:t>，</w:t>
      </w:r>
      <w:r>
        <w:rPr>
          <w:rFonts w:ascii="宋体" w:hAnsi="宋体"/>
          <w:bCs/>
          <w:sz w:val="21"/>
          <w:szCs w:val="21"/>
        </w:rPr>
        <w:t>补充协议是合同的组成部分。</w:t>
      </w:r>
    </w:p>
    <w:p w14:paraId="07FF4124">
      <w:pPr>
        <w:keepNext/>
        <w:keepLines/>
        <w:spacing w:before="120" w:after="120" w:line="300" w:lineRule="auto"/>
        <w:outlineLvl w:val="3"/>
        <w:rPr>
          <w:rFonts w:ascii="宋体" w:hAnsi="宋体"/>
          <w:b/>
          <w:bCs/>
          <w:sz w:val="21"/>
          <w:szCs w:val="21"/>
        </w:rPr>
      </w:pPr>
      <w:r>
        <w:rPr>
          <w:rFonts w:ascii="宋体" w:hAnsi="宋体"/>
          <w:b/>
          <w:bCs/>
          <w:sz w:val="21"/>
          <w:szCs w:val="21"/>
        </w:rPr>
        <w:t xml:space="preserve">    </w:t>
      </w:r>
      <w:bookmarkStart w:id="86" w:name="_Toc351203492"/>
      <w:r>
        <w:rPr>
          <w:rFonts w:ascii="宋体" w:hAnsi="宋体"/>
          <w:sz w:val="21"/>
          <w:szCs w:val="21"/>
        </w:rPr>
        <w:t>十二、合同生效</w:t>
      </w:r>
      <w:bookmarkEnd w:id="86"/>
    </w:p>
    <w:p w14:paraId="290A4D5F">
      <w:pPr>
        <w:spacing w:line="300" w:lineRule="auto"/>
        <w:ind w:firstLine="420" w:firstLineChars="200"/>
        <w:rPr>
          <w:rFonts w:ascii="宋体" w:hAnsi="宋体"/>
          <w:bCs/>
          <w:sz w:val="21"/>
          <w:szCs w:val="21"/>
        </w:rPr>
      </w:pPr>
      <w:r>
        <w:rPr>
          <w:rFonts w:ascii="宋体" w:hAnsi="宋体"/>
          <w:bCs/>
          <w:sz w:val="21"/>
          <w:szCs w:val="21"/>
        </w:rPr>
        <w:t>本合同自</w:t>
      </w:r>
      <w:r>
        <w:rPr>
          <w:rFonts w:hint="eastAsia" w:ascii="宋体" w:hAnsi="宋体"/>
          <w:bCs/>
          <w:sz w:val="21"/>
          <w:szCs w:val="21"/>
          <w:u w:val="single"/>
        </w:rPr>
        <w:t>双方签字盖章后</w:t>
      </w:r>
      <w:r>
        <w:rPr>
          <w:rFonts w:ascii="宋体" w:hAnsi="宋体"/>
          <w:bCs/>
          <w:sz w:val="21"/>
          <w:szCs w:val="21"/>
        </w:rPr>
        <w:t>生效。</w:t>
      </w:r>
    </w:p>
    <w:p w14:paraId="6D9761FF">
      <w:pPr>
        <w:keepNext/>
        <w:keepLines/>
        <w:spacing w:before="120" w:after="120" w:line="300" w:lineRule="auto"/>
        <w:outlineLvl w:val="3"/>
        <w:rPr>
          <w:rFonts w:ascii="宋体" w:hAnsi="宋体"/>
          <w:b/>
          <w:bCs/>
          <w:sz w:val="21"/>
          <w:szCs w:val="21"/>
        </w:rPr>
      </w:pPr>
      <w:r>
        <w:rPr>
          <w:rFonts w:ascii="宋体" w:hAnsi="宋体"/>
          <w:b/>
          <w:bCs/>
          <w:sz w:val="21"/>
          <w:szCs w:val="21"/>
        </w:rPr>
        <w:t xml:space="preserve">    </w:t>
      </w:r>
      <w:bookmarkStart w:id="87" w:name="_Toc351203493"/>
      <w:r>
        <w:rPr>
          <w:rFonts w:ascii="宋体" w:hAnsi="宋体"/>
          <w:sz w:val="21"/>
          <w:szCs w:val="21"/>
        </w:rPr>
        <w:t>十三、合同份数</w:t>
      </w:r>
      <w:bookmarkEnd w:id="87"/>
    </w:p>
    <w:p w14:paraId="05680506">
      <w:pPr>
        <w:spacing w:line="300" w:lineRule="auto"/>
        <w:ind w:firstLine="420" w:firstLineChars="200"/>
        <w:rPr>
          <w:rFonts w:hint="eastAsia" w:ascii="宋体" w:hAnsi="宋体"/>
          <w:bCs/>
          <w:sz w:val="21"/>
          <w:szCs w:val="21"/>
        </w:rPr>
      </w:pPr>
      <w:r>
        <w:rPr>
          <w:rFonts w:ascii="宋体" w:hAnsi="宋体"/>
          <w:bCs/>
          <w:sz w:val="21"/>
          <w:szCs w:val="21"/>
        </w:rPr>
        <w:t>本合同一式</w:t>
      </w:r>
      <w:r>
        <w:rPr>
          <w:rFonts w:ascii="宋体" w:hAnsi="宋体"/>
          <w:bCs/>
          <w:sz w:val="21"/>
          <w:szCs w:val="21"/>
          <w:u w:val="single"/>
        </w:rPr>
        <w:t xml:space="preserve"> </w:t>
      </w:r>
      <w:r>
        <w:rPr>
          <w:rFonts w:hint="eastAsia" w:ascii="宋体" w:hAnsi="宋体"/>
          <w:bCs/>
          <w:sz w:val="21"/>
          <w:szCs w:val="21"/>
          <w:u w:val="single"/>
        </w:rPr>
        <w:t>捌</w:t>
      </w:r>
      <w:r>
        <w:rPr>
          <w:rFonts w:ascii="宋体" w:hAnsi="宋体"/>
          <w:bCs/>
          <w:sz w:val="21"/>
          <w:szCs w:val="21"/>
          <w:u w:val="single"/>
        </w:rPr>
        <w:t xml:space="preserve"> </w:t>
      </w:r>
      <w:r>
        <w:rPr>
          <w:rFonts w:ascii="宋体" w:hAnsi="宋体"/>
          <w:bCs/>
          <w:sz w:val="21"/>
          <w:szCs w:val="21"/>
        </w:rPr>
        <w:t>份</w:t>
      </w:r>
      <w:r>
        <w:rPr>
          <w:rFonts w:hint="eastAsia" w:ascii="宋体" w:hAnsi="宋体"/>
          <w:bCs/>
          <w:sz w:val="21"/>
          <w:szCs w:val="21"/>
        </w:rPr>
        <w:t>（其中正本</w:t>
      </w:r>
      <w:r>
        <w:rPr>
          <w:rFonts w:hint="eastAsia" w:ascii="宋体" w:hAnsi="宋体"/>
          <w:bCs/>
          <w:sz w:val="21"/>
          <w:szCs w:val="21"/>
          <w:u w:val="single"/>
        </w:rPr>
        <w:t xml:space="preserve"> 贰 </w:t>
      </w:r>
      <w:r>
        <w:rPr>
          <w:rFonts w:hint="eastAsia" w:ascii="宋体" w:hAnsi="宋体"/>
          <w:bCs/>
          <w:sz w:val="21"/>
          <w:szCs w:val="21"/>
        </w:rPr>
        <w:t>份，副本</w:t>
      </w:r>
      <w:r>
        <w:rPr>
          <w:rFonts w:hint="eastAsia" w:ascii="宋体" w:hAnsi="宋体"/>
          <w:bCs/>
          <w:sz w:val="21"/>
          <w:szCs w:val="21"/>
          <w:u w:val="single"/>
        </w:rPr>
        <w:t xml:space="preserve"> 陆 </w:t>
      </w:r>
      <w:r>
        <w:rPr>
          <w:rFonts w:hint="eastAsia" w:ascii="宋体" w:hAnsi="宋体"/>
          <w:bCs/>
          <w:sz w:val="21"/>
          <w:szCs w:val="21"/>
        </w:rPr>
        <w:t>份）</w:t>
      </w:r>
      <w:r>
        <w:rPr>
          <w:rFonts w:ascii="宋体" w:hAnsi="宋体"/>
          <w:bCs/>
          <w:sz w:val="21"/>
          <w:szCs w:val="21"/>
        </w:rPr>
        <w:t>，均具有同等法律效力，发包人执</w:t>
      </w:r>
      <w:r>
        <w:rPr>
          <w:rFonts w:hint="eastAsia" w:ascii="宋体" w:hAnsi="宋体"/>
          <w:bCs/>
          <w:sz w:val="21"/>
          <w:szCs w:val="21"/>
          <w:u w:val="single"/>
        </w:rPr>
        <w:t xml:space="preserve"> 陆 </w:t>
      </w:r>
      <w:r>
        <w:rPr>
          <w:rFonts w:ascii="宋体" w:hAnsi="宋体"/>
          <w:bCs/>
          <w:sz w:val="21"/>
          <w:szCs w:val="21"/>
        </w:rPr>
        <w:t>份，承包人执</w:t>
      </w:r>
      <w:r>
        <w:rPr>
          <w:rFonts w:ascii="宋体" w:hAnsi="宋体"/>
          <w:bCs/>
          <w:sz w:val="21"/>
          <w:szCs w:val="21"/>
          <w:u w:val="single"/>
        </w:rPr>
        <w:t xml:space="preserve">  </w:t>
      </w:r>
      <w:r>
        <w:rPr>
          <w:rFonts w:hint="eastAsia" w:ascii="宋体" w:hAnsi="宋体"/>
          <w:bCs/>
          <w:sz w:val="21"/>
          <w:szCs w:val="21"/>
          <w:u w:val="single"/>
        </w:rPr>
        <w:t xml:space="preserve">贰 </w:t>
      </w:r>
      <w:r>
        <w:rPr>
          <w:rFonts w:ascii="宋体" w:hAnsi="宋体"/>
          <w:bCs/>
          <w:sz w:val="21"/>
          <w:szCs w:val="21"/>
          <w:u w:val="single"/>
        </w:rPr>
        <w:t xml:space="preserve"> </w:t>
      </w:r>
      <w:r>
        <w:rPr>
          <w:rFonts w:ascii="宋体" w:hAnsi="宋体"/>
          <w:bCs/>
          <w:sz w:val="21"/>
          <w:szCs w:val="21"/>
        </w:rPr>
        <w:t>份。</w:t>
      </w:r>
    </w:p>
    <w:p w14:paraId="19CE3D94">
      <w:pPr>
        <w:spacing w:line="300" w:lineRule="auto"/>
        <w:ind w:firstLine="420" w:firstLineChars="200"/>
        <w:rPr>
          <w:rFonts w:hint="eastAsia" w:ascii="宋体" w:hAnsi="宋体"/>
          <w:bCs/>
          <w:sz w:val="21"/>
          <w:szCs w:val="21"/>
        </w:rPr>
      </w:pPr>
    </w:p>
    <w:p w14:paraId="4A158EEE">
      <w:pPr>
        <w:spacing w:line="300" w:lineRule="auto"/>
        <w:ind w:firstLine="420" w:firstLineChars="200"/>
        <w:rPr>
          <w:rFonts w:hint="eastAsia" w:ascii="宋体" w:hAnsi="宋体"/>
          <w:bCs/>
          <w:sz w:val="21"/>
          <w:szCs w:val="21"/>
        </w:rPr>
      </w:pPr>
    </w:p>
    <w:p w14:paraId="317DDBA9">
      <w:pPr>
        <w:spacing w:line="300" w:lineRule="auto"/>
        <w:rPr>
          <w:rFonts w:hint="eastAsia" w:ascii="宋体" w:hAnsi="宋体"/>
          <w:sz w:val="21"/>
          <w:szCs w:val="21"/>
        </w:rPr>
      </w:pPr>
      <w:r>
        <w:rPr>
          <w:rFonts w:ascii="宋体" w:hAnsi="宋体"/>
          <w:sz w:val="21"/>
          <w:szCs w:val="21"/>
        </w:rPr>
        <w:t>发包人</w:t>
      </w:r>
      <w:r>
        <w:rPr>
          <w:rFonts w:hint="eastAsia" w:ascii="宋体" w:hAnsi="宋体"/>
          <w:sz w:val="21"/>
          <w:szCs w:val="21"/>
        </w:rPr>
        <w:t xml:space="preserve">：  </w:t>
      </w:r>
      <w:r>
        <w:rPr>
          <w:rFonts w:ascii="宋体" w:hAnsi="宋体"/>
          <w:sz w:val="21"/>
          <w:szCs w:val="21"/>
        </w:rPr>
        <w:t>(公章)</w:t>
      </w:r>
      <w:r>
        <w:rPr>
          <w:rFonts w:hint="eastAsia" w:ascii="宋体" w:hAnsi="宋体"/>
          <w:sz w:val="21"/>
          <w:szCs w:val="21"/>
        </w:rPr>
        <w:t xml:space="preserve">                            </w:t>
      </w:r>
      <w:r>
        <w:rPr>
          <w:rFonts w:ascii="宋体" w:hAnsi="宋体"/>
          <w:sz w:val="21"/>
          <w:szCs w:val="21"/>
        </w:rPr>
        <w:t>承包人</w:t>
      </w:r>
      <w:r>
        <w:rPr>
          <w:rFonts w:hint="eastAsia" w:ascii="宋体" w:hAnsi="宋体"/>
          <w:sz w:val="21"/>
          <w:szCs w:val="21"/>
        </w:rPr>
        <w:t xml:space="preserve">：  </w:t>
      </w:r>
      <w:r>
        <w:rPr>
          <w:rFonts w:ascii="宋体" w:hAnsi="宋体"/>
          <w:sz w:val="21"/>
          <w:szCs w:val="21"/>
        </w:rPr>
        <w:t>(公章)</w:t>
      </w:r>
    </w:p>
    <w:p w14:paraId="5B251EB3">
      <w:pPr>
        <w:spacing w:line="300" w:lineRule="auto"/>
        <w:rPr>
          <w:rFonts w:hint="eastAsia" w:ascii="宋体" w:hAnsi="宋体"/>
          <w:sz w:val="21"/>
          <w:szCs w:val="21"/>
          <w:u w:val="single"/>
        </w:rPr>
      </w:pPr>
      <w:r>
        <w:rPr>
          <w:rFonts w:hint="eastAsia" w:ascii="宋体" w:hAnsi="宋体"/>
          <w:sz w:val="21"/>
          <w:szCs w:val="21"/>
        </w:rPr>
        <w:t xml:space="preserve">                                 </w:t>
      </w:r>
    </w:p>
    <w:p w14:paraId="592EC646">
      <w:pPr>
        <w:spacing w:line="300" w:lineRule="auto"/>
        <w:rPr>
          <w:rFonts w:hint="eastAsia" w:ascii="宋体" w:hAnsi="宋体"/>
          <w:sz w:val="21"/>
          <w:szCs w:val="21"/>
        </w:rPr>
      </w:pPr>
      <w:r>
        <w:rPr>
          <w:rFonts w:hint="eastAsia" w:ascii="宋体" w:hAnsi="宋体"/>
          <w:sz w:val="21"/>
          <w:szCs w:val="21"/>
        </w:rPr>
        <w:t>法定代表人或其委托代理人：                法定代表人或其委托代理人：</w:t>
      </w:r>
    </w:p>
    <w:p w14:paraId="0EAC7421">
      <w:pPr>
        <w:spacing w:line="300" w:lineRule="auto"/>
        <w:rPr>
          <w:rFonts w:hint="eastAsia" w:ascii="宋体" w:hAnsi="宋体"/>
          <w:sz w:val="21"/>
          <w:szCs w:val="21"/>
        </w:rPr>
      </w:pPr>
      <w:r>
        <w:rPr>
          <w:rFonts w:hint="eastAsia" w:ascii="宋体" w:hAnsi="宋体"/>
          <w:sz w:val="21"/>
          <w:szCs w:val="21"/>
        </w:rPr>
        <w:t>（签字）                                  （签字）</w:t>
      </w:r>
    </w:p>
    <w:p w14:paraId="48DBF569">
      <w:pPr>
        <w:spacing w:line="300" w:lineRule="auto"/>
        <w:rPr>
          <w:rFonts w:hint="eastAsia" w:ascii="宋体" w:hAnsi="宋体"/>
          <w:sz w:val="21"/>
          <w:szCs w:val="21"/>
          <w:u w:val="single"/>
        </w:rPr>
      </w:pPr>
    </w:p>
    <w:p w14:paraId="39BFE631">
      <w:pPr>
        <w:spacing w:line="300" w:lineRule="auto"/>
        <w:rPr>
          <w:rFonts w:ascii="宋体" w:hAnsi="宋体"/>
          <w:sz w:val="21"/>
          <w:szCs w:val="21"/>
        </w:rPr>
      </w:pPr>
      <w:r>
        <w:rPr>
          <w:rFonts w:ascii="宋体" w:hAnsi="宋体"/>
          <w:sz w:val="21"/>
          <w:szCs w:val="21"/>
        </w:rPr>
        <w:t>地  址：</w:t>
      </w:r>
      <w:r>
        <w:rPr>
          <w:rFonts w:hint="eastAsia" w:ascii="宋体" w:hAnsi="宋体"/>
          <w:sz w:val="21"/>
          <w:szCs w:val="21"/>
          <w:u w:val="single"/>
        </w:rPr>
        <w:t>浙江省金华市婺城区蒋堂镇开化</w:t>
      </w:r>
      <w:r>
        <w:rPr>
          <w:rFonts w:hint="eastAsia" w:ascii="宋体" w:hAnsi="宋体"/>
          <w:sz w:val="21"/>
          <w:szCs w:val="21"/>
        </w:rPr>
        <w:t xml:space="preserve">      </w:t>
      </w:r>
      <w:r>
        <w:rPr>
          <w:rFonts w:ascii="宋体" w:hAnsi="宋体"/>
          <w:sz w:val="21"/>
          <w:szCs w:val="21"/>
        </w:rPr>
        <w:t>地  址：</w:t>
      </w:r>
      <w:r>
        <w:rPr>
          <w:rFonts w:hint="eastAsia" w:ascii="宋体" w:hAnsi="宋体" w:cs="宋体"/>
          <w:sz w:val="21"/>
          <w:szCs w:val="21"/>
          <w:u w:val="single"/>
        </w:rPr>
        <w:t xml:space="preserve">                    </w:t>
      </w:r>
      <w:r>
        <w:rPr>
          <w:rFonts w:hint="eastAsia" w:ascii="宋体" w:hAnsi="宋体"/>
          <w:sz w:val="21"/>
          <w:szCs w:val="21"/>
          <w:u w:val="single"/>
        </w:rPr>
        <w:t xml:space="preserve"> </w:t>
      </w:r>
    </w:p>
    <w:p w14:paraId="4ED173CE">
      <w:pPr>
        <w:spacing w:line="300" w:lineRule="auto"/>
        <w:rPr>
          <w:rFonts w:ascii="宋体" w:hAnsi="宋体"/>
          <w:sz w:val="21"/>
          <w:szCs w:val="21"/>
        </w:rPr>
      </w:pPr>
      <w:r>
        <w:rPr>
          <w:rFonts w:ascii="宋体" w:hAnsi="宋体"/>
          <w:sz w:val="21"/>
          <w:szCs w:val="21"/>
        </w:rPr>
        <w:t>邮政编码：</w:t>
      </w:r>
      <w:r>
        <w:rPr>
          <w:rFonts w:ascii="宋体" w:hAnsi="宋体"/>
          <w:sz w:val="21"/>
          <w:szCs w:val="21"/>
          <w:u w:val="single"/>
        </w:rPr>
        <w:t xml:space="preserve"> </w:t>
      </w:r>
      <w:r>
        <w:rPr>
          <w:rFonts w:hint="eastAsia" w:ascii="宋体" w:hAnsi="宋体" w:cs="MingLiU_HKSCS"/>
          <w:sz w:val="21"/>
          <w:szCs w:val="21"/>
          <w:u w:val="single"/>
        </w:rPr>
        <w:t xml:space="preserve"> </w:t>
      </w:r>
      <w:r>
        <w:rPr>
          <w:rFonts w:hint="eastAsia" w:ascii="宋体" w:hAnsi="宋体"/>
          <w:sz w:val="21"/>
          <w:szCs w:val="21"/>
          <w:u w:val="single"/>
        </w:rPr>
        <w:t xml:space="preserve"> </w:t>
      </w:r>
      <w:r>
        <w:rPr>
          <w:rFonts w:ascii="宋体" w:hAnsi="宋体"/>
          <w:sz w:val="21"/>
          <w:szCs w:val="21"/>
          <w:u w:val="single"/>
        </w:rPr>
        <w:t xml:space="preserve">  </w:t>
      </w:r>
      <w:r>
        <w:rPr>
          <w:rFonts w:hint="eastAsia" w:ascii="宋体" w:hAnsi="宋体"/>
          <w:sz w:val="21"/>
          <w:szCs w:val="21"/>
          <w:u w:val="single"/>
        </w:rPr>
        <w:t xml:space="preserve">       </w:t>
      </w:r>
      <w:r>
        <w:rPr>
          <w:rFonts w:ascii="宋体" w:hAnsi="宋体"/>
          <w:sz w:val="21"/>
          <w:szCs w:val="21"/>
          <w:u w:val="single"/>
        </w:rPr>
        <w:t xml:space="preserve"> </w:t>
      </w:r>
      <w:r>
        <w:rPr>
          <w:rFonts w:ascii="宋体" w:hAnsi="宋体"/>
          <w:sz w:val="21"/>
          <w:szCs w:val="21"/>
        </w:rPr>
        <w:t xml:space="preserve"> </w:t>
      </w:r>
      <w:r>
        <w:rPr>
          <w:rFonts w:hint="eastAsia" w:ascii="宋体" w:hAnsi="宋体"/>
          <w:sz w:val="21"/>
          <w:szCs w:val="21"/>
        </w:rPr>
        <w:t xml:space="preserve">                  </w:t>
      </w:r>
      <w:r>
        <w:rPr>
          <w:rFonts w:ascii="宋体" w:hAnsi="宋体"/>
          <w:sz w:val="21"/>
          <w:szCs w:val="21"/>
        </w:rPr>
        <w:t>邮政编码：</w:t>
      </w:r>
      <w:r>
        <w:rPr>
          <w:rFonts w:hint="eastAsia" w:ascii="宋体" w:hAnsi="宋体" w:cs="MingLiU_HKSCS"/>
          <w:sz w:val="21"/>
          <w:szCs w:val="21"/>
          <w:u w:val="single"/>
        </w:rPr>
        <w:t xml:space="preserve"> </w:t>
      </w:r>
      <w:r>
        <w:rPr>
          <w:rFonts w:hint="eastAsia" w:ascii="宋体" w:hAnsi="宋体"/>
          <w:sz w:val="21"/>
          <w:szCs w:val="21"/>
          <w:u w:val="single"/>
        </w:rPr>
        <w:t xml:space="preserve">                    </w:t>
      </w:r>
      <w:r>
        <w:rPr>
          <w:rFonts w:hint="eastAsia" w:ascii="宋体" w:hAnsi="宋体" w:cs="MingLiU_HKSCS"/>
          <w:sz w:val="21"/>
          <w:szCs w:val="21"/>
          <w:u w:val="single"/>
        </w:rPr>
        <w:t xml:space="preserve"> </w:t>
      </w:r>
    </w:p>
    <w:p w14:paraId="4E56D977">
      <w:pPr>
        <w:spacing w:line="300" w:lineRule="auto"/>
        <w:rPr>
          <w:rFonts w:ascii="宋体" w:hAnsi="宋体"/>
          <w:sz w:val="21"/>
          <w:szCs w:val="21"/>
        </w:rPr>
      </w:pPr>
      <w:r>
        <w:rPr>
          <w:rFonts w:ascii="宋体" w:hAnsi="宋体"/>
          <w:sz w:val="21"/>
          <w:szCs w:val="21"/>
        </w:rPr>
        <w:t>法定代表人：</w:t>
      </w:r>
      <w:r>
        <w:rPr>
          <w:rFonts w:hint="eastAsia" w:ascii="宋体" w:hAnsi="宋体" w:cs="MingLiU_HKSCS"/>
          <w:sz w:val="21"/>
          <w:szCs w:val="21"/>
          <w:u w:val="single"/>
        </w:rPr>
        <w:t xml:space="preserve"> </w:t>
      </w:r>
      <w:r>
        <w:rPr>
          <w:rFonts w:hint="eastAsia" w:ascii="宋体" w:hAnsi="宋体"/>
          <w:sz w:val="21"/>
          <w:szCs w:val="21"/>
          <w:u w:val="single"/>
        </w:rPr>
        <w:t xml:space="preserve">           </w:t>
      </w:r>
      <w:r>
        <w:rPr>
          <w:rFonts w:ascii="宋体" w:hAnsi="宋体"/>
          <w:sz w:val="21"/>
          <w:szCs w:val="21"/>
          <w:u w:val="single"/>
        </w:rPr>
        <w:t xml:space="preserve"> </w:t>
      </w:r>
      <w:r>
        <w:rPr>
          <w:rFonts w:ascii="宋体" w:hAnsi="宋体"/>
          <w:sz w:val="21"/>
          <w:szCs w:val="21"/>
        </w:rPr>
        <w:t xml:space="preserve"> </w:t>
      </w:r>
      <w:r>
        <w:rPr>
          <w:rFonts w:hint="eastAsia" w:ascii="宋体" w:hAnsi="宋体"/>
          <w:sz w:val="21"/>
          <w:szCs w:val="21"/>
        </w:rPr>
        <w:t xml:space="preserve">                </w:t>
      </w:r>
      <w:r>
        <w:rPr>
          <w:rFonts w:ascii="宋体" w:hAnsi="宋体"/>
          <w:sz w:val="21"/>
          <w:szCs w:val="21"/>
        </w:rPr>
        <w:t>法定代表人：</w:t>
      </w:r>
      <w:r>
        <w:rPr>
          <w:rFonts w:hint="eastAsia" w:ascii="宋体" w:hAnsi="宋体" w:cs="MingLiU_HKSCS"/>
          <w:sz w:val="21"/>
          <w:szCs w:val="21"/>
          <w:u w:val="single"/>
        </w:rPr>
        <w:t xml:space="preserve"> </w:t>
      </w:r>
      <w:r>
        <w:rPr>
          <w:rFonts w:hint="eastAsia" w:ascii="宋体" w:hAnsi="宋体"/>
          <w:sz w:val="21"/>
          <w:szCs w:val="21"/>
          <w:u w:val="single"/>
        </w:rPr>
        <w:t xml:space="preserve">  </w:t>
      </w:r>
      <w:r>
        <w:rPr>
          <w:rFonts w:hint="eastAsia" w:ascii="宋体" w:hAnsi="宋体" w:cs="宋体"/>
          <w:sz w:val="21"/>
          <w:szCs w:val="21"/>
          <w:u w:val="single"/>
        </w:rPr>
        <w:t xml:space="preserve">            </w:t>
      </w:r>
      <w:r>
        <w:rPr>
          <w:rFonts w:hint="eastAsia" w:ascii="宋体" w:hAnsi="宋体"/>
          <w:sz w:val="21"/>
          <w:szCs w:val="21"/>
          <w:u w:val="single"/>
        </w:rPr>
        <w:t xml:space="preserve">    </w:t>
      </w:r>
    </w:p>
    <w:p w14:paraId="7F2EFFD6">
      <w:pPr>
        <w:spacing w:line="300" w:lineRule="auto"/>
        <w:rPr>
          <w:rFonts w:ascii="宋体" w:hAnsi="宋体"/>
          <w:sz w:val="21"/>
          <w:szCs w:val="21"/>
        </w:rPr>
      </w:pPr>
      <w:r>
        <w:rPr>
          <w:rFonts w:ascii="宋体" w:hAnsi="宋体"/>
          <w:sz w:val="21"/>
          <w:szCs w:val="21"/>
        </w:rPr>
        <w:t>委托代理人：</w:t>
      </w:r>
      <w:r>
        <w:rPr>
          <w:rFonts w:hint="eastAsia" w:ascii="宋体" w:hAnsi="宋体" w:cs="MingLiU_HKSCS"/>
          <w:sz w:val="21"/>
          <w:szCs w:val="21"/>
          <w:u w:val="single"/>
        </w:rPr>
        <w:t xml:space="preserve"> </w:t>
      </w:r>
      <w:r>
        <w:rPr>
          <w:rFonts w:hint="eastAsia" w:ascii="宋体" w:hAnsi="宋体"/>
          <w:sz w:val="21"/>
          <w:szCs w:val="21"/>
          <w:u w:val="single"/>
        </w:rPr>
        <w:t xml:space="preserve">         </w:t>
      </w:r>
      <w:r>
        <w:rPr>
          <w:rFonts w:ascii="宋体" w:hAnsi="宋体"/>
          <w:sz w:val="21"/>
          <w:szCs w:val="21"/>
          <w:u w:val="single"/>
        </w:rPr>
        <w:t xml:space="preserve">  </w:t>
      </w:r>
      <w:r>
        <w:rPr>
          <w:rFonts w:ascii="宋体" w:hAnsi="宋体"/>
          <w:sz w:val="21"/>
          <w:szCs w:val="21"/>
        </w:rPr>
        <w:t xml:space="preserve"> </w:t>
      </w:r>
      <w:r>
        <w:rPr>
          <w:rFonts w:hint="eastAsia" w:ascii="宋体" w:hAnsi="宋体"/>
          <w:sz w:val="21"/>
          <w:szCs w:val="21"/>
        </w:rPr>
        <w:t xml:space="preserve">                 </w:t>
      </w:r>
      <w:r>
        <w:rPr>
          <w:rFonts w:ascii="宋体" w:hAnsi="宋体"/>
          <w:sz w:val="21"/>
          <w:szCs w:val="21"/>
        </w:rPr>
        <w:t>委托代理人：</w:t>
      </w:r>
      <w:r>
        <w:rPr>
          <w:rFonts w:hint="eastAsia" w:ascii="宋体" w:hAnsi="宋体" w:cs="MingLiU_HKSCS"/>
          <w:sz w:val="21"/>
          <w:szCs w:val="21"/>
          <w:u w:val="single"/>
        </w:rPr>
        <w:t xml:space="preserve"> </w:t>
      </w:r>
      <w:r>
        <w:rPr>
          <w:rFonts w:ascii="宋体" w:hAnsi="宋体"/>
          <w:sz w:val="21"/>
          <w:szCs w:val="21"/>
          <w:u w:val="single"/>
        </w:rPr>
        <w:t xml:space="preserve">  </w:t>
      </w:r>
      <w:r>
        <w:rPr>
          <w:rFonts w:hint="eastAsia" w:ascii="宋体" w:hAnsi="宋体"/>
          <w:sz w:val="21"/>
          <w:szCs w:val="21"/>
          <w:u w:val="single"/>
        </w:rPr>
        <w:t xml:space="preserve">              </w:t>
      </w:r>
      <w:r>
        <w:rPr>
          <w:rFonts w:ascii="宋体" w:hAnsi="宋体"/>
          <w:sz w:val="21"/>
          <w:szCs w:val="21"/>
          <w:u w:val="single"/>
        </w:rPr>
        <w:t xml:space="preserve"> </w:t>
      </w:r>
    </w:p>
    <w:p w14:paraId="030EC6D5">
      <w:pPr>
        <w:spacing w:line="300" w:lineRule="auto"/>
        <w:rPr>
          <w:rFonts w:ascii="宋体" w:hAnsi="宋体"/>
          <w:sz w:val="21"/>
          <w:szCs w:val="21"/>
        </w:rPr>
      </w:pPr>
      <w:r>
        <w:rPr>
          <w:rFonts w:ascii="宋体" w:hAnsi="宋体"/>
          <w:sz w:val="21"/>
          <w:szCs w:val="21"/>
        </w:rPr>
        <w:t>电  话：</w:t>
      </w:r>
      <w:r>
        <w:rPr>
          <w:rFonts w:hint="eastAsia" w:ascii="宋体" w:hAnsi="宋体" w:cs="MingLiU_HKSCS"/>
          <w:sz w:val="21"/>
          <w:szCs w:val="21"/>
          <w:u w:val="single"/>
        </w:rPr>
        <w:t xml:space="preserve"> </w:t>
      </w:r>
      <w:r>
        <w:rPr>
          <w:rFonts w:hint="eastAsia" w:ascii="宋体" w:hAnsi="宋体"/>
          <w:sz w:val="21"/>
          <w:szCs w:val="21"/>
          <w:u w:val="single"/>
        </w:rPr>
        <w:t xml:space="preserve">                 </w:t>
      </w:r>
      <w:r>
        <w:rPr>
          <w:rFonts w:ascii="宋体" w:hAnsi="宋体"/>
          <w:sz w:val="21"/>
          <w:szCs w:val="21"/>
          <w:u w:val="single"/>
        </w:rPr>
        <w:t xml:space="preserve">  </w:t>
      </w:r>
      <w:r>
        <w:rPr>
          <w:rFonts w:ascii="宋体" w:hAnsi="宋体"/>
          <w:sz w:val="21"/>
          <w:szCs w:val="21"/>
        </w:rPr>
        <w:t xml:space="preserve"> </w:t>
      </w:r>
      <w:r>
        <w:rPr>
          <w:rFonts w:hint="eastAsia" w:ascii="宋体" w:hAnsi="宋体"/>
          <w:sz w:val="21"/>
          <w:szCs w:val="21"/>
        </w:rPr>
        <w:t xml:space="preserve">             </w:t>
      </w:r>
      <w:r>
        <w:rPr>
          <w:rFonts w:ascii="宋体" w:hAnsi="宋体"/>
          <w:sz w:val="21"/>
          <w:szCs w:val="21"/>
        </w:rPr>
        <w:t>电  话：</w:t>
      </w:r>
      <w:r>
        <w:rPr>
          <w:rFonts w:hint="eastAsia" w:ascii="宋体" w:hAnsi="宋体" w:cs="MingLiU_HKSCS"/>
          <w:sz w:val="21"/>
          <w:szCs w:val="21"/>
          <w:u w:val="single"/>
        </w:rPr>
        <w:t xml:space="preserve"> </w:t>
      </w:r>
      <w:r>
        <w:rPr>
          <w:rFonts w:hint="eastAsia" w:ascii="宋体" w:hAnsi="宋体"/>
          <w:sz w:val="21"/>
          <w:szCs w:val="21"/>
          <w:u w:val="single"/>
        </w:rPr>
        <w:t xml:space="preserve">                   </w:t>
      </w:r>
      <w:r>
        <w:rPr>
          <w:rFonts w:hint="eastAsia" w:ascii="宋体" w:hAnsi="宋体" w:cs="MingLiU_HKSCS"/>
          <w:sz w:val="21"/>
          <w:szCs w:val="21"/>
          <w:u w:val="single"/>
        </w:rPr>
        <w:t xml:space="preserve"> </w:t>
      </w:r>
    </w:p>
    <w:p w14:paraId="4968C7D4">
      <w:pPr>
        <w:spacing w:line="300" w:lineRule="auto"/>
        <w:ind w:left="5460" w:hanging="5460" w:hangingChars="2600"/>
        <w:rPr>
          <w:rFonts w:hint="eastAsia" w:ascii="宋体" w:hAnsi="宋体"/>
          <w:sz w:val="21"/>
          <w:szCs w:val="21"/>
          <w:u w:val="single"/>
        </w:rPr>
      </w:pPr>
      <w:r>
        <w:rPr>
          <w:rFonts w:ascii="宋体" w:hAnsi="宋体"/>
          <w:sz w:val="21"/>
          <w:szCs w:val="21"/>
        </w:rPr>
        <w:t>开户银行：</w:t>
      </w:r>
      <w:r>
        <w:rPr>
          <w:rFonts w:hint="eastAsia" w:ascii="宋体" w:hAnsi="宋体"/>
          <w:sz w:val="21"/>
          <w:szCs w:val="21"/>
          <w:u w:val="single"/>
        </w:rPr>
        <w:t xml:space="preserve">                  </w:t>
      </w:r>
      <w:r>
        <w:rPr>
          <w:rFonts w:hint="eastAsia" w:ascii="宋体" w:hAnsi="宋体"/>
          <w:sz w:val="21"/>
          <w:szCs w:val="21"/>
        </w:rPr>
        <w:t xml:space="preserve">              </w:t>
      </w:r>
      <w:r>
        <w:rPr>
          <w:rFonts w:ascii="宋体" w:hAnsi="宋体"/>
          <w:sz w:val="21"/>
          <w:szCs w:val="21"/>
        </w:rPr>
        <w:t>开户银行：</w:t>
      </w:r>
      <w:r>
        <w:rPr>
          <w:rFonts w:hint="eastAsia" w:ascii="宋体" w:hAnsi="宋体" w:cs="MingLiU_HKSCS"/>
          <w:sz w:val="21"/>
          <w:szCs w:val="21"/>
          <w:u w:val="single"/>
        </w:rPr>
        <w:t xml:space="preserve">                   </w:t>
      </w:r>
    </w:p>
    <w:p w14:paraId="2A4758AD">
      <w:pPr>
        <w:spacing w:line="500" w:lineRule="exact"/>
        <w:rPr>
          <w:rFonts w:hint="eastAsia" w:ascii="仿宋" w:hAnsi="仿宋" w:eastAsia="仿宋"/>
          <w:szCs w:val="24"/>
        </w:rPr>
      </w:pPr>
      <w:r>
        <w:rPr>
          <w:rFonts w:ascii="宋体" w:hAnsi="宋体"/>
          <w:sz w:val="21"/>
          <w:szCs w:val="21"/>
        </w:rPr>
        <w:t>账  号：</w:t>
      </w:r>
      <w:r>
        <w:rPr>
          <w:rFonts w:hint="eastAsia" w:ascii="宋体" w:hAnsi="宋体"/>
          <w:sz w:val="21"/>
          <w:szCs w:val="21"/>
          <w:u w:val="single"/>
        </w:rPr>
        <w:t xml:space="preserve">                 </w:t>
      </w:r>
      <w:r>
        <w:rPr>
          <w:rFonts w:hint="eastAsia" w:ascii="宋体" w:hAnsi="宋体"/>
          <w:sz w:val="21"/>
          <w:szCs w:val="21"/>
        </w:rPr>
        <w:t xml:space="preserve">                 </w:t>
      </w:r>
      <w:r>
        <w:rPr>
          <w:rFonts w:ascii="宋体" w:hAnsi="宋体"/>
          <w:sz w:val="21"/>
          <w:szCs w:val="21"/>
        </w:rPr>
        <w:t>账</w:t>
      </w:r>
      <w:r>
        <w:rPr>
          <w:rFonts w:hint="eastAsia" w:ascii="宋体" w:hAnsi="宋体"/>
          <w:sz w:val="21"/>
          <w:szCs w:val="21"/>
        </w:rPr>
        <w:t xml:space="preserve"> </w:t>
      </w:r>
      <w:r>
        <w:rPr>
          <w:rFonts w:ascii="宋体" w:hAnsi="宋体"/>
          <w:sz w:val="21"/>
          <w:szCs w:val="21"/>
        </w:rPr>
        <w:t xml:space="preserve"> 号：</w:t>
      </w:r>
      <w:r>
        <w:rPr>
          <w:rFonts w:hint="eastAsia" w:ascii="宋体" w:hAnsi="宋体" w:cs="MingLiU_HKSCS"/>
          <w:sz w:val="21"/>
          <w:szCs w:val="21"/>
          <w:u w:val="single"/>
        </w:rPr>
        <w:t xml:space="preserve"> </w:t>
      </w:r>
      <w:r>
        <w:rPr>
          <w:rFonts w:hint="eastAsia" w:ascii="宋体" w:hAnsi="宋体"/>
          <w:sz w:val="21"/>
          <w:szCs w:val="21"/>
          <w:u w:val="single"/>
        </w:rPr>
        <w:t xml:space="preserve">                 </w:t>
      </w:r>
      <w:r>
        <w:rPr>
          <w:rFonts w:hint="eastAsia" w:ascii="宋体" w:hAnsi="宋体" w:cs="MingLiU_HKSCS"/>
          <w:sz w:val="21"/>
          <w:szCs w:val="21"/>
          <w:u w:val="single"/>
        </w:rPr>
        <w:t xml:space="preserve"> </w:t>
      </w:r>
    </w:p>
    <w:p w14:paraId="0B16EFB6">
      <w:pPr>
        <w:spacing w:line="500" w:lineRule="exact"/>
        <w:rPr>
          <w:rFonts w:ascii="宋体" w:hAnsi="宋体"/>
          <w:b/>
          <w:szCs w:val="21"/>
        </w:rPr>
        <w:sectPr>
          <w:pgSz w:w="11906" w:h="16838"/>
          <w:pgMar w:top="1440" w:right="1800" w:bottom="1440" w:left="1800" w:header="851" w:footer="992" w:gutter="0"/>
          <w:pgNumType w:fmt="decimal"/>
          <w:cols w:space="720" w:num="1"/>
          <w:docGrid w:type="lines" w:linePitch="312" w:charSpace="0"/>
        </w:sectPr>
      </w:pPr>
    </w:p>
    <w:p w14:paraId="1359F14A">
      <w:pPr>
        <w:pStyle w:val="6"/>
        <w:jc w:val="center"/>
        <w:rPr>
          <w:rFonts w:hint="eastAsia" w:ascii="宋体" w:hAnsi="宋体"/>
          <w:b w:val="0"/>
          <w:sz w:val="21"/>
          <w:szCs w:val="21"/>
        </w:rPr>
      </w:pPr>
      <w:bookmarkStart w:id="88" w:name="_Toc17720"/>
      <w:r>
        <w:rPr>
          <w:rFonts w:ascii="宋体" w:hAnsi="宋体"/>
          <w:b w:val="0"/>
          <w:sz w:val="21"/>
          <w:szCs w:val="21"/>
        </w:rPr>
        <w:t>第二部分 通用合同条款</w:t>
      </w:r>
      <w:bookmarkStart w:id="89" w:name="_Toc337558727"/>
      <w:r>
        <w:rPr>
          <w:rFonts w:hint="eastAsia" w:ascii="宋体" w:hAnsi="宋体"/>
          <w:b w:val="0"/>
          <w:sz w:val="21"/>
          <w:szCs w:val="21"/>
        </w:rPr>
        <w:t>（略）</w:t>
      </w:r>
      <w:bookmarkEnd w:id="88"/>
    </w:p>
    <w:p w14:paraId="7B1EBC50">
      <w:pPr>
        <w:spacing w:line="360" w:lineRule="auto"/>
        <w:ind w:firstLine="420" w:firstLineChars="200"/>
        <w:rPr>
          <w:rFonts w:hint="eastAsia" w:ascii="宋体" w:hAnsi="宋体" w:cs="宋体"/>
          <w:sz w:val="21"/>
          <w:szCs w:val="21"/>
        </w:rPr>
      </w:pPr>
      <w:r>
        <w:rPr>
          <w:rFonts w:hint="eastAsia" w:ascii="宋体" w:hAnsi="宋体" w:cs="宋体"/>
          <w:sz w:val="21"/>
          <w:szCs w:val="21"/>
        </w:rPr>
        <w:t>通用条款按建设部、国家工商行政管理总局2017年9月22日印发的2017年10月1日正式实施的《建设工程施工合同（示范文本）》（GF-2017-0201）中的第二部分“通用条款”执行。</w:t>
      </w:r>
    </w:p>
    <w:bookmarkEnd w:id="89"/>
    <w:p w14:paraId="4F408F4C">
      <w:pPr>
        <w:rPr>
          <w:rFonts w:ascii="宋体" w:hAnsi="宋体"/>
          <w:sz w:val="21"/>
          <w:szCs w:val="21"/>
        </w:rPr>
      </w:pPr>
      <w:bookmarkStart w:id="90" w:name="_Toc27297"/>
      <w:r>
        <w:rPr>
          <w:rFonts w:ascii="宋体" w:hAnsi="宋体"/>
          <w:sz w:val="21"/>
          <w:szCs w:val="21"/>
        </w:rPr>
        <w:br w:type="page"/>
      </w:r>
    </w:p>
    <w:p w14:paraId="0A8CC9F3">
      <w:pPr>
        <w:pStyle w:val="6"/>
        <w:spacing w:line="300" w:lineRule="auto"/>
        <w:jc w:val="center"/>
        <w:rPr>
          <w:rFonts w:ascii="宋体" w:hAnsi="宋体"/>
          <w:sz w:val="21"/>
          <w:szCs w:val="21"/>
        </w:rPr>
      </w:pPr>
      <w:r>
        <w:rPr>
          <w:rFonts w:ascii="宋体" w:hAnsi="宋体"/>
          <w:sz w:val="21"/>
          <w:szCs w:val="21"/>
        </w:rPr>
        <w:t xml:space="preserve">第三部分 </w:t>
      </w:r>
      <w:r>
        <w:rPr>
          <w:rFonts w:hint="eastAsia" w:ascii="宋体" w:hAnsi="宋体"/>
          <w:sz w:val="21"/>
          <w:szCs w:val="21"/>
        </w:rPr>
        <w:t>专用合同条款</w:t>
      </w:r>
      <w:bookmarkEnd w:id="90"/>
    </w:p>
    <w:p w14:paraId="0D4A04E9">
      <w:pPr>
        <w:keepNext/>
        <w:keepLines/>
        <w:spacing w:before="120" w:after="120" w:line="300" w:lineRule="auto"/>
        <w:outlineLvl w:val="3"/>
        <w:rPr>
          <w:rFonts w:ascii="宋体" w:hAnsi="宋体"/>
          <w:sz w:val="21"/>
          <w:szCs w:val="21"/>
        </w:rPr>
      </w:pPr>
      <w:bookmarkStart w:id="91" w:name="_Toc351203633"/>
      <w:r>
        <w:rPr>
          <w:rFonts w:ascii="宋体" w:hAnsi="宋体"/>
          <w:sz w:val="21"/>
          <w:szCs w:val="21"/>
        </w:rPr>
        <w:t>1</w:t>
      </w:r>
      <w:bookmarkStart w:id="92" w:name="_Toc296890984"/>
      <w:bookmarkStart w:id="93" w:name="_Toc296891196"/>
      <w:bookmarkStart w:id="94" w:name="_Toc292559866"/>
      <w:bookmarkStart w:id="95" w:name="_Toc297120456"/>
      <w:bookmarkStart w:id="96" w:name="_Toc296944495"/>
      <w:bookmarkStart w:id="97" w:name="_Toc292559361"/>
      <w:bookmarkStart w:id="98" w:name="_Toc296346657"/>
      <w:bookmarkStart w:id="99" w:name="_Toc296347155"/>
      <w:bookmarkStart w:id="100" w:name="_Toc296503156"/>
      <w:bookmarkStart w:id="101" w:name="_Toc297048342"/>
      <w:r>
        <w:rPr>
          <w:rFonts w:ascii="宋体" w:hAnsi="宋体"/>
          <w:sz w:val="21"/>
          <w:szCs w:val="21"/>
        </w:rPr>
        <w:t>. 一般约定</w:t>
      </w:r>
      <w:bookmarkEnd w:id="91"/>
    </w:p>
    <w:bookmarkEnd w:id="92"/>
    <w:bookmarkEnd w:id="93"/>
    <w:bookmarkEnd w:id="94"/>
    <w:bookmarkEnd w:id="95"/>
    <w:bookmarkEnd w:id="96"/>
    <w:bookmarkEnd w:id="97"/>
    <w:bookmarkEnd w:id="98"/>
    <w:bookmarkEnd w:id="99"/>
    <w:bookmarkEnd w:id="100"/>
    <w:bookmarkEnd w:id="101"/>
    <w:p w14:paraId="454D0DA9">
      <w:pPr>
        <w:spacing w:after="120" w:line="300" w:lineRule="auto"/>
        <w:ind w:firstLine="420" w:firstLineChars="200"/>
        <w:rPr>
          <w:rFonts w:ascii="宋体" w:hAnsi="宋体"/>
          <w:sz w:val="21"/>
          <w:szCs w:val="21"/>
        </w:rPr>
      </w:pPr>
      <w:r>
        <w:rPr>
          <w:rFonts w:ascii="宋体" w:hAnsi="宋体"/>
          <w:sz w:val="21"/>
          <w:szCs w:val="21"/>
        </w:rPr>
        <w:t>1.1 词语定义</w:t>
      </w:r>
    </w:p>
    <w:p w14:paraId="300A52C6">
      <w:pPr>
        <w:spacing w:line="300" w:lineRule="auto"/>
        <w:ind w:firstLine="420" w:firstLineChars="200"/>
        <w:rPr>
          <w:rFonts w:ascii="宋体" w:hAnsi="宋体"/>
          <w:kern w:val="0"/>
          <w:sz w:val="21"/>
          <w:szCs w:val="21"/>
        </w:rPr>
      </w:pPr>
      <w:r>
        <w:rPr>
          <w:rFonts w:ascii="宋体" w:hAnsi="宋体"/>
          <w:kern w:val="0"/>
          <w:sz w:val="21"/>
          <w:szCs w:val="21"/>
        </w:rPr>
        <w:t>1.1.1合同</w:t>
      </w:r>
    </w:p>
    <w:p w14:paraId="0CB53CD1">
      <w:pPr>
        <w:spacing w:line="300" w:lineRule="auto"/>
        <w:ind w:firstLine="420" w:firstLineChars="200"/>
        <w:rPr>
          <w:rFonts w:hint="eastAsia" w:ascii="宋体" w:hAnsi="宋体"/>
          <w:sz w:val="21"/>
          <w:szCs w:val="21"/>
          <w:u w:val="single"/>
        </w:rPr>
      </w:pPr>
      <w:r>
        <w:rPr>
          <w:rFonts w:ascii="宋体" w:hAnsi="宋体"/>
          <w:kern w:val="0"/>
          <w:sz w:val="21"/>
          <w:szCs w:val="21"/>
        </w:rPr>
        <w:t>1.1.1.10其他合同文件包括</w:t>
      </w:r>
      <w:r>
        <w:rPr>
          <w:rFonts w:ascii="宋体" w:hAnsi="宋体"/>
          <w:b/>
          <w:bCs/>
          <w:sz w:val="21"/>
          <w:szCs w:val="21"/>
          <w:u w:val="single"/>
        </w:rPr>
        <w:t>：</w:t>
      </w:r>
      <w:r>
        <w:rPr>
          <w:rFonts w:hint="eastAsia" w:ascii="宋体" w:hAnsi="宋体"/>
          <w:b/>
          <w:bCs/>
          <w:sz w:val="21"/>
          <w:szCs w:val="21"/>
          <w:u w:val="single"/>
        </w:rPr>
        <w:t>《建设工程施工管理考核办法》（试行）、《临时用水用电须知》、《基本建设项目竣工验收和送审工作流程》（试行）等有关</w:t>
      </w:r>
      <w:r>
        <w:rPr>
          <w:rFonts w:hint="eastAsia" w:ascii="宋体" w:hAnsi="宋体"/>
          <w:b/>
          <w:bCs/>
          <w:sz w:val="21"/>
          <w:szCs w:val="21"/>
          <w:u w:val="single"/>
          <w:lang w:eastAsia="zh-CN"/>
        </w:rPr>
        <w:t>浙江省金华监狱</w:t>
      </w:r>
      <w:r>
        <w:rPr>
          <w:rFonts w:hint="eastAsia" w:ascii="宋体" w:hAnsi="宋体"/>
          <w:b/>
          <w:bCs/>
          <w:sz w:val="21"/>
          <w:szCs w:val="21"/>
          <w:u w:val="single"/>
        </w:rPr>
        <w:t>基本建设项目的管理考核相关规定。</w:t>
      </w:r>
    </w:p>
    <w:p w14:paraId="2032B485">
      <w:pPr>
        <w:spacing w:line="300" w:lineRule="auto"/>
        <w:ind w:firstLine="420" w:firstLineChars="200"/>
        <w:rPr>
          <w:rFonts w:ascii="宋体" w:hAnsi="宋体"/>
          <w:sz w:val="21"/>
          <w:szCs w:val="21"/>
        </w:rPr>
      </w:pPr>
      <w:r>
        <w:rPr>
          <w:rFonts w:ascii="宋体" w:hAnsi="宋体"/>
          <w:sz w:val="21"/>
          <w:szCs w:val="21"/>
        </w:rPr>
        <w:t>1.1.2 合同当事人及其他相关方</w:t>
      </w:r>
    </w:p>
    <w:p w14:paraId="57BDC09A">
      <w:pPr>
        <w:spacing w:line="300" w:lineRule="auto"/>
        <w:ind w:firstLine="420" w:firstLineChars="200"/>
        <w:rPr>
          <w:rFonts w:ascii="宋体" w:hAnsi="宋体"/>
          <w:sz w:val="21"/>
          <w:szCs w:val="21"/>
        </w:rPr>
      </w:pPr>
      <w:r>
        <w:rPr>
          <w:rFonts w:ascii="宋体" w:hAnsi="宋体"/>
          <w:sz w:val="21"/>
          <w:szCs w:val="21"/>
        </w:rPr>
        <w:t>1.1.2.4监理人：</w:t>
      </w:r>
    </w:p>
    <w:p w14:paraId="2C5C523E">
      <w:pPr>
        <w:spacing w:line="300" w:lineRule="auto"/>
        <w:ind w:firstLine="420" w:firstLineChars="200"/>
        <w:rPr>
          <w:rFonts w:ascii="宋体" w:hAnsi="宋体"/>
          <w:sz w:val="21"/>
          <w:szCs w:val="21"/>
        </w:rPr>
      </w:pPr>
      <w:r>
        <w:rPr>
          <w:rFonts w:ascii="宋体" w:hAnsi="宋体"/>
          <w:sz w:val="21"/>
          <w:szCs w:val="21"/>
        </w:rPr>
        <w:t>名    称：</w:t>
      </w:r>
      <w:r>
        <w:rPr>
          <w:rFonts w:hint="eastAsia" w:ascii="宋体" w:hAnsi="宋体" w:cs="MingLiU_HKSCS"/>
          <w:sz w:val="21"/>
          <w:szCs w:val="21"/>
          <w:u w:val="single"/>
        </w:rPr>
        <w:t xml:space="preserve"> </w:t>
      </w:r>
      <w:r>
        <w:rPr>
          <w:rFonts w:hint="eastAsia" w:ascii="宋体" w:hAnsi="宋体"/>
          <w:sz w:val="21"/>
          <w:szCs w:val="21"/>
          <w:u w:val="single"/>
        </w:rPr>
        <w:t xml:space="preserve">                             </w:t>
      </w:r>
      <w:r>
        <w:rPr>
          <w:rFonts w:ascii="宋体" w:hAnsi="宋体"/>
          <w:sz w:val="21"/>
          <w:szCs w:val="21"/>
          <w:u w:val="single"/>
        </w:rPr>
        <w:t xml:space="preserve">   </w:t>
      </w:r>
      <w:r>
        <w:rPr>
          <w:rFonts w:ascii="宋体" w:hAnsi="宋体"/>
          <w:sz w:val="21"/>
          <w:szCs w:val="21"/>
        </w:rPr>
        <w:t>；</w:t>
      </w:r>
    </w:p>
    <w:p w14:paraId="1E7B4CBB">
      <w:pPr>
        <w:spacing w:line="300" w:lineRule="auto"/>
        <w:ind w:firstLine="420" w:firstLineChars="200"/>
        <w:rPr>
          <w:rFonts w:ascii="宋体" w:hAnsi="宋体"/>
          <w:sz w:val="21"/>
          <w:szCs w:val="21"/>
          <w:u w:val="single"/>
        </w:rPr>
      </w:pPr>
      <w:r>
        <w:rPr>
          <w:rFonts w:ascii="宋体" w:hAnsi="宋体"/>
          <w:sz w:val="21"/>
          <w:szCs w:val="21"/>
        </w:rPr>
        <w:t>资质类别和等级：</w:t>
      </w:r>
      <w:r>
        <w:rPr>
          <w:rFonts w:hint="eastAsia" w:ascii="宋体" w:hAnsi="宋体"/>
          <w:sz w:val="21"/>
          <w:szCs w:val="21"/>
          <w:u w:val="single"/>
        </w:rPr>
        <w:t xml:space="preserve">                           </w:t>
      </w:r>
      <w:r>
        <w:rPr>
          <w:rFonts w:ascii="宋体" w:hAnsi="宋体"/>
          <w:sz w:val="21"/>
          <w:szCs w:val="21"/>
        </w:rPr>
        <w:t>；</w:t>
      </w:r>
    </w:p>
    <w:p w14:paraId="38138ACC">
      <w:pPr>
        <w:spacing w:line="300" w:lineRule="auto"/>
        <w:ind w:firstLine="420" w:firstLineChars="200"/>
        <w:rPr>
          <w:rFonts w:ascii="宋体" w:hAnsi="宋体"/>
          <w:sz w:val="21"/>
          <w:szCs w:val="21"/>
        </w:rPr>
      </w:pPr>
      <w:r>
        <w:rPr>
          <w:rFonts w:ascii="宋体" w:hAnsi="宋体"/>
          <w:sz w:val="21"/>
          <w:szCs w:val="21"/>
        </w:rPr>
        <w:t>联系电话：</w:t>
      </w:r>
      <w:r>
        <w:rPr>
          <w:rFonts w:hint="eastAsia" w:ascii="宋体" w:hAnsi="宋体" w:cs="MingLiU_HKSCS"/>
          <w:sz w:val="21"/>
          <w:szCs w:val="21"/>
          <w:u w:val="single"/>
        </w:rPr>
        <w:t xml:space="preserve"> </w:t>
      </w:r>
      <w:r>
        <w:rPr>
          <w:rFonts w:hint="eastAsia" w:ascii="宋体" w:hAnsi="宋体"/>
          <w:sz w:val="21"/>
          <w:szCs w:val="21"/>
          <w:u w:val="single"/>
        </w:rPr>
        <w:t xml:space="preserve">                    </w:t>
      </w:r>
      <w:r>
        <w:rPr>
          <w:rFonts w:hint="eastAsia" w:ascii="宋体" w:hAnsi="宋体" w:cs="MingLiU_HKSCS"/>
          <w:sz w:val="21"/>
          <w:szCs w:val="21"/>
          <w:u w:val="single"/>
        </w:rPr>
        <w:t xml:space="preserve">            </w:t>
      </w:r>
      <w:r>
        <w:rPr>
          <w:rFonts w:ascii="宋体" w:hAnsi="宋体"/>
          <w:sz w:val="21"/>
          <w:szCs w:val="21"/>
        </w:rPr>
        <w:t>；</w:t>
      </w:r>
    </w:p>
    <w:p w14:paraId="41D49052">
      <w:pPr>
        <w:spacing w:line="300" w:lineRule="auto"/>
        <w:ind w:firstLine="420" w:firstLineChars="200"/>
        <w:jc w:val="left"/>
        <w:rPr>
          <w:rFonts w:ascii="宋体" w:hAnsi="宋体"/>
          <w:kern w:val="0"/>
          <w:sz w:val="21"/>
          <w:szCs w:val="21"/>
        </w:rPr>
      </w:pPr>
      <w:r>
        <w:rPr>
          <w:rFonts w:ascii="宋体" w:hAnsi="宋体"/>
          <w:kern w:val="0"/>
          <w:sz w:val="21"/>
          <w:szCs w:val="21"/>
        </w:rPr>
        <w:t>1.1.3.9 永久占地包括：</w:t>
      </w:r>
      <w:r>
        <w:rPr>
          <w:rFonts w:hint="eastAsia" w:ascii="宋体" w:hAnsi="宋体"/>
          <w:sz w:val="21"/>
          <w:szCs w:val="21"/>
          <w:u w:val="single"/>
        </w:rPr>
        <w:t>本工程红线范围内的场地</w:t>
      </w:r>
      <w:r>
        <w:rPr>
          <w:rFonts w:ascii="宋体" w:hAnsi="宋体"/>
          <w:kern w:val="0"/>
          <w:sz w:val="21"/>
          <w:szCs w:val="21"/>
        </w:rPr>
        <w:t>。</w:t>
      </w:r>
    </w:p>
    <w:p w14:paraId="77F46EF0">
      <w:pPr>
        <w:spacing w:line="300" w:lineRule="auto"/>
        <w:ind w:firstLine="420" w:firstLineChars="200"/>
        <w:jc w:val="left"/>
        <w:rPr>
          <w:rFonts w:ascii="宋体" w:hAnsi="宋体"/>
          <w:sz w:val="21"/>
          <w:szCs w:val="21"/>
        </w:rPr>
      </w:pPr>
      <w:r>
        <w:rPr>
          <w:rFonts w:ascii="宋体" w:hAnsi="宋体"/>
          <w:kern w:val="0"/>
          <w:sz w:val="21"/>
          <w:szCs w:val="21"/>
        </w:rPr>
        <w:t>1.1.3.10 临时占地包括：</w:t>
      </w:r>
      <w:r>
        <w:rPr>
          <w:rFonts w:hint="eastAsia" w:ascii="宋体" w:hAnsi="宋体"/>
          <w:sz w:val="21"/>
          <w:szCs w:val="21"/>
          <w:u w:val="single"/>
        </w:rPr>
        <w:t>本工程红线范围内的场地</w:t>
      </w:r>
      <w:r>
        <w:rPr>
          <w:rFonts w:hint="eastAsia" w:ascii="宋体" w:hAnsi="宋体" w:cs="MingLiU_HKSCS"/>
          <w:sz w:val="21"/>
          <w:szCs w:val="21"/>
          <w:u w:val="single"/>
        </w:rPr>
        <w:t xml:space="preserve"> </w:t>
      </w:r>
      <w:r>
        <w:rPr>
          <w:rFonts w:ascii="宋体" w:hAnsi="宋体"/>
          <w:kern w:val="0"/>
          <w:sz w:val="21"/>
          <w:szCs w:val="21"/>
        </w:rPr>
        <w:t>。</w:t>
      </w:r>
    </w:p>
    <w:p w14:paraId="7D3B4DA1">
      <w:pPr>
        <w:spacing w:after="120" w:line="300" w:lineRule="auto"/>
        <w:ind w:firstLine="420" w:firstLineChars="200"/>
        <w:rPr>
          <w:rFonts w:ascii="宋体" w:hAnsi="宋体"/>
          <w:sz w:val="21"/>
          <w:szCs w:val="21"/>
        </w:rPr>
      </w:pPr>
      <w:r>
        <w:rPr>
          <w:rFonts w:ascii="宋体" w:hAnsi="宋体"/>
          <w:sz w:val="21"/>
          <w:szCs w:val="21"/>
        </w:rPr>
        <w:t>1.4 标准和规范</w:t>
      </w:r>
    </w:p>
    <w:p w14:paraId="279EAEB8">
      <w:pPr>
        <w:spacing w:line="300" w:lineRule="auto"/>
        <w:ind w:firstLine="420" w:firstLineChars="200"/>
        <w:rPr>
          <w:rFonts w:ascii="宋体" w:hAnsi="宋体"/>
          <w:sz w:val="21"/>
          <w:szCs w:val="21"/>
        </w:rPr>
      </w:pPr>
      <w:r>
        <w:rPr>
          <w:rFonts w:ascii="宋体" w:hAnsi="宋体"/>
          <w:sz w:val="21"/>
          <w:szCs w:val="21"/>
        </w:rPr>
        <w:t>1.4.1适用于工程的标准规范包括：</w:t>
      </w:r>
      <w:r>
        <w:rPr>
          <w:rFonts w:hint="eastAsia" w:ascii="宋体" w:hAnsi="宋体"/>
          <w:sz w:val="21"/>
          <w:szCs w:val="21"/>
          <w:u w:val="single"/>
        </w:rPr>
        <w:t>国家规定的标准规范及浙江省、金华市相关的验收标准规范</w:t>
      </w:r>
      <w:r>
        <w:rPr>
          <w:rFonts w:ascii="宋体" w:hAnsi="宋体"/>
          <w:sz w:val="21"/>
          <w:szCs w:val="21"/>
        </w:rPr>
        <w:t>。</w:t>
      </w:r>
    </w:p>
    <w:p w14:paraId="52D37A64">
      <w:pPr>
        <w:spacing w:line="300" w:lineRule="auto"/>
        <w:ind w:firstLine="420" w:firstLineChars="200"/>
        <w:rPr>
          <w:rFonts w:hint="eastAsia" w:ascii="宋体" w:hAnsi="宋体"/>
          <w:sz w:val="21"/>
          <w:szCs w:val="21"/>
        </w:rPr>
      </w:pPr>
      <w:r>
        <w:rPr>
          <w:rFonts w:ascii="宋体" w:hAnsi="宋体"/>
          <w:sz w:val="21"/>
          <w:szCs w:val="21"/>
        </w:rPr>
        <w:t>1.4.3发包人对工程的技术标准和功能要求的特殊要求：</w:t>
      </w:r>
      <w:r>
        <w:rPr>
          <w:rFonts w:hint="eastAsia" w:ascii="宋体" w:hAnsi="宋体"/>
          <w:sz w:val="21"/>
          <w:szCs w:val="21"/>
          <w:u w:val="single"/>
        </w:rPr>
        <w:t>按施工图及联系单要求实施。</w:t>
      </w:r>
    </w:p>
    <w:p w14:paraId="7F359332">
      <w:pPr>
        <w:spacing w:after="120" w:line="300" w:lineRule="auto"/>
        <w:ind w:firstLine="420" w:firstLineChars="200"/>
        <w:rPr>
          <w:rFonts w:ascii="宋体" w:hAnsi="宋体"/>
          <w:sz w:val="21"/>
          <w:szCs w:val="21"/>
        </w:rPr>
      </w:pPr>
      <w:r>
        <w:rPr>
          <w:rFonts w:ascii="宋体" w:hAnsi="宋体"/>
          <w:sz w:val="21"/>
          <w:szCs w:val="21"/>
        </w:rPr>
        <w:t>1.6 图纸和承包人文件</w:t>
      </w:r>
      <w:r>
        <w:rPr>
          <w:rFonts w:ascii="宋体" w:hAnsi="宋体"/>
          <w:sz w:val="21"/>
          <w:szCs w:val="21"/>
        </w:rPr>
        <w:tab/>
      </w:r>
    </w:p>
    <w:p w14:paraId="0697C2B3">
      <w:pPr>
        <w:spacing w:line="300" w:lineRule="auto"/>
        <w:ind w:firstLine="420" w:firstLineChars="200"/>
        <w:rPr>
          <w:rFonts w:ascii="宋体" w:hAnsi="宋体"/>
          <w:sz w:val="21"/>
          <w:szCs w:val="21"/>
        </w:rPr>
      </w:pPr>
      <w:r>
        <w:rPr>
          <w:rFonts w:ascii="宋体" w:hAnsi="宋体"/>
          <w:sz w:val="21"/>
          <w:szCs w:val="21"/>
        </w:rPr>
        <w:t>1.6.1 图纸的提供</w:t>
      </w:r>
    </w:p>
    <w:p w14:paraId="4593163A">
      <w:pPr>
        <w:spacing w:line="300" w:lineRule="auto"/>
        <w:ind w:firstLine="420" w:firstLineChars="200"/>
        <w:rPr>
          <w:rFonts w:ascii="宋体" w:hAnsi="宋体"/>
          <w:sz w:val="21"/>
          <w:szCs w:val="21"/>
        </w:rPr>
      </w:pPr>
      <w:r>
        <w:rPr>
          <w:rFonts w:ascii="宋体" w:hAnsi="宋体"/>
          <w:sz w:val="21"/>
          <w:szCs w:val="21"/>
        </w:rPr>
        <w:t>发包人向承包人提供图纸的期限：</w:t>
      </w:r>
      <w:r>
        <w:rPr>
          <w:rFonts w:hint="eastAsia" w:ascii="宋体" w:hAnsi="宋体" w:cs="MingLiU_HKSCS"/>
          <w:sz w:val="21"/>
          <w:szCs w:val="21"/>
          <w:u w:val="single"/>
        </w:rPr>
        <w:t xml:space="preserve"> </w:t>
      </w:r>
      <w:r>
        <w:rPr>
          <w:rFonts w:hint="eastAsia" w:ascii="宋体" w:hAnsi="宋体"/>
          <w:sz w:val="21"/>
          <w:szCs w:val="21"/>
          <w:u w:val="single"/>
        </w:rPr>
        <w:t>合同签订后10天内</w:t>
      </w:r>
      <w:r>
        <w:rPr>
          <w:rFonts w:hint="eastAsia" w:ascii="宋体" w:hAnsi="宋体" w:cs="MingLiU_HKSCS"/>
          <w:sz w:val="21"/>
          <w:szCs w:val="21"/>
          <w:u w:val="single"/>
        </w:rPr>
        <w:t xml:space="preserve"> </w:t>
      </w:r>
      <w:r>
        <w:rPr>
          <w:rFonts w:ascii="宋体" w:hAnsi="宋体"/>
          <w:sz w:val="21"/>
          <w:szCs w:val="21"/>
        </w:rPr>
        <w:t>；</w:t>
      </w:r>
    </w:p>
    <w:p w14:paraId="11E3AED2">
      <w:pPr>
        <w:spacing w:line="300" w:lineRule="auto"/>
        <w:ind w:firstLine="420" w:firstLineChars="200"/>
        <w:rPr>
          <w:rFonts w:ascii="宋体" w:hAnsi="宋体"/>
          <w:sz w:val="21"/>
          <w:szCs w:val="21"/>
        </w:rPr>
      </w:pPr>
      <w:r>
        <w:rPr>
          <w:rFonts w:ascii="宋体" w:hAnsi="宋体"/>
          <w:sz w:val="21"/>
          <w:szCs w:val="21"/>
        </w:rPr>
        <w:t>发包人向承包人提供图纸的内容：</w:t>
      </w:r>
      <w:r>
        <w:rPr>
          <w:rFonts w:hint="eastAsia" w:ascii="宋体" w:hAnsi="宋体" w:cs="MingLiU_HKSCS"/>
          <w:sz w:val="21"/>
          <w:szCs w:val="21"/>
          <w:u w:val="single"/>
        </w:rPr>
        <w:t xml:space="preserve"> </w:t>
      </w:r>
      <w:r>
        <w:rPr>
          <w:rFonts w:hint="eastAsia" w:ascii="宋体" w:hAnsi="宋体"/>
          <w:sz w:val="21"/>
          <w:szCs w:val="21"/>
          <w:u w:val="single"/>
        </w:rPr>
        <w:t>施工图纸</w:t>
      </w:r>
      <w:r>
        <w:rPr>
          <w:rFonts w:ascii="宋体" w:hAnsi="宋体"/>
          <w:sz w:val="21"/>
          <w:szCs w:val="21"/>
        </w:rPr>
        <w:t>。</w:t>
      </w:r>
    </w:p>
    <w:p w14:paraId="7D39517F">
      <w:pPr>
        <w:spacing w:line="300" w:lineRule="auto"/>
        <w:ind w:firstLine="420" w:firstLineChars="200"/>
        <w:rPr>
          <w:rFonts w:ascii="宋体" w:hAnsi="宋体"/>
          <w:sz w:val="21"/>
          <w:szCs w:val="21"/>
        </w:rPr>
      </w:pPr>
      <w:r>
        <w:rPr>
          <w:rFonts w:ascii="宋体" w:hAnsi="宋体"/>
          <w:sz w:val="21"/>
          <w:szCs w:val="21"/>
        </w:rPr>
        <w:t>1.6.4 承包人文件</w:t>
      </w:r>
    </w:p>
    <w:p w14:paraId="3A4FDFA8">
      <w:pPr>
        <w:spacing w:line="300" w:lineRule="auto"/>
        <w:ind w:firstLine="420" w:firstLineChars="200"/>
        <w:jc w:val="left"/>
        <w:rPr>
          <w:rFonts w:ascii="宋体" w:hAnsi="宋体"/>
          <w:sz w:val="21"/>
          <w:szCs w:val="21"/>
        </w:rPr>
      </w:pPr>
      <w:r>
        <w:rPr>
          <w:rFonts w:ascii="宋体" w:hAnsi="宋体"/>
          <w:sz w:val="21"/>
          <w:szCs w:val="21"/>
        </w:rPr>
        <w:t>需要由承包人提供的文件，包括：</w:t>
      </w:r>
      <w:r>
        <w:rPr>
          <w:rFonts w:ascii="宋体" w:hAnsi="宋体"/>
          <w:b/>
          <w:sz w:val="21"/>
          <w:szCs w:val="21"/>
          <w:u w:val="single"/>
        </w:rPr>
        <w:t>1、合同签定后7天内，承包人应编制施工组织计划及详细的工期、质量、安全文明保证措施方案，并报监理工程师审定。2、按月提供下月工程进度计划，每月</w:t>
      </w:r>
      <w:r>
        <w:rPr>
          <w:rFonts w:hint="eastAsia" w:ascii="宋体" w:hAnsi="宋体"/>
          <w:b/>
          <w:sz w:val="21"/>
          <w:szCs w:val="21"/>
          <w:u w:val="single"/>
        </w:rPr>
        <w:t>20</w:t>
      </w:r>
      <w:r>
        <w:rPr>
          <w:rFonts w:ascii="宋体" w:hAnsi="宋体"/>
          <w:b/>
          <w:sz w:val="21"/>
          <w:szCs w:val="21"/>
          <w:u w:val="single"/>
        </w:rPr>
        <w:t>日前报发包方</w:t>
      </w:r>
      <w:r>
        <w:rPr>
          <w:rFonts w:hint="eastAsia" w:ascii="宋体" w:hAnsi="宋体"/>
          <w:b/>
          <w:sz w:val="21"/>
          <w:szCs w:val="21"/>
          <w:u w:val="single"/>
        </w:rPr>
        <w:t>，</w:t>
      </w:r>
      <w:r>
        <w:rPr>
          <w:rFonts w:ascii="宋体" w:hAnsi="宋体"/>
          <w:b/>
          <w:sz w:val="21"/>
          <w:szCs w:val="21"/>
          <w:u w:val="single"/>
        </w:rPr>
        <w:t>提供工程计划表一式五份。</w:t>
      </w:r>
      <w:r>
        <w:rPr>
          <w:rFonts w:hint="eastAsia" w:ascii="宋体" w:hAnsi="宋体"/>
          <w:b/>
          <w:sz w:val="21"/>
          <w:szCs w:val="21"/>
          <w:u w:val="single"/>
        </w:rPr>
        <w:t>3</w:t>
      </w:r>
      <w:r>
        <w:rPr>
          <w:rFonts w:ascii="宋体" w:hAnsi="宋体"/>
          <w:b/>
          <w:sz w:val="21"/>
          <w:szCs w:val="21"/>
          <w:u w:val="single"/>
        </w:rPr>
        <w:t>、合同签定后</w:t>
      </w:r>
      <w:r>
        <w:rPr>
          <w:rFonts w:hint="eastAsia" w:ascii="宋体" w:hAnsi="宋体"/>
          <w:b/>
          <w:sz w:val="21"/>
          <w:szCs w:val="21"/>
          <w:u w:val="single"/>
        </w:rPr>
        <w:t>30</w:t>
      </w:r>
      <w:r>
        <w:rPr>
          <w:rFonts w:ascii="宋体" w:hAnsi="宋体"/>
          <w:b/>
          <w:sz w:val="21"/>
          <w:szCs w:val="21"/>
          <w:u w:val="single"/>
        </w:rPr>
        <w:t>天内</w:t>
      </w:r>
      <w:r>
        <w:rPr>
          <w:rFonts w:hint="eastAsia" w:ascii="宋体" w:hAnsi="宋体"/>
          <w:b/>
          <w:sz w:val="21"/>
          <w:szCs w:val="21"/>
          <w:u w:val="single"/>
        </w:rPr>
        <w:t>，提交所有与施工组织设计相符的设备材料技术报审、订货、进场计划表。承包人每月20日向工程师提交已完工程量报告</w:t>
      </w:r>
      <w:r>
        <w:rPr>
          <w:rFonts w:hint="eastAsia" w:ascii="宋体" w:hAnsi="宋体"/>
          <w:sz w:val="21"/>
          <w:szCs w:val="21"/>
        </w:rPr>
        <w:t>。</w:t>
      </w:r>
      <w:r>
        <w:rPr>
          <w:rFonts w:ascii="宋体" w:hAnsi="宋体"/>
          <w:sz w:val="21"/>
          <w:szCs w:val="21"/>
        </w:rPr>
        <w:t>；</w:t>
      </w:r>
    </w:p>
    <w:p w14:paraId="4DF94481">
      <w:pPr>
        <w:spacing w:line="300" w:lineRule="auto"/>
        <w:ind w:firstLine="420" w:firstLineChars="200"/>
        <w:rPr>
          <w:rFonts w:ascii="宋体" w:hAnsi="宋体"/>
          <w:sz w:val="21"/>
          <w:szCs w:val="21"/>
        </w:rPr>
      </w:pPr>
      <w:r>
        <w:rPr>
          <w:rFonts w:ascii="宋体" w:hAnsi="宋体"/>
          <w:sz w:val="21"/>
          <w:szCs w:val="21"/>
        </w:rPr>
        <w:t>承包人提供的文件的期限为：</w:t>
      </w:r>
      <w:r>
        <w:rPr>
          <w:rFonts w:hint="eastAsia" w:ascii="宋体" w:hAnsi="宋体" w:cs="MingLiU_HKSCS"/>
          <w:sz w:val="21"/>
          <w:szCs w:val="21"/>
          <w:u w:val="single"/>
        </w:rPr>
        <w:t xml:space="preserve"> </w:t>
      </w:r>
      <w:r>
        <w:rPr>
          <w:rFonts w:hint="eastAsia" w:ascii="宋体" w:hAnsi="宋体"/>
          <w:b/>
          <w:sz w:val="21"/>
          <w:szCs w:val="21"/>
          <w:u w:val="single"/>
        </w:rPr>
        <w:t>按上款要求</w:t>
      </w:r>
      <w:r>
        <w:rPr>
          <w:rFonts w:hint="eastAsia" w:ascii="宋体" w:hAnsi="宋体" w:cs="MingLiU_HKSCS"/>
          <w:sz w:val="21"/>
          <w:szCs w:val="21"/>
          <w:u w:val="single"/>
        </w:rPr>
        <w:t xml:space="preserve"> </w:t>
      </w:r>
      <w:r>
        <w:rPr>
          <w:rFonts w:ascii="宋体" w:hAnsi="宋体"/>
          <w:sz w:val="21"/>
          <w:szCs w:val="21"/>
        </w:rPr>
        <w:t>；</w:t>
      </w:r>
    </w:p>
    <w:p w14:paraId="0DF098D2">
      <w:pPr>
        <w:spacing w:line="300" w:lineRule="auto"/>
        <w:ind w:firstLine="420" w:firstLineChars="200"/>
        <w:rPr>
          <w:rFonts w:ascii="宋体" w:hAnsi="宋体"/>
          <w:sz w:val="21"/>
          <w:szCs w:val="21"/>
        </w:rPr>
      </w:pPr>
      <w:r>
        <w:rPr>
          <w:rFonts w:ascii="宋体" w:hAnsi="宋体"/>
          <w:sz w:val="21"/>
          <w:szCs w:val="21"/>
        </w:rPr>
        <w:t>承包人提供的文件的数量为：</w:t>
      </w:r>
      <w:r>
        <w:rPr>
          <w:rFonts w:hint="eastAsia" w:ascii="宋体" w:hAnsi="宋体"/>
          <w:b/>
          <w:sz w:val="21"/>
          <w:szCs w:val="21"/>
          <w:u w:val="single"/>
        </w:rPr>
        <w:t>一式五份</w:t>
      </w:r>
      <w:r>
        <w:rPr>
          <w:rFonts w:hint="eastAsia" w:ascii="宋体" w:hAnsi="宋体"/>
          <w:sz w:val="21"/>
          <w:szCs w:val="21"/>
          <w:u w:val="single"/>
        </w:rPr>
        <w:t xml:space="preserve">    </w:t>
      </w:r>
      <w:r>
        <w:rPr>
          <w:rFonts w:ascii="宋体" w:hAnsi="宋体"/>
          <w:sz w:val="21"/>
          <w:szCs w:val="21"/>
        </w:rPr>
        <w:t>；</w:t>
      </w:r>
    </w:p>
    <w:p w14:paraId="7DE79E0B">
      <w:pPr>
        <w:spacing w:line="300" w:lineRule="auto"/>
        <w:ind w:firstLine="420" w:firstLineChars="200"/>
        <w:rPr>
          <w:rFonts w:ascii="宋体" w:hAnsi="宋体"/>
          <w:sz w:val="21"/>
          <w:szCs w:val="21"/>
        </w:rPr>
      </w:pPr>
      <w:r>
        <w:rPr>
          <w:rFonts w:ascii="宋体" w:hAnsi="宋体"/>
          <w:sz w:val="21"/>
          <w:szCs w:val="21"/>
        </w:rPr>
        <w:t>承包人提供的文件的形式为：</w:t>
      </w:r>
      <w:r>
        <w:rPr>
          <w:rFonts w:hint="eastAsia" w:ascii="宋体" w:hAnsi="宋体" w:cs="MingLiU_HKSCS"/>
          <w:sz w:val="21"/>
          <w:szCs w:val="21"/>
          <w:u w:val="single"/>
        </w:rPr>
        <w:t xml:space="preserve"> </w:t>
      </w:r>
      <w:r>
        <w:rPr>
          <w:rFonts w:hint="eastAsia" w:ascii="宋体" w:hAnsi="宋体"/>
          <w:b/>
          <w:sz w:val="21"/>
          <w:szCs w:val="21"/>
          <w:u w:val="single"/>
        </w:rPr>
        <w:t xml:space="preserve">书面文件   </w:t>
      </w:r>
      <w:r>
        <w:rPr>
          <w:rFonts w:ascii="宋体" w:hAnsi="宋体"/>
          <w:sz w:val="21"/>
          <w:szCs w:val="21"/>
        </w:rPr>
        <w:t>；</w:t>
      </w:r>
    </w:p>
    <w:p w14:paraId="70AEBDE5">
      <w:pPr>
        <w:spacing w:line="300" w:lineRule="auto"/>
        <w:ind w:firstLine="420" w:firstLineChars="200"/>
        <w:rPr>
          <w:rFonts w:ascii="宋体" w:hAnsi="宋体"/>
          <w:sz w:val="21"/>
          <w:szCs w:val="21"/>
        </w:rPr>
      </w:pPr>
      <w:r>
        <w:rPr>
          <w:rFonts w:ascii="宋体" w:hAnsi="宋体"/>
          <w:sz w:val="21"/>
          <w:szCs w:val="21"/>
        </w:rPr>
        <w:t>发包人</w:t>
      </w:r>
      <w:r>
        <w:rPr>
          <w:rFonts w:hint="eastAsia" w:ascii="宋体" w:hAnsi="宋体"/>
          <w:sz w:val="21"/>
          <w:szCs w:val="21"/>
        </w:rPr>
        <w:t>审批</w:t>
      </w:r>
      <w:r>
        <w:rPr>
          <w:rFonts w:ascii="宋体" w:hAnsi="宋体"/>
          <w:sz w:val="21"/>
          <w:szCs w:val="21"/>
        </w:rPr>
        <w:t>承包人文件的期限：</w:t>
      </w:r>
      <w:r>
        <w:rPr>
          <w:rFonts w:hint="eastAsia" w:ascii="宋体" w:hAnsi="宋体" w:cs="MingLiU_HKSCS"/>
          <w:sz w:val="21"/>
          <w:szCs w:val="21"/>
          <w:u w:val="single"/>
        </w:rPr>
        <w:t xml:space="preserve"> </w:t>
      </w:r>
      <w:r>
        <w:rPr>
          <w:rFonts w:hint="eastAsia" w:ascii="宋体" w:hAnsi="宋体"/>
          <w:b/>
          <w:sz w:val="21"/>
          <w:szCs w:val="21"/>
          <w:u w:val="single"/>
        </w:rPr>
        <w:t>7日内</w:t>
      </w:r>
      <w:r>
        <w:rPr>
          <w:rFonts w:hint="eastAsia" w:ascii="宋体" w:hAnsi="宋体"/>
          <w:sz w:val="21"/>
          <w:szCs w:val="21"/>
          <w:u w:val="single"/>
        </w:rPr>
        <w:t xml:space="preserve">    </w:t>
      </w:r>
      <w:r>
        <w:rPr>
          <w:rFonts w:ascii="宋体" w:hAnsi="宋体"/>
          <w:sz w:val="21"/>
          <w:szCs w:val="21"/>
        </w:rPr>
        <w:t>。</w:t>
      </w:r>
    </w:p>
    <w:p w14:paraId="43D5CCC7">
      <w:pPr>
        <w:spacing w:after="120" w:line="300" w:lineRule="auto"/>
        <w:ind w:firstLine="420" w:firstLineChars="200"/>
        <w:rPr>
          <w:rFonts w:ascii="宋体" w:hAnsi="宋体"/>
          <w:sz w:val="21"/>
          <w:szCs w:val="21"/>
        </w:rPr>
      </w:pPr>
      <w:r>
        <w:rPr>
          <w:rFonts w:ascii="宋体" w:hAnsi="宋体"/>
          <w:sz w:val="21"/>
          <w:szCs w:val="21"/>
        </w:rPr>
        <w:t>1.7 联络</w:t>
      </w:r>
    </w:p>
    <w:p w14:paraId="514081D8">
      <w:pPr>
        <w:spacing w:line="300" w:lineRule="auto"/>
        <w:ind w:firstLine="420" w:firstLineChars="200"/>
        <w:rPr>
          <w:rFonts w:hint="eastAsia" w:ascii="宋体" w:hAnsi="宋体"/>
          <w:kern w:val="0"/>
          <w:sz w:val="21"/>
          <w:szCs w:val="21"/>
        </w:rPr>
      </w:pPr>
      <w:r>
        <w:rPr>
          <w:rFonts w:ascii="宋体" w:hAnsi="宋体"/>
          <w:kern w:val="0"/>
          <w:sz w:val="21"/>
          <w:szCs w:val="21"/>
        </w:rPr>
        <w:t>1.7.1发包人和承包人应当在</w:t>
      </w:r>
      <w:r>
        <w:rPr>
          <w:rFonts w:hint="eastAsia" w:ascii="宋体" w:hAnsi="宋体"/>
          <w:sz w:val="21"/>
          <w:szCs w:val="21"/>
          <w:u w:val="single"/>
        </w:rPr>
        <w:t>7</w:t>
      </w:r>
      <w:r>
        <w:rPr>
          <w:rFonts w:ascii="宋体" w:hAnsi="宋体"/>
          <w:kern w:val="0"/>
          <w:sz w:val="21"/>
          <w:szCs w:val="21"/>
        </w:rPr>
        <w:t>天内将与合同有关的通知、批准、证明、证书、指示、指令、要求、请求、同意、意见、确定和决定等书面函件送达对方当事人</w:t>
      </w:r>
      <w:r>
        <w:rPr>
          <w:rFonts w:hint="eastAsia" w:ascii="宋体" w:hAnsi="宋体"/>
          <w:kern w:val="0"/>
          <w:sz w:val="21"/>
          <w:szCs w:val="21"/>
        </w:rPr>
        <w:t>。</w:t>
      </w:r>
    </w:p>
    <w:p w14:paraId="2867C80A">
      <w:pPr>
        <w:spacing w:line="300" w:lineRule="auto"/>
        <w:ind w:firstLine="420" w:firstLineChars="200"/>
        <w:rPr>
          <w:rFonts w:ascii="宋体" w:hAnsi="宋体"/>
          <w:kern w:val="0"/>
          <w:sz w:val="21"/>
          <w:szCs w:val="21"/>
        </w:rPr>
      </w:pPr>
      <w:r>
        <w:rPr>
          <w:rFonts w:ascii="宋体" w:hAnsi="宋体"/>
          <w:kern w:val="0"/>
          <w:sz w:val="21"/>
          <w:szCs w:val="21"/>
        </w:rPr>
        <w:t>1.7.2 发包人接收文件的地点</w:t>
      </w:r>
      <w:r>
        <w:rPr>
          <w:rFonts w:hint="eastAsia" w:ascii="宋体" w:hAnsi="宋体"/>
          <w:kern w:val="0"/>
          <w:sz w:val="21"/>
          <w:szCs w:val="21"/>
        </w:rPr>
        <w:t>：</w:t>
      </w:r>
      <w:r>
        <w:rPr>
          <w:rFonts w:hint="eastAsia" w:ascii="宋体" w:hAnsi="宋体"/>
          <w:kern w:val="0"/>
          <w:sz w:val="21"/>
          <w:szCs w:val="21"/>
          <w:u w:val="single"/>
        </w:rPr>
        <w:t>发包人基建科</w:t>
      </w:r>
      <w:r>
        <w:rPr>
          <w:rFonts w:ascii="宋体" w:hAnsi="宋体"/>
          <w:kern w:val="0"/>
          <w:sz w:val="21"/>
          <w:szCs w:val="21"/>
        </w:rPr>
        <w:t>；</w:t>
      </w:r>
    </w:p>
    <w:p w14:paraId="52DDB169">
      <w:pPr>
        <w:spacing w:line="300" w:lineRule="auto"/>
        <w:ind w:firstLine="420" w:firstLineChars="200"/>
        <w:rPr>
          <w:rFonts w:ascii="宋体" w:hAnsi="宋体"/>
          <w:kern w:val="0"/>
          <w:sz w:val="21"/>
          <w:szCs w:val="21"/>
        </w:rPr>
      </w:pPr>
      <w:r>
        <w:rPr>
          <w:rFonts w:ascii="宋体" w:hAnsi="宋体"/>
          <w:kern w:val="0"/>
          <w:sz w:val="21"/>
          <w:szCs w:val="21"/>
        </w:rPr>
        <w:t>发包人指定的接收人为：</w:t>
      </w:r>
      <w:r>
        <w:rPr>
          <w:rFonts w:hint="eastAsia" w:ascii="宋体" w:hAnsi="宋体" w:cs="MingLiU_HKSCS"/>
          <w:sz w:val="21"/>
          <w:szCs w:val="21"/>
          <w:u w:val="single"/>
        </w:rPr>
        <w:t xml:space="preserve">           </w:t>
      </w:r>
      <w:r>
        <w:rPr>
          <w:rFonts w:hint="eastAsia" w:ascii="宋体" w:hAnsi="宋体"/>
          <w:sz w:val="21"/>
          <w:szCs w:val="21"/>
          <w:u w:val="single"/>
        </w:rPr>
        <w:t xml:space="preserve">   </w:t>
      </w:r>
      <w:r>
        <w:rPr>
          <w:rFonts w:hint="eastAsia" w:ascii="宋体" w:hAnsi="宋体" w:cs="MingLiU_HKSCS"/>
          <w:sz w:val="21"/>
          <w:szCs w:val="21"/>
          <w:u w:val="single"/>
        </w:rPr>
        <w:t xml:space="preserve"> </w:t>
      </w:r>
      <w:r>
        <w:rPr>
          <w:rFonts w:ascii="宋体" w:hAnsi="宋体"/>
          <w:kern w:val="0"/>
          <w:sz w:val="21"/>
          <w:szCs w:val="21"/>
        </w:rPr>
        <w:t>。</w:t>
      </w:r>
    </w:p>
    <w:p w14:paraId="74BBFEC1">
      <w:pPr>
        <w:spacing w:line="300" w:lineRule="auto"/>
        <w:ind w:firstLine="420" w:firstLineChars="200"/>
        <w:rPr>
          <w:rFonts w:ascii="宋体" w:hAnsi="宋体"/>
          <w:kern w:val="0"/>
          <w:sz w:val="21"/>
          <w:szCs w:val="21"/>
        </w:rPr>
      </w:pPr>
      <w:r>
        <w:rPr>
          <w:rFonts w:ascii="宋体" w:hAnsi="宋体"/>
          <w:kern w:val="0"/>
          <w:sz w:val="21"/>
          <w:szCs w:val="21"/>
        </w:rPr>
        <w:t>承包人指定的接收人为：</w:t>
      </w:r>
      <w:r>
        <w:rPr>
          <w:rFonts w:hint="eastAsia" w:ascii="宋体" w:hAnsi="宋体" w:cs="MingLiU_HKSCS"/>
          <w:sz w:val="21"/>
          <w:szCs w:val="21"/>
          <w:u w:val="single"/>
        </w:rPr>
        <w:t xml:space="preserve"> </w:t>
      </w:r>
      <w:r>
        <w:rPr>
          <w:rFonts w:hint="eastAsia" w:ascii="宋体" w:hAnsi="宋体"/>
          <w:sz w:val="21"/>
          <w:szCs w:val="21"/>
          <w:u w:val="single"/>
        </w:rPr>
        <w:t xml:space="preserve"> </w:t>
      </w:r>
      <w:r>
        <w:rPr>
          <w:rFonts w:hint="eastAsia" w:ascii="宋体" w:hAnsi="宋体" w:cs="宋体"/>
          <w:sz w:val="21"/>
          <w:szCs w:val="21"/>
          <w:u w:val="single"/>
        </w:rPr>
        <w:t xml:space="preserve">         </w:t>
      </w:r>
      <w:r>
        <w:rPr>
          <w:rFonts w:hint="eastAsia" w:ascii="宋体" w:hAnsi="宋体"/>
          <w:sz w:val="21"/>
          <w:szCs w:val="21"/>
          <w:u w:val="single"/>
        </w:rPr>
        <w:t xml:space="preserve">   </w:t>
      </w:r>
      <w:r>
        <w:rPr>
          <w:rFonts w:hint="eastAsia" w:ascii="宋体" w:hAnsi="宋体" w:cs="MingLiU_HKSCS"/>
          <w:sz w:val="21"/>
          <w:szCs w:val="21"/>
          <w:u w:val="single"/>
        </w:rPr>
        <w:t xml:space="preserve"> </w:t>
      </w:r>
      <w:r>
        <w:rPr>
          <w:rFonts w:ascii="宋体" w:hAnsi="宋体"/>
          <w:kern w:val="0"/>
          <w:sz w:val="21"/>
          <w:szCs w:val="21"/>
        </w:rPr>
        <w:t>。</w:t>
      </w:r>
    </w:p>
    <w:p w14:paraId="620363DD">
      <w:pPr>
        <w:spacing w:line="300" w:lineRule="auto"/>
        <w:ind w:firstLine="420" w:firstLineChars="200"/>
        <w:rPr>
          <w:rFonts w:hint="eastAsia" w:ascii="宋体" w:hAnsi="宋体"/>
          <w:kern w:val="0"/>
          <w:sz w:val="21"/>
          <w:szCs w:val="21"/>
        </w:rPr>
      </w:pPr>
      <w:r>
        <w:rPr>
          <w:rFonts w:ascii="宋体" w:hAnsi="宋体"/>
          <w:kern w:val="0"/>
          <w:sz w:val="21"/>
          <w:szCs w:val="21"/>
        </w:rPr>
        <w:t>1.7.</w:t>
      </w:r>
      <w:r>
        <w:rPr>
          <w:rFonts w:hint="eastAsia" w:ascii="宋体" w:hAnsi="宋体"/>
          <w:kern w:val="0"/>
          <w:sz w:val="21"/>
          <w:szCs w:val="21"/>
        </w:rPr>
        <w:t>3 如承包人无法在上述约定的地点接收文件的，合同第一部分协议书中所确认的双方联系地址（或住所）为合同履行中及发生纠纷时相关文件和法律文书送达时的送达地址。</w:t>
      </w:r>
    </w:p>
    <w:p w14:paraId="70274359">
      <w:pPr>
        <w:spacing w:line="300" w:lineRule="auto"/>
        <w:ind w:firstLine="420" w:firstLineChars="200"/>
        <w:rPr>
          <w:rFonts w:hint="eastAsia" w:ascii="宋体" w:hAnsi="宋体"/>
          <w:kern w:val="0"/>
          <w:sz w:val="21"/>
          <w:szCs w:val="21"/>
        </w:rPr>
      </w:pPr>
      <w:r>
        <w:rPr>
          <w:rFonts w:hint="eastAsia" w:ascii="宋体" w:hAnsi="宋体"/>
          <w:kern w:val="0"/>
          <w:sz w:val="21"/>
          <w:szCs w:val="21"/>
        </w:rPr>
        <w:t>双方确认合同第一部分协议中所确认的双方联系地址（或住所）适用范围包括双方非诉时各类通知、协议、函等文件以及就合同发生纠纷时相关文件和法律文书的送达，同时包括在争议进入仲裁、民事诉讼程序后的一审、二审、再审和执行程序。因双方提供或者确认的送达地址不准确、送达地址变更后未及时依程序告知对方和法院、当事人或指定的接收人拒绝签收等原因，导致各类通知、协议、函等文件及法律文书未能被对方实际接收的，邮寄部门的文书退回之日视为送达之日，直接送达的，送达人当场在送达回证上记明情况之日视为送达之日；履行送达地址变更通知义务的，以变更后的送达地址为有效送达地址。</w:t>
      </w:r>
    </w:p>
    <w:p w14:paraId="1287E475">
      <w:pPr>
        <w:spacing w:line="300" w:lineRule="auto"/>
        <w:ind w:firstLine="420" w:firstLineChars="200"/>
        <w:rPr>
          <w:rFonts w:hint="eastAsia" w:ascii="宋体" w:hAnsi="宋体"/>
          <w:kern w:val="0"/>
          <w:sz w:val="21"/>
          <w:szCs w:val="21"/>
        </w:rPr>
      </w:pPr>
      <w:r>
        <w:rPr>
          <w:rFonts w:hint="eastAsia" w:ascii="宋体" w:hAnsi="宋体"/>
          <w:kern w:val="0"/>
          <w:sz w:val="21"/>
          <w:szCs w:val="21"/>
        </w:rPr>
        <w:t>双方送达地址需要变更时应当履行通知义务，通过</w:t>
      </w:r>
      <w:r>
        <w:rPr>
          <w:rFonts w:hint="eastAsia" w:ascii="宋体" w:hAnsi="宋体"/>
          <w:kern w:val="0"/>
          <w:sz w:val="21"/>
          <w:szCs w:val="21"/>
          <w:u w:val="single"/>
        </w:rPr>
        <w:t>书面通知</w:t>
      </w:r>
      <w:r>
        <w:rPr>
          <w:rFonts w:hint="eastAsia" w:ascii="宋体" w:hAnsi="宋体"/>
          <w:kern w:val="0"/>
          <w:sz w:val="21"/>
          <w:szCs w:val="21"/>
        </w:rPr>
        <w:t>的方式向对方进行通知。在仲裁及民事诉讼程序时双方如发生地址变更时应当同时向仲裁机构、法院履行送达地址变更通知义务，并自行承担由此产生的后果。</w:t>
      </w:r>
    </w:p>
    <w:p w14:paraId="57FF483A">
      <w:pPr>
        <w:spacing w:after="120" w:line="300" w:lineRule="auto"/>
        <w:ind w:firstLine="420" w:firstLineChars="200"/>
        <w:rPr>
          <w:rFonts w:ascii="宋体" w:hAnsi="宋体"/>
          <w:kern w:val="0"/>
          <w:sz w:val="21"/>
          <w:szCs w:val="21"/>
        </w:rPr>
      </w:pPr>
      <w:r>
        <w:rPr>
          <w:rFonts w:ascii="宋体" w:hAnsi="宋体"/>
          <w:kern w:val="0"/>
          <w:sz w:val="21"/>
          <w:szCs w:val="21"/>
        </w:rPr>
        <w:t>1.10 交通运输</w:t>
      </w:r>
    </w:p>
    <w:p w14:paraId="6055B5E0">
      <w:pPr>
        <w:spacing w:line="300" w:lineRule="auto"/>
        <w:ind w:firstLine="420" w:firstLineChars="200"/>
        <w:jc w:val="left"/>
        <w:rPr>
          <w:rFonts w:ascii="宋体" w:hAnsi="宋体"/>
          <w:sz w:val="21"/>
          <w:szCs w:val="21"/>
        </w:rPr>
      </w:pPr>
      <w:r>
        <w:rPr>
          <w:rFonts w:ascii="宋体" w:hAnsi="宋体"/>
          <w:sz w:val="21"/>
          <w:szCs w:val="21"/>
        </w:rPr>
        <w:t>1</w:t>
      </w:r>
      <w:bookmarkStart w:id="102" w:name="_Toc300934944"/>
      <w:bookmarkStart w:id="103" w:name="_Toc318581156"/>
      <w:bookmarkStart w:id="104" w:name="_Toc303539101"/>
      <w:bookmarkStart w:id="105" w:name="_Toc304295522"/>
      <w:bookmarkStart w:id="106" w:name="_Toc312677987"/>
      <w:r>
        <w:rPr>
          <w:rFonts w:ascii="宋体" w:hAnsi="宋体"/>
          <w:sz w:val="21"/>
          <w:szCs w:val="21"/>
        </w:rPr>
        <w:t>.10.3 场内交通</w:t>
      </w:r>
    </w:p>
    <w:p w14:paraId="201B309E">
      <w:pPr>
        <w:spacing w:line="300" w:lineRule="auto"/>
        <w:ind w:firstLine="420" w:firstLineChars="200"/>
        <w:jc w:val="left"/>
        <w:rPr>
          <w:rFonts w:ascii="宋体" w:hAnsi="宋体"/>
          <w:kern w:val="0"/>
          <w:sz w:val="21"/>
          <w:szCs w:val="21"/>
        </w:rPr>
      </w:pPr>
      <w:r>
        <w:rPr>
          <w:rFonts w:ascii="宋体" w:hAnsi="宋体"/>
          <w:kern w:val="0"/>
          <w:sz w:val="21"/>
          <w:szCs w:val="21"/>
        </w:rPr>
        <w:t>关于场外交通和场内交通的边界的约定：</w:t>
      </w:r>
      <w:r>
        <w:rPr>
          <w:rFonts w:hint="eastAsia" w:ascii="宋体" w:hAnsi="宋体" w:cs="MingLiU_HKSCS"/>
          <w:sz w:val="21"/>
          <w:szCs w:val="21"/>
          <w:u w:val="single"/>
        </w:rPr>
        <w:t xml:space="preserve"> </w:t>
      </w:r>
      <w:r>
        <w:rPr>
          <w:rFonts w:hint="eastAsia" w:ascii="宋体" w:hAnsi="宋体"/>
          <w:sz w:val="21"/>
          <w:szCs w:val="21"/>
          <w:u w:val="single"/>
        </w:rPr>
        <w:t>以用地红线范围以外的为外交通，用地红线范围以内的为场内交通</w:t>
      </w:r>
      <w:r>
        <w:rPr>
          <w:rFonts w:ascii="宋体" w:hAnsi="宋体"/>
          <w:sz w:val="21"/>
          <w:szCs w:val="21"/>
        </w:rPr>
        <w:t>。</w:t>
      </w:r>
    </w:p>
    <w:p w14:paraId="48E1DD1F">
      <w:pPr>
        <w:spacing w:line="300" w:lineRule="auto"/>
        <w:ind w:left="105" w:leftChars="50" w:firstLine="315" w:firstLineChars="150"/>
        <w:jc w:val="left"/>
        <w:rPr>
          <w:rFonts w:ascii="宋体" w:hAnsi="宋体"/>
          <w:sz w:val="21"/>
          <w:szCs w:val="21"/>
        </w:rPr>
      </w:pPr>
      <w:r>
        <w:rPr>
          <w:rFonts w:ascii="宋体" w:hAnsi="宋体"/>
          <w:sz w:val="21"/>
          <w:szCs w:val="21"/>
        </w:rPr>
        <w:t>关于发包人向承包人免费提供满足工程施工需要的场内道路和交通设施的约定：</w:t>
      </w:r>
      <w:r>
        <w:rPr>
          <w:rFonts w:ascii="宋体" w:hAnsi="宋体"/>
          <w:b/>
          <w:sz w:val="21"/>
          <w:szCs w:val="21"/>
          <w:u w:val="single"/>
        </w:rPr>
        <w:t>本工程施工现场</w:t>
      </w:r>
      <w:r>
        <w:rPr>
          <w:rFonts w:hint="eastAsia" w:ascii="宋体" w:hAnsi="宋体"/>
          <w:b/>
          <w:sz w:val="21"/>
          <w:szCs w:val="21"/>
          <w:u w:val="single"/>
        </w:rPr>
        <w:t>三通一平已完成，场地道路标准</w:t>
      </w:r>
      <w:r>
        <w:rPr>
          <w:rFonts w:ascii="宋体" w:hAnsi="宋体"/>
          <w:b/>
          <w:sz w:val="21"/>
          <w:szCs w:val="21"/>
          <w:u w:val="single"/>
        </w:rPr>
        <w:t>，周围道路畅通，承包人应遵守当地交通部门限制通行的有关规定。</w:t>
      </w:r>
      <w:bookmarkEnd w:id="102"/>
      <w:bookmarkEnd w:id="103"/>
      <w:bookmarkEnd w:id="104"/>
      <w:bookmarkEnd w:id="105"/>
      <w:bookmarkEnd w:id="106"/>
      <w:r>
        <w:rPr>
          <w:rFonts w:hint="eastAsia" w:ascii="宋体" w:hAnsi="宋体"/>
          <w:sz w:val="21"/>
          <w:szCs w:val="21"/>
        </w:rPr>
        <w:t xml:space="preserve"> </w:t>
      </w:r>
      <w:r>
        <w:rPr>
          <w:rFonts w:ascii="宋体" w:hAnsi="宋体"/>
          <w:sz w:val="21"/>
          <w:szCs w:val="21"/>
        </w:rPr>
        <w:t xml:space="preserve"> </w:t>
      </w:r>
      <w:bookmarkStart w:id="107" w:name="_Toc318581157"/>
    </w:p>
    <w:p w14:paraId="518AF417">
      <w:pPr>
        <w:spacing w:line="300" w:lineRule="auto"/>
        <w:ind w:firstLine="420" w:firstLineChars="200"/>
        <w:jc w:val="left"/>
        <w:rPr>
          <w:rFonts w:ascii="宋体" w:hAnsi="宋体"/>
          <w:sz w:val="21"/>
          <w:szCs w:val="21"/>
        </w:rPr>
      </w:pPr>
      <w:r>
        <w:rPr>
          <w:rFonts w:ascii="宋体" w:hAnsi="宋体"/>
          <w:sz w:val="21"/>
          <w:szCs w:val="21"/>
        </w:rPr>
        <w:t>1.10.4超大件和超重件的运输</w:t>
      </w:r>
    </w:p>
    <w:p w14:paraId="2CC6DBE8">
      <w:pPr>
        <w:spacing w:line="300" w:lineRule="auto"/>
        <w:ind w:firstLine="420" w:firstLineChars="200"/>
        <w:jc w:val="left"/>
        <w:rPr>
          <w:rFonts w:ascii="宋体" w:hAnsi="宋体"/>
          <w:sz w:val="21"/>
          <w:szCs w:val="21"/>
        </w:rPr>
      </w:pPr>
      <w:r>
        <w:rPr>
          <w:rFonts w:ascii="宋体" w:hAnsi="宋体"/>
          <w:sz w:val="21"/>
          <w:szCs w:val="21"/>
        </w:rPr>
        <w:t>运输超大件或超重件所需的道路和桥梁临时加固改造费用和其他有关费用由</w:t>
      </w:r>
      <w:r>
        <w:rPr>
          <w:rFonts w:ascii="宋体" w:hAnsi="宋体"/>
          <w:sz w:val="21"/>
          <w:szCs w:val="21"/>
          <w:u w:val="single"/>
        </w:rPr>
        <w:t xml:space="preserve">  </w:t>
      </w:r>
      <w:r>
        <w:rPr>
          <w:rFonts w:hint="eastAsia" w:ascii="宋体" w:hAnsi="宋体"/>
          <w:sz w:val="21"/>
          <w:szCs w:val="21"/>
          <w:u w:val="single"/>
        </w:rPr>
        <w:t>承包人</w:t>
      </w:r>
      <w:r>
        <w:rPr>
          <w:rFonts w:ascii="宋体" w:hAnsi="宋体"/>
          <w:sz w:val="21"/>
          <w:szCs w:val="21"/>
          <w:u w:val="single"/>
        </w:rPr>
        <w:t xml:space="preserve">  </w:t>
      </w:r>
      <w:r>
        <w:rPr>
          <w:rFonts w:ascii="宋体" w:hAnsi="宋体"/>
          <w:sz w:val="21"/>
          <w:szCs w:val="21"/>
        </w:rPr>
        <w:t>承担。</w:t>
      </w:r>
    </w:p>
    <w:bookmarkEnd w:id="107"/>
    <w:p w14:paraId="261D4F95">
      <w:pPr>
        <w:spacing w:line="360" w:lineRule="auto"/>
        <w:ind w:firstLine="420" w:firstLineChars="200"/>
        <w:jc w:val="left"/>
        <w:rPr>
          <w:rFonts w:ascii="宋体" w:hAnsi="宋体"/>
          <w:sz w:val="21"/>
          <w:szCs w:val="21"/>
        </w:rPr>
      </w:pPr>
      <w:r>
        <w:rPr>
          <w:rFonts w:ascii="宋体" w:hAnsi="宋体"/>
          <w:sz w:val="21"/>
          <w:szCs w:val="21"/>
        </w:rPr>
        <w:t>1.11 知识产权</w:t>
      </w:r>
    </w:p>
    <w:p w14:paraId="14932411">
      <w:pPr>
        <w:spacing w:line="360" w:lineRule="auto"/>
        <w:ind w:firstLine="420" w:firstLineChars="200"/>
        <w:jc w:val="left"/>
        <w:rPr>
          <w:rFonts w:hint="eastAsia" w:ascii="宋体" w:hAnsi="宋体"/>
          <w:b/>
          <w:sz w:val="21"/>
          <w:szCs w:val="21"/>
          <w:u w:val="single"/>
        </w:rPr>
      </w:pPr>
      <w:r>
        <w:rPr>
          <w:rFonts w:ascii="宋体" w:hAnsi="宋体"/>
          <w:sz w:val="21"/>
          <w:szCs w:val="21"/>
        </w:rPr>
        <w:t>1.11.1关于发包人提供给承包人的图纸、发包人为实施工程自行编制或委托编制的技术规范以及反映发包人关于合同要求或其他类似性质的文件的著作权的归属：</w:t>
      </w:r>
      <w:r>
        <w:rPr>
          <w:rFonts w:hint="eastAsia" w:ascii="宋体" w:hAnsi="宋体"/>
          <w:b/>
          <w:sz w:val="21"/>
          <w:szCs w:val="21"/>
          <w:u w:val="single"/>
        </w:rPr>
        <w:t>归发包人所有。</w:t>
      </w:r>
    </w:p>
    <w:p w14:paraId="6FE9B340">
      <w:pPr>
        <w:spacing w:line="360" w:lineRule="auto"/>
        <w:ind w:firstLine="420" w:firstLineChars="200"/>
        <w:jc w:val="left"/>
        <w:rPr>
          <w:rFonts w:ascii="宋体" w:hAnsi="宋体"/>
          <w:sz w:val="21"/>
          <w:szCs w:val="21"/>
          <w:u w:val="single"/>
        </w:rPr>
      </w:pPr>
      <w:r>
        <w:rPr>
          <w:rFonts w:ascii="宋体" w:hAnsi="宋体"/>
          <w:sz w:val="21"/>
          <w:szCs w:val="21"/>
        </w:rPr>
        <w:t>关于发包人提供的上述文件的使用限制的要求：</w:t>
      </w:r>
      <w:r>
        <w:rPr>
          <w:rFonts w:ascii="宋体" w:hAnsi="宋体"/>
          <w:sz w:val="21"/>
          <w:szCs w:val="21"/>
          <w:u w:val="single"/>
        </w:rPr>
        <w:t xml:space="preserve">  </w:t>
      </w:r>
      <w:r>
        <w:rPr>
          <w:rFonts w:hint="eastAsia" w:ascii="宋体" w:hAnsi="宋体"/>
          <w:b/>
          <w:sz w:val="21"/>
          <w:szCs w:val="21"/>
          <w:u w:val="single"/>
        </w:rPr>
        <w:t>工程审计后付款完结为止</w:t>
      </w:r>
      <w:r>
        <w:rPr>
          <w:rFonts w:ascii="宋体" w:hAnsi="宋体"/>
          <w:b/>
          <w:sz w:val="21"/>
          <w:szCs w:val="21"/>
          <w:u w:val="single"/>
        </w:rPr>
        <w:t xml:space="preserve"> </w:t>
      </w:r>
      <w:r>
        <w:rPr>
          <w:rFonts w:ascii="宋体" w:hAnsi="宋体"/>
          <w:sz w:val="21"/>
          <w:szCs w:val="21"/>
          <w:u w:val="single"/>
        </w:rPr>
        <w:t xml:space="preserve">  </w:t>
      </w:r>
      <w:r>
        <w:rPr>
          <w:rFonts w:ascii="宋体" w:hAnsi="宋体"/>
          <w:sz w:val="21"/>
          <w:szCs w:val="21"/>
        </w:rPr>
        <w:t>。</w:t>
      </w:r>
    </w:p>
    <w:p w14:paraId="3BA81F78">
      <w:pPr>
        <w:spacing w:line="360" w:lineRule="auto"/>
        <w:ind w:firstLine="420" w:firstLineChars="200"/>
        <w:jc w:val="left"/>
        <w:rPr>
          <w:rFonts w:hint="eastAsia" w:ascii="宋体" w:hAnsi="宋体"/>
          <w:sz w:val="21"/>
          <w:szCs w:val="21"/>
        </w:rPr>
      </w:pPr>
      <w:r>
        <w:rPr>
          <w:rFonts w:ascii="宋体" w:hAnsi="宋体"/>
          <w:sz w:val="21"/>
          <w:szCs w:val="21"/>
        </w:rPr>
        <w:t>1.11.2 关于承包人为实施工程所编制文件的著作权的归属：</w:t>
      </w:r>
      <w:r>
        <w:rPr>
          <w:rFonts w:ascii="宋体" w:hAnsi="宋体"/>
          <w:sz w:val="21"/>
          <w:szCs w:val="21"/>
          <w:u w:val="single"/>
        </w:rPr>
        <w:t xml:space="preserve"> </w:t>
      </w:r>
      <w:r>
        <w:rPr>
          <w:rFonts w:hint="eastAsia" w:ascii="宋体" w:hAnsi="宋体"/>
          <w:b/>
          <w:sz w:val="21"/>
          <w:szCs w:val="21"/>
          <w:u w:val="single"/>
        </w:rPr>
        <w:t>归发包人所有</w:t>
      </w:r>
      <w:r>
        <w:rPr>
          <w:rFonts w:ascii="宋体" w:hAnsi="宋体"/>
          <w:sz w:val="21"/>
          <w:szCs w:val="21"/>
        </w:rPr>
        <w:t>。</w:t>
      </w:r>
    </w:p>
    <w:p w14:paraId="3D13DB0A">
      <w:pPr>
        <w:spacing w:line="360" w:lineRule="auto"/>
        <w:ind w:firstLine="420" w:firstLineChars="200"/>
        <w:jc w:val="left"/>
        <w:rPr>
          <w:rFonts w:ascii="宋体" w:hAnsi="宋体"/>
          <w:sz w:val="21"/>
          <w:szCs w:val="21"/>
        </w:rPr>
      </w:pPr>
      <w:r>
        <w:rPr>
          <w:rFonts w:ascii="宋体" w:hAnsi="宋体"/>
          <w:sz w:val="21"/>
          <w:szCs w:val="21"/>
        </w:rPr>
        <w:t>关于承包人提供的上述文件的使用限制的要求：</w:t>
      </w:r>
      <w:r>
        <w:rPr>
          <w:rFonts w:hint="eastAsia" w:ascii="宋体" w:hAnsi="宋体"/>
          <w:b/>
          <w:sz w:val="21"/>
          <w:szCs w:val="21"/>
          <w:u w:val="single"/>
        </w:rPr>
        <w:t>工程审计后付款完结为止</w:t>
      </w:r>
      <w:r>
        <w:rPr>
          <w:rFonts w:ascii="宋体" w:hAnsi="宋体"/>
          <w:sz w:val="21"/>
          <w:szCs w:val="21"/>
        </w:rPr>
        <w:t>。</w:t>
      </w:r>
    </w:p>
    <w:p w14:paraId="3136CF2B">
      <w:pPr>
        <w:spacing w:line="360" w:lineRule="auto"/>
        <w:ind w:firstLine="420" w:firstLineChars="200"/>
        <w:jc w:val="left"/>
        <w:rPr>
          <w:rFonts w:ascii="宋体" w:hAnsi="宋体"/>
          <w:sz w:val="21"/>
          <w:szCs w:val="21"/>
        </w:rPr>
      </w:pPr>
      <w:r>
        <w:rPr>
          <w:rFonts w:ascii="宋体" w:hAnsi="宋体"/>
          <w:sz w:val="21"/>
          <w:szCs w:val="21"/>
        </w:rPr>
        <w:t>1.11.4 承包人在施工过程中所采用的专利、专有技术、技术秘密的使用费的承担方式：</w:t>
      </w:r>
      <w:r>
        <w:rPr>
          <w:rFonts w:hint="eastAsia" w:ascii="宋体" w:hAnsi="宋体"/>
          <w:b/>
          <w:sz w:val="21"/>
          <w:szCs w:val="21"/>
          <w:u w:val="single"/>
        </w:rPr>
        <w:t>承包人自行承担</w:t>
      </w:r>
      <w:r>
        <w:rPr>
          <w:rFonts w:ascii="宋体" w:hAnsi="宋体"/>
          <w:b/>
          <w:sz w:val="21"/>
          <w:szCs w:val="21"/>
          <w:u w:val="single"/>
        </w:rPr>
        <w:t xml:space="preserve"> </w:t>
      </w:r>
      <w:r>
        <w:rPr>
          <w:rFonts w:ascii="宋体" w:hAnsi="宋体"/>
          <w:sz w:val="21"/>
          <w:szCs w:val="21"/>
        </w:rPr>
        <w:t>。</w:t>
      </w:r>
    </w:p>
    <w:p w14:paraId="6470AF0C">
      <w:pPr>
        <w:spacing w:line="360" w:lineRule="auto"/>
        <w:ind w:firstLine="420" w:firstLineChars="200"/>
        <w:jc w:val="left"/>
        <w:rPr>
          <w:rFonts w:ascii="宋体" w:hAnsi="宋体"/>
          <w:sz w:val="21"/>
          <w:szCs w:val="21"/>
        </w:rPr>
      </w:pPr>
      <w:r>
        <w:rPr>
          <w:rFonts w:ascii="宋体" w:hAnsi="宋体"/>
          <w:sz w:val="21"/>
          <w:szCs w:val="21"/>
        </w:rPr>
        <w:t>1.13工程量清单错误的修正</w:t>
      </w:r>
    </w:p>
    <w:p w14:paraId="069226BC">
      <w:pPr>
        <w:spacing w:line="360" w:lineRule="auto"/>
        <w:jc w:val="left"/>
        <w:rPr>
          <w:rFonts w:ascii="宋体" w:hAnsi="宋体"/>
          <w:sz w:val="21"/>
          <w:szCs w:val="21"/>
        </w:rPr>
      </w:pPr>
      <w:r>
        <w:rPr>
          <w:rFonts w:hint="eastAsia" w:ascii="宋体" w:hAnsi="宋体"/>
          <w:sz w:val="21"/>
          <w:szCs w:val="21"/>
        </w:rPr>
        <w:t>工程量复核期间出现工程量清单错误时，是否调整合同价格：</w:t>
      </w:r>
      <w:r>
        <w:rPr>
          <w:rFonts w:ascii="宋体" w:hAnsi="宋体"/>
          <w:sz w:val="21"/>
          <w:szCs w:val="21"/>
          <w:u w:val="single"/>
        </w:rPr>
        <w:t xml:space="preserve"> </w:t>
      </w:r>
      <w:r>
        <w:rPr>
          <w:rFonts w:hint="eastAsia" w:ascii="宋体" w:hAnsi="宋体"/>
          <w:sz w:val="21"/>
          <w:szCs w:val="21"/>
          <w:u w:val="single"/>
        </w:rPr>
        <w:t xml:space="preserve"> 是</w:t>
      </w:r>
      <w:r>
        <w:rPr>
          <w:rFonts w:ascii="宋体" w:hAnsi="宋体"/>
          <w:sz w:val="21"/>
          <w:szCs w:val="21"/>
          <w:u w:val="single"/>
        </w:rPr>
        <w:t xml:space="preserve">  </w:t>
      </w:r>
      <w:r>
        <w:rPr>
          <w:rFonts w:ascii="宋体" w:hAnsi="宋体"/>
          <w:sz w:val="21"/>
          <w:szCs w:val="21"/>
        </w:rPr>
        <w:t>。</w:t>
      </w:r>
    </w:p>
    <w:p w14:paraId="69B26395">
      <w:pPr>
        <w:spacing w:line="360" w:lineRule="auto"/>
        <w:jc w:val="left"/>
        <w:rPr>
          <w:rFonts w:hint="eastAsia" w:ascii="宋体" w:hAnsi="宋体"/>
          <w:b/>
          <w:sz w:val="21"/>
          <w:szCs w:val="21"/>
          <w:u w:val="single"/>
        </w:rPr>
      </w:pPr>
      <w:r>
        <w:rPr>
          <w:rFonts w:ascii="宋体" w:hAnsi="宋体"/>
          <w:sz w:val="21"/>
          <w:szCs w:val="21"/>
        </w:rPr>
        <w:t>允许调整合同价格的工程量偏差范围：</w:t>
      </w:r>
    </w:p>
    <w:p w14:paraId="7E76D186">
      <w:pPr>
        <w:spacing w:line="360" w:lineRule="auto"/>
        <w:ind w:firstLine="316" w:firstLineChars="150"/>
        <w:jc w:val="left"/>
        <w:rPr>
          <w:rFonts w:hint="eastAsia" w:ascii="宋体" w:hAnsi="宋体"/>
          <w:b/>
          <w:sz w:val="21"/>
          <w:szCs w:val="21"/>
        </w:rPr>
      </w:pPr>
      <w:r>
        <w:rPr>
          <w:rFonts w:hint="eastAsia" w:ascii="宋体" w:hAnsi="宋体"/>
          <w:b/>
          <w:sz w:val="21"/>
          <w:szCs w:val="21"/>
          <w:u w:val="single"/>
        </w:rPr>
        <w:t>1、发包人提供的分部分项工程量清单项目漏项，或非承包人原因的设计变更引起新的工程量清单项目，其相应单价的确定方法为：</w:t>
      </w:r>
      <w:r>
        <w:rPr>
          <w:rFonts w:hint="eastAsia" w:ascii="宋体" w:hAnsi="宋体"/>
          <w:b/>
          <w:sz w:val="21"/>
          <w:szCs w:val="21"/>
        </w:rPr>
        <w:t xml:space="preserve"> </w:t>
      </w:r>
    </w:p>
    <w:p w14:paraId="6CC14C82">
      <w:pPr>
        <w:spacing w:line="360" w:lineRule="auto"/>
        <w:ind w:firstLine="105" w:firstLineChars="50"/>
        <w:jc w:val="left"/>
        <w:rPr>
          <w:rFonts w:hint="eastAsia" w:ascii="宋体" w:hAnsi="宋体"/>
          <w:b/>
          <w:sz w:val="21"/>
          <w:szCs w:val="21"/>
          <w:u w:val="single"/>
        </w:rPr>
      </w:pPr>
      <w:r>
        <w:rPr>
          <w:rFonts w:hint="eastAsia" w:ascii="宋体" w:hAnsi="宋体"/>
          <w:b/>
          <w:sz w:val="21"/>
          <w:szCs w:val="21"/>
          <w:u w:val="single"/>
        </w:rPr>
        <w:t>（1）、合同中已有适用工程项目单价的，按合同中已有的单价确定。</w:t>
      </w:r>
    </w:p>
    <w:p w14:paraId="205E8984">
      <w:pPr>
        <w:spacing w:line="360" w:lineRule="auto"/>
        <w:ind w:firstLine="105" w:firstLineChars="50"/>
        <w:jc w:val="left"/>
        <w:rPr>
          <w:rFonts w:hint="eastAsia" w:ascii="宋体" w:hAnsi="宋体"/>
          <w:b/>
          <w:sz w:val="21"/>
          <w:szCs w:val="21"/>
          <w:u w:val="single"/>
        </w:rPr>
      </w:pPr>
      <w:r>
        <w:rPr>
          <w:rFonts w:hint="eastAsia" w:ascii="宋体" w:hAnsi="宋体"/>
          <w:b/>
          <w:sz w:val="21"/>
          <w:szCs w:val="21"/>
          <w:u w:val="single"/>
        </w:rPr>
        <w:t>（2）、合同中有类似工程项目单价的，可以参照合同中类似项目的单价计算确定。</w:t>
      </w:r>
    </w:p>
    <w:p w14:paraId="7526C88B">
      <w:pPr>
        <w:spacing w:line="360" w:lineRule="auto"/>
        <w:ind w:firstLine="105" w:firstLineChars="50"/>
        <w:jc w:val="left"/>
        <w:rPr>
          <w:rFonts w:hint="eastAsia" w:ascii="宋体" w:hAnsi="宋体"/>
          <w:b/>
          <w:bCs/>
          <w:sz w:val="21"/>
          <w:szCs w:val="21"/>
          <w:u w:val="single"/>
        </w:rPr>
      </w:pPr>
      <w:r>
        <w:rPr>
          <w:rFonts w:hint="eastAsia" w:ascii="宋体" w:hAnsi="宋体"/>
          <w:b/>
          <w:sz w:val="21"/>
          <w:szCs w:val="21"/>
          <w:u w:val="single"/>
        </w:rPr>
        <w:t>（3）、合同中没有适用或类似工程项目单价的而</w:t>
      </w:r>
      <w:r>
        <w:rPr>
          <w:rFonts w:hint="eastAsia" w:ascii="宋体" w:hAnsi="宋体"/>
          <w:b/>
          <w:bCs/>
          <w:sz w:val="21"/>
          <w:szCs w:val="21"/>
          <w:u w:val="single"/>
        </w:rPr>
        <w:t>无法套用时，无投标价的材料单价按实际施工期</w:t>
      </w:r>
      <w:r>
        <w:rPr>
          <w:rFonts w:ascii="宋体" w:hAnsi="宋体"/>
          <w:b/>
          <w:bCs/>
          <w:sz w:val="21"/>
          <w:szCs w:val="21"/>
          <w:u w:val="single"/>
        </w:rPr>
        <w:t>《</w:t>
      </w:r>
      <w:r>
        <w:rPr>
          <w:rFonts w:hint="eastAsia" w:ascii="宋体" w:hAnsi="宋体"/>
          <w:b/>
          <w:sz w:val="21"/>
          <w:szCs w:val="21"/>
          <w:u w:val="single"/>
        </w:rPr>
        <w:t>金华</w:t>
      </w:r>
      <w:r>
        <w:rPr>
          <w:rFonts w:hint="eastAsia" w:ascii="宋体" w:hAnsi="宋体"/>
          <w:b/>
          <w:bCs/>
          <w:sz w:val="21"/>
          <w:szCs w:val="21"/>
          <w:u w:val="single"/>
        </w:rPr>
        <w:t>建设</w:t>
      </w:r>
      <w:r>
        <w:rPr>
          <w:rFonts w:ascii="宋体" w:hAnsi="宋体"/>
          <w:b/>
          <w:bCs/>
          <w:sz w:val="21"/>
          <w:szCs w:val="21"/>
          <w:u w:val="single"/>
        </w:rPr>
        <w:t xml:space="preserve">工程造价信息》 </w:t>
      </w:r>
      <w:r>
        <w:rPr>
          <w:rFonts w:hint="eastAsia" w:ascii="宋体" w:hAnsi="宋体"/>
          <w:b/>
          <w:bCs/>
          <w:sz w:val="21"/>
          <w:szCs w:val="21"/>
          <w:u w:val="single"/>
        </w:rPr>
        <w:t>，</w:t>
      </w:r>
      <w:r>
        <w:rPr>
          <w:rFonts w:hint="eastAsia" w:ascii="宋体" w:hAnsi="宋体"/>
          <w:b/>
          <w:sz w:val="21"/>
          <w:szCs w:val="21"/>
          <w:u w:val="single"/>
        </w:rPr>
        <w:t>《金华建设工程造价</w:t>
      </w:r>
      <w:r>
        <w:rPr>
          <w:rFonts w:ascii="宋体" w:hAnsi="宋体"/>
          <w:b/>
          <w:sz w:val="21"/>
          <w:szCs w:val="21"/>
          <w:u w:val="single"/>
        </w:rPr>
        <w:t>信息</w:t>
      </w:r>
      <w:r>
        <w:rPr>
          <w:rFonts w:hint="eastAsia" w:ascii="宋体" w:hAnsi="宋体"/>
          <w:b/>
          <w:sz w:val="21"/>
          <w:szCs w:val="21"/>
          <w:u w:val="single"/>
        </w:rPr>
        <w:t>》</w:t>
      </w:r>
      <w:r>
        <w:rPr>
          <w:rFonts w:ascii="宋体" w:hAnsi="宋体"/>
          <w:b/>
          <w:sz w:val="21"/>
          <w:szCs w:val="21"/>
          <w:u w:val="single"/>
        </w:rPr>
        <w:t>中没有的材料价格，可参考相应的</w:t>
      </w:r>
      <w:r>
        <w:rPr>
          <w:rFonts w:hint="eastAsia" w:ascii="宋体" w:hAnsi="宋体"/>
          <w:b/>
          <w:bCs/>
          <w:sz w:val="21"/>
          <w:szCs w:val="21"/>
          <w:u w:val="single"/>
        </w:rPr>
        <w:t>《</w:t>
      </w:r>
      <w:r>
        <w:rPr>
          <w:rFonts w:hint="eastAsia" w:ascii="宋体" w:hAnsi="宋体"/>
          <w:b/>
          <w:sz w:val="21"/>
          <w:szCs w:val="21"/>
          <w:u w:val="single"/>
        </w:rPr>
        <w:t>浙江省建设工程造价</w:t>
      </w:r>
      <w:r>
        <w:rPr>
          <w:rFonts w:ascii="宋体" w:hAnsi="宋体"/>
          <w:b/>
          <w:sz w:val="21"/>
          <w:szCs w:val="21"/>
          <w:u w:val="single"/>
        </w:rPr>
        <w:t>信息</w:t>
      </w:r>
      <w:r>
        <w:rPr>
          <w:rFonts w:hint="eastAsia" w:ascii="宋体" w:hAnsi="宋体"/>
          <w:b/>
          <w:sz w:val="21"/>
          <w:szCs w:val="21"/>
          <w:u w:val="single"/>
        </w:rPr>
        <w:t>》</w:t>
      </w:r>
      <w:r>
        <w:rPr>
          <w:rFonts w:hint="eastAsia" w:ascii="宋体" w:hAnsi="宋体"/>
          <w:b/>
          <w:bCs/>
          <w:sz w:val="21"/>
          <w:szCs w:val="21"/>
          <w:u w:val="single"/>
        </w:rPr>
        <w:t>，无信息价的按同期市场价计取，各项取费与投标同口径。</w:t>
      </w:r>
    </w:p>
    <w:p w14:paraId="19D8862E">
      <w:pPr>
        <w:spacing w:line="360" w:lineRule="auto"/>
        <w:ind w:firstLine="316" w:firstLineChars="150"/>
        <w:jc w:val="left"/>
        <w:rPr>
          <w:rFonts w:hint="eastAsia" w:ascii="宋体" w:hAnsi="宋体"/>
          <w:sz w:val="21"/>
          <w:szCs w:val="21"/>
        </w:rPr>
      </w:pPr>
      <w:r>
        <w:rPr>
          <w:rFonts w:hint="eastAsia" w:ascii="宋体" w:hAnsi="宋体"/>
          <w:b/>
          <w:bCs/>
          <w:sz w:val="21"/>
          <w:szCs w:val="21"/>
          <w:u w:val="single"/>
        </w:rPr>
        <w:t>2、发包人与承包人在施工合同签订后30天内进行工程量清单复核，逾期不进行工程量清单复核，由此造成的损失由承包人负责，发包人及招标代理机构不承担任何责任。承包人在规定的时间内如果未提出异议或发包人未予以修正的，图纸（包括招标时提供的联系单）中所含的工程量与招标工程量清单相比，招标工程量清单中数量少出部分的工程量，其费用将被视为已包含在其他有价款的单价或合价内，并且该项工作实施后，发包人将不支付其费用。而数量多出部分的工程量，在结算时将被按实扣回。工程量清单复核含清单中存在的缺项、漏项部分。</w:t>
      </w:r>
      <w:bookmarkStart w:id="108" w:name="_Toc351203634"/>
    </w:p>
    <w:p w14:paraId="7D935D51">
      <w:pPr>
        <w:spacing w:line="360" w:lineRule="auto"/>
        <w:ind w:firstLine="315" w:firstLineChars="150"/>
        <w:jc w:val="left"/>
        <w:rPr>
          <w:rFonts w:ascii="宋体" w:hAnsi="宋体"/>
          <w:sz w:val="21"/>
          <w:szCs w:val="21"/>
        </w:rPr>
      </w:pPr>
      <w:r>
        <w:rPr>
          <w:rFonts w:ascii="宋体" w:hAnsi="宋体"/>
          <w:bCs/>
          <w:sz w:val="21"/>
          <w:szCs w:val="21"/>
        </w:rPr>
        <w:t>2</w:t>
      </w:r>
      <w:bookmarkStart w:id="109" w:name="_Toc296890985"/>
      <w:bookmarkStart w:id="110" w:name="_Toc296891197"/>
      <w:bookmarkStart w:id="111" w:name="_Toc296503157"/>
      <w:bookmarkStart w:id="112" w:name="_Toc297048343"/>
      <w:bookmarkStart w:id="113" w:name="_Toc296346658"/>
      <w:bookmarkStart w:id="114" w:name="_Toc296944496"/>
      <w:bookmarkStart w:id="115" w:name="_Toc297120457"/>
      <w:bookmarkStart w:id="116" w:name="_Toc292559867"/>
      <w:bookmarkStart w:id="117" w:name="_Toc292559362"/>
      <w:bookmarkStart w:id="118" w:name="_Toc296347156"/>
      <w:r>
        <w:rPr>
          <w:rFonts w:ascii="宋体" w:hAnsi="宋体"/>
          <w:bCs/>
          <w:sz w:val="21"/>
          <w:szCs w:val="21"/>
        </w:rPr>
        <w:t>. 发包人</w:t>
      </w:r>
      <w:bookmarkEnd w:id="108"/>
    </w:p>
    <w:bookmarkEnd w:id="109"/>
    <w:bookmarkEnd w:id="110"/>
    <w:bookmarkEnd w:id="111"/>
    <w:bookmarkEnd w:id="112"/>
    <w:bookmarkEnd w:id="113"/>
    <w:bookmarkEnd w:id="114"/>
    <w:bookmarkEnd w:id="115"/>
    <w:bookmarkEnd w:id="116"/>
    <w:bookmarkEnd w:id="117"/>
    <w:bookmarkEnd w:id="118"/>
    <w:p w14:paraId="2481FCB4">
      <w:pPr>
        <w:spacing w:line="360" w:lineRule="auto"/>
        <w:ind w:firstLine="315" w:firstLineChars="150"/>
        <w:jc w:val="left"/>
        <w:rPr>
          <w:rFonts w:ascii="宋体" w:hAnsi="宋体"/>
          <w:sz w:val="21"/>
          <w:szCs w:val="21"/>
        </w:rPr>
      </w:pPr>
      <w:r>
        <w:rPr>
          <w:rFonts w:ascii="宋体" w:hAnsi="宋体"/>
          <w:sz w:val="21"/>
          <w:szCs w:val="21"/>
        </w:rPr>
        <w:t>2.2 发包人代表</w:t>
      </w:r>
    </w:p>
    <w:p w14:paraId="3657BB39">
      <w:pPr>
        <w:spacing w:line="360" w:lineRule="auto"/>
        <w:ind w:firstLine="315" w:firstLineChars="150"/>
        <w:jc w:val="left"/>
        <w:rPr>
          <w:rFonts w:ascii="宋体" w:hAnsi="宋体"/>
          <w:sz w:val="21"/>
          <w:szCs w:val="21"/>
        </w:rPr>
      </w:pPr>
      <w:r>
        <w:rPr>
          <w:rFonts w:ascii="宋体" w:hAnsi="宋体"/>
          <w:sz w:val="21"/>
          <w:szCs w:val="21"/>
        </w:rPr>
        <w:t>发包人代表：</w:t>
      </w:r>
    </w:p>
    <w:p w14:paraId="5C4F832D">
      <w:pPr>
        <w:spacing w:line="360" w:lineRule="auto"/>
        <w:ind w:firstLine="315" w:firstLineChars="150"/>
        <w:jc w:val="left"/>
        <w:rPr>
          <w:rFonts w:ascii="宋体" w:hAnsi="宋体"/>
          <w:sz w:val="21"/>
          <w:szCs w:val="21"/>
        </w:rPr>
      </w:pPr>
      <w:r>
        <w:rPr>
          <w:rFonts w:ascii="宋体" w:hAnsi="宋体"/>
          <w:sz w:val="21"/>
          <w:szCs w:val="21"/>
        </w:rPr>
        <w:t>姓名：</w:t>
      </w:r>
      <w:r>
        <w:rPr>
          <w:rFonts w:hint="eastAsia" w:ascii="宋体" w:hAnsi="宋体" w:cs="MingLiU_HKSCS"/>
          <w:sz w:val="21"/>
          <w:szCs w:val="21"/>
          <w:u w:val="single"/>
        </w:rPr>
        <w:t xml:space="preserve"> </w:t>
      </w:r>
      <w:r>
        <w:rPr>
          <w:rFonts w:hint="eastAsia" w:ascii="宋体" w:hAnsi="宋体"/>
          <w:sz w:val="21"/>
          <w:szCs w:val="21"/>
          <w:u w:val="single"/>
        </w:rPr>
        <w:t xml:space="preserve">      </w:t>
      </w:r>
      <w:r>
        <w:rPr>
          <w:rFonts w:ascii="宋体" w:hAnsi="宋体"/>
          <w:sz w:val="21"/>
          <w:szCs w:val="21"/>
          <w:u w:val="single"/>
        </w:rPr>
        <w:t xml:space="preserve"> </w:t>
      </w:r>
      <w:r>
        <w:rPr>
          <w:rFonts w:hint="eastAsia" w:ascii="宋体" w:hAnsi="宋体"/>
          <w:sz w:val="21"/>
          <w:szCs w:val="21"/>
          <w:u w:val="single"/>
        </w:rPr>
        <w:t xml:space="preserve"> </w:t>
      </w:r>
      <w:r>
        <w:rPr>
          <w:rFonts w:hint="eastAsia" w:ascii="宋体" w:hAnsi="宋体" w:cs="MingLiU_HKSCS"/>
          <w:sz w:val="21"/>
          <w:szCs w:val="21"/>
          <w:u w:val="single"/>
        </w:rPr>
        <w:t xml:space="preserve"> </w:t>
      </w:r>
      <w:r>
        <w:rPr>
          <w:rFonts w:ascii="宋体" w:hAnsi="宋体"/>
          <w:sz w:val="21"/>
          <w:szCs w:val="21"/>
        </w:rPr>
        <w:t>；</w:t>
      </w:r>
    </w:p>
    <w:p w14:paraId="5211EF36">
      <w:pPr>
        <w:spacing w:line="360" w:lineRule="auto"/>
        <w:ind w:firstLine="315" w:firstLineChars="150"/>
        <w:jc w:val="left"/>
        <w:rPr>
          <w:rFonts w:ascii="宋体" w:hAnsi="宋体"/>
          <w:sz w:val="21"/>
          <w:szCs w:val="21"/>
        </w:rPr>
      </w:pPr>
      <w:r>
        <w:rPr>
          <w:rFonts w:ascii="宋体" w:hAnsi="宋体"/>
          <w:sz w:val="21"/>
          <w:szCs w:val="21"/>
        </w:rPr>
        <w:t>职务：</w:t>
      </w:r>
      <w:r>
        <w:rPr>
          <w:rFonts w:hint="eastAsia" w:ascii="宋体" w:hAnsi="宋体" w:cs="MingLiU_HKSCS"/>
          <w:sz w:val="21"/>
          <w:szCs w:val="21"/>
          <w:u w:val="single"/>
        </w:rPr>
        <w:t xml:space="preserve"> </w:t>
      </w:r>
      <w:r>
        <w:rPr>
          <w:rFonts w:hint="eastAsia" w:ascii="宋体" w:hAnsi="宋体"/>
          <w:sz w:val="21"/>
          <w:szCs w:val="21"/>
          <w:u w:val="single"/>
        </w:rPr>
        <w:t xml:space="preserve">         </w:t>
      </w:r>
      <w:r>
        <w:rPr>
          <w:rFonts w:ascii="宋体" w:hAnsi="宋体"/>
          <w:sz w:val="21"/>
          <w:szCs w:val="21"/>
        </w:rPr>
        <w:t>；</w:t>
      </w:r>
    </w:p>
    <w:p w14:paraId="69737864">
      <w:pPr>
        <w:spacing w:line="360" w:lineRule="auto"/>
        <w:ind w:firstLine="315" w:firstLineChars="150"/>
        <w:jc w:val="left"/>
        <w:rPr>
          <w:rFonts w:ascii="宋体" w:hAnsi="宋体"/>
          <w:sz w:val="21"/>
          <w:szCs w:val="21"/>
        </w:rPr>
      </w:pPr>
      <w:r>
        <w:rPr>
          <w:rFonts w:ascii="宋体" w:hAnsi="宋体"/>
          <w:sz w:val="21"/>
          <w:szCs w:val="21"/>
        </w:rPr>
        <w:t>联系电话：</w:t>
      </w:r>
      <w:r>
        <w:rPr>
          <w:rFonts w:hint="eastAsia" w:ascii="宋体" w:hAnsi="宋体" w:cs="MingLiU_HKSCS"/>
          <w:sz w:val="21"/>
          <w:szCs w:val="21"/>
          <w:u w:val="single"/>
        </w:rPr>
        <w:t xml:space="preserve"> </w:t>
      </w:r>
      <w:r>
        <w:rPr>
          <w:rFonts w:hint="eastAsia" w:ascii="宋体" w:hAnsi="宋体"/>
          <w:sz w:val="21"/>
          <w:szCs w:val="21"/>
          <w:u w:val="single"/>
        </w:rPr>
        <w:t xml:space="preserve">     </w:t>
      </w:r>
      <w:r>
        <w:rPr>
          <w:rFonts w:ascii="宋体" w:hAnsi="宋体"/>
          <w:sz w:val="21"/>
          <w:szCs w:val="21"/>
        </w:rPr>
        <w:t>；</w:t>
      </w:r>
    </w:p>
    <w:p w14:paraId="26473A48">
      <w:pPr>
        <w:spacing w:line="360" w:lineRule="auto"/>
        <w:ind w:firstLine="315" w:firstLineChars="150"/>
        <w:jc w:val="left"/>
        <w:rPr>
          <w:rFonts w:ascii="宋体" w:hAnsi="宋体"/>
          <w:b/>
          <w:sz w:val="21"/>
          <w:szCs w:val="21"/>
          <w:u w:val="single"/>
        </w:rPr>
      </w:pPr>
      <w:r>
        <w:rPr>
          <w:rFonts w:ascii="宋体" w:hAnsi="宋体"/>
          <w:sz w:val="21"/>
          <w:szCs w:val="21"/>
        </w:rPr>
        <w:t>发包人对发包人代表的授权范围如下：</w:t>
      </w:r>
      <w:r>
        <w:rPr>
          <w:rFonts w:hint="eastAsia" w:ascii="宋体" w:hAnsi="宋体"/>
          <w:b/>
          <w:sz w:val="21"/>
          <w:szCs w:val="21"/>
          <w:u w:val="single"/>
        </w:rPr>
        <w:t>1、</w:t>
      </w:r>
      <w:r>
        <w:rPr>
          <w:rFonts w:ascii="宋体" w:hAnsi="宋体"/>
          <w:b/>
          <w:sz w:val="21"/>
          <w:szCs w:val="21"/>
          <w:u w:val="single"/>
        </w:rPr>
        <w:t>对质量、安全、进度进行全面管理。</w:t>
      </w:r>
      <w:r>
        <w:rPr>
          <w:rFonts w:hint="eastAsia" w:ascii="宋体" w:hAnsi="宋体"/>
          <w:b/>
          <w:sz w:val="21"/>
          <w:szCs w:val="21"/>
          <w:u w:val="single"/>
        </w:rPr>
        <w:t>2、</w:t>
      </w:r>
      <w:r>
        <w:rPr>
          <w:rFonts w:ascii="宋体" w:hAnsi="宋体"/>
          <w:b/>
          <w:sz w:val="21"/>
          <w:szCs w:val="21"/>
          <w:u w:val="single"/>
        </w:rPr>
        <w:t>代表发包人对工程质量、进度、安全及文明施工进行监督，工程存在质量问题或安全问题或施工进度不符合要求的，现场代表有权要求施工单位采取整改措施；</w:t>
      </w:r>
      <w:r>
        <w:rPr>
          <w:rFonts w:hint="eastAsia" w:ascii="宋体" w:hAnsi="宋体"/>
          <w:b/>
          <w:sz w:val="21"/>
          <w:szCs w:val="21"/>
          <w:u w:val="single"/>
        </w:rPr>
        <w:t xml:space="preserve"> 3、</w:t>
      </w:r>
      <w:r>
        <w:rPr>
          <w:rFonts w:ascii="宋体" w:hAnsi="宋体"/>
          <w:b/>
          <w:sz w:val="21"/>
          <w:szCs w:val="21"/>
          <w:u w:val="single"/>
        </w:rPr>
        <w:t>发包人代表的指令、通知及签证须由其本人签字并加盖印章（仅有本人签字未有印章的，发包人追认，则对发包人有效，发包人不予追认的，对发包人不具有效力</w:t>
      </w:r>
      <w:r>
        <w:rPr>
          <w:rFonts w:hint="eastAsia" w:ascii="宋体" w:hAnsi="宋体"/>
          <w:b/>
          <w:sz w:val="21"/>
          <w:szCs w:val="21"/>
          <w:u w:val="single"/>
        </w:rPr>
        <w:t>，印章发包方印章</w:t>
      </w:r>
      <w:r>
        <w:rPr>
          <w:rFonts w:ascii="宋体" w:hAnsi="宋体"/>
          <w:b/>
          <w:sz w:val="21"/>
          <w:szCs w:val="21"/>
          <w:u w:val="single"/>
        </w:rPr>
        <w:t>），以书面形式交给承包人现场代表（或合同约定签收人），承包人代表在回执上签署姓名和收到时间。当承包人代表不在施工现场时，发包人可要求承包人其它管理人员代签，签字后即可视为承包人代表已签收。</w:t>
      </w:r>
    </w:p>
    <w:p w14:paraId="302C0316">
      <w:pPr>
        <w:spacing w:line="360" w:lineRule="auto"/>
        <w:ind w:firstLine="315" w:firstLineChars="150"/>
        <w:jc w:val="left"/>
        <w:rPr>
          <w:rFonts w:ascii="宋体" w:hAnsi="宋体"/>
          <w:sz w:val="21"/>
          <w:szCs w:val="21"/>
        </w:rPr>
      </w:pPr>
      <w:r>
        <w:rPr>
          <w:rFonts w:ascii="宋体" w:hAnsi="宋体"/>
          <w:sz w:val="21"/>
          <w:szCs w:val="21"/>
        </w:rPr>
        <w:t>2.4 施工现场、施工条件和基础资料的提供</w:t>
      </w:r>
    </w:p>
    <w:p w14:paraId="789543B0">
      <w:pPr>
        <w:spacing w:line="360" w:lineRule="auto"/>
        <w:ind w:firstLine="315" w:firstLineChars="150"/>
        <w:jc w:val="left"/>
        <w:rPr>
          <w:rFonts w:ascii="宋体" w:hAnsi="宋体"/>
          <w:sz w:val="21"/>
          <w:szCs w:val="21"/>
        </w:rPr>
      </w:pPr>
      <w:r>
        <w:rPr>
          <w:rFonts w:ascii="宋体" w:hAnsi="宋体"/>
          <w:sz w:val="21"/>
          <w:szCs w:val="21"/>
        </w:rPr>
        <w:t>2.4.1 提供施工现场</w:t>
      </w:r>
    </w:p>
    <w:p w14:paraId="4F7A7354">
      <w:pPr>
        <w:spacing w:line="360" w:lineRule="auto"/>
        <w:ind w:firstLine="315" w:firstLineChars="150"/>
        <w:jc w:val="left"/>
        <w:rPr>
          <w:rFonts w:ascii="宋体" w:hAnsi="宋体"/>
          <w:sz w:val="21"/>
          <w:szCs w:val="21"/>
        </w:rPr>
      </w:pPr>
      <w:r>
        <w:rPr>
          <w:rFonts w:ascii="宋体" w:hAnsi="宋体"/>
          <w:sz w:val="21"/>
          <w:szCs w:val="21"/>
        </w:rPr>
        <w:t>关于发包人移交施工现场的期限要求：</w:t>
      </w:r>
      <w:r>
        <w:rPr>
          <w:rFonts w:hint="eastAsia" w:ascii="宋体" w:hAnsi="宋体"/>
          <w:b/>
          <w:sz w:val="21"/>
          <w:szCs w:val="21"/>
          <w:u w:val="single"/>
        </w:rPr>
        <w:t>按相应的通用条款执行</w:t>
      </w:r>
      <w:r>
        <w:rPr>
          <w:rFonts w:ascii="宋体" w:hAnsi="宋体"/>
          <w:sz w:val="21"/>
          <w:szCs w:val="21"/>
        </w:rPr>
        <w:t>。</w:t>
      </w:r>
    </w:p>
    <w:p w14:paraId="18F2B5C9">
      <w:pPr>
        <w:spacing w:line="360" w:lineRule="auto"/>
        <w:ind w:firstLine="315" w:firstLineChars="150"/>
        <w:jc w:val="left"/>
        <w:rPr>
          <w:rFonts w:ascii="宋体" w:hAnsi="宋体"/>
          <w:sz w:val="21"/>
          <w:szCs w:val="21"/>
        </w:rPr>
      </w:pPr>
      <w:r>
        <w:rPr>
          <w:rFonts w:ascii="宋体" w:hAnsi="宋体"/>
          <w:sz w:val="21"/>
          <w:szCs w:val="21"/>
        </w:rPr>
        <w:t>2.4.2 提供施工条件</w:t>
      </w:r>
    </w:p>
    <w:p w14:paraId="63DCD258">
      <w:pPr>
        <w:spacing w:line="360" w:lineRule="auto"/>
        <w:ind w:firstLine="315" w:firstLineChars="150"/>
        <w:jc w:val="left"/>
        <w:rPr>
          <w:rFonts w:ascii="宋体" w:hAnsi="宋体"/>
          <w:sz w:val="21"/>
          <w:szCs w:val="21"/>
          <w:u w:val="single"/>
        </w:rPr>
      </w:pPr>
      <w:r>
        <w:rPr>
          <w:rFonts w:ascii="宋体" w:hAnsi="宋体"/>
          <w:sz w:val="21"/>
          <w:szCs w:val="21"/>
        </w:rPr>
        <w:t>关于发包人应负责提供施工</w:t>
      </w:r>
      <w:r>
        <w:rPr>
          <w:rFonts w:hint="eastAsia" w:ascii="宋体" w:hAnsi="宋体"/>
          <w:sz w:val="21"/>
          <w:szCs w:val="21"/>
        </w:rPr>
        <w:t>所需要的条件，</w:t>
      </w:r>
      <w:r>
        <w:rPr>
          <w:rFonts w:ascii="宋体" w:hAnsi="宋体"/>
          <w:sz w:val="21"/>
          <w:szCs w:val="21"/>
        </w:rPr>
        <w:t>包括：</w:t>
      </w:r>
      <w:r>
        <w:rPr>
          <w:rFonts w:ascii="宋体" w:hAnsi="宋体"/>
          <w:sz w:val="21"/>
          <w:szCs w:val="21"/>
          <w:u w:val="single"/>
        </w:rPr>
        <w:t xml:space="preserve"> </w:t>
      </w:r>
      <w:r>
        <w:rPr>
          <w:rFonts w:hint="eastAsia" w:ascii="宋体" w:hAnsi="宋体"/>
          <w:b/>
          <w:sz w:val="21"/>
          <w:szCs w:val="21"/>
          <w:u w:val="single"/>
        </w:rPr>
        <w:t>按相应的通用条款执行</w:t>
      </w:r>
      <w:r>
        <w:rPr>
          <w:rFonts w:ascii="宋体" w:hAnsi="宋体"/>
          <w:b/>
          <w:sz w:val="21"/>
          <w:szCs w:val="21"/>
          <w:u w:val="single"/>
        </w:rPr>
        <w:t xml:space="preserve"> </w:t>
      </w:r>
      <w:r>
        <w:rPr>
          <w:rFonts w:ascii="宋体" w:hAnsi="宋体"/>
          <w:sz w:val="21"/>
          <w:szCs w:val="21"/>
        </w:rPr>
        <w:t>。</w:t>
      </w:r>
    </w:p>
    <w:p w14:paraId="76AFAA3B">
      <w:pPr>
        <w:spacing w:line="360" w:lineRule="auto"/>
        <w:ind w:firstLine="315" w:firstLineChars="150"/>
        <w:jc w:val="left"/>
        <w:rPr>
          <w:rFonts w:ascii="宋体" w:hAnsi="宋体"/>
          <w:bCs/>
          <w:sz w:val="21"/>
          <w:szCs w:val="21"/>
        </w:rPr>
      </w:pPr>
      <w:bookmarkStart w:id="119" w:name="_Toc351203635"/>
      <w:r>
        <w:rPr>
          <w:rFonts w:ascii="宋体" w:hAnsi="宋体"/>
          <w:bCs/>
          <w:sz w:val="21"/>
          <w:szCs w:val="21"/>
        </w:rPr>
        <w:t>3</w:t>
      </w:r>
      <w:bookmarkStart w:id="120" w:name="_Toc296503158"/>
      <w:bookmarkStart w:id="121" w:name="_Toc296347157"/>
      <w:bookmarkStart w:id="122" w:name="_Toc292559363"/>
      <w:bookmarkStart w:id="123" w:name="_Toc292559868"/>
      <w:bookmarkStart w:id="124" w:name="_Toc296944497"/>
      <w:bookmarkStart w:id="125" w:name="_Toc296346659"/>
      <w:bookmarkStart w:id="126" w:name="_Toc297048344"/>
      <w:bookmarkStart w:id="127" w:name="_Toc296890986"/>
      <w:bookmarkStart w:id="128" w:name="_Toc297120458"/>
      <w:bookmarkStart w:id="129" w:name="_Toc296891198"/>
      <w:r>
        <w:rPr>
          <w:rFonts w:ascii="宋体" w:hAnsi="宋体"/>
          <w:bCs/>
          <w:sz w:val="21"/>
          <w:szCs w:val="21"/>
        </w:rPr>
        <w:t>. 承包人</w:t>
      </w:r>
      <w:bookmarkEnd w:id="119"/>
    </w:p>
    <w:bookmarkEnd w:id="120"/>
    <w:bookmarkEnd w:id="121"/>
    <w:bookmarkEnd w:id="122"/>
    <w:bookmarkEnd w:id="123"/>
    <w:bookmarkEnd w:id="124"/>
    <w:bookmarkEnd w:id="125"/>
    <w:bookmarkEnd w:id="126"/>
    <w:bookmarkEnd w:id="127"/>
    <w:bookmarkEnd w:id="128"/>
    <w:bookmarkEnd w:id="129"/>
    <w:p w14:paraId="321758F1">
      <w:pPr>
        <w:spacing w:line="360" w:lineRule="auto"/>
        <w:ind w:firstLine="315" w:firstLineChars="150"/>
        <w:jc w:val="left"/>
        <w:rPr>
          <w:rFonts w:ascii="宋体" w:hAnsi="宋体"/>
          <w:sz w:val="21"/>
          <w:szCs w:val="21"/>
        </w:rPr>
      </w:pPr>
      <w:r>
        <w:rPr>
          <w:rFonts w:ascii="宋体" w:hAnsi="宋体"/>
          <w:sz w:val="21"/>
          <w:szCs w:val="21"/>
        </w:rPr>
        <w:t>3.1 承包人的一般义务</w:t>
      </w:r>
    </w:p>
    <w:p w14:paraId="674E8E06">
      <w:pPr>
        <w:spacing w:line="360" w:lineRule="auto"/>
        <w:ind w:firstLine="210" w:firstLineChars="100"/>
        <w:jc w:val="left"/>
        <w:rPr>
          <w:rFonts w:hint="eastAsia" w:ascii="宋体" w:hAnsi="宋体"/>
          <w:sz w:val="21"/>
          <w:szCs w:val="21"/>
        </w:rPr>
      </w:pPr>
      <w:r>
        <w:rPr>
          <w:rFonts w:hint="eastAsia" w:ascii="宋体" w:hAnsi="宋体"/>
          <w:sz w:val="21"/>
          <w:szCs w:val="21"/>
        </w:rPr>
        <w:t>（1）</w:t>
      </w:r>
      <w:r>
        <w:rPr>
          <w:rFonts w:ascii="宋体" w:hAnsi="宋体"/>
          <w:b/>
          <w:sz w:val="21"/>
          <w:szCs w:val="21"/>
          <w:u w:val="single"/>
        </w:rPr>
        <w:t>承包人应按期支付工人</w:t>
      </w:r>
      <w:r>
        <w:rPr>
          <w:rFonts w:hint="eastAsia" w:ascii="宋体" w:hAnsi="宋体"/>
          <w:b/>
          <w:sz w:val="21"/>
          <w:szCs w:val="21"/>
          <w:u w:val="single"/>
        </w:rPr>
        <w:t>、农民工</w:t>
      </w:r>
      <w:r>
        <w:rPr>
          <w:rFonts w:ascii="宋体" w:hAnsi="宋体"/>
          <w:b/>
          <w:sz w:val="21"/>
          <w:szCs w:val="21"/>
          <w:u w:val="single"/>
        </w:rPr>
        <w:t>的劳动工资，发包人有权监督承包人对于工资支付和发放。</w:t>
      </w:r>
      <w:r>
        <w:rPr>
          <w:rFonts w:hint="eastAsia" w:ascii="宋体" w:hAnsi="宋体"/>
          <w:b/>
          <w:sz w:val="21"/>
          <w:szCs w:val="21"/>
          <w:u w:val="single"/>
        </w:rPr>
        <w:t>承包人不能及时如实支付工人、农民工工资的，发包人有权在劳动行政主管部门的监督下直接向农民工发放工资，并在应付工程款中扣除。承包人如不及时支付工资引发事故的，责任由承包人承担，因此给发包人造成损失的，赔偿损失。</w:t>
      </w:r>
    </w:p>
    <w:p w14:paraId="6CDA8A86">
      <w:pPr>
        <w:spacing w:line="360" w:lineRule="auto"/>
        <w:ind w:firstLine="210" w:firstLineChars="100"/>
        <w:jc w:val="left"/>
        <w:rPr>
          <w:rFonts w:hint="eastAsia" w:ascii="宋体" w:hAnsi="宋体"/>
          <w:sz w:val="21"/>
          <w:szCs w:val="21"/>
          <w:highlight w:val="none"/>
          <w:u w:val="single"/>
        </w:rPr>
      </w:pPr>
      <w:r>
        <w:rPr>
          <w:rFonts w:ascii="宋体" w:hAnsi="宋体"/>
          <w:sz w:val="21"/>
          <w:szCs w:val="21"/>
        </w:rPr>
        <w:t>（</w:t>
      </w:r>
      <w:r>
        <w:rPr>
          <w:rFonts w:hint="eastAsia" w:ascii="宋体" w:hAnsi="宋体"/>
          <w:sz w:val="21"/>
          <w:szCs w:val="21"/>
        </w:rPr>
        <w:t>2</w:t>
      </w:r>
      <w:r>
        <w:rPr>
          <w:rFonts w:ascii="宋体" w:hAnsi="宋体"/>
          <w:sz w:val="21"/>
          <w:szCs w:val="21"/>
        </w:rPr>
        <w:t>）承包人提交的竣工资料的内容</w:t>
      </w:r>
      <w:r>
        <w:rPr>
          <w:rFonts w:hint="eastAsia" w:ascii="宋体" w:hAnsi="宋体"/>
          <w:sz w:val="21"/>
          <w:szCs w:val="21"/>
        </w:rPr>
        <w:t>及要求</w:t>
      </w:r>
      <w:r>
        <w:rPr>
          <w:rFonts w:ascii="宋体" w:hAnsi="宋体"/>
          <w:sz w:val="21"/>
          <w:szCs w:val="21"/>
        </w:rPr>
        <w:t>：</w:t>
      </w:r>
      <w:r>
        <w:rPr>
          <w:rFonts w:hint="eastAsia" w:ascii="宋体" w:hAnsi="宋体"/>
          <w:b/>
          <w:bCs/>
          <w:sz w:val="21"/>
          <w:szCs w:val="21"/>
          <w:u w:val="single"/>
        </w:rPr>
        <w:t>工程竣工报告签定后，承包方需在三个月内向发包人提交完整的</w:t>
      </w:r>
      <w:r>
        <w:rPr>
          <w:rFonts w:hint="eastAsia" w:ascii="宋体" w:hAnsi="宋体"/>
          <w:b/>
          <w:sz w:val="21"/>
          <w:szCs w:val="21"/>
          <w:u w:val="single"/>
        </w:rPr>
        <w:t>纸质</w:t>
      </w:r>
      <w:r>
        <w:rPr>
          <w:rFonts w:hint="eastAsia" w:ascii="宋体" w:hAnsi="宋体"/>
          <w:b/>
          <w:bCs/>
          <w:sz w:val="21"/>
          <w:szCs w:val="21"/>
          <w:u w:val="single"/>
        </w:rPr>
        <w:t>竣工图纸贰套、工程竣工结算书贰套(含具有软件版的结算文件和计算稿光盘)，竣工资料贰套</w:t>
      </w:r>
      <w:r>
        <w:rPr>
          <w:rFonts w:hint="eastAsia" w:ascii="宋体" w:hAnsi="宋体"/>
          <w:b/>
          <w:sz w:val="21"/>
          <w:szCs w:val="21"/>
          <w:u w:val="single"/>
        </w:rPr>
        <w:t>和电子版(光盘)竣工图以及相关资料。</w:t>
      </w:r>
      <w:r>
        <w:rPr>
          <w:rFonts w:hint="eastAsia" w:ascii="宋体" w:hAnsi="宋体"/>
          <w:b/>
          <w:bCs/>
          <w:sz w:val="21"/>
          <w:szCs w:val="21"/>
          <w:u w:val="single"/>
        </w:rPr>
        <w:t>上述文件的原始资料必须齐全（竣工资料包括工程的全过程原始记录及验收资料、材料质保书、检验签证单、材质验收报告、有关设计变更的技术资料、工程的检测数据、质量评</w:t>
      </w:r>
      <w:r>
        <w:rPr>
          <w:rFonts w:hint="eastAsia" w:ascii="宋体" w:hAnsi="宋体"/>
          <w:b/>
          <w:bCs/>
          <w:sz w:val="21"/>
          <w:szCs w:val="21"/>
          <w:highlight w:val="none"/>
          <w:u w:val="single"/>
        </w:rPr>
        <w:t>定报告、现场施工照片其他按规定应提交的资料），且必须符合工程技术档案要求规范装订成册。如三个月内承包方未能提交上述资料，扣罚工程款壹万元整。</w:t>
      </w:r>
    </w:p>
    <w:p w14:paraId="1FD7EE64">
      <w:pPr>
        <w:spacing w:line="360" w:lineRule="auto"/>
        <w:ind w:firstLine="315" w:firstLineChars="150"/>
        <w:jc w:val="left"/>
        <w:rPr>
          <w:rFonts w:ascii="宋体" w:hAnsi="宋体"/>
          <w:sz w:val="21"/>
          <w:szCs w:val="21"/>
        </w:rPr>
      </w:pPr>
      <w:r>
        <w:rPr>
          <w:rFonts w:ascii="宋体" w:hAnsi="宋体"/>
          <w:sz w:val="21"/>
          <w:szCs w:val="21"/>
        </w:rPr>
        <w:t>承包人提交的竣工资料的费用承担：</w:t>
      </w:r>
      <w:r>
        <w:rPr>
          <w:rFonts w:hint="eastAsia" w:ascii="宋体" w:hAnsi="宋体"/>
          <w:b/>
          <w:bCs/>
          <w:sz w:val="21"/>
          <w:szCs w:val="21"/>
          <w:u w:val="single"/>
        </w:rPr>
        <w:t>承包人承担</w:t>
      </w:r>
      <w:r>
        <w:rPr>
          <w:rFonts w:ascii="宋体" w:hAnsi="宋体"/>
          <w:sz w:val="21"/>
          <w:szCs w:val="21"/>
        </w:rPr>
        <w:t>。</w:t>
      </w:r>
    </w:p>
    <w:p w14:paraId="0A102BF5">
      <w:pPr>
        <w:spacing w:line="360" w:lineRule="auto"/>
        <w:ind w:firstLine="315" w:firstLineChars="150"/>
        <w:jc w:val="left"/>
        <w:rPr>
          <w:rFonts w:ascii="宋体" w:hAnsi="宋体"/>
          <w:sz w:val="21"/>
          <w:szCs w:val="21"/>
        </w:rPr>
      </w:pPr>
      <w:r>
        <w:rPr>
          <w:rFonts w:ascii="宋体" w:hAnsi="宋体"/>
          <w:sz w:val="21"/>
          <w:szCs w:val="21"/>
        </w:rPr>
        <w:t>承包人提交的竣工资料移交时间：</w:t>
      </w:r>
      <w:r>
        <w:rPr>
          <w:rFonts w:ascii="宋体" w:hAnsi="宋体"/>
          <w:sz w:val="21"/>
          <w:szCs w:val="21"/>
          <w:u w:val="single"/>
        </w:rPr>
        <w:t xml:space="preserve"> </w:t>
      </w:r>
      <w:r>
        <w:rPr>
          <w:rFonts w:hint="eastAsia" w:ascii="宋体" w:hAnsi="宋体"/>
          <w:b/>
          <w:bCs/>
          <w:sz w:val="21"/>
          <w:szCs w:val="21"/>
          <w:u w:val="single"/>
        </w:rPr>
        <w:t>承包人在工程交工验收合格后30天内</w:t>
      </w:r>
      <w:r>
        <w:rPr>
          <w:rFonts w:ascii="宋体" w:hAnsi="宋体"/>
          <w:sz w:val="21"/>
          <w:szCs w:val="21"/>
        </w:rPr>
        <w:t>。</w:t>
      </w:r>
    </w:p>
    <w:p w14:paraId="3C3563E5">
      <w:pPr>
        <w:spacing w:line="360" w:lineRule="auto"/>
        <w:ind w:firstLine="315" w:firstLineChars="150"/>
        <w:jc w:val="left"/>
        <w:rPr>
          <w:rFonts w:hint="eastAsia" w:ascii="宋体" w:hAnsi="宋体"/>
          <w:sz w:val="21"/>
          <w:szCs w:val="21"/>
        </w:rPr>
      </w:pPr>
      <w:r>
        <w:rPr>
          <w:rFonts w:ascii="宋体" w:hAnsi="宋体"/>
          <w:sz w:val="21"/>
          <w:szCs w:val="21"/>
        </w:rPr>
        <w:t>承包人提交的竣工资料形式要求：</w:t>
      </w:r>
      <w:r>
        <w:rPr>
          <w:rFonts w:hint="eastAsia" w:ascii="宋体" w:hAnsi="宋体"/>
          <w:sz w:val="21"/>
          <w:szCs w:val="21"/>
        </w:rPr>
        <w:t xml:space="preserve"> </w:t>
      </w:r>
      <w:r>
        <w:rPr>
          <w:rFonts w:hint="eastAsia" w:ascii="宋体" w:hAnsi="宋体"/>
          <w:b/>
          <w:bCs/>
          <w:sz w:val="21"/>
          <w:szCs w:val="21"/>
          <w:u w:val="single"/>
        </w:rPr>
        <w:t>配合发包方整理档案资料并接收委派整理工程资料</w:t>
      </w:r>
      <w:r>
        <w:rPr>
          <w:rFonts w:ascii="宋体" w:hAnsi="宋体"/>
          <w:sz w:val="21"/>
          <w:szCs w:val="21"/>
        </w:rPr>
        <w:t>。</w:t>
      </w:r>
    </w:p>
    <w:p w14:paraId="28E1C91C">
      <w:pPr>
        <w:spacing w:line="360" w:lineRule="auto"/>
        <w:ind w:firstLine="210" w:firstLineChars="100"/>
        <w:jc w:val="left"/>
        <w:rPr>
          <w:rFonts w:hint="eastAsia" w:ascii="宋体" w:hAnsi="宋体"/>
          <w:sz w:val="21"/>
          <w:szCs w:val="21"/>
        </w:rPr>
      </w:pPr>
      <w:r>
        <w:rPr>
          <w:rFonts w:ascii="宋体" w:hAnsi="宋体"/>
          <w:sz w:val="21"/>
          <w:szCs w:val="21"/>
        </w:rPr>
        <w:t>（</w:t>
      </w:r>
      <w:r>
        <w:rPr>
          <w:rFonts w:hint="eastAsia" w:ascii="宋体" w:hAnsi="宋体"/>
          <w:sz w:val="21"/>
          <w:szCs w:val="21"/>
        </w:rPr>
        <w:t>3</w:t>
      </w:r>
      <w:r>
        <w:rPr>
          <w:rFonts w:ascii="宋体" w:hAnsi="宋体"/>
          <w:sz w:val="21"/>
          <w:szCs w:val="21"/>
        </w:rPr>
        <w:t>）承包人应履行的其他义务：</w:t>
      </w:r>
    </w:p>
    <w:p w14:paraId="78FFDE11">
      <w:pPr>
        <w:spacing w:line="360" w:lineRule="auto"/>
        <w:ind w:firstLine="420" w:firstLineChars="200"/>
        <w:jc w:val="left"/>
        <w:rPr>
          <w:rFonts w:hint="eastAsia" w:ascii="宋体" w:hAnsi="宋体"/>
          <w:b/>
          <w:sz w:val="21"/>
          <w:szCs w:val="21"/>
          <w:u w:val="single"/>
        </w:rPr>
      </w:pPr>
      <w:r>
        <w:rPr>
          <w:rFonts w:hint="eastAsia" w:ascii="宋体" w:hAnsi="宋体"/>
          <w:sz w:val="21"/>
          <w:szCs w:val="21"/>
        </w:rPr>
        <w:t>1、</w:t>
      </w:r>
      <w:r>
        <w:rPr>
          <w:rFonts w:ascii="宋体" w:hAnsi="宋体"/>
          <w:b/>
          <w:sz w:val="21"/>
          <w:szCs w:val="21"/>
          <w:u w:val="single"/>
        </w:rPr>
        <w:t>承包人应严格按已确认的施工技术方案实施，并接受发包人派遣的现场代表及委托的监理单位对施工质量、进度、安全、投资及协调方面的监督和管理。</w:t>
      </w:r>
    </w:p>
    <w:p w14:paraId="0F61CE05">
      <w:pPr>
        <w:spacing w:line="360" w:lineRule="auto"/>
        <w:ind w:firstLine="422" w:firstLineChars="200"/>
        <w:jc w:val="left"/>
        <w:rPr>
          <w:rFonts w:hint="eastAsia" w:ascii="宋体" w:hAnsi="宋体"/>
          <w:b/>
          <w:sz w:val="21"/>
          <w:szCs w:val="21"/>
          <w:u w:val="single"/>
        </w:rPr>
      </w:pPr>
      <w:r>
        <w:rPr>
          <w:rFonts w:hint="eastAsia" w:ascii="宋体" w:hAnsi="宋体"/>
          <w:b/>
          <w:sz w:val="21"/>
          <w:szCs w:val="21"/>
          <w:u w:val="single"/>
        </w:rPr>
        <w:t>2</w:t>
      </w:r>
      <w:r>
        <w:rPr>
          <w:rFonts w:ascii="宋体" w:hAnsi="宋体"/>
          <w:b/>
          <w:sz w:val="21"/>
          <w:szCs w:val="21"/>
          <w:u w:val="single"/>
        </w:rPr>
        <w:t>、</w:t>
      </w:r>
      <w:r>
        <w:rPr>
          <w:rFonts w:hint="eastAsia" w:ascii="宋体" w:hAnsi="宋体"/>
          <w:b/>
          <w:sz w:val="21"/>
          <w:szCs w:val="21"/>
          <w:u w:val="single"/>
        </w:rPr>
        <w:t>承包人</w:t>
      </w:r>
      <w:r>
        <w:rPr>
          <w:rFonts w:ascii="宋体" w:hAnsi="宋体"/>
          <w:b/>
          <w:sz w:val="21"/>
          <w:szCs w:val="21"/>
          <w:u w:val="single"/>
        </w:rPr>
        <w:t>进场后必须无条件的服从发包人对</w:t>
      </w:r>
      <w:r>
        <w:rPr>
          <w:rFonts w:hint="eastAsia" w:ascii="宋体" w:hAnsi="宋体"/>
          <w:b/>
          <w:sz w:val="21"/>
          <w:szCs w:val="21"/>
          <w:u w:val="single"/>
        </w:rPr>
        <w:t>本工程</w:t>
      </w:r>
      <w:r>
        <w:rPr>
          <w:rFonts w:ascii="宋体" w:hAnsi="宋体"/>
          <w:b/>
          <w:sz w:val="21"/>
          <w:szCs w:val="21"/>
          <w:u w:val="single"/>
        </w:rPr>
        <w:t>整体上的施工安排</w:t>
      </w:r>
      <w:r>
        <w:rPr>
          <w:rFonts w:hint="eastAsia" w:ascii="宋体" w:hAnsi="宋体"/>
          <w:b/>
          <w:sz w:val="21"/>
          <w:szCs w:val="21"/>
          <w:u w:val="single"/>
        </w:rPr>
        <w:t>，服从总包质量、进度、安全文明施工等各项管理</w:t>
      </w:r>
      <w:r>
        <w:rPr>
          <w:rFonts w:ascii="宋体" w:hAnsi="宋体"/>
          <w:b/>
          <w:sz w:val="21"/>
          <w:szCs w:val="21"/>
          <w:u w:val="single"/>
        </w:rPr>
        <w:t>。承包人对派驻现场的施工人员必须严格管理，不得扰乱其他施工单位的正常施工，不得偷窃、滋扰、闹事，不得影响其他</w:t>
      </w:r>
      <w:r>
        <w:rPr>
          <w:rFonts w:hint="eastAsia" w:ascii="宋体" w:hAnsi="宋体"/>
          <w:b/>
          <w:sz w:val="21"/>
          <w:szCs w:val="21"/>
          <w:u w:val="single"/>
        </w:rPr>
        <w:t>单位</w:t>
      </w:r>
      <w:r>
        <w:rPr>
          <w:rFonts w:ascii="宋体" w:hAnsi="宋体"/>
          <w:b/>
          <w:sz w:val="21"/>
          <w:szCs w:val="21"/>
          <w:u w:val="single"/>
        </w:rPr>
        <w:t>施工现场的安全</w:t>
      </w:r>
      <w:r>
        <w:rPr>
          <w:rFonts w:hint="eastAsia" w:ascii="宋体" w:hAnsi="宋体"/>
          <w:b/>
          <w:sz w:val="21"/>
          <w:szCs w:val="21"/>
          <w:u w:val="single"/>
        </w:rPr>
        <w:t>。</w:t>
      </w:r>
    </w:p>
    <w:p w14:paraId="2A2C7481">
      <w:pPr>
        <w:spacing w:line="360" w:lineRule="auto"/>
        <w:ind w:firstLine="422" w:firstLineChars="200"/>
        <w:jc w:val="left"/>
        <w:rPr>
          <w:rFonts w:hint="eastAsia" w:ascii="宋体" w:hAnsi="宋体"/>
          <w:b/>
          <w:sz w:val="21"/>
          <w:szCs w:val="21"/>
          <w:u w:val="single"/>
        </w:rPr>
      </w:pPr>
      <w:r>
        <w:rPr>
          <w:rFonts w:hint="eastAsia" w:ascii="宋体" w:hAnsi="宋体"/>
          <w:b/>
          <w:sz w:val="21"/>
          <w:szCs w:val="21"/>
          <w:u w:val="single"/>
        </w:rPr>
        <w:t>3、承包人无条件接受：发包人有权取消或调整合同范围内的任何工程内容。调整部分按实结算，取消部分相应扣除投标相对应的费用。</w:t>
      </w:r>
    </w:p>
    <w:p w14:paraId="1F6867A3">
      <w:pPr>
        <w:spacing w:line="360" w:lineRule="auto"/>
        <w:ind w:firstLine="422" w:firstLineChars="200"/>
        <w:jc w:val="left"/>
        <w:rPr>
          <w:rFonts w:hint="eastAsia" w:ascii="宋体" w:hAnsi="宋体"/>
          <w:b/>
          <w:sz w:val="21"/>
          <w:szCs w:val="21"/>
          <w:u w:val="single"/>
        </w:rPr>
      </w:pPr>
      <w:r>
        <w:rPr>
          <w:rFonts w:hint="eastAsia" w:ascii="宋体" w:hAnsi="宋体"/>
          <w:b/>
          <w:sz w:val="21"/>
          <w:szCs w:val="21"/>
          <w:u w:val="single"/>
        </w:rPr>
        <w:t>4、承包人承诺在发包人使用投标所有产品时不会因知识产权或产品所有权等问题引起的第三方索赔或其他要求，由此给发包人造成的一切损失都应由承包人承担。</w:t>
      </w:r>
    </w:p>
    <w:p w14:paraId="0D923D05">
      <w:pPr>
        <w:spacing w:line="360" w:lineRule="auto"/>
        <w:ind w:firstLine="422" w:firstLineChars="200"/>
        <w:jc w:val="left"/>
        <w:rPr>
          <w:rFonts w:ascii="宋体" w:hAnsi="宋体"/>
          <w:b/>
          <w:sz w:val="21"/>
          <w:szCs w:val="21"/>
          <w:u w:val="single"/>
        </w:rPr>
      </w:pPr>
      <w:r>
        <w:rPr>
          <w:rFonts w:hint="eastAsia" w:ascii="宋体" w:hAnsi="宋体"/>
          <w:b/>
          <w:sz w:val="21"/>
          <w:szCs w:val="21"/>
          <w:u w:val="single"/>
        </w:rPr>
        <w:t>5、</w:t>
      </w:r>
      <w:r>
        <w:rPr>
          <w:rFonts w:ascii="宋体" w:hAnsi="宋体"/>
          <w:b/>
          <w:sz w:val="21"/>
          <w:szCs w:val="21"/>
          <w:u w:val="single"/>
        </w:rPr>
        <w:t>承包人必须落实有资格证书的专职安全管理人员驻现场管理安全、文明施工，承包人必须严格防范现场消防安全，严格管理施工人员</w:t>
      </w:r>
      <w:r>
        <w:rPr>
          <w:rFonts w:hint="eastAsia" w:ascii="宋体" w:hAnsi="宋体"/>
          <w:b/>
          <w:sz w:val="21"/>
          <w:szCs w:val="21"/>
          <w:u w:val="single"/>
        </w:rPr>
        <w:t>，承包人在现场安全管理、文明施工等方面存在问题或隐患的，隐患自改，责任自负</w:t>
      </w:r>
      <w:r>
        <w:rPr>
          <w:rFonts w:ascii="宋体" w:hAnsi="宋体"/>
          <w:b/>
          <w:sz w:val="21"/>
          <w:szCs w:val="21"/>
          <w:u w:val="single"/>
        </w:rPr>
        <w:t>。</w:t>
      </w:r>
    </w:p>
    <w:p w14:paraId="578068DF">
      <w:pPr>
        <w:spacing w:line="360" w:lineRule="auto"/>
        <w:ind w:firstLine="422" w:firstLineChars="200"/>
        <w:jc w:val="left"/>
        <w:rPr>
          <w:rFonts w:ascii="宋体" w:hAnsi="宋体"/>
          <w:b/>
          <w:sz w:val="21"/>
          <w:szCs w:val="21"/>
          <w:u w:val="single"/>
        </w:rPr>
      </w:pPr>
      <w:r>
        <w:rPr>
          <w:rFonts w:hint="eastAsia" w:ascii="宋体" w:hAnsi="宋体"/>
          <w:b/>
          <w:sz w:val="21"/>
          <w:szCs w:val="21"/>
          <w:u w:val="single"/>
        </w:rPr>
        <w:t>6、</w:t>
      </w:r>
      <w:r>
        <w:rPr>
          <w:rFonts w:ascii="宋体" w:hAnsi="宋体"/>
          <w:b/>
          <w:sz w:val="21"/>
          <w:szCs w:val="21"/>
          <w:u w:val="single"/>
        </w:rPr>
        <w:t>承包人在踏勘现场时要充分了解现场地理人文条件，合理处理与周边村民的关系；</w:t>
      </w:r>
    </w:p>
    <w:p w14:paraId="50B56026">
      <w:pPr>
        <w:spacing w:line="360" w:lineRule="auto"/>
        <w:ind w:firstLine="422" w:firstLineChars="200"/>
        <w:jc w:val="left"/>
        <w:rPr>
          <w:rFonts w:hint="eastAsia" w:ascii="宋体" w:hAnsi="宋体"/>
          <w:b/>
          <w:sz w:val="21"/>
          <w:szCs w:val="21"/>
          <w:u w:val="single"/>
        </w:rPr>
      </w:pPr>
      <w:r>
        <w:rPr>
          <w:rFonts w:hint="eastAsia" w:ascii="宋体" w:hAnsi="宋体"/>
          <w:b/>
          <w:sz w:val="21"/>
          <w:szCs w:val="21"/>
          <w:u w:val="single"/>
        </w:rPr>
        <w:t>7、承包人的投标文件必须完全响应招标文件的要求，投标书中一切有悖于招标文件的条款均视作无效条款；承包人在投标文件中单方面设置限制发包人的条款和内容均将被视作无效内容，并且出现上述现象时，承包人应自行承担风险。投标文件中所有在招标文件约定内容之外的与费用、进度、质量、索赔等有关的制约性内容，经发包人作出书面确认之前，均视作无效。</w:t>
      </w:r>
    </w:p>
    <w:p w14:paraId="3098B70C">
      <w:pPr>
        <w:spacing w:line="360" w:lineRule="auto"/>
        <w:ind w:firstLine="422" w:firstLineChars="200"/>
        <w:jc w:val="left"/>
        <w:rPr>
          <w:rFonts w:hint="eastAsia" w:ascii="宋体" w:hAnsi="宋体"/>
          <w:b/>
          <w:sz w:val="21"/>
          <w:szCs w:val="21"/>
          <w:u w:val="single"/>
        </w:rPr>
      </w:pPr>
      <w:r>
        <w:rPr>
          <w:rFonts w:hint="eastAsia" w:ascii="宋体" w:hAnsi="宋体"/>
          <w:b/>
          <w:sz w:val="21"/>
          <w:szCs w:val="21"/>
          <w:u w:val="single"/>
        </w:rPr>
        <w:t>8、根据工程进展情况，承包人无条件配合：其工作可能在承包人未退场前发包人就安排市政、景观等施工单位进场施工，并及时腾出相应工作面，以便市政、景观工程等顺利穿插施工。相关费用在投标报价中包干。</w:t>
      </w:r>
    </w:p>
    <w:p w14:paraId="5B64751C">
      <w:pPr>
        <w:spacing w:line="360" w:lineRule="auto"/>
        <w:ind w:left="210" w:leftChars="100" w:firstLine="211" w:firstLineChars="100"/>
        <w:jc w:val="left"/>
        <w:rPr>
          <w:rFonts w:hint="eastAsia" w:ascii="宋体" w:hAnsi="宋体"/>
          <w:b/>
          <w:sz w:val="21"/>
          <w:szCs w:val="21"/>
          <w:u w:val="single"/>
        </w:rPr>
      </w:pPr>
      <w:r>
        <w:rPr>
          <w:rFonts w:hint="eastAsia" w:ascii="宋体" w:hAnsi="宋体"/>
          <w:b/>
          <w:sz w:val="21"/>
          <w:szCs w:val="21"/>
          <w:u w:val="single"/>
        </w:rPr>
        <w:t>9、施工用水电由发包人提供，结算按发包人内部的《 临时用水用电须知》执行。</w:t>
      </w:r>
    </w:p>
    <w:p w14:paraId="7A6F7109">
      <w:pPr>
        <w:spacing w:line="360" w:lineRule="auto"/>
        <w:ind w:left="210" w:leftChars="100" w:firstLine="211" w:firstLineChars="100"/>
        <w:jc w:val="left"/>
        <w:rPr>
          <w:rFonts w:hint="eastAsia" w:ascii="宋体" w:hAnsi="宋体"/>
          <w:b/>
          <w:sz w:val="21"/>
          <w:szCs w:val="21"/>
          <w:u w:val="single"/>
        </w:rPr>
      </w:pPr>
      <w:r>
        <w:rPr>
          <w:rFonts w:hint="eastAsia" w:ascii="宋体" w:hAnsi="宋体"/>
          <w:b/>
          <w:sz w:val="21"/>
          <w:szCs w:val="21"/>
          <w:u w:val="single"/>
        </w:rPr>
        <w:t>10、工程造价基本审核费由发包人承担，追加审核费由承包人承担。</w:t>
      </w:r>
    </w:p>
    <w:p w14:paraId="2107351E">
      <w:pPr>
        <w:spacing w:line="360" w:lineRule="auto"/>
        <w:ind w:firstLine="422" w:firstLineChars="200"/>
        <w:jc w:val="left"/>
        <w:rPr>
          <w:rFonts w:hint="eastAsia" w:ascii="宋体" w:hAnsi="宋体"/>
          <w:b/>
          <w:sz w:val="21"/>
          <w:szCs w:val="21"/>
          <w:u w:val="single"/>
        </w:rPr>
      </w:pPr>
      <w:r>
        <w:rPr>
          <w:rFonts w:hint="eastAsia" w:ascii="宋体" w:hAnsi="宋体"/>
          <w:b/>
          <w:sz w:val="21"/>
          <w:szCs w:val="21"/>
          <w:u w:val="single"/>
        </w:rPr>
        <w:t>11、无条件接受发包方的考核，违约金扣罚以书面通知为准。</w:t>
      </w:r>
    </w:p>
    <w:p w14:paraId="05862FC9">
      <w:pPr>
        <w:spacing w:line="360" w:lineRule="auto"/>
        <w:ind w:left="210" w:leftChars="100" w:firstLine="211" w:firstLineChars="100"/>
        <w:jc w:val="left"/>
        <w:rPr>
          <w:rFonts w:hint="eastAsia" w:ascii="宋体" w:hAnsi="宋体"/>
          <w:b/>
          <w:sz w:val="21"/>
          <w:szCs w:val="21"/>
          <w:u w:val="single"/>
        </w:rPr>
      </w:pPr>
      <w:r>
        <w:rPr>
          <w:rFonts w:hint="eastAsia" w:ascii="宋体" w:hAnsi="宋体"/>
          <w:b/>
          <w:sz w:val="21"/>
          <w:szCs w:val="21"/>
          <w:u w:val="single"/>
        </w:rPr>
        <w:t>12、承包人进场前需办理相关施工人员人生意外伤害险。</w:t>
      </w:r>
    </w:p>
    <w:p w14:paraId="48C392F5">
      <w:pPr>
        <w:spacing w:line="360" w:lineRule="auto"/>
        <w:ind w:firstLine="420" w:firstLineChars="200"/>
        <w:jc w:val="left"/>
        <w:rPr>
          <w:rFonts w:ascii="宋体" w:hAnsi="宋体"/>
          <w:sz w:val="21"/>
          <w:szCs w:val="21"/>
        </w:rPr>
      </w:pPr>
      <w:r>
        <w:rPr>
          <w:rFonts w:ascii="宋体" w:hAnsi="宋体"/>
          <w:sz w:val="21"/>
          <w:szCs w:val="21"/>
        </w:rPr>
        <w:t xml:space="preserve">3.2 </w:t>
      </w:r>
      <w:r>
        <w:rPr>
          <w:rFonts w:hint="eastAsia" w:ascii="宋体" w:hAnsi="宋体"/>
          <w:sz w:val="21"/>
          <w:szCs w:val="21"/>
        </w:rPr>
        <w:t>项目经理</w:t>
      </w:r>
    </w:p>
    <w:p w14:paraId="6AABE951">
      <w:pPr>
        <w:spacing w:line="360" w:lineRule="auto"/>
        <w:ind w:firstLine="420" w:firstLineChars="200"/>
        <w:jc w:val="left"/>
        <w:rPr>
          <w:rFonts w:ascii="宋体" w:hAnsi="宋体"/>
          <w:sz w:val="21"/>
          <w:szCs w:val="21"/>
        </w:rPr>
      </w:pPr>
      <w:r>
        <w:rPr>
          <w:rFonts w:ascii="宋体" w:hAnsi="宋体"/>
          <w:sz w:val="21"/>
          <w:szCs w:val="21"/>
        </w:rPr>
        <w:t xml:space="preserve">3.2.1 </w:t>
      </w:r>
      <w:r>
        <w:rPr>
          <w:rFonts w:hint="eastAsia" w:ascii="宋体" w:hAnsi="宋体"/>
          <w:sz w:val="21"/>
          <w:szCs w:val="21"/>
        </w:rPr>
        <w:t>项目经理</w:t>
      </w:r>
      <w:r>
        <w:rPr>
          <w:rFonts w:ascii="宋体" w:hAnsi="宋体"/>
          <w:sz w:val="21"/>
          <w:szCs w:val="21"/>
        </w:rPr>
        <w:t>：</w:t>
      </w:r>
    </w:p>
    <w:p w14:paraId="1CEF6F7F">
      <w:pPr>
        <w:spacing w:line="360" w:lineRule="auto"/>
        <w:ind w:firstLine="420" w:firstLineChars="200"/>
        <w:jc w:val="left"/>
        <w:rPr>
          <w:rFonts w:ascii="宋体" w:hAnsi="宋体"/>
          <w:sz w:val="21"/>
          <w:szCs w:val="21"/>
        </w:rPr>
      </w:pPr>
      <w:r>
        <w:rPr>
          <w:rFonts w:ascii="宋体" w:hAnsi="宋体"/>
          <w:sz w:val="21"/>
          <w:szCs w:val="21"/>
        </w:rPr>
        <w:t>姓名：</w:t>
      </w:r>
      <w:r>
        <w:rPr>
          <w:rFonts w:hint="eastAsia" w:ascii="宋体" w:hAnsi="宋体" w:cs="MingLiU_HKSCS"/>
          <w:sz w:val="21"/>
          <w:szCs w:val="21"/>
          <w:u w:val="single"/>
        </w:rPr>
        <w:t xml:space="preserve"> </w:t>
      </w:r>
      <w:r>
        <w:rPr>
          <w:rFonts w:hint="eastAsia" w:ascii="宋体" w:hAnsi="宋体"/>
          <w:sz w:val="21"/>
          <w:szCs w:val="21"/>
          <w:u w:val="single"/>
        </w:rPr>
        <w:t xml:space="preserve">    </w:t>
      </w:r>
      <w:r>
        <w:rPr>
          <w:rFonts w:hint="eastAsia" w:ascii="宋体" w:hAnsi="宋体" w:cs="MingLiU_HKSCS"/>
          <w:sz w:val="21"/>
          <w:szCs w:val="21"/>
          <w:u w:val="single"/>
        </w:rPr>
        <w:t xml:space="preserve"> </w:t>
      </w:r>
      <w:r>
        <w:rPr>
          <w:rFonts w:ascii="宋体" w:hAnsi="宋体"/>
          <w:sz w:val="21"/>
          <w:szCs w:val="21"/>
        </w:rPr>
        <w:t>；</w:t>
      </w:r>
    </w:p>
    <w:p w14:paraId="54D67952">
      <w:pPr>
        <w:spacing w:line="360" w:lineRule="auto"/>
        <w:ind w:firstLine="420" w:firstLineChars="200"/>
        <w:jc w:val="left"/>
        <w:rPr>
          <w:rFonts w:ascii="宋体" w:hAnsi="宋体"/>
          <w:sz w:val="21"/>
          <w:szCs w:val="21"/>
        </w:rPr>
      </w:pPr>
      <w:r>
        <w:rPr>
          <w:rFonts w:ascii="宋体" w:hAnsi="宋体"/>
          <w:sz w:val="21"/>
          <w:szCs w:val="21"/>
        </w:rPr>
        <w:t>身份证号：</w:t>
      </w:r>
      <w:r>
        <w:rPr>
          <w:rFonts w:hint="eastAsia" w:ascii="宋体" w:hAnsi="宋体" w:cs="MingLiU_HKSCS"/>
          <w:sz w:val="21"/>
          <w:szCs w:val="21"/>
          <w:u w:val="single"/>
        </w:rPr>
        <w:t xml:space="preserve"> </w:t>
      </w:r>
      <w:r>
        <w:rPr>
          <w:rFonts w:hint="eastAsia" w:ascii="宋体" w:hAnsi="宋体"/>
          <w:sz w:val="21"/>
          <w:szCs w:val="21"/>
          <w:u w:val="single"/>
        </w:rPr>
        <w:t xml:space="preserve">              </w:t>
      </w:r>
      <w:r>
        <w:rPr>
          <w:rFonts w:hint="eastAsia" w:ascii="宋体" w:hAnsi="宋体" w:cs="MingLiU_HKSCS"/>
          <w:sz w:val="21"/>
          <w:szCs w:val="21"/>
          <w:u w:val="single"/>
        </w:rPr>
        <w:t xml:space="preserve"> </w:t>
      </w:r>
      <w:r>
        <w:rPr>
          <w:rFonts w:ascii="宋体" w:hAnsi="宋体"/>
          <w:sz w:val="21"/>
          <w:szCs w:val="21"/>
        </w:rPr>
        <w:t>；</w:t>
      </w:r>
    </w:p>
    <w:p w14:paraId="6DB116F9">
      <w:pPr>
        <w:spacing w:line="360" w:lineRule="auto"/>
        <w:ind w:firstLine="420" w:firstLineChars="200"/>
        <w:jc w:val="left"/>
        <w:rPr>
          <w:rFonts w:ascii="宋体" w:hAnsi="宋体"/>
          <w:sz w:val="21"/>
          <w:szCs w:val="21"/>
        </w:rPr>
      </w:pPr>
      <w:r>
        <w:rPr>
          <w:rFonts w:ascii="宋体" w:hAnsi="宋体"/>
          <w:sz w:val="21"/>
          <w:szCs w:val="21"/>
        </w:rPr>
        <w:t>建造师执业资格等级：</w:t>
      </w:r>
      <w:r>
        <w:rPr>
          <w:rFonts w:hint="eastAsia" w:ascii="宋体" w:hAnsi="宋体" w:cs="MingLiU_HKSCS"/>
          <w:sz w:val="21"/>
          <w:szCs w:val="21"/>
          <w:u w:val="single"/>
        </w:rPr>
        <w:t xml:space="preserve">             </w:t>
      </w:r>
      <w:r>
        <w:rPr>
          <w:rFonts w:ascii="宋体" w:hAnsi="宋体"/>
          <w:sz w:val="21"/>
          <w:szCs w:val="21"/>
        </w:rPr>
        <w:t>；</w:t>
      </w:r>
    </w:p>
    <w:p w14:paraId="49C1066A">
      <w:pPr>
        <w:spacing w:line="360" w:lineRule="auto"/>
        <w:ind w:firstLine="420" w:firstLineChars="200"/>
        <w:jc w:val="left"/>
        <w:rPr>
          <w:rFonts w:ascii="宋体" w:hAnsi="宋体"/>
          <w:sz w:val="21"/>
          <w:szCs w:val="21"/>
        </w:rPr>
      </w:pPr>
      <w:r>
        <w:rPr>
          <w:rFonts w:ascii="宋体" w:hAnsi="宋体"/>
          <w:sz w:val="21"/>
          <w:szCs w:val="21"/>
        </w:rPr>
        <w:t>建造师注册证书号：</w:t>
      </w:r>
      <w:r>
        <w:rPr>
          <w:rFonts w:hint="eastAsia" w:ascii="宋体" w:hAnsi="宋体" w:cs="MingLiU_HKSCS"/>
          <w:sz w:val="21"/>
          <w:szCs w:val="21"/>
          <w:u w:val="single"/>
        </w:rPr>
        <w:t xml:space="preserve"> </w:t>
      </w:r>
      <w:r>
        <w:rPr>
          <w:rFonts w:hint="eastAsia" w:ascii="宋体" w:hAnsi="宋体"/>
          <w:sz w:val="21"/>
          <w:szCs w:val="21"/>
          <w:u w:val="single"/>
        </w:rPr>
        <w:t xml:space="preserve">            </w:t>
      </w:r>
      <w:r>
        <w:rPr>
          <w:rFonts w:hint="eastAsia" w:ascii="宋体" w:hAnsi="宋体" w:cs="MingLiU_HKSCS"/>
          <w:sz w:val="21"/>
          <w:szCs w:val="21"/>
          <w:u w:val="single"/>
        </w:rPr>
        <w:t xml:space="preserve"> </w:t>
      </w:r>
      <w:r>
        <w:rPr>
          <w:rFonts w:ascii="宋体" w:hAnsi="宋体"/>
          <w:sz w:val="21"/>
          <w:szCs w:val="21"/>
        </w:rPr>
        <w:t>；</w:t>
      </w:r>
    </w:p>
    <w:p w14:paraId="20A5F3DF">
      <w:pPr>
        <w:spacing w:line="360" w:lineRule="auto"/>
        <w:ind w:firstLine="420" w:firstLineChars="200"/>
        <w:jc w:val="left"/>
        <w:rPr>
          <w:rFonts w:ascii="宋体" w:hAnsi="宋体"/>
          <w:sz w:val="21"/>
          <w:szCs w:val="21"/>
        </w:rPr>
      </w:pPr>
      <w:r>
        <w:rPr>
          <w:rFonts w:ascii="宋体" w:hAnsi="宋体"/>
          <w:sz w:val="21"/>
          <w:szCs w:val="21"/>
        </w:rPr>
        <w:t>建造师执业印章号：</w:t>
      </w:r>
      <w:r>
        <w:rPr>
          <w:rFonts w:hint="eastAsia" w:ascii="宋体" w:hAnsi="宋体" w:cs="MingLiU_HKSCS"/>
          <w:sz w:val="21"/>
          <w:szCs w:val="21"/>
          <w:u w:val="single"/>
        </w:rPr>
        <w:t xml:space="preserve">  </w:t>
      </w:r>
      <w:r>
        <w:rPr>
          <w:rFonts w:hint="eastAsia" w:ascii="宋体" w:hAnsi="宋体"/>
          <w:sz w:val="21"/>
          <w:szCs w:val="21"/>
          <w:u w:val="single"/>
        </w:rPr>
        <w:t xml:space="preserve">             </w:t>
      </w:r>
      <w:r>
        <w:rPr>
          <w:rFonts w:hint="eastAsia" w:ascii="宋体" w:hAnsi="宋体" w:cs="MingLiU_HKSCS"/>
          <w:sz w:val="21"/>
          <w:szCs w:val="21"/>
          <w:u w:val="single"/>
        </w:rPr>
        <w:t xml:space="preserve"> </w:t>
      </w:r>
      <w:r>
        <w:rPr>
          <w:rFonts w:ascii="宋体" w:hAnsi="宋体"/>
          <w:sz w:val="21"/>
          <w:szCs w:val="21"/>
        </w:rPr>
        <w:t>；</w:t>
      </w:r>
    </w:p>
    <w:p w14:paraId="4C4E2064">
      <w:pPr>
        <w:spacing w:line="360" w:lineRule="auto"/>
        <w:ind w:firstLine="420" w:firstLineChars="200"/>
        <w:jc w:val="left"/>
        <w:rPr>
          <w:rFonts w:ascii="宋体" w:hAnsi="宋体"/>
          <w:sz w:val="21"/>
          <w:szCs w:val="21"/>
        </w:rPr>
      </w:pPr>
      <w:r>
        <w:rPr>
          <w:rFonts w:ascii="宋体" w:hAnsi="宋体"/>
          <w:sz w:val="21"/>
          <w:szCs w:val="21"/>
        </w:rPr>
        <w:t>联系电话：</w:t>
      </w:r>
      <w:r>
        <w:rPr>
          <w:rFonts w:hint="eastAsia" w:ascii="宋体" w:hAnsi="宋体" w:cs="MingLiU_HKSCS"/>
          <w:sz w:val="21"/>
          <w:szCs w:val="21"/>
          <w:u w:val="single"/>
        </w:rPr>
        <w:t xml:space="preserve"> </w:t>
      </w:r>
      <w:r>
        <w:rPr>
          <w:rFonts w:hint="eastAsia" w:ascii="宋体" w:hAnsi="宋体"/>
          <w:sz w:val="21"/>
          <w:szCs w:val="21"/>
          <w:u w:val="single"/>
        </w:rPr>
        <w:t xml:space="preserve">                </w:t>
      </w:r>
      <w:r>
        <w:rPr>
          <w:rFonts w:hint="eastAsia" w:ascii="宋体" w:hAnsi="宋体" w:cs="MingLiU_HKSCS"/>
          <w:sz w:val="21"/>
          <w:szCs w:val="21"/>
          <w:u w:val="single"/>
        </w:rPr>
        <w:t xml:space="preserve"> </w:t>
      </w:r>
      <w:r>
        <w:rPr>
          <w:rFonts w:ascii="宋体" w:hAnsi="宋体"/>
          <w:sz w:val="21"/>
          <w:szCs w:val="21"/>
        </w:rPr>
        <w:t>；</w:t>
      </w:r>
    </w:p>
    <w:p w14:paraId="1090C9A0">
      <w:pPr>
        <w:spacing w:line="360" w:lineRule="auto"/>
        <w:ind w:firstLine="420" w:firstLineChars="200"/>
        <w:jc w:val="left"/>
        <w:rPr>
          <w:rFonts w:ascii="宋体" w:hAnsi="宋体"/>
          <w:sz w:val="21"/>
          <w:szCs w:val="21"/>
        </w:rPr>
      </w:pPr>
      <w:r>
        <w:rPr>
          <w:rFonts w:ascii="宋体" w:hAnsi="宋体"/>
          <w:sz w:val="21"/>
          <w:szCs w:val="21"/>
        </w:rPr>
        <w:t>承包人对</w:t>
      </w:r>
      <w:r>
        <w:rPr>
          <w:rFonts w:hint="eastAsia" w:ascii="宋体" w:hAnsi="宋体"/>
          <w:sz w:val="21"/>
          <w:szCs w:val="21"/>
        </w:rPr>
        <w:t>项目负责人（项目经理）</w:t>
      </w:r>
      <w:r>
        <w:rPr>
          <w:rFonts w:ascii="宋体" w:hAnsi="宋体"/>
          <w:sz w:val="21"/>
          <w:szCs w:val="21"/>
        </w:rPr>
        <w:t>的授权范围如下：</w:t>
      </w:r>
      <w:r>
        <w:rPr>
          <w:rFonts w:hint="eastAsia" w:ascii="宋体" w:hAnsi="宋体" w:cs="MingLiU_HKSCS"/>
          <w:sz w:val="21"/>
          <w:szCs w:val="21"/>
          <w:u w:val="single"/>
        </w:rPr>
        <w:t xml:space="preserve"> </w:t>
      </w:r>
      <w:r>
        <w:rPr>
          <w:rFonts w:hint="eastAsia" w:ascii="宋体" w:hAnsi="宋体"/>
          <w:b/>
          <w:sz w:val="21"/>
          <w:szCs w:val="21"/>
          <w:u w:val="single"/>
        </w:rPr>
        <w:t>按相应的通用条款执行</w:t>
      </w:r>
      <w:r>
        <w:rPr>
          <w:rFonts w:hint="eastAsia" w:ascii="宋体" w:hAnsi="宋体" w:cs="MingLiU_HKSCS"/>
          <w:b/>
          <w:sz w:val="21"/>
          <w:szCs w:val="21"/>
          <w:u w:val="single"/>
        </w:rPr>
        <w:t xml:space="preserve"> </w:t>
      </w:r>
      <w:r>
        <w:rPr>
          <w:rFonts w:ascii="宋体" w:hAnsi="宋体"/>
          <w:sz w:val="21"/>
          <w:szCs w:val="21"/>
        </w:rPr>
        <w:t>。</w:t>
      </w:r>
    </w:p>
    <w:p w14:paraId="632B387F">
      <w:pPr>
        <w:spacing w:line="360" w:lineRule="auto"/>
        <w:ind w:firstLine="420" w:firstLineChars="200"/>
        <w:jc w:val="left"/>
        <w:rPr>
          <w:rFonts w:ascii="宋体" w:hAnsi="宋体"/>
          <w:sz w:val="21"/>
          <w:szCs w:val="21"/>
        </w:rPr>
      </w:pPr>
      <w:r>
        <w:rPr>
          <w:rFonts w:ascii="宋体" w:hAnsi="宋体"/>
          <w:sz w:val="21"/>
          <w:szCs w:val="21"/>
        </w:rPr>
        <w:t>关于</w:t>
      </w:r>
      <w:r>
        <w:rPr>
          <w:rFonts w:hint="eastAsia" w:ascii="宋体" w:hAnsi="宋体"/>
          <w:sz w:val="21"/>
          <w:szCs w:val="21"/>
        </w:rPr>
        <w:t>项目负责人（项目经理）</w:t>
      </w:r>
      <w:r>
        <w:rPr>
          <w:rFonts w:ascii="宋体" w:hAnsi="宋体"/>
          <w:sz w:val="21"/>
          <w:szCs w:val="21"/>
        </w:rPr>
        <w:t>每月在施工现场的时间要求：</w:t>
      </w:r>
      <w:r>
        <w:rPr>
          <w:rFonts w:ascii="宋体" w:hAnsi="宋体"/>
          <w:sz w:val="21"/>
          <w:szCs w:val="21"/>
          <w:u w:val="single"/>
        </w:rPr>
        <w:t xml:space="preserve"> </w:t>
      </w:r>
      <w:r>
        <w:rPr>
          <w:rFonts w:hint="eastAsia" w:ascii="宋体" w:hAnsi="宋体"/>
          <w:b/>
          <w:sz w:val="21"/>
          <w:szCs w:val="21"/>
          <w:u w:val="single"/>
        </w:rPr>
        <w:t>项目负责人（项目经理）月到位率要求21天以上。</w:t>
      </w:r>
      <w:r>
        <w:rPr>
          <w:rFonts w:ascii="宋体" w:hAnsi="宋体"/>
          <w:sz w:val="21"/>
          <w:szCs w:val="21"/>
          <w:u w:val="single"/>
        </w:rPr>
        <w:t xml:space="preserve"> </w:t>
      </w:r>
    </w:p>
    <w:p w14:paraId="6B10EF92">
      <w:pPr>
        <w:spacing w:line="360" w:lineRule="auto"/>
        <w:ind w:firstLine="420" w:firstLineChars="200"/>
        <w:jc w:val="left"/>
        <w:rPr>
          <w:rFonts w:ascii="宋体" w:hAnsi="宋体"/>
          <w:sz w:val="21"/>
          <w:szCs w:val="21"/>
        </w:rPr>
      </w:pPr>
      <w:r>
        <w:rPr>
          <w:rFonts w:ascii="宋体" w:hAnsi="宋体"/>
          <w:sz w:val="21"/>
          <w:szCs w:val="21"/>
        </w:rPr>
        <w:t>承包人未提交劳动合同，以及没有为</w:t>
      </w:r>
      <w:r>
        <w:rPr>
          <w:rFonts w:hint="eastAsia" w:ascii="宋体" w:hAnsi="宋体"/>
          <w:sz w:val="21"/>
          <w:szCs w:val="21"/>
        </w:rPr>
        <w:t>项目负责人（项目经理）</w:t>
      </w:r>
      <w:r>
        <w:rPr>
          <w:rFonts w:ascii="宋体" w:hAnsi="宋体"/>
          <w:sz w:val="21"/>
          <w:szCs w:val="21"/>
        </w:rPr>
        <w:t>缴纳社会保险证明的违约责任：</w:t>
      </w:r>
      <w:r>
        <w:rPr>
          <w:rFonts w:hint="eastAsia" w:ascii="宋体" w:hAnsi="宋体"/>
          <w:b/>
          <w:sz w:val="21"/>
          <w:szCs w:val="21"/>
          <w:u w:val="single"/>
        </w:rPr>
        <w:t>由承包人承担责任</w:t>
      </w:r>
      <w:r>
        <w:rPr>
          <w:rFonts w:hint="eastAsia" w:ascii="宋体" w:hAnsi="宋体" w:cs="MingLiU_HKSCS"/>
          <w:b/>
          <w:sz w:val="21"/>
          <w:szCs w:val="21"/>
          <w:u w:val="single"/>
        </w:rPr>
        <w:t xml:space="preserve"> </w:t>
      </w:r>
      <w:r>
        <w:rPr>
          <w:rFonts w:ascii="宋体" w:hAnsi="宋体"/>
          <w:sz w:val="21"/>
          <w:szCs w:val="21"/>
        </w:rPr>
        <w:t>。</w:t>
      </w:r>
    </w:p>
    <w:p w14:paraId="0332CC89">
      <w:pPr>
        <w:spacing w:line="360" w:lineRule="auto"/>
        <w:ind w:firstLine="420" w:firstLineChars="200"/>
        <w:jc w:val="left"/>
        <w:rPr>
          <w:rFonts w:ascii="宋体" w:hAnsi="宋体"/>
          <w:sz w:val="21"/>
          <w:szCs w:val="21"/>
          <w:u w:val="single"/>
        </w:rPr>
      </w:pPr>
      <w:r>
        <w:rPr>
          <w:rFonts w:hint="eastAsia" w:ascii="宋体" w:hAnsi="宋体"/>
          <w:sz w:val="21"/>
          <w:szCs w:val="21"/>
        </w:rPr>
        <w:t>项目负责人（项目经理）</w:t>
      </w:r>
      <w:r>
        <w:rPr>
          <w:rFonts w:ascii="宋体" w:hAnsi="宋体"/>
          <w:sz w:val="21"/>
          <w:szCs w:val="21"/>
        </w:rPr>
        <w:t>未经批准，擅自离开施工现场的违约责任：</w:t>
      </w:r>
      <w:r>
        <w:rPr>
          <w:rFonts w:hint="eastAsia" w:ascii="宋体" w:hAnsi="宋体"/>
          <w:b/>
          <w:sz w:val="21"/>
          <w:szCs w:val="21"/>
          <w:u w:val="single"/>
        </w:rPr>
        <w:t>扣罚300元/人·次违约金</w:t>
      </w:r>
      <w:r>
        <w:rPr>
          <w:rFonts w:hint="eastAsia" w:ascii="宋体" w:hAnsi="宋体" w:cs="MingLiU_HKSCS"/>
          <w:sz w:val="21"/>
          <w:szCs w:val="21"/>
          <w:u w:val="single"/>
        </w:rPr>
        <w:t xml:space="preserve"> </w:t>
      </w:r>
      <w:r>
        <w:rPr>
          <w:rFonts w:ascii="宋体" w:hAnsi="宋体"/>
          <w:sz w:val="21"/>
          <w:szCs w:val="21"/>
        </w:rPr>
        <w:t>。</w:t>
      </w:r>
    </w:p>
    <w:p w14:paraId="387F44CB">
      <w:pPr>
        <w:spacing w:line="360" w:lineRule="auto"/>
        <w:ind w:firstLine="420" w:firstLineChars="200"/>
        <w:jc w:val="left"/>
        <w:rPr>
          <w:rFonts w:ascii="宋体" w:hAnsi="宋体"/>
          <w:sz w:val="21"/>
          <w:szCs w:val="21"/>
        </w:rPr>
      </w:pPr>
      <w:r>
        <w:rPr>
          <w:rFonts w:ascii="宋体" w:hAnsi="宋体"/>
          <w:sz w:val="21"/>
          <w:szCs w:val="21"/>
        </w:rPr>
        <w:t>3.2.3 承包人擅自更换</w:t>
      </w:r>
      <w:r>
        <w:rPr>
          <w:rFonts w:hint="eastAsia" w:ascii="宋体" w:hAnsi="宋体"/>
          <w:sz w:val="21"/>
          <w:szCs w:val="21"/>
        </w:rPr>
        <w:t>项目负责人（项目经理）</w:t>
      </w:r>
      <w:r>
        <w:rPr>
          <w:rFonts w:ascii="宋体" w:hAnsi="宋体"/>
          <w:sz w:val="21"/>
          <w:szCs w:val="21"/>
        </w:rPr>
        <w:t>的违约责任：</w:t>
      </w:r>
      <w:r>
        <w:rPr>
          <w:rFonts w:hint="eastAsia" w:ascii="宋体" w:hAnsi="宋体"/>
          <w:b/>
          <w:sz w:val="21"/>
          <w:szCs w:val="21"/>
          <w:u w:val="single"/>
        </w:rPr>
        <w:t>未经发包人同意，承包人不得擅自更换项目负责人（项目经理），承包人擅自更换的，除按合同要求派驻人员外，每次还需按5000元向发包人支付违约金，且发包人有权视情况解除本合同。如确需变更人员的，承包人需提出书面申请，经发包人同意后变更。</w:t>
      </w:r>
      <w:r>
        <w:rPr>
          <w:rFonts w:ascii="宋体" w:hAnsi="宋体"/>
          <w:sz w:val="21"/>
          <w:szCs w:val="21"/>
          <w:u w:val="single"/>
        </w:rPr>
        <w:t xml:space="preserve"> </w:t>
      </w:r>
    </w:p>
    <w:p w14:paraId="34C5DA27">
      <w:pPr>
        <w:spacing w:line="360" w:lineRule="auto"/>
        <w:ind w:firstLine="315" w:firstLineChars="150"/>
        <w:jc w:val="left"/>
        <w:rPr>
          <w:rFonts w:ascii="宋体" w:hAnsi="宋体"/>
          <w:sz w:val="21"/>
          <w:szCs w:val="21"/>
          <w:highlight w:val="none"/>
        </w:rPr>
      </w:pPr>
      <w:r>
        <w:rPr>
          <w:rFonts w:ascii="宋体" w:hAnsi="宋体"/>
          <w:sz w:val="21"/>
          <w:szCs w:val="21"/>
          <w:highlight w:val="none"/>
        </w:rPr>
        <w:t>3.3 承包人人员</w:t>
      </w:r>
    </w:p>
    <w:p w14:paraId="1251BCE4">
      <w:pPr>
        <w:spacing w:line="360" w:lineRule="auto"/>
        <w:ind w:firstLine="315" w:firstLineChars="150"/>
        <w:jc w:val="left"/>
        <w:rPr>
          <w:rFonts w:ascii="宋体" w:hAnsi="宋体"/>
          <w:sz w:val="21"/>
          <w:szCs w:val="21"/>
          <w:highlight w:val="none"/>
        </w:rPr>
      </w:pPr>
      <w:r>
        <w:rPr>
          <w:rFonts w:ascii="宋体" w:hAnsi="宋体"/>
          <w:sz w:val="21"/>
          <w:szCs w:val="21"/>
          <w:highlight w:val="none"/>
        </w:rPr>
        <w:t>3.3.1 承包人提交项目管理机构及施工现场管理人员安排报告的期限：</w:t>
      </w:r>
      <w:r>
        <w:rPr>
          <w:rFonts w:ascii="宋体" w:hAnsi="宋体"/>
          <w:b/>
          <w:sz w:val="21"/>
          <w:szCs w:val="21"/>
          <w:highlight w:val="none"/>
          <w:u w:val="single"/>
        </w:rPr>
        <w:t>接到开工通知后7天内</w:t>
      </w:r>
      <w:r>
        <w:rPr>
          <w:rFonts w:hint="eastAsia" w:ascii="宋体" w:hAnsi="宋体"/>
          <w:b/>
          <w:sz w:val="21"/>
          <w:szCs w:val="21"/>
          <w:highlight w:val="none"/>
          <w:u w:val="single"/>
        </w:rPr>
        <w:t>。</w:t>
      </w:r>
    </w:p>
    <w:p w14:paraId="5B858C11">
      <w:pPr>
        <w:spacing w:line="360" w:lineRule="auto"/>
        <w:ind w:firstLine="315" w:firstLineChars="150"/>
        <w:jc w:val="left"/>
        <w:rPr>
          <w:rFonts w:hint="eastAsia" w:ascii="宋体" w:hAnsi="宋体"/>
          <w:b/>
          <w:sz w:val="21"/>
          <w:szCs w:val="21"/>
          <w:highlight w:val="none"/>
          <w:u w:val="single"/>
        </w:rPr>
      </w:pPr>
      <w:r>
        <w:rPr>
          <w:rFonts w:ascii="宋体" w:hAnsi="宋体"/>
          <w:sz w:val="21"/>
          <w:szCs w:val="21"/>
          <w:highlight w:val="none"/>
        </w:rPr>
        <w:t>3.3.4 承包人主要施工管理人员离开施工现场的批准要求：</w:t>
      </w:r>
      <w:r>
        <w:rPr>
          <w:rFonts w:hint="eastAsia" w:ascii="宋体" w:hAnsi="宋体"/>
          <w:b/>
          <w:sz w:val="21"/>
          <w:szCs w:val="21"/>
          <w:highlight w:val="none"/>
        </w:rPr>
        <w:t>a</w:t>
      </w:r>
      <w:r>
        <w:rPr>
          <w:rFonts w:hint="eastAsia" w:ascii="宋体" w:hAnsi="宋体"/>
          <w:b/>
          <w:sz w:val="21"/>
          <w:szCs w:val="21"/>
          <w:highlight w:val="none"/>
          <w:u w:val="single"/>
        </w:rPr>
        <w:t>、项目负责人（项目经理）月到位率要求21天以上，项目负责人（项目经理）到位率未达到的，按未到岗天数计算（计算公式：未到岗天数=</w:t>
      </w:r>
      <w:r>
        <w:rPr>
          <w:rFonts w:hint="eastAsia" w:ascii="宋体" w:hAnsi="宋体"/>
          <w:b/>
          <w:sz w:val="21"/>
          <w:szCs w:val="21"/>
          <w:highlight w:val="none"/>
          <w:u w:val="single"/>
          <w:lang w:eastAsia="zh-CN"/>
        </w:rPr>
        <w:t>（</w:t>
      </w:r>
      <w:r>
        <w:rPr>
          <w:rFonts w:hint="eastAsia" w:ascii="宋体" w:hAnsi="宋体"/>
          <w:b/>
          <w:sz w:val="21"/>
          <w:szCs w:val="21"/>
          <w:highlight w:val="none"/>
          <w:u w:val="single"/>
          <w:lang w:val="en-US" w:eastAsia="zh-CN"/>
        </w:rPr>
        <w:t>21</w:t>
      </w:r>
      <w:r>
        <w:rPr>
          <w:rFonts w:hint="eastAsia" w:ascii="宋体" w:hAnsi="宋体"/>
          <w:b/>
          <w:sz w:val="21"/>
          <w:szCs w:val="21"/>
          <w:highlight w:val="none"/>
          <w:u w:val="single"/>
        </w:rPr>
        <w:t>-实际到岗天数</w:t>
      </w:r>
      <w:r>
        <w:rPr>
          <w:rFonts w:hint="eastAsia" w:ascii="宋体" w:hAnsi="宋体"/>
          <w:b/>
          <w:sz w:val="21"/>
          <w:szCs w:val="21"/>
          <w:highlight w:val="none"/>
          <w:u w:val="single"/>
          <w:lang w:eastAsia="zh-CN"/>
        </w:rPr>
        <w:t>）</w:t>
      </w:r>
      <w:r>
        <w:rPr>
          <w:rFonts w:hint="eastAsia" w:ascii="宋体" w:hAnsi="宋体"/>
          <w:b/>
          <w:sz w:val="21"/>
          <w:szCs w:val="21"/>
          <w:highlight w:val="none"/>
          <w:u w:val="single"/>
          <w:lang w:val="en-US" w:eastAsia="zh-CN"/>
        </w:rPr>
        <w:t>/21*30</w:t>
      </w:r>
      <w:r>
        <w:rPr>
          <w:rFonts w:hint="eastAsia" w:ascii="宋体" w:hAnsi="宋体"/>
          <w:b/>
          <w:sz w:val="21"/>
          <w:szCs w:val="21"/>
          <w:highlight w:val="none"/>
          <w:u w:val="single"/>
        </w:rPr>
        <w:t>），</w:t>
      </w:r>
      <w:r>
        <w:rPr>
          <w:rFonts w:hint="eastAsia" w:ascii="宋体" w:hAnsi="宋体"/>
          <w:b/>
          <w:sz w:val="21"/>
          <w:szCs w:val="21"/>
          <w:highlight w:val="none"/>
          <w:u w:val="single"/>
          <w:lang w:val="en-US" w:eastAsia="zh-CN"/>
        </w:rPr>
        <w:t>未到岗天数遇小数点向上取整数，</w:t>
      </w:r>
      <w:r>
        <w:rPr>
          <w:rFonts w:hint="eastAsia" w:ascii="宋体" w:hAnsi="宋体"/>
          <w:b/>
          <w:sz w:val="21"/>
          <w:szCs w:val="21"/>
          <w:highlight w:val="none"/>
          <w:u w:val="single"/>
        </w:rPr>
        <w:t>每缺岗一天扣罚违约金3</w:t>
      </w:r>
      <w:r>
        <w:rPr>
          <w:rFonts w:ascii="宋体" w:hAnsi="宋体"/>
          <w:b/>
          <w:sz w:val="21"/>
          <w:szCs w:val="21"/>
          <w:highlight w:val="none"/>
          <w:u w:val="single"/>
        </w:rPr>
        <w:t>00元/天</w:t>
      </w:r>
      <w:r>
        <w:rPr>
          <w:rFonts w:hint="eastAsia" w:ascii="宋体" w:hAnsi="宋体"/>
          <w:b/>
          <w:sz w:val="21"/>
          <w:szCs w:val="21"/>
          <w:highlight w:val="none"/>
          <w:u w:val="single"/>
        </w:rPr>
        <w:t>·</w:t>
      </w:r>
      <w:r>
        <w:rPr>
          <w:rFonts w:ascii="宋体" w:hAnsi="宋体"/>
          <w:b/>
          <w:sz w:val="21"/>
          <w:szCs w:val="21"/>
          <w:highlight w:val="none"/>
          <w:u w:val="single"/>
        </w:rPr>
        <w:t>人</w:t>
      </w:r>
      <w:r>
        <w:rPr>
          <w:rFonts w:hint="eastAsia" w:ascii="宋体" w:hAnsi="宋体"/>
          <w:b/>
          <w:sz w:val="21"/>
          <w:szCs w:val="21"/>
          <w:highlight w:val="none"/>
          <w:u w:val="single"/>
        </w:rPr>
        <w:t>；b、其他施工管理人员月到位率要求21天以上，到位率未达到的，按未到岗天数计算（计算公式：</w:t>
      </w:r>
      <w:r>
        <w:rPr>
          <w:rFonts w:hint="eastAsia" w:ascii="宋体" w:hAnsi="宋体"/>
          <w:b/>
          <w:sz w:val="21"/>
          <w:szCs w:val="21"/>
          <w:highlight w:val="none"/>
          <w:u w:val="single"/>
          <w:lang w:val="en-US" w:eastAsia="zh-CN"/>
        </w:rPr>
        <w:t>21</w:t>
      </w:r>
      <w:r>
        <w:rPr>
          <w:rFonts w:hint="eastAsia" w:ascii="宋体" w:hAnsi="宋体"/>
          <w:b/>
          <w:sz w:val="21"/>
          <w:szCs w:val="21"/>
          <w:highlight w:val="none"/>
          <w:u w:val="single"/>
        </w:rPr>
        <w:t>-实际到岗天数</w:t>
      </w:r>
      <w:r>
        <w:rPr>
          <w:rFonts w:hint="eastAsia" w:ascii="宋体" w:hAnsi="宋体"/>
          <w:b/>
          <w:sz w:val="21"/>
          <w:szCs w:val="21"/>
          <w:highlight w:val="none"/>
          <w:u w:val="single"/>
          <w:lang w:eastAsia="zh-CN"/>
        </w:rPr>
        <w:t>）</w:t>
      </w:r>
      <w:r>
        <w:rPr>
          <w:rFonts w:hint="eastAsia" w:ascii="宋体" w:hAnsi="宋体"/>
          <w:b/>
          <w:sz w:val="21"/>
          <w:szCs w:val="21"/>
          <w:highlight w:val="none"/>
          <w:u w:val="single"/>
          <w:lang w:val="en-US" w:eastAsia="zh-CN"/>
        </w:rPr>
        <w:t>/21*30</w:t>
      </w:r>
      <w:r>
        <w:rPr>
          <w:rFonts w:hint="eastAsia" w:ascii="宋体" w:hAnsi="宋体"/>
          <w:b/>
          <w:sz w:val="21"/>
          <w:szCs w:val="21"/>
          <w:highlight w:val="none"/>
          <w:u w:val="single"/>
        </w:rPr>
        <w:t>），</w:t>
      </w:r>
      <w:r>
        <w:rPr>
          <w:rFonts w:hint="eastAsia" w:ascii="宋体" w:hAnsi="宋体"/>
          <w:b/>
          <w:sz w:val="21"/>
          <w:szCs w:val="21"/>
          <w:highlight w:val="none"/>
          <w:u w:val="single"/>
          <w:lang w:val="en-US" w:eastAsia="zh-CN"/>
        </w:rPr>
        <w:t>未到岗天数遇小数点向上取整数</w:t>
      </w:r>
      <w:r>
        <w:rPr>
          <w:rFonts w:hint="eastAsia" w:ascii="宋体" w:hAnsi="宋体"/>
          <w:b/>
          <w:sz w:val="21"/>
          <w:szCs w:val="21"/>
          <w:highlight w:val="none"/>
          <w:u w:val="single"/>
        </w:rPr>
        <w:t>），每缺岗一天扣罚违约金1</w:t>
      </w:r>
      <w:r>
        <w:rPr>
          <w:rFonts w:ascii="宋体" w:hAnsi="宋体"/>
          <w:b/>
          <w:sz w:val="21"/>
          <w:szCs w:val="21"/>
          <w:highlight w:val="none"/>
          <w:u w:val="single"/>
        </w:rPr>
        <w:t>00元/天</w:t>
      </w:r>
      <w:r>
        <w:rPr>
          <w:rFonts w:hint="eastAsia" w:ascii="宋体" w:hAnsi="宋体"/>
          <w:b/>
          <w:sz w:val="21"/>
          <w:szCs w:val="21"/>
          <w:highlight w:val="none"/>
          <w:u w:val="single"/>
        </w:rPr>
        <w:t>·</w:t>
      </w:r>
      <w:r>
        <w:rPr>
          <w:rFonts w:ascii="宋体" w:hAnsi="宋体"/>
          <w:b/>
          <w:sz w:val="21"/>
          <w:szCs w:val="21"/>
          <w:highlight w:val="none"/>
          <w:u w:val="single"/>
        </w:rPr>
        <w:t>人</w:t>
      </w:r>
      <w:r>
        <w:rPr>
          <w:rFonts w:hint="eastAsia" w:ascii="宋体" w:hAnsi="宋体"/>
          <w:b/>
          <w:sz w:val="21"/>
          <w:szCs w:val="21"/>
          <w:highlight w:val="none"/>
          <w:u w:val="single"/>
        </w:rPr>
        <w:t>。</w:t>
      </w:r>
    </w:p>
    <w:p w14:paraId="6B7D07DA">
      <w:pPr>
        <w:spacing w:line="360" w:lineRule="auto"/>
        <w:ind w:firstLine="420" w:firstLineChars="200"/>
        <w:jc w:val="left"/>
        <w:rPr>
          <w:rFonts w:ascii="宋体" w:hAnsi="宋体"/>
          <w:sz w:val="21"/>
          <w:szCs w:val="21"/>
          <w:highlight w:val="none"/>
        </w:rPr>
      </w:pPr>
      <w:r>
        <w:rPr>
          <w:rFonts w:ascii="宋体" w:hAnsi="宋体"/>
          <w:sz w:val="21"/>
          <w:szCs w:val="21"/>
          <w:highlight w:val="none"/>
        </w:rPr>
        <w:t>3.3.5承包人擅自更换主要施工管理人员</w:t>
      </w:r>
      <w:r>
        <w:rPr>
          <w:rFonts w:hint="eastAsia" w:ascii="宋体" w:hAnsi="宋体"/>
          <w:sz w:val="21"/>
          <w:szCs w:val="21"/>
          <w:highlight w:val="none"/>
        </w:rPr>
        <w:t>（除项目经理）</w:t>
      </w:r>
      <w:r>
        <w:rPr>
          <w:rFonts w:ascii="宋体" w:hAnsi="宋体"/>
          <w:sz w:val="21"/>
          <w:szCs w:val="21"/>
          <w:highlight w:val="none"/>
        </w:rPr>
        <w:t>的违约责任：</w:t>
      </w:r>
      <w:r>
        <w:rPr>
          <w:rFonts w:hint="eastAsia" w:ascii="宋体" w:hAnsi="宋体"/>
          <w:b/>
          <w:sz w:val="21"/>
          <w:szCs w:val="21"/>
          <w:highlight w:val="none"/>
          <w:u w:val="single"/>
        </w:rPr>
        <w:t>每发现一次扣罚3000元/人违约金</w:t>
      </w:r>
      <w:r>
        <w:rPr>
          <w:rFonts w:ascii="宋体" w:hAnsi="宋体"/>
          <w:sz w:val="21"/>
          <w:szCs w:val="21"/>
          <w:highlight w:val="none"/>
        </w:rPr>
        <w:t>。</w:t>
      </w:r>
    </w:p>
    <w:p w14:paraId="6C257C4F">
      <w:pPr>
        <w:spacing w:line="360" w:lineRule="auto"/>
        <w:ind w:firstLine="420" w:firstLineChars="200"/>
        <w:jc w:val="left"/>
        <w:rPr>
          <w:rFonts w:ascii="宋体" w:hAnsi="宋体"/>
          <w:sz w:val="21"/>
          <w:szCs w:val="21"/>
          <w:highlight w:val="none"/>
        </w:rPr>
      </w:pPr>
      <w:r>
        <w:rPr>
          <w:rFonts w:ascii="宋体" w:hAnsi="宋体"/>
          <w:sz w:val="21"/>
          <w:szCs w:val="21"/>
          <w:highlight w:val="none"/>
        </w:rPr>
        <w:t>承包人主要施工管理人员</w:t>
      </w:r>
      <w:r>
        <w:rPr>
          <w:rFonts w:hint="eastAsia" w:ascii="宋体" w:hAnsi="宋体"/>
          <w:sz w:val="21"/>
          <w:szCs w:val="21"/>
          <w:highlight w:val="none"/>
        </w:rPr>
        <w:t>（除项目经理）</w:t>
      </w:r>
      <w:r>
        <w:rPr>
          <w:rFonts w:ascii="宋体" w:hAnsi="宋体"/>
          <w:sz w:val="21"/>
          <w:szCs w:val="21"/>
          <w:highlight w:val="none"/>
        </w:rPr>
        <w:t>擅自离开施工现场的违约责任：</w:t>
      </w:r>
      <w:r>
        <w:rPr>
          <w:rFonts w:hint="eastAsia" w:ascii="宋体" w:hAnsi="宋体"/>
          <w:b/>
          <w:sz w:val="21"/>
          <w:szCs w:val="21"/>
          <w:highlight w:val="none"/>
          <w:u w:val="single"/>
        </w:rPr>
        <w:t>每发现一次扣罚100元/人·次违约金</w:t>
      </w:r>
      <w:r>
        <w:rPr>
          <w:rFonts w:hint="eastAsia" w:ascii="宋体" w:hAnsi="宋体" w:cs="MingLiU_HKSCS"/>
          <w:sz w:val="21"/>
          <w:szCs w:val="21"/>
          <w:highlight w:val="none"/>
          <w:u w:val="single"/>
        </w:rPr>
        <w:t xml:space="preserve"> </w:t>
      </w:r>
      <w:r>
        <w:rPr>
          <w:rFonts w:ascii="宋体" w:hAnsi="宋体"/>
          <w:sz w:val="21"/>
          <w:szCs w:val="21"/>
          <w:highlight w:val="none"/>
        </w:rPr>
        <w:t>。</w:t>
      </w:r>
    </w:p>
    <w:p w14:paraId="721CE4BF">
      <w:pPr>
        <w:spacing w:line="360" w:lineRule="auto"/>
        <w:ind w:firstLine="420" w:firstLineChars="200"/>
        <w:jc w:val="left"/>
        <w:rPr>
          <w:rFonts w:ascii="宋体" w:hAnsi="宋体"/>
          <w:sz w:val="21"/>
          <w:szCs w:val="21"/>
        </w:rPr>
      </w:pPr>
      <w:r>
        <w:rPr>
          <w:rFonts w:ascii="宋体" w:hAnsi="宋体"/>
          <w:sz w:val="21"/>
          <w:szCs w:val="21"/>
        </w:rPr>
        <w:t>3</w:t>
      </w:r>
      <w:bookmarkStart w:id="130" w:name="_Toc297048345"/>
      <w:bookmarkStart w:id="131" w:name="_Toc296347158"/>
      <w:bookmarkStart w:id="132" w:name="_Toc292559869"/>
      <w:bookmarkStart w:id="133" w:name="_Toc300934945"/>
      <w:bookmarkStart w:id="134" w:name="_Toc296944498"/>
      <w:bookmarkStart w:id="135" w:name="_Toc312677988"/>
      <w:bookmarkStart w:id="136" w:name="_Toc296503159"/>
      <w:bookmarkStart w:id="137" w:name="_Toc292559364"/>
      <w:bookmarkStart w:id="138" w:name="_Toc297123492"/>
      <w:bookmarkStart w:id="139" w:name="_Toc297216151"/>
      <w:bookmarkStart w:id="140" w:name="_Toc304295523"/>
      <w:bookmarkStart w:id="141" w:name="_Toc296890987"/>
      <w:bookmarkStart w:id="142" w:name="_Toc296891199"/>
      <w:bookmarkStart w:id="143" w:name="_Toc296346660"/>
      <w:bookmarkStart w:id="144" w:name="_Toc303539102"/>
      <w:bookmarkStart w:id="145" w:name="_Toc297120459"/>
      <w:r>
        <w:rPr>
          <w:rFonts w:ascii="宋体" w:hAnsi="宋体"/>
          <w:sz w:val="21"/>
          <w:szCs w:val="21"/>
        </w:rPr>
        <w:t>.5 分包</w:t>
      </w:r>
    </w:p>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14:paraId="44E1C7A5">
      <w:pPr>
        <w:spacing w:line="360" w:lineRule="auto"/>
        <w:ind w:firstLine="420" w:firstLineChars="200"/>
        <w:jc w:val="left"/>
        <w:rPr>
          <w:rFonts w:ascii="宋体" w:hAnsi="宋体"/>
          <w:sz w:val="21"/>
          <w:szCs w:val="21"/>
        </w:rPr>
      </w:pPr>
      <w:r>
        <w:rPr>
          <w:rFonts w:ascii="宋体" w:hAnsi="宋体"/>
          <w:sz w:val="21"/>
          <w:szCs w:val="21"/>
        </w:rPr>
        <w:t>3</w:t>
      </w:r>
      <w:bookmarkStart w:id="146" w:name="_Toc296346661"/>
      <w:bookmarkStart w:id="147" w:name="_Toc296891200"/>
      <w:bookmarkStart w:id="148" w:name="_Toc297123493"/>
      <w:bookmarkStart w:id="149" w:name="_Toc296503160"/>
      <w:bookmarkStart w:id="150" w:name="_Toc296890988"/>
      <w:bookmarkStart w:id="151" w:name="_Toc296944499"/>
      <w:bookmarkStart w:id="152" w:name="_Toc297048346"/>
      <w:bookmarkStart w:id="153" w:name="_Toc297216152"/>
      <w:bookmarkStart w:id="154" w:name="_Toc297120460"/>
      <w:bookmarkStart w:id="155" w:name="_Toc304295524"/>
      <w:bookmarkStart w:id="156" w:name="_Toc300934946"/>
      <w:bookmarkStart w:id="157" w:name="_Toc296347159"/>
      <w:bookmarkStart w:id="158" w:name="_Toc292559365"/>
      <w:bookmarkStart w:id="159" w:name="_Toc292559870"/>
      <w:bookmarkStart w:id="160" w:name="_Toc303539103"/>
      <w:bookmarkStart w:id="161" w:name="_Toc312677989"/>
      <w:bookmarkStart w:id="162" w:name="_Toc318581158"/>
      <w:r>
        <w:rPr>
          <w:rFonts w:ascii="宋体" w:hAnsi="宋体"/>
          <w:sz w:val="21"/>
          <w:szCs w:val="21"/>
        </w:rPr>
        <w:t>.5.1 分包的一般约定</w:t>
      </w:r>
    </w:p>
    <w:p w14:paraId="3A11C299">
      <w:pPr>
        <w:spacing w:line="360" w:lineRule="auto"/>
        <w:ind w:firstLine="420" w:firstLineChars="200"/>
        <w:jc w:val="left"/>
        <w:rPr>
          <w:rFonts w:ascii="宋体" w:hAnsi="宋体"/>
          <w:sz w:val="21"/>
          <w:szCs w:val="21"/>
        </w:rPr>
      </w:pPr>
      <w:r>
        <w:rPr>
          <w:rFonts w:ascii="宋体" w:hAnsi="宋体"/>
          <w:sz w:val="21"/>
          <w:szCs w:val="21"/>
        </w:rPr>
        <w:t>禁止分包的工程包括：</w:t>
      </w:r>
      <w:r>
        <w:rPr>
          <w:rFonts w:hint="eastAsia" w:ascii="宋体" w:hAnsi="宋体" w:cs="MingLiU_HKSCS"/>
          <w:sz w:val="21"/>
          <w:szCs w:val="21"/>
          <w:u w:val="single"/>
        </w:rPr>
        <w:t xml:space="preserve"> </w:t>
      </w:r>
      <w:r>
        <w:rPr>
          <w:rFonts w:hint="eastAsia" w:ascii="宋体" w:hAnsi="宋体"/>
          <w:b/>
          <w:sz w:val="21"/>
          <w:szCs w:val="21"/>
          <w:u w:val="single"/>
        </w:rPr>
        <w:t>本工程承包人不允许违法分包，非承包方资质范围的工程内容需分包的需经发包方同意并报发包方进行合同备案</w:t>
      </w:r>
      <w:r>
        <w:rPr>
          <w:rFonts w:ascii="宋体" w:hAnsi="宋体"/>
          <w:sz w:val="21"/>
          <w:szCs w:val="21"/>
          <w:u w:val="single"/>
        </w:rPr>
        <w:t xml:space="preserve"> </w:t>
      </w:r>
      <w:r>
        <w:rPr>
          <w:rFonts w:ascii="宋体" w:hAnsi="宋体"/>
          <w:sz w:val="21"/>
          <w:szCs w:val="21"/>
        </w:rPr>
        <w:t>。</w:t>
      </w:r>
    </w:p>
    <w:p w14:paraId="7168D6CD">
      <w:pPr>
        <w:spacing w:line="360" w:lineRule="auto"/>
        <w:ind w:firstLine="420" w:firstLineChars="200"/>
        <w:jc w:val="left"/>
        <w:rPr>
          <w:rFonts w:ascii="宋体" w:hAnsi="宋体"/>
          <w:sz w:val="21"/>
          <w:szCs w:val="21"/>
          <w:u w:val="single"/>
        </w:rPr>
      </w:pPr>
      <w:r>
        <w:rPr>
          <w:rFonts w:ascii="宋体" w:hAnsi="宋体"/>
          <w:sz w:val="21"/>
          <w:szCs w:val="21"/>
        </w:rPr>
        <w:t>主体结构、关键性工作的范围：</w:t>
      </w:r>
      <w:r>
        <w:rPr>
          <w:rFonts w:hint="eastAsia" w:ascii="宋体" w:hAnsi="宋体" w:cs="MingLiU_HKSCS"/>
          <w:sz w:val="21"/>
          <w:szCs w:val="21"/>
          <w:u w:val="single"/>
        </w:rPr>
        <w:t xml:space="preserve"> </w:t>
      </w:r>
      <w:r>
        <w:rPr>
          <w:rFonts w:hint="eastAsia" w:ascii="宋体" w:hAnsi="宋体"/>
          <w:b/>
          <w:sz w:val="21"/>
          <w:szCs w:val="21"/>
          <w:u w:val="single"/>
        </w:rPr>
        <w:t>全部由承包人完成，招标文件另有约定除外</w:t>
      </w:r>
      <w:r>
        <w:rPr>
          <w:rFonts w:ascii="宋体" w:hAnsi="宋体"/>
          <w:sz w:val="21"/>
          <w:szCs w:val="21"/>
        </w:rPr>
        <w:t>。</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Start w:id="163" w:name="_Toc300934947"/>
      <w:bookmarkStart w:id="164" w:name="_Toc297123494"/>
      <w:bookmarkStart w:id="165" w:name="_Toc296503161"/>
      <w:bookmarkStart w:id="166" w:name="_Toc296944500"/>
      <w:bookmarkStart w:id="167" w:name="_Toc304295525"/>
      <w:bookmarkStart w:id="168" w:name="_Toc296891201"/>
      <w:bookmarkStart w:id="169" w:name="_Toc303539104"/>
      <w:bookmarkStart w:id="170" w:name="_Toc297120461"/>
      <w:bookmarkStart w:id="171" w:name="_Toc296890989"/>
      <w:bookmarkStart w:id="172" w:name="_Toc296347160"/>
      <w:bookmarkStart w:id="173" w:name="_Toc296346662"/>
      <w:bookmarkStart w:id="174" w:name="_Toc297216153"/>
      <w:bookmarkStart w:id="175" w:name="_Toc297048347"/>
    </w:p>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14:paraId="0A260735">
      <w:pPr>
        <w:spacing w:line="360" w:lineRule="auto"/>
        <w:ind w:firstLine="420" w:firstLineChars="200"/>
        <w:jc w:val="left"/>
        <w:rPr>
          <w:rFonts w:ascii="宋体" w:hAnsi="宋体"/>
          <w:sz w:val="21"/>
          <w:szCs w:val="21"/>
        </w:rPr>
      </w:pPr>
      <w:r>
        <w:rPr>
          <w:rFonts w:ascii="宋体" w:hAnsi="宋体"/>
          <w:sz w:val="21"/>
          <w:szCs w:val="21"/>
        </w:rPr>
        <w:t>3</w:t>
      </w:r>
      <w:bookmarkStart w:id="176" w:name="_Toc312677990"/>
      <w:bookmarkStart w:id="177" w:name="_Toc318581159"/>
      <w:r>
        <w:rPr>
          <w:rFonts w:ascii="宋体" w:hAnsi="宋体"/>
          <w:sz w:val="21"/>
          <w:szCs w:val="21"/>
        </w:rPr>
        <w:t>.5.2分包的确定</w:t>
      </w:r>
    </w:p>
    <w:p w14:paraId="21F74A8D">
      <w:pPr>
        <w:spacing w:line="360" w:lineRule="auto"/>
        <w:ind w:firstLine="420" w:firstLineChars="200"/>
        <w:jc w:val="left"/>
        <w:rPr>
          <w:rFonts w:hint="eastAsia" w:ascii="宋体" w:hAnsi="宋体"/>
          <w:b/>
          <w:sz w:val="21"/>
          <w:szCs w:val="21"/>
          <w:u w:val="single"/>
        </w:rPr>
      </w:pPr>
      <w:r>
        <w:rPr>
          <w:rFonts w:ascii="宋体" w:hAnsi="宋体"/>
          <w:sz w:val="21"/>
          <w:szCs w:val="21"/>
        </w:rPr>
        <w:t>允许分包的专业工程包括：</w:t>
      </w:r>
      <w:r>
        <w:rPr>
          <w:rFonts w:hint="eastAsia" w:ascii="宋体" w:hAnsi="宋体"/>
          <w:b/>
          <w:sz w:val="21"/>
          <w:szCs w:val="21"/>
          <w:u w:val="single"/>
        </w:rPr>
        <w:t>不允许承包人违法分包。承包人承包范围内的工程超过承包方资质的专业工程如需分包的须经发包人同意，且专业分包单位资质须符合国家相关法律法规的资质要求，在总承包方资质范围内的专业工程不得分包。</w:t>
      </w:r>
    </w:p>
    <w:bookmarkEnd w:id="176"/>
    <w:bookmarkEnd w:id="177"/>
    <w:p w14:paraId="2CDE2BAC">
      <w:pPr>
        <w:spacing w:line="360" w:lineRule="auto"/>
        <w:ind w:firstLine="420" w:firstLineChars="200"/>
        <w:jc w:val="left"/>
        <w:rPr>
          <w:rFonts w:ascii="宋体" w:hAnsi="宋体"/>
          <w:sz w:val="21"/>
          <w:szCs w:val="21"/>
        </w:rPr>
      </w:pPr>
      <w:r>
        <w:rPr>
          <w:rFonts w:ascii="宋体" w:hAnsi="宋体"/>
          <w:sz w:val="21"/>
          <w:szCs w:val="21"/>
        </w:rPr>
        <w:t>3.6 工程照管与成品、半成品保护</w:t>
      </w:r>
    </w:p>
    <w:p w14:paraId="4B8CFEB5">
      <w:pPr>
        <w:spacing w:line="360" w:lineRule="auto"/>
        <w:ind w:firstLine="420" w:firstLineChars="200"/>
        <w:jc w:val="left"/>
        <w:rPr>
          <w:rFonts w:ascii="宋体" w:hAnsi="宋体"/>
          <w:sz w:val="21"/>
          <w:szCs w:val="21"/>
          <w:u w:val="single"/>
        </w:rPr>
      </w:pPr>
      <w:r>
        <w:rPr>
          <w:rFonts w:ascii="宋体" w:hAnsi="宋体"/>
          <w:sz w:val="21"/>
          <w:szCs w:val="21"/>
        </w:rPr>
        <w:t>承包人负责照管工程及工程相关的材料、工程设备的起始时间：</w:t>
      </w:r>
      <w:r>
        <w:rPr>
          <w:rFonts w:ascii="宋体" w:hAnsi="宋体"/>
          <w:b/>
          <w:sz w:val="21"/>
          <w:szCs w:val="21"/>
          <w:u w:val="single"/>
        </w:rPr>
        <w:t>1、在工程竣工验收交付前成品保护工作和成品保护相关费用均由承包人承担；2、承包人应在做好自身范围内的成品保护工作的同时，还应做好对其他工种的成品保护的配合工作，若因承包人原因破坏，则承包人应承担责任，并予以赔偿。</w:t>
      </w:r>
      <w:r>
        <w:rPr>
          <w:rFonts w:ascii="宋体" w:hAnsi="宋体"/>
          <w:sz w:val="21"/>
          <w:szCs w:val="21"/>
          <w:u w:val="single"/>
        </w:rPr>
        <w:t xml:space="preserve"> </w:t>
      </w:r>
    </w:p>
    <w:p w14:paraId="54A17566">
      <w:pPr>
        <w:spacing w:line="360" w:lineRule="auto"/>
        <w:ind w:firstLine="420" w:firstLineChars="200"/>
        <w:jc w:val="left"/>
        <w:rPr>
          <w:rFonts w:ascii="宋体" w:hAnsi="宋体"/>
          <w:sz w:val="21"/>
          <w:szCs w:val="21"/>
        </w:rPr>
      </w:pPr>
      <w:r>
        <w:rPr>
          <w:rFonts w:ascii="宋体" w:hAnsi="宋体"/>
          <w:sz w:val="21"/>
          <w:szCs w:val="21"/>
        </w:rPr>
        <w:t>3.7 履约担保</w:t>
      </w:r>
    </w:p>
    <w:p w14:paraId="734A7B1B">
      <w:pPr>
        <w:spacing w:line="360" w:lineRule="auto"/>
        <w:ind w:firstLine="420" w:firstLineChars="200"/>
        <w:jc w:val="left"/>
        <w:rPr>
          <w:rFonts w:ascii="宋体" w:hAnsi="宋体"/>
          <w:sz w:val="21"/>
          <w:szCs w:val="21"/>
        </w:rPr>
      </w:pPr>
      <w:r>
        <w:rPr>
          <w:rFonts w:hint="eastAsia" w:ascii="宋体" w:hAnsi="宋体"/>
          <w:sz w:val="21"/>
          <w:szCs w:val="21"/>
        </w:rPr>
        <w:t>承包人是否提供履约担保：</w:t>
      </w:r>
      <w:r>
        <w:rPr>
          <w:rFonts w:hint="eastAsia" w:ascii="宋体" w:hAnsi="宋体"/>
          <w:b/>
          <w:sz w:val="21"/>
          <w:szCs w:val="21"/>
          <w:u w:val="single"/>
        </w:rPr>
        <w:t>是</w:t>
      </w:r>
      <w:r>
        <w:rPr>
          <w:rFonts w:ascii="宋体" w:hAnsi="宋体"/>
          <w:sz w:val="21"/>
          <w:szCs w:val="21"/>
        </w:rPr>
        <w:t>。</w:t>
      </w:r>
    </w:p>
    <w:p w14:paraId="0F3D3C78">
      <w:pPr>
        <w:spacing w:line="360" w:lineRule="auto"/>
        <w:ind w:firstLine="420" w:firstLineChars="200"/>
        <w:jc w:val="left"/>
        <w:rPr>
          <w:rFonts w:hint="eastAsia" w:ascii="宋体" w:hAnsi="宋体"/>
          <w:b/>
          <w:sz w:val="21"/>
          <w:szCs w:val="21"/>
          <w:u w:val="single"/>
        </w:rPr>
      </w:pPr>
      <w:r>
        <w:rPr>
          <w:rFonts w:ascii="宋体" w:hAnsi="宋体"/>
          <w:sz w:val="21"/>
          <w:szCs w:val="21"/>
        </w:rPr>
        <w:t>承包人提供履约担保的形式</w:t>
      </w:r>
      <w:r>
        <w:rPr>
          <w:rFonts w:hint="eastAsia" w:ascii="宋体" w:hAnsi="宋体"/>
          <w:sz w:val="21"/>
          <w:szCs w:val="21"/>
        </w:rPr>
        <w:t>、金额及期限的</w:t>
      </w:r>
      <w:r>
        <w:rPr>
          <w:rFonts w:ascii="宋体" w:hAnsi="宋体"/>
          <w:sz w:val="21"/>
          <w:szCs w:val="21"/>
        </w:rPr>
        <w:t>：</w:t>
      </w:r>
      <w:r>
        <w:rPr>
          <w:rFonts w:hint="eastAsia" w:ascii="宋体" w:hAnsi="宋体"/>
          <w:b/>
          <w:sz w:val="21"/>
          <w:szCs w:val="21"/>
          <w:u w:val="single"/>
        </w:rPr>
        <w:t>按中标通知书要求，承包人提交履约保证金、风险控制金（如有）至发包人指定帐户，承包人以银行转账或保函或保单的方式向招标单位提供</w:t>
      </w:r>
      <w:r>
        <w:rPr>
          <w:rFonts w:hint="eastAsia" w:ascii="宋体" w:hAnsi="宋体"/>
          <w:b/>
          <w:sz w:val="21"/>
          <w:szCs w:val="21"/>
          <w:u w:val="single"/>
          <w:lang w:val="en-US" w:eastAsia="zh-CN"/>
        </w:rPr>
        <w:t>1</w:t>
      </w:r>
      <w:r>
        <w:rPr>
          <w:rFonts w:hint="eastAsia" w:ascii="宋体" w:hAnsi="宋体"/>
          <w:b/>
          <w:sz w:val="21"/>
          <w:szCs w:val="21"/>
          <w:u w:val="single"/>
        </w:rPr>
        <w:t>%中标价金额和风险控制金（如有）作为履约担保。</w:t>
      </w:r>
    </w:p>
    <w:p w14:paraId="65E74DAA">
      <w:pPr>
        <w:spacing w:line="360" w:lineRule="auto"/>
        <w:ind w:firstLine="422" w:firstLineChars="200"/>
        <w:jc w:val="left"/>
        <w:rPr>
          <w:rFonts w:hint="eastAsia" w:ascii="宋体" w:hAnsi="宋体"/>
          <w:b/>
          <w:sz w:val="21"/>
          <w:szCs w:val="21"/>
          <w:u w:val="single"/>
        </w:rPr>
      </w:pPr>
      <w:r>
        <w:rPr>
          <w:rFonts w:hint="eastAsia" w:ascii="宋体" w:hAnsi="宋体"/>
          <w:b/>
          <w:sz w:val="21"/>
          <w:szCs w:val="21"/>
          <w:u w:val="single"/>
        </w:rPr>
        <w:t>本合同内所有违约金扣款均在履约保证金中扣除，如承包人采用银行保函、保单形式的履约保证金或履约保证金不足以扣除违约金，违约金在风险控制金（如有）及工程进度款中相应扣除</w:t>
      </w:r>
      <w:r>
        <w:rPr>
          <w:rFonts w:ascii="宋体" w:hAnsi="宋体"/>
          <w:b/>
          <w:sz w:val="21"/>
          <w:szCs w:val="21"/>
          <w:u w:val="single"/>
        </w:rPr>
        <w:t xml:space="preserve"> 。</w:t>
      </w:r>
    </w:p>
    <w:p w14:paraId="51D93242">
      <w:pPr>
        <w:spacing w:line="360" w:lineRule="auto"/>
        <w:ind w:firstLine="316" w:firstLineChars="150"/>
        <w:jc w:val="left"/>
        <w:rPr>
          <w:rFonts w:hint="eastAsia" w:ascii="宋体" w:hAnsi="宋体"/>
          <w:b/>
          <w:sz w:val="21"/>
          <w:szCs w:val="21"/>
          <w:u w:val="single"/>
        </w:rPr>
      </w:pPr>
      <w:r>
        <w:rPr>
          <w:rFonts w:hint="eastAsia" w:ascii="宋体" w:hAnsi="宋体"/>
          <w:b/>
          <w:sz w:val="21"/>
          <w:szCs w:val="21"/>
          <w:u w:val="single"/>
        </w:rPr>
        <w:t>履约担保有效期为工程建设合同约定的工程竣工验收合格之日后10天内。履约保证金及风险控制金在工程竣工验收合格、上交全部竣工资料（资料符合金华市城建档案馆存档要求）后10天内，承包人履行了合同约定的责任和义务（如有违约，扣除违约金）后无息退还。</w:t>
      </w:r>
    </w:p>
    <w:p w14:paraId="6FC1E172">
      <w:pPr>
        <w:spacing w:line="360" w:lineRule="auto"/>
        <w:ind w:firstLine="315" w:firstLineChars="150"/>
        <w:jc w:val="left"/>
        <w:rPr>
          <w:rFonts w:hint="eastAsia" w:ascii="宋体" w:hAnsi="宋体"/>
          <w:sz w:val="21"/>
          <w:szCs w:val="21"/>
        </w:rPr>
      </w:pPr>
      <w:bookmarkStart w:id="178" w:name="_Toc351203636"/>
      <w:r>
        <w:rPr>
          <w:rFonts w:hint="eastAsia" w:ascii="宋体" w:hAnsi="宋体"/>
          <w:sz w:val="21"/>
          <w:szCs w:val="21"/>
        </w:rPr>
        <w:t>双方约定的具体担保事项：</w:t>
      </w:r>
    </w:p>
    <w:p w14:paraId="43784C3E">
      <w:pPr>
        <w:spacing w:line="360" w:lineRule="auto"/>
        <w:ind w:firstLine="315" w:firstLineChars="150"/>
        <w:jc w:val="left"/>
        <w:rPr>
          <w:rFonts w:hint="eastAsia" w:ascii="宋体" w:hAnsi="宋体"/>
          <w:b/>
          <w:sz w:val="21"/>
          <w:szCs w:val="21"/>
          <w:u w:val="single"/>
        </w:rPr>
      </w:pPr>
      <w:r>
        <w:rPr>
          <w:rFonts w:hint="eastAsia" w:ascii="宋体" w:hAnsi="宋体"/>
          <w:sz w:val="21"/>
          <w:szCs w:val="21"/>
          <w:u w:val="single"/>
        </w:rPr>
        <w:t>1</w:t>
      </w:r>
      <w:r>
        <w:rPr>
          <w:rFonts w:hint="eastAsia" w:ascii="宋体" w:hAnsi="宋体"/>
          <w:b/>
          <w:sz w:val="21"/>
          <w:szCs w:val="21"/>
          <w:u w:val="single"/>
        </w:rPr>
        <w:t>、履约保证金用于担保的项目，因承包人原因造成的违约，按以下条款执行。其中：</w:t>
      </w:r>
    </w:p>
    <w:p w14:paraId="58D7CD35">
      <w:pPr>
        <w:spacing w:line="360" w:lineRule="auto"/>
        <w:ind w:firstLine="422" w:firstLineChars="200"/>
        <w:jc w:val="left"/>
        <w:rPr>
          <w:rFonts w:hint="eastAsia" w:ascii="宋体" w:hAnsi="宋体"/>
          <w:b/>
          <w:sz w:val="21"/>
          <w:szCs w:val="21"/>
          <w:u w:val="single"/>
        </w:rPr>
      </w:pPr>
      <w:r>
        <w:rPr>
          <w:rFonts w:hint="eastAsia" w:ascii="宋体" w:hAnsi="宋体"/>
          <w:b/>
          <w:sz w:val="21"/>
          <w:szCs w:val="21"/>
          <w:u w:val="single"/>
        </w:rPr>
        <w:t>⑴工程质量：若未一次性通过竣工验收合格（整改时间除外）或未实现本合同综合的质量目标，扣罚50%履约保证金并无条件整改；在施工过程中，每发生一次未按照监理或者发包人提出的质量整改意见进行整改，扣罚500-10000元。</w:t>
      </w:r>
    </w:p>
    <w:p w14:paraId="226B33A9">
      <w:pPr>
        <w:spacing w:line="360" w:lineRule="auto"/>
        <w:ind w:firstLine="422" w:firstLineChars="200"/>
        <w:jc w:val="left"/>
        <w:rPr>
          <w:rFonts w:hint="eastAsia" w:ascii="宋体" w:hAnsi="宋体"/>
          <w:b/>
          <w:sz w:val="21"/>
          <w:szCs w:val="21"/>
          <w:u w:val="single"/>
        </w:rPr>
      </w:pPr>
      <w:r>
        <w:rPr>
          <w:rFonts w:hint="eastAsia" w:ascii="宋体" w:hAnsi="宋体"/>
          <w:b/>
          <w:sz w:val="21"/>
          <w:szCs w:val="21"/>
          <w:u w:val="single"/>
        </w:rPr>
        <w:t xml:space="preserve">⑵工期：因承包人的原因未能按时交付工程使用，每日扣罚违约金2000元人民币；如果承包人故意拖延工期累计达到30天以上，发包人有权单方解除合同，并扣罚承包人全部履约保证金，造成其它损失的，发包人保留追偿的权利。 </w:t>
      </w:r>
    </w:p>
    <w:p w14:paraId="38BCF677">
      <w:pPr>
        <w:spacing w:line="360" w:lineRule="auto"/>
        <w:ind w:firstLine="316" w:firstLineChars="150"/>
        <w:jc w:val="left"/>
        <w:rPr>
          <w:rFonts w:hint="eastAsia" w:ascii="宋体" w:hAnsi="宋体"/>
          <w:b/>
          <w:sz w:val="21"/>
          <w:szCs w:val="21"/>
          <w:u w:val="single"/>
        </w:rPr>
      </w:pPr>
      <w:r>
        <w:rPr>
          <w:rFonts w:hint="eastAsia" w:ascii="宋体" w:hAnsi="宋体"/>
          <w:b/>
          <w:sz w:val="21"/>
          <w:szCs w:val="21"/>
          <w:u w:val="single"/>
        </w:rPr>
        <w:t>（3）安全：若发生安全事故，一切责任由承包方承担，若发生安全重大责任事故，扣罚100%履约保证金，并承担由此给建设单位造成损失，如违反遵守安全制度的，视情节扣罚安全保证金。</w:t>
      </w:r>
    </w:p>
    <w:p w14:paraId="2E60486D">
      <w:pPr>
        <w:spacing w:line="360" w:lineRule="auto"/>
        <w:ind w:firstLine="316" w:firstLineChars="150"/>
        <w:jc w:val="left"/>
        <w:rPr>
          <w:rFonts w:hint="eastAsia" w:ascii="宋体" w:hAnsi="宋体"/>
          <w:b/>
          <w:sz w:val="21"/>
          <w:szCs w:val="21"/>
          <w:u w:val="single"/>
        </w:rPr>
      </w:pPr>
      <w:r>
        <w:rPr>
          <w:rFonts w:hint="eastAsia" w:ascii="宋体" w:hAnsi="宋体"/>
          <w:b/>
          <w:sz w:val="21"/>
          <w:szCs w:val="21"/>
          <w:u w:val="single"/>
        </w:rPr>
        <w:t>（4）管理制度：在合同实施中，因承包人现场管理混乱，工程质量、进度和现场文明施工、安全生产达不到预定计划，发包人有权要求调整充实力量，承包人必须无条件接受；当上述措施无效时，可视情节进行处罚，直至终止合同，并承担由此引起的一系列经济损失；</w:t>
      </w:r>
    </w:p>
    <w:p w14:paraId="03325624">
      <w:pPr>
        <w:spacing w:line="360" w:lineRule="auto"/>
        <w:ind w:firstLine="316" w:firstLineChars="150"/>
        <w:jc w:val="left"/>
        <w:rPr>
          <w:rFonts w:hint="eastAsia" w:ascii="宋体" w:hAnsi="宋体"/>
          <w:b/>
          <w:sz w:val="21"/>
          <w:szCs w:val="21"/>
          <w:u w:val="single"/>
        </w:rPr>
      </w:pPr>
      <w:r>
        <w:rPr>
          <w:rFonts w:hint="eastAsia" w:ascii="宋体" w:hAnsi="宋体"/>
          <w:b/>
          <w:sz w:val="21"/>
          <w:szCs w:val="21"/>
          <w:u w:val="single"/>
        </w:rPr>
        <w:t>（5）设备的到位率：机械设备的到位率100%，如未达到，发包人有权视情进行扣罚。</w:t>
      </w:r>
    </w:p>
    <w:p w14:paraId="76261B7D">
      <w:pPr>
        <w:spacing w:line="360" w:lineRule="auto"/>
        <w:ind w:firstLine="422" w:firstLineChars="200"/>
        <w:jc w:val="left"/>
        <w:rPr>
          <w:rFonts w:hint="eastAsia" w:ascii="宋体" w:hAnsi="宋体"/>
          <w:b/>
          <w:sz w:val="21"/>
          <w:szCs w:val="21"/>
          <w:u w:val="single"/>
        </w:rPr>
      </w:pPr>
      <w:r>
        <w:rPr>
          <w:rFonts w:hint="eastAsia" w:ascii="宋体" w:hAnsi="宋体"/>
          <w:b/>
          <w:sz w:val="21"/>
          <w:szCs w:val="21"/>
          <w:u w:val="single"/>
        </w:rPr>
        <w:t>2、为防止承包人低价抢标，设置最高限价的85%作为风险控制价，凡低于该风险控制价中标的，承包人在提交履约保证金的同时必须额外提交中标价净值与风险控制价之差额作为风险控制保证金。双方约定的风险控制金具体担保事项与履约保证金相同。</w:t>
      </w:r>
    </w:p>
    <w:p w14:paraId="7DB26969">
      <w:pPr>
        <w:spacing w:line="360" w:lineRule="auto"/>
        <w:ind w:firstLine="422" w:firstLineChars="200"/>
        <w:jc w:val="left"/>
        <w:rPr>
          <w:rFonts w:hint="eastAsia" w:ascii="宋体" w:hAnsi="宋体"/>
          <w:b/>
          <w:sz w:val="21"/>
          <w:szCs w:val="21"/>
          <w:u w:val="single"/>
        </w:rPr>
      </w:pPr>
      <w:r>
        <w:rPr>
          <w:rFonts w:hint="eastAsia" w:ascii="宋体" w:hAnsi="宋体"/>
          <w:b/>
          <w:sz w:val="21"/>
          <w:szCs w:val="21"/>
          <w:u w:val="single"/>
        </w:rPr>
        <w:t>⑴工程质量：若未通过竣工验收合格（整改时间除外）或未实现本合同综合的质量目标，扣罚100%风险控制保证金。</w:t>
      </w:r>
    </w:p>
    <w:p w14:paraId="61BBE5BA">
      <w:pPr>
        <w:spacing w:line="360" w:lineRule="auto"/>
        <w:ind w:firstLine="422" w:firstLineChars="200"/>
        <w:jc w:val="left"/>
        <w:rPr>
          <w:rFonts w:hint="eastAsia" w:ascii="宋体" w:hAnsi="宋体"/>
          <w:b/>
          <w:sz w:val="21"/>
          <w:szCs w:val="21"/>
          <w:u w:val="single"/>
        </w:rPr>
      </w:pPr>
      <w:r>
        <w:rPr>
          <w:rFonts w:hint="eastAsia" w:ascii="宋体" w:hAnsi="宋体"/>
          <w:b/>
          <w:sz w:val="21"/>
          <w:szCs w:val="21"/>
          <w:u w:val="single"/>
        </w:rPr>
        <w:t>⑵ 工期：因施工方的原因未能按时交付工程使用，如履约保证金不足以扣罚违约金，则从风险控制金中每日扣罚违约金2000元人民币，直至扣完风险控制保证金。</w:t>
      </w:r>
    </w:p>
    <w:p w14:paraId="07386686">
      <w:pPr>
        <w:spacing w:line="360" w:lineRule="auto"/>
        <w:ind w:firstLine="525" w:firstLineChars="250"/>
        <w:jc w:val="left"/>
        <w:rPr>
          <w:rFonts w:ascii="宋体" w:hAnsi="宋体"/>
          <w:bCs/>
          <w:sz w:val="21"/>
          <w:szCs w:val="21"/>
        </w:rPr>
      </w:pPr>
      <w:r>
        <w:rPr>
          <w:rFonts w:ascii="宋体" w:hAnsi="宋体"/>
          <w:bCs/>
          <w:sz w:val="21"/>
          <w:szCs w:val="21"/>
        </w:rPr>
        <w:t>4</w:t>
      </w:r>
      <w:bookmarkStart w:id="179" w:name="_Toc267251413"/>
      <w:bookmarkStart w:id="180" w:name="_Toc296503162"/>
      <w:bookmarkStart w:id="181" w:name="_Toc296891202"/>
      <w:bookmarkStart w:id="182" w:name="_Toc296890990"/>
      <w:bookmarkStart w:id="183" w:name="_Toc296346663"/>
      <w:bookmarkStart w:id="184" w:name="_Toc297048348"/>
      <w:bookmarkStart w:id="185" w:name="_Toc296944501"/>
      <w:bookmarkStart w:id="186" w:name="_Toc292559871"/>
      <w:bookmarkStart w:id="187" w:name="_Toc296347161"/>
      <w:bookmarkStart w:id="188" w:name="_Toc297120462"/>
      <w:bookmarkStart w:id="189" w:name="_Toc292559366"/>
      <w:r>
        <w:rPr>
          <w:rFonts w:ascii="宋体" w:hAnsi="宋体"/>
          <w:bCs/>
          <w:sz w:val="21"/>
          <w:szCs w:val="21"/>
        </w:rPr>
        <w:t>. 监</w:t>
      </w:r>
      <w:bookmarkEnd w:id="179"/>
      <w:bookmarkEnd w:id="180"/>
      <w:bookmarkEnd w:id="181"/>
      <w:bookmarkEnd w:id="182"/>
      <w:bookmarkEnd w:id="183"/>
      <w:bookmarkEnd w:id="184"/>
      <w:bookmarkEnd w:id="185"/>
      <w:bookmarkEnd w:id="186"/>
      <w:bookmarkEnd w:id="187"/>
      <w:bookmarkEnd w:id="188"/>
      <w:bookmarkEnd w:id="189"/>
      <w:r>
        <w:rPr>
          <w:rFonts w:ascii="宋体" w:hAnsi="宋体"/>
          <w:bCs/>
          <w:sz w:val="21"/>
          <w:szCs w:val="21"/>
        </w:rPr>
        <w:t>理人</w:t>
      </w:r>
      <w:bookmarkEnd w:id="178"/>
    </w:p>
    <w:p w14:paraId="3E029404">
      <w:pPr>
        <w:spacing w:line="360" w:lineRule="auto"/>
        <w:ind w:firstLine="525" w:firstLineChars="250"/>
        <w:jc w:val="left"/>
        <w:rPr>
          <w:rFonts w:ascii="宋体" w:hAnsi="宋体"/>
          <w:sz w:val="21"/>
          <w:szCs w:val="21"/>
        </w:rPr>
      </w:pPr>
      <w:r>
        <w:rPr>
          <w:rFonts w:ascii="宋体" w:hAnsi="宋体"/>
          <w:sz w:val="21"/>
          <w:szCs w:val="21"/>
        </w:rPr>
        <w:t>4.1监理人的一般规定</w:t>
      </w:r>
    </w:p>
    <w:p w14:paraId="60CEABE0">
      <w:pPr>
        <w:spacing w:line="360" w:lineRule="auto"/>
        <w:ind w:firstLine="525" w:firstLineChars="250"/>
        <w:jc w:val="left"/>
        <w:rPr>
          <w:rFonts w:ascii="宋体" w:hAnsi="宋体"/>
          <w:sz w:val="21"/>
          <w:szCs w:val="21"/>
        </w:rPr>
      </w:pPr>
      <w:r>
        <w:rPr>
          <w:rFonts w:ascii="宋体" w:hAnsi="宋体"/>
          <w:sz w:val="21"/>
          <w:szCs w:val="21"/>
        </w:rPr>
        <w:t>关于监理人的监理内容：</w:t>
      </w:r>
      <w:r>
        <w:rPr>
          <w:rFonts w:ascii="宋体" w:hAnsi="宋体"/>
          <w:sz w:val="21"/>
          <w:szCs w:val="21"/>
          <w:u w:val="single"/>
        </w:rPr>
        <w:t xml:space="preserve">   </w:t>
      </w:r>
      <w:r>
        <w:rPr>
          <w:rFonts w:hint="eastAsia" w:ascii="宋体" w:hAnsi="宋体"/>
          <w:sz w:val="21"/>
          <w:szCs w:val="21"/>
          <w:u w:val="single"/>
        </w:rPr>
        <w:t>按监理招标文件和合同执行</w:t>
      </w:r>
      <w:r>
        <w:rPr>
          <w:rFonts w:ascii="宋体" w:hAnsi="宋体"/>
          <w:sz w:val="21"/>
          <w:szCs w:val="21"/>
          <w:u w:val="single"/>
        </w:rPr>
        <w:t xml:space="preserve">  </w:t>
      </w:r>
      <w:r>
        <w:rPr>
          <w:rFonts w:ascii="宋体" w:hAnsi="宋体"/>
          <w:sz w:val="21"/>
          <w:szCs w:val="21"/>
        </w:rPr>
        <w:t>。</w:t>
      </w:r>
    </w:p>
    <w:p w14:paraId="18325898">
      <w:pPr>
        <w:spacing w:line="360" w:lineRule="auto"/>
        <w:ind w:firstLine="525" w:firstLineChars="250"/>
        <w:jc w:val="left"/>
        <w:rPr>
          <w:rFonts w:ascii="宋体" w:hAnsi="宋体"/>
          <w:sz w:val="21"/>
          <w:szCs w:val="21"/>
        </w:rPr>
      </w:pPr>
      <w:r>
        <w:rPr>
          <w:rFonts w:ascii="宋体" w:hAnsi="宋体"/>
          <w:sz w:val="21"/>
          <w:szCs w:val="21"/>
        </w:rPr>
        <w:t>关于监理人的监理权限：</w:t>
      </w:r>
      <w:r>
        <w:rPr>
          <w:rFonts w:ascii="宋体" w:hAnsi="宋体"/>
          <w:sz w:val="21"/>
          <w:szCs w:val="21"/>
          <w:u w:val="single"/>
        </w:rPr>
        <w:t xml:space="preserve">  </w:t>
      </w:r>
      <w:r>
        <w:rPr>
          <w:rFonts w:hint="eastAsia" w:ascii="宋体" w:hAnsi="宋体"/>
          <w:b/>
          <w:sz w:val="21"/>
          <w:szCs w:val="21"/>
          <w:u w:val="single"/>
        </w:rPr>
        <w:t>按发包方同监理方签订的监理合同执行，</w:t>
      </w:r>
      <w:r>
        <w:rPr>
          <w:rFonts w:ascii="宋体" w:hAnsi="宋体"/>
          <w:b/>
          <w:sz w:val="21"/>
          <w:szCs w:val="21"/>
          <w:u w:val="single"/>
        </w:rPr>
        <w:t>总监理工程师签署的任何付款凭证需经发包人代表签署确认意见后有效。涉及设计变更、工期顺延、材料价格、停/复工令、工程索赔等可能影响工程价款或工期的签证需经发包人书面同意。</w:t>
      </w:r>
    </w:p>
    <w:p w14:paraId="19C7AE06">
      <w:pPr>
        <w:spacing w:line="360" w:lineRule="auto"/>
        <w:ind w:firstLine="525" w:firstLineChars="250"/>
        <w:jc w:val="left"/>
        <w:rPr>
          <w:rFonts w:ascii="宋体" w:hAnsi="宋体"/>
          <w:sz w:val="21"/>
          <w:szCs w:val="21"/>
          <w:u w:val="single"/>
        </w:rPr>
      </w:pPr>
      <w:r>
        <w:rPr>
          <w:rFonts w:ascii="宋体" w:hAnsi="宋体"/>
          <w:sz w:val="21"/>
          <w:szCs w:val="21"/>
        </w:rPr>
        <w:t>关于监理人在施工现场的办公场所、生活场所的提供和费用承担的约定：</w:t>
      </w:r>
      <w:r>
        <w:rPr>
          <w:rFonts w:hint="eastAsia" w:ascii="宋体" w:hAnsi="宋体"/>
          <w:b/>
          <w:sz w:val="21"/>
          <w:szCs w:val="21"/>
          <w:u w:val="single"/>
        </w:rPr>
        <w:t>监理人自行解决，费用监理人自行承担</w:t>
      </w:r>
      <w:r>
        <w:rPr>
          <w:rFonts w:ascii="宋体" w:hAnsi="宋体"/>
          <w:b/>
          <w:sz w:val="21"/>
          <w:szCs w:val="21"/>
          <w:u w:val="single"/>
        </w:rPr>
        <w:t>。</w:t>
      </w:r>
    </w:p>
    <w:p w14:paraId="404AC2AA">
      <w:pPr>
        <w:spacing w:line="360" w:lineRule="auto"/>
        <w:ind w:firstLine="525" w:firstLineChars="250"/>
        <w:jc w:val="left"/>
        <w:rPr>
          <w:rFonts w:ascii="宋体" w:hAnsi="宋体"/>
          <w:sz w:val="21"/>
          <w:szCs w:val="21"/>
        </w:rPr>
      </w:pPr>
      <w:r>
        <w:rPr>
          <w:rFonts w:ascii="宋体" w:hAnsi="宋体"/>
          <w:sz w:val="21"/>
          <w:szCs w:val="21"/>
        </w:rPr>
        <w:t>4.2 监理人员</w:t>
      </w:r>
    </w:p>
    <w:p w14:paraId="02A19BBE">
      <w:pPr>
        <w:spacing w:line="360" w:lineRule="auto"/>
        <w:ind w:firstLine="525" w:firstLineChars="250"/>
        <w:jc w:val="left"/>
        <w:rPr>
          <w:rFonts w:ascii="宋体" w:hAnsi="宋体"/>
          <w:sz w:val="21"/>
          <w:szCs w:val="21"/>
        </w:rPr>
      </w:pPr>
      <w:r>
        <w:rPr>
          <w:rFonts w:ascii="宋体" w:hAnsi="宋体"/>
          <w:sz w:val="21"/>
          <w:szCs w:val="21"/>
        </w:rPr>
        <w:t>总监理工程师：</w:t>
      </w:r>
    </w:p>
    <w:p w14:paraId="2A9FBAD3">
      <w:pPr>
        <w:spacing w:line="360" w:lineRule="auto"/>
        <w:ind w:firstLine="525" w:firstLineChars="250"/>
        <w:jc w:val="left"/>
        <w:rPr>
          <w:rFonts w:ascii="宋体" w:hAnsi="宋体"/>
          <w:sz w:val="21"/>
          <w:szCs w:val="21"/>
        </w:rPr>
      </w:pPr>
      <w:r>
        <w:rPr>
          <w:rFonts w:ascii="宋体" w:hAnsi="宋体"/>
          <w:sz w:val="21"/>
          <w:szCs w:val="21"/>
        </w:rPr>
        <w:t>姓名：</w:t>
      </w:r>
      <w:r>
        <w:rPr>
          <w:rFonts w:hint="eastAsia" w:ascii="宋体" w:hAnsi="宋体" w:cs="MingLiU_HKSCS"/>
          <w:sz w:val="21"/>
          <w:szCs w:val="21"/>
          <w:u w:val="single"/>
        </w:rPr>
        <w:t xml:space="preserve"> </w:t>
      </w:r>
      <w:r>
        <w:rPr>
          <w:rFonts w:hint="eastAsia" w:ascii="宋体" w:hAnsi="宋体"/>
          <w:b/>
          <w:sz w:val="21"/>
          <w:szCs w:val="21"/>
          <w:u w:val="single"/>
        </w:rPr>
        <w:t xml:space="preserve">        </w:t>
      </w:r>
      <w:r>
        <w:rPr>
          <w:rFonts w:hint="eastAsia" w:ascii="宋体" w:hAnsi="宋体"/>
          <w:sz w:val="21"/>
          <w:szCs w:val="21"/>
          <w:u w:val="single"/>
        </w:rPr>
        <w:t xml:space="preserve">    </w:t>
      </w:r>
      <w:r>
        <w:rPr>
          <w:rFonts w:ascii="宋体" w:hAnsi="宋体"/>
          <w:sz w:val="21"/>
          <w:szCs w:val="21"/>
        </w:rPr>
        <w:t>；</w:t>
      </w:r>
    </w:p>
    <w:p w14:paraId="7847B91D">
      <w:pPr>
        <w:spacing w:line="360" w:lineRule="auto"/>
        <w:ind w:firstLine="525" w:firstLineChars="250"/>
        <w:jc w:val="left"/>
        <w:rPr>
          <w:rFonts w:ascii="宋体" w:hAnsi="宋体"/>
          <w:sz w:val="21"/>
          <w:szCs w:val="21"/>
        </w:rPr>
      </w:pPr>
      <w:r>
        <w:rPr>
          <w:rFonts w:ascii="宋体" w:hAnsi="宋体"/>
          <w:sz w:val="21"/>
          <w:szCs w:val="21"/>
        </w:rPr>
        <w:t>职务：</w:t>
      </w:r>
      <w:r>
        <w:rPr>
          <w:rFonts w:hint="eastAsia" w:ascii="宋体" w:hAnsi="宋体" w:cs="MingLiU_HKSCS"/>
          <w:sz w:val="21"/>
          <w:szCs w:val="21"/>
          <w:u w:val="single"/>
        </w:rPr>
        <w:t xml:space="preserve"> </w:t>
      </w:r>
      <w:r>
        <w:rPr>
          <w:rFonts w:hint="eastAsia" w:ascii="宋体" w:hAnsi="宋体"/>
          <w:sz w:val="21"/>
          <w:szCs w:val="21"/>
          <w:u w:val="single"/>
        </w:rPr>
        <w:t xml:space="preserve">            </w:t>
      </w:r>
      <w:r>
        <w:rPr>
          <w:rFonts w:ascii="宋体" w:hAnsi="宋体"/>
          <w:sz w:val="21"/>
          <w:szCs w:val="21"/>
        </w:rPr>
        <w:t>；</w:t>
      </w:r>
    </w:p>
    <w:p w14:paraId="375E6D04">
      <w:pPr>
        <w:spacing w:line="360" w:lineRule="auto"/>
        <w:ind w:firstLine="525" w:firstLineChars="250"/>
        <w:jc w:val="left"/>
        <w:rPr>
          <w:rFonts w:ascii="宋体" w:hAnsi="宋体"/>
          <w:sz w:val="21"/>
          <w:szCs w:val="21"/>
        </w:rPr>
      </w:pPr>
      <w:r>
        <w:rPr>
          <w:rFonts w:ascii="宋体" w:hAnsi="宋体"/>
          <w:sz w:val="21"/>
          <w:szCs w:val="21"/>
        </w:rPr>
        <w:t>联系电话：</w:t>
      </w:r>
      <w:r>
        <w:rPr>
          <w:rFonts w:hint="eastAsia" w:ascii="宋体" w:hAnsi="宋体"/>
          <w:sz w:val="21"/>
          <w:szCs w:val="21"/>
          <w:u w:val="single"/>
        </w:rPr>
        <w:t xml:space="preserve">         </w:t>
      </w:r>
      <w:r>
        <w:rPr>
          <w:rFonts w:ascii="宋体" w:hAnsi="宋体"/>
          <w:sz w:val="21"/>
          <w:szCs w:val="21"/>
        </w:rPr>
        <w:t>；</w:t>
      </w:r>
    </w:p>
    <w:p w14:paraId="51E34061">
      <w:pPr>
        <w:spacing w:line="360" w:lineRule="auto"/>
        <w:ind w:firstLine="525" w:firstLineChars="250"/>
        <w:jc w:val="left"/>
        <w:rPr>
          <w:rFonts w:ascii="宋体" w:hAnsi="宋体"/>
          <w:sz w:val="21"/>
          <w:szCs w:val="21"/>
        </w:rPr>
      </w:pPr>
      <w:r>
        <w:rPr>
          <w:rFonts w:ascii="宋体" w:hAnsi="宋体"/>
          <w:sz w:val="21"/>
          <w:szCs w:val="21"/>
        </w:rPr>
        <w:t>关于监理人的其他约定：</w:t>
      </w:r>
      <w:r>
        <w:rPr>
          <w:rFonts w:hint="eastAsia" w:ascii="宋体" w:hAnsi="宋体"/>
          <w:sz w:val="21"/>
          <w:szCs w:val="21"/>
          <w:u w:val="single"/>
        </w:rPr>
        <w:t>代表发包人同承包人进行工程量核对，图纸会审，联系单及清单内容和工程量的核对、监督工程质量等，并按《监理合同》约定执行。</w:t>
      </w:r>
    </w:p>
    <w:p w14:paraId="6EA9D3C1">
      <w:pPr>
        <w:spacing w:line="360" w:lineRule="auto"/>
        <w:ind w:firstLine="420" w:firstLineChars="200"/>
        <w:jc w:val="left"/>
        <w:rPr>
          <w:rFonts w:ascii="宋体" w:hAnsi="宋体"/>
          <w:bCs/>
          <w:sz w:val="21"/>
          <w:szCs w:val="21"/>
        </w:rPr>
      </w:pPr>
      <w:bookmarkStart w:id="190" w:name="_Toc267251418"/>
      <w:bookmarkStart w:id="191" w:name="_Toc351203637"/>
      <w:r>
        <w:rPr>
          <w:rFonts w:ascii="宋体" w:hAnsi="宋体"/>
          <w:bCs/>
          <w:sz w:val="21"/>
          <w:szCs w:val="21"/>
        </w:rPr>
        <w:t>5</w:t>
      </w:r>
      <w:bookmarkEnd w:id="190"/>
      <w:bookmarkStart w:id="192" w:name="_Toc296503163"/>
      <w:bookmarkStart w:id="193" w:name="_Toc292559367"/>
      <w:bookmarkStart w:id="194" w:name="_Toc297048349"/>
      <w:bookmarkStart w:id="195" w:name="_Toc296890991"/>
      <w:bookmarkStart w:id="196" w:name="_Toc296346664"/>
      <w:bookmarkStart w:id="197" w:name="_Toc296347162"/>
      <w:bookmarkStart w:id="198" w:name="_Toc292559872"/>
      <w:bookmarkStart w:id="199" w:name="_Toc296891203"/>
      <w:bookmarkStart w:id="200" w:name="_Toc297120463"/>
      <w:bookmarkStart w:id="201" w:name="_Toc296944502"/>
      <w:r>
        <w:rPr>
          <w:rFonts w:ascii="宋体" w:hAnsi="宋体"/>
          <w:bCs/>
          <w:sz w:val="21"/>
          <w:szCs w:val="21"/>
        </w:rPr>
        <w:t>. 工程质量</w:t>
      </w:r>
      <w:bookmarkEnd w:id="191"/>
    </w:p>
    <w:p w14:paraId="6FADD5B5">
      <w:pPr>
        <w:spacing w:line="360" w:lineRule="auto"/>
        <w:ind w:firstLine="420" w:firstLineChars="200"/>
        <w:jc w:val="left"/>
        <w:rPr>
          <w:rFonts w:ascii="宋体" w:hAnsi="宋体"/>
          <w:sz w:val="21"/>
          <w:szCs w:val="21"/>
        </w:rPr>
      </w:pPr>
      <w:r>
        <w:rPr>
          <w:rFonts w:ascii="宋体" w:hAnsi="宋体"/>
          <w:sz w:val="21"/>
          <w:szCs w:val="21"/>
        </w:rPr>
        <w:t>5.1 质量要求</w:t>
      </w:r>
      <w:r>
        <w:rPr>
          <w:rFonts w:hint="eastAsia" w:ascii="宋体" w:hAnsi="宋体"/>
          <w:sz w:val="21"/>
          <w:szCs w:val="21"/>
        </w:rPr>
        <w:t>：</w:t>
      </w:r>
      <w:r>
        <w:rPr>
          <w:rFonts w:ascii="宋体" w:hAnsi="宋体"/>
          <w:b/>
          <w:sz w:val="21"/>
          <w:szCs w:val="21"/>
          <w:u w:val="single"/>
        </w:rPr>
        <w:t>工程质量标准必须符合现行国家有关工程施工质量验收规范和标准的</w:t>
      </w:r>
      <w:r>
        <w:rPr>
          <w:rFonts w:hint="eastAsia" w:ascii="宋体" w:hAnsi="宋体"/>
          <w:b/>
          <w:sz w:val="21"/>
          <w:szCs w:val="21"/>
          <w:u w:val="single"/>
        </w:rPr>
        <w:t>合格</w:t>
      </w:r>
      <w:r>
        <w:rPr>
          <w:rFonts w:ascii="宋体" w:hAnsi="宋体"/>
          <w:b/>
          <w:sz w:val="21"/>
          <w:szCs w:val="21"/>
          <w:u w:val="single"/>
        </w:rPr>
        <w:t>要求。</w:t>
      </w:r>
    </w:p>
    <w:p w14:paraId="0F485CF6">
      <w:pPr>
        <w:spacing w:line="360" w:lineRule="auto"/>
        <w:ind w:firstLine="420" w:firstLineChars="200"/>
        <w:jc w:val="left"/>
        <w:rPr>
          <w:rFonts w:ascii="宋体" w:hAnsi="宋体"/>
          <w:sz w:val="21"/>
          <w:szCs w:val="21"/>
          <w:u w:val="single"/>
        </w:rPr>
      </w:pPr>
      <w:r>
        <w:rPr>
          <w:rFonts w:ascii="宋体" w:hAnsi="宋体"/>
          <w:sz w:val="21"/>
          <w:szCs w:val="21"/>
        </w:rPr>
        <w:t>5</w:t>
      </w:r>
      <w:bookmarkStart w:id="202" w:name="_Toc312677997"/>
      <w:bookmarkStart w:id="203" w:name="_Toc297216155"/>
      <w:bookmarkStart w:id="204" w:name="_Toc303539106"/>
      <w:bookmarkStart w:id="205" w:name="_Toc318581164"/>
      <w:bookmarkStart w:id="206" w:name="_Toc304295527"/>
      <w:bookmarkStart w:id="207" w:name="_Toc297123496"/>
      <w:bookmarkStart w:id="208" w:name="_Toc300934949"/>
      <w:r>
        <w:rPr>
          <w:rFonts w:ascii="宋体" w:hAnsi="宋体"/>
          <w:sz w:val="21"/>
          <w:szCs w:val="21"/>
        </w:rPr>
        <w:t>.1.1 特殊质量标准和要求：</w:t>
      </w:r>
      <w:r>
        <w:rPr>
          <w:rFonts w:hint="eastAsia" w:ascii="宋体" w:hAnsi="宋体"/>
          <w:sz w:val="21"/>
          <w:szCs w:val="21"/>
          <w:u w:val="single"/>
        </w:rPr>
        <w:t>按相关行业规范和标准执行</w:t>
      </w:r>
      <w:r>
        <w:rPr>
          <w:rFonts w:ascii="宋体" w:hAnsi="宋体"/>
          <w:sz w:val="21"/>
          <w:szCs w:val="21"/>
        </w:rPr>
        <w:t>。</w:t>
      </w:r>
    </w:p>
    <w:p w14:paraId="3CFA18C8">
      <w:pPr>
        <w:spacing w:line="360" w:lineRule="auto"/>
        <w:ind w:firstLine="420" w:firstLineChars="200"/>
        <w:jc w:val="left"/>
        <w:rPr>
          <w:rFonts w:ascii="宋体" w:hAnsi="宋体"/>
          <w:sz w:val="21"/>
          <w:szCs w:val="21"/>
          <w:u w:val="single"/>
        </w:rPr>
      </w:pPr>
      <w:r>
        <w:rPr>
          <w:rFonts w:ascii="宋体" w:hAnsi="宋体"/>
          <w:sz w:val="21"/>
          <w:szCs w:val="21"/>
        </w:rPr>
        <w:t>关于工程奖项的约定：</w:t>
      </w:r>
      <w:r>
        <w:rPr>
          <w:rFonts w:hint="eastAsia" w:ascii="宋体" w:hAnsi="宋体"/>
          <w:sz w:val="21"/>
          <w:szCs w:val="21"/>
          <w:u w:val="single"/>
        </w:rPr>
        <w:t>发包人支持本工程创优和评奖，但不额外支付合同价以外费用</w:t>
      </w:r>
      <w:r>
        <w:rPr>
          <w:rFonts w:ascii="宋体" w:hAnsi="宋体"/>
          <w:sz w:val="21"/>
          <w:szCs w:val="21"/>
        </w:rPr>
        <w:t>。</w:t>
      </w:r>
    </w:p>
    <w:p w14:paraId="7764B8FD">
      <w:pPr>
        <w:spacing w:line="360" w:lineRule="auto"/>
        <w:ind w:firstLine="420" w:firstLineChars="200"/>
        <w:jc w:val="left"/>
        <w:rPr>
          <w:rFonts w:ascii="宋体" w:hAnsi="宋体"/>
          <w:sz w:val="21"/>
          <w:szCs w:val="21"/>
        </w:rPr>
      </w:pPr>
      <w:r>
        <w:rPr>
          <w:rFonts w:ascii="宋体" w:hAnsi="宋体"/>
          <w:sz w:val="21"/>
          <w:szCs w:val="21"/>
        </w:rPr>
        <w:t>5.3 隐蔽工程检查</w:t>
      </w:r>
    </w:p>
    <w:p w14:paraId="28EE0067">
      <w:pPr>
        <w:spacing w:line="360" w:lineRule="auto"/>
        <w:ind w:firstLine="420" w:firstLineChars="200"/>
        <w:jc w:val="left"/>
        <w:rPr>
          <w:rFonts w:ascii="宋体" w:hAnsi="宋体"/>
          <w:sz w:val="21"/>
          <w:szCs w:val="21"/>
        </w:rPr>
      </w:pPr>
      <w:r>
        <w:rPr>
          <w:rFonts w:ascii="宋体" w:hAnsi="宋体"/>
          <w:sz w:val="21"/>
          <w:szCs w:val="21"/>
        </w:rPr>
        <w:t>5.3.2承包人提前通知监理人隐蔽工程检查的期限的约定：</w:t>
      </w:r>
      <w:r>
        <w:rPr>
          <w:rFonts w:ascii="宋体" w:hAnsi="宋体"/>
          <w:b/>
          <w:sz w:val="21"/>
          <w:szCs w:val="21"/>
          <w:u w:val="single"/>
        </w:rPr>
        <w:t>工程隐蔽部位经承包人自检确认具备覆盖条件的，承包人应在</w:t>
      </w:r>
      <w:r>
        <w:rPr>
          <w:rFonts w:hint="eastAsia" w:ascii="宋体" w:hAnsi="宋体"/>
          <w:b/>
          <w:sz w:val="21"/>
          <w:szCs w:val="21"/>
          <w:u w:val="single"/>
        </w:rPr>
        <w:t>共同</w:t>
      </w:r>
      <w:r>
        <w:rPr>
          <w:rFonts w:ascii="宋体" w:hAnsi="宋体"/>
          <w:b/>
          <w:sz w:val="21"/>
          <w:szCs w:val="21"/>
          <w:u w:val="single"/>
        </w:rPr>
        <w:t>检查前48小时书面通知监理人检查，通知中应载明隐蔽检查的内容、时间和地点，并应附有自检记录和必要的检查资料。</w:t>
      </w:r>
      <w:r>
        <w:rPr>
          <w:rFonts w:hint="eastAsia" w:ascii="宋体" w:hAnsi="宋体"/>
          <w:b/>
          <w:sz w:val="21"/>
          <w:szCs w:val="21"/>
          <w:u w:val="single"/>
        </w:rPr>
        <w:t>具体每项分部工程按《金华市婺城区建筑工程质量监督计划交底书》所载明的时间执行。</w:t>
      </w:r>
      <w:r>
        <w:rPr>
          <w:rFonts w:ascii="宋体" w:hAnsi="宋体"/>
          <w:b/>
          <w:sz w:val="21"/>
          <w:szCs w:val="21"/>
          <w:u w:val="single"/>
        </w:rPr>
        <w:t xml:space="preserve">  </w:t>
      </w:r>
    </w:p>
    <w:p w14:paraId="37E82727">
      <w:pPr>
        <w:spacing w:line="360" w:lineRule="auto"/>
        <w:ind w:firstLine="420" w:firstLineChars="200"/>
        <w:jc w:val="left"/>
        <w:rPr>
          <w:rFonts w:ascii="宋体" w:hAnsi="宋体"/>
          <w:sz w:val="21"/>
          <w:szCs w:val="21"/>
        </w:rPr>
      </w:pPr>
      <w:r>
        <w:rPr>
          <w:rFonts w:ascii="宋体" w:hAnsi="宋体"/>
          <w:sz w:val="21"/>
          <w:szCs w:val="21"/>
        </w:rPr>
        <w:t>监理人不能按时进行检查时，应提前</w:t>
      </w:r>
      <w:r>
        <w:rPr>
          <w:rFonts w:ascii="宋体" w:hAnsi="宋体"/>
          <w:sz w:val="21"/>
          <w:szCs w:val="21"/>
          <w:u w:val="single"/>
        </w:rPr>
        <w:t xml:space="preserve"> </w:t>
      </w:r>
      <w:r>
        <w:rPr>
          <w:rFonts w:hint="eastAsia" w:ascii="宋体" w:hAnsi="宋体"/>
          <w:b/>
          <w:sz w:val="21"/>
          <w:szCs w:val="21"/>
          <w:u w:val="single"/>
        </w:rPr>
        <w:t>24</w:t>
      </w:r>
      <w:r>
        <w:rPr>
          <w:rFonts w:ascii="宋体" w:hAnsi="宋体"/>
          <w:sz w:val="21"/>
          <w:szCs w:val="21"/>
          <w:u w:val="single"/>
        </w:rPr>
        <w:t xml:space="preserve"> </w:t>
      </w:r>
      <w:r>
        <w:rPr>
          <w:rFonts w:ascii="宋体" w:hAnsi="宋体"/>
          <w:sz w:val="21"/>
          <w:szCs w:val="21"/>
        </w:rPr>
        <w:t>小时提交书面延期要求。</w:t>
      </w:r>
    </w:p>
    <w:p w14:paraId="73546B69">
      <w:pPr>
        <w:spacing w:line="360" w:lineRule="auto"/>
        <w:ind w:firstLine="420" w:firstLineChars="200"/>
        <w:jc w:val="left"/>
        <w:rPr>
          <w:rFonts w:hint="eastAsia" w:ascii="宋体" w:hAnsi="宋体"/>
          <w:sz w:val="21"/>
          <w:szCs w:val="21"/>
        </w:rPr>
      </w:pPr>
      <w:r>
        <w:rPr>
          <w:rFonts w:ascii="宋体" w:hAnsi="宋体"/>
          <w:sz w:val="21"/>
          <w:szCs w:val="21"/>
        </w:rPr>
        <w:t>关于延期最长不得超过：</w:t>
      </w:r>
      <w:r>
        <w:rPr>
          <w:rFonts w:ascii="宋体" w:hAnsi="宋体"/>
          <w:b/>
          <w:sz w:val="21"/>
          <w:szCs w:val="21"/>
          <w:u w:val="single"/>
        </w:rPr>
        <w:t xml:space="preserve">  </w:t>
      </w:r>
      <w:r>
        <w:rPr>
          <w:rFonts w:hint="eastAsia" w:ascii="宋体" w:hAnsi="宋体"/>
          <w:b/>
          <w:sz w:val="21"/>
          <w:szCs w:val="21"/>
          <w:u w:val="single"/>
        </w:rPr>
        <w:t>48</w:t>
      </w:r>
      <w:r>
        <w:rPr>
          <w:rFonts w:ascii="宋体" w:hAnsi="宋体"/>
          <w:b/>
          <w:sz w:val="21"/>
          <w:szCs w:val="21"/>
          <w:u w:val="single"/>
        </w:rPr>
        <w:t xml:space="preserve"> </w:t>
      </w:r>
      <w:r>
        <w:rPr>
          <w:rFonts w:ascii="宋体" w:hAnsi="宋体"/>
          <w:sz w:val="21"/>
          <w:szCs w:val="21"/>
          <w:u w:val="single"/>
        </w:rPr>
        <w:t xml:space="preserve"> </w:t>
      </w:r>
      <w:r>
        <w:rPr>
          <w:rFonts w:ascii="宋体" w:hAnsi="宋体"/>
          <w:sz w:val="21"/>
          <w:szCs w:val="21"/>
        </w:rPr>
        <w:t>小时。</w:t>
      </w:r>
    </w:p>
    <w:p w14:paraId="052945D1">
      <w:pPr>
        <w:spacing w:line="360" w:lineRule="auto"/>
        <w:ind w:firstLine="420" w:firstLineChars="200"/>
        <w:jc w:val="left"/>
        <w:rPr>
          <w:rFonts w:ascii="宋体" w:hAnsi="宋体"/>
          <w:sz w:val="21"/>
          <w:szCs w:val="21"/>
        </w:rPr>
      </w:pPr>
      <w:r>
        <w:rPr>
          <w:rFonts w:ascii="宋体" w:hAnsi="宋体"/>
          <w:sz w:val="21"/>
          <w:szCs w:val="21"/>
        </w:rPr>
        <w:t>5.3.</w:t>
      </w:r>
      <w:r>
        <w:rPr>
          <w:rFonts w:hint="eastAsia" w:ascii="宋体" w:hAnsi="宋体"/>
          <w:sz w:val="21"/>
          <w:szCs w:val="21"/>
        </w:rPr>
        <w:t>3在工程的检查验收过程中，如发包人或监理方发现承包人有较多的质量问题，</w:t>
      </w:r>
      <w:r>
        <w:rPr>
          <w:rFonts w:hint="eastAsia" w:ascii="宋体" w:hAnsi="宋体"/>
          <w:b/>
          <w:sz w:val="21"/>
          <w:szCs w:val="21"/>
          <w:u w:val="single"/>
        </w:rPr>
        <w:t>扣罚500-10000元/次违约金</w:t>
      </w:r>
      <w:r>
        <w:rPr>
          <w:rFonts w:hint="eastAsia" w:ascii="宋体" w:hAnsi="宋体"/>
          <w:sz w:val="21"/>
          <w:szCs w:val="21"/>
        </w:rPr>
        <w:t>；严重的施工质量问题，</w:t>
      </w:r>
      <w:r>
        <w:rPr>
          <w:rFonts w:hint="eastAsia" w:ascii="宋体" w:hAnsi="宋体"/>
          <w:b/>
          <w:sz w:val="21"/>
          <w:szCs w:val="21"/>
          <w:u w:val="single"/>
        </w:rPr>
        <w:t>扣罚20000元/次违约金</w:t>
      </w:r>
      <w:r>
        <w:rPr>
          <w:rFonts w:hint="eastAsia" w:ascii="宋体" w:hAnsi="宋体"/>
          <w:sz w:val="21"/>
          <w:szCs w:val="21"/>
        </w:rPr>
        <w:t>。</w:t>
      </w:r>
    </w:p>
    <w:p w14:paraId="6FF0FD35">
      <w:pPr>
        <w:spacing w:line="360" w:lineRule="auto"/>
        <w:ind w:firstLine="420" w:firstLineChars="200"/>
        <w:jc w:val="left"/>
        <w:rPr>
          <w:rFonts w:ascii="宋体" w:hAnsi="宋体"/>
          <w:bCs/>
          <w:sz w:val="21"/>
          <w:szCs w:val="21"/>
        </w:rPr>
      </w:pPr>
      <w:bookmarkStart w:id="209" w:name="_Toc351203638"/>
      <w:r>
        <w:rPr>
          <w:rFonts w:ascii="宋体" w:hAnsi="宋体"/>
          <w:bCs/>
          <w:sz w:val="21"/>
          <w:szCs w:val="21"/>
        </w:rPr>
        <w:t>6. 安全文明施工与环境保护</w:t>
      </w:r>
      <w:bookmarkEnd w:id="209"/>
    </w:p>
    <w:p w14:paraId="3879C9CF">
      <w:pPr>
        <w:spacing w:line="360" w:lineRule="auto"/>
        <w:ind w:firstLine="420" w:firstLineChars="200"/>
        <w:jc w:val="left"/>
        <w:rPr>
          <w:rFonts w:ascii="宋体" w:hAnsi="宋体"/>
          <w:sz w:val="21"/>
          <w:szCs w:val="21"/>
        </w:rPr>
      </w:pPr>
      <w:r>
        <w:rPr>
          <w:rFonts w:ascii="宋体" w:hAnsi="宋体"/>
          <w:sz w:val="21"/>
          <w:szCs w:val="21"/>
        </w:rPr>
        <w:t>6.1安全文明施工</w:t>
      </w:r>
    </w:p>
    <w:p w14:paraId="4DC3BA0E">
      <w:pPr>
        <w:spacing w:line="360" w:lineRule="auto"/>
        <w:ind w:firstLine="420" w:firstLineChars="200"/>
        <w:jc w:val="left"/>
        <w:rPr>
          <w:rFonts w:ascii="宋体" w:hAnsi="宋体"/>
          <w:sz w:val="21"/>
          <w:szCs w:val="21"/>
          <w:u w:val="single"/>
        </w:rPr>
      </w:pPr>
      <w:r>
        <w:rPr>
          <w:rFonts w:ascii="宋体" w:hAnsi="宋体"/>
          <w:sz w:val="21"/>
          <w:szCs w:val="21"/>
        </w:rPr>
        <w:t>6.1.1 项目安全生产的达标目标及相应事项的约定：</w:t>
      </w:r>
      <w:r>
        <w:rPr>
          <w:rFonts w:ascii="宋体" w:hAnsi="宋体"/>
          <w:sz w:val="21"/>
          <w:szCs w:val="21"/>
          <w:u w:val="single"/>
        </w:rPr>
        <w:t xml:space="preserve"> </w:t>
      </w:r>
      <w:r>
        <w:rPr>
          <w:rFonts w:ascii="宋体" w:hAnsi="宋体"/>
          <w:b/>
          <w:sz w:val="21"/>
          <w:szCs w:val="21"/>
          <w:u w:val="single"/>
        </w:rPr>
        <w:t>按</w:t>
      </w:r>
      <w:r>
        <w:rPr>
          <w:rFonts w:hint="eastAsia" w:ascii="宋体" w:hAnsi="宋体"/>
          <w:b/>
          <w:sz w:val="21"/>
          <w:szCs w:val="21"/>
          <w:u w:val="single"/>
        </w:rPr>
        <w:t>工程所在地安全文明施工的相关文件规定</w:t>
      </w:r>
      <w:r>
        <w:rPr>
          <w:rFonts w:ascii="宋体" w:hAnsi="宋体"/>
          <w:b/>
          <w:sz w:val="21"/>
          <w:szCs w:val="21"/>
          <w:u w:val="single"/>
        </w:rPr>
        <w:t>执行。</w:t>
      </w:r>
      <w:r>
        <w:rPr>
          <w:rFonts w:ascii="宋体" w:hAnsi="宋体"/>
          <w:sz w:val="21"/>
          <w:szCs w:val="21"/>
          <w:u w:val="single"/>
        </w:rPr>
        <w:t xml:space="preserve">  </w:t>
      </w:r>
    </w:p>
    <w:p w14:paraId="382F73DA">
      <w:pPr>
        <w:spacing w:line="360" w:lineRule="auto"/>
        <w:ind w:firstLine="420" w:firstLineChars="200"/>
        <w:jc w:val="left"/>
        <w:rPr>
          <w:rFonts w:ascii="宋体" w:hAnsi="宋体"/>
          <w:sz w:val="21"/>
          <w:szCs w:val="21"/>
        </w:rPr>
      </w:pPr>
      <w:r>
        <w:rPr>
          <w:rFonts w:hint="eastAsia" w:ascii="宋体" w:hAnsi="宋体"/>
          <w:sz w:val="21"/>
          <w:szCs w:val="21"/>
        </w:rPr>
        <w:t>6.1.5 文明施工：</w:t>
      </w:r>
      <w:r>
        <w:rPr>
          <w:rFonts w:ascii="宋体" w:hAnsi="宋体"/>
          <w:sz w:val="21"/>
          <w:szCs w:val="21"/>
          <w:u w:val="single"/>
        </w:rPr>
        <w:t xml:space="preserve"> </w:t>
      </w:r>
      <w:r>
        <w:rPr>
          <w:rFonts w:ascii="宋体" w:hAnsi="宋体"/>
          <w:b/>
          <w:sz w:val="21"/>
          <w:szCs w:val="21"/>
          <w:u w:val="single"/>
        </w:rPr>
        <w:t>按</w:t>
      </w:r>
      <w:r>
        <w:rPr>
          <w:rFonts w:hint="eastAsia" w:ascii="宋体" w:hAnsi="宋体"/>
          <w:b/>
          <w:sz w:val="21"/>
          <w:szCs w:val="21"/>
          <w:u w:val="single"/>
        </w:rPr>
        <w:t>工程所在地安全文明施工的相关文件及文件JGJ146-2004的规定</w:t>
      </w:r>
      <w:r>
        <w:rPr>
          <w:rFonts w:ascii="宋体" w:hAnsi="宋体"/>
          <w:b/>
          <w:sz w:val="21"/>
          <w:szCs w:val="21"/>
          <w:u w:val="single"/>
        </w:rPr>
        <w:t>执行。</w:t>
      </w:r>
      <w:r>
        <w:rPr>
          <w:rFonts w:hint="eastAsia" w:ascii="宋体" w:hAnsi="宋体"/>
          <w:sz w:val="21"/>
          <w:szCs w:val="21"/>
          <w:u w:val="single"/>
        </w:rPr>
        <w:t xml:space="preserve"> </w:t>
      </w:r>
    </w:p>
    <w:p w14:paraId="72631D3A">
      <w:pPr>
        <w:spacing w:line="360" w:lineRule="auto"/>
        <w:ind w:firstLine="420" w:firstLineChars="200"/>
        <w:jc w:val="left"/>
        <w:rPr>
          <w:rFonts w:hint="eastAsia" w:ascii="宋体" w:hAnsi="宋体"/>
          <w:b/>
          <w:sz w:val="21"/>
          <w:szCs w:val="21"/>
          <w:u w:val="single"/>
        </w:rPr>
      </w:pPr>
      <w:r>
        <w:rPr>
          <w:rFonts w:ascii="宋体" w:hAnsi="宋体"/>
          <w:sz w:val="21"/>
          <w:szCs w:val="21"/>
        </w:rPr>
        <w:t>6.1.6 关于安全文明施工基本费支付比例和支付期限的约定：</w:t>
      </w:r>
      <w:r>
        <w:rPr>
          <w:rFonts w:ascii="宋体" w:hAnsi="宋体"/>
          <w:sz w:val="21"/>
          <w:szCs w:val="21"/>
          <w:u w:val="single"/>
        </w:rPr>
        <w:t xml:space="preserve"> </w:t>
      </w:r>
      <w:r>
        <w:rPr>
          <w:rFonts w:hint="eastAsia" w:ascii="宋体" w:hAnsi="宋体"/>
          <w:b/>
          <w:sz w:val="21"/>
          <w:szCs w:val="21"/>
          <w:u w:val="single"/>
        </w:rPr>
        <w:t xml:space="preserve">该项费用已包含在合同价款内，同工程款支付口径和期限支付  </w:t>
      </w:r>
    </w:p>
    <w:p w14:paraId="27467901">
      <w:pPr>
        <w:spacing w:line="360" w:lineRule="auto"/>
        <w:ind w:firstLine="420" w:firstLineChars="200"/>
        <w:jc w:val="left"/>
        <w:rPr>
          <w:rFonts w:ascii="宋体" w:hAnsi="宋体"/>
          <w:sz w:val="21"/>
          <w:szCs w:val="21"/>
        </w:rPr>
      </w:pPr>
      <w:r>
        <w:rPr>
          <w:rFonts w:ascii="宋体" w:hAnsi="宋体"/>
          <w:sz w:val="21"/>
          <w:szCs w:val="21"/>
        </w:rPr>
        <w:t>6.1.</w:t>
      </w:r>
      <w:r>
        <w:rPr>
          <w:rFonts w:hint="eastAsia" w:ascii="宋体" w:hAnsi="宋体"/>
          <w:sz w:val="21"/>
          <w:szCs w:val="21"/>
        </w:rPr>
        <w:t>7发包人或监理方在工程的检查验收过程中，如发现承包人有违反安全文明相关规定要求的，</w:t>
      </w:r>
      <w:r>
        <w:rPr>
          <w:rFonts w:hint="eastAsia" w:ascii="宋体" w:hAnsi="宋体"/>
          <w:b/>
          <w:sz w:val="21"/>
          <w:szCs w:val="21"/>
          <w:u w:val="single"/>
        </w:rPr>
        <w:t>扣罚500-10000元/次违约金</w:t>
      </w:r>
      <w:r>
        <w:rPr>
          <w:rFonts w:hint="eastAsia" w:ascii="宋体" w:hAnsi="宋体"/>
          <w:sz w:val="21"/>
          <w:szCs w:val="21"/>
        </w:rPr>
        <w:t>。</w:t>
      </w:r>
    </w:p>
    <w:bookmarkEnd w:id="202"/>
    <w:bookmarkEnd w:id="203"/>
    <w:bookmarkEnd w:id="204"/>
    <w:bookmarkEnd w:id="205"/>
    <w:bookmarkEnd w:id="206"/>
    <w:bookmarkEnd w:id="207"/>
    <w:bookmarkEnd w:id="208"/>
    <w:p w14:paraId="2E96872E">
      <w:pPr>
        <w:spacing w:line="360" w:lineRule="auto"/>
        <w:ind w:firstLine="420" w:firstLineChars="200"/>
        <w:jc w:val="left"/>
        <w:rPr>
          <w:rFonts w:ascii="宋体" w:hAnsi="宋体"/>
          <w:bCs/>
          <w:sz w:val="21"/>
          <w:szCs w:val="21"/>
        </w:rPr>
      </w:pPr>
      <w:bookmarkStart w:id="210" w:name="_Toc351203639"/>
      <w:r>
        <w:rPr>
          <w:rFonts w:ascii="宋体" w:hAnsi="宋体"/>
          <w:bCs/>
          <w:sz w:val="21"/>
          <w:szCs w:val="21"/>
        </w:rPr>
        <w:t>7. 工期和进度</w:t>
      </w:r>
      <w:bookmarkEnd w:id="210"/>
    </w:p>
    <w:p w14:paraId="05BF874C">
      <w:pPr>
        <w:spacing w:line="360" w:lineRule="auto"/>
        <w:ind w:firstLine="420" w:firstLineChars="200"/>
        <w:jc w:val="left"/>
        <w:rPr>
          <w:rFonts w:ascii="宋体" w:hAnsi="宋体"/>
          <w:sz w:val="21"/>
          <w:szCs w:val="21"/>
        </w:rPr>
      </w:pPr>
      <w:r>
        <w:rPr>
          <w:rFonts w:ascii="宋体" w:hAnsi="宋体"/>
          <w:sz w:val="21"/>
          <w:szCs w:val="21"/>
        </w:rPr>
        <w:t>7.1 施工组织设计</w:t>
      </w:r>
    </w:p>
    <w:p w14:paraId="1A13B03E">
      <w:pPr>
        <w:spacing w:line="360" w:lineRule="auto"/>
        <w:ind w:firstLine="420" w:firstLineChars="200"/>
        <w:jc w:val="left"/>
        <w:rPr>
          <w:rFonts w:ascii="宋体" w:hAnsi="宋体"/>
          <w:sz w:val="21"/>
          <w:szCs w:val="21"/>
          <w:u w:val="single"/>
        </w:rPr>
      </w:pPr>
      <w:r>
        <w:rPr>
          <w:rFonts w:ascii="宋体" w:hAnsi="宋体"/>
          <w:sz w:val="21"/>
          <w:szCs w:val="21"/>
        </w:rPr>
        <w:t>7.1.</w:t>
      </w:r>
      <w:r>
        <w:rPr>
          <w:rFonts w:hint="eastAsia" w:ascii="宋体" w:hAnsi="宋体"/>
          <w:sz w:val="21"/>
          <w:szCs w:val="21"/>
        </w:rPr>
        <w:t>1双方约定的</w:t>
      </w:r>
      <w:r>
        <w:rPr>
          <w:rFonts w:ascii="宋体" w:hAnsi="宋体"/>
          <w:sz w:val="21"/>
          <w:szCs w:val="21"/>
        </w:rPr>
        <w:t>施工组织设计</w:t>
      </w:r>
      <w:r>
        <w:rPr>
          <w:rFonts w:hint="eastAsia" w:ascii="宋体" w:hAnsi="宋体"/>
          <w:sz w:val="21"/>
          <w:szCs w:val="21"/>
        </w:rPr>
        <w:t>应包括的其他内容</w:t>
      </w:r>
      <w:r>
        <w:rPr>
          <w:rFonts w:ascii="宋体" w:hAnsi="宋体"/>
          <w:sz w:val="21"/>
          <w:szCs w:val="21"/>
        </w:rPr>
        <w:t>：</w:t>
      </w:r>
      <w:r>
        <w:rPr>
          <w:rFonts w:ascii="宋体" w:hAnsi="宋体"/>
          <w:sz w:val="21"/>
          <w:szCs w:val="21"/>
          <w:u w:val="single"/>
        </w:rPr>
        <w:t xml:space="preserve">  </w:t>
      </w:r>
      <w:r>
        <w:rPr>
          <w:rFonts w:ascii="宋体" w:hAnsi="宋体"/>
          <w:b/>
          <w:sz w:val="21"/>
          <w:szCs w:val="21"/>
          <w:u w:val="single"/>
        </w:rPr>
        <w:t>工期、质量、安全文明保证措施方案</w:t>
      </w:r>
      <w:r>
        <w:rPr>
          <w:rFonts w:hint="eastAsia" w:ascii="宋体" w:hAnsi="宋体"/>
          <w:b/>
          <w:sz w:val="21"/>
          <w:szCs w:val="21"/>
          <w:u w:val="single"/>
        </w:rPr>
        <w:t>、难重点工序施工方案等</w:t>
      </w:r>
      <w:r>
        <w:rPr>
          <w:rFonts w:ascii="宋体" w:hAnsi="宋体"/>
          <w:sz w:val="21"/>
          <w:szCs w:val="21"/>
        </w:rPr>
        <w:t>。</w:t>
      </w:r>
    </w:p>
    <w:p w14:paraId="29F8BFAB">
      <w:pPr>
        <w:spacing w:line="360" w:lineRule="auto"/>
        <w:ind w:firstLine="420" w:firstLineChars="200"/>
        <w:jc w:val="left"/>
        <w:rPr>
          <w:rFonts w:ascii="宋体" w:hAnsi="宋体"/>
          <w:sz w:val="21"/>
          <w:szCs w:val="21"/>
        </w:rPr>
      </w:pPr>
      <w:r>
        <w:rPr>
          <w:rFonts w:ascii="宋体" w:hAnsi="宋体"/>
          <w:sz w:val="21"/>
          <w:szCs w:val="21"/>
        </w:rPr>
        <w:t>7.1.2 施工组织设计的提交和修改</w:t>
      </w:r>
    </w:p>
    <w:p w14:paraId="6370EAD3">
      <w:pPr>
        <w:spacing w:line="360" w:lineRule="auto"/>
        <w:ind w:firstLine="420" w:firstLineChars="200"/>
        <w:jc w:val="left"/>
        <w:rPr>
          <w:rFonts w:ascii="宋体" w:hAnsi="宋体"/>
          <w:sz w:val="21"/>
          <w:szCs w:val="21"/>
          <w:u w:val="single"/>
        </w:rPr>
      </w:pPr>
      <w:r>
        <w:rPr>
          <w:rFonts w:ascii="宋体" w:hAnsi="宋体"/>
          <w:sz w:val="21"/>
          <w:szCs w:val="21"/>
        </w:rPr>
        <w:t>承包人提交详细施工组织设计的期限的约定：</w:t>
      </w:r>
      <w:r>
        <w:rPr>
          <w:rFonts w:ascii="宋体" w:hAnsi="宋体"/>
          <w:b/>
          <w:sz w:val="21"/>
          <w:szCs w:val="21"/>
          <w:u w:val="single"/>
        </w:rPr>
        <w:t>合同签定后7天内</w:t>
      </w:r>
      <w:r>
        <w:rPr>
          <w:rFonts w:hint="eastAsia" w:ascii="宋体" w:hAnsi="宋体"/>
          <w:b/>
          <w:sz w:val="21"/>
          <w:szCs w:val="21"/>
          <w:u w:val="single"/>
        </w:rPr>
        <w:t>。</w:t>
      </w:r>
    </w:p>
    <w:p w14:paraId="43258C3C">
      <w:pPr>
        <w:spacing w:line="360" w:lineRule="auto"/>
        <w:ind w:firstLine="420" w:firstLineChars="200"/>
        <w:jc w:val="left"/>
        <w:rPr>
          <w:rFonts w:ascii="宋体" w:hAnsi="宋体"/>
          <w:sz w:val="21"/>
          <w:szCs w:val="21"/>
        </w:rPr>
      </w:pPr>
      <w:r>
        <w:rPr>
          <w:rFonts w:ascii="宋体" w:hAnsi="宋体"/>
          <w:sz w:val="21"/>
          <w:szCs w:val="21"/>
        </w:rPr>
        <w:t>发包人和监理人在收到</w:t>
      </w:r>
      <w:r>
        <w:rPr>
          <w:rFonts w:hint="eastAsia" w:ascii="宋体" w:hAnsi="宋体"/>
          <w:sz w:val="21"/>
          <w:szCs w:val="21"/>
        </w:rPr>
        <w:t>详细的施工组织设计</w:t>
      </w:r>
      <w:r>
        <w:rPr>
          <w:rFonts w:ascii="宋体" w:hAnsi="宋体"/>
          <w:sz w:val="21"/>
          <w:szCs w:val="21"/>
        </w:rPr>
        <w:t>后确认或提出修改意见的期限：</w:t>
      </w:r>
      <w:r>
        <w:rPr>
          <w:rFonts w:ascii="宋体" w:hAnsi="宋体"/>
          <w:b/>
          <w:sz w:val="21"/>
          <w:szCs w:val="21"/>
          <w:u w:val="single"/>
        </w:rPr>
        <w:t xml:space="preserve"> 收到</w:t>
      </w:r>
      <w:r>
        <w:rPr>
          <w:rFonts w:hint="eastAsia" w:ascii="宋体" w:hAnsi="宋体"/>
          <w:b/>
          <w:sz w:val="21"/>
          <w:szCs w:val="21"/>
          <w:u w:val="single"/>
        </w:rPr>
        <w:t>详细的施工组织设计</w:t>
      </w:r>
      <w:r>
        <w:rPr>
          <w:rFonts w:ascii="宋体" w:hAnsi="宋体"/>
          <w:b/>
          <w:sz w:val="21"/>
          <w:szCs w:val="21"/>
          <w:u w:val="single"/>
        </w:rPr>
        <w:t>后</w:t>
      </w:r>
      <w:r>
        <w:rPr>
          <w:rFonts w:hint="eastAsia" w:ascii="宋体" w:hAnsi="宋体"/>
          <w:b/>
          <w:sz w:val="21"/>
          <w:szCs w:val="21"/>
          <w:u w:val="single"/>
        </w:rPr>
        <w:t>7天内。</w:t>
      </w:r>
    </w:p>
    <w:p w14:paraId="1EEAE089">
      <w:pPr>
        <w:spacing w:line="360" w:lineRule="auto"/>
        <w:ind w:firstLine="420" w:firstLineChars="200"/>
        <w:jc w:val="left"/>
        <w:rPr>
          <w:rFonts w:ascii="宋体" w:hAnsi="宋体"/>
          <w:sz w:val="21"/>
          <w:szCs w:val="21"/>
        </w:rPr>
      </w:pPr>
      <w:r>
        <w:rPr>
          <w:rFonts w:ascii="宋体" w:hAnsi="宋体"/>
          <w:sz w:val="21"/>
          <w:szCs w:val="21"/>
        </w:rPr>
        <w:t>7</w:t>
      </w:r>
      <w:bookmarkStart w:id="211" w:name="_Toc312678005"/>
      <w:bookmarkStart w:id="212" w:name="_Toc304295541"/>
      <w:bookmarkStart w:id="213" w:name="_Toc300934966"/>
      <w:bookmarkStart w:id="214" w:name="_Toc297123514"/>
      <w:bookmarkStart w:id="215" w:name="_Toc303539123"/>
      <w:bookmarkStart w:id="216" w:name="_Toc312677479"/>
      <w:bookmarkStart w:id="217" w:name="_Toc297216173"/>
      <w:r>
        <w:rPr>
          <w:rFonts w:ascii="宋体" w:hAnsi="宋体"/>
          <w:sz w:val="21"/>
          <w:szCs w:val="21"/>
        </w:rPr>
        <w:t>.2 施工进度计划</w:t>
      </w:r>
    </w:p>
    <w:p w14:paraId="459A8DC2">
      <w:pPr>
        <w:spacing w:line="360" w:lineRule="auto"/>
        <w:ind w:firstLine="420" w:firstLineChars="200"/>
        <w:jc w:val="left"/>
        <w:rPr>
          <w:rFonts w:ascii="宋体" w:hAnsi="宋体"/>
          <w:sz w:val="21"/>
          <w:szCs w:val="21"/>
        </w:rPr>
      </w:pPr>
      <w:r>
        <w:rPr>
          <w:rFonts w:ascii="宋体" w:hAnsi="宋体"/>
          <w:sz w:val="21"/>
          <w:szCs w:val="21"/>
        </w:rPr>
        <w:t>7.2.2 施工进度计划的修订</w:t>
      </w:r>
    </w:p>
    <w:p w14:paraId="09C9F942">
      <w:pPr>
        <w:spacing w:line="360" w:lineRule="auto"/>
        <w:ind w:firstLine="420" w:firstLineChars="200"/>
        <w:jc w:val="left"/>
        <w:rPr>
          <w:rFonts w:hint="eastAsia" w:ascii="宋体" w:hAnsi="宋体"/>
          <w:sz w:val="21"/>
          <w:szCs w:val="21"/>
          <w:u w:val="single"/>
        </w:rPr>
      </w:pPr>
      <w:r>
        <w:rPr>
          <w:rFonts w:ascii="宋体" w:hAnsi="宋体"/>
          <w:sz w:val="21"/>
          <w:szCs w:val="21"/>
        </w:rPr>
        <w:t>发包人和监理人在收到修订的施工进度计划后确认或提出修改意见的期限：</w:t>
      </w:r>
      <w:r>
        <w:rPr>
          <w:rFonts w:ascii="宋体" w:hAnsi="宋体"/>
          <w:sz w:val="21"/>
          <w:szCs w:val="21"/>
          <w:u w:val="single"/>
        </w:rPr>
        <w:t xml:space="preserve"> </w:t>
      </w:r>
      <w:r>
        <w:rPr>
          <w:rFonts w:ascii="宋体" w:hAnsi="宋体"/>
          <w:b/>
          <w:sz w:val="21"/>
          <w:szCs w:val="21"/>
          <w:u w:val="single"/>
        </w:rPr>
        <w:t>收到</w:t>
      </w:r>
      <w:r>
        <w:rPr>
          <w:rFonts w:hint="eastAsia" w:ascii="宋体" w:hAnsi="宋体"/>
          <w:b/>
          <w:sz w:val="21"/>
          <w:szCs w:val="21"/>
          <w:u w:val="single"/>
        </w:rPr>
        <w:t>详细的施工组织设计</w:t>
      </w:r>
      <w:r>
        <w:rPr>
          <w:rFonts w:ascii="宋体" w:hAnsi="宋体"/>
          <w:b/>
          <w:sz w:val="21"/>
          <w:szCs w:val="21"/>
          <w:u w:val="single"/>
        </w:rPr>
        <w:t>后</w:t>
      </w:r>
      <w:r>
        <w:rPr>
          <w:rFonts w:hint="eastAsia" w:ascii="宋体" w:hAnsi="宋体"/>
          <w:b/>
          <w:sz w:val="21"/>
          <w:szCs w:val="21"/>
          <w:u w:val="single"/>
        </w:rPr>
        <w:t>7天内。</w:t>
      </w:r>
    </w:p>
    <w:p w14:paraId="18C98C78">
      <w:pPr>
        <w:spacing w:line="360" w:lineRule="auto"/>
        <w:ind w:firstLine="420" w:firstLineChars="200"/>
        <w:jc w:val="left"/>
        <w:rPr>
          <w:rFonts w:ascii="宋体" w:hAnsi="宋体"/>
          <w:sz w:val="21"/>
          <w:szCs w:val="21"/>
        </w:rPr>
      </w:pPr>
      <w:r>
        <w:rPr>
          <w:rFonts w:hint="eastAsia" w:ascii="宋体" w:hAnsi="宋体"/>
          <w:sz w:val="21"/>
          <w:szCs w:val="21"/>
        </w:rPr>
        <w:t>7.2.3</w:t>
      </w:r>
      <w:r>
        <w:rPr>
          <w:rFonts w:ascii="宋体" w:hAnsi="宋体"/>
          <w:sz w:val="21"/>
          <w:szCs w:val="21"/>
        </w:rPr>
        <w:t>发包人和监理人</w:t>
      </w:r>
      <w:r>
        <w:rPr>
          <w:rFonts w:hint="eastAsia" w:ascii="宋体" w:hAnsi="宋体"/>
          <w:sz w:val="21"/>
          <w:szCs w:val="21"/>
        </w:rPr>
        <w:t>在工程的检查验收过程中，如发现承包人工期明显滞后于施工进度计划的，</w:t>
      </w:r>
      <w:r>
        <w:rPr>
          <w:rFonts w:hint="eastAsia" w:ascii="宋体" w:hAnsi="宋体"/>
          <w:b/>
          <w:sz w:val="21"/>
          <w:szCs w:val="21"/>
          <w:u w:val="single"/>
        </w:rPr>
        <w:t>扣罚500-10000元/次违约金</w:t>
      </w:r>
      <w:r>
        <w:rPr>
          <w:rFonts w:hint="eastAsia" w:ascii="宋体" w:hAnsi="宋体"/>
          <w:sz w:val="21"/>
          <w:szCs w:val="21"/>
        </w:rPr>
        <w:t>。</w:t>
      </w:r>
    </w:p>
    <w:p w14:paraId="5D270814">
      <w:pPr>
        <w:spacing w:line="360" w:lineRule="auto"/>
        <w:ind w:firstLine="420" w:firstLineChars="200"/>
        <w:jc w:val="left"/>
        <w:rPr>
          <w:rFonts w:ascii="宋体" w:hAnsi="宋体"/>
          <w:sz w:val="21"/>
          <w:szCs w:val="21"/>
        </w:rPr>
      </w:pPr>
      <w:r>
        <w:rPr>
          <w:rFonts w:ascii="宋体" w:hAnsi="宋体"/>
          <w:sz w:val="21"/>
          <w:szCs w:val="21"/>
        </w:rPr>
        <w:t>7.3 开工</w:t>
      </w:r>
    </w:p>
    <w:p w14:paraId="4C80D7E3">
      <w:pPr>
        <w:spacing w:line="360" w:lineRule="auto"/>
        <w:ind w:firstLine="420" w:firstLineChars="200"/>
        <w:jc w:val="left"/>
        <w:rPr>
          <w:rFonts w:ascii="宋体" w:hAnsi="宋体"/>
          <w:sz w:val="21"/>
          <w:szCs w:val="21"/>
        </w:rPr>
      </w:pPr>
      <w:r>
        <w:rPr>
          <w:rFonts w:ascii="宋体" w:hAnsi="宋体"/>
          <w:sz w:val="21"/>
          <w:szCs w:val="21"/>
        </w:rPr>
        <w:t>7.3.1 开工准备</w:t>
      </w:r>
    </w:p>
    <w:p w14:paraId="7ADCD450">
      <w:pPr>
        <w:spacing w:line="360" w:lineRule="auto"/>
        <w:ind w:firstLine="420" w:firstLineChars="200"/>
        <w:jc w:val="left"/>
        <w:rPr>
          <w:rFonts w:ascii="宋体" w:hAnsi="宋体"/>
          <w:sz w:val="21"/>
          <w:szCs w:val="21"/>
          <w:u w:val="single"/>
        </w:rPr>
      </w:pPr>
      <w:r>
        <w:rPr>
          <w:rFonts w:ascii="宋体" w:hAnsi="宋体"/>
          <w:sz w:val="21"/>
          <w:szCs w:val="21"/>
        </w:rPr>
        <w:t>关于承包人提交工程开工报审表的期限：</w:t>
      </w:r>
      <w:r>
        <w:rPr>
          <w:rFonts w:hint="eastAsia" w:ascii="宋体" w:hAnsi="宋体"/>
          <w:sz w:val="21"/>
          <w:szCs w:val="21"/>
          <w:u w:val="single"/>
        </w:rPr>
        <w:t>取得施工许可证或合同签订后7日内且在开工前</w:t>
      </w:r>
      <w:r>
        <w:rPr>
          <w:rFonts w:ascii="宋体" w:hAnsi="宋体"/>
          <w:sz w:val="21"/>
          <w:szCs w:val="21"/>
        </w:rPr>
        <w:t>。</w:t>
      </w:r>
    </w:p>
    <w:p w14:paraId="51916283">
      <w:pPr>
        <w:spacing w:line="360" w:lineRule="auto"/>
        <w:ind w:firstLine="420" w:firstLineChars="200"/>
        <w:jc w:val="left"/>
        <w:rPr>
          <w:rFonts w:ascii="宋体" w:hAnsi="宋体"/>
          <w:sz w:val="21"/>
          <w:szCs w:val="21"/>
          <w:u w:val="single"/>
        </w:rPr>
      </w:pPr>
      <w:r>
        <w:rPr>
          <w:rFonts w:ascii="宋体" w:hAnsi="宋体"/>
          <w:sz w:val="21"/>
          <w:szCs w:val="21"/>
        </w:rPr>
        <w:t>关于承包人应完成的其他开工准备工作及期限：</w:t>
      </w:r>
      <w:r>
        <w:rPr>
          <w:rFonts w:ascii="宋体" w:hAnsi="宋体"/>
          <w:sz w:val="21"/>
          <w:szCs w:val="21"/>
          <w:u w:val="single"/>
        </w:rPr>
        <w:t xml:space="preserve"> </w:t>
      </w:r>
      <w:r>
        <w:rPr>
          <w:rFonts w:hint="eastAsia" w:ascii="宋体" w:hAnsi="宋体"/>
          <w:b/>
          <w:sz w:val="21"/>
          <w:szCs w:val="21"/>
          <w:u w:val="single"/>
        </w:rPr>
        <w:t>开工前七天负责落实完成红线内</w:t>
      </w:r>
      <w:r>
        <w:rPr>
          <w:rFonts w:ascii="宋体" w:hAnsi="宋体"/>
          <w:b/>
          <w:sz w:val="21"/>
          <w:szCs w:val="21"/>
          <w:u w:val="single"/>
        </w:rPr>
        <w:t>施工道路、临时设施、材料、工程设备、施工设备、施工人员</w:t>
      </w:r>
      <w:r>
        <w:rPr>
          <w:rFonts w:hint="eastAsia" w:ascii="宋体" w:hAnsi="宋体"/>
          <w:b/>
          <w:sz w:val="21"/>
          <w:szCs w:val="21"/>
          <w:u w:val="single"/>
        </w:rPr>
        <w:t>的进场安排。</w:t>
      </w:r>
    </w:p>
    <w:p w14:paraId="427CEA43">
      <w:pPr>
        <w:spacing w:line="360" w:lineRule="auto"/>
        <w:ind w:firstLine="420" w:firstLineChars="200"/>
        <w:jc w:val="left"/>
        <w:rPr>
          <w:rFonts w:ascii="宋体" w:hAnsi="宋体"/>
          <w:sz w:val="21"/>
          <w:szCs w:val="21"/>
        </w:rPr>
      </w:pPr>
      <w:r>
        <w:rPr>
          <w:rFonts w:ascii="宋体" w:hAnsi="宋体"/>
          <w:sz w:val="21"/>
          <w:szCs w:val="21"/>
        </w:rPr>
        <w:t>7.3.2开工通知</w:t>
      </w:r>
    </w:p>
    <w:p w14:paraId="2C7699FE">
      <w:pPr>
        <w:spacing w:line="360" w:lineRule="auto"/>
        <w:ind w:firstLine="420" w:firstLineChars="200"/>
        <w:jc w:val="left"/>
        <w:rPr>
          <w:rFonts w:ascii="宋体" w:hAnsi="宋体"/>
          <w:sz w:val="21"/>
          <w:szCs w:val="21"/>
        </w:rPr>
      </w:pPr>
      <w:r>
        <w:rPr>
          <w:rFonts w:ascii="宋体" w:hAnsi="宋体"/>
          <w:sz w:val="21"/>
          <w:szCs w:val="21"/>
        </w:rPr>
        <w:t>因发包人原因造成监理人未能在计划开工日期之日起</w:t>
      </w:r>
      <w:r>
        <w:rPr>
          <w:rFonts w:hint="eastAsia" w:ascii="宋体" w:hAnsi="宋体"/>
          <w:b/>
          <w:sz w:val="21"/>
          <w:szCs w:val="21"/>
          <w:u w:val="single"/>
        </w:rPr>
        <w:t>90</w:t>
      </w:r>
      <w:r>
        <w:rPr>
          <w:rFonts w:ascii="宋体" w:hAnsi="宋体"/>
          <w:sz w:val="21"/>
          <w:szCs w:val="21"/>
        </w:rPr>
        <w:t>天内发出开工通知的，承包人有权提出价格调整要求，或者解除合同。</w:t>
      </w:r>
    </w:p>
    <w:bookmarkEnd w:id="211"/>
    <w:bookmarkEnd w:id="212"/>
    <w:bookmarkEnd w:id="213"/>
    <w:bookmarkEnd w:id="214"/>
    <w:bookmarkEnd w:id="215"/>
    <w:bookmarkEnd w:id="216"/>
    <w:bookmarkEnd w:id="217"/>
    <w:p w14:paraId="0C2741A4">
      <w:pPr>
        <w:spacing w:line="360" w:lineRule="auto"/>
        <w:ind w:firstLine="420" w:firstLineChars="200"/>
        <w:jc w:val="left"/>
        <w:rPr>
          <w:rFonts w:ascii="宋体" w:hAnsi="宋体"/>
          <w:sz w:val="21"/>
          <w:szCs w:val="21"/>
        </w:rPr>
      </w:pPr>
      <w:r>
        <w:rPr>
          <w:rFonts w:ascii="宋体" w:hAnsi="宋体"/>
          <w:sz w:val="21"/>
          <w:szCs w:val="21"/>
        </w:rPr>
        <w:t>7.4 测量放线</w:t>
      </w:r>
    </w:p>
    <w:p w14:paraId="6C77F00B">
      <w:pPr>
        <w:spacing w:line="360" w:lineRule="auto"/>
        <w:ind w:firstLine="420" w:firstLineChars="200"/>
        <w:jc w:val="left"/>
        <w:rPr>
          <w:rFonts w:ascii="宋体" w:hAnsi="宋体"/>
          <w:sz w:val="21"/>
          <w:szCs w:val="21"/>
          <w:u w:val="single"/>
        </w:rPr>
      </w:pPr>
      <w:r>
        <w:rPr>
          <w:rFonts w:ascii="宋体" w:hAnsi="宋体"/>
          <w:sz w:val="21"/>
          <w:szCs w:val="21"/>
        </w:rPr>
        <w:t>7.4.1发包人向承包人提供测量基准点、基准线和水准点及其书面资料的期限：</w:t>
      </w:r>
      <w:r>
        <w:rPr>
          <w:rFonts w:ascii="宋体" w:hAnsi="宋体"/>
          <w:b/>
          <w:sz w:val="21"/>
          <w:szCs w:val="21"/>
          <w:u w:val="single"/>
        </w:rPr>
        <w:t xml:space="preserve">开工前10天，提供水准点和坐标控制点图，并进行现场交验。  </w:t>
      </w:r>
    </w:p>
    <w:p w14:paraId="4D11CFEA">
      <w:pPr>
        <w:spacing w:line="360" w:lineRule="auto"/>
        <w:ind w:firstLine="420" w:firstLineChars="200"/>
        <w:jc w:val="left"/>
        <w:rPr>
          <w:rFonts w:ascii="宋体" w:hAnsi="宋体"/>
          <w:sz w:val="21"/>
          <w:szCs w:val="21"/>
        </w:rPr>
      </w:pPr>
      <w:r>
        <w:rPr>
          <w:rFonts w:ascii="宋体" w:hAnsi="宋体"/>
          <w:sz w:val="21"/>
          <w:szCs w:val="21"/>
        </w:rPr>
        <w:t>7</w:t>
      </w:r>
      <w:bookmarkStart w:id="218" w:name="_Toc297216175"/>
      <w:bookmarkStart w:id="219" w:name="_Toc297123516"/>
      <w:bookmarkStart w:id="220" w:name="_Toc312678010"/>
      <w:bookmarkStart w:id="221" w:name="_Toc304295546"/>
      <w:bookmarkStart w:id="222" w:name="_Toc312677484"/>
      <w:bookmarkStart w:id="223" w:name="_Toc303539125"/>
      <w:bookmarkStart w:id="224" w:name="_Toc300934968"/>
      <w:r>
        <w:rPr>
          <w:rFonts w:ascii="宋体" w:hAnsi="宋体"/>
          <w:sz w:val="21"/>
          <w:szCs w:val="21"/>
        </w:rPr>
        <w:t>.5 工期延误</w:t>
      </w:r>
    </w:p>
    <w:bookmarkEnd w:id="218"/>
    <w:bookmarkEnd w:id="219"/>
    <w:bookmarkEnd w:id="220"/>
    <w:bookmarkEnd w:id="221"/>
    <w:bookmarkEnd w:id="222"/>
    <w:bookmarkEnd w:id="223"/>
    <w:bookmarkEnd w:id="224"/>
    <w:p w14:paraId="7B47C071">
      <w:pPr>
        <w:spacing w:line="360" w:lineRule="auto"/>
        <w:ind w:firstLine="420" w:firstLineChars="200"/>
        <w:jc w:val="left"/>
        <w:rPr>
          <w:rFonts w:ascii="宋体" w:hAnsi="宋体"/>
          <w:sz w:val="21"/>
          <w:szCs w:val="21"/>
        </w:rPr>
      </w:pPr>
      <w:r>
        <w:rPr>
          <w:rFonts w:ascii="宋体" w:hAnsi="宋体"/>
          <w:sz w:val="21"/>
          <w:szCs w:val="21"/>
        </w:rPr>
        <w:t>7</w:t>
      </w:r>
      <w:bookmarkStart w:id="225" w:name="_Toc318581169"/>
      <w:bookmarkStart w:id="226" w:name="_Toc312677486"/>
      <w:bookmarkStart w:id="227" w:name="_Toc312678012"/>
      <w:bookmarkStart w:id="228" w:name="_Toc297216177"/>
      <w:bookmarkStart w:id="229" w:name="_Toc300934970"/>
      <w:bookmarkStart w:id="230" w:name="_Toc304295548"/>
      <w:bookmarkStart w:id="231" w:name="_Toc303539127"/>
      <w:bookmarkStart w:id="232" w:name="_Toc297123518"/>
      <w:r>
        <w:rPr>
          <w:rFonts w:ascii="宋体" w:hAnsi="宋体"/>
          <w:sz w:val="21"/>
          <w:szCs w:val="21"/>
        </w:rPr>
        <w:t>.5.</w:t>
      </w:r>
      <w:r>
        <w:rPr>
          <w:rFonts w:hint="eastAsia" w:ascii="宋体" w:hAnsi="宋体"/>
          <w:sz w:val="21"/>
          <w:szCs w:val="21"/>
        </w:rPr>
        <w:t>1</w:t>
      </w:r>
      <w:r>
        <w:rPr>
          <w:rFonts w:ascii="宋体" w:hAnsi="宋体"/>
          <w:sz w:val="21"/>
          <w:szCs w:val="21"/>
        </w:rPr>
        <w:t xml:space="preserve"> 因承包人原因导致工期延误</w:t>
      </w:r>
    </w:p>
    <w:bookmarkEnd w:id="225"/>
    <w:bookmarkEnd w:id="226"/>
    <w:bookmarkEnd w:id="227"/>
    <w:p w14:paraId="789FF3B9">
      <w:pPr>
        <w:spacing w:line="360" w:lineRule="auto"/>
        <w:ind w:firstLine="420" w:firstLineChars="200"/>
        <w:jc w:val="left"/>
        <w:rPr>
          <w:rFonts w:ascii="宋体" w:hAnsi="宋体"/>
          <w:sz w:val="21"/>
          <w:szCs w:val="21"/>
          <w:u w:val="single"/>
        </w:rPr>
      </w:pPr>
      <w:r>
        <w:rPr>
          <w:rFonts w:ascii="宋体" w:hAnsi="宋体"/>
          <w:sz w:val="21"/>
          <w:szCs w:val="21"/>
        </w:rPr>
        <w:t>因</w:t>
      </w:r>
      <w:bookmarkStart w:id="233" w:name="_Toc312677487"/>
      <w:bookmarkStart w:id="234" w:name="_Toc312678013"/>
      <w:bookmarkStart w:id="235" w:name="_Toc318581170"/>
      <w:r>
        <w:rPr>
          <w:rFonts w:ascii="宋体" w:hAnsi="宋体"/>
          <w:sz w:val="21"/>
          <w:szCs w:val="21"/>
        </w:rPr>
        <w:t>承包人原因造成工期延误，逾期竣工违约金的计算方法为：</w:t>
      </w:r>
      <w:r>
        <w:rPr>
          <w:rFonts w:ascii="宋体" w:hAnsi="宋体"/>
          <w:b/>
          <w:sz w:val="21"/>
          <w:szCs w:val="21"/>
          <w:u w:val="single"/>
        </w:rPr>
        <w:t>因承包人原因造成工期延误，</w:t>
      </w:r>
      <w:r>
        <w:rPr>
          <w:rFonts w:hint="eastAsia" w:ascii="宋体" w:hAnsi="宋体"/>
          <w:b/>
          <w:sz w:val="21"/>
          <w:szCs w:val="21"/>
          <w:u w:val="single"/>
        </w:rPr>
        <w:t>每日扣罚违约金2000元人民币，上不限额</w:t>
      </w:r>
      <w:r>
        <w:rPr>
          <w:rFonts w:ascii="宋体" w:hAnsi="宋体"/>
          <w:sz w:val="21"/>
          <w:szCs w:val="21"/>
        </w:rPr>
        <w:t>。</w:t>
      </w:r>
      <w:bookmarkEnd w:id="228"/>
      <w:bookmarkEnd w:id="229"/>
      <w:bookmarkEnd w:id="230"/>
      <w:bookmarkEnd w:id="231"/>
      <w:bookmarkEnd w:id="232"/>
      <w:bookmarkEnd w:id="233"/>
      <w:bookmarkEnd w:id="234"/>
    </w:p>
    <w:bookmarkEnd w:id="235"/>
    <w:p w14:paraId="3761C605">
      <w:pPr>
        <w:spacing w:line="360" w:lineRule="auto"/>
        <w:ind w:firstLine="420" w:firstLineChars="200"/>
        <w:jc w:val="left"/>
        <w:rPr>
          <w:rFonts w:ascii="宋体" w:hAnsi="宋体"/>
          <w:sz w:val="21"/>
          <w:szCs w:val="21"/>
        </w:rPr>
      </w:pPr>
      <w:r>
        <w:rPr>
          <w:rFonts w:ascii="宋体" w:hAnsi="宋体"/>
          <w:sz w:val="21"/>
          <w:szCs w:val="21"/>
        </w:rPr>
        <w:t>7</w:t>
      </w:r>
      <w:bookmarkStart w:id="236" w:name="_Toc304295549"/>
      <w:bookmarkStart w:id="237" w:name="_Toc297123519"/>
      <w:bookmarkStart w:id="238" w:name="_Toc297216178"/>
      <w:bookmarkStart w:id="239" w:name="_Toc300934971"/>
      <w:bookmarkStart w:id="240" w:name="_Toc312678015"/>
      <w:bookmarkStart w:id="241" w:name="_Toc303539128"/>
      <w:r>
        <w:rPr>
          <w:rFonts w:ascii="宋体" w:hAnsi="宋体"/>
          <w:sz w:val="21"/>
          <w:szCs w:val="21"/>
        </w:rPr>
        <w:t>.6 不</w:t>
      </w:r>
      <w:bookmarkEnd w:id="236"/>
      <w:bookmarkEnd w:id="237"/>
      <w:bookmarkEnd w:id="238"/>
      <w:bookmarkEnd w:id="239"/>
      <w:bookmarkEnd w:id="240"/>
      <w:bookmarkEnd w:id="241"/>
      <w:r>
        <w:rPr>
          <w:rFonts w:ascii="宋体" w:hAnsi="宋体"/>
          <w:sz w:val="21"/>
          <w:szCs w:val="21"/>
        </w:rPr>
        <w:t>利物质条件</w:t>
      </w:r>
    </w:p>
    <w:p w14:paraId="1E0EBEAF">
      <w:pPr>
        <w:spacing w:line="360" w:lineRule="auto"/>
        <w:ind w:firstLine="420" w:firstLineChars="200"/>
        <w:jc w:val="left"/>
        <w:rPr>
          <w:rFonts w:ascii="宋体" w:hAnsi="宋体"/>
          <w:sz w:val="21"/>
          <w:szCs w:val="21"/>
          <w:u w:val="single"/>
        </w:rPr>
      </w:pPr>
      <w:bookmarkStart w:id="242" w:name="_Toc297216179"/>
      <w:bookmarkStart w:id="243" w:name="_Toc318581172"/>
      <w:bookmarkStart w:id="244" w:name="_Toc304295550"/>
      <w:bookmarkStart w:id="245" w:name="_Toc303539129"/>
      <w:bookmarkStart w:id="246" w:name="_Toc312678016"/>
      <w:bookmarkStart w:id="247" w:name="_Toc300934972"/>
      <w:bookmarkStart w:id="248" w:name="_Toc297123520"/>
      <w:r>
        <w:rPr>
          <w:rFonts w:ascii="宋体" w:hAnsi="宋体"/>
          <w:sz w:val="21"/>
          <w:szCs w:val="21"/>
        </w:rPr>
        <w:t>不利物质条件的其他情形和有关约定：</w:t>
      </w:r>
      <w:r>
        <w:rPr>
          <w:rFonts w:hint="eastAsia" w:ascii="宋体" w:hAnsi="宋体"/>
          <w:b/>
          <w:sz w:val="21"/>
          <w:szCs w:val="21"/>
          <w:u w:val="single"/>
        </w:rPr>
        <w:t>按相应的通用条款执行</w:t>
      </w:r>
      <w:r>
        <w:rPr>
          <w:rFonts w:ascii="宋体" w:hAnsi="宋体"/>
          <w:sz w:val="21"/>
          <w:szCs w:val="21"/>
        </w:rPr>
        <w:t>。</w:t>
      </w:r>
    </w:p>
    <w:bookmarkEnd w:id="242"/>
    <w:bookmarkEnd w:id="243"/>
    <w:bookmarkEnd w:id="244"/>
    <w:bookmarkEnd w:id="245"/>
    <w:bookmarkEnd w:id="246"/>
    <w:bookmarkEnd w:id="247"/>
    <w:bookmarkEnd w:id="248"/>
    <w:p w14:paraId="73D7C7CD">
      <w:pPr>
        <w:spacing w:line="360" w:lineRule="auto"/>
        <w:ind w:firstLine="420" w:firstLineChars="200"/>
        <w:jc w:val="left"/>
        <w:rPr>
          <w:rFonts w:ascii="宋体" w:hAnsi="宋体"/>
          <w:sz w:val="21"/>
          <w:szCs w:val="21"/>
        </w:rPr>
      </w:pPr>
      <w:r>
        <w:rPr>
          <w:rFonts w:ascii="宋体" w:hAnsi="宋体"/>
          <w:sz w:val="21"/>
          <w:szCs w:val="21"/>
        </w:rPr>
        <w:t>7</w:t>
      </w:r>
      <w:bookmarkStart w:id="249" w:name="_Toc312678017"/>
      <w:bookmarkStart w:id="250" w:name="_Toc303539130"/>
      <w:bookmarkStart w:id="251" w:name="_Toc304295551"/>
      <w:bookmarkStart w:id="252" w:name="_Toc297123521"/>
      <w:bookmarkStart w:id="253" w:name="_Toc300934973"/>
      <w:bookmarkStart w:id="254" w:name="_Toc297216180"/>
      <w:r>
        <w:rPr>
          <w:rFonts w:ascii="宋体" w:hAnsi="宋体"/>
          <w:sz w:val="21"/>
          <w:szCs w:val="21"/>
        </w:rPr>
        <w:t>.7异常恶劣的气候条件</w:t>
      </w:r>
    </w:p>
    <w:bookmarkEnd w:id="249"/>
    <w:bookmarkEnd w:id="250"/>
    <w:bookmarkEnd w:id="251"/>
    <w:bookmarkEnd w:id="252"/>
    <w:bookmarkEnd w:id="253"/>
    <w:bookmarkEnd w:id="254"/>
    <w:p w14:paraId="07F3EDF1">
      <w:pPr>
        <w:spacing w:line="360" w:lineRule="auto"/>
        <w:ind w:firstLine="420" w:firstLineChars="200"/>
        <w:jc w:val="left"/>
        <w:rPr>
          <w:rFonts w:ascii="宋体" w:hAnsi="宋体"/>
          <w:sz w:val="21"/>
          <w:szCs w:val="21"/>
        </w:rPr>
      </w:pPr>
      <w:r>
        <w:rPr>
          <w:rFonts w:ascii="宋体" w:hAnsi="宋体"/>
          <w:sz w:val="21"/>
          <w:szCs w:val="21"/>
        </w:rPr>
        <w:t>发包人和承包人同意以下情形视为异常恶劣的气候条件：</w:t>
      </w:r>
      <w:r>
        <w:rPr>
          <w:rFonts w:hint="eastAsia" w:ascii="宋体" w:hAnsi="宋体"/>
          <w:b/>
          <w:sz w:val="21"/>
          <w:szCs w:val="21"/>
          <w:u w:val="single"/>
        </w:rPr>
        <w:t>以当地气象部门公告为准</w:t>
      </w:r>
      <w:r>
        <w:rPr>
          <w:rFonts w:ascii="宋体" w:hAnsi="宋体"/>
          <w:b/>
          <w:sz w:val="21"/>
          <w:szCs w:val="21"/>
          <w:u w:val="single"/>
        </w:rPr>
        <w:t>。</w:t>
      </w:r>
      <w:r>
        <w:rPr>
          <w:rFonts w:ascii="宋体" w:hAnsi="宋体"/>
          <w:sz w:val="21"/>
          <w:szCs w:val="21"/>
        </w:rPr>
        <w:t>；</w:t>
      </w:r>
    </w:p>
    <w:p w14:paraId="54256523">
      <w:pPr>
        <w:spacing w:line="360" w:lineRule="auto"/>
        <w:ind w:firstLine="420" w:firstLineChars="200"/>
        <w:jc w:val="left"/>
        <w:rPr>
          <w:rFonts w:ascii="宋体" w:hAnsi="宋体"/>
          <w:sz w:val="21"/>
          <w:szCs w:val="21"/>
        </w:rPr>
      </w:pPr>
      <w:r>
        <w:rPr>
          <w:rFonts w:ascii="宋体" w:hAnsi="宋体"/>
          <w:sz w:val="21"/>
          <w:szCs w:val="21"/>
        </w:rPr>
        <w:t>7.</w:t>
      </w:r>
      <w:r>
        <w:rPr>
          <w:rFonts w:hint="eastAsia" w:ascii="宋体" w:hAnsi="宋体"/>
          <w:sz w:val="21"/>
          <w:szCs w:val="21"/>
        </w:rPr>
        <w:t>8</w:t>
      </w:r>
      <w:r>
        <w:rPr>
          <w:rFonts w:ascii="宋体" w:hAnsi="宋体"/>
          <w:sz w:val="21"/>
          <w:szCs w:val="21"/>
        </w:rPr>
        <w:t xml:space="preserve"> 提前竣工的奖励：</w:t>
      </w:r>
      <w:r>
        <w:rPr>
          <w:rFonts w:hint="eastAsia" w:ascii="宋体" w:hAnsi="宋体"/>
          <w:sz w:val="21"/>
          <w:szCs w:val="21"/>
          <w:u w:val="single"/>
        </w:rPr>
        <w:t>无</w:t>
      </w:r>
      <w:r>
        <w:rPr>
          <w:rFonts w:ascii="宋体" w:hAnsi="宋体"/>
          <w:sz w:val="21"/>
          <w:szCs w:val="21"/>
        </w:rPr>
        <w:t>。</w:t>
      </w:r>
    </w:p>
    <w:p w14:paraId="63C8A8EA">
      <w:pPr>
        <w:spacing w:line="360" w:lineRule="auto"/>
        <w:ind w:firstLine="420" w:firstLineChars="200"/>
        <w:jc w:val="left"/>
        <w:rPr>
          <w:rFonts w:ascii="宋体" w:hAnsi="宋体"/>
          <w:bCs/>
          <w:sz w:val="21"/>
          <w:szCs w:val="21"/>
        </w:rPr>
      </w:pPr>
      <w:bookmarkStart w:id="255" w:name="_Toc351203640"/>
      <w:r>
        <w:rPr>
          <w:rFonts w:ascii="宋体" w:hAnsi="宋体"/>
          <w:bCs/>
          <w:sz w:val="21"/>
          <w:szCs w:val="21"/>
        </w:rPr>
        <w:t>8. 材料与设备</w:t>
      </w:r>
      <w:bookmarkEnd w:id="255"/>
    </w:p>
    <w:bookmarkEnd w:id="192"/>
    <w:bookmarkEnd w:id="193"/>
    <w:bookmarkEnd w:id="194"/>
    <w:bookmarkEnd w:id="195"/>
    <w:bookmarkEnd w:id="196"/>
    <w:bookmarkEnd w:id="197"/>
    <w:bookmarkEnd w:id="198"/>
    <w:bookmarkEnd w:id="199"/>
    <w:bookmarkEnd w:id="200"/>
    <w:bookmarkEnd w:id="201"/>
    <w:p w14:paraId="62B42DFB">
      <w:pPr>
        <w:spacing w:line="360" w:lineRule="auto"/>
        <w:ind w:firstLine="420" w:firstLineChars="200"/>
        <w:jc w:val="left"/>
        <w:rPr>
          <w:rFonts w:ascii="宋体" w:hAnsi="宋体"/>
          <w:sz w:val="21"/>
          <w:szCs w:val="21"/>
        </w:rPr>
      </w:pPr>
      <w:r>
        <w:rPr>
          <w:rFonts w:ascii="宋体" w:hAnsi="宋体"/>
          <w:sz w:val="21"/>
          <w:szCs w:val="21"/>
        </w:rPr>
        <w:t>8</w:t>
      </w:r>
      <w:bookmarkStart w:id="256" w:name="_Toc296503167"/>
      <w:bookmarkStart w:id="257" w:name="_Toc296346668"/>
      <w:bookmarkStart w:id="258" w:name="_Toc312677493"/>
      <w:bookmarkStart w:id="259" w:name="_Toc297120467"/>
      <w:bookmarkStart w:id="260" w:name="_Toc297048353"/>
      <w:bookmarkStart w:id="261" w:name="_Toc312678019"/>
      <w:bookmarkStart w:id="262" w:name="_Toc303539136"/>
      <w:bookmarkStart w:id="263" w:name="_Toc296890995"/>
      <w:bookmarkStart w:id="264" w:name="_Toc292559372"/>
      <w:bookmarkStart w:id="265" w:name="_Toc296891207"/>
      <w:bookmarkStart w:id="266" w:name="_Toc304295556"/>
      <w:bookmarkStart w:id="267" w:name="_Toc297123527"/>
      <w:bookmarkStart w:id="268" w:name="_Toc296944506"/>
      <w:bookmarkStart w:id="269" w:name="_Toc297216186"/>
      <w:bookmarkStart w:id="270" w:name="_Toc300934979"/>
      <w:bookmarkStart w:id="271" w:name="_Toc296347166"/>
      <w:bookmarkStart w:id="272" w:name="_Toc292559877"/>
      <w:bookmarkStart w:id="273" w:name="_Toc280868654"/>
      <w:bookmarkStart w:id="274" w:name="_Toc267251424"/>
      <w:bookmarkStart w:id="275" w:name="_Toc280868655"/>
      <w:bookmarkStart w:id="276" w:name="_Toc280868656"/>
      <w:r>
        <w:rPr>
          <w:rFonts w:ascii="宋体" w:hAnsi="宋体"/>
          <w:sz w:val="21"/>
          <w:szCs w:val="21"/>
        </w:rPr>
        <w:t>.</w:t>
      </w:r>
      <w:r>
        <w:rPr>
          <w:rFonts w:hint="eastAsia" w:ascii="宋体" w:hAnsi="宋体"/>
          <w:sz w:val="21"/>
          <w:szCs w:val="21"/>
        </w:rPr>
        <w:t>1</w:t>
      </w:r>
      <w:r>
        <w:rPr>
          <w:rFonts w:ascii="宋体" w:hAnsi="宋体"/>
          <w:sz w:val="21"/>
          <w:szCs w:val="21"/>
        </w:rPr>
        <w:t>材料与工程设备的保管与使用</w:t>
      </w:r>
    </w:p>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14:paraId="5448EF53">
      <w:pPr>
        <w:spacing w:line="360" w:lineRule="auto"/>
        <w:ind w:firstLine="420" w:firstLineChars="200"/>
        <w:jc w:val="left"/>
        <w:rPr>
          <w:rFonts w:ascii="宋体" w:hAnsi="宋体"/>
          <w:sz w:val="21"/>
          <w:szCs w:val="21"/>
          <w:u w:val="single"/>
        </w:rPr>
      </w:pPr>
      <w:r>
        <w:rPr>
          <w:rFonts w:ascii="宋体" w:hAnsi="宋体"/>
          <w:sz w:val="21"/>
          <w:szCs w:val="21"/>
        </w:rPr>
        <w:t>8</w:t>
      </w:r>
      <w:bookmarkStart w:id="277" w:name="_Toc292559373"/>
      <w:bookmarkStart w:id="278" w:name="_Toc292559878"/>
      <w:bookmarkStart w:id="279" w:name="_Toc297048354"/>
      <w:bookmarkStart w:id="280" w:name="_Toc297123528"/>
      <w:bookmarkStart w:id="281" w:name="_Toc296346669"/>
      <w:bookmarkStart w:id="282" w:name="_Toc296944507"/>
      <w:bookmarkStart w:id="283" w:name="_Toc304295557"/>
      <w:bookmarkStart w:id="284" w:name="_Toc312678020"/>
      <w:bookmarkStart w:id="285" w:name="_Toc297120468"/>
      <w:bookmarkStart w:id="286" w:name="_Toc296890996"/>
      <w:bookmarkStart w:id="287" w:name="_Toc296503168"/>
      <w:bookmarkStart w:id="288" w:name="_Toc300934980"/>
      <w:bookmarkStart w:id="289" w:name="_Toc296347167"/>
      <w:bookmarkStart w:id="290" w:name="_Toc318581173"/>
      <w:bookmarkStart w:id="291" w:name="_Toc312677494"/>
      <w:bookmarkStart w:id="292" w:name="_Toc303539137"/>
      <w:bookmarkStart w:id="293" w:name="_Toc297216187"/>
      <w:bookmarkStart w:id="294" w:name="_Toc296891208"/>
      <w:r>
        <w:rPr>
          <w:rFonts w:ascii="宋体" w:hAnsi="宋体"/>
          <w:sz w:val="21"/>
          <w:szCs w:val="21"/>
        </w:rPr>
        <w:t>.</w:t>
      </w:r>
      <w:r>
        <w:rPr>
          <w:rFonts w:hint="eastAsia" w:ascii="宋体" w:hAnsi="宋体"/>
          <w:sz w:val="21"/>
          <w:szCs w:val="21"/>
        </w:rPr>
        <w:t>2</w:t>
      </w:r>
      <w:r>
        <w:rPr>
          <w:rFonts w:ascii="宋体" w:hAnsi="宋体"/>
          <w:sz w:val="21"/>
          <w:szCs w:val="21"/>
        </w:rPr>
        <w:t>发包人供应的材料设备的保管费用的承担：</w:t>
      </w:r>
      <w:r>
        <w:rPr>
          <w:rFonts w:ascii="宋体" w:hAnsi="宋体"/>
          <w:b/>
          <w:sz w:val="21"/>
          <w:szCs w:val="21"/>
          <w:u w:val="single"/>
        </w:rPr>
        <w:t xml:space="preserve">  </w:t>
      </w:r>
      <w:r>
        <w:rPr>
          <w:rFonts w:hint="eastAsia" w:ascii="宋体" w:hAnsi="宋体"/>
          <w:b/>
          <w:sz w:val="21"/>
          <w:szCs w:val="21"/>
          <w:u w:val="single"/>
        </w:rPr>
        <w:t>由承包人保管,费用由承包人承担</w:t>
      </w:r>
      <w:r>
        <w:rPr>
          <w:rFonts w:ascii="宋体" w:hAnsi="宋体"/>
          <w:b/>
          <w:sz w:val="21"/>
          <w:szCs w:val="21"/>
        </w:rPr>
        <w:t>。</w:t>
      </w:r>
      <w:bookmarkEnd w:id="277"/>
      <w:bookmarkEnd w:id="278"/>
    </w:p>
    <w:p w14:paraId="331F3C34">
      <w:pPr>
        <w:spacing w:line="360" w:lineRule="auto"/>
        <w:ind w:firstLine="420" w:firstLineChars="200"/>
        <w:jc w:val="left"/>
        <w:rPr>
          <w:rFonts w:ascii="宋体" w:hAnsi="宋体"/>
          <w:sz w:val="21"/>
          <w:szCs w:val="21"/>
        </w:rPr>
      </w:pPr>
      <w:r>
        <w:rPr>
          <w:rFonts w:ascii="宋体" w:hAnsi="宋体"/>
          <w:sz w:val="21"/>
          <w:szCs w:val="21"/>
        </w:rPr>
        <w:t>8.</w:t>
      </w:r>
      <w:r>
        <w:rPr>
          <w:rFonts w:hint="eastAsia" w:ascii="宋体" w:hAnsi="宋体"/>
          <w:sz w:val="21"/>
          <w:szCs w:val="21"/>
        </w:rPr>
        <w:t>3</w:t>
      </w:r>
      <w:r>
        <w:rPr>
          <w:rFonts w:ascii="宋体" w:hAnsi="宋体"/>
          <w:sz w:val="21"/>
          <w:szCs w:val="21"/>
        </w:rPr>
        <w:t xml:space="preserve"> 样品</w:t>
      </w:r>
    </w:p>
    <w:p w14:paraId="2774EC3C">
      <w:pPr>
        <w:spacing w:line="360" w:lineRule="auto"/>
        <w:ind w:firstLine="420" w:firstLineChars="200"/>
        <w:jc w:val="left"/>
        <w:rPr>
          <w:rFonts w:ascii="宋体" w:hAnsi="宋体"/>
          <w:sz w:val="21"/>
          <w:szCs w:val="21"/>
        </w:rPr>
      </w:pPr>
      <w:r>
        <w:rPr>
          <w:rFonts w:ascii="宋体" w:hAnsi="宋体"/>
          <w:sz w:val="21"/>
          <w:szCs w:val="21"/>
        </w:rPr>
        <w:t>8.</w:t>
      </w:r>
      <w:r>
        <w:rPr>
          <w:rFonts w:hint="eastAsia" w:ascii="宋体" w:hAnsi="宋体"/>
          <w:sz w:val="21"/>
          <w:szCs w:val="21"/>
        </w:rPr>
        <w:t>3</w:t>
      </w:r>
      <w:r>
        <w:rPr>
          <w:rFonts w:ascii="宋体" w:hAnsi="宋体"/>
          <w:sz w:val="21"/>
          <w:szCs w:val="21"/>
        </w:rPr>
        <w:t>.1样品的报送</w:t>
      </w:r>
      <w:r>
        <w:rPr>
          <w:rFonts w:hint="eastAsia" w:ascii="宋体" w:hAnsi="宋体"/>
          <w:sz w:val="21"/>
          <w:szCs w:val="21"/>
        </w:rPr>
        <w:t>与封存</w:t>
      </w:r>
    </w:p>
    <w:p w14:paraId="373592E3">
      <w:pPr>
        <w:spacing w:line="360" w:lineRule="auto"/>
        <w:ind w:firstLine="420" w:firstLineChars="200"/>
        <w:jc w:val="left"/>
        <w:rPr>
          <w:rFonts w:hint="eastAsia" w:ascii="宋体" w:hAnsi="宋体"/>
          <w:sz w:val="21"/>
          <w:szCs w:val="21"/>
        </w:rPr>
      </w:pPr>
      <w:r>
        <w:rPr>
          <w:rFonts w:ascii="宋体" w:hAnsi="宋体"/>
          <w:sz w:val="21"/>
          <w:szCs w:val="21"/>
        </w:rPr>
        <w:t>需要承包人报送样品的材料或工程设备，样品的种类、名称、规格、数量要求：</w:t>
      </w:r>
    </w:p>
    <w:p w14:paraId="4B3ADC13">
      <w:pPr>
        <w:spacing w:line="360" w:lineRule="auto"/>
        <w:ind w:firstLine="422" w:firstLineChars="200"/>
        <w:jc w:val="left"/>
        <w:rPr>
          <w:rFonts w:ascii="宋体" w:hAnsi="宋体"/>
          <w:b/>
          <w:sz w:val="21"/>
          <w:szCs w:val="21"/>
          <w:u w:val="single"/>
        </w:rPr>
      </w:pPr>
      <w:r>
        <w:rPr>
          <w:rFonts w:ascii="宋体" w:hAnsi="宋体"/>
          <w:b/>
          <w:sz w:val="21"/>
          <w:szCs w:val="21"/>
          <w:u w:val="single"/>
        </w:rPr>
        <w:t>（1）</w:t>
      </w:r>
      <w:r>
        <w:rPr>
          <w:rFonts w:hint="eastAsia" w:ascii="宋体" w:hAnsi="宋体"/>
          <w:b/>
          <w:sz w:val="21"/>
          <w:szCs w:val="21"/>
          <w:u w:val="single"/>
        </w:rPr>
        <w:t>材料设备采购应根据招标文件、设计技术文件和国家有关规定的具体要求进行采购，所有材料应选用具有一定生产规模和市场信誉好的生产厂和品牌，生产厂和品牌需经发包人和发包人委托的监理单位确认后方可采购，否则，因此引起的一切后果都由承包人自行承担</w:t>
      </w:r>
      <w:r>
        <w:rPr>
          <w:rFonts w:ascii="宋体" w:hAnsi="宋体"/>
          <w:b/>
          <w:sz w:val="21"/>
          <w:szCs w:val="21"/>
          <w:u w:val="single"/>
        </w:rPr>
        <w:t>。在采购前应先不少于</w:t>
      </w:r>
      <w:r>
        <w:rPr>
          <w:rFonts w:hint="eastAsia" w:ascii="宋体" w:hAnsi="宋体"/>
          <w:b/>
          <w:sz w:val="21"/>
          <w:szCs w:val="21"/>
          <w:u w:val="single"/>
        </w:rPr>
        <w:t>25</w:t>
      </w:r>
      <w:r>
        <w:rPr>
          <w:rFonts w:ascii="宋体" w:hAnsi="宋体"/>
          <w:b/>
          <w:sz w:val="21"/>
          <w:szCs w:val="21"/>
          <w:u w:val="single"/>
        </w:rPr>
        <w:t>天</w:t>
      </w:r>
      <w:r>
        <w:rPr>
          <w:rFonts w:hint="eastAsia" w:ascii="宋体" w:hAnsi="宋体"/>
          <w:b/>
          <w:sz w:val="21"/>
          <w:szCs w:val="21"/>
          <w:u w:val="single"/>
        </w:rPr>
        <w:t>按发包人要求</w:t>
      </w:r>
      <w:r>
        <w:rPr>
          <w:rFonts w:ascii="宋体" w:hAnsi="宋体"/>
          <w:b/>
          <w:sz w:val="21"/>
          <w:szCs w:val="21"/>
          <w:u w:val="single"/>
        </w:rPr>
        <w:t>提交其样品（质量等级、规格等）经监理工程师、发包人代表确认是否符合上述所规定的要求后方可采购；</w:t>
      </w:r>
    </w:p>
    <w:p w14:paraId="6414FD52">
      <w:pPr>
        <w:spacing w:line="360" w:lineRule="auto"/>
        <w:ind w:firstLine="316" w:firstLineChars="150"/>
        <w:jc w:val="left"/>
        <w:rPr>
          <w:rFonts w:ascii="宋体" w:hAnsi="宋体"/>
          <w:b/>
          <w:sz w:val="21"/>
          <w:szCs w:val="21"/>
          <w:u w:val="single"/>
        </w:rPr>
      </w:pPr>
      <w:r>
        <w:rPr>
          <w:rFonts w:ascii="宋体" w:hAnsi="宋体"/>
          <w:b/>
          <w:sz w:val="21"/>
          <w:szCs w:val="21"/>
          <w:u w:val="single"/>
        </w:rPr>
        <w:t>（2）在材料和半成品用于工程之前</w:t>
      </w:r>
      <w:r>
        <w:rPr>
          <w:rFonts w:hint="eastAsia" w:ascii="宋体" w:hAnsi="宋体"/>
          <w:b/>
          <w:sz w:val="21"/>
          <w:szCs w:val="21"/>
          <w:u w:val="single"/>
        </w:rPr>
        <w:t>10天</w:t>
      </w:r>
      <w:r>
        <w:rPr>
          <w:rFonts w:ascii="宋体" w:hAnsi="宋体"/>
          <w:b/>
          <w:sz w:val="21"/>
          <w:szCs w:val="21"/>
          <w:u w:val="single"/>
        </w:rPr>
        <w:t>，必须向监理工程师和发包人代表出具质量合格证和出厂检验证明，并经监理工程师和发包人代表认可后方可施工；</w:t>
      </w:r>
    </w:p>
    <w:p w14:paraId="52656763">
      <w:pPr>
        <w:spacing w:line="360" w:lineRule="auto"/>
        <w:ind w:firstLine="211" w:firstLineChars="100"/>
        <w:jc w:val="left"/>
        <w:rPr>
          <w:rFonts w:ascii="宋体" w:hAnsi="宋体"/>
          <w:b/>
          <w:sz w:val="21"/>
          <w:szCs w:val="21"/>
          <w:u w:val="single"/>
        </w:rPr>
      </w:pPr>
      <w:r>
        <w:rPr>
          <w:rFonts w:ascii="宋体" w:hAnsi="宋体"/>
          <w:b/>
          <w:sz w:val="21"/>
          <w:szCs w:val="21"/>
          <w:u w:val="single"/>
        </w:rPr>
        <w:t>（3）承包人应向</w:t>
      </w:r>
      <w:r>
        <w:rPr>
          <w:rFonts w:hint="eastAsia" w:ascii="宋体" w:hAnsi="宋体"/>
          <w:b/>
          <w:sz w:val="21"/>
          <w:szCs w:val="21"/>
          <w:u w:val="single"/>
        </w:rPr>
        <w:t>发包</w:t>
      </w:r>
      <w:r>
        <w:rPr>
          <w:rFonts w:ascii="宋体" w:hAnsi="宋体"/>
          <w:b/>
          <w:sz w:val="21"/>
          <w:szCs w:val="21"/>
          <w:u w:val="single"/>
        </w:rPr>
        <w:t>人</w:t>
      </w:r>
      <w:r>
        <w:rPr>
          <w:rFonts w:hint="eastAsia" w:ascii="宋体" w:hAnsi="宋体"/>
          <w:b/>
          <w:sz w:val="21"/>
          <w:szCs w:val="21"/>
          <w:u w:val="single"/>
        </w:rPr>
        <w:t>及监理单位</w:t>
      </w:r>
      <w:r>
        <w:rPr>
          <w:rFonts w:ascii="宋体" w:hAnsi="宋体"/>
          <w:b/>
          <w:sz w:val="21"/>
          <w:szCs w:val="21"/>
          <w:u w:val="single"/>
        </w:rPr>
        <w:t>提交与材料供应商的供应合同副本</w:t>
      </w:r>
      <w:r>
        <w:rPr>
          <w:rFonts w:hint="eastAsia" w:ascii="宋体" w:hAnsi="宋体"/>
          <w:b/>
          <w:sz w:val="21"/>
          <w:szCs w:val="21"/>
          <w:u w:val="single"/>
        </w:rPr>
        <w:t>各</w:t>
      </w:r>
      <w:r>
        <w:rPr>
          <w:rFonts w:ascii="宋体" w:hAnsi="宋体"/>
          <w:b/>
          <w:sz w:val="21"/>
          <w:szCs w:val="21"/>
          <w:u w:val="single"/>
        </w:rPr>
        <w:t>一份。</w:t>
      </w:r>
    </w:p>
    <w:p w14:paraId="3015C1CC">
      <w:pPr>
        <w:spacing w:line="360" w:lineRule="auto"/>
        <w:ind w:firstLine="211" w:firstLineChars="100"/>
        <w:jc w:val="left"/>
        <w:rPr>
          <w:rFonts w:ascii="宋体" w:hAnsi="宋体"/>
          <w:b/>
          <w:sz w:val="21"/>
          <w:szCs w:val="21"/>
          <w:u w:val="single"/>
        </w:rPr>
      </w:pPr>
      <w:r>
        <w:rPr>
          <w:rFonts w:ascii="宋体" w:hAnsi="宋体"/>
          <w:b/>
          <w:sz w:val="21"/>
          <w:szCs w:val="21"/>
          <w:u w:val="single"/>
        </w:rPr>
        <w:t>（4）如事后发现不合格材料或不符合设计、投标文件承诺的材料，监理工程师或发包人代表将拒绝使用，承包人应无条件负责更换或返工，并承担由此发生的费用和工期损失。</w:t>
      </w:r>
    </w:p>
    <w:p w14:paraId="44358E6C">
      <w:pPr>
        <w:spacing w:line="360" w:lineRule="auto"/>
        <w:ind w:firstLine="211" w:firstLineChars="100"/>
        <w:jc w:val="left"/>
        <w:rPr>
          <w:rFonts w:hint="eastAsia" w:ascii="宋体" w:hAnsi="宋体"/>
          <w:b/>
          <w:sz w:val="21"/>
          <w:szCs w:val="21"/>
          <w:u w:val="single"/>
        </w:rPr>
      </w:pPr>
      <w:r>
        <w:rPr>
          <w:rFonts w:ascii="宋体" w:hAnsi="宋体"/>
          <w:b/>
          <w:sz w:val="21"/>
          <w:szCs w:val="21"/>
          <w:u w:val="single"/>
        </w:rPr>
        <w:t>（5）发包人根据实际需要更换设计材料，新增或减少分部分项工程或工作内容，承包人必须无条件配合，不得以任何理由拒绝。因增减分</w:t>
      </w:r>
      <w:r>
        <w:rPr>
          <w:rFonts w:hint="eastAsia" w:ascii="宋体" w:hAnsi="宋体"/>
          <w:b/>
          <w:sz w:val="21"/>
          <w:szCs w:val="21"/>
          <w:u w:val="single"/>
        </w:rPr>
        <w:t>部</w:t>
      </w:r>
      <w:r>
        <w:rPr>
          <w:rFonts w:ascii="宋体" w:hAnsi="宋体"/>
          <w:b/>
          <w:sz w:val="21"/>
          <w:szCs w:val="21"/>
          <w:u w:val="single"/>
        </w:rPr>
        <w:t>分项工程或工作内容及更换材料导致合同价款变更的，其调整方式按照本合同相关约定执行。</w:t>
      </w:r>
    </w:p>
    <w:p w14:paraId="668AB392">
      <w:pPr>
        <w:spacing w:line="360" w:lineRule="auto"/>
        <w:ind w:firstLine="211" w:firstLineChars="100"/>
        <w:jc w:val="left"/>
        <w:rPr>
          <w:rFonts w:hint="eastAsia" w:ascii="宋体" w:hAnsi="宋体"/>
          <w:b/>
          <w:sz w:val="21"/>
          <w:szCs w:val="21"/>
          <w:u w:val="single"/>
        </w:rPr>
      </w:pPr>
      <w:r>
        <w:rPr>
          <w:rFonts w:hint="eastAsia" w:ascii="宋体" w:hAnsi="宋体"/>
          <w:b/>
          <w:sz w:val="21"/>
          <w:szCs w:val="21"/>
        </w:rPr>
        <w:t>（6）</w:t>
      </w:r>
      <w:r>
        <w:rPr>
          <w:rFonts w:hint="eastAsia" w:ascii="宋体" w:hAnsi="宋体"/>
          <w:b/>
          <w:sz w:val="21"/>
          <w:szCs w:val="21"/>
          <w:u w:val="single"/>
        </w:rPr>
        <w:t>工程质量必须达到合格、凡安装调试、设备试运转过程中发现的设备质量问题，承包人必须无偿返工直至符合质量要求。返工修复二次达不到承诺要求的，更换新机。承包人承担返工发生的一切费用和发包人的直接经济损失，承包人在接到发包人通知后，两小时内派人赴现场处理设备质量问题。</w:t>
      </w:r>
    </w:p>
    <w:p w14:paraId="4BB9017C">
      <w:pPr>
        <w:spacing w:line="360" w:lineRule="auto"/>
        <w:ind w:firstLine="315" w:firstLineChars="150"/>
        <w:jc w:val="left"/>
        <w:rPr>
          <w:rFonts w:ascii="宋体" w:hAnsi="宋体"/>
          <w:sz w:val="21"/>
          <w:szCs w:val="21"/>
        </w:rPr>
      </w:pPr>
      <w:r>
        <w:rPr>
          <w:rFonts w:ascii="宋体" w:hAnsi="宋体"/>
          <w:sz w:val="21"/>
          <w:szCs w:val="21"/>
        </w:rPr>
        <w:t>8.</w:t>
      </w:r>
      <w:r>
        <w:rPr>
          <w:rFonts w:hint="eastAsia" w:ascii="宋体" w:hAnsi="宋体"/>
          <w:sz w:val="21"/>
          <w:szCs w:val="21"/>
        </w:rPr>
        <w:t>4</w:t>
      </w:r>
      <w:r>
        <w:rPr>
          <w:rFonts w:ascii="宋体" w:hAnsi="宋体"/>
          <w:sz w:val="21"/>
          <w:szCs w:val="21"/>
        </w:rPr>
        <w:t xml:space="preserve"> 施工设备和临时设施</w:t>
      </w:r>
    </w:p>
    <w:p w14:paraId="671C3108">
      <w:pPr>
        <w:spacing w:line="360" w:lineRule="auto"/>
        <w:ind w:firstLine="315" w:firstLineChars="150"/>
        <w:jc w:val="left"/>
        <w:rPr>
          <w:rFonts w:ascii="宋体" w:hAnsi="宋体"/>
          <w:sz w:val="21"/>
          <w:szCs w:val="21"/>
        </w:rPr>
      </w:pPr>
      <w:r>
        <w:rPr>
          <w:rFonts w:ascii="宋体" w:hAnsi="宋体"/>
          <w:sz w:val="21"/>
          <w:szCs w:val="21"/>
        </w:rPr>
        <w:t>8.</w:t>
      </w:r>
      <w:r>
        <w:rPr>
          <w:rFonts w:hint="eastAsia" w:ascii="宋体" w:hAnsi="宋体"/>
          <w:sz w:val="21"/>
          <w:szCs w:val="21"/>
        </w:rPr>
        <w:t>4</w:t>
      </w:r>
      <w:r>
        <w:rPr>
          <w:rFonts w:ascii="宋体" w:hAnsi="宋体"/>
          <w:sz w:val="21"/>
          <w:szCs w:val="21"/>
        </w:rPr>
        <w:t>.1 承包人提供的施工设备和临时设施</w:t>
      </w:r>
    </w:p>
    <w:p w14:paraId="40E5D5AE">
      <w:pPr>
        <w:spacing w:line="360" w:lineRule="auto"/>
        <w:ind w:firstLine="315" w:firstLineChars="150"/>
        <w:jc w:val="left"/>
        <w:rPr>
          <w:rFonts w:ascii="宋体" w:hAnsi="宋体"/>
          <w:sz w:val="21"/>
          <w:szCs w:val="21"/>
          <w:u w:val="single"/>
        </w:rPr>
      </w:pPr>
      <w:r>
        <w:rPr>
          <w:rFonts w:ascii="宋体" w:hAnsi="宋体"/>
          <w:sz w:val="21"/>
          <w:szCs w:val="21"/>
        </w:rPr>
        <w:t>关于修建临时设施费用承担的约定：</w:t>
      </w:r>
      <w:r>
        <w:rPr>
          <w:rFonts w:ascii="宋体" w:hAnsi="宋体"/>
          <w:sz w:val="21"/>
          <w:szCs w:val="21"/>
          <w:u w:val="single"/>
        </w:rPr>
        <w:t xml:space="preserve"> </w:t>
      </w:r>
      <w:r>
        <w:rPr>
          <w:rFonts w:ascii="宋体" w:hAnsi="宋体"/>
          <w:b/>
          <w:sz w:val="21"/>
          <w:szCs w:val="21"/>
          <w:u w:val="single"/>
        </w:rPr>
        <w:t>承包人应自行承担修建临时设施的费用</w:t>
      </w:r>
      <w:r>
        <w:rPr>
          <w:rFonts w:ascii="宋体" w:hAnsi="宋体"/>
          <w:sz w:val="21"/>
          <w:szCs w:val="21"/>
        </w:rPr>
        <w:t>。</w:t>
      </w:r>
    </w:p>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14:paraId="78FA2192">
      <w:pPr>
        <w:spacing w:line="360" w:lineRule="auto"/>
        <w:ind w:firstLine="315" w:firstLineChars="150"/>
        <w:jc w:val="left"/>
        <w:rPr>
          <w:rFonts w:ascii="宋体" w:hAnsi="宋体"/>
          <w:bCs/>
          <w:sz w:val="21"/>
          <w:szCs w:val="21"/>
        </w:rPr>
      </w:pPr>
      <w:bookmarkStart w:id="295" w:name="_Toc351203641"/>
      <w:r>
        <w:rPr>
          <w:rFonts w:ascii="宋体" w:hAnsi="宋体"/>
          <w:bCs/>
          <w:sz w:val="21"/>
          <w:szCs w:val="21"/>
        </w:rPr>
        <w:t>9</w:t>
      </w:r>
      <w:bookmarkEnd w:id="274"/>
      <w:bookmarkEnd w:id="275"/>
      <w:bookmarkEnd w:id="276"/>
      <w:bookmarkStart w:id="296" w:name="_Toc300934982"/>
      <w:bookmarkStart w:id="297" w:name="_Toc297123533"/>
      <w:bookmarkStart w:id="298" w:name="_Toc312678021"/>
      <w:bookmarkStart w:id="299" w:name="_Toc297216192"/>
      <w:bookmarkStart w:id="300" w:name="_Toc312677495"/>
      <w:bookmarkStart w:id="301" w:name="_Toc303539139"/>
      <w:bookmarkStart w:id="302" w:name="_Toc304295559"/>
      <w:bookmarkStart w:id="303" w:name="_Toc297048359"/>
      <w:bookmarkStart w:id="304" w:name="_Toc292559883"/>
      <w:bookmarkStart w:id="305" w:name="_Toc296891213"/>
      <w:bookmarkStart w:id="306" w:name="_Toc297120473"/>
      <w:bookmarkStart w:id="307" w:name="_Toc267251428"/>
      <w:bookmarkStart w:id="308" w:name="_Toc292559378"/>
      <w:bookmarkStart w:id="309" w:name="_Toc296346674"/>
      <w:bookmarkStart w:id="310" w:name="_Toc296944512"/>
      <w:bookmarkStart w:id="311" w:name="_Toc296891001"/>
      <w:bookmarkStart w:id="312" w:name="_Toc296503173"/>
      <w:bookmarkStart w:id="313" w:name="_Toc296347172"/>
      <w:bookmarkStart w:id="314" w:name="_Toc267251427"/>
      <w:r>
        <w:rPr>
          <w:rFonts w:ascii="宋体" w:hAnsi="宋体"/>
          <w:bCs/>
          <w:sz w:val="21"/>
          <w:szCs w:val="21"/>
        </w:rPr>
        <w:t>. 试验与检验</w:t>
      </w:r>
      <w:bookmarkEnd w:id="295"/>
    </w:p>
    <w:bookmarkEnd w:id="296"/>
    <w:bookmarkEnd w:id="297"/>
    <w:bookmarkEnd w:id="298"/>
    <w:bookmarkEnd w:id="299"/>
    <w:bookmarkEnd w:id="300"/>
    <w:bookmarkEnd w:id="301"/>
    <w:bookmarkEnd w:id="302"/>
    <w:p w14:paraId="038DF2D0">
      <w:pPr>
        <w:spacing w:line="360" w:lineRule="auto"/>
        <w:ind w:firstLine="315" w:firstLineChars="150"/>
        <w:jc w:val="left"/>
        <w:rPr>
          <w:rFonts w:ascii="宋体" w:hAnsi="宋体"/>
          <w:sz w:val="21"/>
          <w:szCs w:val="21"/>
        </w:rPr>
      </w:pPr>
      <w:r>
        <w:rPr>
          <w:rFonts w:ascii="宋体" w:hAnsi="宋体"/>
          <w:sz w:val="21"/>
          <w:szCs w:val="21"/>
        </w:rPr>
        <w:t>9</w:t>
      </w:r>
      <w:bookmarkStart w:id="315" w:name="_Toc312678022"/>
      <w:bookmarkStart w:id="316" w:name="_Toc312677496"/>
      <w:bookmarkStart w:id="317" w:name="_Toc304295560"/>
      <w:bookmarkStart w:id="318" w:name="_Toc297123534"/>
      <w:bookmarkStart w:id="319" w:name="_Toc297216193"/>
      <w:bookmarkStart w:id="320" w:name="_Toc303539140"/>
      <w:bookmarkStart w:id="321" w:name="_Toc300934983"/>
      <w:r>
        <w:rPr>
          <w:rFonts w:ascii="宋体" w:hAnsi="宋体"/>
          <w:sz w:val="21"/>
          <w:szCs w:val="21"/>
        </w:rPr>
        <w:t>.1试验设备与试验人员</w:t>
      </w:r>
    </w:p>
    <w:bookmarkEnd w:id="315"/>
    <w:bookmarkEnd w:id="316"/>
    <w:bookmarkEnd w:id="317"/>
    <w:bookmarkEnd w:id="318"/>
    <w:bookmarkEnd w:id="319"/>
    <w:bookmarkEnd w:id="320"/>
    <w:bookmarkEnd w:id="321"/>
    <w:p w14:paraId="665EB98C">
      <w:pPr>
        <w:spacing w:line="360" w:lineRule="auto"/>
        <w:ind w:firstLine="315" w:firstLineChars="150"/>
        <w:jc w:val="left"/>
        <w:rPr>
          <w:rFonts w:ascii="宋体" w:hAnsi="宋体"/>
          <w:sz w:val="21"/>
          <w:szCs w:val="21"/>
        </w:rPr>
      </w:pPr>
      <w:r>
        <w:rPr>
          <w:rFonts w:ascii="宋体" w:hAnsi="宋体"/>
          <w:sz w:val="21"/>
          <w:szCs w:val="21"/>
        </w:rPr>
        <w:t>9</w:t>
      </w:r>
      <w:bookmarkStart w:id="322" w:name="_Toc312677497"/>
      <w:bookmarkStart w:id="323" w:name="_Toc297123535"/>
      <w:bookmarkStart w:id="324" w:name="_Toc304295561"/>
      <w:bookmarkStart w:id="325" w:name="_Toc312678023"/>
      <w:bookmarkStart w:id="326" w:name="_Toc297216194"/>
      <w:bookmarkStart w:id="327" w:name="_Toc303539141"/>
      <w:bookmarkStart w:id="328" w:name="_Toc300934984"/>
      <w:bookmarkStart w:id="329" w:name="_Toc318581174"/>
      <w:r>
        <w:rPr>
          <w:rFonts w:ascii="宋体" w:hAnsi="宋体"/>
          <w:sz w:val="21"/>
          <w:szCs w:val="21"/>
        </w:rPr>
        <w:t>.1.2 试验设备</w:t>
      </w:r>
    </w:p>
    <w:p w14:paraId="3F43C765">
      <w:pPr>
        <w:spacing w:line="360" w:lineRule="auto"/>
        <w:ind w:firstLine="315" w:firstLineChars="150"/>
        <w:jc w:val="left"/>
        <w:rPr>
          <w:rFonts w:ascii="宋体" w:hAnsi="宋体"/>
          <w:sz w:val="21"/>
          <w:szCs w:val="21"/>
          <w:u w:val="single"/>
        </w:rPr>
      </w:pPr>
      <w:r>
        <w:rPr>
          <w:rFonts w:ascii="宋体" w:hAnsi="宋体"/>
          <w:sz w:val="21"/>
          <w:szCs w:val="21"/>
        </w:rPr>
        <w:t>施工现场需要配置的试验场所：</w:t>
      </w:r>
      <w:bookmarkEnd w:id="322"/>
      <w:bookmarkEnd w:id="323"/>
      <w:bookmarkEnd w:id="324"/>
      <w:bookmarkEnd w:id="325"/>
      <w:bookmarkEnd w:id="326"/>
      <w:bookmarkEnd w:id="327"/>
      <w:bookmarkEnd w:id="328"/>
      <w:bookmarkStart w:id="330" w:name="_Toc312678024"/>
      <w:bookmarkStart w:id="331" w:name="_Toc304295562"/>
      <w:bookmarkStart w:id="332" w:name="_Toc297216195"/>
      <w:bookmarkStart w:id="333" w:name="_Toc312677498"/>
      <w:bookmarkStart w:id="334" w:name="_Toc303539142"/>
      <w:bookmarkStart w:id="335" w:name="_Toc297123536"/>
      <w:bookmarkStart w:id="336" w:name="_Toc300934985"/>
      <w:r>
        <w:rPr>
          <w:rFonts w:hint="eastAsia" w:ascii="宋体" w:hAnsi="宋体"/>
          <w:b/>
          <w:sz w:val="21"/>
          <w:szCs w:val="21"/>
          <w:u w:val="single"/>
        </w:rPr>
        <w:t>按金华市婺城区建设工程质量安全监督站要求执行</w:t>
      </w:r>
      <w:r>
        <w:rPr>
          <w:rFonts w:ascii="宋体" w:hAnsi="宋体"/>
          <w:sz w:val="21"/>
          <w:szCs w:val="21"/>
        </w:rPr>
        <w:t>。</w:t>
      </w:r>
      <w:r>
        <w:rPr>
          <w:rFonts w:hint="eastAsia" w:ascii="宋体" w:hAnsi="宋体"/>
          <w:sz w:val="21"/>
          <w:szCs w:val="21"/>
        </w:rPr>
        <w:t xml:space="preserve"> </w:t>
      </w:r>
    </w:p>
    <w:p w14:paraId="52C2106A">
      <w:pPr>
        <w:spacing w:line="360" w:lineRule="auto"/>
        <w:ind w:firstLine="315" w:firstLineChars="150"/>
        <w:jc w:val="left"/>
        <w:rPr>
          <w:rFonts w:ascii="宋体" w:hAnsi="宋体"/>
          <w:sz w:val="21"/>
          <w:szCs w:val="21"/>
          <w:u w:val="single"/>
        </w:rPr>
      </w:pPr>
      <w:r>
        <w:rPr>
          <w:rFonts w:ascii="宋体" w:hAnsi="宋体"/>
          <w:sz w:val="21"/>
          <w:szCs w:val="21"/>
        </w:rPr>
        <w:t>施工现场需要配备的试验设备：</w:t>
      </w:r>
      <w:r>
        <w:rPr>
          <w:rFonts w:hint="eastAsia" w:ascii="宋体" w:hAnsi="宋体"/>
          <w:b/>
          <w:sz w:val="21"/>
          <w:szCs w:val="21"/>
          <w:u w:val="single"/>
        </w:rPr>
        <w:t>按金华市婺城区建设工程质量安全监督站要求执行</w:t>
      </w:r>
      <w:r>
        <w:rPr>
          <w:rFonts w:ascii="宋体" w:hAnsi="宋体"/>
          <w:sz w:val="21"/>
          <w:szCs w:val="21"/>
        </w:rPr>
        <w:t>。</w:t>
      </w:r>
    </w:p>
    <w:p w14:paraId="3BFBF7C9">
      <w:pPr>
        <w:spacing w:line="360" w:lineRule="auto"/>
        <w:ind w:firstLine="315" w:firstLineChars="150"/>
        <w:jc w:val="left"/>
        <w:rPr>
          <w:rFonts w:ascii="宋体" w:hAnsi="宋体"/>
          <w:sz w:val="21"/>
          <w:szCs w:val="21"/>
          <w:u w:val="single"/>
        </w:rPr>
      </w:pPr>
      <w:r>
        <w:rPr>
          <w:rFonts w:ascii="宋体" w:hAnsi="宋体"/>
          <w:sz w:val="21"/>
          <w:szCs w:val="21"/>
        </w:rPr>
        <w:t>施工现场需要具备的其他试验条件：</w:t>
      </w:r>
      <w:r>
        <w:rPr>
          <w:rFonts w:ascii="宋体" w:hAnsi="宋体"/>
          <w:sz w:val="21"/>
          <w:szCs w:val="21"/>
          <w:u w:val="single"/>
        </w:rPr>
        <w:t xml:space="preserve">  </w:t>
      </w:r>
      <w:r>
        <w:rPr>
          <w:rFonts w:hint="eastAsia" w:ascii="宋体" w:hAnsi="宋体"/>
          <w:b/>
          <w:sz w:val="21"/>
          <w:szCs w:val="21"/>
          <w:u w:val="single"/>
        </w:rPr>
        <w:t>按金华市婺城区建设工程质量安全监督站要求执行</w:t>
      </w:r>
      <w:r>
        <w:rPr>
          <w:rFonts w:ascii="宋体" w:hAnsi="宋体"/>
          <w:sz w:val="21"/>
          <w:szCs w:val="21"/>
        </w:rPr>
        <w:t>。</w:t>
      </w:r>
    </w:p>
    <w:p w14:paraId="340A2402">
      <w:pPr>
        <w:spacing w:line="360" w:lineRule="auto"/>
        <w:ind w:firstLine="315" w:firstLineChars="150"/>
        <w:jc w:val="left"/>
        <w:rPr>
          <w:rFonts w:ascii="宋体" w:hAnsi="宋体"/>
          <w:sz w:val="21"/>
          <w:szCs w:val="21"/>
        </w:rPr>
      </w:pPr>
      <w:r>
        <w:rPr>
          <w:rFonts w:ascii="宋体" w:hAnsi="宋体"/>
          <w:sz w:val="21"/>
          <w:szCs w:val="21"/>
        </w:rPr>
        <w:t>9.</w:t>
      </w:r>
      <w:r>
        <w:rPr>
          <w:rFonts w:hint="eastAsia" w:ascii="宋体" w:hAnsi="宋体"/>
          <w:sz w:val="21"/>
          <w:szCs w:val="21"/>
        </w:rPr>
        <w:t>2</w:t>
      </w:r>
      <w:r>
        <w:rPr>
          <w:rFonts w:ascii="宋体" w:hAnsi="宋体"/>
          <w:sz w:val="21"/>
          <w:szCs w:val="21"/>
        </w:rPr>
        <w:t xml:space="preserve"> 现场工艺试验</w:t>
      </w:r>
      <w:r>
        <w:rPr>
          <w:rFonts w:hint="eastAsia" w:ascii="宋体" w:hAnsi="宋体"/>
          <w:sz w:val="21"/>
          <w:szCs w:val="21"/>
        </w:rPr>
        <w:t xml:space="preserve"> </w:t>
      </w:r>
    </w:p>
    <w:p w14:paraId="6E9713D6">
      <w:pPr>
        <w:spacing w:line="360" w:lineRule="auto"/>
        <w:ind w:firstLine="315" w:firstLineChars="150"/>
        <w:jc w:val="left"/>
        <w:rPr>
          <w:rFonts w:ascii="宋体" w:hAnsi="宋体"/>
          <w:sz w:val="21"/>
          <w:szCs w:val="21"/>
          <w:u w:val="single"/>
        </w:rPr>
      </w:pPr>
      <w:r>
        <w:rPr>
          <w:rFonts w:ascii="宋体" w:hAnsi="宋体"/>
          <w:sz w:val="21"/>
          <w:szCs w:val="21"/>
        </w:rPr>
        <w:t>现场工艺试验的有关约定：</w:t>
      </w:r>
      <w:r>
        <w:rPr>
          <w:rFonts w:hint="eastAsia" w:ascii="宋体" w:hAnsi="宋体"/>
          <w:b/>
          <w:sz w:val="21"/>
          <w:szCs w:val="21"/>
          <w:u w:val="single"/>
        </w:rPr>
        <w:t>按金华市婺城区建设工程质量安全监督站要求执行</w:t>
      </w:r>
      <w:r>
        <w:rPr>
          <w:rFonts w:ascii="宋体" w:hAnsi="宋体"/>
          <w:sz w:val="21"/>
          <w:szCs w:val="21"/>
        </w:rPr>
        <w:t>。</w:t>
      </w:r>
    </w:p>
    <w:bookmarkEnd w:id="329"/>
    <w:bookmarkEnd w:id="330"/>
    <w:bookmarkEnd w:id="331"/>
    <w:bookmarkEnd w:id="332"/>
    <w:bookmarkEnd w:id="333"/>
    <w:bookmarkEnd w:id="334"/>
    <w:bookmarkEnd w:id="335"/>
    <w:bookmarkEnd w:id="336"/>
    <w:p w14:paraId="41F98C69">
      <w:pPr>
        <w:spacing w:line="360" w:lineRule="auto"/>
        <w:ind w:firstLine="315" w:firstLineChars="150"/>
        <w:jc w:val="left"/>
        <w:rPr>
          <w:rFonts w:ascii="宋体" w:hAnsi="宋体"/>
          <w:bCs/>
          <w:sz w:val="21"/>
          <w:szCs w:val="21"/>
        </w:rPr>
      </w:pPr>
      <w:bookmarkStart w:id="337" w:name="_Toc351203642"/>
      <w:r>
        <w:rPr>
          <w:rFonts w:ascii="宋体" w:hAnsi="宋体"/>
          <w:bCs/>
          <w:sz w:val="21"/>
          <w:szCs w:val="21"/>
        </w:rPr>
        <w:t>1</w:t>
      </w:r>
      <w:bookmarkEnd w:id="303"/>
      <w:bookmarkEnd w:id="304"/>
      <w:bookmarkEnd w:id="305"/>
      <w:bookmarkEnd w:id="306"/>
      <w:bookmarkEnd w:id="307"/>
      <w:bookmarkEnd w:id="308"/>
      <w:bookmarkEnd w:id="309"/>
      <w:bookmarkEnd w:id="310"/>
      <w:bookmarkEnd w:id="311"/>
      <w:bookmarkEnd w:id="312"/>
      <w:bookmarkEnd w:id="313"/>
      <w:bookmarkEnd w:id="314"/>
      <w:bookmarkStart w:id="338" w:name="_Toc297123540"/>
      <w:bookmarkStart w:id="339" w:name="_Toc300934989"/>
      <w:bookmarkStart w:id="340" w:name="_Toc296944532"/>
      <w:bookmarkStart w:id="341" w:name="_Toc296891021"/>
      <w:bookmarkStart w:id="342" w:name="_Toc297216199"/>
      <w:bookmarkStart w:id="343" w:name="_Toc297048379"/>
      <w:bookmarkStart w:id="344" w:name="_Toc303539146"/>
      <w:bookmarkStart w:id="345" w:name="_Toc297120493"/>
      <w:bookmarkStart w:id="346" w:name="_Toc296891233"/>
      <w:bookmarkStart w:id="347" w:name="_Toc296347192"/>
      <w:bookmarkStart w:id="348" w:name="_Toc296503193"/>
      <w:bookmarkStart w:id="349" w:name="_Toc292559398"/>
      <w:bookmarkStart w:id="350" w:name="_Toc292559903"/>
      <w:bookmarkStart w:id="351" w:name="_Toc304295566"/>
      <w:bookmarkStart w:id="352" w:name="_Toc296346694"/>
      <w:bookmarkStart w:id="353" w:name="_Toc312677499"/>
      <w:bookmarkStart w:id="354" w:name="_Toc312678025"/>
      <w:bookmarkStart w:id="355" w:name="_Toc267251437"/>
      <w:bookmarkStart w:id="356" w:name="_Toc267251439"/>
      <w:bookmarkStart w:id="357" w:name="_Toc267251433"/>
      <w:bookmarkStart w:id="358" w:name="_Toc267251440"/>
      <w:bookmarkStart w:id="359" w:name="_Toc267251435"/>
      <w:bookmarkStart w:id="360" w:name="_Toc267251441"/>
      <w:bookmarkStart w:id="361" w:name="_Toc267251442"/>
      <w:r>
        <w:rPr>
          <w:rFonts w:ascii="宋体" w:hAnsi="宋体"/>
          <w:bCs/>
          <w:sz w:val="21"/>
          <w:szCs w:val="21"/>
        </w:rPr>
        <w:t>0. 变更</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p>
    <w:bookmarkEnd w:id="353"/>
    <w:bookmarkEnd w:id="354"/>
    <w:p w14:paraId="59307FF3">
      <w:pPr>
        <w:spacing w:line="360" w:lineRule="auto"/>
        <w:ind w:firstLine="315" w:firstLineChars="150"/>
        <w:jc w:val="left"/>
        <w:rPr>
          <w:rFonts w:ascii="宋体" w:hAnsi="宋体"/>
          <w:sz w:val="21"/>
          <w:szCs w:val="21"/>
        </w:rPr>
      </w:pPr>
      <w:r>
        <w:rPr>
          <w:rFonts w:ascii="宋体" w:hAnsi="宋体"/>
          <w:sz w:val="21"/>
          <w:szCs w:val="21"/>
        </w:rPr>
        <w:t>1</w:t>
      </w:r>
      <w:bookmarkStart w:id="362" w:name="_Toc296346695"/>
      <w:bookmarkStart w:id="363" w:name="_Toc296347193"/>
      <w:bookmarkStart w:id="364" w:name="_Toc304295567"/>
      <w:bookmarkStart w:id="365" w:name="_Toc296891234"/>
      <w:bookmarkStart w:id="366" w:name="_Toc292559399"/>
      <w:bookmarkStart w:id="367" w:name="_Toc303539147"/>
      <w:bookmarkStart w:id="368" w:name="_Toc296944533"/>
      <w:bookmarkStart w:id="369" w:name="_Toc297216200"/>
      <w:bookmarkStart w:id="370" w:name="_Toc297048380"/>
      <w:bookmarkStart w:id="371" w:name="_Toc296503194"/>
      <w:bookmarkStart w:id="372" w:name="_Toc296891022"/>
      <w:bookmarkStart w:id="373" w:name="_Toc292559904"/>
      <w:bookmarkStart w:id="374" w:name="_Toc297120494"/>
      <w:bookmarkStart w:id="375" w:name="_Toc300934990"/>
      <w:bookmarkStart w:id="376" w:name="_Toc297123541"/>
      <w:bookmarkStart w:id="377" w:name="_Toc312678026"/>
      <w:bookmarkStart w:id="378" w:name="_Toc312677500"/>
      <w:r>
        <w:rPr>
          <w:rFonts w:ascii="宋体" w:hAnsi="宋体"/>
          <w:sz w:val="21"/>
          <w:szCs w:val="21"/>
        </w:rPr>
        <w:t>0.1变更的范围</w:t>
      </w:r>
    </w:p>
    <w:p w14:paraId="4476BF88">
      <w:pPr>
        <w:spacing w:line="360" w:lineRule="auto"/>
        <w:ind w:firstLine="315" w:firstLineChars="150"/>
        <w:jc w:val="left"/>
        <w:rPr>
          <w:rFonts w:ascii="宋体" w:hAnsi="宋体"/>
          <w:sz w:val="21"/>
          <w:szCs w:val="21"/>
          <w:u w:val="single"/>
        </w:rPr>
      </w:pPr>
      <w:r>
        <w:rPr>
          <w:rFonts w:ascii="宋体" w:hAnsi="宋体"/>
          <w:sz w:val="21"/>
          <w:szCs w:val="21"/>
        </w:rPr>
        <w:t>关于变更的范围的约定：</w:t>
      </w:r>
      <w:r>
        <w:rPr>
          <w:rFonts w:hint="eastAsia" w:ascii="宋体" w:hAnsi="宋体"/>
          <w:sz w:val="21"/>
          <w:szCs w:val="21"/>
          <w:u w:val="single"/>
        </w:rPr>
        <w:t>①</w:t>
      </w:r>
      <w:r>
        <w:rPr>
          <w:rFonts w:ascii="宋体" w:hAnsi="宋体"/>
          <w:b/>
          <w:sz w:val="21"/>
          <w:szCs w:val="21"/>
          <w:u w:val="single"/>
        </w:rPr>
        <w:t>严格按变更程序办理。当本工程设计需要变更时，应经设计部门、监理单位及发包人认可出具工程设计变更联系单。施工单位无权单独与设计部门联系工程变更事宜。否则，该变更所发生的费用增加将不予认可。</w:t>
      </w:r>
      <w:r>
        <w:rPr>
          <w:rFonts w:hint="eastAsia" w:ascii="宋体" w:hAnsi="宋体"/>
          <w:b/>
          <w:sz w:val="21"/>
          <w:szCs w:val="21"/>
          <w:u w:val="single"/>
        </w:rPr>
        <w:t>②</w:t>
      </w:r>
      <w:r>
        <w:rPr>
          <w:rFonts w:ascii="宋体" w:hAnsi="宋体"/>
          <w:b/>
          <w:sz w:val="21"/>
          <w:szCs w:val="21"/>
          <w:u w:val="single"/>
        </w:rPr>
        <w:t>合同履行中发包人要求变更工程质量标准以及发生其他实质性变更的，由双方协商后按照生效文件解决。</w:t>
      </w:r>
      <w:r>
        <w:rPr>
          <w:rFonts w:ascii="宋体" w:hAnsi="宋体"/>
          <w:sz w:val="21"/>
          <w:szCs w:val="21"/>
          <w:u w:val="single"/>
        </w:rPr>
        <w:t xml:space="preserve"> </w:t>
      </w:r>
    </w:p>
    <w:p w14:paraId="0EB4F8B7">
      <w:pPr>
        <w:spacing w:line="360" w:lineRule="auto"/>
        <w:ind w:firstLine="315" w:firstLineChars="150"/>
        <w:jc w:val="left"/>
        <w:rPr>
          <w:rFonts w:ascii="宋体" w:hAnsi="宋体"/>
          <w:sz w:val="21"/>
          <w:szCs w:val="21"/>
        </w:rPr>
      </w:pPr>
      <w:r>
        <w:rPr>
          <w:rFonts w:ascii="宋体" w:hAnsi="宋体"/>
          <w:sz w:val="21"/>
          <w:szCs w:val="21"/>
        </w:rPr>
        <w:t>10.</w:t>
      </w:r>
      <w:r>
        <w:rPr>
          <w:rFonts w:hint="eastAsia" w:ascii="宋体" w:hAnsi="宋体"/>
          <w:sz w:val="21"/>
          <w:szCs w:val="21"/>
        </w:rPr>
        <w:t>2</w:t>
      </w:r>
      <w:r>
        <w:rPr>
          <w:rFonts w:ascii="宋体" w:hAnsi="宋体"/>
          <w:sz w:val="21"/>
          <w:szCs w:val="21"/>
        </w:rPr>
        <w:t xml:space="preserve"> 变更估价</w:t>
      </w:r>
    </w:p>
    <w:p w14:paraId="2458C6B5">
      <w:pPr>
        <w:spacing w:line="360" w:lineRule="auto"/>
        <w:ind w:firstLine="315" w:firstLineChars="150"/>
        <w:jc w:val="left"/>
        <w:rPr>
          <w:rFonts w:ascii="宋体" w:hAnsi="宋体"/>
          <w:sz w:val="21"/>
          <w:szCs w:val="21"/>
        </w:rPr>
      </w:pPr>
      <w:r>
        <w:rPr>
          <w:rFonts w:hint="eastAsia" w:ascii="宋体" w:hAnsi="宋体"/>
          <w:sz w:val="21"/>
          <w:szCs w:val="21"/>
        </w:rPr>
        <w:t>10.2.1 变更估价原则</w:t>
      </w:r>
    </w:p>
    <w:p w14:paraId="79F8C391">
      <w:pPr>
        <w:spacing w:line="360" w:lineRule="auto"/>
        <w:ind w:firstLine="315" w:firstLineChars="150"/>
        <w:jc w:val="left"/>
        <w:rPr>
          <w:rFonts w:hint="eastAsia" w:ascii="宋体" w:hAnsi="宋体"/>
          <w:b/>
          <w:sz w:val="21"/>
          <w:szCs w:val="21"/>
          <w:u w:val="single"/>
        </w:rPr>
      </w:pPr>
      <w:r>
        <w:rPr>
          <w:rFonts w:ascii="宋体" w:hAnsi="宋体"/>
          <w:sz w:val="21"/>
          <w:szCs w:val="21"/>
        </w:rPr>
        <w:t xml:space="preserve">关于变更估价的约定: </w:t>
      </w:r>
      <w:r>
        <w:rPr>
          <w:rFonts w:hint="eastAsia" w:ascii="宋体" w:hAnsi="宋体"/>
          <w:b/>
          <w:sz w:val="21"/>
          <w:szCs w:val="21"/>
          <w:u w:val="single"/>
        </w:rPr>
        <w:t>本工程在施工过程中所发生的联系单签证费等工程变更费用，应经监理单位及其造价师或第三方审计单位及发包人审核确认。</w:t>
      </w:r>
    </w:p>
    <w:p w14:paraId="45472308">
      <w:pPr>
        <w:spacing w:line="360" w:lineRule="auto"/>
        <w:ind w:firstLine="211" w:firstLineChars="100"/>
        <w:jc w:val="left"/>
        <w:rPr>
          <w:rFonts w:hint="eastAsia" w:ascii="宋体" w:hAnsi="宋体"/>
          <w:b/>
          <w:sz w:val="21"/>
          <w:szCs w:val="21"/>
          <w:u w:val="single"/>
        </w:rPr>
      </w:pPr>
      <w:r>
        <w:rPr>
          <w:rFonts w:hint="eastAsia" w:ascii="宋体" w:hAnsi="宋体"/>
          <w:b/>
          <w:sz w:val="21"/>
          <w:szCs w:val="21"/>
          <w:u w:val="single"/>
        </w:rPr>
        <w:t>（1）清单中有相同项目的，按照相同项目投标单价认定；</w:t>
      </w:r>
    </w:p>
    <w:p w14:paraId="596601C2">
      <w:pPr>
        <w:spacing w:line="360" w:lineRule="auto"/>
        <w:ind w:firstLine="211" w:firstLineChars="100"/>
        <w:jc w:val="left"/>
        <w:rPr>
          <w:rFonts w:hint="eastAsia" w:ascii="宋体" w:hAnsi="宋体"/>
          <w:b/>
          <w:sz w:val="21"/>
          <w:szCs w:val="21"/>
          <w:u w:val="single"/>
        </w:rPr>
      </w:pPr>
      <w:r>
        <w:rPr>
          <w:rFonts w:hint="eastAsia" w:ascii="宋体" w:hAnsi="宋体"/>
          <w:b/>
          <w:sz w:val="21"/>
          <w:szCs w:val="21"/>
          <w:u w:val="single"/>
        </w:rPr>
        <w:t>（2）清单中无相同项目，但有类似项目的，参照类似项目的投标单价认定；</w:t>
      </w:r>
    </w:p>
    <w:p w14:paraId="1BDB3F38">
      <w:pPr>
        <w:spacing w:line="360" w:lineRule="auto"/>
        <w:ind w:firstLine="211" w:firstLineChars="100"/>
        <w:jc w:val="left"/>
        <w:rPr>
          <w:rFonts w:hint="eastAsia" w:ascii="宋体" w:hAnsi="宋体"/>
          <w:b/>
          <w:sz w:val="21"/>
          <w:szCs w:val="21"/>
          <w:u w:val="single"/>
        </w:rPr>
      </w:pPr>
      <w:r>
        <w:rPr>
          <w:rFonts w:hint="eastAsia" w:ascii="宋体" w:hAnsi="宋体"/>
          <w:b/>
          <w:sz w:val="21"/>
          <w:szCs w:val="21"/>
          <w:u w:val="single"/>
        </w:rPr>
        <w:t>（3）没有适用的类型项目的，按现行2018版的浙江省建设工程计价规则、2018版计价定额及省市配套政策性计价文件等为合同价款计价依据。其中：施工组织措施费、企业管理费、利润、规费、税金费率按编制招标控制价口径计取，人工、材料价格按信息价或市场调查价。根据上述依据计算出的价格乘以（1-承包人投标下浮率），得出的价格为漏项或变更新增项目的结算价格。投标下浮率=1</w:t>
      </w:r>
      <w:r>
        <w:rPr>
          <w:rFonts w:ascii="宋体" w:hAnsi="宋体"/>
          <w:b/>
          <w:sz w:val="21"/>
          <w:szCs w:val="21"/>
          <w:u w:val="single"/>
        </w:rPr>
        <w:t>-</w:t>
      </w:r>
      <w:r>
        <w:rPr>
          <w:rFonts w:hint="eastAsia" w:ascii="宋体" w:hAnsi="宋体"/>
          <w:b/>
          <w:sz w:val="21"/>
          <w:szCs w:val="21"/>
          <w:u w:val="single"/>
        </w:rPr>
        <w:t>（中标价÷招标控制价）×1</w:t>
      </w:r>
      <w:r>
        <w:rPr>
          <w:rFonts w:ascii="宋体" w:hAnsi="宋体"/>
          <w:b/>
          <w:sz w:val="21"/>
          <w:szCs w:val="21"/>
          <w:u w:val="single"/>
        </w:rPr>
        <w:t>00</w:t>
      </w:r>
      <w:r>
        <w:rPr>
          <w:rFonts w:hint="eastAsia" w:ascii="宋体" w:hAnsi="宋体"/>
          <w:b/>
          <w:sz w:val="21"/>
          <w:szCs w:val="21"/>
          <w:u w:val="single"/>
        </w:rPr>
        <w:t>%。</w:t>
      </w:r>
    </w:p>
    <w:p w14:paraId="72CD85F2">
      <w:pPr>
        <w:spacing w:line="360" w:lineRule="auto"/>
        <w:ind w:firstLine="105" w:firstLineChars="50"/>
        <w:jc w:val="left"/>
        <w:rPr>
          <w:rFonts w:ascii="宋体" w:hAnsi="宋体"/>
          <w:b/>
          <w:sz w:val="21"/>
          <w:szCs w:val="21"/>
          <w:u w:val="single"/>
        </w:rPr>
      </w:pPr>
      <w:r>
        <w:rPr>
          <w:rFonts w:hint="eastAsia" w:ascii="宋体" w:hAnsi="宋体"/>
          <w:b/>
          <w:sz w:val="21"/>
          <w:szCs w:val="21"/>
          <w:u w:val="single"/>
        </w:rPr>
        <w:t>（4）发包人有权审查材料设备价格的合理性，新增材料设备单价按信息价（或市场价）乘以（1-承包人投标下浮率）进行结算</w:t>
      </w:r>
    </w:p>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14:paraId="4E3792CB">
      <w:pPr>
        <w:spacing w:line="360" w:lineRule="auto"/>
        <w:ind w:firstLine="315" w:firstLineChars="150"/>
        <w:jc w:val="left"/>
        <w:rPr>
          <w:rFonts w:ascii="宋体" w:hAnsi="宋体"/>
          <w:bCs/>
          <w:sz w:val="21"/>
          <w:szCs w:val="21"/>
        </w:rPr>
      </w:pPr>
      <w:bookmarkStart w:id="379" w:name="_Toc351203643"/>
      <w:r>
        <w:rPr>
          <w:rFonts w:ascii="宋体" w:hAnsi="宋体"/>
          <w:bCs/>
          <w:sz w:val="21"/>
          <w:szCs w:val="21"/>
        </w:rPr>
        <w:t>11. 价格调整</w:t>
      </w:r>
      <w:bookmarkEnd w:id="379"/>
    </w:p>
    <w:p w14:paraId="0121BE09">
      <w:pPr>
        <w:spacing w:line="360" w:lineRule="auto"/>
        <w:ind w:firstLine="315" w:firstLineChars="150"/>
        <w:jc w:val="left"/>
        <w:rPr>
          <w:rFonts w:ascii="宋体" w:hAnsi="宋体"/>
          <w:sz w:val="21"/>
          <w:szCs w:val="21"/>
        </w:rPr>
      </w:pPr>
      <w:bookmarkStart w:id="380" w:name="_Toc303539157"/>
      <w:bookmarkStart w:id="381" w:name="_Toc297123550"/>
      <w:bookmarkStart w:id="382" w:name="_Toc312678039"/>
      <w:bookmarkStart w:id="383" w:name="_Toc296347200"/>
      <w:bookmarkStart w:id="384" w:name="_Toc292559911"/>
      <w:bookmarkStart w:id="385" w:name="_Toc297216209"/>
      <w:bookmarkStart w:id="386" w:name="_Toc296944540"/>
      <w:bookmarkStart w:id="387" w:name="_Toc304295577"/>
      <w:bookmarkStart w:id="388" w:name="_Toc296346702"/>
      <w:bookmarkStart w:id="389" w:name="_Toc300935000"/>
      <w:bookmarkStart w:id="390" w:name="_Toc297120501"/>
      <w:bookmarkStart w:id="391" w:name="_Toc296891029"/>
      <w:bookmarkStart w:id="392" w:name="_Toc297048387"/>
      <w:bookmarkStart w:id="393" w:name="_Toc292559406"/>
      <w:bookmarkStart w:id="394" w:name="_Toc296891241"/>
      <w:bookmarkStart w:id="395" w:name="_Toc296503201"/>
      <w:r>
        <w:rPr>
          <w:rFonts w:ascii="宋体" w:hAnsi="宋体"/>
          <w:sz w:val="21"/>
          <w:szCs w:val="21"/>
        </w:rPr>
        <w:t>11.1 市场价格波动引起的调整</w:t>
      </w:r>
    </w:p>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p w14:paraId="171C1AB6">
      <w:pPr>
        <w:spacing w:line="360" w:lineRule="auto"/>
        <w:ind w:firstLine="315" w:firstLineChars="150"/>
        <w:jc w:val="left"/>
        <w:rPr>
          <w:rFonts w:ascii="宋体" w:hAnsi="宋体"/>
          <w:sz w:val="21"/>
          <w:szCs w:val="21"/>
          <w:highlight w:val="none"/>
        </w:rPr>
      </w:pPr>
      <w:r>
        <w:rPr>
          <w:rFonts w:ascii="宋体" w:hAnsi="宋体"/>
          <w:sz w:val="21"/>
          <w:szCs w:val="21"/>
        </w:rPr>
        <w:t>市场价格波动是否调整合同价格的</w:t>
      </w:r>
      <w:r>
        <w:rPr>
          <w:rFonts w:ascii="宋体" w:hAnsi="宋体"/>
          <w:sz w:val="21"/>
          <w:szCs w:val="21"/>
          <w:highlight w:val="none"/>
        </w:rPr>
        <w:t>约定：</w:t>
      </w:r>
      <w:r>
        <w:rPr>
          <w:rFonts w:hint="eastAsia" w:ascii="宋体" w:hAnsi="宋体"/>
          <w:b/>
          <w:sz w:val="21"/>
          <w:szCs w:val="21"/>
          <w:highlight w:val="none"/>
          <w:u w:val="single"/>
        </w:rPr>
        <w:t>汽油、柴油、钢材、水泥、商品混凝土、电线、电缆、砂等《金华建设工程造价信息》上的材料价格及人工市场单价涨跌超过±</w:t>
      </w:r>
      <w:r>
        <w:rPr>
          <w:rFonts w:hint="eastAsia" w:ascii="宋体" w:hAnsi="宋体"/>
          <w:b/>
          <w:sz w:val="21"/>
          <w:szCs w:val="21"/>
          <w:highlight w:val="none"/>
          <w:u w:val="single"/>
          <w:lang w:val="en-US" w:eastAsia="zh-CN"/>
        </w:rPr>
        <w:t>5</w:t>
      </w:r>
      <w:r>
        <w:rPr>
          <w:rFonts w:hint="eastAsia" w:ascii="宋体" w:hAnsi="宋体"/>
          <w:b/>
          <w:sz w:val="21"/>
          <w:szCs w:val="21"/>
          <w:highlight w:val="none"/>
          <w:u w:val="single"/>
        </w:rPr>
        <w:t>%以外的进行调整</w:t>
      </w:r>
      <w:r>
        <w:rPr>
          <w:rFonts w:ascii="宋体" w:hAnsi="宋体"/>
          <w:sz w:val="21"/>
          <w:szCs w:val="21"/>
          <w:highlight w:val="none"/>
        </w:rPr>
        <w:t>。</w:t>
      </w:r>
    </w:p>
    <w:p w14:paraId="3D8F5537">
      <w:pPr>
        <w:spacing w:line="360" w:lineRule="auto"/>
        <w:jc w:val="left"/>
        <w:rPr>
          <w:rFonts w:ascii="宋体" w:hAnsi="宋体"/>
          <w:sz w:val="21"/>
          <w:szCs w:val="21"/>
          <w:highlight w:val="none"/>
        </w:rPr>
      </w:pPr>
      <w:r>
        <w:rPr>
          <w:rFonts w:ascii="宋体" w:hAnsi="宋体"/>
          <w:sz w:val="21"/>
          <w:szCs w:val="21"/>
          <w:highlight w:val="none"/>
        </w:rPr>
        <w:t>因市场价格波动调整合同价格，采用以下方式对合同价格进行调整：</w:t>
      </w:r>
    </w:p>
    <w:p w14:paraId="777DBEC1">
      <w:pPr>
        <w:spacing w:line="360" w:lineRule="auto"/>
        <w:ind w:firstLine="420" w:firstLineChars="200"/>
        <w:jc w:val="left"/>
        <w:rPr>
          <w:rFonts w:ascii="宋体" w:hAnsi="宋体"/>
          <w:b/>
          <w:sz w:val="21"/>
          <w:szCs w:val="21"/>
          <w:highlight w:val="none"/>
          <w:u w:val="single"/>
        </w:rPr>
      </w:pPr>
      <w:r>
        <w:rPr>
          <w:rFonts w:ascii="宋体" w:hAnsi="宋体"/>
          <w:sz w:val="21"/>
          <w:szCs w:val="21"/>
          <w:highlight w:val="none"/>
        </w:rPr>
        <w:t>其他价格调整方式：</w:t>
      </w:r>
      <w:r>
        <w:rPr>
          <w:rFonts w:hint="eastAsia" w:ascii="宋体" w:hAnsi="宋体"/>
          <w:b/>
          <w:sz w:val="21"/>
          <w:szCs w:val="21"/>
          <w:highlight w:val="none"/>
          <w:u w:val="single"/>
        </w:rPr>
        <w:t>汽油、柴油、钢材、水泥、商品混凝土、电线、电缆、砂等《金华建设工程造价信息》上的材料</w:t>
      </w:r>
      <w:r>
        <w:rPr>
          <w:rFonts w:hint="eastAsia" w:ascii="宋体" w:hAnsi="宋体"/>
          <w:b/>
          <w:sz w:val="21"/>
          <w:szCs w:val="21"/>
          <w:highlight w:val="none"/>
          <w:u w:val="single"/>
          <w:lang w:val="en-US" w:eastAsia="zh-CN"/>
        </w:rPr>
        <w:t>及人工</w:t>
      </w:r>
      <w:r>
        <w:rPr>
          <w:rFonts w:hint="eastAsia" w:ascii="宋体" w:hAnsi="宋体"/>
          <w:b/>
          <w:sz w:val="21"/>
          <w:szCs w:val="21"/>
          <w:highlight w:val="none"/>
          <w:u w:val="single"/>
        </w:rPr>
        <w:t>价格按施工合同工期前80%月份的金华信息价格平均值与编制预算控制价当月月份的</w:t>
      </w:r>
      <w:r>
        <w:rPr>
          <w:rFonts w:ascii="宋体" w:hAnsi="宋体"/>
          <w:b/>
          <w:sz w:val="21"/>
          <w:szCs w:val="21"/>
          <w:highlight w:val="none"/>
          <w:u w:val="single"/>
        </w:rPr>
        <w:t>《</w:t>
      </w:r>
      <w:r>
        <w:rPr>
          <w:rFonts w:hint="eastAsia" w:ascii="宋体" w:hAnsi="宋体"/>
          <w:b/>
          <w:sz w:val="21"/>
          <w:szCs w:val="21"/>
          <w:highlight w:val="none"/>
          <w:u w:val="single"/>
        </w:rPr>
        <w:t>金华建设</w:t>
      </w:r>
      <w:r>
        <w:rPr>
          <w:rFonts w:ascii="宋体" w:hAnsi="宋体"/>
          <w:b/>
          <w:sz w:val="21"/>
          <w:szCs w:val="21"/>
          <w:highlight w:val="none"/>
          <w:u w:val="single"/>
        </w:rPr>
        <w:t>工程造价信息》</w:t>
      </w:r>
      <w:r>
        <w:rPr>
          <w:rFonts w:hint="eastAsia" w:ascii="宋体" w:hAnsi="宋体"/>
          <w:b/>
          <w:sz w:val="21"/>
          <w:szCs w:val="21"/>
          <w:highlight w:val="none"/>
          <w:u w:val="single"/>
        </w:rPr>
        <w:t>相比上涨或下跌幅度在</w:t>
      </w:r>
      <w:r>
        <w:rPr>
          <w:rFonts w:hint="eastAsia" w:ascii="宋体" w:hAnsi="宋体"/>
          <w:b/>
          <w:sz w:val="21"/>
          <w:szCs w:val="21"/>
          <w:highlight w:val="none"/>
          <w:u w:val="single"/>
          <w:lang w:val="en-US" w:eastAsia="zh-CN"/>
        </w:rPr>
        <w:t>5</w:t>
      </w:r>
      <w:r>
        <w:rPr>
          <w:rFonts w:hint="eastAsia" w:ascii="宋体" w:hAnsi="宋体"/>
          <w:b/>
          <w:sz w:val="21"/>
          <w:szCs w:val="21"/>
          <w:highlight w:val="none"/>
          <w:u w:val="single"/>
        </w:rPr>
        <w:t>%（含）以内的部分，中标后一律不作调整。对超过</w:t>
      </w:r>
      <w:r>
        <w:rPr>
          <w:rFonts w:hint="eastAsia" w:ascii="宋体" w:hAnsi="宋体"/>
          <w:b/>
          <w:sz w:val="21"/>
          <w:szCs w:val="21"/>
          <w:highlight w:val="none"/>
          <w:u w:val="single"/>
          <w:lang w:val="en-US" w:eastAsia="zh-CN"/>
        </w:rPr>
        <w:t>5</w:t>
      </w:r>
      <w:r>
        <w:rPr>
          <w:rFonts w:hint="eastAsia" w:ascii="宋体" w:hAnsi="宋体"/>
          <w:b/>
          <w:sz w:val="21"/>
          <w:szCs w:val="21"/>
          <w:highlight w:val="none"/>
          <w:u w:val="single"/>
        </w:rPr>
        <w:t>%（不含）部分按施工合同工期前80%月份的</w:t>
      </w:r>
      <w:r>
        <w:rPr>
          <w:rFonts w:ascii="宋体" w:hAnsi="宋体"/>
          <w:b/>
          <w:sz w:val="21"/>
          <w:szCs w:val="21"/>
          <w:highlight w:val="none"/>
          <w:u w:val="single"/>
        </w:rPr>
        <w:t>《</w:t>
      </w:r>
      <w:r>
        <w:rPr>
          <w:rFonts w:hint="eastAsia" w:ascii="宋体" w:hAnsi="宋体"/>
          <w:b/>
          <w:sz w:val="21"/>
          <w:szCs w:val="21"/>
          <w:highlight w:val="none"/>
          <w:u w:val="single"/>
        </w:rPr>
        <w:t>金华建设</w:t>
      </w:r>
      <w:r>
        <w:rPr>
          <w:rFonts w:ascii="宋体" w:hAnsi="宋体"/>
          <w:b/>
          <w:sz w:val="21"/>
          <w:szCs w:val="21"/>
          <w:highlight w:val="none"/>
          <w:u w:val="single"/>
        </w:rPr>
        <w:t>工程造价信息》</w:t>
      </w:r>
      <w:r>
        <w:rPr>
          <w:rFonts w:hint="eastAsia" w:ascii="宋体" w:hAnsi="宋体"/>
          <w:b/>
          <w:sz w:val="21"/>
          <w:szCs w:val="21"/>
          <w:highlight w:val="none"/>
          <w:u w:val="single"/>
        </w:rPr>
        <w:t>平均值与编制预算控制价当月月份的</w:t>
      </w:r>
      <w:r>
        <w:rPr>
          <w:rFonts w:ascii="宋体" w:hAnsi="宋体"/>
          <w:b/>
          <w:sz w:val="21"/>
          <w:szCs w:val="21"/>
          <w:highlight w:val="none"/>
          <w:u w:val="single"/>
        </w:rPr>
        <w:t>《</w:t>
      </w:r>
      <w:r>
        <w:rPr>
          <w:rFonts w:hint="eastAsia" w:ascii="宋体" w:hAnsi="宋体"/>
          <w:b/>
          <w:sz w:val="21"/>
          <w:szCs w:val="21"/>
          <w:highlight w:val="none"/>
          <w:u w:val="single"/>
        </w:rPr>
        <w:t>金华建设</w:t>
      </w:r>
      <w:r>
        <w:rPr>
          <w:rFonts w:ascii="宋体" w:hAnsi="宋体"/>
          <w:b/>
          <w:sz w:val="21"/>
          <w:szCs w:val="21"/>
          <w:highlight w:val="none"/>
          <w:u w:val="single"/>
        </w:rPr>
        <w:t>工程造价信息》</w:t>
      </w:r>
      <w:r>
        <w:rPr>
          <w:rFonts w:hint="eastAsia" w:ascii="宋体" w:hAnsi="宋体"/>
          <w:b/>
          <w:sz w:val="21"/>
          <w:szCs w:val="21"/>
          <w:highlight w:val="none"/>
          <w:u w:val="single"/>
        </w:rPr>
        <w:t>差值进行调差，调整部分</w:t>
      </w:r>
      <w:r>
        <w:rPr>
          <w:rFonts w:hint="eastAsia" w:ascii="宋体" w:hAnsi="宋体"/>
          <w:b/>
          <w:sz w:val="21"/>
          <w:szCs w:val="21"/>
          <w:highlight w:val="none"/>
          <w:u w:val="single"/>
          <w:lang w:val="en-US" w:eastAsia="zh-CN"/>
        </w:rPr>
        <w:t>由</w:t>
      </w:r>
      <w:r>
        <w:rPr>
          <w:rFonts w:hint="eastAsia" w:ascii="宋体" w:hAnsi="宋体"/>
          <w:b/>
          <w:sz w:val="21"/>
          <w:szCs w:val="21"/>
          <w:highlight w:val="none"/>
          <w:u w:val="single"/>
        </w:rPr>
        <w:t>发包人承担</w:t>
      </w:r>
      <w:r>
        <w:rPr>
          <w:rFonts w:hint="eastAsia" w:ascii="宋体" w:hAnsi="宋体"/>
          <w:b/>
          <w:sz w:val="21"/>
          <w:szCs w:val="21"/>
          <w:highlight w:val="none"/>
          <w:u w:val="single"/>
          <w:lang w:val="en-US" w:eastAsia="zh-CN"/>
        </w:rPr>
        <w:t>或受益</w:t>
      </w:r>
      <w:r>
        <w:rPr>
          <w:rFonts w:hint="eastAsia" w:ascii="宋体" w:hAnsi="宋体"/>
          <w:b/>
          <w:sz w:val="21"/>
          <w:szCs w:val="21"/>
          <w:highlight w:val="none"/>
          <w:u w:val="single"/>
        </w:rPr>
        <w:t>（特别说明：对由于承包人原因延误工期而遇上价格上涨的，则价格上涨金额由承包人自行承担；对由于承包人原因延误工期而遇上价格下跌的，则价格下跌金额由发包人从承包人工程款中扣除）。对超过</w:t>
      </w:r>
      <w:r>
        <w:rPr>
          <w:rFonts w:hint="eastAsia" w:ascii="宋体" w:hAnsi="宋体"/>
          <w:b/>
          <w:sz w:val="21"/>
          <w:szCs w:val="21"/>
          <w:highlight w:val="none"/>
          <w:u w:val="single"/>
          <w:lang w:val="en-US" w:eastAsia="zh-CN"/>
        </w:rPr>
        <w:t>5</w:t>
      </w:r>
      <w:r>
        <w:rPr>
          <w:rFonts w:hint="eastAsia" w:ascii="宋体" w:hAnsi="宋体"/>
          <w:b/>
          <w:sz w:val="21"/>
          <w:szCs w:val="21"/>
          <w:highlight w:val="none"/>
          <w:u w:val="single"/>
        </w:rPr>
        <w:t>%部分的材料</w:t>
      </w:r>
      <w:r>
        <w:rPr>
          <w:rFonts w:hint="eastAsia" w:ascii="宋体" w:hAnsi="宋体"/>
          <w:b/>
          <w:sz w:val="21"/>
          <w:szCs w:val="21"/>
          <w:highlight w:val="none"/>
          <w:u w:val="single"/>
          <w:lang w:val="en-US" w:eastAsia="zh-CN"/>
        </w:rPr>
        <w:t>及人工</w:t>
      </w:r>
      <w:r>
        <w:rPr>
          <w:rFonts w:hint="eastAsia" w:ascii="宋体" w:hAnsi="宋体"/>
          <w:b/>
          <w:sz w:val="21"/>
          <w:szCs w:val="21"/>
          <w:highlight w:val="none"/>
          <w:u w:val="single"/>
        </w:rPr>
        <w:t>价差，只计取差价和税金，不计取其他费用。其它材料均按投标价执行，不予调整。调整的费用由第三方审计单位负责调整确认，并在</w:t>
      </w:r>
      <w:r>
        <w:rPr>
          <w:rFonts w:ascii="宋体" w:hAnsi="宋体"/>
          <w:b/>
          <w:bCs/>
          <w:sz w:val="21"/>
          <w:szCs w:val="21"/>
          <w:highlight w:val="none"/>
          <w:u w:val="single"/>
        </w:rPr>
        <w:t>工程结算审计后一次性支付</w:t>
      </w:r>
      <w:r>
        <w:rPr>
          <w:rFonts w:hint="eastAsia" w:ascii="宋体" w:hAnsi="宋体"/>
          <w:b/>
          <w:bCs/>
          <w:sz w:val="21"/>
          <w:szCs w:val="21"/>
          <w:highlight w:val="none"/>
          <w:u w:val="single"/>
        </w:rPr>
        <w:t>。</w:t>
      </w:r>
      <w:r>
        <w:rPr>
          <w:rFonts w:hint="eastAsia" w:ascii="宋体" w:hAnsi="宋体"/>
          <w:b/>
          <w:sz w:val="21"/>
          <w:szCs w:val="21"/>
          <w:highlight w:val="none"/>
          <w:u w:val="single"/>
        </w:rPr>
        <w:t xml:space="preserve"> </w:t>
      </w:r>
    </w:p>
    <w:bookmarkEnd w:id="355"/>
    <w:bookmarkEnd w:id="356"/>
    <w:bookmarkEnd w:id="357"/>
    <w:bookmarkEnd w:id="358"/>
    <w:bookmarkEnd w:id="359"/>
    <w:bookmarkEnd w:id="360"/>
    <w:p w14:paraId="63747845">
      <w:pPr>
        <w:spacing w:line="360" w:lineRule="auto"/>
        <w:ind w:firstLine="420" w:firstLineChars="200"/>
        <w:jc w:val="left"/>
        <w:rPr>
          <w:rFonts w:ascii="宋体" w:hAnsi="宋体"/>
          <w:bCs/>
          <w:sz w:val="21"/>
          <w:szCs w:val="21"/>
          <w:highlight w:val="none"/>
        </w:rPr>
      </w:pPr>
      <w:bookmarkStart w:id="396" w:name="_Toc292559410"/>
      <w:bookmarkStart w:id="397" w:name="_Toc297120505"/>
      <w:bookmarkStart w:id="398" w:name="_Toc292559915"/>
      <w:bookmarkStart w:id="399" w:name="_Toc297048391"/>
      <w:bookmarkStart w:id="400" w:name="_Toc296891245"/>
      <w:bookmarkStart w:id="401" w:name="_Toc296347204"/>
      <w:bookmarkStart w:id="402" w:name="_Toc296944544"/>
      <w:bookmarkStart w:id="403" w:name="_Toc296346706"/>
      <w:bookmarkStart w:id="404" w:name="_Toc296503205"/>
      <w:bookmarkStart w:id="405" w:name="_Toc296891033"/>
      <w:bookmarkStart w:id="406" w:name="_Toc351203644"/>
      <w:bookmarkStart w:id="407" w:name="_Toc297123552"/>
      <w:bookmarkStart w:id="408" w:name="_Toc297216211"/>
      <w:bookmarkStart w:id="409" w:name="_Toc312678040"/>
      <w:bookmarkStart w:id="410" w:name="_Toc304295579"/>
      <w:bookmarkStart w:id="411" w:name="_Toc303539159"/>
      <w:bookmarkStart w:id="412" w:name="_Toc300935002"/>
      <w:r>
        <w:rPr>
          <w:rFonts w:ascii="宋体" w:hAnsi="宋体"/>
          <w:bCs/>
          <w:sz w:val="21"/>
          <w:szCs w:val="21"/>
          <w:highlight w:val="none"/>
        </w:rPr>
        <w:t xml:space="preserve">12. </w:t>
      </w:r>
      <w:bookmarkEnd w:id="396"/>
      <w:bookmarkEnd w:id="397"/>
      <w:bookmarkEnd w:id="398"/>
      <w:bookmarkEnd w:id="399"/>
      <w:bookmarkEnd w:id="400"/>
      <w:bookmarkEnd w:id="401"/>
      <w:bookmarkEnd w:id="402"/>
      <w:bookmarkEnd w:id="403"/>
      <w:bookmarkEnd w:id="404"/>
      <w:bookmarkEnd w:id="405"/>
      <w:r>
        <w:rPr>
          <w:rFonts w:ascii="宋体" w:hAnsi="宋体"/>
          <w:bCs/>
          <w:sz w:val="21"/>
          <w:szCs w:val="21"/>
          <w:highlight w:val="none"/>
        </w:rPr>
        <w:t>合同价格、计量与支付</w:t>
      </w:r>
      <w:bookmarkEnd w:id="406"/>
    </w:p>
    <w:bookmarkEnd w:id="407"/>
    <w:bookmarkEnd w:id="408"/>
    <w:bookmarkEnd w:id="409"/>
    <w:bookmarkEnd w:id="410"/>
    <w:bookmarkEnd w:id="411"/>
    <w:bookmarkEnd w:id="412"/>
    <w:p w14:paraId="184CB6E9">
      <w:pPr>
        <w:spacing w:line="360" w:lineRule="auto"/>
        <w:ind w:firstLine="420" w:firstLineChars="200"/>
        <w:jc w:val="left"/>
        <w:rPr>
          <w:rFonts w:ascii="宋体" w:hAnsi="宋体"/>
          <w:sz w:val="21"/>
          <w:szCs w:val="21"/>
        </w:rPr>
      </w:pPr>
      <w:bookmarkStart w:id="413" w:name="_Toc292559916"/>
      <w:bookmarkStart w:id="414" w:name="_Toc267251461"/>
      <w:bookmarkStart w:id="415" w:name="_Toc292559411"/>
      <w:bookmarkStart w:id="416" w:name="_Toc296503206"/>
      <w:bookmarkStart w:id="417" w:name="_Toc296347205"/>
      <w:bookmarkStart w:id="418" w:name="_Toc296891246"/>
      <w:bookmarkStart w:id="419" w:name="_Toc296891034"/>
      <w:bookmarkStart w:id="420" w:name="_Toc297048392"/>
      <w:bookmarkStart w:id="421" w:name="_Toc296346707"/>
      <w:bookmarkStart w:id="422" w:name="_Toc296944545"/>
      <w:bookmarkStart w:id="423" w:name="_Toc297120506"/>
      <w:bookmarkStart w:id="424" w:name="_Toc312678041"/>
      <w:bookmarkStart w:id="425" w:name="_Toc297216212"/>
      <w:bookmarkStart w:id="426" w:name="_Toc297123553"/>
      <w:bookmarkStart w:id="427" w:name="_Toc304295580"/>
      <w:bookmarkStart w:id="428" w:name="_Toc300935003"/>
      <w:bookmarkStart w:id="429" w:name="_Toc303539160"/>
      <w:r>
        <w:rPr>
          <w:rFonts w:ascii="宋体" w:hAnsi="宋体"/>
          <w:sz w:val="21"/>
          <w:szCs w:val="21"/>
        </w:rPr>
        <w:t>12.1 合</w:t>
      </w:r>
      <w:bookmarkEnd w:id="413"/>
      <w:bookmarkEnd w:id="414"/>
      <w:bookmarkEnd w:id="415"/>
      <w:r>
        <w:rPr>
          <w:rFonts w:ascii="宋体" w:hAnsi="宋体"/>
          <w:sz w:val="21"/>
          <w:szCs w:val="21"/>
        </w:rPr>
        <w:t>同价</w:t>
      </w:r>
      <w:bookmarkEnd w:id="416"/>
      <w:bookmarkEnd w:id="417"/>
      <w:bookmarkEnd w:id="418"/>
      <w:bookmarkEnd w:id="419"/>
      <w:bookmarkEnd w:id="420"/>
      <w:bookmarkEnd w:id="421"/>
      <w:bookmarkEnd w:id="422"/>
      <w:bookmarkEnd w:id="423"/>
      <w:r>
        <w:rPr>
          <w:rFonts w:ascii="宋体" w:hAnsi="宋体"/>
          <w:sz w:val="21"/>
          <w:szCs w:val="21"/>
        </w:rPr>
        <w:t>格形式</w:t>
      </w:r>
    </w:p>
    <w:bookmarkEnd w:id="424"/>
    <w:bookmarkEnd w:id="425"/>
    <w:bookmarkEnd w:id="426"/>
    <w:bookmarkEnd w:id="427"/>
    <w:bookmarkEnd w:id="428"/>
    <w:bookmarkEnd w:id="429"/>
    <w:p w14:paraId="5B2AEC85">
      <w:pPr>
        <w:spacing w:line="360" w:lineRule="auto"/>
        <w:ind w:firstLine="420" w:firstLineChars="200"/>
        <w:jc w:val="left"/>
        <w:rPr>
          <w:rFonts w:ascii="宋体" w:hAnsi="宋体"/>
          <w:sz w:val="21"/>
          <w:szCs w:val="21"/>
        </w:rPr>
      </w:pPr>
      <w:r>
        <w:rPr>
          <w:rFonts w:ascii="宋体" w:hAnsi="宋体"/>
          <w:sz w:val="21"/>
          <w:szCs w:val="21"/>
        </w:rPr>
        <w:t>1、单价合同</w:t>
      </w:r>
      <w:r>
        <w:rPr>
          <w:rFonts w:hint="eastAsia" w:ascii="宋体" w:hAnsi="宋体"/>
          <w:sz w:val="21"/>
          <w:szCs w:val="21"/>
        </w:rPr>
        <w:t>：</w:t>
      </w:r>
      <w:r>
        <w:rPr>
          <w:rFonts w:hint="eastAsia" w:ascii="宋体" w:hAnsi="宋体"/>
          <w:b/>
          <w:sz w:val="21"/>
          <w:szCs w:val="21"/>
          <w:u w:val="single"/>
        </w:rPr>
        <w:t>固定综合单价合同。</w:t>
      </w:r>
    </w:p>
    <w:p w14:paraId="7BA4A89F">
      <w:pPr>
        <w:spacing w:line="360" w:lineRule="auto"/>
        <w:ind w:firstLine="420" w:firstLineChars="200"/>
        <w:jc w:val="left"/>
        <w:rPr>
          <w:rFonts w:ascii="宋体" w:hAnsi="宋体"/>
          <w:sz w:val="21"/>
          <w:szCs w:val="21"/>
          <w:u w:val="single"/>
        </w:rPr>
      </w:pPr>
      <w:r>
        <w:rPr>
          <w:rFonts w:ascii="宋体" w:hAnsi="宋体"/>
          <w:sz w:val="21"/>
          <w:szCs w:val="21"/>
        </w:rPr>
        <w:t>综合单价包含的风险范围：</w:t>
      </w:r>
      <w:r>
        <w:rPr>
          <w:rFonts w:ascii="宋体" w:hAnsi="宋体"/>
          <w:sz w:val="21"/>
          <w:szCs w:val="21"/>
          <w:u w:val="single"/>
        </w:rPr>
        <w:t xml:space="preserve">  </w:t>
      </w:r>
      <w:r>
        <w:rPr>
          <w:rFonts w:hint="eastAsia" w:ascii="宋体" w:hAnsi="宋体"/>
          <w:b/>
          <w:sz w:val="21"/>
          <w:szCs w:val="21"/>
          <w:u w:val="single"/>
        </w:rPr>
        <w:t>a</w:t>
      </w:r>
      <w:r>
        <w:rPr>
          <w:rFonts w:ascii="宋体" w:hAnsi="宋体"/>
          <w:b/>
          <w:sz w:val="21"/>
          <w:szCs w:val="21"/>
          <w:u w:val="single"/>
        </w:rPr>
        <w:t>、定额、标准、费率及规范调整；</w:t>
      </w:r>
      <w:r>
        <w:rPr>
          <w:rFonts w:hint="eastAsia" w:ascii="宋体" w:hAnsi="宋体"/>
          <w:b/>
          <w:sz w:val="21"/>
          <w:szCs w:val="21"/>
          <w:u w:val="single"/>
        </w:rPr>
        <w:t>b</w:t>
      </w:r>
      <w:r>
        <w:rPr>
          <w:rFonts w:ascii="宋体" w:hAnsi="宋体"/>
          <w:b/>
          <w:sz w:val="21"/>
          <w:szCs w:val="21"/>
          <w:u w:val="single"/>
        </w:rPr>
        <w:t>、可能出现的各种不利因素，而影响工期和造价所增加的费用；</w:t>
      </w:r>
      <w:r>
        <w:rPr>
          <w:rFonts w:hint="eastAsia" w:ascii="宋体" w:hAnsi="宋体"/>
          <w:b/>
          <w:sz w:val="21"/>
          <w:szCs w:val="21"/>
          <w:u w:val="single"/>
        </w:rPr>
        <w:t>c</w:t>
      </w:r>
      <w:r>
        <w:rPr>
          <w:rFonts w:ascii="宋体" w:hAnsi="宋体"/>
          <w:b/>
          <w:sz w:val="21"/>
          <w:szCs w:val="21"/>
          <w:u w:val="single"/>
        </w:rPr>
        <w:t>、国家政策变化以及一个有经验的承包人可以或应该预见的风险。</w:t>
      </w:r>
      <w:r>
        <w:rPr>
          <w:rFonts w:ascii="宋体" w:hAnsi="宋体"/>
          <w:sz w:val="21"/>
          <w:szCs w:val="21"/>
          <w:u w:val="single"/>
        </w:rPr>
        <w:t xml:space="preserve"> </w:t>
      </w:r>
    </w:p>
    <w:p w14:paraId="3665D9D5">
      <w:pPr>
        <w:spacing w:line="360" w:lineRule="auto"/>
        <w:ind w:firstLine="315" w:firstLineChars="150"/>
        <w:jc w:val="left"/>
        <w:rPr>
          <w:rFonts w:ascii="宋体" w:hAnsi="宋体"/>
          <w:sz w:val="21"/>
          <w:szCs w:val="21"/>
          <w:u w:val="single"/>
        </w:rPr>
      </w:pPr>
      <w:r>
        <w:rPr>
          <w:rFonts w:ascii="宋体" w:hAnsi="宋体"/>
          <w:sz w:val="21"/>
          <w:szCs w:val="21"/>
        </w:rPr>
        <w:t>风险费用的计算方法：</w:t>
      </w:r>
      <w:r>
        <w:rPr>
          <w:rFonts w:ascii="宋体" w:hAnsi="宋体"/>
          <w:b/>
          <w:sz w:val="21"/>
          <w:szCs w:val="21"/>
          <w:u w:val="single"/>
        </w:rPr>
        <w:t>以上风险费用应在投标报价时考虑，不再另行计取。</w:t>
      </w:r>
    </w:p>
    <w:p w14:paraId="5CA7E29D">
      <w:pPr>
        <w:spacing w:line="360" w:lineRule="auto"/>
        <w:ind w:firstLine="315" w:firstLineChars="150"/>
        <w:jc w:val="left"/>
        <w:rPr>
          <w:rFonts w:hint="eastAsia" w:ascii="宋体" w:hAnsi="宋体"/>
          <w:sz w:val="21"/>
          <w:szCs w:val="21"/>
        </w:rPr>
      </w:pPr>
      <w:r>
        <w:rPr>
          <w:rFonts w:ascii="宋体" w:hAnsi="宋体"/>
          <w:sz w:val="21"/>
          <w:szCs w:val="21"/>
        </w:rPr>
        <w:t>风险范围以外合同价格的调整方法：</w:t>
      </w:r>
      <w:r>
        <w:rPr>
          <w:rFonts w:ascii="宋体" w:hAnsi="宋体"/>
          <w:sz w:val="21"/>
          <w:szCs w:val="21"/>
          <w:u w:val="single"/>
        </w:rPr>
        <w:t xml:space="preserve"> </w:t>
      </w:r>
      <w:r>
        <w:rPr>
          <w:rFonts w:hint="eastAsia" w:ascii="宋体" w:hAnsi="宋体"/>
          <w:b/>
          <w:sz w:val="21"/>
          <w:szCs w:val="21"/>
          <w:u w:val="single"/>
        </w:rPr>
        <w:t>a</w:t>
      </w:r>
      <w:r>
        <w:rPr>
          <w:rFonts w:ascii="宋体" w:hAnsi="宋体"/>
          <w:b/>
          <w:sz w:val="21"/>
          <w:szCs w:val="21"/>
          <w:u w:val="single"/>
        </w:rPr>
        <w:t>、</w:t>
      </w:r>
      <w:r>
        <w:rPr>
          <w:rFonts w:hint="eastAsia" w:ascii="宋体" w:hAnsi="宋体"/>
          <w:sz w:val="21"/>
          <w:szCs w:val="21"/>
          <w:u w:val="single"/>
        </w:rPr>
        <w:t>符合11.1情形引起价格调整的按11.1执行</w:t>
      </w:r>
      <w:r>
        <w:rPr>
          <w:rFonts w:hint="eastAsia" w:ascii="宋体" w:hAnsi="宋体"/>
          <w:b/>
          <w:sz w:val="21"/>
          <w:szCs w:val="21"/>
          <w:u w:val="single"/>
        </w:rPr>
        <w:t>；</w:t>
      </w:r>
    </w:p>
    <w:p w14:paraId="2F968BD9">
      <w:pPr>
        <w:spacing w:line="360" w:lineRule="auto"/>
        <w:ind w:firstLine="316" w:firstLineChars="150"/>
        <w:jc w:val="left"/>
        <w:rPr>
          <w:rFonts w:ascii="宋体" w:hAnsi="宋体"/>
          <w:b/>
          <w:sz w:val="21"/>
          <w:szCs w:val="21"/>
          <w:u w:val="single"/>
        </w:rPr>
      </w:pPr>
      <w:r>
        <w:rPr>
          <w:rFonts w:hint="eastAsia" w:ascii="宋体" w:hAnsi="宋体"/>
          <w:b/>
          <w:sz w:val="21"/>
          <w:szCs w:val="21"/>
          <w:u w:val="single"/>
        </w:rPr>
        <w:t>b</w:t>
      </w:r>
      <w:r>
        <w:rPr>
          <w:rFonts w:ascii="宋体" w:hAnsi="宋体"/>
          <w:b/>
          <w:sz w:val="21"/>
          <w:szCs w:val="21"/>
          <w:u w:val="single"/>
        </w:rPr>
        <w:t>、工程数量以施工图纸、设计变更和经签证的工程联系单为基础，按</w:t>
      </w:r>
      <w:r>
        <w:rPr>
          <w:rFonts w:hint="eastAsia" w:ascii="宋体" w:hAnsi="宋体"/>
          <w:b/>
          <w:sz w:val="21"/>
          <w:szCs w:val="21"/>
          <w:u w:val="single"/>
          <w:lang w:val="zh-CN"/>
        </w:rPr>
        <w:t>《建设工程工程量清单计价规范</w:t>
      </w:r>
      <w:r>
        <w:rPr>
          <w:rFonts w:ascii="宋体" w:hAnsi="宋体"/>
          <w:b/>
          <w:sz w:val="21"/>
          <w:szCs w:val="21"/>
          <w:u w:val="single"/>
          <w:lang w:val="zh-CN"/>
        </w:rPr>
        <w:t>(GB50500-2013)</w:t>
      </w:r>
      <w:r>
        <w:rPr>
          <w:rFonts w:hint="eastAsia" w:ascii="宋体" w:hAnsi="宋体"/>
          <w:b/>
          <w:sz w:val="21"/>
          <w:szCs w:val="21"/>
          <w:u w:val="single"/>
          <w:lang w:val="zh-CN"/>
        </w:rPr>
        <w:t>》及</w:t>
      </w:r>
      <w:r>
        <w:rPr>
          <w:rFonts w:hint="eastAsia" w:ascii="宋体" w:hAnsi="宋体"/>
          <w:b/>
          <w:sz w:val="21"/>
          <w:szCs w:val="21"/>
          <w:u w:val="single"/>
        </w:rPr>
        <w:t>2018版的定额计价</w:t>
      </w:r>
      <w:r>
        <w:rPr>
          <w:rFonts w:ascii="宋体" w:hAnsi="宋体"/>
          <w:b/>
          <w:sz w:val="21"/>
          <w:szCs w:val="21"/>
          <w:u w:val="single"/>
        </w:rPr>
        <w:t>规定的计算规则工程量按实计算，并以此作为结算依据；</w:t>
      </w:r>
    </w:p>
    <w:p w14:paraId="2E61098F">
      <w:pPr>
        <w:spacing w:line="360" w:lineRule="auto"/>
        <w:ind w:firstLine="316" w:firstLineChars="150"/>
        <w:jc w:val="left"/>
        <w:rPr>
          <w:rFonts w:ascii="宋体" w:hAnsi="宋体"/>
          <w:b/>
          <w:sz w:val="21"/>
          <w:szCs w:val="21"/>
          <w:u w:val="single"/>
        </w:rPr>
      </w:pPr>
      <w:r>
        <w:rPr>
          <w:rFonts w:hint="eastAsia" w:ascii="宋体" w:hAnsi="宋体"/>
          <w:b/>
          <w:sz w:val="21"/>
          <w:szCs w:val="21"/>
          <w:u w:val="single"/>
        </w:rPr>
        <w:t>c</w:t>
      </w:r>
      <w:r>
        <w:rPr>
          <w:rFonts w:ascii="宋体" w:hAnsi="宋体"/>
          <w:b/>
          <w:sz w:val="21"/>
          <w:szCs w:val="21"/>
          <w:u w:val="single"/>
        </w:rPr>
        <w:t>、经发包人签证同意的材料、设备暂定价格的调整，暂定价格的调整仅调整差价</w:t>
      </w:r>
      <w:r>
        <w:rPr>
          <w:rFonts w:hint="eastAsia" w:ascii="宋体" w:hAnsi="宋体"/>
          <w:b/>
          <w:sz w:val="21"/>
          <w:szCs w:val="21"/>
          <w:u w:val="single"/>
        </w:rPr>
        <w:t>和</w:t>
      </w:r>
      <w:r>
        <w:rPr>
          <w:rFonts w:ascii="宋体" w:hAnsi="宋体"/>
          <w:b/>
          <w:sz w:val="21"/>
          <w:szCs w:val="21"/>
          <w:u w:val="single"/>
        </w:rPr>
        <w:t>差价的税金；</w:t>
      </w:r>
      <w:r>
        <w:rPr>
          <w:rFonts w:hint="eastAsia" w:ascii="宋体" w:hAnsi="宋体"/>
          <w:b/>
          <w:sz w:val="21"/>
          <w:szCs w:val="21"/>
          <w:u w:val="single"/>
        </w:rPr>
        <w:t>实际施工过程中若因设计变更或发包人需要对本招标工程中使用的某些材料、</w:t>
      </w:r>
      <w:r>
        <w:rPr>
          <w:rFonts w:ascii="宋体" w:hAnsi="宋体"/>
          <w:b/>
          <w:sz w:val="21"/>
          <w:szCs w:val="21"/>
          <w:u w:val="single"/>
        </w:rPr>
        <w:t>设备</w:t>
      </w:r>
      <w:r>
        <w:rPr>
          <w:rFonts w:hint="eastAsia" w:ascii="宋体" w:hAnsi="宋体"/>
          <w:b/>
          <w:sz w:val="21"/>
          <w:szCs w:val="21"/>
          <w:u w:val="single"/>
        </w:rPr>
        <w:t>进行变更，费用调整时只调整投标文件中相应材料、设备费差价和</w:t>
      </w:r>
      <w:r>
        <w:rPr>
          <w:rFonts w:ascii="宋体" w:hAnsi="宋体"/>
          <w:b/>
          <w:sz w:val="21"/>
          <w:szCs w:val="21"/>
          <w:u w:val="single"/>
        </w:rPr>
        <w:t>差价的税金</w:t>
      </w:r>
      <w:r>
        <w:rPr>
          <w:rFonts w:hint="eastAsia" w:ascii="宋体" w:hAnsi="宋体"/>
          <w:b/>
          <w:sz w:val="21"/>
          <w:szCs w:val="21"/>
          <w:u w:val="single"/>
        </w:rPr>
        <w:t>，其它费用不作调整；</w:t>
      </w:r>
    </w:p>
    <w:p w14:paraId="58C6F43D">
      <w:pPr>
        <w:spacing w:line="360" w:lineRule="auto"/>
        <w:ind w:firstLine="316" w:firstLineChars="150"/>
        <w:jc w:val="left"/>
        <w:rPr>
          <w:rFonts w:ascii="宋体" w:hAnsi="宋体"/>
          <w:b/>
          <w:sz w:val="21"/>
          <w:szCs w:val="21"/>
          <w:u w:val="single"/>
        </w:rPr>
      </w:pPr>
      <w:r>
        <w:rPr>
          <w:rFonts w:hint="eastAsia" w:ascii="宋体" w:hAnsi="宋体"/>
          <w:b/>
          <w:sz w:val="21"/>
          <w:szCs w:val="21"/>
          <w:u w:val="single"/>
        </w:rPr>
        <w:t>d、工程量清单出现本合同1.13情形的按1.13约定执行。</w:t>
      </w:r>
    </w:p>
    <w:p w14:paraId="0F5EB323">
      <w:pPr>
        <w:spacing w:line="360" w:lineRule="auto"/>
        <w:ind w:firstLine="316" w:firstLineChars="150"/>
        <w:jc w:val="left"/>
        <w:rPr>
          <w:rFonts w:hint="eastAsia" w:ascii="宋体" w:hAnsi="宋体"/>
          <w:b/>
          <w:sz w:val="21"/>
          <w:szCs w:val="21"/>
          <w:u w:val="single"/>
        </w:rPr>
      </w:pPr>
      <w:r>
        <w:rPr>
          <w:rFonts w:hint="eastAsia" w:ascii="宋体" w:hAnsi="宋体"/>
          <w:b/>
          <w:sz w:val="21"/>
          <w:szCs w:val="21"/>
          <w:u w:val="single"/>
        </w:rPr>
        <w:t>e、</w:t>
      </w:r>
      <w:r>
        <w:rPr>
          <w:rFonts w:ascii="宋体" w:hAnsi="宋体"/>
          <w:b/>
          <w:sz w:val="21"/>
          <w:szCs w:val="21"/>
          <w:u w:val="single"/>
        </w:rPr>
        <w:t>施工组织措施费和施工技术措施费</w:t>
      </w:r>
      <w:r>
        <w:rPr>
          <w:rFonts w:hint="eastAsia" w:ascii="宋体" w:hAnsi="宋体"/>
          <w:b/>
          <w:sz w:val="21"/>
          <w:szCs w:val="21"/>
          <w:u w:val="single"/>
        </w:rPr>
        <w:t>（按项报价）</w:t>
      </w:r>
      <w:r>
        <w:rPr>
          <w:rFonts w:ascii="宋体" w:hAnsi="宋体"/>
          <w:b/>
          <w:sz w:val="21"/>
          <w:szCs w:val="21"/>
          <w:u w:val="single"/>
        </w:rPr>
        <w:t>按照投标文件一次性包干</w:t>
      </w:r>
      <w:r>
        <w:rPr>
          <w:rFonts w:hint="eastAsia" w:ascii="宋体" w:hAnsi="宋体"/>
          <w:b/>
          <w:sz w:val="21"/>
          <w:szCs w:val="21"/>
          <w:u w:val="single"/>
        </w:rPr>
        <w:t>，结算时承包人不得以任何理由进行调整；工程量可计量的</w:t>
      </w:r>
      <w:r>
        <w:rPr>
          <w:rFonts w:ascii="宋体" w:hAnsi="宋体"/>
          <w:b/>
          <w:sz w:val="21"/>
          <w:szCs w:val="21"/>
          <w:u w:val="single"/>
        </w:rPr>
        <w:t>施工技术措施费按</w:t>
      </w:r>
      <w:r>
        <w:rPr>
          <w:rFonts w:hint="eastAsia" w:ascii="宋体" w:hAnsi="宋体"/>
          <w:b/>
          <w:sz w:val="21"/>
          <w:szCs w:val="21"/>
          <w:u w:val="single"/>
          <w:lang w:val="zh-CN"/>
        </w:rPr>
        <w:t>《建设工程工程量清单计价规范</w:t>
      </w:r>
      <w:r>
        <w:rPr>
          <w:rFonts w:ascii="宋体" w:hAnsi="宋体"/>
          <w:b/>
          <w:sz w:val="21"/>
          <w:szCs w:val="21"/>
          <w:u w:val="single"/>
          <w:lang w:val="zh-CN"/>
        </w:rPr>
        <w:t>(GB50500-2013)</w:t>
      </w:r>
      <w:r>
        <w:rPr>
          <w:rFonts w:hint="eastAsia" w:ascii="宋体" w:hAnsi="宋体"/>
          <w:b/>
          <w:sz w:val="21"/>
          <w:szCs w:val="21"/>
          <w:u w:val="single"/>
          <w:lang w:val="zh-CN"/>
        </w:rPr>
        <w:t>》及</w:t>
      </w:r>
      <w:r>
        <w:rPr>
          <w:rFonts w:hint="eastAsia" w:ascii="宋体" w:hAnsi="宋体"/>
          <w:b/>
          <w:sz w:val="21"/>
          <w:szCs w:val="21"/>
          <w:u w:val="single"/>
        </w:rPr>
        <w:t>2018版的定额计价</w:t>
      </w:r>
      <w:r>
        <w:rPr>
          <w:rFonts w:ascii="宋体" w:hAnsi="宋体"/>
          <w:b/>
          <w:sz w:val="21"/>
          <w:szCs w:val="21"/>
          <w:u w:val="single"/>
        </w:rPr>
        <w:t>规定的计算规则工程量按实计算</w:t>
      </w:r>
      <w:r>
        <w:rPr>
          <w:rFonts w:hint="eastAsia" w:ascii="宋体" w:hAnsi="宋体"/>
          <w:b/>
          <w:sz w:val="21"/>
          <w:szCs w:val="21"/>
          <w:u w:val="single"/>
        </w:rPr>
        <w:t>。</w:t>
      </w:r>
    </w:p>
    <w:p w14:paraId="4DDF729A">
      <w:pPr>
        <w:spacing w:line="360" w:lineRule="auto"/>
        <w:ind w:firstLine="422" w:firstLineChars="200"/>
        <w:jc w:val="left"/>
        <w:rPr>
          <w:rFonts w:hint="eastAsia" w:ascii="宋体" w:hAnsi="宋体"/>
          <w:b/>
          <w:sz w:val="21"/>
          <w:szCs w:val="21"/>
          <w:u w:val="single"/>
        </w:rPr>
      </w:pPr>
      <w:r>
        <w:rPr>
          <w:rFonts w:hint="eastAsia" w:ascii="宋体" w:hAnsi="宋体"/>
          <w:b/>
          <w:bCs/>
          <w:sz w:val="21"/>
          <w:szCs w:val="21"/>
          <w:u w:val="single"/>
        </w:rPr>
        <w:t>f</w:t>
      </w:r>
      <w:r>
        <w:rPr>
          <w:rFonts w:ascii="宋体" w:hAnsi="宋体"/>
          <w:b/>
          <w:bCs/>
          <w:sz w:val="21"/>
          <w:szCs w:val="21"/>
          <w:u w:val="single"/>
        </w:rPr>
        <w:t>：</w:t>
      </w:r>
      <w:r>
        <w:rPr>
          <w:rFonts w:hint="eastAsia" w:ascii="宋体" w:hAnsi="宋体"/>
          <w:b/>
          <w:sz w:val="21"/>
          <w:szCs w:val="21"/>
          <w:u w:val="single"/>
        </w:rPr>
        <w:t>总承包服务费按承包人投标时的费率计算，在实施过程中按分包项目的合同价（设备价除外）调整，费率不变，（如专业工程的标段划分与施工总承包的标段划分不同时，总承包服务费的取费按：各标段中专业分包工程所占的价格比重×投标所报费率）。专业分包工程的个数以实际的专业分包招标个数为准。</w:t>
      </w:r>
    </w:p>
    <w:p w14:paraId="1EE00F9C">
      <w:pPr>
        <w:spacing w:line="360" w:lineRule="auto"/>
        <w:ind w:firstLine="316" w:firstLineChars="150"/>
        <w:jc w:val="left"/>
        <w:rPr>
          <w:rFonts w:hint="eastAsia" w:ascii="宋体" w:hAnsi="宋体"/>
          <w:b/>
          <w:sz w:val="21"/>
          <w:szCs w:val="21"/>
          <w:u w:val="single"/>
        </w:rPr>
      </w:pPr>
      <w:r>
        <w:rPr>
          <w:rFonts w:hint="eastAsia" w:ascii="宋体" w:hAnsi="宋体"/>
          <w:b/>
          <w:sz w:val="21"/>
          <w:szCs w:val="21"/>
          <w:u w:val="single"/>
        </w:rPr>
        <w:t>总承包服务内容包括：涉及分包工程的施工组织设计、现场施工管理、竣工资料整理等工作，并负责提供分包方的用水用电（不得向分包方收取水电费）。</w:t>
      </w:r>
    </w:p>
    <w:p w14:paraId="463E4EFD">
      <w:pPr>
        <w:spacing w:line="360" w:lineRule="auto"/>
        <w:jc w:val="left"/>
        <w:rPr>
          <w:rFonts w:hint="eastAsia" w:ascii="宋体" w:hAnsi="宋体"/>
          <w:b/>
          <w:sz w:val="21"/>
          <w:szCs w:val="21"/>
          <w:u w:val="single"/>
        </w:rPr>
      </w:pPr>
      <w:r>
        <w:rPr>
          <w:rFonts w:hint="eastAsia" w:ascii="宋体" w:hAnsi="宋体"/>
          <w:b/>
          <w:bCs/>
          <w:sz w:val="21"/>
          <w:szCs w:val="21"/>
          <w:u w:val="single"/>
        </w:rPr>
        <w:t>不可抗力因素造成的损失由双方各自自行承担。但属于应该预见、预防、承包方没有及时预防或预防不力造成的损失，由承包方负责。</w:t>
      </w:r>
    </w:p>
    <w:p w14:paraId="4FBDA73E">
      <w:pPr>
        <w:spacing w:line="360" w:lineRule="auto"/>
        <w:ind w:firstLine="420" w:firstLineChars="200"/>
        <w:jc w:val="left"/>
        <w:rPr>
          <w:rFonts w:ascii="宋体" w:hAnsi="宋体"/>
          <w:sz w:val="21"/>
          <w:szCs w:val="21"/>
        </w:rPr>
      </w:pPr>
      <w:bookmarkStart w:id="430" w:name="_Toc304295581"/>
      <w:bookmarkStart w:id="431" w:name="_Toc312678042"/>
      <w:bookmarkStart w:id="432" w:name="_Toc297123554"/>
      <w:bookmarkStart w:id="433" w:name="_Toc303539161"/>
      <w:bookmarkStart w:id="434" w:name="_Toc297216213"/>
      <w:bookmarkStart w:id="435" w:name="_Toc300935004"/>
      <w:bookmarkStart w:id="436" w:name="_Toc296503207"/>
      <w:bookmarkStart w:id="437" w:name="_Toc292559917"/>
      <w:bookmarkStart w:id="438" w:name="_Toc297048393"/>
      <w:bookmarkStart w:id="439" w:name="_Toc292559412"/>
      <w:bookmarkStart w:id="440" w:name="_Toc296346708"/>
      <w:bookmarkStart w:id="441" w:name="_Toc296891035"/>
      <w:bookmarkStart w:id="442" w:name="_Toc296944546"/>
      <w:bookmarkStart w:id="443" w:name="_Toc296347206"/>
      <w:bookmarkStart w:id="444" w:name="_Toc296891247"/>
      <w:bookmarkStart w:id="445" w:name="_Toc297120507"/>
      <w:r>
        <w:rPr>
          <w:rFonts w:ascii="宋体" w:hAnsi="宋体"/>
          <w:sz w:val="21"/>
          <w:szCs w:val="21"/>
        </w:rPr>
        <w:t>12.2 预付款</w:t>
      </w:r>
    </w:p>
    <w:bookmarkEnd w:id="430"/>
    <w:bookmarkEnd w:id="431"/>
    <w:bookmarkEnd w:id="432"/>
    <w:bookmarkEnd w:id="433"/>
    <w:bookmarkEnd w:id="434"/>
    <w:bookmarkEnd w:id="435"/>
    <w:p w14:paraId="7EEA3CA6">
      <w:pPr>
        <w:spacing w:line="360" w:lineRule="auto"/>
        <w:ind w:firstLine="420" w:firstLineChars="200"/>
        <w:jc w:val="left"/>
        <w:rPr>
          <w:rFonts w:ascii="宋体" w:hAnsi="宋体"/>
          <w:sz w:val="21"/>
          <w:szCs w:val="21"/>
        </w:rPr>
      </w:pPr>
      <w:r>
        <w:rPr>
          <w:rFonts w:ascii="宋体" w:hAnsi="宋体"/>
          <w:sz w:val="21"/>
          <w:szCs w:val="21"/>
        </w:rPr>
        <w:t>12.2.1 预付款的支付</w:t>
      </w:r>
    </w:p>
    <w:p w14:paraId="1C485231">
      <w:pPr>
        <w:spacing w:line="360" w:lineRule="auto"/>
        <w:ind w:firstLine="420" w:firstLineChars="200"/>
        <w:jc w:val="left"/>
        <w:rPr>
          <w:rFonts w:ascii="宋体" w:hAnsi="宋体"/>
          <w:sz w:val="21"/>
          <w:szCs w:val="21"/>
        </w:rPr>
      </w:pPr>
      <w:r>
        <w:rPr>
          <w:rFonts w:ascii="宋体" w:hAnsi="宋体"/>
          <w:sz w:val="21"/>
          <w:szCs w:val="21"/>
        </w:rPr>
        <w:t>预付款支付比例或金额：</w:t>
      </w:r>
      <w:r>
        <w:rPr>
          <w:rFonts w:hint="eastAsia" w:ascii="宋体" w:hAnsi="宋体"/>
          <w:b/>
          <w:sz w:val="21"/>
          <w:szCs w:val="21"/>
          <w:u w:val="single"/>
        </w:rPr>
        <w:t>按本合同专用条款</w:t>
      </w:r>
      <w:r>
        <w:rPr>
          <w:rFonts w:ascii="宋体" w:hAnsi="宋体"/>
          <w:b/>
          <w:sz w:val="21"/>
          <w:szCs w:val="21"/>
          <w:u w:val="single"/>
        </w:rPr>
        <w:t xml:space="preserve">12.4 </w:t>
      </w:r>
      <w:r>
        <w:rPr>
          <w:rFonts w:hint="eastAsia" w:ascii="宋体" w:hAnsi="宋体"/>
          <w:b/>
          <w:sz w:val="21"/>
          <w:szCs w:val="21"/>
          <w:u w:val="single"/>
        </w:rPr>
        <w:t>.1</w:t>
      </w:r>
      <w:r>
        <w:rPr>
          <w:rFonts w:ascii="宋体" w:hAnsi="宋体"/>
          <w:b/>
          <w:sz w:val="21"/>
          <w:szCs w:val="21"/>
          <w:u w:val="single"/>
        </w:rPr>
        <w:t>工程进度款支付</w:t>
      </w:r>
      <w:r>
        <w:rPr>
          <w:rFonts w:hint="eastAsia" w:ascii="宋体" w:hAnsi="宋体"/>
          <w:b/>
          <w:sz w:val="21"/>
          <w:szCs w:val="21"/>
          <w:u w:val="single"/>
        </w:rPr>
        <w:t>方式支付</w:t>
      </w:r>
      <w:r>
        <w:rPr>
          <w:rFonts w:ascii="宋体" w:hAnsi="宋体"/>
          <w:sz w:val="21"/>
          <w:szCs w:val="21"/>
        </w:rPr>
        <w:t>。</w:t>
      </w:r>
    </w:p>
    <w:bookmarkEnd w:id="436"/>
    <w:bookmarkEnd w:id="437"/>
    <w:bookmarkEnd w:id="438"/>
    <w:bookmarkEnd w:id="439"/>
    <w:bookmarkEnd w:id="440"/>
    <w:bookmarkEnd w:id="441"/>
    <w:bookmarkEnd w:id="442"/>
    <w:bookmarkEnd w:id="443"/>
    <w:bookmarkEnd w:id="444"/>
    <w:bookmarkEnd w:id="445"/>
    <w:p w14:paraId="1F95386B">
      <w:pPr>
        <w:spacing w:line="360" w:lineRule="auto"/>
        <w:ind w:firstLine="420" w:firstLineChars="200"/>
        <w:jc w:val="left"/>
        <w:rPr>
          <w:rFonts w:ascii="宋体" w:hAnsi="宋体"/>
          <w:sz w:val="21"/>
          <w:szCs w:val="21"/>
        </w:rPr>
      </w:pPr>
      <w:r>
        <w:rPr>
          <w:rFonts w:ascii="宋体" w:hAnsi="宋体"/>
          <w:sz w:val="21"/>
          <w:szCs w:val="21"/>
        </w:rPr>
        <w:t>12.3 计量</w:t>
      </w:r>
    </w:p>
    <w:p w14:paraId="401EF56A">
      <w:pPr>
        <w:spacing w:line="360" w:lineRule="auto"/>
        <w:ind w:firstLine="420" w:firstLineChars="200"/>
        <w:jc w:val="left"/>
        <w:rPr>
          <w:rFonts w:ascii="宋体" w:hAnsi="宋体"/>
          <w:sz w:val="21"/>
          <w:szCs w:val="21"/>
        </w:rPr>
      </w:pPr>
      <w:r>
        <w:rPr>
          <w:rFonts w:ascii="宋体" w:hAnsi="宋体"/>
          <w:sz w:val="21"/>
          <w:szCs w:val="21"/>
        </w:rPr>
        <w:t>12.3.1 计量原则</w:t>
      </w:r>
    </w:p>
    <w:p w14:paraId="7E737048">
      <w:pPr>
        <w:spacing w:line="360" w:lineRule="auto"/>
        <w:ind w:firstLine="420" w:firstLineChars="200"/>
        <w:jc w:val="left"/>
        <w:rPr>
          <w:rFonts w:hint="eastAsia" w:ascii="宋体" w:hAnsi="宋体"/>
          <w:b/>
          <w:bCs/>
          <w:color w:val="FF0000"/>
          <w:sz w:val="21"/>
          <w:szCs w:val="21"/>
          <w:highlight w:val="yellow"/>
          <w:u w:val="single"/>
        </w:rPr>
      </w:pPr>
      <w:r>
        <w:rPr>
          <w:rFonts w:ascii="宋体" w:hAnsi="宋体"/>
          <w:sz w:val="21"/>
          <w:szCs w:val="21"/>
        </w:rPr>
        <w:t>工程量计算规则：</w:t>
      </w:r>
      <w:r>
        <w:rPr>
          <w:rFonts w:hint="eastAsia" w:ascii="宋体" w:hAnsi="宋体"/>
          <w:sz w:val="21"/>
          <w:szCs w:val="21"/>
          <w:u w:val="single"/>
        </w:rPr>
        <w:t xml:space="preserve"> 工程竣工结算是，根据竣工图及设计变更联系单，按照</w:t>
      </w:r>
      <w:r>
        <w:rPr>
          <w:rFonts w:ascii="宋体" w:hAnsi="宋体"/>
          <w:b/>
          <w:sz w:val="21"/>
          <w:szCs w:val="21"/>
          <w:u w:val="single"/>
        </w:rPr>
        <w:t>按</w:t>
      </w:r>
      <w:r>
        <w:rPr>
          <w:rFonts w:hint="eastAsia" w:ascii="宋体" w:hAnsi="宋体"/>
          <w:b/>
          <w:sz w:val="21"/>
          <w:szCs w:val="21"/>
          <w:u w:val="single"/>
          <w:lang w:val="zh-CN"/>
        </w:rPr>
        <w:t>《建设工程工程量清单计价规范</w:t>
      </w:r>
      <w:r>
        <w:rPr>
          <w:rFonts w:ascii="宋体" w:hAnsi="宋体"/>
          <w:b/>
          <w:sz w:val="21"/>
          <w:szCs w:val="21"/>
          <w:u w:val="single"/>
          <w:lang w:val="zh-CN"/>
        </w:rPr>
        <w:t>(GB50500-2013)</w:t>
      </w:r>
      <w:r>
        <w:rPr>
          <w:rFonts w:hint="eastAsia" w:ascii="宋体" w:hAnsi="宋体"/>
          <w:b/>
          <w:sz w:val="21"/>
          <w:szCs w:val="21"/>
          <w:u w:val="single"/>
          <w:lang w:val="zh-CN"/>
        </w:rPr>
        <w:t>》及</w:t>
      </w:r>
      <w:r>
        <w:rPr>
          <w:rFonts w:hint="eastAsia" w:ascii="宋体" w:hAnsi="宋体"/>
          <w:b/>
          <w:sz w:val="21"/>
          <w:szCs w:val="21"/>
          <w:u w:val="single"/>
        </w:rPr>
        <w:t>2018版的定额计价</w:t>
      </w:r>
      <w:r>
        <w:rPr>
          <w:rFonts w:ascii="宋体" w:hAnsi="宋体"/>
          <w:b/>
          <w:sz w:val="21"/>
          <w:szCs w:val="21"/>
          <w:u w:val="single"/>
        </w:rPr>
        <w:t>规定的计算规则工程量按实计算</w:t>
      </w:r>
      <w:r>
        <w:rPr>
          <w:rFonts w:hint="eastAsia" w:ascii="宋体" w:hAnsi="宋体"/>
          <w:b/>
          <w:bCs/>
          <w:sz w:val="21"/>
          <w:szCs w:val="21"/>
          <w:u w:val="single"/>
        </w:rPr>
        <w:t>。</w:t>
      </w:r>
    </w:p>
    <w:p w14:paraId="0A495FCB">
      <w:pPr>
        <w:spacing w:line="360" w:lineRule="auto"/>
        <w:ind w:firstLine="420" w:firstLineChars="200"/>
        <w:jc w:val="left"/>
        <w:rPr>
          <w:rFonts w:ascii="宋体" w:hAnsi="宋体"/>
          <w:sz w:val="21"/>
          <w:szCs w:val="21"/>
        </w:rPr>
      </w:pPr>
      <w:r>
        <w:rPr>
          <w:rFonts w:ascii="宋体" w:hAnsi="宋体"/>
          <w:sz w:val="21"/>
          <w:szCs w:val="21"/>
        </w:rPr>
        <w:t>12.3.2 计量周期</w:t>
      </w:r>
    </w:p>
    <w:p w14:paraId="65AEF354">
      <w:pPr>
        <w:spacing w:line="360" w:lineRule="auto"/>
        <w:ind w:firstLine="315" w:firstLineChars="150"/>
        <w:jc w:val="left"/>
        <w:rPr>
          <w:rFonts w:ascii="宋体" w:hAnsi="宋体"/>
          <w:sz w:val="21"/>
          <w:szCs w:val="21"/>
        </w:rPr>
      </w:pPr>
      <w:r>
        <w:rPr>
          <w:rFonts w:ascii="宋体" w:hAnsi="宋体"/>
          <w:sz w:val="21"/>
          <w:szCs w:val="21"/>
        </w:rPr>
        <w:t>关于计量周期的约定：</w:t>
      </w:r>
      <w:r>
        <w:rPr>
          <w:rFonts w:ascii="宋体" w:hAnsi="宋体"/>
          <w:b/>
          <w:bCs/>
          <w:sz w:val="21"/>
          <w:szCs w:val="21"/>
          <w:u w:val="single"/>
        </w:rPr>
        <w:t>承包人应于每月</w:t>
      </w:r>
      <w:r>
        <w:rPr>
          <w:rFonts w:hint="eastAsia" w:ascii="宋体" w:hAnsi="宋体"/>
          <w:b/>
          <w:bCs/>
          <w:sz w:val="21"/>
          <w:szCs w:val="21"/>
          <w:u w:val="single"/>
        </w:rPr>
        <w:t>20</w:t>
      </w:r>
      <w:r>
        <w:rPr>
          <w:rFonts w:ascii="宋体" w:hAnsi="宋体"/>
          <w:b/>
          <w:bCs/>
          <w:sz w:val="21"/>
          <w:szCs w:val="21"/>
          <w:u w:val="single"/>
        </w:rPr>
        <w:t>日向监理人报送上月20日至当月19日已完成的工程量报告</w:t>
      </w:r>
      <w:r>
        <w:rPr>
          <w:rFonts w:hint="eastAsia" w:ascii="宋体" w:hAnsi="宋体"/>
          <w:b/>
          <w:bCs/>
          <w:sz w:val="21"/>
          <w:szCs w:val="21"/>
          <w:u w:val="single"/>
        </w:rPr>
        <w:t>（含工程量Excel表格）</w:t>
      </w:r>
      <w:r>
        <w:rPr>
          <w:rFonts w:ascii="宋体" w:hAnsi="宋体"/>
          <w:b/>
          <w:bCs/>
          <w:sz w:val="21"/>
          <w:szCs w:val="21"/>
          <w:u w:val="single"/>
        </w:rPr>
        <w:t>，并附</w:t>
      </w:r>
      <w:r>
        <w:rPr>
          <w:rFonts w:hint="eastAsia" w:ascii="宋体" w:hAnsi="宋体"/>
          <w:b/>
          <w:bCs/>
          <w:sz w:val="21"/>
          <w:szCs w:val="21"/>
          <w:u w:val="single"/>
        </w:rPr>
        <w:t>支付申请表、支付证书</w:t>
      </w:r>
      <w:r>
        <w:rPr>
          <w:rFonts w:ascii="宋体" w:hAnsi="宋体"/>
          <w:b/>
          <w:bCs/>
          <w:sz w:val="21"/>
          <w:szCs w:val="21"/>
          <w:u w:val="single"/>
        </w:rPr>
        <w:t>、已完成工程量报表和有关资料。</w:t>
      </w:r>
      <w:r>
        <w:rPr>
          <w:rFonts w:ascii="宋体" w:hAnsi="宋体"/>
          <w:sz w:val="21"/>
          <w:szCs w:val="21"/>
          <w:u w:val="single"/>
        </w:rPr>
        <w:t xml:space="preserve">  </w:t>
      </w:r>
    </w:p>
    <w:p w14:paraId="200A4430">
      <w:pPr>
        <w:spacing w:line="360" w:lineRule="auto"/>
        <w:ind w:firstLine="420" w:firstLineChars="200"/>
        <w:jc w:val="left"/>
        <w:rPr>
          <w:rFonts w:ascii="宋体" w:hAnsi="宋体"/>
          <w:sz w:val="21"/>
          <w:szCs w:val="21"/>
        </w:rPr>
      </w:pPr>
      <w:r>
        <w:rPr>
          <w:rFonts w:ascii="宋体" w:hAnsi="宋体"/>
          <w:sz w:val="21"/>
          <w:szCs w:val="21"/>
        </w:rPr>
        <w:t>12.3.3 单价合同的计量</w:t>
      </w:r>
    </w:p>
    <w:p w14:paraId="6529DDB9">
      <w:pPr>
        <w:spacing w:line="360" w:lineRule="auto"/>
        <w:ind w:firstLine="420" w:firstLineChars="200"/>
        <w:jc w:val="left"/>
        <w:rPr>
          <w:rFonts w:hint="eastAsia" w:ascii="宋体" w:hAnsi="宋体"/>
          <w:b/>
          <w:bCs/>
          <w:sz w:val="21"/>
          <w:szCs w:val="21"/>
          <w:u w:val="single"/>
        </w:rPr>
      </w:pPr>
      <w:r>
        <w:rPr>
          <w:rFonts w:ascii="宋体" w:hAnsi="宋体"/>
          <w:sz w:val="21"/>
          <w:szCs w:val="21"/>
        </w:rPr>
        <w:t>关于单价合同计量的约定：</w:t>
      </w:r>
      <w:r>
        <w:rPr>
          <w:rFonts w:ascii="宋体" w:hAnsi="宋体"/>
          <w:b/>
          <w:bCs/>
          <w:sz w:val="21"/>
          <w:szCs w:val="21"/>
          <w:u w:val="single"/>
        </w:rPr>
        <w:t>监理人应在收到承包人提交的工程量报告后</w:t>
      </w:r>
      <w:r>
        <w:rPr>
          <w:rFonts w:hint="eastAsia" w:ascii="宋体" w:hAnsi="宋体"/>
          <w:b/>
          <w:bCs/>
          <w:sz w:val="21"/>
          <w:szCs w:val="21"/>
          <w:u w:val="single"/>
        </w:rPr>
        <w:t>尽快</w:t>
      </w:r>
      <w:r>
        <w:rPr>
          <w:rFonts w:ascii="宋体" w:hAnsi="宋体"/>
          <w:b/>
          <w:bCs/>
          <w:sz w:val="21"/>
          <w:szCs w:val="21"/>
          <w:u w:val="single"/>
        </w:rPr>
        <w:t>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62AA4072">
      <w:pPr>
        <w:spacing w:line="360" w:lineRule="auto"/>
        <w:ind w:firstLine="420" w:firstLineChars="200"/>
        <w:jc w:val="left"/>
        <w:rPr>
          <w:rFonts w:ascii="宋体" w:hAnsi="宋体"/>
          <w:sz w:val="21"/>
          <w:szCs w:val="21"/>
        </w:rPr>
      </w:pPr>
      <w:r>
        <w:rPr>
          <w:rFonts w:ascii="宋体" w:hAnsi="宋体"/>
          <w:sz w:val="21"/>
          <w:szCs w:val="21"/>
        </w:rPr>
        <w:t>12.4 工程进度款支付</w:t>
      </w:r>
    </w:p>
    <w:p w14:paraId="0CE5DFEC">
      <w:pPr>
        <w:spacing w:line="360" w:lineRule="auto"/>
        <w:ind w:firstLine="420" w:firstLineChars="200"/>
        <w:jc w:val="left"/>
        <w:rPr>
          <w:rFonts w:ascii="宋体" w:hAnsi="宋体"/>
          <w:b/>
          <w:bCs/>
          <w:sz w:val="21"/>
          <w:szCs w:val="21"/>
          <w:u w:val="single"/>
        </w:rPr>
      </w:pPr>
      <w:bookmarkStart w:id="446" w:name="_Toc296891039"/>
      <w:bookmarkStart w:id="447" w:name="_Toc296347210"/>
      <w:bookmarkStart w:id="448" w:name="_Toc297120511"/>
      <w:bookmarkStart w:id="449" w:name="_Toc292559416"/>
      <w:bookmarkStart w:id="450" w:name="_Toc297216215"/>
      <w:bookmarkStart w:id="451" w:name="_Toc300935006"/>
      <w:bookmarkStart w:id="452" w:name="_Toc296891251"/>
      <w:bookmarkStart w:id="453" w:name="_Toc297123556"/>
      <w:bookmarkStart w:id="454" w:name="_Toc296503211"/>
      <w:bookmarkStart w:id="455" w:name="_Toc296346712"/>
      <w:bookmarkStart w:id="456" w:name="_Toc297048397"/>
      <w:bookmarkStart w:id="457" w:name="_Toc303539163"/>
      <w:bookmarkStart w:id="458" w:name="_Toc296944550"/>
      <w:bookmarkStart w:id="459" w:name="_Toc292559921"/>
      <w:r>
        <w:rPr>
          <w:rFonts w:ascii="宋体" w:hAnsi="宋体"/>
          <w:sz w:val="21"/>
          <w:szCs w:val="21"/>
        </w:rPr>
        <w:t>12.4.1 付款周期</w:t>
      </w:r>
      <w:r>
        <w:rPr>
          <w:rFonts w:hint="eastAsia" w:ascii="宋体" w:hAnsi="宋体"/>
          <w:sz w:val="21"/>
          <w:szCs w:val="21"/>
        </w:rPr>
        <w:t>：</w:t>
      </w:r>
      <w:r>
        <w:rPr>
          <w:rFonts w:hint="eastAsia" w:ascii="宋体" w:hAnsi="宋体"/>
          <w:b/>
          <w:bCs/>
          <w:sz w:val="21"/>
          <w:szCs w:val="21"/>
          <w:u w:val="single"/>
        </w:rPr>
        <w:t>民工工资管理按（金市建建【2018】89号）文件规定执行。承包人须在金华本地开设专户，用于发包人支付工程款。</w:t>
      </w:r>
    </w:p>
    <w:p w14:paraId="39C9B465">
      <w:pPr>
        <w:pStyle w:val="13"/>
        <w:spacing w:line="360" w:lineRule="auto"/>
        <w:ind w:left="63" w:right="63" w:firstLine="316" w:firstLineChars="150"/>
        <w:rPr>
          <w:rFonts w:hint="eastAsia" w:ascii="宋体" w:hAnsi="宋体" w:eastAsia="宋体" w:cs="黑体"/>
          <w:b/>
          <w:bCs/>
          <w:kern w:val="2"/>
          <w:sz w:val="21"/>
          <w:szCs w:val="21"/>
          <w:u w:val="single"/>
          <w:lang w:val="en-US" w:eastAsia="zh-CN" w:bidi="ar-SA"/>
        </w:rPr>
      </w:pPr>
      <w:r>
        <w:rPr>
          <w:rFonts w:ascii="宋体" w:hAnsi="宋体" w:eastAsia="宋体" w:cs="黑体"/>
          <w:b/>
          <w:bCs/>
          <w:kern w:val="2"/>
          <w:sz w:val="21"/>
          <w:szCs w:val="21"/>
          <w:u w:val="single"/>
          <w:lang w:val="en-US" w:eastAsia="zh-CN" w:bidi="ar-SA"/>
        </w:rPr>
        <w:t>关于付款周期的约定：</w:t>
      </w:r>
      <w:r>
        <w:rPr>
          <w:rFonts w:hint="eastAsia" w:ascii="宋体" w:hAnsi="宋体" w:eastAsia="宋体" w:cs="黑体"/>
          <w:b/>
          <w:bCs/>
          <w:kern w:val="2"/>
          <w:sz w:val="21"/>
          <w:szCs w:val="21"/>
          <w:u w:val="single"/>
          <w:lang w:val="en-US" w:eastAsia="zh-CN" w:bidi="ar-SA"/>
        </w:rPr>
        <w:t>本工程按下列付款方式支付。</w:t>
      </w:r>
    </w:p>
    <w:p w14:paraId="34715501">
      <w:pPr>
        <w:pStyle w:val="13"/>
        <w:spacing w:line="360" w:lineRule="auto"/>
        <w:ind w:left="63" w:right="63" w:firstLine="316" w:firstLineChars="150"/>
        <w:rPr>
          <w:rFonts w:hint="eastAsia" w:ascii="宋体" w:hAnsi="宋体" w:eastAsia="宋体" w:cs="黑体"/>
          <w:b/>
          <w:bCs/>
          <w:kern w:val="2"/>
          <w:sz w:val="21"/>
          <w:szCs w:val="21"/>
          <w:u w:val="single"/>
          <w:lang w:val="en-US" w:eastAsia="zh-CN" w:bidi="ar-SA"/>
        </w:rPr>
      </w:pPr>
      <w:r>
        <w:rPr>
          <w:rFonts w:hint="eastAsia" w:ascii="宋体" w:hAnsi="宋体" w:eastAsia="宋体" w:cs="黑体"/>
          <w:b/>
          <w:bCs/>
          <w:kern w:val="2"/>
          <w:sz w:val="21"/>
          <w:szCs w:val="21"/>
          <w:u w:val="single"/>
          <w:lang w:val="en-US" w:eastAsia="zh-CN" w:bidi="ar-SA"/>
        </w:rPr>
        <w:t>工程中标价在50万元(含)以上的按下列条款支付工程款：</w:t>
      </w:r>
    </w:p>
    <w:p w14:paraId="7E947C4A">
      <w:pPr>
        <w:snapToGrid w:val="0"/>
        <w:spacing w:line="360" w:lineRule="auto"/>
        <w:ind w:firstLine="253" w:firstLineChars="120"/>
        <w:rPr>
          <w:rFonts w:hint="eastAsia" w:ascii="宋体" w:hAnsi="宋体" w:eastAsia="宋体" w:cs="黑体"/>
          <w:b/>
          <w:bCs/>
          <w:kern w:val="2"/>
          <w:sz w:val="21"/>
          <w:szCs w:val="21"/>
          <w:u w:val="single"/>
          <w:lang w:val="en-US" w:eastAsia="zh-CN" w:bidi="ar-SA"/>
        </w:rPr>
      </w:pPr>
      <w:r>
        <w:rPr>
          <w:rFonts w:hint="eastAsia" w:ascii="宋体" w:hAnsi="宋体" w:eastAsia="宋体" w:cs="黑体"/>
          <w:b/>
          <w:bCs/>
          <w:kern w:val="2"/>
          <w:sz w:val="21"/>
          <w:szCs w:val="21"/>
          <w:u w:val="single"/>
          <w:lang w:val="en-US" w:eastAsia="zh-CN" w:bidi="ar-SA"/>
        </w:rPr>
        <w:t>（1）承包人项目管理班子、主要机械设备到位、临时设施搭设完成，且签发开工报告后发包人向承包人支付占合同价款总额</w:t>
      </w:r>
      <w:r>
        <w:rPr>
          <w:rFonts w:hint="eastAsia" w:ascii="宋体" w:hAnsi="宋体" w:cs="黑体"/>
          <w:b/>
          <w:bCs/>
          <w:kern w:val="2"/>
          <w:sz w:val="21"/>
          <w:szCs w:val="21"/>
          <w:u w:val="single"/>
          <w:lang w:val="en-US" w:eastAsia="zh-CN" w:bidi="ar-SA"/>
        </w:rPr>
        <w:t>40</w:t>
      </w:r>
      <w:r>
        <w:rPr>
          <w:rFonts w:hint="eastAsia" w:ascii="宋体" w:hAnsi="宋体" w:eastAsia="宋体" w:cs="黑体"/>
          <w:b/>
          <w:bCs/>
          <w:kern w:val="2"/>
          <w:sz w:val="21"/>
          <w:szCs w:val="21"/>
          <w:u w:val="single"/>
          <w:lang w:val="en-US" w:eastAsia="zh-CN" w:bidi="ar-SA"/>
        </w:rPr>
        <w:t>％的工程预付款；</w:t>
      </w:r>
    </w:p>
    <w:p w14:paraId="7AF5D075">
      <w:pPr>
        <w:spacing w:line="360" w:lineRule="auto"/>
        <w:ind w:firstLine="316" w:firstLineChars="150"/>
        <w:rPr>
          <w:rFonts w:hint="eastAsia" w:ascii="宋体" w:hAnsi="宋体" w:eastAsia="宋体" w:cs="黑体"/>
          <w:b/>
          <w:bCs/>
          <w:kern w:val="2"/>
          <w:sz w:val="21"/>
          <w:szCs w:val="21"/>
          <w:u w:val="single"/>
          <w:lang w:val="en-US" w:eastAsia="zh-CN" w:bidi="ar-SA"/>
        </w:rPr>
      </w:pPr>
      <w:r>
        <w:rPr>
          <w:rFonts w:hint="eastAsia" w:ascii="宋体" w:hAnsi="宋体" w:eastAsia="宋体" w:cs="黑体"/>
          <w:b/>
          <w:bCs/>
          <w:kern w:val="2"/>
          <w:sz w:val="21"/>
          <w:szCs w:val="21"/>
          <w:u w:val="single"/>
          <w:lang w:val="en-US" w:eastAsia="zh-CN" w:bidi="ar-SA"/>
        </w:rPr>
        <w:t>（2）</w:t>
      </w:r>
      <w:r>
        <w:rPr>
          <w:rFonts w:ascii="宋体" w:hAnsi="宋体" w:eastAsia="宋体" w:cs="黑体"/>
          <w:b/>
          <w:bCs/>
          <w:kern w:val="2"/>
          <w:sz w:val="21"/>
          <w:szCs w:val="21"/>
          <w:u w:val="single"/>
          <w:lang w:val="en-US" w:eastAsia="zh-CN" w:bidi="ar-SA"/>
        </w:rPr>
        <w:t>扣回</w:t>
      </w:r>
      <w:r>
        <w:rPr>
          <w:rFonts w:hint="eastAsia" w:ascii="宋体" w:hAnsi="宋体" w:eastAsia="宋体" w:cs="黑体"/>
          <w:b/>
          <w:bCs/>
          <w:kern w:val="2"/>
          <w:sz w:val="21"/>
          <w:szCs w:val="21"/>
          <w:u w:val="single"/>
          <w:lang w:val="en-US" w:eastAsia="zh-CN" w:bidi="ar-SA"/>
        </w:rPr>
        <w:t>预付款</w:t>
      </w:r>
      <w:r>
        <w:rPr>
          <w:rFonts w:ascii="宋体" w:hAnsi="宋体" w:eastAsia="宋体" w:cs="黑体"/>
          <w:b/>
          <w:bCs/>
          <w:kern w:val="2"/>
          <w:sz w:val="21"/>
          <w:szCs w:val="21"/>
          <w:u w:val="single"/>
          <w:lang w:val="en-US" w:eastAsia="zh-CN" w:bidi="ar-SA"/>
        </w:rPr>
        <w:t>工程款的时间、比例：</w:t>
      </w:r>
      <w:r>
        <w:rPr>
          <w:rFonts w:hint="eastAsia" w:ascii="宋体" w:hAnsi="宋体" w:eastAsia="宋体" w:cs="黑体"/>
          <w:b/>
          <w:bCs/>
          <w:kern w:val="2"/>
          <w:sz w:val="21"/>
          <w:szCs w:val="21"/>
          <w:u w:val="single"/>
          <w:lang w:val="en-US" w:eastAsia="zh-CN" w:bidi="ar-SA"/>
        </w:rPr>
        <w:t xml:space="preserve">工程款支付累计达到合同价款50％（含预付款）时，开始扣回预付款，扣回比例为当月完成实际支付金额的50％，扣完为止。 </w:t>
      </w:r>
    </w:p>
    <w:p w14:paraId="7565D966">
      <w:pPr>
        <w:spacing w:line="360" w:lineRule="auto"/>
        <w:ind w:firstLine="308" w:firstLineChars="146"/>
        <w:rPr>
          <w:rFonts w:hint="eastAsia" w:ascii="宋体" w:hAnsi="宋体" w:eastAsia="宋体" w:cs="黑体"/>
          <w:b/>
          <w:bCs/>
          <w:kern w:val="2"/>
          <w:sz w:val="21"/>
          <w:szCs w:val="21"/>
          <w:u w:val="single"/>
          <w:lang w:val="en-US" w:eastAsia="zh-CN" w:bidi="ar-SA"/>
        </w:rPr>
      </w:pPr>
      <w:r>
        <w:rPr>
          <w:rFonts w:hint="eastAsia" w:ascii="宋体" w:hAnsi="宋体" w:eastAsia="宋体" w:cs="黑体"/>
          <w:b/>
          <w:bCs/>
          <w:kern w:val="2"/>
          <w:sz w:val="21"/>
          <w:szCs w:val="21"/>
          <w:u w:val="single"/>
          <w:lang w:val="en-US" w:eastAsia="zh-CN" w:bidi="ar-SA"/>
        </w:rPr>
        <w:t>（3）按月进度的85%支付工程款</w:t>
      </w:r>
      <w:r>
        <w:rPr>
          <w:rFonts w:ascii="宋体" w:hAnsi="宋体" w:eastAsia="宋体" w:cs="黑体"/>
          <w:b/>
          <w:bCs/>
          <w:kern w:val="2"/>
          <w:sz w:val="21"/>
          <w:szCs w:val="21"/>
          <w:u w:val="single"/>
          <w:lang w:val="en-US" w:eastAsia="zh-CN" w:bidi="ar-SA"/>
        </w:rPr>
        <w:t>，</w:t>
      </w:r>
      <w:r>
        <w:rPr>
          <w:rFonts w:hint="eastAsia" w:ascii="宋体" w:hAnsi="宋体" w:eastAsia="宋体" w:cs="黑体"/>
          <w:b/>
          <w:bCs/>
          <w:kern w:val="2"/>
          <w:sz w:val="21"/>
          <w:szCs w:val="21"/>
          <w:u w:val="single"/>
          <w:lang w:val="en-US" w:eastAsia="zh-CN" w:bidi="ar-SA"/>
        </w:rPr>
        <w:t>（联系单增减部分费用待结算审计后同口径支付）</w:t>
      </w:r>
      <w:r>
        <w:rPr>
          <w:rFonts w:ascii="宋体" w:hAnsi="宋体" w:eastAsia="宋体" w:cs="黑体"/>
          <w:b/>
          <w:bCs/>
          <w:kern w:val="2"/>
          <w:sz w:val="21"/>
          <w:szCs w:val="21"/>
          <w:u w:val="single"/>
          <w:lang w:val="en-US" w:eastAsia="zh-CN" w:bidi="ar-SA"/>
        </w:rPr>
        <w:t>，工程竣工</w:t>
      </w:r>
      <w:r>
        <w:rPr>
          <w:rFonts w:hint="eastAsia" w:ascii="宋体" w:hAnsi="宋体" w:eastAsia="宋体" w:cs="黑体"/>
          <w:b/>
          <w:bCs/>
          <w:kern w:val="2"/>
          <w:sz w:val="21"/>
          <w:szCs w:val="21"/>
          <w:u w:val="single"/>
          <w:lang w:val="en-US" w:eastAsia="zh-CN" w:bidi="ar-SA"/>
        </w:rPr>
        <w:t>验收（资料齐全）合格，</w:t>
      </w:r>
      <w:r>
        <w:rPr>
          <w:rFonts w:ascii="宋体" w:hAnsi="宋体" w:eastAsia="宋体" w:cs="黑体"/>
          <w:b/>
          <w:bCs/>
          <w:kern w:val="2"/>
          <w:sz w:val="21"/>
          <w:szCs w:val="21"/>
          <w:u w:val="single"/>
          <w:lang w:val="en-US" w:eastAsia="zh-CN" w:bidi="ar-SA"/>
        </w:rPr>
        <w:t>经审计</w:t>
      </w:r>
      <w:r>
        <w:rPr>
          <w:rFonts w:hint="eastAsia" w:ascii="宋体" w:hAnsi="宋体" w:eastAsia="宋体" w:cs="黑体"/>
          <w:b/>
          <w:bCs/>
          <w:kern w:val="2"/>
          <w:sz w:val="21"/>
          <w:szCs w:val="21"/>
          <w:u w:val="single"/>
          <w:lang w:val="en-US" w:eastAsia="zh-CN" w:bidi="ar-SA"/>
        </w:rPr>
        <w:t>完成</w:t>
      </w:r>
      <w:r>
        <w:rPr>
          <w:rFonts w:ascii="宋体" w:hAnsi="宋体" w:eastAsia="宋体" w:cs="黑体"/>
          <w:b/>
          <w:bCs/>
          <w:kern w:val="2"/>
          <w:sz w:val="21"/>
          <w:szCs w:val="21"/>
          <w:u w:val="single"/>
          <w:lang w:val="en-US" w:eastAsia="zh-CN" w:bidi="ar-SA"/>
        </w:rPr>
        <w:t>后</w:t>
      </w:r>
      <w:r>
        <w:rPr>
          <w:rFonts w:hint="eastAsia" w:ascii="宋体" w:hAnsi="宋体" w:eastAsia="宋体" w:cs="黑体"/>
          <w:b/>
          <w:bCs/>
          <w:kern w:val="2"/>
          <w:sz w:val="21"/>
          <w:szCs w:val="21"/>
          <w:u w:val="single"/>
          <w:lang w:val="en-US" w:eastAsia="zh-CN" w:bidi="ar-SA"/>
        </w:rPr>
        <w:t>，按审定价1.5%做为质量保修金缴入发包方基本账户，其余款项在承包人提交结算发票后一次性结清。竣工验收合格并竣工结算资料上交齐全</w:t>
      </w:r>
      <w:r>
        <w:rPr>
          <w:rFonts w:ascii="宋体" w:hAnsi="宋体" w:eastAsia="宋体" w:cs="黑体"/>
          <w:b/>
          <w:bCs/>
          <w:kern w:val="2"/>
          <w:sz w:val="21"/>
          <w:szCs w:val="21"/>
          <w:u w:val="single"/>
          <w:lang w:val="en-US" w:eastAsia="zh-CN" w:bidi="ar-SA"/>
        </w:rPr>
        <w:t>后</w:t>
      </w:r>
      <w:r>
        <w:rPr>
          <w:rFonts w:hint="eastAsia" w:ascii="宋体" w:hAnsi="宋体" w:eastAsia="宋体" w:cs="黑体"/>
          <w:b/>
          <w:bCs/>
          <w:kern w:val="2"/>
          <w:sz w:val="21"/>
          <w:szCs w:val="21"/>
          <w:u w:val="single"/>
          <w:lang w:val="en-US" w:eastAsia="zh-CN" w:bidi="ar-SA"/>
        </w:rPr>
        <w:t>次月退还履约保证金（履约保证金不计息）。工程质量保修金的退还按本合同附件3《工程质量保修书》约定执行。</w:t>
      </w:r>
    </w:p>
    <w:p w14:paraId="61844F0E">
      <w:pPr>
        <w:spacing w:line="360" w:lineRule="auto"/>
        <w:ind w:firstLine="315" w:firstLineChars="150"/>
        <w:jc w:val="left"/>
        <w:rPr>
          <w:rFonts w:ascii="宋体" w:hAnsi="宋体"/>
          <w:sz w:val="21"/>
          <w:szCs w:val="21"/>
        </w:rPr>
      </w:pPr>
      <w:r>
        <w:rPr>
          <w:rFonts w:ascii="宋体" w:hAnsi="宋体"/>
          <w:sz w:val="21"/>
          <w:szCs w:val="21"/>
        </w:rPr>
        <w:t>12.4.2 进度付款申请单的编制</w:t>
      </w:r>
    </w:p>
    <w:p w14:paraId="5C792A74">
      <w:pPr>
        <w:spacing w:line="360" w:lineRule="auto"/>
        <w:ind w:firstLine="315" w:firstLineChars="150"/>
        <w:jc w:val="left"/>
        <w:rPr>
          <w:rFonts w:ascii="宋体" w:hAnsi="宋体"/>
          <w:sz w:val="21"/>
          <w:szCs w:val="21"/>
          <w:u w:val="single"/>
        </w:rPr>
      </w:pPr>
      <w:r>
        <w:rPr>
          <w:rFonts w:ascii="宋体" w:hAnsi="宋体"/>
          <w:sz w:val="21"/>
          <w:szCs w:val="21"/>
        </w:rPr>
        <w:t>关于进度付款申请单编制的约定：</w:t>
      </w:r>
      <w:r>
        <w:rPr>
          <w:rFonts w:hint="eastAsia" w:ascii="宋体" w:hAnsi="宋体"/>
          <w:sz w:val="21"/>
          <w:szCs w:val="21"/>
          <w:u w:val="single"/>
        </w:rPr>
        <w:t>经监理确认的已</w:t>
      </w:r>
      <w:r>
        <w:rPr>
          <w:rFonts w:ascii="宋体" w:hAnsi="宋体"/>
          <w:b/>
          <w:bCs/>
          <w:sz w:val="21"/>
          <w:szCs w:val="21"/>
          <w:u w:val="single"/>
        </w:rPr>
        <w:t>完成的工程量报告</w:t>
      </w:r>
      <w:r>
        <w:rPr>
          <w:rFonts w:hint="eastAsia" w:ascii="宋体" w:hAnsi="宋体"/>
          <w:b/>
          <w:bCs/>
          <w:sz w:val="21"/>
          <w:szCs w:val="21"/>
          <w:u w:val="single"/>
        </w:rPr>
        <w:t>（含工程量Excel表格）</w:t>
      </w:r>
      <w:r>
        <w:rPr>
          <w:rFonts w:ascii="宋体" w:hAnsi="宋体"/>
          <w:b/>
          <w:bCs/>
          <w:sz w:val="21"/>
          <w:szCs w:val="21"/>
          <w:u w:val="single"/>
        </w:rPr>
        <w:t>，并附具进度款</w:t>
      </w:r>
      <w:r>
        <w:rPr>
          <w:rFonts w:hint="eastAsia" w:ascii="宋体" w:hAnsi="宋体"/>
          <w:b/>
          <w:bCs/>
          <w:sz w:val="21"/>
          <w:szCs w:val="21"/>
          <w:u w:val="single"/>
        </w:rPr>
        <w:t>支付</w:t>
      </w:r>
      <w:r>
        <w:rPr>
          <w:rFonts w:ascii="宋体" w:hAnsi="宋体"/>
          <w:b/>
          <w:bCs/>
          <w:sz w:val="21"/>
          <w:szCs w:val="21"/>
          <w:u w:val="single"/>
        </w:rPr>
        <w:t>申请单、已完成工程量报表和有关资料。</w:t>
      </w:r>
    </w:p>
    <w:p w14:paraId="4E57AD74">
      <w:pPr>
        <w:spacing w:line="360" w:lineRule="auto"/>
        <w:ind w:firstLine="525" w:firstLineChars="250"/>
        <w:jc w:val="left"/>
        <w:rPr>
          <w:rFonts w:ascii="宋体" w:hAnsi="宋体"/>
          <w:sz w:val="21"/>
          <w:szCs w:val="21"/>
        </w:rPr>
      </w:pPr>
      <w:r>
        <w:rPr>
          <w:rFonts w:ascii="宋体" w:hAnsi="宋体"/>
          <w:sz w:val="21"/>
          <w:szCs w:val="21"/>
        </w:rPr>
        <w:t>1</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r>
        <w:rPr>
          <w:rFonts w:ascii="宋体" w:hAnsi="宋体"/>
          <w:sz w:val="21"/>
          <w:szCs w:val="21"/>
        </w:rPr>
        <w:t>2.4.3 进度付款申请单的提交</w:t>
      </w:r>
      <w:r>
        <w:rPr>
          <w:rFonts w:hint="eastAsia" w:ascii="宋体" w:hAnsi="宋体"/>
          <w:sz w:val="21"/>
          <w:szCs w:val="21"/>
        </w:rPr>
        <w:t>：</w:t>
      </w:r>
      <w:r>
        <w:rPr>
          <w:rFonts w:ascii="宋体" w:hAnsi="宋体"/>
          <w:b/>
          <w:bCs/>
          <w:sz w:val="21"/>
          <w:szCs w:val="21"/>
          <w:u w:val="single"/>
        </w:rPr>
        <w:t>承包人应于每月</w:t>
      </w:r>
      <w:r>
        <w:rPr>
          <w:rFonts w:hint="eastAsia" w:ascii="宋体" w:hAnsi="宋体"/>
          <w:b/>
          <w:bCs/>
          <w:sz w:val="21"/>
          <w:szCs w:val="21"/>
          <w:u w:val="single"/>
        </w:rPr>
        <w:t>20</w:t>
      </w:r>
      <w:r>
        <w:rPr>
          <w:rFonts w:ascii="宋体" w:hAnsi="宋体"/>
          <w:b/>
          <w:bCs/>
          <w:sz w:val="21"/>
          <w:szCs w:val="21"/>
          <w:u w:val="single"/>
        </w:rPr>
        <w:t>日</w:t>
      </w:r>
      <w:r>
        <w:rPr>
          <w:rFonts w:hint="eastAsia" w:ascii="宋体" w:hAnsi="宋体"/>
          <w:b/>
          <w:bCs/>
          <w:sz w:val="21"/>
          <w:szCs w:val="21"/>
          <w:u w:val="single"/>
        </w:rPr>
        <w:t>前</w:t>
      </w:r>
      <w:r>
        <w:rPr>
          <w:rFonts w:ascii="宋体" w:hAnsi="宋体"/>
          <w:b/>
          <w:bCs/>
          <w:sz w:val="21"/>
          <w:szCs w:val="21"/>
          <w:u w:val="single"/>
        </w:rPr>
        <w:t>向监理人报送</w:t>
      </w:r>
      <w:r>
        <w:rPr>
          <w:rFonts w:ascii="宋体" w:hAnsi="宋体"/>
          <w:sz w:val="21"/>
          <w:szCs w:val="21"/>
        </w:rPr>
        <w:t>。</w:t>
      </w:r>
    </w:p>
    <w:p w14:paraId="3150A51A">
      <w:pPr>
        <w:spacing w:line="360" w:lineRule="auto"/>
        <w:ind w:firstLine="525" w:firstLineChars="250"/>
        <w:jc w:val="left"/>
        <w:rPr>
          <w:rFonts w:ascii="宋体" w:hAnsi="宋体"/>
          <w:sz w:val="21"/>
          <w:szCs w:val="21"/>
        </w:rPr>
      </w:pPr>
      <w:r>
        <w:rPr>
          <w:rFonts w:ascii="宋体" w:hAnsi="宋体"/>
          <w:sz w:val="21"/>
          <w:szCs w:val="21"/>
        </w:rPr>
        <w:t>12.4.4 进度款审核和支付</w:t>
      </w:r>
    </w:p>
    <w:p w14:paraId="7C15E6CE">
      <w:pPr>
        <w:spacing w:line="360" w:lineRule="auto"/>
        <w:ind w:firstLine="420" w:firstLineChars="200"/>
        <w:jc w:val="left"/>
        <w:rPr>
          <w:rFonts w:ascii="宋体" w:hAnsi="宋体"/>
          <w:sz w:val="21"/>
          <w:szCs w:val="21"/>
          <w:u w:val="single"/>
        </w:rPr>
      </w:pPr>
      <w:r>
        <w:rPr>
          <w:rFonts w:ascii="宋体" w:hAnsi="宋体"/>
          <w:sz w:val="21"/>
          <w:szCs w:val="21"/>
        </w:rPr>
        <w:t>（1）监理人审查并报送发包人的期限：</w:t>
      </w:r>
      <w:r>
        <w:rPr>
          <w:rFonts w:ascii="宋体" w:hAnsi="宋体"/>
          <w:sz w:val="21"/>
          <w:szCs w:val="21"/>
          <w:u w:val="single"/>
        </w:rPr>
        <w:t xml:space="preserve"> </w:t>
      </w:r>
      <w:r>
        <w:rPr>
          <w:rFonts w:hint="eastAsia" w:ascii="宋体" w:hAnsi="宋体"/>
          <w:sz w:val="21"/>
          <w:szCs w:val="21"/>
          <w:u w:val="single"/>
        </w:rPr>
        <w:t>收到承包方报送材料48小时内</w:t>
      </w:r>
      <w:r>
        <w:rPr>
          <w:rFonts w:ascii="宋体" w:hAnsi="宋体"/>
          <w:sz w:val="21"/>
          <w:szCs w:val="21"/>
        </w:rPr>
        <w:t>。</w:t>
      </w:r>
    </w:p>
    <w:p w14:paraId="47D67DD7">
      <w:pPr>
        <w:spacing w:line="360" w:lineRule="auto"/>
        <w:ind w:firstLine="420" w:firstLineChars="200"/>
        <w:jc w:val="left"/>
        <w:rPr>
          <w:rFonts w:ascii="宋体" w:hAnsi="宋体"/>
          <w:b/>
          <w:bCs/>
          <w:sz w:val="21"/>
          <w:szCs w:val="21"/>
          <w:u w:val="single"/>
        </w:rPr>
      </w:pPr>
      <w:r>
        <w:rPr>
          <w:rFonts w:ascii="宋体" w:hAnsi="宋体"/>
          <w:sz w:val="21"/>
          <w:szCs w:val="21"/>
        </w:rPr>
        <w:t>（2）发包人支付进度款的期限：</w:t>
      </w:r>
      <w:r>
        <w:rPr>
          <w:rFonts w:ascii="宋体" w:hAnsi="宋体"/>
          <w:b/>
          <w:bCs/>
          <w:sz w:val="21"/>
          <w:szCs w:val="21"/>
          <w:u w:val="single"/>
        </w:rPr>
        <w:t>承包人本月</w:t>
      </w:r>
      <w:r>
        <w:rPr>
          <w:rFonts w:hint="eastAsia" w:ascii="宋体" w:hAnsi="宋体"/>
          <w:b/>
          <w:bCs/>
          <w:sz w:val="21"/>
          <w:szCs w:val="21"/>
          <w:u w:val="single"/>
        </w:rPr>
        <w:t>20</w:t>
      </w:r>
      <w:r>
        <w:rPr>
          <w:rFonts w:ascii="宋体" w:hAnsi="宋体"/>
          <w:b/>
          <w:bCs/>
          <w:sz w:val="21"/>
          <w:szCs w:val="21"/>
          <w:u w:val="single"/>
        </w:rPr>
        <w:t>日前提交进度款支付申请报告，经监理</w:t>
      </w:r>
      <w:r>
        <w:rPr>
          <w:rFonts w:hint="eastAsia" w:ascii="宋体" w:hAnsi="宋体"/>
          <w:b/>
          <w:bCs/>
          <w:sz w:val="21"/>
          <w:szCs w:val="21"/>
          <w:u w:val="single"/>
        </w:rPr>
        <w:t>认可</w:t>
      </w:r>
      <w:r>
        <w:rPr>
          <w:rFonts w:ascii="宋体" w:hAnsi="宋体"/>
          <w:b/>
          <w:bCs/>
          <w:sz w:val="21"/>
          <w:szCs w:val="21"/>
          <w:u w:val="single"/>
        </w:rPr>
        <w:t>、发包人审批程序办理完毕后，7</w:t>
      </w:r>
      <w:r>
        <w:rPr>
          <w:rFonts w:hint="eastAsia" w:ascii="宋体" w:hAnsi="宋体"/>
          <w:b/>
          <w:bCs/>
          <w:sz w:val="21"/>
          <w:szCs w:val="21"/>
          <w:u w:val="single"/>
        </w:rPr>
        <w:t>个工作日</w:t>
      </w:r>
      <w:r>
        <w:rPr>
          <w:rFonts w:ascii="宋体" w:hAnsi="宋体"/>
          <w:b/>
          <w:bCs/>
          <w:sz w:val="21"/>
          <w:szCs w:val="21"/>
          <w:u w:val="single"/>
        </w:rPr>
        <w:t>内支付该期进度款</w:t>
      </w:r>
      <w:r>
        <w:rPr>
          <w:rFonts w:hint="eastAsia" w:ascii="宋体" w:hAnsi="宋体"/>
          <w:b/>
          <w:bCs/>
          <w:sz w:val="21"/>
          <w:szCs w:val="21"/>
          <w:u w:val="single"/>
        </w:rPr>
        <w:t>。</w:t>
      </w:r>
    </w:p>
    <w:p w14:paraId="3F0826A7">
      <w:pPr>
        <w:spacing w:line="360" w:lineRule="auto"/>
        <w:ind w:firstLine="525" w:firstLineChars="250"/>
        <w:jc w:val="left"/>
        <w:rPr>
          <w:rFonts w:hint="eastAsia" w:ascii="宋体" w:hAnsi="宋体"/>
          <w:sz w:val="21"/>
          <w:szCs w:val="21"/>
        </w:rPr>
      </w:pPr>
      <w:r>
        <w:rPr>
          <w:rFonts w:hint="eastAsia" w:ascii="宋体" w:hAnsi="宋体"/>
          <w:sz w:val="21"/>
          <w:szCs w:val="21"/>
        </w:rPr>
        <w:t>12.4.5 增加的变更按下列方式支付：</w:t>
      </w:r>
    </w:p>
    <w:p w14:paraId="2F870CB6">
      <w:pPr>
        <w:spacing w:line="360" w:lineRule="auto"/>
        <w:ind w:firstLine="527" w:firstLineChars="250"/>
        <w:jc w:val="left"/>
        <w:rPr>
          <w:rFonts w:hint="eastAsia" w:ascii="宋体" w:hAnsi="宋体"/>
          <w:sz w:val="21"/>
          <w:szCs w:val="21"/>
        </w:rPr>
      </w:pPr>
      <w:r>
        <w:rPr>
          <w:rFonts w:hint="eastAsia" w:ascii="宋体" w:hAnsi="宋体"/>
          <w:b/>
          <w:bCs/>
          <w:sz w:val="21"/>
          <w:szCs w:val="21"/>
          <w:u w:val="single"/>
        </w:rPr>
        <w:t>涉及施工中途工程变更而引起的造价变更，经原代理单位造价师出具的正式造价预算书，按投标下浮率下浮后开具联系单，费用需经第三方审计单位审计后一次性支付（即联系单增减部分费用待决算审计后同口径支付）。</w:t>
      </w:r>
    </w:p>
    <w:p w14:paraId="155C78A7">
      <w:pPr>
        <w:spacing w:line="360" w:lineRule="auto"/>
        <w:ind w:firstLine="420" w:firstLineChars="200"/>
        <w:jc w:val="left"/>
        <w:rPr>
          <w:rFonts w:ascii="宋体" w:hAnsi="宋体"/>
          <w:sz w:val="21"/>
          <w:szCs w:val="21"/>
        </w:rPr>
      </w:pPr>
      <w:r>
        <w:rPr>
          <w:rFonts w:ascii="宋体" w:hAnsi="宋体"/>
          <w:sz w:val="21"/>
          <w:szCs w:val="21"/>
        </w:rPr>
        <w:t>12.4.6 支付分解表的编制</w:t>
      </w:r>
    </w:p>
    <w:p w14:paraId="6FC3E13C">
      <w:pPr>
        <w:spacing w:line="360" w:lineRule="auto"/>
        <w:ind w:firstLine="420" w:firstLineChars="200"/>
        <w:jc w:val="left"/>
        <w:rPr>
          <w:rFonts w:ascii="宋体" w:hAnsi="宋体"/>
          <w:sz w:val="21"/>
          <w:szCs w:val="21"/>
          <w:u w:val="single"/>
        </w:rPr>
      </w:pPr>
      <w:r>
        <w:rPr>
          <w:rFonts w:ascii="宋体" w:hAnsi="宋体"/>
          <w:sz w:val="21"/>
          <w:szCs w:val="21"/>
        </w:rPr>
        <w:t>单价合同的总价项目支付分解表的编制与审批：</w:t>
      </w:r>
      <w:r>
        <w:rPr>
          <w:rFonts w:ascii="宋体" w:hAnsi="宋体"/>
          <w:b/>
          <w:bCs/>
          <w:sz w:val="21"/>
          <w:szCs w:val="21"/>
          <w:u w:val="single"/>
        </w:rPr>
        <w:t>由承包人根据施工进度计划和总价项目的总价构成、费用性质、计划发生时间和相应工程量等因素按月进行分解，形成支付分解表。承包人应当在收到监理人和发包人批准的施工进度计划后7天内，将支付分解表及编制支付分解表的支持性资料报送监理人。</w:t>
      </w:r>
    </w:p>
    <w:bookmarkEnd w:id="361"/>
    <w:p w14:paraId="1A22D0E6">
      <w:pPr>
        <w:spacing w:line="360" w:lineRule="auto"/>
        <w:ind w:firstLine="420" w:firstLineChars="200"/>
        <w:jc w:val="left"/>
        <w:rPr>
          <w:rFonts w:ascii="宋体" w:hAnsi="宋体"/>
          <w:bCs/>
          <w:sz w:val="21"/>
          <w:szCs w:val="21"/>
        </w:rPr>
      </w:pPr>
      <w:bookmarkStart w:id="460" w:name="_Toc351203645"/>
      <w:bookmarkStart w:id="461" w:name="_Toc296891259"/>
      <w:bookmarkStart w:id="462" w:name="_Toc296346720"/>
      <w:bookmarkStart w:id="463" w:name="_Toc297048405"/>
      <w:bookmarkStart w:id="464" w:name="_Toc304295593"/>
      <w:bookmarkStart w:id="465" w:name="_Toc297123564"/>
      <w:bookmarkStart w:id="466" w:name="_Toc296347218"/>
      <w:bookmarkStart w:id="467" w:name="_Toc296503219"/>
      <w:bookmarkStart w:id="468" w:name="_Toc292559929"/>
      <w:bookmarkStart w:id="469" w:name="_Toc297120519"/>
      <w:bookmarkStart w:id="470" w:name="_Toc296944558"/>
      <w:bookmarkStart w:id="471" w:name="_Toc303539172"/>
      <w:bookmarkStart w:id="472" w:name="_Toc312678053"/>
      <w:bookmarkStart w:id="473" w:name="_Toc300935015"/>
      <w:bookmarkStart w:id="474" w:name="_Toc292559424"/>
      <w:bookmarkStart w:id="475" w:name="_Toc296891047"/>
      <w:bookmarkStart w:id="476" w:name="_Toc297216223"/>
      <w:r>
        <w:rPr>
          <w:rFonts w:ascii="宋体" w:hAnsi="宋体"/>
          <w:bCs/>
          <w:sz w:val="21"/>
          <w:szCs w:val="21"/>
        </w:rPr>
        <w:t>13.</w:t>
      </w:r>
      <w:r>
        <w:rPr>
          <w:rFonts w:hint="eastAsia" w:ascii="宋体" w:hAnsi="宋体"/>
          <w:bCs/>
          <w:sz w:val="21"/>
          <w:szCs w:val="21"/>
        </w:rPr>
        <w:t xml:space="preserve"> </w:t>
      </w:r>
      <w:r>
        <w:rPr>
          <w:rFonts w:ascii="宋体" w:hAnsi="宋体"/>
          <w:bCs/>
          <w:sz w:val="21"/>
          <w:szCs w:val="21"/>
        </w:rPr>
        <w:t>验收和工程试车</w:t>
      </w:r>
      <w:bookmarkEnd w:id="460"/>
    </w:p>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14:paraId="7D8ECCFF">
      <w:pPr>
        <w:spacing w:line="360" w:lineRule="auto"/>
        <w:ind w:firstLine="420" w:firstLineChars="200"/>
        <w:jc w:val="left"/>
        <w:rPr>
          <w:rFonts w:ascii="宋体" w:hAnsi="宋体"/>
          <w:sz w:val="21"/>
          <w:szCs w:val="21"/>
        </w:rPr>
      </w:pPr>
      <w:r>
        <w:rPr>
          <w:rFonts w:ascii="宋体" w:hAnsi="宋体"/>
          <w:sz w:val="21"/>
          <w:szCs w:val="21"/>
        </w:rPr>
        <w:t>13.1 分部分项工程验收</w:t>
      </w:r>
    </w:p>
    <w:p w14:paraId="270E1A50">
      <w:pPr>
        <w:spacing w:line="360" w:lineRule="auto"/>
        <w:ind w:firstLine="420" w:firstLineChars="200"/>
        <w:jc w:val="left"/>
        <w:rPr>
          <w:rFonts w:ascii="宋体" w:hAnsi="宋体"/>
          <w:sz w:val="21"/>
          <w:szCs w:val="21"/>
        </w:rPr>
      </w:pPr>
      <w:r>
        <w:rPr>
          <w:rFonts w:ascii="宋体" w:hAnsi="宋体"/>
          <w:sz w:val="21"/>
          <w:szCs w:val="21"/>
        </w:rPr>
        <w:t>13.1.2监理人不能按时进行验收时，应提前</w:t>
      </w:r>
      <w:r>
        <w:rPr>
          <w:rFonts w:ascii="宋体" w:hAnsi="宋体"/>
          <w:sz w:val="21"/>
          <w:szCs w:val="21"/>
          <w:u w:val="single"/>
        </w:rPr>
        <w:t xml:space="preserve"> </w:t>
      </w:r>
      <w:r>
        <w:rPr>
          <w:rFonts w:hint="eastAsia" w:ascii="宋体" w:hAnsi="宋体"/>
          <w:b/>
          <w:sz w:val="21"/>
          <w:szCs w:val="21"/>
          <w:u w:val="single"/>
        </w:rPr>
        <w:t>24</w:t>
      </w:r>
      <w:r>
        <w:rPr>
          <w:rFonts w:ascii="宋体" w:hAnsi="宋体"/>
          <w:sz w:val="21"/>
          <w:szCs w:val="21"/>
          <w:u w:val="single"/>
        </w:rPr>
        <w:t xml:space="preserve"> </w:t>
      </w:r>
      <w:r>
        <w:rPr>
          <w:rFonts w:ascii="宋体" w:hAnsi="宋体"/>
          <w:sz w:val="21"/>
          <w:szCs w:val="21"/>
        </w:rPr>
        <w:t>小时提交书面延期要求。</w:t>
      </w:r>
    </w:p>
    <w:p w14:paraId="0D21FDCA">
      <w:pPr>
        <w:spacing w:line="360" w:lineRule="auto"/>
        <w:ind w:firstLine="420" w:firstLineChars="200"/>
        <w:jc w:val="left"/>
        <w:rPr>
          <w:rFonts w:ascii="宋体" w:hAnsi="宋体"/>
          <w:b/>
          <w:sz w:val="21"/>
          <w:szCs w:val="21"/>
        </w:rPr>
      </w:pPr>
      <w:r>
        <w:rPr>
          <w:rFonts w:ascii="宋体" w:hAnsi="宋体"/>
          <w:sz w:val="21"/>
          <w:szCs w:val="21"/>
        </w:rPr>
        <w:t>关于延期最长不得超过：</w:t>
      </w:r>
      <w:r>
        <w:rPr>
          <w:rFonts w:ascii="宋体" w:hAnsi="宋体"/>
          <w:sz w:val="21"/>
          <w:szCs w:val="21"/>
          <w:u w:val="single"/>
        </w:rPr>
        <w:t xml:space="preserve">  </w:t>
      </w:r>
      <w:r>
        <w:rPr>
          <w:rFonts w:hint="eastAsia" w:ascii="宋体" w:hAnsi="宋体"/>
          <w:b/>
          <w:sz w:val="21"/>
          <w:szCs w:val="21"/>
          <w:u w:val="single"/>
        </w:rPr>
        <w:t>48</w:t>
      </w:r>
      <w:r>
        <w:rPr>
          <w:rFonts w:ascii="宋体" w:hAnsi="宋体"/>
          <w:sz w:val="21"/>
          <w:szCs w:val="21"/>
          <w:u w:val="single"/>
        </w:rPr>
        <w:t xml:space="preserve"> </w:t>
      </w:r>
      <w:r>
        <w:rPr>
          <w:rFonts w:ascii="宋体" w:hAnsi="宋体"/>
          <w:sz w:val="21"/>
          <w:szCs w:val="21"/>
        </w:rPr>
        <w:t>小时。</w:t>
      </w:r>
    </w:p>
    <w:p w14:paraId="63CE368B">
      <w:pPr>
        <w:spacing w:line="360" w:lineRule="auto"/>
        <w:ind w:firstLine="420" w:firstLineChars="200"/>
        <w:jc w:val="left"/>
        <w:rPr>
          <w:rFonts w:ascii="宋体" w:hAnsi="宋体"/>
          <w:sz w:val="21"/>
          <w:szCs w:val="21"/>
        </w:rPr>
      </w:pPr>
      <w:bookmarkStart w:id="477" w:name="_Toc297120523"/>
      <w:bookmarkStart w:id="478" w:name="_Toc297216224"/>
      <w:bookmarkStart w:id="479" w:name="_Toc312678056"/>
      <w:bookmarkStart w:id="480" w:name="_Toc292559933"/>
      <w:bookmarkStart w:id="481" w:name="_Toc300935016"/>
      <w:bookmarkStart w:id="482" w:name="_Toc303539173"/>
      <w:bookmarkStart w:id="483" w:name="_Toc296891051"/>
      <w:bookmarkStart w:id="484" w:name="_Toc296503223"/>
      <w:bookmarkStart w:id="485" w:name="_Toc297048409"/>
      <w:bookmarkStart w:id="486" w:name="_Toc296944562"/>
      <w:bookmarkStart w:id="487" w:name="_Toc296347222"/>
      <w:bookmarkStart w:id="488" w:name="_Toc297123565"/>
      <w:bookmarkStart w:id="489" w:name="_Toc296346724"/>
      <w:bookmarkStart w:id="490" w:name="_Toc292559428"/>
      <w:bookmarkStart w:id="491" w:name="_Toc304295596"/>
      <w:bookmarkStart w:id="492" w:name="_Toc296891263"/>
      <w:bookmarkStart w:id="493" w:name="_Toc267251475"/>
      <w:bookmarkStart w:id="494" w:name="_Toc267251472"/>
      <w:bookmarkStart w:id="495" w:name="_Toc267251473"/>
      <w:bookmarkStart w:id="496" w:name="_Toc267251474"/>
      <w:bookmarkStart w:id="497" w:name="_Toc267251470"/>
      <w:bookmarkStart w:id="498" w:name="_Toc267251476"/>
      <w:bookmarkStart w:id="499" w:name="_Toc267251471"/>
      <w:r>
        <w:rPr>
          <w:rFonts w:ascii="宋体" w:hAnsi="宋体"/>
          <w:sz w:val="21"/>
          <w:szCs w:val="21"/>
        </w:rPr>
        <w:t>13.2 竣工验收</w:t>
      </w:r>
    </w:p>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14:paraId="1E73E677">
      <w:pPr>
        <w:spacing w:line="360" w:lineRule="auto"/>
        <w:ind w:firstLine="420" w:firstLineChars="200"/>
        <w:jc w:val="left"/>
        <w:rPr>
          <w:rFonts w:ascii="宋体" w:hAnsi="宋体"/>
          <w:sz w:val="21"/>
          <w:szCs w:val="21"/>
        </w:rPr>
      </w:pPr>
      <w:bookmarkStart w:id="500" w:name="_Toc280868704"/>
      <w:bookmarkStart w:id="501" w:name="_Toc280868705"/>
      <w:bookmarkStart w:id="502" w:name="_Toc280868706"/>
      <w:bookmarkStart w:id="503" w:name="_Toc280868707"/>
      <w:bookmarkStart w:id="504" w:name="_Toc280868708"/>
      <w:bookmarkStart w:id="505" w:name="_Toc280868709"/>
      <w:r>
        <w:rPr>
          <w:rFonts w:ascii="宋体" w:hAnsi="宋体"/>
          <w:sz w:val="21"/>
          <w:szCs w:val="21"/>
        </w:rPr>
        <w:t>13.2.2竣工验收程序</w:t>
      </w:r>
    </w:p>
    <w:bookmarkEnd w:id="500"/>
    <w:p w14:paraId="4B184596">
      <w:pPr>
        <w:spacing w:line="360" w:lineRule="auto"/>
        <w:ind w:firstLine="420" w:firstLineChars="200"/>
        <w:jc w:val="left"/>
        <w:rPr>
          <w:rFonts w:ascii="宋体" w:hAnsi="宋体"/>
          <w:sz w:val="21"/>
          <w:szCs w:val="21"/>
          <w:u w:val="single"/>
        </w:rPr>
      </w:pPr>
      <w:r>
        <w:rPr>
          <w:rFonts w:ascii="宋体" w:hAnsi="宋体"/>
          <w:sz w:val="21"/>
          <w:szCs w:val="21"/>
        </w:rPr>
        <w:t>关于竣工验收程序的约定：</w:t>
      </w:r>
      <w:r>
        <w:rPr>
          <w:rFonts w:ascii="宋体" w:hAnsi="宋体"/>
          <w:sz w:val="21"/>
          <w:szCs w:val="21"/>
          <w:u w:val="single"/>
        </w:rPr>
        <w:t xml:space="preserve"> </w:t>
      </w:r>
      <w:r>
        <w:rPr>
          <w:rFonts w:hint="eastAsia" w:ascii="宋体" w:hAnsi="宋体"/>
          <w:b/>
          <w:bCs/>
          <w:sz w:val="21"/>
          <w:szCs w:val="21"/>
          <w:u w:val="single"/>
        </w:rPr>
        <w:t>按相应的通用条款执行</w:t>
      </w:r>
      <w:r>
        <w:rPr>
          <w:rFonts w:ascii="宋体" w:hAnsi="宋体"/>
          <w:sz w:val="21"/>
          <w:szCs w:val="21"/>
          <w:u w:val="single"/>
        </w:rPr>
        <w:t xml:space="preserve">    </w:t>
      </w:r>
      <w:r>
        <w:rPr>
          <w:rFonts w:ascii="宋体" w:hAnsi="宋体"/>
          <w:sz w:val="21"/>
          <w:szCs w:val="21"/>
        </w:rPr>
        <w:t>。</w:t>
      </w:r>
    </w:p>
    <w:bookmarkEnd w:id="501"/>
    <w:p w14:paraId="1A24F201">
      <w:pPr>
        <w:spacing w:line="360" w:lineRule="auto"/>
        <w:ind w:firstLine="420" w:firstLineChars="200"/>
        <w:jc w:val="left"/>
        <w:rPr>
          <w:rFonts w:ascii="宋体" w:hAnsi="宋体"/>
          <w:sz w:val="21"/>
          <w:szCs w:val="21"/>
        </w:rPr>
      </w:pPr>
      <w:r>
        <w:rPr>
          <w:rFonts w:ascii="宋体" w:hAnsi="宋体"/>
          <w:sz w:val="21"/>
          <w:szCs w:val="21"/>
        </w:rPr>
        <w:t>13.2.5移交、接收全部与部分工程</w:t>
      </w:r>
    </w:p>
    <w:bookmarkEnd w:id="502"/>
    <w:p w14:paraId="161FFB2F">
      <w:pPr>
        <w:spacing w:line="360" w:lineRule="auto"/>
        <w:ind w:firstLine="420" w:firstLineChars="200"/>
        <w:jc w:val="left"/>
        <w:rPr>
          <w:rFonts w:ascii="宋体" w:hAnsi="宋体"/>
          <w:sz w:val="21"/>
          <w:szCs w:val="21"/>
        </w:rPr>
      </w:pPr>
      <w:r>
        <w:rPr>
          <w:rFonts w:hint="eastAsia" w:ascii="宋体" w:hAnsi="宋体"/>
          <w:sz w:val="21"/>
          <w:szCs w:val="21"/>
        </w:rPr>
        <w:t>承包人向发包人移交工程的期限：</w:t>
      </w:r>
      <w:r>
        <w:rPr>
          <w:rFonts w:ascii="宋体" w:hAnsi="宋体"/>
          <w:sz w:val="21"/>
          <w:szCs w:val="21"/>
          <w:u w:val="single"/>
        </w:rPr>
        <w:t xml:space="preserve">  </w:t>
      </w:r>
      <w:r>
        <w:rPr>
          <w:rFonts w:ascii="宋体" w:hAnsi="宋体"/>
          <w:b/>
          <w:bCs/>
          <w:sz w:val="21"/>
          <w:szCs w:val="21"/>
          <w:u w:val="single"/>
        </w:rPr>
        <w:t xml:space="preserve"> 应当在颁发工程接收证书</w:t>
      </w:r>
      <w:r>
        <w:rPr>
          <w:rFonts w:hint="eastAsia" w:ascii="宋体" w:hAnsi="宋体"/>
          <w:b/>
          <w:bCs/>
          <w:sz w:val="21"/>
          <w:szCs w:val="21"/>
          <w:u w:val="single"/>
        </w:rPr>
        <w:t>后7天内</w:t>
      </w:r>
      <w:r>
        <w:rPr>
          <w:rFonts w:ascii="宋体" w:hAnsi="宋体"/>
          <w:b/>
          <w:bCs/>
          <w:sz w:val="21"/>
          <w:szCs w:val="21"/>
          <w:u w:val="single"/>
        </w:rPr>
        <w:t>完成工程的移交</w:t>
      </w:r>
      <w:r>
        <w:rPr>
          <w:rFonts w:hint="eastAsia" w:ascii="宋体" w:hAnsi="宋体"/>
          <w:b/>
          <w:bCs/>
          <w:sz w:val="21"/>
          <w:szCs w:val="21"/>
          <w:u w:val="single"/>
        </w:rPr>
        <w:t>。</w:t>
      </w:r>
    </w:p>
    <w:bookmarkEnd w:id="503"/>
    <w:p w14:paraId="094B281C">
      <w:pPr>
        <w:spacing w:line="360" w:lineRule="auto"/>
        <w:ind w:firstLine="420" w:firstLineChars="200"/>
        <w:jc w:val="left"/>
        <w:rPr>
          <w:rFonts w:ascii="宋体" w:hAnsi="宋体"/>
          <w:sz w:val="21"/>
          <w:szCs w:val="21"/>
          <w:u w:val="single"/>
        </w:rPr>
      </w:pPr>
      <w:r>
        <w:rPr>
          <w:rFonts w:ascii="宋体" w:hAnsi="宋体"/>
          <w:sz w:val="21"/>
          <w:szCs w:val="21"/>
        </w:rPr>
        <w:t>承包人未按时移交工程的，违约金的计算方法为：</w:t>
      </w:r>
      <w:r>
        <w:rPr>
          <w:rFonts w:ascii="宋体" w:hAnsi="宋体"/>
          <w:b/>
          <w:bCs/>
          <w:sz w:val="21"/>
          <w:szCs w:val="21"/>
          <w:u w:val="single"/>
        </w:rPr>
        <w:t>承包人无正当理由不移交工程的，</w:t>
      </w:r>
      <w:r>
        <w:rPr>
          <w:rFonts w:hint="eastAsia" w:ascii="宋体" w:hAnsi="宋体"/>
          <w:b/>
          <w:bCs/>
          <w:sz w:val="21"/>
          <w:szCs w:val="21"/>
          <w:u w:val="single"/>
        </w:rPr>
        <w:t>承包人应承担</w:t>
      </w:r>
      <w:r>
        <w:rPr>
          <w:rFonts w:ascii="宋体" w:hAnsi="宋体"/>
          <w:b/>
          <w:bCs/>
          <w:sz w:val="21"/>
          <w:szCs w:val="21"/>
          <w:u w:val="single"/>
        </w:rPr>
        <w:t>工程照管、成品保护、保管等与工程有关的各项费用</w:t>
      </w:r>
      <w:r>
        <w:rPr>
          <w:rFonts w:ascii="宋体" w:hAnsi="宋体"/>
          <w:sz w:val="21"/>
          <w:szCs w:val="21"/>
        </w:rPr>
        <w:t>。</w:t>
      </w:r>
    </w:p>
    <w:p w14:paraId="467D3A14">
      <w:pPr>
        <w:spacing w:line="360" w:lineRule="auto"/>
        <w:ind w:firstLine="420" w:firstLineChars="200"/>
        <w:jc w:val="left"/>
        <w:rPr>
          <w:rFonts w:ascii="宋体" w:hAnsi="宋体"/>
          <w:sz w:val="21"/>
          <w:szCs w:val="21"/>
        </w:rPr>
      </w:pPr>
      <w:r>
        <w:rPr>
          <w:rFonts w:ascii="宋体" w:hAnsi="宋体"/>
          <w:sz w:val="21"/>
          <w:szCs w:val="21"/>
        </w:rPr>
        <w:t>13.3 工程试车</w:t>
      </w:r>
    </w:p>
    <w:bookmarkEnd w:id="504"/>
    <w:p w14:paraId="7F651F9A">
      <w:pPr>
        <w:spacing w:line="360" w:lineRule="auto"/>
        <w:ind w:firstLine="420" w:firstLineChars="200"/>
        <w:jc w:val="left"/>
        <w:rPr>
          <w:rFonts w:ascii="宋体" w:hAnsi="宋体"/>
          <w:sz w:val="21"/>
          <w:szCs w:val="21"/>
        </w:rPr>
      </w:pPr>
      <w:r>
        <w:rPr>
          <w:rFonts w:ascii="宋体" w:hAnsi="宋体"/>
          <w:sz w:val="21"/>
          <w:szCs w:val="21"/>
        </w:rPr>
        <w:t>13.3.1 试车程序</w:t>
      </w:r>
    </w:p>
    <w:p w14:paraId="24EF028F">
      <w:pPr>
        <w:spacing w:line="360" w:lineRule="auto"/>
        <w:ind w:firstLine="420" w:firstLineChars="200"/>
        <w:jc w:val="left"/>
        <w:rPr>
          <w:rFonts w:ascii="宋体" w:hAnsi="宋体"/>
          <w:sz w:val="21"/>
          <w:szCs w:val="21"/>
          <w:u w:val="single"/>
        </w:rPr>
      </w:pPr>
      <w:r>
        <w:rPr>
          <w:rFonts w:ascii="宋体" w:hAnsi="宋体"/>
          <w:sz w:val="21"/>
          <w:szCs w:val="21"/>
        </w:rPr>
        <w:t>工程试车内容：</w:t>
      </w:r>
      <w:r>
        <w:rPr>
          <w:rFonts w:ascii="宋体" w:hAnsi="宋体"/>
          <w:sz w:val="21"/>
          <w:szCs w:val="21"/>
          <w:u w:val="single"/>
        </w:rPr>
        <w:t xml:space="preserve">   </w:t>
      </w:r>
      <w:r>
        <w:rPr>
          <w:rFonts w:hint="eastAsia" w:ascii="宋体" w:hAnsi="宋体"/>
          <w:b/>
          <w:bCs/>
          <w:sz w:val="21"/>
          <w:szCs w:val="21"/>
          <w:u w:val="single"/>
        </w:rPr>
        <w:t>按相应的通用条款执行</w:t>
      </w:r>
      <w:r>
        <w:rPr>
          <w:rFonts w:ascii="宋体" w:hAnsi="宋体"/>
          <w:sz w:val="21"/>
          <w:szCs w:val="21"/>
          <w:u w:val="single"/>
        </w:rPr>
        <w:t xml:space="preserve">    </w:t>
      </w:r>
      <w:r>
        <w:rPr>
          <w:rFonts w:ascii="宋体" w:hAnsi="宋体"/>
          <w:sz w:val="21"/>
          <w:szCs w:val="21"/>
        </w:rPr>
        <w:t>。</w:t>
      </w:r>
    </w:p>
    <w:p w14:paraId="7C2969F3">
      <w:pPr>
        <w:spacing w:line="360" w:lineRule="auto"/>
        <w:ind w:firstLine="210" w:firstLineChars="100"/>
        <w:jc w:val="left"/>
        <w:rPr>
          <w:rFonts w:ascii="宋体" w:hAnsi="宋体"/>
          <w:sz w:val="21"/>
          <w:szCs w:val="21"/>
        </w:rPr>
      </w:pPr>
      <w:r>
        <w:rPr>
          <w:rFonts w:ascii="宋体" w:hAnsi="宋体"/>
          <w:sz w:val="21"/>
          <w:szCs w:val="21"/>
        </w:rPr>
        <w:t>（1）单机无负荷试车费用由</w:t>
      </w:r>
      <w:r>
        <w:rPr>
          <w:rFonts w:ascii="宋体" w:hAnsi="宋体"/>
          <w:sz w:val="21"/>
          <w:szCs w:val="21"/>
          <w:u w:val="single"/>
        </w:rPr>
        <w:t xml:space="preserve">  </w:t>
      </w:r>
      <w:r>
        <w:rPr>
          <w:rFonts w:hint="eastAsia" w:ascii="宋体" w:hAnsi="宋体"/>
          <w:b/>
          <w:bCs/>
          <w:sz w:val="21"/>
          <w:szCs w:val="21"/>
          <w:u w:val="single"/>
        </w:rPr>
        <w:t>承包人</w:t>
      </w:r>
      <w:r>
        <w:rPr>
          <w:rFonts w:ascii="宋体" w:hAnsi="宋体"/>
          <w:sz w:val="21"/>
          <w:szCs w:val="21"/>
        </w:rPr>
        <w:t>承担；</w:t>
      </w:r>
    </w:p>
    <w:p w14:paraId="033B08AD">
      <w:pPr>
        <w:spacing w:line="360" w:lineRule="auto"/>
        <w:ind w:firstLine="210" w:firstLineChars="100"/>
        <w:jc w:val="left"/>
        <w:rPr>
          <w:rFonts w:ascii="宋体" w:hAnsi="宋体"/>
          <w:sz w:val="21"/>
          <w:szCs w:val="21"/>
        </w:rPr>
      </w:pPr>
      <w:r>
        <w:rPr>
          <w:rFonts w:ascii="宋体" w:hAnsi="宋体"/>
          <w:sz w:val="21"/>
          <w:szCs w:val="21"/>
        </w:rPr>
        <w:t>（2）无负荷联动试车费用由</w:t>
      </w:r>
      <w:r>
        <w:rPr>
          <w:rFonts w:hint="eastAsia" w:ascii="宋体" w:hAnsi="宋体"/>
          <w:b/>
          <w:bCs/>
          <w:sz w:val="21"/>
          <w:szCs w:val="21"/>
          <w:u w:val="single"/>
        </w:rPr>
        <w:t>承包人</w:t>
      </w:r>
      <w:r>
        <w:rPr>
          <w:rFonts w:ascii="宋体" w:hAnsi="宋体"/>
          <w:sz w:val="21"/>
          <w:szCs w:val="21"/>
        </w:rPr>
        <w:t>承担。</w:t>
      </w:r>
    </w:p>
    <w:p w14:paraId="04DC9D74">
      <w:pPr>
        <w:spacing w:line="360" w:lineRule="auto"/>
        <w:ind w:firstLine="315" w:firstLineChars="150"/>
        <w:jc w:val="left"/>
        <w:rPr>
          <w:rFonts w:ascii="宋体" w:hAnsi="宋体"/>
          <w:sz w:val="21"/>
          <w:szCs w:val="21"/>
        </w:rPr>
      </w:pPr>
      <w:r>
        <w:rPr>
          <w:rFonts w:ascii="宋体" w:hAnsi="宋体"/>
          <w:sz w:val="21"/>
          <w:szCs w:val="21"/>
        </w:rPr>
        <w:t>13.6 竣工退场</w:t>
      </w:r>
    </w:p>
    <w:p w14:paraId="0F955E24">
      <w:pPr>
        <w:spacing w:line="360" w:lineRule="auto"/>
        <w:ind w:firstLine="315" w:firstLineChars="150"/>
        <w:jc w:val="left"/>
        <w:rPr>
          <w:rFonts w:ascii="宋体" w:hAnsi="宋体"/>
          <w:sz w:val="21"/>
          <w:szCs w:val="21"/>
        </w:rPr>
      </w:pPr>
      <w:r>
        <w:rPr>
          <w:rFonts w:ascii="宋体" w:hAnsi="宋体"/>
          <w:sz w:val="21"/>
          <w:szCs w:val="21"/>
        </w:rPr>
        <w:t>13.6.1 竣工退场</w:t>
      </w:r>
    </w:p>
    <w:p w14:paraId="3C55C0F1">
      <w:pPr>
        <w:spacing w:line="360" w:lineRule="auto"/>
        <w:ind w:firstLine="315" w:firstLineChars="150"/>
        <w:jc w:val="left"/>
        <w:rPr>
          <w:rFonts w:ascii="宋体" w:hAnsi="宋体"/>
          <w:sz w:val="21"/>
          <w:szCs w:val="21"/>
        </w:rPr>
      </w:pPr>
      <w:r>
        <w:rPr>
          <w:rFonts w:ascii="宋体" w:hAnsi="宋体"/>
          <w:sz w:val="21"/>
          <w:szCs w:val="21"/>
        </w:rPr>
        <w:t>承包人完成竣工退场的期限：</w:t>
      </w:r>
      <w:r>
        <w:rPr>
          <w:rFonts w:ascii="宋体" w:hAnsi="宋体"/>
          <w:sz w:val="21"/>
          <w:szCs w:val="21"/>
          <w:u w:val="single"/>
        </w:rPr>
        <w:t xml:space="preserve">   </w:t>
      </w:r>
      <w:r>
        <w:rPr>
          <w:rFonts w:hint="eastAsia" w:ascii="宋体" w:hAnsi="宋体"/>
          <w:b/>
          <w:bCs/>
          <w:sz w:val="21"/>
          <w:szCs w:val="21"/>
          <w:u w:val="single"/>
        </w:rPr>
        <w:t>按相应的通用条款执行</w:t>
      </w:r>
      <w:r>
        <w:rPr>
          <w:rFonts w:ascii="宋体" w:hAnsi="宋体"/>
          <w:sz w:val="21"/>
          <w:szCs w:val="21"/>
          <w:u w:val="single"/>
        </w:rPr>
        <w:t xml:space="preserve">   </w:t>
      </w:r>
      <w:r>
        <w:rPr>
          <w:rFonts w:ascii="宋体" w:hAnsi="宋体"/>
          <w:sz w:val="21"/>
          <w:szCs w:val="21"/>
        </w:rPr>
        <w:t>。</w:t>
      </w:r>
    </w:p>
    <w:p w14:paraId="559A3344">
      <w:pPr>
        <w:spacing w:line="360" w:lineRule="auto"/>
        <w:ind w:firstLine="315" w:firstLineChars="150"/>
        <w:jc w:val="left"/>
        <w:rPr>
          <w:rFonts w:ascii="宋体" w:hAnsi="宋体"/>
          <w:bCs/>
          <w:sz w:val="21"/>
          <w:szCs w:val="21"/>
        </w:rPr>
      </w:pPr>
      <w:bookmarkStart w:id="506" w:name="_Toc351203646"/>
      <w:r>
        <w:rPr>
          <w:rFonts w:ascii="宋体" w:hAnsi="宋体"/>
          <w:bCs/>
          <w:sz w:val="21"/>
          <w:szCs w:val="21"/>
        </w:rPr>
        <w:t>14. 竣工结算</w:t>
      </w:r>
      <w:bookmarkEnd w:id="506"/>
    </w:p>
    <w:p w14:paraId="6648A390">
      <w:pPr>
        <w:spacing w:line="360" w:lineRule="auto"/>
        <w:ind w:firstLine="315" w:firstLineChars="150"/>
        <w:jc w:val="left"/>
        <w:rPr>
          <w:rFonts w:ascii="宋体" w:hAnsi="宋体"/>
          <w:sz w:val="21"/>
          <w:szCs w:val="21"/>
        </w:rPr>
      </w:pPr>
      <w:r>
        <w:rPr>
          <w:rFonts w:ascii="宋体" w:hAnsi="宋体"/>
          <w:sz w:val="21"/>
          <w:szCs w:val="21"/>
        </w:rPr>
        <w:t>14.1 竣工付款申请</w:t>
      </w:r>
    </w:p>
    <w:p w14:paraId="783E3F96">
      <w:pPr>
        <w:spacing w:line="360" w:lineRule="auto"/>
        <w:ind w:firstLine="315" w:firstLineChars="150"/>
        <w:jc w:val="left"/>
        <w:rPr>
          <w:rFonts w:ascii="宋体" w:hAnsi="宋体"/>
          <w:sz w:val="21"/>
          <w:szCs w:val="21"/>
        </w:rPr>
      </w:pPr>
      <w:r>
        <w:rPr>
          <w:rFonts w:ascii="宋体" w:hAnsi="宋体"/>
          <w:sz w:val="21"/>
          <w:szCs w:val="21"/>
        </w:rPr>
        <w:t>承包人提交竣工付款申请单的期限：</w:t>
      </w:r>
      <w:r>
        <w:rPr>
          <w:rFonts w:ascii="宋体" w:hAnsi="宋体"/>
          <w:b/>
          <w:sz w:val="21"/>
          <w:szCs w:val="21"/>
          <w:u w:val="single"/>
        </w:rPr>
        <w:t>竣工验收合格通过日后的</w:t>
      </w:r>
      <w:r>
        <w:rPr>
          <w:rFonts w:hint="eastAsia" w:ascii="宋体" w:hAnsi="宋体"/>
          <w:b/>
          <w:sz w:val="21"/>
          <w:szCs w:val="21"/>
          <w:u w:val="single"/>
        </w:rPr>
        <w:t>10日</w:t>
      </w:r>
      <w:r>
        <w:rPr>
          <w:rFonts w:ascii="宋体" w:hAnsi="宋体"/>
          <w:b/>
          <w:sz w:val="21"/>
          <w:szCs w:val="21"/>
          <w:u w:val="single"/>
        </w:rPr>
        <w:t>内</w:t>
      </w:r>
      <w:r>
        <w:rPr>
          <w:rFonts w:hint="eastAsia" w:ascii="宋体" w:hAnsi="宋体"/>
          <w:b/>
          <w:sz w:val="21"/>
          <w:szCs w:val="21"/>
          <w:u w:val="single"/>
        </w:rPr>
        <w:t>提交</w:t>
      </w:r>
      <w:r>
        <w:rPr>
          <w:rFonts w:ascii="宋体" w:hAnsi="宋体"/>
          <w:b/>
          <w:sz w:val="21"/>
          <w:szCs w:val="21"/>
          <w:u w:val="single"/>
        </w:rPr>
        <w:t>。</w:t>
      </w:r>
    </w:p>
    <w:p w14:paraId="6F38EE51">
      <w:pPr>
        <w:spacing w:line="360" w:lineRule="auto"/>
        <w:ind w:firstLine="315" w:firstLineChars="150"/>
        <w:jc w:val="left"/>
        <w:rPr>
          <w:rFonts w:ascii="宋体" w:hAnsi="宋体"/>
          <w:sz w:val="21"/>
          <w:szCs w:val="21"/>
        </w:rPr>
      </w:pPr>
      <w:r>
        <w:rPr>
          <w:rFonts w:ascii="宋体" w:hAnsi="宋体"/>
          <w:sz w:val="21"/>
          <w:szCs w:val="21"/>
        </w:rPr>
        <w:t>14.2 竣工结算审核</w:t>
      </w:r>
    </w:p>
    <w:p w14:paraId="01980A75">
      <w:pPr>
        <w:spacing w:line="360" w:lineRule="auto"/>
        <w:ind w:firstLine="315" w:firstLineChars="150"/>
        <w:jc w:val="left"/>
        <w:rPr>
          <w:rFonts w:ascii="宋体" w:hAnsi="宋体"/>
          <w:sz w:val="21"/>
          <w:szCs w:val="21"/>
        </w:rPr>
      </w:pPr>
      <w:r>
        <w:rPr>
          <w:rFonts w:ascii="宋体" w:hAnsi="宋体"/>
          <w:sz w:val="21"/>
          <w:szCs w:val="21"/>
        </w:rPr>
        <w:t>发包人</w:t>
      </w:r>
      <w:r>
        <w:rPr>
          <w:rFonts w:hint="eastAsia" w:ascii="宋体" w:hAnsi="宋体"/>
          <w:sz w:val="21"/>
          <w:szCs w:val="21"/>
        </w:rPr>
        <w:t>审批</w:t>
      </w:r>
      <w:r>
        <w:rPr>
          <w:rFonts w:ascii="宋体" w:hAnsi="宋体"/>
          <w:sz w:val="21"/>
          <w:szCs w:val="21"/>
        </w:rPr>
        <w:t>竣工付款申请单的期限：</w:t>
      </w:r>
      <w:r>
        <w:rPr>
          <w:rFonts w:hint="eastAsia" w:ascii="宋体" w:hAnsi="宋体"/>
          <w:sz w:val="21"/>
          <w:szCs w:val="21"/>
          <w:u w:val="single"/>
        </w:rPr>
        <w:t>资料齐全后15个工作日</w:t>
      </w:r>
      <w:r>
        <w:rPr>
          <w:rFonts w:ascii="宋体" w:hAnsi="宋体"/>
          <w:sz w:val="21"/>
          <w:szCs w:val="21"/>
        </w:rPr>
        <w:t>。</w:t>
      </w:r>
    </w:p>
    <w:p w14:paraId="3BEC5D22">
      <w:pPr>
        <w:spacing w:line="360" w:lineRule="auto"/>
        <w:ind w:firstLine="315" w:firstLineChars="150"/>
        <w:jc w:val="left"/>
        <w:rPr>
          <w:rFonts w:ascii="宋体" w:hAnsi="宋体"/>
          <w:sz w:val="21"/>
          <w:szCs w:val="21"/>
        </w:rPr>
      </w:pPr>
      <w:r>
        <w:rPr>
          <w:rFonts w:ascii="宋体" w:hAnsi="宋体"/>
          <w:sz w:val="21"/>
          <w:szCs w:val="21"/>
        </w:rPr>
        <w:t>发包人完成竣工付款的期限：</w:t>
      </w:r>
      <w:r>
        <w:rPr>
          <w:rFonts w:ascii="宋体" w:hAnsi="宋体"/>
          <w:sz w:val="21"/>
          <w:szCs w:val="21"/>
          <w:u w:val="single"/>
        </w:rPr>
        <w:t xml:space="preserve"> </w:t>
      </w:r>
      <w:r>
        <w:rPr>
          <w:rFonts w:hint="eastAsia" w:ascii="宋体" w:hAnsi="宋体"/>
          <w:sz w:val="21"/>
          <w:szCs w:val="21"/>
          <w:u w:val="single"/>
        </w:rPr>
        <w:t>10个工作日</w:t>
      </w:r>
      <w:r>
        <w:rPr>
          <w:rFonts w:ascii="宋体" w:hAnsi="宋体"/>
          <w:sz w:val="21"/>
          <w:szCs w:val="21"/>
        </w:rPr>
        <w:t>。</w:t>
      </w:r>
    </w:p>
    <w:p w14:paraId="6265E867">
      <w:pPr>
        <w:spacing w:line="360" w:lineRule="auto"/>
        <w:ind w:firstLine="315" w:firstLineChars="150"/>
        <w:jc w:val="left"/>
        <w:rPr>
          <w:rFonts w:ascii="宋体" w:hAnsi="宋体"/>
          <w:sz w:val="21"/>
          <w:szCs w:val="21"/>
          <w:u w:val="single"/>
        </w:rPr>
      </w:pPr>
      <w:r>
        <w:rPr>
          <w:rFonts w:hint="eastAsia" w:ascii="宋体" w:hAnsi="宋体"/>
          <w:sz w:val="21"/>
          <w:szCs w:val="21"/>
        </w:rPr>
        <w:t>关于竣工付款证书异议部分复核的方式和程序：</w:t>
      </w:r>
      <w:r>
        <w:rPr>
          <w:rFonts w:ascii="宋体" w:hAnsi="宋体"/>
          <w:b/>
          <w:sz w:val="21"/>
          <w:szCs w:val="21"/>
          <w:u w:val="single"/>
        </w:rPr>
        <w:t>发包人竣工结算报告及完整、有效的结算资料有效收到之日，按照以下方式完成对承包人提交的竣工结算报告及完整、有效的结算资料的审计：</w:t>
      </w:r>
    </w:p>
    <w:p w14:paraId="61B63229">
      <w:pPr>
        <w:spacing w:line="360" w:lineRule="auto"/>
        <w:ind w:firstLine="315" w:firstLineChars="150"/>
        <w:jc w:val="left"/>
        <w:rPr>
          <w:rFonts w:ascii="宋体" w:hAnsi="宋体"/>
          <w:b/>
          <w:sz w:val="21"/>
          <w:szCs w:val="21"/>
          <w:u w:val="single"/>
        </w:rPr>
      </w:pPr>
      <w:r>
        <w:rPr>
          <w:rFonts w:ascii="宋体" w:hAnsi="宋体"/>
          <w:sz w:val="21"/>
          <w:szCs w:val="21"/>
        </w:rPr>
        <w:t>（1）</w:t>
      </w:r>
      <w:r>
        <w:rPr>
          <w:rFonts w:ascii="宋体" w:hAnsi="宋体"/>
          <w:b/>
          <w:sz w:val="21"/>
          <w:szCs w:val="21"/>
          <w:u w:val="single"/>
        </w:rPr>
        <w:t>发包人自有效收到承包人提交的结算资料之日起</w:t>
      </w:r>
      <w:r>
        <w:rPr>
          <w:rFonts w:hint="eastAsia" w:ascii="宋体" w:hAnsi="宋体"/>
          <w:b/>
          <w:sz w:val="21"/>
          <w:szCs w:val="21"/>
          <w:u w:val="single"/>
        </w:rPr>
        <w:t>30</w:t>
      </w:r>
      <w:r>
        <w:rPr>
          <w:rFonts w:ascii="宋体" w:hAnsi="宋体"/>
          <w:b/>
          <w:sz w:val="21"/>
          <w:szCs w:val="21"/>
          <w:u w:val="single"/>
        </w:rPr>
        <w:t>天内</w:t>
      </w:r>
      <w:r>
        <w:rPr>
          <w:rFonts w:hint="eastAsia" w:ascii="宋体" w:hAnsi="宋体"/>
          <w:b/>
          <w:sz w:val="21"/>
          <w:szCs w:val="21"/>
          <w:u w:val="single"/>
        </w:rPr>
        <w:t>开始结算审计</w:t>
      </w:r>
      <w:r>
        <w:rPr>
          <w:rFonts w:ascii="宋体" w:hAnsi="宋体"/>
          <w:b/>
          <w:sz w:val="21"/>
          <w:szCs w:val="21"/>
          <w:u w:val="single"/>
        </w:rPr>
        <w:t>。工程最终结算价款以</w:t>
      </w:r>
      <w:r>
        <w:rPr>
          <w:rFonts w:hint="eastAsia" w:ascii="宋体" w:hAnsi="宋体"/>
          <w:b/>
          <w:sz w:val="21"/>
          <w:szCs w:val="21"/>
          <w:u w:val="single"/>
        </w:rPr>
        <w:t>发包人委托的审计单位审定后所出具的审核报告</w:t>
      </w:r>
      <w:r>
        <w:rPr>
          <w:rFonts w:ascii="宋体" w:hAnsi="宋体"/>
          <w:b/>
          <w:sz w:val="21"/>
          <w:szCs w:val="21"/>
          <w:u w:val="single"/>
        </w:rPr>
        <w:t>确定的为准。</w:t>
      </w:r>
      <w:r>
        <w:rPr>
          <w:rFonts w:hint="eastAsia" w:ascii="宋体" w:hAnsi="宋体"/>
          <w:b/>
          <w:sz w:val="21"/>
          <w:szCs w:val="21"/>
          <w:u w:val="single"/>
        </w:rPr>
        <w:t>发包人委托的审计单位</w:t>
      </w:r>
      <w:r>
        <w:rPr>
          <w:rFonts w:ascii="宋体" w:hAnsi="宋体"/>
          <w:b/>
          <w:sz w:val="21"/>
          <w:szCs w:val="21"/>
          <w:u w:val="single"/>
        </w:rPr>
        <w:t>审计的期限不受通用条款约定的结算审核期限的限制。</w:t>
      </w:r>
    </w:p>
    <w:p w14:paraId="63B04BC1">
      <w:pPr>
        <w:spacing w:line="360" w:lineRule="auto"/>
        <w:ind w:firstLine="315" w:firstLineChars="150"/>
        <w:jc w:val="left"/>
        <w:rPr>
          <w:rFonts w:ascii="宋体" w:hAnsi="宋体"/>
          <w:b/>
          <w:sz w:val="21"/>
          <w:szCs w:val="21"/>
          <w:u w:val="single"/>
        </w:rPr>
      </w:pPr>
      <w:r>
        <w:rPr>
          <w:rFonts w:ascii="宋体" w:hAnsi="宋体"/>
          <w:sz w:val="21"/>
          <w:szCs w:val="21"/>
        </w:rPr>
        <w:t>（</w:t>
      </w:r>
      <w:r>
        <w:rPr>
          <w:rFonts w:hint="eastAsia" w:ascii="宋体" w:hAnsi="宋体"/>
          <w:sz w:val="21"/>
          <w:szCs w:val="21"/>
        </w:rPr>
        <w:t>2</w:t>
      </w:r>
      <w:r>
        <w:rPr>
          <w:rFonts w:ascii="宋体" w:hAnsi="宋体"/>
          <w:sz w:val="21"/>
          <w:szCs w:val="21"/>
        </w:rPr>
        <w:t>）</w:t>
      </w:r>
      <w:r>
        <w:rPr>
          <w:rFonts w:ascii="宋体" w:hAnsi="宋体"/>
          <w:b/>
          <w:sz w:val="21"/>
          <w:szCs w:val="21"/>
          <w:u w:val="single"/>
        </w:rPr>
        <w:t>若审计过程中产生审计服务费</w:t>
      </w:r>
      <w:r>
        <w:rPr>
          <w:rFonts w:hint="eastAsia" w:ascii="宋体" w:hAnsi="宋体"/>
          <w:b/>
          <w:sz w:val="21"/>
          <w:szCs w:val="21"/>
          <w:u w:val="single"/>
        </w:rPr>
        <w:t>按“浙江省造价咨询收费标准［2009］84”文件的收费标准</w:t>
      </w:r>
      <w:r>
        <w:rPr>
          <w:rFonts w:ascii="宋体" w:hAnsi="宋体"/>
          <w:b/>
          <w:sz w:val="21"/>
          <w:szCs w:val="21"/>
          <w:u w:val="single"/>
        </w:rPr>
        <w:t>，</w:t>
      </w:r>
      <w:r>
        <w:rPr>
          <w:rFonts w:hint="eastAsia" w:ascii="宋体" w:hAnsi="宋体"/>
          <w:b/>
          <w:sz w:val="21"/>
          <w:szCs w:val="21"/>
          <w:u w:val="single"/>
        </w:rPr>
        <w:t>基本收费由发包人承担；</w:t>
      </w:r>
      <w:r>
        <w:rPr>
          <w:rFonts w:ascii="宋体" w:hAnsi="宋体"/>
          <w:b/>
          <w:sz w:val="21"/>
          <w:szCs w:val="21"/>
          <w:u w:val="single"/>
        </w:rPr>
        <w:t>审计服务收费中</w:t>
      </w:r>
      <w:r>
        <w:rPr>
          <w:rFonts w:hint="eastAsia" w:ascii="宋体" w:hAnsi="宋体"/>
          <w:b/>
          <w:sz w:val="21"/>
          <w:szCs w:val="21"/>
          <w:u w:val="single"/>
        </w:rPr>
        <w:t>审核追加费由承包人承担</w:t>
      </w:r>
      <w:r>
        <w:rPr>
          <w:rFonts w:ascii="宋体" w:hAnsi="宋体"/>
          <w:b/>
          <w:sz w:val="21"/>
          <w:szCs w:val="21"/>
          <w:u w:val="single"/>
        </w:rPr>
        <w:t>。</w:t>
      </w:r>
    </w:p>
    <w:p w14:paraId="67BDFBA1">
      <w:pPr>
        <w:spacing w:line="360" w:lineRule="auto"/>
        <w:ind w:firstLine="420" w:firstLineChars="200"/>
        <w:jc w:val="left"/>
        <w:rPr>
          <w:rFonts w:ascii="宋体" w:hAnsi="宋体"/>
          <w:sz w:val="21"/>
          <w:szCs w:val="21"/>
        </w:rPr>
      </w:pPr>
      <w:r>
        <w:rPr>
          <w:rFonts w:ascii="宋体" w:hAnsi="宋体"/>
          <w:sz w:val="21"/>
          <w:szCs w:val="21"/>
        </w:rPr>
        <w:t>14.4 最终结清</w:t>
      </w:r>
    </w:p>
    <w:p w14:paraId="0E1AD18E">
      <w:pPr>
        <w:spacing w:line="360" w:lineRule="auto"/>
        <w:ind w:firstLine="420" w:firstLineChars="200"/>
        <w:jc w:val="left"/>
        <w:rPr>
          <w:rFonts w:ascii="宋体" w:hAnsi="宋体"/>
          <w:sz w:val="21"/>
          <w:szCs w:val="21"/>
        </w:rPr>
      </w:pPr>
      <w:r>
        <w:rPr>
          <w:rFonts w:ascii="宋体" w:hAnsi="宋体"/>
          <w:sz w:val="21"/>
          <w:szCs w:val="21"/>
        </w:rPr>
        <w:t>14.4.1 最终结清申请单</w:t>
      </w:r>
    </w:p>
    <w:p w14:paraId="5E78B4DC">
      <w:pPr>
        <w:spacing w:line="360" w:lineRule="auto"/>
        <w:ind w:firstLine="420" w:firstLineChars="200"/>
        <w:jc w:val="left"/>
        <w:rPr>
          <w:rFonts w:ascii="宋体" w:hAnsi="宋体"/>
          <w:sz w:val="21"/>
          <w:szCs w:val="21"/>
        </w:rPr>
      </w:pPr>
      <w:r>
        <w:rPr>
          <w:rFonts w:ascii="宋体" w:hAnsi="宋体"/>
          <w:sz w:val="21"/>
          <w:szCs w:val="21"/>
        </w:rPr>
        <w:t>承包人提交最终结清申请单的份数：</w:t>
      </w:r>
      <w:r>
        <w:rPr>
          <w:rFonts w:hint="eastAsia" w:ascii="宋体" w:hAnsi="宋体"/>
          <w:sz w:val="21"/>
          <w:szCs w:val="21"/>
          <w:u w:val="single"/>
        </w:rPr>
        <w:t>伍份</w:t>
      </w:r>
      <w:r>
        <w:rPr>
          <w:rFonts w:ascii="宋体" w:hAnsi="宋体"/>
          <w:sz w:val="21"/>
          <w:szCs w:val="21"/>
        </w:rPr>
        <w:t>。</w:t>
      </w:r>
    </w:p>
    <w:p w14:paraId="62DD1566">
      <w:pPr>
        <w:spacing w:line="360" w:lineRule="auto"/>
        <w:ind w:firstLine="420" w:firstLineChars="200"/>
        <w:jc w:val="left"/>
        <w:rPr>
          <w:rFonts w:ascii="宋体" w:hAnsi="宋体"/>
          <w:sz w:val="21"/>
          <w:szCs w:val="21"/>
        </w:rPr>
      </w:pPr>
      <w:r>
        <w:rPr>
          <w:rFonts w:ascii="宋体" w:hAnsi="宋体"/>
          <w:sz w:val="21"/>
          <w:szCs w:val="21"/>
        </w:rPr>
        <w:t>14.4.2 最终结清证书和支付</w:t>
      </w:r>
    </w:p>
    <w:p w14:paraId="2ADC5887">
      <w:pPr>
        <w:spacing w:line="360" w:lineRule="auto"/>
        <w:ind w:firstLine="420" w:firstLineChars="200"/>
        <w:jc w:val="left"/>
        <w:rPr>
          <w:rFonts w:ascii="宋体" w:hAnsi="宋体"/>
          <w:sz w:val="21"/>
          <w:szCs w:val="21"/>
        </w:rPr>
      </w:pPr>
      <w:r>
        <w:rPr>
          <w:rFonts w:ascii="宋体" w:hAnsi="宋体"/>
          <w:sz w:val="21"/>
          <w:szCs w:val="21"/>
        </w:rPr>
        <w:t>发包人完成支付的期限：</w:t>
      </w:r>
      <w:r>
        <w:rPr>
          <w:rFonts w:ascii="宋体" w:hAnsi="宋体"/>
          <w:b/>
          <w:sz w:val="21"/>
          <w:szCs w:val="21"/>
          <w:u w:val="single"/>
        </w:rPr>
        <w:t>在竣工结算价款依据</w:t>
      </w:r>
      <w:r>
        <w:rPr>
          <w:rFonts w:hint="eastAsia" w:ascii="宋体" w:hAnsi="宋体"/>
          <w:b/>
          <w:sz w:val="21"/>
          <w:szCs w:val="21"/>
          <w:u w:val="single"/>
        </w:rPr>
        <w:t>发包人委托的审计单位审定后所出具的最终审核报告</w:t>
      </w:r>
      <w:r>
        <w:rPr>
          <w:rFonts w:ascii="宋体" w:hAnsi="宋体"/>
          <w:b/>
          <w:sz w:val="21"/>
          <w:szCs w:val="21"/>
          <w:u w:val="single"/>
        </w:rPr>
        <w:t>确定后的</w:t>
      </w:r>
      <w:r>
        <w:rPr>
          <w:rFonts w:hint="eastAsia" w:ascii="宋体" w:hAnsi="宋体"/>
          <w:b/>
          <w:sz w:val="21"/>
          <w:szCs w:val="21"/>
          <w:u w:val="single"/>
        </w:rPr>
        <w:t>15</w:t>
      </w:r>
      <w:r>
        <w:rPr>
          <w:rFonts w:ascii="宋体" w:hAnsi="宋体"/>
          <w:b/>
          <w:sz w:val="21"/>
          <w:szCs w:val="21"/>
          <w:u w:val="single"/>
        </w:rPr>
        <w:t>日内，承包人应提供收款明细表和财务凭证，会同发包人对已经支付的工程价款、未付的工程结算价款进行对帐并确认，多退少补；</w:t>
      </w:r>
      <w:r>
        <w:rPr>
          <w:rFonts w:hint="eastAsia" w:ascii="宋体" w:hAnsi="宋体"/>
          <w:b/>
          <w:sz w:val="21"/>
          <w:szCs w:val="21"/>
          <w:u w:val="single"/>
        </w:rPr>
        <w:t>剩余工程款需待承包人付清工程审定价的1.5</w:t>
      </w:r>
      <w:r>
        <w:rPr>
          <w:rFonts w:ascii="宋体" w:hAnsi="宋体"/>
          <w:b/>
          <w:sz w:val="21"/>
          <w:szCs w:val="21"/>
          <w:u w:val="single"/>
        </w:rPr>
        <w:t>%作为工程质量保修金，付清剩余的工程结算价款（如发包人为承包人代垫审核服务费、施工现场水电费的，可在付款时等额扣除）。</w:t>
      </w:r>
      <w:r>
        <w:rPr>
          <w:rFonts w:ascii="宋体" w:hAnsi="宋体"/>
          <w:sz w:val="21"/>
          <w:szCs w:val="21"/>
          <w:u w:val="single"/>
        </w:rPr>
        <w:t xml:space="preserve"> </w:t>
      </w:r>
    </w:p>
    <w:bookmarkEnd w:id="493"/>
    <w:bookmarkEnd w:id="494"/>
    <w:bookmarkEnd w:id="495"/>
    <w:bookmarkEnd w:id="496"/>
    <w:bookmarkEnd w:id="497"/>
    <w:bookmarkEnd w:id="498"/>
    <w:bookmarkEnd w:id="499"/>
    <w:bookmarkEnd w:id="505"/>
    <w:p w14:paraId="202877D0">
      <w:pPr>
        <w:spacing w:line="360" w:lineRule="auto"/>
        <w:ind w:firstLine="315" w:firstLineChars="150"/>
        <w:jc w:val="left"/>
        <w:rPr>
          <w:rFonts w:ascii="宋体" w:hAnsi="宋体"/>
          <w:bCs/>
          <w:sz w:val="21"/>
          <w:szCs w:val="21"/>
        </w:rPr>
      </w:pPr>
      <w:bookmarkStart w:id="507" w:name="_Toc351203647"/>
      <w:bookmarkStart w:id="508" w:name="_Toc267251483"/>
      <w:bookmarkStart w:id="509" w:name="_Toc267251482"/>
      <w:bookmarkStart w:id="510" w:name="_Toc267251484"/>
      <w:bookmarkStart w:id="511" w:name="_Toc267251485"/>
      <w:bookmarkStart w:id="512" w:name="_Toc267251489"/>
      <w:bookmarkStart w:id="513" w:name="_Toc267251490"/>
      <w:bookmarkStart w:id="514" w:name="_Toc267251486"/>
      <w:bookmarkStart w:id="515" w:name="_Toc267251488"/>
      <w:r>
        <w:rPr>
          <w:rFonts w:ascii="宋体" w:hAnsi="宋体"/>
          <w:bCs/>
          <w:sz w:val="21"/>
          <w:szCs w:val="21"/>
        </w:rPr>
        <w:t>15. 缺陷责任期与保修</w:t>
      </w:r>
      <w:bookmarkEnd w:id="507"/>
    </w:p>
    <w:bookmarkEnd w:id="508"/>
    <w:p w14:paraId="785779DD">
      <w:pPr>
        <w:spacing w:line="360" w:lineRule="auto"/>
        <w:ind w:firstLine="315" w:firstLineChars="150"/>
        <w:jc w:val="left"/>
        <w:rPr>
          <w:rFonts w:ascii="宋体" w:hAnsi="宋体"/>
          <w:sz w:val="21"/>
          <w:szCs w:val="21"/>
        </w:rPr>
      </w:pPr>
      <w:r>
        <w:rPr>
          <w:rFonts w:ascii="宋体" w:hAnsi="宋体"/>
          <w:sz w:val="21"/>
          <w:szCs w:val="21"/>
        </w:rPr>
        <w:t>15.3 质量保证金</w:t>
      </w:r>
    </w:p>
    <w:p w14:paraId="34BC2149">
      <w:pPr>
        <w:spacing w:line="360" w:lineRule="auto"/>
        <w:ind w:firstLine="315" w:firstLineChars="150"/>
        <w:jc w:val="left"/>
        <w:rPr>
          <w:rFonts w:ascii="宋体" w:hAnsi="宋体"/>
          <w:sz w:val="21"/>
          <w:szCs w:val="21"/>
        </w:rPr>
      </w:pPr>
      <w:r>
        <w:rPr>
          <w:rFonts w:hint="eastAsia" w:ascii="宋体" w:hAnsi="宋体"/>
          <w:sz w:val="21"/>
          <w:szCs w:val="21"/>
        </w:rPr>
        <w:t>关于是否扣留质量保证金的约定：</w:t>
      </w:r>
      <w:r>
        <w:rPr>
          <w:rFonts w:hint="eastAsia" w:ascii="宋体" w:hAnsi="宋体"/>
          <w:b/>
          <w:sz w:val="21"/>
          <w:szCs w:val="21"/>
          <w:u w:val="single"/>
        </w:rPr>
        <w:t>承包</w:t>
      </w:r>
      <w:r>
        <w:rPr>
          <w:rFonts w:ascii="宋体" w:hAnsi="宋体"/>
          <w:b/>
          <w:sz w:val="21"/>
          <w:szCs w:val="21"/>
          <w:u w:val="single"/>
        </w:rPr>
        <w:t>人</w:t>
      </w:r>
      <w:r>
        <w:rPr>
          <w:rFonts w:hint="eastAsia" w:ascii="宋体" w:hAnsi="宋体"/>
          <w:b/>
          <w:sz w:val="21"/>
          <w:szCs w:val="21"/>
          <w:u w:val="single"/>
        </w:rPr>
        <w:t>向发包人支付</w:t>
      </w:r>
      <w:r>
        <w:rPr>
          <w:rFonts w:ascii="宋体" w:hAnsi="宋体"/>
          <w:b/>
          <w:sz w:val="21"/>
          <w:szCs w:val="21"/>
          <w:u w:val="single"/>
        </w:rPr>
        <w:t>工程整体</w:t>
      </w:r>
      <w:r>
        <w:rPr>
          <w:rFonts w:hint="eastAsia" w:ascii="宋体" w:hAnsi="宋体"/>
          <w:b/>
          <w:sz w:val="21"/>
          <w:szCs w:val="21"/>
          <w:u w:val="single"/>
        </w:rPr>
        <w:t>审定</w:t>
      </w:r>
      <w:r>
        <w:rPr>
          <w:rFonts w:ascii="宋体" w:hAnsi="宋体"/>
          <w:b/>
          <w:sz w:val="21"/>
          <w:szCs w:val="21"/>
          <w:u w:val="single"/>
        </w:rPr>
        <w:t>价款的</w:t>
      </w:r>
      <w:r>
        <w:rPr>
          <w:rFonts w:hint="eastAsia" w:ascii="宋体" w:hAnsi="宋体"/>
          <w:b/>
          <w:sz w:val="21"/>
          <w:szCs w:val="21"/>
          <w:u w:val="single"/>
        </w:rPr>
        <w:t>1.5</w:t>
      </w:r>
      <w:r>
        <w:rPr>
          <w:rFonts w:ascii="宋体" w:hAnsi="宋体"/>
          <w:b/>
          <w:sz w:val="21"/>
          <w:szCs w:val="21"/>
          <w:u w:val="single"/>
        </w:rPr>
        <w:t>%作为工程质量保修金</w:t>
      </w:r>
      <w:r>
        <w:rPr>
          <w:rFonts w:ascii="宋体" w:hAnsi="宋体"/>
          <w:sz w:val="21"/>
          <w:szCs w:val="21"/>
        </w:rPr>
        <w:t>。</w:t>
      </w:r>
    </w:p>
    <w:bookmarkEnd w:id="509"/>
    <w:bookmarkEnd w:id="510"/>
    <w:p w14:paraId="28106C25">
      <w:pPr>
        <w:spacing w:line="360" w:lineRule="auto"/>
        <w:ind w:firstLine="315" w:firstLineChars="150"/>
        <w:jc w:val="left"/>
        <w:rPr>
          <w:rFonts w:ascii="宋体" w:hAnsi="宋体"/>
          <w:sz w:val="21"/>
          <w:szCs w:val="21"/>
        </w:rPr>
      </w:pPr>
      <w:r>
        <w:rPr>
          <w:rFonts w:ascii="宋体" w:hAnsi="宋体"/>
          <w:sz w:val="21"/>
          <w:szCs w:val="21"/>
        </w:rPr>
        <w:t>15.4保修</w:t>
      </w:r>
    </w:p>
    <w:bookmarkEnd w:id="511"/>
    <w:p w14:paraId="4D0A1285">
      <w:pPr>
        <w:spacing w:line="360" w:lineRule="auto"/>
        <w:ind w:firstLine="315" w:firstLineChars="150"/>
        <w:jc w:val="left"/>
        <w:rPr>
          <w:rFonts w:ascii="宋体" w:hAnsi="宋体"/>
          <w:sz w:val="21"/>
          <w:szCs w:val="21"/>
        </w:rPr>
      </w:pPr>
      <w:r>
        <w:rPr>
          <w:rFonts w:ascii="宋体" w:hAnsi="宋体"/>
          <w:sz w:val="21"/>
          <w:szCs w:val="21"/>
        </w:rPr>
        <w:t>15.4.1 保修责任</w:t>
      </w:r>
    </w:p>
    <w:p w14:paraId="6AED84E1">
      <w:pPr>
        <w:spacing w:line="360" w:lineRule="auto"/>
        <w:ind w:firstLine="315" w:firstLineChars="150"/>
        <w:jc w:val="left"/>
        <w:rPr>
          <w:rFonts w:ascii="宋体" w:hAnsi="宋体"/>
          <w:sz w:val="21"/>
          <w:szCs w:val="21"/>
          <w:u w:val="single"/>
        </w:rPr>
      </w:pPr>
      <w:r>
        <w:rPr>
          <w:rFonts w:ascii="宋体" w:hAnsi="宋体"/>
          <w:sz w:val="21"/>
          <w:szCs w:val="21"/>
        </w:rPr>
        <w:t>工程保修期为：</w:t>
      </w:r>
      <w:r>
        <w:rPr>
          <w:rFonts w:ascii="宋体" w:hAnsi="宋体"/>
          <w:b/>
          <w:sz w:val="21"/>
          <w:szCs w:val="21"/>
          <w:u w:val="single"/>
        </w:rPr>
        <w:t xml:space="preserve"> 不得低于法定最低保修年限</w:t>
      </w:r>
      <w:r>
        <w:rPr>
          <w:rFonts w:hint="eastAsia" w:ascii="宋体" w:hAnsi="宋体"/>
          <w:b/>
          <w:sz w:val="21"/>
          <w:szCs w:val="21"/>
          <w:u w:val="single"/>
        </w:rPr>
        <w:t>，详见“工程质量保修书”。</w:t>
      </w:r>
    </w:p>
    <w:p w14:paraId="24266DEF">
      <w:pPr>
        <w:spacing w:line="360" w:lineRule="auto"/>
        <w:ind w:firstLine="315" w:firstLineChars="150"/>
        <w:jc w:val="left"/>
        <w:rPr>
          <w:rFonts w:ascii="宋体" w:hAnsi="宋体"/>
          <w:sz w:val="21"/>
          <w:szCs w:val="21"/>
        </w:rPr>
      </w:pPr>
      <w:r>
        <w:rPr>
          <w:rFonts w:ascii="宋体" w:hAnsi="宋体"/>
          <w:sz w:val="21"/>
          <w:szCs w:val="21"/>
        </w:rPr>
        <w:t>15.4.3 修复通知</w:t>
      </w:r>
    </w:p>
    <w:p w14:paraId="7DFEEE04">
      <w:pPr>
        <w:spacing w:line="360" w:lineRule="auto"/>
        <w:ind w:firstLine="315" w:firstLineChars="150"/>
        <w:jc w:val="left"/>
        <w:rPr>
          <w:rFonts w:ascii="宋体" w:hAnsi="宋体"/>
          <w:sz w:val="21"/>
          <w:szCs w:val="21"/>
          <w:u w:val="single"/>
        </w:rPr>
      </w:pPr>
      <w:r>
        <w:rPr>
          <w:rFonts w:ascii="宋体" w:hAnsi="宋体"/>
          <w:sz w:val="21"/>
          <w:szCs w:val="21"/>
        </w:rPr>
        <w:t>承包人收到保修通知并到达工程现场的合理时间：</w:t>
      </w:r>
      <w:r>
        <w:rPr>
          <w:rFonts w:hint="eastAsia" w:ascii="宋体" w:hAnsi="宋体"/>
          <w:b/>
          <w:sz w:val="21"/>
          <w:szCs w:val="21"/>
          <w:u w:val="single"/>
        </w:rPr>
        <w:t>工程质量必须达到合格，当初次竣工验收不合格，承包人必须无条件进行整改，并无条件整改直至合格，同时工期不予顺延</w:t>
      </w:r>
      <w:r>
        <w:rPr>
          <w:rFonts w:ascii="宋体" w:hAnsi="宋体"/>
          <w:b/>
          <w:sz w:val="21"/>
          <w:szCs w:val="21"/>
          <w:u w:val="single"/>
        </w:rPr>
        <w:t>。</w:t>
      </w:r>
      <w:r>
        <w:rPr>
          <w:rFonts w:hint="eastAsia" w:ascii="宋体" w:hAnsi="宋体"/>
          <w:b/>
          <w:sz w:val="21"/>
          <w:szCs w:val="21"/>
          <w:u w:val="single"/>
        </w:rPr>
        <w:t>凡安装调试、设备试运转过程中发现的设备质量问题，承包人必须无偿返工直至符合质量要求。返工修复二次达不到承诺要求的，更换新机。承包人承担返工发生的一切费用和发包人的直接经济损失，承包人在接到发包人通知后，二十四小时内派人赴现场处理质量问题。</w:t>
      </w:r>
    </w:p>
    <w:bookmarkEnd w:id="512"/>
    <w:bookmarkEnd w:id="513"/>
    <w:bookmarkEnd w:id="514"/>
    <w:bookmarkEnd w:id="515"/>
    <w:p w14:paraId="0A2094FF">
      <w:pPr>
        <w:spacing w:line="360" w:lineRule="auto"/>
        <w:ind w:firstLine="315" w:firstLineChars="150"/>
        <w:jc w:val="left"/>
        <w:rPr>
          <w:rFonts w:ascii="宋体" w:hAnsi="宋体"/>
          <w:bCs/>
          <w:sz w:val="21"/>
          <w:szCs w:val="21"/>
        </w:rPr>
      </w:pPr>
      <w:bookmarkStart w:id="516" w:name="_Toc351203648"/>
      <w:bookmarkStart w:id="517" w:name="_Toc280868717"/>
      <w:bookmarkStart w:id="518" w:name="_Toc280868718"/>
      <w:r>
        <w:rPr>
          <w:rFonts w:ascii="宋体" w:hAnsi="宋体"/>
          <w:bCs/>
          <w:sz w:val="21"/>
          <w:szCs w:val="21"/>
        </w:rPr>
        <w:t>16. 违约</w:t>
      </w:r>
      <w:bookmarkEnd w:id="516"/>
    </w:p>
    <w:p w14:paraId="2719BB38">
      <w:pPr>
        <w:spacing w:line="360" w:lineRule="auto"/>
        <w:ind w:firstLine="315" w:firstLineChars="150"/>
        <w:jc w:val="left"/>
        <w:rPr>
          <w:rFonts w:hint="eastAsia" w:ascii="宋体" w:hAnsi="宋体"/>
          <w:sz w:val="21"/>
          <w:szCs w:val="21"/>
        </w:rPr>
      </w:pPr>
      <w:r>
        <w:rPr>
          <w:rFonts w:ascii="宋体" w:hAnsi="宋体"/>
          <w:sz w:val="21"/>
          <w:szCs w:val="21"/>
        </w:rPr>
        <w:t>16.</w:t>
      </w:r>
      <w:r>
        <w:rPr>
          <w:rFonts w:hint="eastAsia" w:ascii="宋体" w:hAnsi="宋体"/>
          <w:sz w:val="21"/>
          <w:szCs w:val="21"/>
        </w:rPr>
        <w:t>1</w:t>
      </w:r>
      <w:r>
        <w:rPr>
          <w:rFonts w:ascii="宋体" w:hAnsi="宋体"/>
          <w:sz w:val="21"/>
          <w:szCs w:val="21"/>
        </w:rPr>
        <w:t xml:space="preserve"> 承包人违约</w:t>
      </w:r>
    </w:p>
    <w:p w14:paraId="213511A2">
      <w:pPr>
        <w:spacing w:line="360" w:lineRule="auto"/>
        <w:ind w:firstLine="422" w:firstLineChars="200"/>
        <w:jc w:val="left"/>
        <w:rPr>
          <w:rFonts w:ascii="宋体" w:hAnsi="宋体"/>
          <w:b/>
          <w:sz w:val="21"/>
          <w:szCs w:val="21"/>
          <w:u w:val="single"/>
        </w:rPr>
      </w:pPr>
      <w:r>
        <w:rPr>
          <w:rFonts w:hint="eastAsia" w:ascii="宋体" w:hAnsi="宋体"/>
          <w:b/>
          <w:sz w:val="21"/>
          <w:szCs w:val="21"/>
          <w:u w:val="single"/>
        </w:rPr>
        <w:t>1</w:t>
      </w:r>
      <w:r>
        <w:rPr>
          <w:rFonts w:ascii="宋体" w:hAnsi="宋体"/>
          <w:b/>
          <w:sz w:val="21"/>
          <w:szCs w:val="21"/>
          <w:u w:val="single"/>
        </w:rPr>
        <w:t>、进场项目班子应</w:t>
      </w:r>
      <w:r>
        <w:rPr>
          <w:rFonts w:hint="eastAsia" w:ascii="宋体" w:hAnsi="宋体"/>
          <w:b/>
          <w:sz w:val="21"/>
          <w:szCs w:val="21"/>
          <w:u w:val="single"/>
        </w:rPr>
        <w:t>当</w:t>
      </w:r>
      <w:r>
        <w:rPr>
          <w:rFonts w:ascii="宋体" w:hAnsi="宋体"/>
          <w:b/>
          <w:sz w:val="21"/>
          <w:szCs w:val="21"/>
          <w:u w:val="single"/>
        </w:rPr>
        <w:t>是承包人建制内的，挂靠承包人或临时拼凑的施工班子一经发现并经查实后，其全部履约</w:t>
      </w:r>
      <w:r>
        <w:rPr>
          <w:rFonts w:hint="eastAsia" w:ascii="宋体" w:hAnsi="宋体"/>
          <w:b/>
          <w:sz w:val="21"/>
          <w:szCs w:val="21"/>
          <w:u w:val="single"/>
        </w:rPr>
        <w:t>担保</w:t>
      </w:r>
      <w:r>
        <w:rPr>
          <w:rFonts w:ascii="宋体" w:hAnsi="宋体"/>
          <w:b/>
          <w:sz w:val="21"/>
          <w:szCs w:val="21"/>
          <w:u w:val="single"/>
        </w:rPr>
        <w:t>将被没收，施工合同将被</w:t>
      </w:r>
      <w:r>
        <w:rPr>
          <w:rFonts w:hint="eastAsia" w:ascii="宋体" w:hAnsi="宋体"/>
          <w:b/>
          <w:sz w:val="21"/>
          <w:szCs w:val="21"/>
          <w:u w:val="single"/>
        </w:rPr>
        <w:t>终止</w:t>
      </w:r>
      <w:r>
        <w:rPr>
          <w:rFonts w:ascii="宋体" w:hAnsi="宋体"/>
          <w:b/>
          <w:sz w:val="21"/>
          <w:szCs w:val="21"/>
          <w:u w:val="single"/>
        </w:rPr>
        <w:t>，并赔偿由此给发包人造成的经济损失。派驻现场的施工班子人员数量、年龄结构、专业配备应满足工程实际需要。在合同执行期间发包人有权对不称职的工程技术、管理人员提出更换，承包人应在</w:t>
      </w:r>
      <w:r>
        <w:rPr>
          <w:rFonts w:hint="eastAsia" w:ascii="宋体" w:hAnsi="宋体"/>
          <w:b/>
          <w:sz w:val="21"/>
          <w:szCs w:val="21"/>
          <w:u w:val="single"/>
        </w:rPr>
        <w:t>一</w:t>
      </w:r>
      <w:r>
        <w:rPr>
          <w:rFonts w:ascii="宋体" w:hAnsi="宋体"/>
          <w:b/>
          <w:sz w:val="21"/>
          <w:szCs w:val="21"/>
          <w:u w:val="single"/>
        </w:rPr>
        <w:t>个工作周内作出更换，并报发包人批准，不得拒绝和拖延。</w:t>
      </w:r>
      <w:r>
        <w:rPr>
          <w:rFonts w:hint="eastAsia" w:ascii="宋体" w:hAnsi="宋体"/>
          <w:b/>
          <w:sz w:val="21"/>
          <w:szCs w:val="21"/>
          <w:u w:val="single"/>
        </w:rPr>
        <w:t>逾期作该班子成员未到位处罚。</w:t>
      </w:r>
    </w:p>
    <w:p w14:paraId="3D2E3A28">
      <w:pPr>
        <w:spacing w:line="360" w:lineRule="auto"/>
        <w:ind w:firstLine="422" w:firstLineChars="200"/>
        <w:jc w:val="left"/>
        <w:rPr>
          <w:rFonts w:ascii="宋体" w:hAnsi="宋体"/>
          <w:b/>
          <w:sz w:val="21"/>
          <w:szCs w:val="21"/>
          <w:u w:val="single"/>
        </w:rPr>
      </w:pPr>
      <w:r>
        <w:rPr>
          <w:rFonts w:hint="eastAsia" w:ascii="宋体" w:hAnsi="宋体"/>
          <w:b/>
          <w:sz w:val="21"/>
          <w:szCs w:val="21"/>
          <w:u w:val="single"/>
        </w:rPr>
        <w:t>2</w:t>
      </w:r>
      <w:r>
        <w:rPr>
          <w:rFonts w:ascii="宋体" w:hAnsi="宋体"/>
          <w:b/>
          <w:sz w:val="21"/>
          <w:szCs w:val="21"/>
          <w:u w:val="single"/>
        </w:rPr>
        <w:t>、</w:t>
      </w:r>
      <w:r>
        <w:rPr>
          <w:rFonts w:hint="eastAsia" w:ascii="宋体" w:hAnsi="宋体"/>
          <w:b/>
          <w:sz w:val="21"/>
          <w:szCs w:val="21"/>
          <w:u w:val="single"/>
        </w:rPr>
        <w:t>承包人不能及时如实支付工人、农民工工资的，发包人有权在劳动行政主管部门的监督下直接向农民工发放工资，并在应付工程款中扣除。承包人如不及时支付工资引发事故的，责任由承包人承担，因此给发包人造成损失的，赔偿损失。</w:t>
      </w:r>
    </w:p>
    <w:p w14:paraId="0B955131">
      <w:pPr>
        <w:spacing w:line="360" w:lineRule="auto"/>
        <w:ind w:firstLine="422" w:firstLineChars="200"/>
        <w:jc w:val="left"/>
        <w:rPr>
          <w:rFonts w:ascii="宋体" w:hAnsi="宋体"/>
          <w:b/>
          <w:sz w:val="21"/>
          <w:szCs w:val="21"/>
          <w:u w:val="single"/>
        </w:rPr>
      </w:pPr>
      <w:r>
        <w:rPr>
          <w:rFonts w:hint="eastAsia" w:ascii="宋体" w:hAnsi="宋体"/>
          <w:b/>
          <w:sz w:val="21"/>
          <w:szCs w:val="21"/>
          <w:u w:val="single"/>
        </w:rPr>
        <w:t>3</w:t>
      </w:r>
      <w:r>
        <w:rPr>
          <w:rFonts w:ascii="宋体" w:hAnsi="宋体"/>
          <w:b/>
          <w:sz w:val="21"/>
          <w:szCs w:val="21"/>
          <w:u w:val="single"/>
        </w:rPr>
        <w:t>、</w:t>
      </w:r>
      <w:r>
        <w:rPr>
          <w:rFonts w:hint="eastAsia" w:ascii="宋体" w:hAnsi="宋体"/>
          <w:b/>
          <w:bCs/>
          <w:sz w:val="21"/>
          <w:szCs w:val="21"/>
          <w:u w:val="single"/>
        </w:rPr>
        <w:t>若承包人未按3.1（9）要求，按时向发包人提交资料或提供的资料未经发包人确认符合存档要求的，因此逾期造成的后果由承包方负责，同时，发包人不予支付剩余工程结算款。</w:t>
      </w:r>
      <w:r>
        <w:rPr>
          <w:rFonts w:ascii="宋体" w:hAnsi="宋体"/>
          <w:b/>
          <w:sz w:val="21"/>
          <w:szCs w:val="21"/>
          <w:u w:val="single"/>
        </w:rPr>
        <w:t>逾期不提交的，发包人有权</w:t>
      </w:r>
      <w:r>
        <w:rPr>
          <w:rFonts w:hint="eastAsia" w:ascii="宋体" w:hAnsi="宋体"/>
          <w:b/>
          <w:sz w:val="21"/>
          <w:szCs w:val="21"/>
          <w:u w:val="single"/>
        </w:rPr>
        <w:t>扣罚</w:t>
      </w:r>
      <w:r>
        <w:rPr>
          <w:rFonts w:ascii="宋体" w:hAnsi="宋体"/>
          <w:b/>
          <w:sz w:val="21"/>
          <w:szCs w:val="21"/>
          <w:u w:val="single"/>
        </w:rPr>
        <w:t>100</w:t>
      </w:r>
      <w:r>
        <w:rPr>
          <w:rFonts w:hint="eastAsia" w:ascii="宋体" w:hAnsi="宋体"/>
          <w:b/>
          <w:sz w:val="21"/>
          <w:szCs w:val="21"/>
          <w:u w:val="single"/>
        </w:rPr>
        <w:t>元</w:t>
      </w:r>
      <w:r>
        <w:rPr>
          <w:rFonts w:ascii="宋体" w:hAnsi="宋体"/>
          <w:b/>
          <w:sz w:val="21"/>
          <w:szCs w:val="21"/>
          <w:u w:val="single"/>
        </w:rPr>
        <w:t>/天违约金，直至提交合格竣工图纸</w:t>
      </w:r>
      <w:r>
        <w:rPr>
          <w:rFonts w:hint="eastAsia" w:ascii="宋体" w:hAnsi="宋体"/>
          <w:b/>
          <w:sz w:val="21"/>
          <w:szCs w:val="21"/>
          <w:u w:val="single"/>
        </w:rPr>
        <w:t>、</w:t>
      </w:r>
      <w:r>
        <w:rPr>
          <w:rFonts w:ascii="宋体" w:hAnsi="宋体"/>
          <w:b/>
          <w:sz w:val="21"/>
          <w:szCs w:val="21"/>
          <w:u w:val="single"/>
        </w:rPr>
        <w:t>技术资料</w:t>
      </w:r>
      <w:r>
        <w:rPr>
          <w:rFonts w:hint="eastAsia" w:ascii="宋体" w:hAnsi="宋体"/>
          <w:b/>
          <w:sz w:val="21"/>
          <w:szCs w:val="21"/>
          <w:u w:val="single"/>
        </w:rPr>
        <w:t>及相关资料</w:t>
      </w:r>
      <w:r>
        <w:rPr>
          <w:rFonts w:ascii="宋体" w:hAnsi="宋体"/>
          <w:b/>
          <w:sz w:val="21"/>
          <w:szCs w:val="21"/>
          <w:u w:val="single"/>
        </w:rPr>
        <w:t>为止。</w:t>
      </w:r>
    </w:p>
    <w:p w14:paraId="1E22D9F8">
      <w:pPr>
        <w:spacing w:line="360" w:lineRule="auto"/>
        <w:ind w:firstLine="422" w:firstLineChars="200"/>
        <w:jc w:val="left"/>
        <w:rPr>
          <w:rFonts w:ascii="宋体" w:hAnsi="宋体"/>
          <w:b/>
          <w:sz w:val="21"/>
          <w:szCs w:val="21"/>
          <w:u w:val="single"/>
        </w:rPr>
      </w:pPr>
      <w:r>
        <w:rPr>
          <w:rFonts w:hint="eastAsia" w:ascii="宋体" w:hAnsi="宋体"/>
          <w:b/>
          <w:sz w:val="21"/>
          <w:szCs w:val="21"/>
          <w:u w:val="single"/>
        </w:rPr>
        <w:t>4</w:t>
      </w:r>
      <w:r>
        <w:rPr>
          <w:rFonts w:ascii="宋体" w:hAnsi="宋体"/>
          <w:b/>
          <w:sz w:val="21"/>
          <w:szCs w:val="21"/>
          <w:u w:val="single"/>
        </w:rPr>
        <w:t>、本工程结算造价以审计结果为准。承包人必须保证施工签证的真实性、合理性和合法性并不得与合同约定相违背。</w:t>
      </w:r>
    </w:p>
    <w:p w14:paraId="21FAEA38">
      <w:pPr>
        <w:spacing w:line="360" w:lineRule="auto"/>
        <w:ind w:firstLine="422" w:firstLineChars="200"/>
        <w:jc w:val="left"/>
        <w:rPr>
          <w:rFonts w:ascii="宋体" w:hAnsi="宋体"/>
          <w:b/>
          <w:sz w:val="21"/>
          <w:szCs w:val="21"/>
          <w:u w:val="single"/>
        </w:rPr>
      </w:pPr>
      <w:r>
        <w:rPr>
          <w:rFonts w:hint="eastAsia" w:ascii="宋体" w:hAnsi="宋体"/>
          <w:b/>
          <w:sz w:val="21"/>
          <w:szCs w:val="21"/>
          <w:u w:val="single"/>
        </w:rPr>
        <w:t>5</w:t>
      </w:r>
      <w:r>
        <w:rPr>
          <w:rFonts w:ascii="宋体" w:hAnsi="宋体"/>
          <w:b/>
          <w:sz w:val="21"/>
          <w:szCs w:val="21"/>
          <w:u w:val="single"/>
        </w:rPr>
        <w:t>、</w:t>
      </w:r>
      <w:r>
        <w:rPr>
          <w:rFonts w:hint="eastAsia" w:ascii="宋体" w:hAnsi="宋体"/>
          <w:b/>
          <w:sz w:val="21"/>
          <w:szCs w:val="21"/>
          <w:u w:val="single"/>
        </w:rPr>
        <w:t>工程竣工后15天内，承包人必须全部清退临时设施、建筑材料、机械设备，每延迟一天扣罚违约金2000元。</w:t>
      </w:r>
    </w:p>
    <w:p w14:paraId="5D18E8C7">
      <w:pPr>
        <w:spacing w:line="360" w:lineRule="auto"/>
        <w:ind w:firstLine="422" w:firstLineChars="200"/>
        <w:jc w:val="left"/>
        <w:rPr>
          <w:rFonts w:hint="eastAsia" w:ascii="宋体" w:hAnsi="宋体"/>
          <w:b/>
          <w:sz w:val="21"/>
          <w:szCs w:val="21"/>
          <w:u w:val="single"/>
        </w:rPr>
      </w:pPr>
      <w:r>
        <w:rPr>
          <w:rFonts w:hint="eastAsia" w:ascii="宋体" w:hAnsi="宋体"/>
          <w:b/>
          <w:sz w:val="21"/>
          <w:szCs w:val="21"/>
          <w:u w:val="single"/>
        </w:rPr>
        <w:t>6</w:t>
      </w:r>
      <w:r>
        <w:rPr>
          <w:rFonts w:ascii="宋体" w:hAnsi="宋体"/>
          <w:b/>
          <w:sz w:val="21"/>
          <w:szCs w:val="21"/>
          <w:u w:val="single"/>
        </w:rPr>
        <w:t>、发包人有权要求承包人撤换工作不负责任、管理不力、贻误工期和造成严重的安全事故和工程质量事故、违法乱纪的专业技术管理人员或</w:t>
      </w:r>
      <w:r>
        <w:rPr>
          <w:rFonts w:hint="eastAsia" w:ascii="宋体" w:hAnsi="宋体"/>
          <w:b/>
          <w:sz w:val="21"/>
          <w:szCs w:val="21"/>
          <w:u w:val="single"/>
        </w:rPr>
        <w:t>项目负责人（项目经理）</w:t>
      </w:r>
      <w:r>
        <w:rPr>
          <w:rFonts w:ascii="宋体" w:hAnsi="宋体"/>
          <w:b/>
          <w:sz w:val="21"/>
          <w:szCs w:val="21"/>
          <w:u w:val="single"/>
        </w:rPr>
        <w:t>。</w:t>
      </w:r>
    </w:p>
    <w:p w14:paraId="44CF37A7">
      <w:pPr>
        <w:spacing w:line="360" w:lineRule="auto"/>
        <w:ind w:firstLine="422" w:firstLineChars="200"/>
        <w:jc w:val="left"/>
        <w:rPr>
          <w:rFonts w:hint="eastAsia" w:ascii="宋体" w:hAnsi="宋体"/>
          <w:b/>
          <w:sz w:val="21"/>
          <w:szCs w:val="21"/>
          <w:u w:val="single"/>
        </w:rPr>
      </w:pPr>
      <w:r>
        <w:rPr>
          <w:rFonts w:hint="eastAsia" w:ascii="宋体" w:hAnsi="宋体"/>
          <w:b/>
          <w:sz w:val="21"/>
          <w:szCs w:val="21"/>
          <w:u w:val="single"/>
        </w:rPr>
        <w:t>7、发包人内部的有关基建工程考核办法等有关基建管理制度、招投标采购管理制度为本合同附件，投标即视为认可，承包人需遵守执行（因发包人有保密需要，潜在承包人可向发包人借阅，中标后可索取备案）。</w:t>
      </w:r>
    </w:p>
    <w:p w14:paraId="193F7D0E">
      <w:pPr>
        <w:spacing w:line="360" w:lineRule="auto"/>
        <w:ind w:firstLine="420" w:firstLineChars="200"/>
        <w:jc w:val="left"/>
        <w:rPr>
          <w:rFonts w:ascii="宋体" w:hAnsi="宋体"/>
          <w:sz w:val="21"/>
          <w:szCs w:val="21"/>
        </w:rPr>
      </w:pPr>
      <w:r>
        <w:rPr>
          <w:rFonts w:ascii="宋体" w:hAnsi="宋体"/>
          <w:sz w:val="21"/>
          <w:szCs w:val="21"/>
        </w:rPr>
        <w:t>16.2.3 因承包人违约解除合同</w:t>
      </w:r>
    </w:p>
    <w:p w14:paraId="16668519">
      <w:pPr>
        <w:spacing w:line="360" w:lineRule="auto"/>
        <w:ind w:firstLine="420" w:firstLineChars="200"/>
        <w:jc w:val="left"/>
        <w:rPr>
          <w:rFonts w:ascii="宋体" w:hAnsi="宋体"/>
          <w:sz w:val="21"/>
          <w:szCs w:val="21"/>
          <w:u w:val="single"/>
        </w:rPr>
      </w:pPr>
      <w:r>
        <w:rPr>
          <w:rFonts w:ascii="宋体" w:hAnsi="宋体"/>
          <w:sz w:val="21"/>
          <w:szCs w:val="21"/>
        </w:rPr>
        <w:t>关于承包人违约解除合同的特别约定：</w:t>
      </w:r>
      <w:r>
        <w:rPr>
          <w:rFonts w:hint="eastAsia" w:ascii="宋体" w:hAnsi="宋体"/>
          <w:b/>
          <w:sz w:val="21"/>
          <w:szCs w:val="21"/>
          <w:u w:val="single"/>
        </w:rPr>
        <w:t>按</w:t>
      </w:r>
      <w:r>
        <w:rPr>
          <w:rFonts w:ascii="宋体" w:hAnsi="宋体"/>
          <w:b/>
          <w:sz w:val="21"/>
          <w:szCs w:val="21"/>
          <w:u w:val="single"/>
        </w:rPr>
        <w:t>16.2</w:t>
      </w:r>
      <w:r>
        <w:rPr>
          <w:rFonts w:hint="eastAsia" w:ascii="宋体" w:hAnsi="宋体"/>
          <w:b/>
          <w:sz w:val="21"/>
          <w:szCs w:val="21"/>
          <w:u w:val="single"/>
        </w:rPr>
        <w:t>相关规定要求。</w:t>
      </w:r>
      <w:r>
        <w:rPr>
          <w:rFonts w:ascii="宋体" w:hAnsi="宋体"/>
          <w:b/>
          <w:sz w:val="21"/>
          <w:szCs w:val="21"/>
          <w:u w:val="single"/>
        </w:rPr>
        <w:t>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w:t>
      </w:r>
      <w:r>
        <w:rPr>
          <w:rFonts w:hint="eastAsia" w:ascii="宋体" w:hAnsi="宋体"/>
          <w:b/>
          <w:sz w:val="21"/>
          <w:szCs w:val="21"/>
          <w:u w:val="single"/>
        </w:rPr>
        <w:t>合同当事人应在专用合同条款约定相应费用的承担方式。</w:t>
      </w:r>
      <w:r>
        <w:rPr>
          <w:rFonts w:ascii="宋体" w:hAnsi="宋体"/>
          <w:b/>
          <w:sz w:val="21"/>
          <w:szCs w:val="21"/>
          <w:u w:val="single"/>
        </w:rPr>
        <w:t>发包人</w:t>
      </w:r>
      <w:r>
        <w:rPr>
          <w:rFonts w:hint="eastAsia" w:ascii="宋体" w:hAnsi="宋体"/>
          <w:b/>
          <w:sz w:val="21"/>
          <w:szCs w:val="21"/>
          <w:u w:val="single"/>
        </w:rPr>
        <w:t>继续使用的</w:t>
      </w:r>
      <w:r>
        <w:rPr>
          <w:rFonts w:ascii="宋体" w:hAnsi="宋体"/>
          <w:b/>
          <w:sz w:val="21"/>
          <w:szCs w:val="21"/>
          <w:u w:val="single"/>
        </w:rPr>
        <w:t>行为不免除或减轻承包人应承担的违约责任。</w:t>
      </w:r>
    </w:p>
    <w:p w14:paraId="484311E8">
      <w:pPr>
        <w:spacing w:line="360" w:lineRule="auto"/>
        <w:ind w:firstLine="525" w:firstLineChars="250"/>
        <w:jc w:val="left"/>
        <w:rPr>
          <w:rFonts w:ascii="宋体" w:hAnsi="宋体"/>
          <w:sz w:val="21"/>
          <w:szCs w:val="21"/>
        </w:rPr>
      </w:pPr>
      <w:r>
        <w:rPr>
          <w:rFonts w:ascii="宋体" w:hAnsi="宋体"/>
          <w:sz w:val="21"/>
          <w:szCs w:val="21"/>
        </w:rPr>
        <w:t>发包人</w:t>
      </w:r>
      <w:r>
        <w:rPr>
          <w:rFonts w:hint="eastAsia" w:ascii="宋体" w:hAnsi="宋体"/>
          <w:sz w:val="21"/>
          <w:szCs w:val="21"/>
        </w:rPr>
        <w:t>继续</w:t>
      </w:r>
      <w:r>
        <w:rPr>
          <w:rFonts w:ascii="宋体" w:hAnsi="宋体"/>
          <w:sz w:val="21"/>
          <w:szCs w:val="21"/>
        </w:rPr>
        <w:t>使用承包人在施工现场的材料、设备、临时工程、承包人文件和由承包人或以其名义编制的其他文件</w:t>
      </w:r>
      <w:r>
        <w:rPr>
          <w:rFonts w:hint="eastAsia" w:ascii="宋体" w:hAnsi="宋体"/>
          <w:sz w:val="21"/>
          <w:szCs w:val="21"/>
        </w:rPr>
        <w:t>的费用承担方式</w:t>
      </w:r>
      <w:r>
        <w:rPr>
          <w:rFonts w:ascii="宋体" w:hAnsi="宋体"/>
          <w:sz w:val="21"/>
          <w:szCs w:val="21"/>
        </w:rPr>
        <w:t>：</w:t>
      </w:r>
      <w:r>
        <w:rPr>
          <w:rFonts w:hint="eastAsia" w:ascii="宋体" w:hAnsi="宋体"/>
          <w:b/>
          <w:sz w:val="21"/>
          <w:szCs w:val="21"/>
          <w:u w:val="single"/>
        </w:rPr>
        <w:t>双方协商</w:t>
      </w:r>
      <w:r>
        <w:rPr>
          <w:rFonts w:ascii="宋体" w:hAnsi="宋体"/>
          <w:sz w:val="21"/>
          <w:szCs w:val="21"/>
          <w:u w:val="single"/>
        </w:rPr>
        <w:t xml:space="preserve"> </w:t>
      </w:r>
      <w:r>
        <w:rPr>
          <w:rFonts w:hint="eastAsia" w:ascii="宋体" w:hAnsi="宋体"/>
          <w:sz w:val="21"/>
          <w:szCs w:val="21"/>
        </w:rPr>
        <w:t>。</w:t>
      </w:r>
    </w:p>
    <w:p w14:paraId="3779EA2C">
      <w:pPr>
        <w:spacing w:line="360" w:lineRule="auto"/>
        <w:ind w:firstLine="525" w:firstLineChars="250"/>
        <w:jc w:val="left"/>
        <w:rPr>
          <w:rFonts w:ascii="宋体" w:hAnsi="宋体"/>
          <w:bCs/>
          <w:sz w:val="21"/>
          <w:szCs w:val="21"/>
        </w:rPr>
      </w:pPr>
      <w:bookmarkStart w:id="519" w:name="_Toc351203649"/>
      <w:r>
        <w:rPr>
          <w:rFonts w:ascii="宋体" w:hAnsi="宋体"/>
          <w:bCs/>
          <w:sz w:val="21"/>
          <w:szCs w:val="21"/>
        </w:rPr>
        <w:t>17. 不可抗力</w:t>
      </w:r>
      <w:bookmarkEnd w:id="519"/>
      <w:r>
        <w:rPr>
          <w:rFonts w:ascii="宋体" w:hAnsi="宋体"/>
          <w:bCs/>
          <w:sz w:val="21"/>
          <w:szCs w:val="21"/>
        </w:rPr>
        <w:t xml:space="preserve"> </w:t>
      </w:r>
      <w:bookmarkEnd w:id="517"/>
    </w:p>
    <w:p w14:paraId="43A8641E">
      <w:pPr>
        <w:spacing w:line="360" w:lineRule="auto"/>
        <w:ind w:firstLine="525" w:firstLineChars="250"/>
        <w:jc w:val="left"/>
        <w:rPr>
          <w:rFonts w:ascii="宋体" w:hAnsi="宋体"/>
          <w:sz w:val="21"/>
          <w:szCs w:val="21"/>
        </w:rPr>
      </w:pPr>
      <w:r>
        <w:rPr>
          <w:rFonts w:ascii="宋体" w:hAnsi="宋体"/>
          <w:sz w:val="21"/>
          <w:szCs w:val="21"/>
        </w:rPr>
        <w:t>17.1 不可抗力的确认</w:t>
      </w:r>
    </w:p>
    <w:p w14:paraId="0EE3B2D3">
      <w:pPr>
        <w:spacing w:line="360" w:lineRule="auto"/>
        <w:ind w:firstLine="525" w:firstLineChars="250"/>
        <w:jc w:val="left"/>
        <w:rPr>
          <w:rFonts w:ascii="宋体" w:hAnsi="宋体"/>
          <w:sz w:val="21"/>
          <w:szCs w:val="21"/>
          <w:u w:val="single"/>
        </w:rPr>
      </w:pPr>
      <w:r>
        <w:rPr>
          <w:rFonts w:ascii="宋体" w:hAnsi="宋体"/>
          <w:sz w:val="21"/>
          <w:szCs w:val="21"/>
        </w:rPr>
        <w:t>除通用合同条款约定的不可抗力事件之外，视为不可抗力的其他情形：</w:t>
      </w:r>
      <w:r>
        <w:rPr>
          <w:rFonts w:hint="eastAsia" w:ascii="宋体" w:hAnsi="宋体"/>
          <w:b/>
          <w:sz w:val="21"/>
          <w:szCs w:val="21"/>
          <w:u w:val="single"/>
        </w:rPr>
        <w:t>不可抗力包括因战争、动乱、空中飞行物体坠落或其他非发包人承包人责任造成的爆炸、火灾，异常恶劣的气候条件以当地气象部门公告为准</w:t>
      </w:r>
      <w:r>
        <w:rPr>
          <w:rFonts w:ascii="宋体" w:hAnsi="宋体"/>
          <w:sz w:val="21"/>
          <w:szCs w:val="21"/>
        </w:rPr>
        <w:t>。</w:t>
      </w:r>
    </w:p>
    <w:p w14:paraId="564A9025">
      <w:pPr>
        <w:spacing w:line="360" w:lineRule="auto"/>
        <w:ind w:firstLine="420" w:firstLineChars="200"/>
        <w:jc w:val="left"/>
        <w:rPr>
          <w:rFonts w:ascii="宋体" w:hAnsi="宋体"/>
          <w:bCs/>
          <w:sz w:val="21"/>
          <w:szCs w:val="21"/>
        </w:rPr>
      </w:pPr>
      <w:bookmarkStart w:id="520" w:name="_Toc351203650"/>
      <w:r>
        <w:rPr>
          <w:rFonts w:ascii="宋体" w:hAnsi="宋体"/>
          <w:bCs/>
          <w:sz w:val="21"/>
          <w:szCs w:val="21"/>
        </w:rPr>
        <w:t>18. 保险</w:t>
      </w:r>
      <w:bookmarkEnd w:id="520"/>
    </w:p>
    <w:bookmarkEnd w:id="518"/>
    <w:p w14:paraId="05823E1A">
      <w:pPr>
        <w:spacing w:line="360" w:lineRule="auto"/>
        <w:ind w:firstLine="420" w:firstLineChars="200"/>
        <w:jc w:val="left"/>
        <w:rPr>
          <w:rFonts w:ascii="宋体" w:hAnsi="宋体"/>
          <w:sz w:val="21"/>
          <w:szCs w:val="21"/>
        </w:rPr>
      </w:pPr>
      <w:r>
        <w:rPr>
          <w:rFonts w:ascii="宋体" w:hAnsi="宋体"/>
          <w:sz w:val="21"/>
          <w:szCs w:val="21"/>
        </w:rPr>
        <w:t>18.1 工程保险</w:t>
      </w:r>
    </w:p>
    <w:p w14:paraId="7924B7FA">
      <w:pPr>
        <w:spacing w:line="360" w:lineRule="auto"/>
        <w:ind w:firstLine="420" w:firstLineChars="200"/>
        <w:jc w:val="left"/>
        <w:rPr>
          <w:rFonts w:ascii="宋体" w:hAnsi="宋体"/>
          <w:sz w:val="21"/>
          <w:szCs w:val="21"/>
        </w:rPr>
      </w:pPr>
      <w:r>
        <w:rPr>
          <w:rFonts w:ascii="宋体" w:hAnsi="宋体"/>
          <w:sz w:val="21"/>
          <w:szCs w:val="21"/>
        </w:rPr>
        <w:t>关于工程保险的特别约定：</w:t>
      </w:r>
      <w:r>
        <w:rPr>
          <w:rFonts w:hint="eastAsia" w:ascii="宋体" w:hAnsi="宋体"/>
          <w:b/>
          <w:sz w:val="21"/>
          <w:szCs w:val="21"/>
          <w:u w:val="single"/>
        </w:rPr>
        <w:t>由承包人办理并承担相应费用</w:t>
      </w:r>
      <w:r>
        <w:rPr>
          <w:rFonts w:ascii="宋体" w:hAnsi="宋体"/>
          <w:b/>
          <w:sz w:val="21"/>
          <w:szCs w:val="21"/>
          <w:u w:val="single"/>
        </w:rPr>
        <w:t xml:space="preserve"> </w:t>
      </w:r>
      <w:r>
        <w:rPr>
          <w:rFonts w:ascii="宋体" w:hAnsi="宋体"/>
          <w:sz w:val="21"/>
          <w:szCs w:val="21"/>
          <w:u w:val="single"/>
        </w:rPr>
        <w:t xml:space="preserve">   </w:t>
      </w:r>
      <w:r>
        <w:rPr>
          <w:rFonts w:ascii="宋体" w:hAnsi="宋体"/>
          <w:sz w:val="21"/>
          <w:szCs w:val="21"/>
        </w:rPr>
        <w:t>。</w:t>
      </w:r>
    </w:p>
    <w:p w14:paraId="39A52A3C">
      <w:pPr>
        <w:spacing w:line="360" w:lineRule="auto"/>
        <w:ind w:firstLine="420" w:firstLineChars="200"/>
        <w:jc w:val="left"/>
        <w:rPr>
          <w:rFonts w:ascii="宋体" w:hAnsi="宋体"/>
          <w:sz w:val="21"/>
          <w:szCs w:val="21"/>
        </w:rPr>
      </w:pPr>
      <w:r>
        <w:rPr>
          <w:rFonts w:ascii="宋体" w:hAnsi="宋体"/>
          <w:sz w:val="21"/>
          <w:szCs w:val="21"/>
        </w:rPr>
        <w:t>18.3 其他保险</w:t>
      </w:r>
    </w:p>
    <w:p w14:paraId="72798A49">
      <w:pPr>
        <w:spacing w:line="360" w:lineRule="auto"/>
        <w:ind w:firstLine="420" w:firstLineChars="200"/>
        <w:jc w:val="left"/>
        <w:rPr>
          <w:rFonts w:ascii="宋体" w:hAnsi="宋体"/>
          <w:sz w:val="21"/>
          <w:szCs w:val="21"/>
        </w:rPr>
      </w:pPr>
      <w:r>
        <w:rPr>
          <w:rFonts w:ascii="宋体" w:hAnsi="宋体"/>
          <w:sz w:val="21"/>
          <w:szCs w:val="21"/>
        </w:rPr>
        <w:t>关于其他保险的约定：</w:t>
      </w:r>
      <w:r>
        <w:rPr>
          <w:rFonts w:hint="eastAsia" w:ascii="宋体" w:hAnsi="宋体"/>
          <w:b/>
          <w:sz w:val="21"/>
          <w:szCs w:val="21"/>
          <w:u w:val="single"/>
        </w:rPr>
        <w:t>由承包人办理并承担相应费用</w:t>
      </w:r>
      <w:r>
        <w:rPr>
          <w:rFonts w:ascii="宋体" w:hAnsi="宋体"/>
          <w:sz w:val="21"/>
          <w:szCs w:val="21"/>
        </w:rPr>
        <w:t>。</w:t>
      </w:r>
    </w:p>
    <w:p w14:paraId="2B694559">
      <w:pPr>
        <w:spacing w:line="360" w:lineRule="auto"/>
        <w:ind w:firstLine="420" w:firstLineChars="200"/>
        <w:jc w:val="left"/>
        <w:rPr>
          <w:rFonts w:ascii="宋体" w:hAnsi="宋体"/>
          <w:sz w:val="21"/>
          <w:szCs w:val="21"/>
          <w:u w:val="single"/>
        </w:rPr>
      </w:pPr>
      <w:r>
        <w:rPr>
          <w:rFonts w:ascii="宋体" w:hAnsi="宋体"/>
          <w:sz w:val="21"/>
          <w:szCs w:val="21"/>
        </w:rPr>
        <w:t>承包人是否应为其施工设备等办理财产保险：</w:t>
      </w:r>
      <w:r>
        <w:rPr>
          <w:rFonts w:ascii="宋体" w:hAnsi="宋体"/>
          <w:sz w:val="21"/>
          <w:szCs w:val="21"/>
          <w:u w:val="single"/>
        </w:rPr>
        <w:t xml:space="preserve"> </w:t>
      </w:r>
      <w:r>
        <w:rPr>
          <w:rFonts w:hint="eastAsia" w:ascii="宋体" w:hAnsi="宋体"/>
          <w:b/>
          <w:sz w:val="21"/>
          <w:szCs w:val="21"/>
          <w:u w:val="single"/>
        </w:rPr>
        <w:t>由承包人办理并承担相应费用</w:t>
      </w:r>
      <w:r>
        <w:rPr>
          <w:rFonts w:ascii="宋体" w:hAnsi="宋体"/>
          <w:sz w:val="21"/>
          <w:szCs w:val="21"/>
          <w:u w:val="single"/>
        </w:rPr>
        <w:t xml:space="preserve">  </w:t>
      </w:r>
      <w:r>
        <w:rPr>
          <w:rFonts w:ascii="宋体" w:hAnsi="宋体"/>
          <w:sz w:val="21"/>
          <w:szCs w:val="21"/>
        </w:rPr>
        <w:t>。</w:t>
      </w:r>
    </w:p>
    <w:p w14:paraId="4AF5F874">
      <w:pPr>
        <w:spacing w:line="360" w:lineRule="auto"/>
        <w:ind w:firstLine="420" w:firstLineChars="200"/>
        <w:jc w:val="left"/>
        <w:rPr>
          <w:rFonts w:ascii="宋体" w:hAnsi="宋体"/>
          <w:sz w:val="21"/>
          <w:szCs w:val="21"/>
        </w:rPr>
      </w:pPr>
      <w:r>
        <w:rPr>
          <w:rFonts w:ascii="宋体" w:hAnsi="宋体"/>
          <w:sz w:val="21"/>
          <w:szCs w:val="21"/>
        </w:rPr>
        <w:t>18.7 通知义务</w:t>
      </w:r>
    </w:p>
    <w:p w14:paraId="21E8EE48">
      <w:pPr>
        <w:spacing w:line="360" w:lineRule="auto"/>
        <w:ind w:firstLine="420" w:firstLineChars="200"/>
        <w:jc w:val="left"/>
        <w:rPr>
          <w:rFonts w:ascii="宋体" w:hAnsi="宋体"/>
          <w:sz w:val="21"/>
          <w:szCs w:val="21"/>
          <w:u w:val="single"/>
        </w:rPr>
      </w:pPr>
      <w:r>
        <w:rPr>
          <w:rFonts w:ascii="宋体" w:hAnsi="宋体"/>
          <w:sz w:val="21"/>
          <w:szCs w:val="21"/>
        </w:rPr>
        <w:t>关于变更保险合同时的通知义务的约定：</w:t>
      </w:r>
      <w:r>
        <w:rPr>
          <w:rFonts w:ascii="宋体" w:hAnsi="宋体"/>
          <w:sz w:val="21"/>
          <w:szCs w:val="21"/>
          <w:u w:val="single"/>
        </w:rPr>
        <w:t xml:space="preserve"> </w:t>
      </w:r>
      <w:r>
        <w:rPr>
          <w:rFonts w:ascii="宋体" w:hAnsi="宋体"/>
          <w:b/>
          <w:sz w:val="21"/>
          <w:szCs w:val="21"/>
          <w:u w:val="single"/>
        </w:rPr>
        <w:t xml:space="preserve"> </w:t>
      </w:r>
      <w:r>
        <w:rPr>
          <w:rFonts w:hint="eastAsia" w:ascii="宋体" w:hAnsi="宋体"/>
          <w:b/>
          <w:sz w:val="21"/>
          <w:szCs w:val="21"/>
          <w:u w:val="single"/>
        </w:rPr>
        <w:t>按相应的通用条款执行</w:t>
      </w:r>
      <w:r>
        <w:rPr>
          <w:rFonts w:ascii="宋体" w:hAnsi="宋体"/>
          <w:b/>
          <w:sz w:val="21"/>
          <w:szCs w:val="21"/>
          <w:u w:val="single"/>
        </w:rPr>
        <w:t xml:space="preserve"> </w:t>
      </w:r>
      <w:r>
        <w:rPr>
          <w:rFonts w:ascii="宋体" w:hAnsi="宋体"/>
          <w:sz w:val="21"/>
          <w:szCs w:val="21"/>
          <w:u w:val="single"/>
        </w:rPr>
        <w:t xml:space="preserve">  </w:t>
      </w:r>
      <w:r>
        <w:rPr>
          <w:rFonts w:hint="eastAsia" w:ascii="宋体" w:hAnsi="宋体"/>
          <w:sz w:val="21"/>
          <w:szCs w:val="21"/>
          <w:u w:val="single"/>
        </w:rPr>
        <w:t xml:space="preserve"> </w:t>
      </w:r>
      <w:r>
        <w:rPr>
          <w:rFonts w:ascii="宋体" w:hAnsi="宋体"/>
          <w:sz w:val="21"/>
          <w:szCs w:val="21"/>
        </w:rPr>
        <w:t>。</w:t>
      </w:r>
    </w:p>
    <w:p w14:paraId="5AE38AE4">
      <w:pPr>
        <w:spacing w:line="360" w:lineRule="auto"/>
        <w:ind w:firstLine="420" w:firstLineChars="200"/>
        <w:jc w:val="left"/>
        <w:rPr>
          <w:rFonts w:ascii="宋体" w:hAnsi="宋体"/>
          <w:bCs/>
          <w:sz w:val="21"/>
          <w:szCs w:val="21"/>
        </w:rPr>
      </w:pPr>
      <w:bookmarkStart w:id="521" w:name="_Toc351203651"/>
      <w:r>
        <w:rPr>
          <w:rFonts w:ascii="宋体" w:hAnsi="宋体"/>
          <w:bCs/>
          <w:sz w:val="21"/>
          <w:szCs w:val="21"/>
        </w:rPr>
        <w:t>20. 争议解决</w:t>
      </w:r>
      <w:bookmarkEnd w:id="521"/>
    </w:p>
    <w:p w14:paraId="1C866708">
      <w:pPr>
        <w:spacing w:line="360" w:lineRule="auto"/>
        <w:ind w:firstLine="420" w:firstLineChars="200"/>
        <w:jc w:val="left"/>
        <w:rPr>
          <w:rFonts w:ascii="宋体" w:hAnsi="宋体"/>
          <w:sz w:val="21"/>
          <w:szCs w:val="21"/>
        </w:rPr>
      </w:pPr>
      <w:r>
        <w:rPr>
          <w:rFonts w:ascii="宋体" w:hAnsi="宋体"/>
          <w:sz w:val="21"/>
          <w:szCs w:val="21"/>
        </w:rPr>
        <w:t>20.4仲裁或诉讼</w:t>
      </w:r>
    </w:p>
    <w:p w14:paraId="2C1B2578">
      <w:pPr>
        <w:spacing w:line="360" w:lineRule="auto"/>
        <w:ind w:firstLine="420" w:firstLineChars="200"/>
        <w:jc w:val="left"/>
        <w:rPr>
          <w:rFonts w:ascii="宋体" w:hAnsi="宋体"/>
          <w:sz w:val="21"/>
          <w:szCs w:val="21"/>
        </w:rPr>
      </w:pPr>
      <w:r>
        <w:rPr>
          <w:rFonts w:ascii="宋体" w:hAnsi="宋体"/>
          <w:sz w:val="21"/>
          <w:szCs w:val="21"/>
        </w:rPr>
        <w:t>因合同及合同有关事项发生的争议，向</w:t>
      </w:r>
      <w:r>
        <w:rPr>
          <w:rFonts w:hint="eastAsia" w:ascii="宋体" w:hAnsi="宋体"/>
          <w:sz w:val="21"/>
          <w:szCs w:val="21"/>
          <w:u w:val="single"/>
        </w:rPr>
        <w:t>发包人所在地</w:t>
      </w:r>
      <w:r>
        <w:rPr>
          <w:rFonts w:ascii="宋体" w:hAnsi="宋体"/>
          <w:sz w:val="21"/>
          <w:szCs w:val="21"/>
        </w:rPr>
        <w:t>人民法院起诉</w:t>
      </w:r>
      <w:r>
        <w:rPr>
          <w:rFonts w:hint="eastAsia" w:ascii="宋体" w:hAnsi="宋体"/>
          <w:sz w:val="21"/>
          <w:szCs w:val="21"/>
        </w:rPr>
        <w:t>解</w:t>
      </w:r>
      <w:r>
        <w:rPr>
          <w:rFonts w:ascii="宋体" w:hAnsi="宋体"/>
          <w:sz w:val="21"/>
          <w:szCs w:val="21"/>
        </w:rPr>
        <w:t>决：</w:t>
      </w:r>
    </w:p>
    <w:p w14:paraId="6B9B680A">
      <w:pPr>
        <w:rPr>
          <w:rFonts w:hint="eastAsia" w:ascii="宋体" w:hAnsi="宋体"/>
          <w:b/>
          <w:sz w:val="21"/>
          <w:szCs w:val="21"/>
        </w:rPr>
      </w:pPr>
      <w:r>
        <w:rPr>
          <w:rFonts w:hint="eastAsia" w:ascii="宋体" w:hAnsi="宋体"/>
          <w:b/>
          <w:sz w:val="21"/>
          <w:szCs w:val="21"/>
        </w:rPr>
        <w:br w:type="page"/>
      </w:r>
    </w:p>
    <w:p w14:paraId="633E503C">
      <w:pPr>
        <w:spacing w:line="360" w:lineRule="auto"/>
        <w:jc w:val="center"/>
        <w:rPr>
          <w:rFonts w:hint="eastAsia" w:ascii="宋体" w:hAnsi="宋体"/>
          <w:b/>
          <w:sz w:val="21"/>
          <w:szCs w:val="21"/>
        </w:rPr>
      </w:pPr>
      <w:r>
        <w:rPr>
          <w:rFonts w:hint="eastAsia" w:ascii="宋体" w:hAnsi="宋体"/>
          <w:b/>
          <w:sz w:val="21"/>
          <w:szCs w:val="21"/>
        </w:rPr>
        <w:t>建筑工程施工安全合同协议书</w:t>
      </w:r>
    </w:p>
    <w:p w14:paraId="128AFB03">
      <w:pPr>
        <w:spacing w:line="360" w:lineRule="exact"/>
        <w:ind w:firstLine="420" w:firstLineChars="200"/>
        <w:jc w:val="left"/>
        <w:rPr>
          <w:rFonts w:hint="eastAsia" w:ascii="宋体" w:hAnsi="宋体"/>
          <w:sz w:val="21"/>
          <w:szCs w:val="21"/>
        </w:rPr>
      </w:pPr>
      <w:r>
        <w:rPr>
          <w:rFonts w:hint="eastAsia" w:ascii="宋体" w:hAnsi="宋体"/>
          <w:sz w:val="21"/>
          <w:szCs w:val="21"/>
        </w:rPr>
        <w:t>为贯彻“安全第一，预防为主”方针，明确双方的安全责任，确保施工中人身、电网和设备安全，根据国家有关法律法规，经双方协商一致签订本协议。</w:t>
      </w:r>
    </w:p>
    <w:p w14:paraId="5D830533">
      <w:pPr>
        <w:numPr>
          <w:ilvl w:val="0"/>
          <w:numId w:val="5"/>
        </w:numPr>
        <w:spacing w:line="360" w:lineRule="exact"/>
        <w:jc w:val="left"/>
        <w:rPr>
          <w:rFonts w:hint="eastAsia" w:ascii="宋体" w:hAnsi="宋体"/>
          <w:b/>
          <w:sz w:val="21"/>
          <w:szCs w:val="21"/>
        </w:rPr>
      </w:pPr>
      <w:r>
        <w:rPr>
          <w:rFonts w:hint="eastAsia" w:ascii="宋体" w:hAnsi="宋体"/>
          <w:b/>
          <w:sz w:val="21"/>
          <w:szCs w:val="21"/>
        </w:rPr>
        <w:t>工程概况</w:t>
      </w:r>
    </w:p>
    <w:p w14:paraId="4FB08803">
      <w:pPr>
        <w:spacing w:line="360" w:lineRule="exact"/>
        <w:jc w:val="left"/>
        <w:rPr>
          <w:rFonts w:hint="eastAsia" w:ascii="宋体" w:hAnsi="宋体"/>
          <w:sz w:val="21"/>
          <w:szCs w:val="21"/>
        </w:rPr>
      </w:pPr>
      <w:r>
        <w:rPr>
          <w:rFonts w:hint="eastAsia" w:ascii="宋体" w:hAnsi="宋体"/>
          <w:sz w:val="21"/>
          <w:szCs w:val="21"/>
        </w:rPr>
        <w:t>1、项目名称：</w:t>
      </w:r>
      <w:r>
        <w:rPr>
          <w:rFonts w:hint="eastAsia" w:ascii="宋体" w:hAnsi="宋体"/>
          <w:sz w:val="21"/>
          <w:szCs w:val="21"/>
          <w:lang w:eastAsia="zh-CN"/>
        </w:rPr>
        <w:t>浙江省金华监狱东关押点操场维修工程</w:t>
      </w:r>
      <w:r>
        <w:rPr>
          <w:rFonts w:hint="eastAsia" w:ascii="宋体" w:hAnsi="宋体"/>
          <w:sz w:val="21"/>
          <w:szCs w:val="21"/>
        </w:rPr>
        <w:t xml:space="preserve"> </w:t>
      </w:r>
    </w:p>
    <w:p w14:paraId="42E4A44B">
      <w:pPr>
        <w:spacing w:line="360" w:lineRule="exact"/>
        <w:jc w:val="left"/>
        <w:rPr>
          <w:rFonts w:hint="eastAsia" w:ascii="宋体" w:hAnsi="宋体" w:eastAsia="宋体"/>
          <w:sz w:val="21"/>
          <w:szCs w:val="21"/>
          <w:lang w:eastAsia="zh-CN"/>
        </w:rPr>
      </w:pPr>
      <w:r>
        <w:rPr>
          <w:rFonts w:hint="eastAsia" w:ascii="宋体" w:hAnsi="宋体"/>
          <w:sz w:val="21"/>
          <w:szCs w:val="21"/>
        </w:rPr>
        <w:t>2、施工地址：</w:t>
      </w:r>
      <w:r>
        <w:rPr>
          <w:rFonts w:hint="eastAsia" w:ascii="宋体" w:hAnsi="宋体"/>
          <w:sz w:val="21"/>
          <w:szCs w:val="21"/>
          <w:lang w:eastAsia="zh-CN"/>
        </w:rPr>
        <w:t>浙江省金华监狱</w:t>
      </w:r>
    </w:p>
    <w:p w14:paraId="339450F3">
      <w:pPr>
        <w:spacing w:line="360" w:lineRule="exact"/>
        <w:jc w:val="left"/>
        <w:rPr>
          <w:rFonts w:hint="eastAsia" w:ascii="宋体" w:hAnsi="宋体" w:eastAsia="宋体"/>
          <w:sz w:val="21"/>
          <w:szCs w:val="21"/>
          <w:lang w:eastAsia="zh-CN"/>
        </w:rPr>
      </w:pPr>
      <w:r>
        <w:rPr>
          <w:rFonts w:hint="eastAsia" w:ascii="宋体" w:hAnsi="宋体"/>
          <w:sz w:val="21"/>
          <w:szCs w:val="21"/>
        </w:rPr>
        <w:t>3、建设单位（以下简称发包人)：</w:t>
      </w:r>
      <w:r>
        <w:rPr>
          <w:rFonts w:hint="eastAsia" w:ascii="宋体" w:hAnsi="宋体"/>
          <w:sz w:val="21"/>
          <w:szCs w:val="21"/>
          <w:lang w:eastAsia="zh-CN"/>
        </w:rPr>
        <w:t>浙江省金华监狱</w:t>
      </w:r>
    </w:p>
    <w:p w14:paraId="4B343C5D">
      <w:pPr>
        <w:spacing w:line="360" w:lineRule="exact"/>
        <w:jc w:val="left"/>
        <w:rPr>
          <w:rFonts w:hint="eastAsia" w:ascii="宋体" w:hAnsi="宋体"/>
          <w:sz w:val="21"/>
          <w:szCs w:val="21"/>
        </w:rPr>
      </w:pPr>
      <w:r>
        <w:rPr>
          <w:rFonts w:hint="eastAsia" w:ascii="宋体" w:hAnsi="宋体"/>
          <w:sz w:val="21"/>
          <w:szCs w:val="21"/>
        </w:rPr>
        <w:t>4、施工单位（以下简称承包人）：</w:t>
      </w:r>
    </w:p>
    <w:p w14:paraId="0D3F0391">
      <w:pPr>
        <w:spacing w:line="360" w:lineRule="exact"/>
        <w:jc w:val="left"/>
        <w:rPr>
          <w:rFonts w:hint="eastAsia" w:ascii="宋体" w:hAnsi="宋体"/>
          <w:b/>
          <w:sz w:val="21"/>
          <w:szCs w:val="21"/>
        </w:rPr>
      </w:pPr>
      <w:r>
        <w:rPr>
          <w:rFonts w:hint="eastAsia" w:ascii="宋体" w:hAnsi="宋体"/>
          <w:b/>
          <w:sz w:val="21"/>
          <w:szCs w:val="21"/>
        </w:rPr>
        <w:t>第二条 发包人安全责任</w:t>
      </w:r>
    </w:p>
    <w:p w14:paraId="5515BB6B">
      <w:pPr>
        <w:spacing w:line="360" w:lineRule="exact"/>
        <w:jc w:val="left"/>
        <w:rPr>
          <w:rFonts w:hint="eastAsia" w:ascii="宋体" w:hAnsi="宋体"/>
          <w:sz w:val="21"/>
          <w:szCs w:val="21"/>
        </w:rPr>
      </w:pPr>
      <w:r>
        <w:rPr>
          <w:rFonts w:hint="eastAsia" w:ascii="宋体" w:hAnsi="宋体"/>
          <w:sz w:val="21"/>
          <w:szCs w:val="21"/>
        </w:rPr>
        <w:t>1、开工前发包人对承包人进行施工安全技术交底。</w:t>
      </w:r>
    </w:p>
    <w:p w14:paraId="4F3EE2C6">
      <w:pPr>
        <w:spacing w:line="360" w:lineRule="exact"/>
        <w:jc w:val="left"/>
        <w:rPr>
          <w:rFonts w:hint="eastAsia" w:ascii="宋体" w:hAnsi="宋体"/>
          <w:sz w:val="21"/>
          <w:szCs w:val="21"/>
        </w:rPr>
      </w:pPr>
      <w:r>
        <w:rPr>
          <w:rFonts w:hint="eastAsia" w:ascii="宋体" w:hAnsi="宋体"/>
          <w:sz w:val="21"/>
          <w:szCs w:val="21"/>
        </w:rPr>
        <w:t>2、发包人应要求承包人制定施工安全措施，在开始施工前报发包人备案。</w:t>
      </w:r>
    </w:p>
    <w:p w14:paraId="0F295BCD">
      <w:pPr>
        <w:spacing w:line="360" w:lineRule="exact"/>
        <w:jc w:val="left"/>
        <w:rPr>
          <w:rFonts w:hint="eastAsia" w:ascii="宋体" w:hAnsi="宋体"/>
          <w:sz w:val="21"/>
          <w:szCs w:val="21"/>
        </w:rPr>
      </w:pPr>
      <w:r>
        <w:rPr>
          <w:rFonts w:hint="eastAsia" w:ascii="宋体" w:hAnsi="宋体"/>
          <w:sz w:val="21"/>
          <w:szCs w:val="21"/>
        </w:rPr>
        <w:t>3、发包人有协助承包人搞好安全生产、防火管理以及督促检查的义务。发包人有权检查督促承包人执行有关安全生产方面的工作规定，对承包人不符合安全文明施工的行为进行制止、纠正并发出安全整改通知书，直至清退出场。</w:t>
      </w:r>
    </w:p>
    <w:p w14:paraId="241DC72F">
      <w:pPr>
        <w:spacing w:line="360" w:lineRule="exact"/>
        <w:jc w:val="left"/>
        <w:rPr>
          <w:rFonts w:hint="eastAsia" w:ascii="宋体" w:hAnsi="宋体"/>
          <w:sz w:val="21"/>
          <w:szCs w:val="21"/>
        </w:rPr>
      </w:pPr>
      <w:r>
        <w:rPr>
          <w:rFonts w:hint="eastAsia" w:ascii="宋体" w:hAnsi="宋体"/>
          <w:sz w:val="21"/>
          <w:szCs w:val="21"/>
        </w:rPr>
        <w:t>4、发包人指派</w:t>
      </w:r>
      <w:r>
        <w:rPr>
          <w:rFonts w:hint="eastAsia" w:ascii="宋体" w:hAnsi="宋体"/>
          <w:sz w:val="21"/>
          <w:szCs w:val="21"/>
          <w:u w:val="single"/>
        </w:rPr>
        <w:t xml:space="preserve"> </w:t>
      </w:r>
      <w:r>
        <w:rPr>
          <w:rFonts w:hint="eastAsia" w:ascii="宋体" w:hAnsi="宋体"/>
          <w:b/>
          <w:sz w:val="21"/>
          <w:szCs w:val="21"/>
          <w:u w:val="single"/>
        </w:rPr>
        <w:t xml:space="preserve">    </w:t>
      </w:r>
      <w:r>
        <w:rPr>
          <w:rFonts w:hint="eastAsia" w:ascii="宋体" w:hAnsi="宋体"/>
          <w:sz w:val="21"/>
          <w:szCs w:val="21"/>
        </w:rPr>
        <w:t>同志负责与承包人联系安全生产方面的工作。</w:t>
      </w:r>
    </w:p>
    <w:p w14:paraId="05C344AF">
      <w:pPr>
        <w:spacing w:line="360" w:lineRule="exact"/>
        <w:jc w:val="left"/>
        <w:rPr>
          <w:rFonts w:hint="eastAsia" w:ascii="宋体" w:hAnsi="宋体"/>
          <w:sz w:val="21"/>
          <w:szCs w:val="21"/>
        </w:rPr>
      </w:pPr>
      <w:r>
        <w:rPr>
          <w:rFonts w:hint="eastAsia" w:ascii="宋体" w:hAnsi="宋体"/>
          <w:sz w:val="21"/>
          <w:szCs w:val="21"/>
        </w:rPr>
        <w:t>5、发包人负责签发工作票，对工作票所填写的安全措施是否正确完备负责，并履行工作票许可手续。</w:t>
      </w:r>
    </w:p>
    <w:p w14:paraId="2696365B">
      <w:pPr>
        <w:spacing w:line="360" w:lineRule="exact"/>
        <w:jc w:val="left"/>
        <w:rPr>
          <w:rFonts w:hint="eastAsia" w:ascii="宋体" w:hAnsi="宋体"/>
          <w:sz w:val="21"/>
          <w:szCs w:val="21"/>
        </w:rPr>
      </w:pPr>
      <w:r>
        <w:rPr>
          <w:rFonts w:hint="eastAsia" w:ascii="宋体" w:hAnsi="宋体"/>
          <w:sz w:val="21"/>
          <w:szCs w:val="21"/>
        </w:rPr>
        <w:t>6、发包人有权对承包人参与施工的人员进行安全技术知识和安全工作规程的抽考。</w:t>
      </w:r>
    </w:p>
    <w:p w14:paraId="37125B2B">
      <w:pPr>
        <w:spacing w:line="360" w:lineRule="exact"/>
        <w:jc w:val="left"/>
        <w:rPr>
          <w:rFonts w:hint="eastAsia" w:ascii="宋体" w:hAnsi="宋体"/>
          <w:sz w:val="21"/>
          <w:szCs w:val="21"/>
        </w:rPr>
      </w:pPr>
      <w:r>
        <w:rPr>
          <w:rFonts w:hint="eastAsia" w:ascii="宋体" w:hAnsi="宋体"/>
          <w:sz w:val="21"/>
          <w:szCs w:val="21"/>
        </w:rPr>
        <w:t>7、承包人在施工中发生的发包人电网、设备事故，发包人有责任负责调查、统计上报。承包人在施工中如发生国务院《特别重大事故调查程序暂行规定》所规定的特大事故，发包人有权督促承包人立即通知当地政府和公安部门，要求派人保护现场；并有权要求承包人提供事故调查书面结论及处理意见。</w:t>
      </w:r>
    </w:p>
    <w:p w14:paraId="399D3240">
      <w:pPr>
        <w:spacing w:line="360" w:lineRule="exact"/>
        <w:jc w:val="left"/>
        <w:rPr>
          <w:rFonts w:hint="eastAsia" w:ascii="宋体" w:hAnsi="宋体"/>
          <w:sz w:val="21"/>
          <w:szCs w:val="21"/>
        </w:rPr>
      </w:pPr>
      <w:r>
        <w:rPr>
          <w:rFonts w:hint="eastAsia" w:ascii="宋体" w:hAnsi="宋体"/>
          <w:sz w:val="21"/>
          <w:szCs w:val="21"/>
        </w:rPr>
        <w:t>8、发包人不得要求承包人违反安全管理规定进行施工。因发包人原因导致的事故由发包人承担责任。</w:t>
      </w:r>
    </w:p>
    <w:p w14:paraId="3CECEE56">
      <w:pPr>
        <w:spacing w:line="360" w:lineRule="exact"/>
        <w:jc w:val="left"/>
        <w:rPr>
          <w:rFonts w:hint="eastAsia" w:ascii="宋体" w:hAnsi="宋体"/>
          <w:sz w:val="21"/>
          <w:szCs w:val="21"/>
        </w:rPr>
      </w:pPr>
      <w:r>
        <w:rPr>
          <w:rFonts w:hint="eastAsia" w:ascii="宋体" w:hAnsi="宋体"/>
          <w:sz w:val="21"/>
          <w:szCs w:val="21"/>
        </w:rPr>
        <w:t>9、发生以下情况停工整顿，因停工造成的违约责任由承包人承担：</w:t>
      </w:r>
    </w:p>
    <w:p w14:paraId="61D6D25E">
      <w:pPr>
        <w:spacing w:line="360" w:lineRule="exact"/>
        <w:jc w:val="left"/>
        <w:rPr>
          <w:rFonts w:hint="eastAsia" w:ascii="宋体" w:hAnsi="宋体"/>
          <w:sz w:val="21"/>
          <w:szCs w:val="21"/>
        </w:rPr>
      </w:pPr>
      <w:r>
        <w:rPr>
          <w:rFonts w:hint="eastAsia" w:ascii="宋体" w:hAnsi="宋体"/>
          <w:sz w:val="21"/>
          <w:szCs w:val="21"/>
        </w:rPr>
        <w:t>（1）人身伤亡事故；</w:t>
      </w:r>
    </w:p>
    <w:p w14:paraId="2B2D1F61">
      <w:pPr>
        <w:spacing w:line="360" w:lineRule="exact"/>
        <w:jc w:val="left"/>
        <w:rPr>
          <w:rFonts w:hint="eastAsia" w:ascii="宋体" w:hAnsi="宋体"/>
          <w:sz w:val="21"/>
          <w:szCs w:val="21"/>
        </w:rPr>
      </w:pPr>
      <w:r>
        <w:rPr>
          <w:rFonts w:hint="eastAsia" w:ascii="宋体" w:hAnsi="宋体"/>
          <w:sz w:val="21"/>
          <w:szCs w:val="21"/>
        </w:rPr>
        <w:t>（2）发生施工机械、生产主设备严重损坏事故；</w:t>
      </w:r>
    </w:p>
    <w:p w14:paraId="160EC4A6">
      <w:pPr>
        <w:spacing w:line="360" w:lineRule="exact"/>
        <w:jc w:val="left"/>
        <w:rPr>
          <w:rFonts w:hint="eastAsia" w:ascii="宋体" w:hAnsi="宋体"/>
          <w:sz w:val="21"/>
          <w:szCs w:val="21"/>
        </w:rPr>
      </w:pPr>
      <w:r>
        <w:rPr>
          <w:rFonts w:hint="eastAsia" w:ascii="宋体" w:hAnsi="宋体"/>
          <w:sz w:val="21"/>
          <w:szCs w:val="21"/>
        </w:rPr>
        <w:t>（3）发生火灾事故；</w:t>
      </w:r>
    </w:p>
    <w:p w14:paraId="53B8F270">
      <w:pPr>
        <w:spacing w:line="360" w:lineRule="exact"/>
        <w:jc w:val="left"/>
        <w:rPr>
          <w:rFonts w:hint="eastAsia" w:ascii="宋体" w:hAnsi="宋体"/>
          <w:sz w:val="21"/>
          <w:szCs w:val="21"/>
        </w:rPr>
      </w:pPr>
      <w:r>
        <w:rPr>
          <w:rFonts w:hint="eastAsia" w:ascii="宋体" w:hAnsi="宋体"/>
          <w:sz w:val="21"/>
          <w:szCs w:val="21"/>
        </w:rPr>
        <w:t>（4）发生违章作业、冒险作业不听劝告的；</w:t>
      </w:r>
    </w:p>
    <w:p w14:paraId="05044F9A">
      <w:pPr>
        <w:spacing w:line="360" w:lineRule="exact"/>
        <w:jc w:val="left"/>
        <w:rPr>
          <w:rFonts w:hint="eastAsia" w:ascii="宋体" w:hAnsi="宋体"/>
          <w:sz w:val="21"/>
          <w:szCs w:val="21"/>
        </w:rPr>
      </w:pPr>
      <w:r>
        <w:rPr>
          <w:rFonts w:hint="eastAsia" w:ascii="宋体" w:hAnsi="宋体"/>
          <w:sz w:val="21"/>
          <w:szCs w:val="21"/>
        </w:rPr>
        <w:t>（5）施工现场脏、乱、差，不能满足安全和文明施工要求的。</w:t>
      </w:r>
    </w:p>
    <w:p w14:paraId="578C7756">
      <w:pPr>
        <w:spacing w:line="360" w:lineRule="exact"/>
        <w:jc w:val="left"/>
        <w:rPr>
          <w:rFonts w:hint="eastAsia" w:ascii="宋体" w:hAnsi="宋体"/>
          <w:b/>
          <w:sz w:val="21"/>
          <w:szCs w:val="21"/>
        </w:rPr>
      </w:pPr>
      <w:r>
        <w:rPr>
          <w:rFonts w:hint="eastAsia" w:ascii="宋体" w:hAnsi="宋体"/>
          <w:b/>
          <w:sz w:val="21"/>
          <w:szCs w:val="21"/>
        </w:rPr>
        <w:t>第三条 承包人安全责任：</w:t>
      </w:r>
    </w:p>
    <w:p w14:paraId="1872D981">
      <w:pPr>
        <w:spacing w:line="360" w:lineRule="exact"/>
        <w:ind w:firstLine="420" w:firstLineChars="200"/>
        <w:jc w:val="left"/>
        <w:rPr>
          <w:rFonts w:hint="eastAsia" w:ascii="宋体" w:hAnsi="宋体"/>
          <w:sz w:val="21"/>
          <w:szCs w:val="21"/>
        </w:rPr>
      </w:pPr>
      <w:r>
        <w:rPr>
          <w:rFonts w:hint="eastAsia" w:ascii="宋体" w:hAnsi="宋体"/>
          <w:sz w:val="21"/>
          <w:szCs w:val="21"/>
        </w:rPr>
        <w:t>承包人作为工程项目的承包单位，对工程施工过程中发生的人身伤害、设备损坏事故承担安全责任。承包人应切实履行以下安全责任：</w:t>
      </w:r>
    </w:p>
    <w:p w14:paraId="09F4F97F">
      <w:pPr>
        <w:spacing w:line="360" w:lineRule="exact"/>
        <w:jc w:val="left"/>
        <w:rPr>
          <w:rFonts w:hint="eastAsia" w:ascii="宋体" w:hAnsi="宋体"/>
          <w:sz w:val="21"/>
          <w:szCs w:val="21"/>
        </w:rPr>
      </w:pPr>
      <w:r>
        <w:rPr>
          <w:rFonts w:hint="eastAsia" w:ascii="宋体" w:hAnsi="宋体"/>
          <w:sz w:val="21"/>
          <w:szCs w:val="21"/>
        </w:rPr>
        <w:t>1、承包人提供的承包工程要求的相关资质证明材料应真实、合法、有效。</w:t>
      </w:r>
    </w:p>
    <w:p w14:paraId="64B71184">
      <w:pPr>
        <w:spacing w:line="360" w:lineRule="exact"/>
        <w:jc w:val="left"/>
        <w:rPr>
          <w:rFonts w:hint="eastAsia" w:ascii="宋体" w:hAnsi="宋体"/>
          <w:sz w:val="21"/>
          <w:szCs w:val="21"/>
        </w:rPr>
      </w:pPr>
      <w:r>
        <w:rPr>
          <w:rFonts w:hint="eastAsia" w:ascii="宋体" w:hAnsi="宋体"/>
          <w:sz w:val="21"/>
          <w:szCs w:val="21"/>
        </w:rPr>
        <w:t>2、承包人必须贯彻执行国家有关安全生产的法律法规，必须制定相应的安全管理制度；严格执行《电业安全工作规程》、《电力建设安全工作规程》、《电力设备典型消防规程》等有关电力生产规程和发包人关于工作票制度及其他安全生产规定制度。</w:t>
      </w:r>
    </w:p>
    <w:p w14:paraId="68074615">
      <w:pPr>
        <w:spacing w:line="360" w:lineRule="exact"/>
        <w:jc w:val="left"/>
        <w:rPr>
          <w:rFonts w:hint="eastAsia" w:ascii="宋体" w:hAnsi="宋体"/>
          <w:sz w:val="21"/>
          <w:szCs w:val="21"/>
        </w:rPr>
      </w:pPr>
      <w:r>
        <w:rPr>
          <w:rFonts w:hint="eastAsia" w:ascii="宋体" w:hAnsi="宋体"/>
          <w:sz w:val="21"/>
          <w:szCs w:val="21"/>
        </w:rPr>
        <w:t>3、现场施工应遵守国家和地方关于劳动安全，劳务用工法律法规及规章制度，保证其用工的合法性。承包人必须按国家有关规定，为施工人员进行人身保险，配备合格的劳动防护用品、安全用具。</w:t>
      </w:r>
    </w:p>
    <w:p w14:paraId="2D5F4109">
      <w:pPr>
        <w:spacing w:line="360" w:lineRule="exact"/>
        <w:jc w:val="left"/>
        <w:rPr>
          <w:rFonts w:hint="eastAsia" w:ascii="宋体" w:hAnsi="宋体"/>
          <w:sz w:val="21"/>
          <w:szCs w:val="21"/>
        </w:rPr>
      </w:pPr>
      <w:r>
        <w:rPr>
          <w:rFonts w:hint="eastAsia" w:ascii="宋体" w:hAnsi="宋体"/>
          <w:sz w:val="21"/>
          <w:szCs w:val="21"/>
        </w:rPr>
        <w:t xml:space="preserve">4、施工期间，承包人应设有专职安监人员（少于30人者设兼职）。承包人指派 </w:t>
      </w:r>
      <w:r>
        <w:rPr>
          <w:rFonts w:hint="eastAsia" w:ascii="宋体" w:hAnsi="宋体"/>
          <w:sz w:val="21"/>
          <w:szCs w:val="21"/>
          <w:u w:val="single"/>
        </w:rPr>
        <w:t>葛永建</w:t>
      </w:r>
      <w:r>
        <w:rPr>
          <w:rFonts w:hint="eastAsia" w:ascii="宋体" w:hAnsi="宋体"/>
          <w:b/>
          <w:sz w:val="21"/>
          <w:szCs w:val="21"/>
          <w:u w:val="single"/>
        </w:rPr>
        <w:t xml:space="preserve"> </w:t>
      </w:r>
      <w:r>
        <w:rPr>
          <w:rFonts w:hint="eastAsia" w:ascii="宋体" w:hAnsi="宋体"/>
          <w:sz w:val="21"/>
          <w:szCs w:val="21"/>
        </w:rPr>
        <w:t>作为安全工作联系人。</w:t>
      </w:r>
    </w:p>
    <w:p w14:paraId="6DBF05AE">
      <w:pPr>
        <w:spacing w:line="360" w:lineRule="exact"/>
        <w:jc w:val="left"/>
        <w:rPr>
          <w:rFonts w:hint="eastAsia" w:ascii="宋体" w:hAnsi="宋体"/>
          <w:sz w:val="21"/>
          <w:szCs w:val="21"/>
        </w:rPr>
      </w:pPr>
      <w:r>
        <w:rPr>
          <w:rFonts w:hint="eastAsia" w:ascii="宋体" w:hAnsi="宋体"/>
          <w:sz w:val="21"/>
          <w:szCs w:val="21"/>
        </w:rPr>
        <w:t>5、承包人一切施工活动，必须编制安全施工措施，施工前对全体施工人员进行全面的安全技术交底，并在整个施工过程正确、完整地执行，无措施或未交底严禁布置施工。</w:t>
      </w:r>
    </w:p>
    <w:p w14:paraId="7A2C1CBD">
      <w:pPr>
        <w:spacing w:line="360" w:lineRule="exact"/>
        <w:jc w:val="left"/>
        <w:rPr>
          <w:rFonts w:hint="eastAsia" w:ascii="宋体" w:hAnsi="宋体"/>
          <w:sz w:val="21"/>
          <w:szCs w:val="21"/>
        </w:rPr>
      </w:pPr>
      <w:r>
        <w:rPr>
          <w:rFonts w:hint="eastAsia" w:ascii="宋体" w:hAnsi="宋体"/>
          <w:sz w:val="21"/>
          <w:szCs w:val="21"/>
        </w:rPr>
        <w:t>6、承包人用于本工程项目的施工机械、工器具及安全防护用品的数量和质量必须满足施工需要，并经有资质检验单位检验符合安全规定，承包人对因使用工器具不当所造成的人员伤害及设备损坏负责。</w:t>
      </w:r>
    </w:p>
    <w:p w14:paraId="5C005509">
      <w:pPr>
        <w:spacing w:line="360" w:lineRule="exact"/>
        <w:jc w:val="left"/>
        <w:rPr>
          <w:rFonts w:hint="eastAsia" w:ascii="宋体" w:hAnsi="宋体"/>
          <w:sz w:val="21"/>
          <w:szCs w:val="21"/>
        </w:rPr>
      </w:pPr>
      <w:r>
        <w:rPr>
          <w:rFonts w:hint="eastAsia" w:ascii="宋体" w:hAnsi="宋体"/>
          <w:sz w:val="21"/>
          <w:szCs w:val="21"/>
        </w:rPr>
        <w:t>7、开工前，承包人应组织全体施工人员进行安全教育，并将参加安全教育人员名单（包括临时增补或调换人员）与考试成绩报给发包人备案。特种作业人员必须持有有关部门核发的合格有效的上岗资格证书。开工前，承包人应到发包人办理临时出入证并佩戴出入证进入施工现场，出入证严禁转借他人。</w:t>
      </w:r>
    </w:p>
    <w:p w14:paraId="33821E34">
      <w:pPr>
        <w:spacing w:line="360" w:lineRule="exact"/>
        <w:jc w:val="left"/>
        <w:rPr>
          <w:rFonts w:hint="eastAsia" w:ascii="宋体" w:hAnsi="宋体"/>
          <w:sz w:val="21"/>
          <w:szCs w:val="21"/>
        </w:rPr>
      </w:pPr>
      <w:r>
        <w:rPr>
          <w:rFonts w:hint="eastAsia" w:ascii="宋体" w:hAnsi="宋体"/>
          <w:sz w:val="21"/>
          <w:szCs w:val="21"/>
        </w:rPr>
        <w:t>8、开工前，承包人应组织人员对施工区域、作业环境及使用发包人提供的设施设备、工器具等进行检查，确认符合安全要求，一经开工，就表示承包人已确认施工现场、作业环境、设施设备、工器具符合安全要求并处于安全状态。</w:t>
      </w:r>
    </w:p>
    <w:p w14:paraId="21D4BA11">
      <w:pPr>
        <w:spacing w:line="360" w:lineRule="exact"/>
        <w:jc w:val="left"/>
        <w:rPr>
          <w:rFonts w:hint="eastAsia" w:ascii="宋体" w:hAnsi="宋体"/>
          <w:sz w:val="21"/>
          <w:szCs w:val="21"/>
        </w:rPr>
      </w:pPr>
      <w:r>
        <w:rPr>
          <w:rFonts w:hint="eastAsia" w:ascii="宋体" w:hAnsi="宋体"/>
          <w:sz w:val="21"/>
          <w:szCs w:val="21"/>
        </w:rPr>
        <w:t>9、承包人应在施工范围内装设临时围栏或警告标志，不得超越指定的施工范围进行施工，禁止无关人员进入施工现场。未经发包人同意，承包人不得擅自使用与施工无关的发包人设施设备；不得擅自拆除、变更发包人防护设施及标示。</w:t>
      </w:r>
    </w:p>
    <w:p w14:paraId="6A77D52E">
      <w:pPr>
        <w:spacing w:line="360" w:lineRule="exact"/>
        <w:jc w:val="left"/>
        <w:rPr>
          <w:rFonts w:hint="eastAsia" w:ascii="宋体" w:hAnsi="宋体"/>
          <w:sz w:val="21"/>
          <w:szCs w:val="21"/>
        </w:rPr>
      </w:pPr>
      <w:r>
        <w:rPr>
          <w:rFonts w:hint="eastAsia" w:ascii="宋体" w:hAnsi="宋体"/>
          <w:sz w:val="21"/>
          <w:szCs w:val="21"/>
        </w:rPr>
        <w:t>10、承包人施工过程中需使用电、水源，应事先与发包人取得联系，不得私拉乱接。中断作业或遇故障应立即切断有关开关。</w:t>
      </w:r>
    </w:p>
    <w:p w14:paraId="4695B425">
      <w:pPr>
        <w:spacing w:line="360" w:lineRule="exact"/>
        <w:jc w:val="left"/>
        <w:rPr>
          <w:rFonts w:hint="eastAsia" w:ascii="宋体" w:hAnsi="宋体"/>
          <w:sz w:val="21"/>
          <w:szCs w:val="21"/>
        </w:rPr>
      </w:pPr>
      <w:r>
        <w:rPr>
          <w:rFonts w:hint="eastAsia" w:ascii="宋体" w:hAnsi="宋体"/>
          <w:sz w:val="21"/>
          <w:szCs w:val="21"/>
        </w:rPr>
        <w:t>11、承包人施工过程中应做到工完、料尽、场地清，确保安全文明施工。</w:t>
      </w:r>
    </w:p>
    <w:p w14:paraId="700525A1">
      <w:pPr>
        <w:spacing w:line="360" w:lineRule="exact"/>
        <w:jc w:val="left"/>
        <w:rPr>
          <w:rFonts w:hint="eastAsia" w:ascii="宋体" w:hAnsi="宋体"/>
          <w:sz w:val="21"/>
          <w:szCs w:val="21"/>
        </w:rPr>
      </w:pPr>
      <w:r>
        <w:rPr>
          <w:rFonts w:hint="eastAsia" w:ascii="宋体" w:hAnsi="宋体"/>
          <w:sz w:val="21"/>
          <w:szCs w:val="21"/>
        </w:rPr>
        <w:t>12、承包人必须接受发包人的监督、检查，对发包人提出的安全整改意见必须及时整改。</w:t>
      </w:r>
    </w:p>
    <w:p w14:paraId="42D56862">
      <w:pPr>
        <w:spacing w:line="360" w:lineRule="exact"/>
        <w:jc w:val="left"/>
        <w:rPr>
          <w:rFonts w:hint="eastAsia" w:ascii="宋体" w:hAnsi="宋体"/>
          <w:sz w:val="21"/>
          <w:szCs w:val="21"/>
        </w:rPr>
      </w:pPr>
      <w:r>
        <w:rPr>
          <w:rFonts w:hint="eastAsia" w:ascii="宋体" w:hAnsi="宋体"/>
          <w:sz w:val="21"/>
          <w:szCs w:val="21"/>
        </w:rPr>
        <w:t>13、承包人施工过程中发生人身伤亡、电网和设备事故或危及生产运行的不安全情况，应立即报告发包人，并积极配合调查。</w:t>
      </w:r>
    </w:p>
    <w:p w14:paraId="4B0287F3">
      <w:pPr>
        <w:spacing w:line="360" w:lineRule="exact"/>
        <w:ind w:firstLine="420" w:firstLineChars="200"/>
        <w:jc w:val="left"/>
        <w:rPr>
          <w:rFonts w:hint="eastAsia" w:ascii="宋体" w:hAnsi="宋体"/>
          <w:sz w:val="21"/>
          <w:szCs w:val="21"/>
        </w:rPr>
      </w:pPr>
      <w:r>
        <w:rPr>
          <w:rFonts w:hint="eastAsia" w:ascii="宋体" w:hAnsi="宋体"/>
          <w:sz w:val="21"/>
          <w:szCs w:val="21"/>
        </w:rPr>
        <w:t>承包人应执行国务院《特别重大事故调查程序暂行规定》、《企业职工伤亡事故报告和处理规定》和《电业生产事故调查规程》。对人员在施工中发生的人身伤亡事故，还必须立即用电话、电传或电报等向事故所在地的政府安全管理部门、公安部门、工会报告，按规定组织调查处理，并由承包人统计上报；如发生国务院《特别重大事故调查程序暂时规定》所规定的特大事故，还应立即通知当地政府、公安部门，并按要求派人保护现场。</w:t>
      </w:r>
    </w:p>
    <w:p w14:paraId="0D725142">
      <w:pPr>
        <w:spacing w:line="360" w:lineRule="exact"/>
        <w:ind w:firstLine="420" w:firstLineChars="200"/>
        <w:jc w:val="left"/>
        <w:rPr>
          <w:rFonts w:hint="eastAsia" w:ascii="宋体" w:hAnsi="宋体"/>
          <w:sz w:val="21"/>
          <w:szCs w:val="21"/>
        </w:rPr>
      </w:pPr>
      <w:r>
        <w:rPr>
          <w:rFonts w:hint="eastAsia" w:ascii="宋体" w:hAnsi="宋体"/>
          <w:sz w:val="21"/>
          <w:szCs w:val="21"/>
        </w:rPr>
        <w:t>承包人应将事故调查组的事故调查报告及承包人事故处理意见提交发包人备案。</w:t>
      </w:r>
    </w:p>
    <w:p w14:paraId="6F710BA4">
      <w:pPr>
        <w:spacing w:line="360" w:lineRule="exact"/>
        <w:jc w:val="left"/>
        <w:rPr>
          <w:rFonts w:hint="eastAsia" w:ascii="宋体" w:hAnsi="宋体"/>
          <w:sz w:val="21"/>
          <w:szCs w:val="21"/>
        </w:rPr>
      </w:pPr>
      <w:r>
        <w:rPr>
          <w:rFonts w:hint="eastAsia" w:ascii="宋体" w:hAnsi="宋体"/>
          <w:sz w:val="21"/>
          <w:szCs w:val="21"/>
        </w:rPr>
        <w:t>14、承包人根据发包人的要求在施工现场设置围墙、安全防护栏和安全警示牌。承包人对闯入施工现场的学生等于施工无关人员有急事阻止的责任。施工现场的安全问题由承包人负责。承包人遇事应主动联系发包人。</w:t>
      </w:r>
    </w:p>
    <w:p w14:paraId="05903E86">
      <w:pPr>
        <w:spacing w:line="360" w:lineRule="exact"/>
        <w:jc w:val="left"/>
        <w:rPr>
          <w:rFonts w:hint="eastAsia" w:ascii="宋体" w:hAnsi="宋体"/>
          <w:sz w:val="21"/>
          <w:szCs w:val="21"/>
        </w:rPr>
      </w:pPr>
      <w:r>
        <w:rPr>
          <w:rFonts w:hint="eastAsia" w:ascii="宋体" w:hAnsi="宋体"/>
          <w:sz w:val="21"/>
          <w:szCs w:val="21"/>
        </w:rPr>
        <w:t>15、承包人应注意文明施工，不得影响发包人的正常工作。</w:t>
      </w:r>
    </w:p>
    <w:p w14:paraId="6E5416E3">
      <w:pPr>
        <w:spacing w:line="360" w:lineRule="exact"/>
        <w:jc w:val="left"/>
        <w:rPr>
          <w:rFonts w:hint="eastAsia" w:ascii="宋体" w:hAnsi="宋体"/>
          <w:sz w:val="21"/>
          <w:szCs w:val="21"/>
        </w:rPr>
      </w:pPr>
      <w:r>
        <w:rPr>
          <w:rFonts w:hint="eastAsia" w:ascii="宋体" w:hAnsi="宋体"/>
          <w:b/>
          <w:sz w:val="21"/>
          <w:szCs w:val="21"/>
        </w:rPr>
        <w:t>第四条</w:t>
      </w:r>
      <w:r>
        <w:rPr>
          <w:rFonts w:hint="eastAsia" w:ascii="宋体" w:hAnsi="宋体"/>
          <w:sz w:val="21"/>
          <w:szCs w:val="21"/>
        </w:rPr>
        <w:t xml:space="preserve"> 甲乙双方联系方式及响应时间：甲乙双方应以工作联系单、传真、电传等书面形式送达对方。双方在接到对方的书面联系时，应于4小时内予以响应。</w:t>
      </w:r>
    </w:p>
    <w:p w14:paraId="71E23ED3">
      <w:pPr>
        <w:spacing w:line="360" w:lineRule="exact"/>
        <w:jc w:val="left"/>
        <w:rPr>
          <w:rFonts w:hint="eastAsia" w:ascii="宋体" w:hAnsi="宋体"/>
          <w:b/>
          <w:sz w:val="21"/>
          <w:szCs w:val="21"/>
        </w:rPr>
      </w:pPr>
      <w:r>
        <w:rPr>
          <w:rFonts w:hint="eastAsia" w:ascii="宋体" w:hAnsi="宋体"/>
          <w:b/>
          <w:sz w:val="21"/>
          <w:szCs w:val="21"/>
        </w:rPr>
        <w:t>第五条 施工安全保证金</w:t>
      </w:r>
    </w:p>
    <w:p w14:paraId="4534730C">
      <w:pPr>
        <w:spacing w:line="360" w:lineRule="exact"/>
        <w:ind w:firstLine="420" w:firstLineChars="200"/>
        <w:jc w:val="left"/>
        <w:rPr>
          <w:rFonts w:hint="eastAsia" w:ascii="宋体" w:hAnsi="宋体"/>
          <w:sz w:val="21"/>
          <w:szCs w:val="21"/>
        </w:rPr>
      </w:pPr>
      <w:r>
        <w:rPr>
          <w:rFonts w:hint="eastAsia" w:ascii="宋体" w:hAnsi="宋体"/>
          <w:sz w:val="21"/>
          <w:szCs w:val="21"/>
        </w:rPr>
        <w:t>承包人在施工过程中未发生人身重伤、电网和设备及以上事故，于工程竣工验收合格后将该保证金全额退还；若施工过程中发生下列有承包人责任的安全事故，扣除相应数额的安全保证金：</w:t>
      </w:r>
    </w:p>
    <w:p w14:paraId="785F51CA">
      <w:pPr>
        <w:spacing w:line="360" w:lineRule="exact"/>
        <w:jc w:val="left"/>
        <w:rPr>
          <w:rFonts w:hint="eastAsia" w:ascii="宋体" w:hAnsi="宋体"/>
          <w:sz w:val="21"/>
          <w:szCs w:val="21"/>
        </w:rPr>
      </w:pPr>
      <w:r>
        <w:rPr>
          <w:rFonts w:hint="eastAsia" w:ascii="宋体" w:hAnsi="宋体"/>
          <w:sz w:val="21"/>
          <w:szCs w:val="21"/>
        </w:rPr>
        <w:t>1、发生人身死亡事故、电网和设备重大事故，扣除全部安全保证金；</w:t>
      </w:r>
    </w:p>
    <w:p w14:paraId="4EA76F1B">
      <w:pPr>
        <w:spacing w:line="360" w:lineRule="exact"/>
        <w:jc w:val="left"/>
        <w:rPr>
          <w:rFonts w:hint="eastAsia" w:ascii="宋体" w:hAnsi="宋体"/>
          <w:sz w:val="21"/>
          <w:szCs w:val="21"/>
        </w:rPr>
      </w:pPr>
      <w:r>
        <w:rPr>
          <w:rFonts w:hint="eastAsia" w:ascii="宋体" w:hAnsi="宋体"/>
          <w:sz w:val="21"/>
          <w:szCs w:val="21"/>
        </w:rPr>
        <w:t>2、发生人身重伤事故、电网和设备事故，扣除50%安全保证金；</w:t>
      </w:r>
    </w:p>
    <w:p w14:paraId="7AEDAB62">
      <w:pPr>
        <w:spacing w:line="360" w:lineRule="exact"/>
        <w:jc w:val="left"/>
        <w:rPr>
          <w:rFonts w:hint="eastAsia" w:ascii="宋体" w:hAnsi="宋体"/>
          <w:sz w:val="21"/>
          <w:szCs w:val="21"/>
        </w:rPr>
      </w:pPr>
      <w:r>
        <w:rPr>
          <w:rFonts w:hint="eastAsia" w:ascii="宋体" w:hAnsi="宋体"/>
          <w:sz w:val="21"/>
          <w:szCs w:val="21"/>
        </w:rPr>
        <w:t>3、承包人人员发生违章行为的经济处罚，按处罚规定从安全保证金内扣除。</w:t>
      </w:r>
    </w:p>
    <w:p w14:paraId="72E400F2">
      <w:pPr>
        <w:spacing w:line="360" w:lineRule="exact"/>
        <w:jc w:val="left"/>
        <w:rPr>
          <w:rFonts w:hint="eastAsia" w:ascii="宋体" w:hAnsi="宋体"/>
          <w:b/>
          <w:sz w:val="21"/>
          <w:szCs w:val="21"/>
        </w:rPr>
      </w:pPr>
      <w:r>
        <w:rPr>
          <w:rFonts w:hint="eastAsia" w:ascii="宋体" w:hAnsi="宋体"/>
          <w:b/>
          <w:sz w:val="21"/>
          <w:szCs w:val="21"/>
        </w:rPr>
        <w:t>第六条 违约责任</w:t>
      </w:r>
    </w:p>
    <w:p w14:paraId="5D65E2AC">
      <w:pPr>
        <w:spacing w:line="360" w:lineRule="exact"/>
        <w:jc w:val="left"/>
        <w:rPr>
          <w:rFonts w:hint="eastAsia" w:ascii="宋体" w:hAnsi="宋体"/>
          <w:sz w:val="21"/>
          <w:szCs w:val="21"/>
        </w:rPr>
      </w:pPr>
      <w:r>
        <w:rPr>
          <w:rFonts w:hint="eastAsia" w:ascii="宋体" w:hAnsi="宋体"/>
          <w:sz w:val="21"/>
          <w:szCs w:val="21"/>
        </w:rPr>
        <w:t>1、由于发包人或承包人责任造成对方或第三方的人身伤害、设备损坏等财产损失，由责任方承担相应责任，并赔偿对方或第三方因此造成的全部损失。</w:t>
      </w:r>
    </w:p>
    <w:p w14:paraId="038A3427">
      <w:pPr>
        <w:spacing w:line="360" w:lineRule="exact"/>
        <w:jc w:val="left"/>
        <w:rPr>
          <w:rFonts w:hint="eastAsia" w:ascii="宋体" w:hAnsi="宋体"/>
          <w:sz w:val="21"/>
          <w:szCs w:val="21"/>
        </w:rPr>
      </w:pPr>
      <w:r>
        <w:rPr>
          <w:rFonts w:hint="eastAsia" w:ascii="宋体" w:hAnsi="宋体"/>
          <w:sz w:val="21"/>
          <w:szCs w:val="21"/>
        </w:rPr>
        <w:t>2、合同履行中，发现承包人提供的有关资质材料无效，发包人有权解除合同，并由承包人承担由此造成的一切损失。</w:t>
      </w:r>
    </w:p>
    <w:p w14:paraId="746BACF9">
      <w:pPr>
        <w:spacing w:line="360" w:lineRule="exact"/>
        <w:jc w:val="left"/>
        <w:rPr>
          <w:rFonts w:hint="eastAsia" w:ascii="宋体" w:hAnsi="宋体"/>
          <w:sz w:val="21"/>
          <w:szCs w:val="21"/>
        </w:rPr>
      </w:pPr>
      <w:r>
        <w:rPr>
          <w:rFonts w:hint="eastAsia" w:ascii="宋体" w:hAnsi="宋体"/>
          <w:sz w:val="21"/>
          <w:szCs w:val="21"/>
        </w:rPr>
        <w:t>3、发现承包人现场作业人员有违章行为的，比照发包人有关安全生产奖惩规定对发包人职工相类似的违章行为应扣款数额，承担相应的违约金。</w:t>
      </w:r>
    </w:p>
    <w:p w14:paraId="78DEB74D">
      <w:pPr>
        <w:spacing w:line="360" w:lineRule="exact"/>
        <w:jc w:val="left"/>
        <w:rPr>
          <w:rFonts w:hint="eastAsia" w:ascii="宋体" w:hAnsi="宋体"/>
          <w:sz w:val="21"/>
          <w:szCs w:val="21"/>
        </w:rPr>
      </w:pPr>
      <w:r>
        <w:rPr>
          <w:rFonts w:hint="eastAsia" w:ascii="宋体" w:hAnsi="宋体"/>
          <w:sz w:val="21"/>
          <w:szCs w:val="21"/>
        </w:rPr>
        <w:t>4、承包人未设置安监人员；未能正确、全面执行安全技术措施、施工组织设计；施工人员未掌握本工程项目特点及施工安全措施；用于本工程项目的施工机械、工器具及安全防护用品不能满足施工需要，发包人有权要求承包人立即停工整改，由此引起的后果及损失由承包人承担。</w:t>
      </w:r>
    </w:p>
    <w:p w14:paraId="6F80FF1B">
      <w:pPr>
        <w:spacing w:line="360" w:lineRule="exact"/>
        <w:jc w:val="left"/>
        <w:rPr>
          <w:rFonts w:hint="eastAsia" w:ascii="宋体" w:hAnsi="宋体"/>
          <w:sz w:val="21"/>
          <w:szCs w:val="21"/>
        </w:rPr>
      </w:pPr>
      <w:r>
        <w:rPr>
          <w:rFonts w:hint="eastAsia" w:ascii="宋体" w:hAnsi="宋体"/>
          <w:sz w:val="21"/>
          <w:szCs w:val="21"/>
        </w:rPr>
        <w:t>5、承包人人员安全工作规程抽考不合格，承包人应承担50元/人次的违约责任；特种作业人员无证上岗承包人应承担100元/人次的违约责任。</w:t>
      </w:r>
    </w:p>
    <w:p w14:paraId="10760CC2">
      <w:pPr>
        <w:spacing w:line="360" w:lineRule="exact"/>
        <w:jc w:val="left"/>
        <w:rPr>
          <w:rFonts w:hint="eastAsia" w:ascii="宋体" w:hAnsi="宋体"/>
          <w:sz w:val="21"/>
          <w:szCs w:val="21"/>
        </w:rPr>
      </w:pPr>
      <w:r>
        <w:rPr>
          <w:rFonts w:hint="eastAsia" w:ascii="宋体" w:hAnsi="宋体"/>
          <w:sz w:val="21"/>
          <w:szCs w:val="21"/>
        </w:rPr>
        <w:t>6、承包人使用发包人提供的设施设备、工器具等造成损坏的，应照价赔偿。</w:t>
      </w:r>
    </w:p>
    <w:p w14:paraId="5F3D9942">
      <w:pPr>
        <w:spacing w:line="360" w:lineRule="exact"/>
        <w:jc w:val="left"/>
        <w:rPr>
          <w:rFonts w:hint="eastAsia" w:ascii="宋体" w:hAnsi="宋体"/>
          <w:sz w:val="21"/>
          <w:szCs w:val="21"/>
        </w:rPr>
      </w:pPr>
      <w:r>
        <w:rPr>
          <w:rFonts w:hint="eastAsia" w:ascii="宋体" w:hAnsi="宋体"/>
          <w:sz w:val="21"/>
          <w:szCs w:val="21"/>
        </w:rPr>
        <w:t>7、承包人人员无故到其他生产区域或擅自动用发包人的设施设备等，承包人按100元至500元/人·次承担违约责任。</w:t>
      </w:r>
    </w:p>
    <w:p w14:paraId="7E46ABAB">
      <w:pPr>
        <w:spacing w:line="360" w:lineRule="exact"/>
        <w:jc w:val="left"/>
        <w:rPr>
          <w:rFonts w:hint="eastAsia" w:ascii="宋体" w:hAnsi="宋体"/>
          <w:sz w:val="21"/>
          <w:szCs w:val="21"/>
        </w:rPr>
      </w:pPr>
      <w:r>
        <w:rPr>
          <w:rFonts w:hint="eastAsia" w:ascii="宋体" w:hAnsi="宋体"/>
          <w:sz w:val="21"/>
          <w:szCs w:val="21"/>
        </w:rPr>
        <w:t>8、承包人对发包人提出的安全整改意见不及时整改，每逾期一天，承包人按200元至1000元/天承担违约责任。</w:t>
      </w:r>
    </w:p>
    <w:p w14:paraId="4C141080">
      <w:pPr>
        <w:spacing w:line="360" w:lineRule="exact"/>
        <w:jc w:val="left"/>
        <w:rPr>
          <w:rFonts w:hint="eastAsia" w:ascii="宋体" w:hAnsi="宋体"/>
          <w:sz w:val="21"/>
          <w:szCs w:val="21"/>
        </w:rPr>
      </w:pPr>
      <w:r>
        <w:rPr>
          <w:rFonts w:hint="eastAsia" w:ascii="宋体" w:hAnsi="宋体"/>
          <w:sz w:val="21"/>
          <w:szCs w:val="21"/>
        </w:rPr>
        <w:t>9、施工过程中发生人身伤亡、电网和设备事故有隐瞒行为的，除接受政府有关部门处理外，过错方应承担3000元至10000/次的违约责任。</w:t>
      </w:r>
    </w:p>
    <w:p w14:paraId="7FA3D4D3">
      <w:pPr>
        <w:spacing w:line="360" w:lineRule="exact"/>
        <w:jc w:val="left"/>
        <w:rPr>
          <w:rFonts w:hint="eastAsia" w:ascii="宋体" w:hAnsi="宋体"/>
          <w:sz w:val="21"/>
          <w:szCs w:val="21"/>
        </w:rPr>
      </w:pPr>
      <w:r>
        <w:rPr>
          <w:rFonts w:hint="eastAsia" w:ascii="宋体" w:hAnsi="宋体"/>
          <w:b/>
          <w:sz w:val="21"/>
          <w:szCs w:val="21"/>
        </w:rPr>
        <w:t xml:space="preserve">第七条 </w:t>
      </w:r>
      <w:r>
        <w:rPr>
          <w:rFonts w:hint="eastAsia" w:ascii="宋体" w:hAnsi="宋体"/>
          <w:sz w:val="21"/>
          <w:szCs w:val="21"/>
        </w:rPr>
        <w:t>甲乙双方约定的其他责任：无。</w:t>
      </w:r>
    </w:p>
    <w:p w14:paraId="6E80261B">
      <w:pPr>
        <w:numPr>
          <w:ilvl w:val="0"/>
          <w:numId w:val="6"/>
        </w:numPr>
        <w:tabs>
          <w:tab w:val="left" w:pos="0"/>
        </w:tabs>
        <w:spacing w:line="360" w:lineRule="exact"/>
        <w:jc w:val="left"/>
        <w:rPr>
          <w:rFonts w:hint="eastAsia" w:ascii="宋体" w:hAnsi="宋体"/>
          <w:sz w:val="21"/>
          <w:szCs w:val="21"/>
        </w:rPr>
      </w:pPr>
      <w:r>
        <w:rPr>
          <w:rFonts w:hint="eastAsia" w:ascii="宋体" w:hAnsi="宋体"/>
          <w:sz w:val="21"/>
          <w:szCs w:val="21"/>
        </w:rPr>
        <w:t>本协议执行过程中，如发生争议，由双方协商、调解解决；若经协商、调解不能解决争议的，任何一方可以向当地人民法院提出诉讼。</w:t>
      </w:r>
    </w:p>
    <w:p w14:paraId="0246E7F3">
      <w:pPr>
        <w:numPr>
          <w:ilvl w:val="0"/>
          <w:numId w:val="6"/>
        </w:numPr>
        <w:spacing w:line="360" w:lineRule="exact"/>
        <w:jc w:val="left"/>
        <w:rPr>
          <w:rFonts w:hint="eastAsia" w:ascii="宋体" w:hAnsi="宋体"/>
          <w:sz w:val="21"/>
          <w:szCs w:val="21"/>
        </w:rPr>
      </w:pPr>
      <w:r>
        <w:rPr>
          <w:rFonts w:hint="eastAsia" w:ascii="宋体" w:hAnsi="宋体"/>
          <w:sz w:val="21"/>
          <w:szCs w:val="21"/>
        </w:rPr>
        <w:t>甲乙双方必须严格执行本协议，本协议的法律效力独立于合同。</w:t>
      </w:r>
    </w:p>
    <w:p w14:paraId="17BB3D3C">
      <w:pPr>
        <w:numPr>
          <w:ilvl w:val="0"/>
          <w:numId w:val="6"/>
        </w:numPr>
        <w:spacing w:line="360" w:lineRule="exact"/>
        <w:jc w:val="left"/>
        <w:rPr>
          <w:rFonts w:hint="eastAsia" w:ascii="宋体" w:hAnsi="宋体"/>
          <w:sz w:val="21"/>
          <w:szCs w:val="21"/>
        </w:rPr>
      </w:pPr>
      <w:r>
        <w:rPr>
          <w:rFonts w:hint="eastAsia" w:ascii="宋体" w:hAnsi="宋体"/>
          <w:sz w:val="21"/>
          <w:szCs w:val="21"/>
        </w:rPr>
        <w:t>本协议有效期：与施工合同期限一致。</w:t>
      </w:r>
    </w:p>
    <w:p w14:paraId="616295AF">
      <w:pPr>
        <w:spacing w:line="360" w:lineRule="auto"/>
        <w:rPr>
          <w:rFonts w:hint="eastAsia" w:ascii="宋体" w:hAnsi="宋体"/>
          <w:b/>
          <w:sz w:val="21"/>
          <w:szCs w:val="21"/>
        </w:rPr>
      </w:pPr>
      <w:bookmarkStart w:id="522" w:name="_Toc163484941"/>
    </w:p>
    <w:p w14:paraId="30EECB4E">
      <w:pPr>
        <w:rPr>
          <w:rFonts w:hint="eastAsia" w:ascii="宋体" w:hAnsi="宋体"/>
          <w:b/>
          <w:sz w:val="21"/>
          <w:szCs w:val="21"/>
        </w:rPr>
      </w:pPr>
      <w:r>
        <w:rPr>
          <w:rFonts w:hint="eastAsia" w:ascii="宋体" w:hAnsi="宋体"/>
          <w:b/>
          <w:sz w:val="21"/>
          <w:szCs w:val="21"/>
        </w:rPr>
        <w:br w:type="page"/>
      </w:r>
    </w:p>
    <w:p w14:paraId="1D94EB7F">
      <w:pPr>
        <w:spacing w:line="360" w:lineRule="auto"/>
        <w:jc w:val="center"/>
        <w:rPr>
          <w:rFonts w:hint="eastAsia" w:ascii="宋体" w:hAnsi="宋体"/>
          <w:b/>
          <w:sz w:val="21"/>
          <w:szCs w:val="21"/>
        </w:rPr>
      </w:pPr>
      <w:r>
        <w:rPr>
          <w:rFonts w:hint="eastAsia" w:ascii="宋体" w:hAnsi="宋体"/>
          <w:b/>
          <w:sz w:val="21"/>
          <w:szCs w:val="21"/>
        </w:rPr>
        <w:t>文明施工责任协议书</w:t>
      </w:r>
      <w:bookmarkEnd w:id="522"/>
    </w:p>
    <w:p w14:paraId="5F8AA813">
      <w:pPr>
        <w:spacing w:line="360" w:lineRule="auto"/>
        <w:jc w:val="left"/>
        <w:rPr>
          <w:rFonts w:hint="eastAsia" w:ascii="宋体" w:hAnsi="宋体" w:eastAsia="宋体"/>
          <w:sz w:val="21"/>
          <w:szCs w:val="21"/>
          <w:lang w:eastAsia="zh-CN"/>
        </w:rPr>
      </w:pPr>
      <w:r>
        <w:rPr>
          <w:rFonts w:hint="eastAsia" w:ascii="宋体" w:hAnsi="宋体"/>
          <w:sz w:val="21"/>
          <w:szCs w:val="21"/>
        </w:rPr>
        <w:t>发包人：</w:t>
      </w:r>
      <w:r>
        <w:rPr>
          <w:rFonts w:hint="eastAsia" w:ascii="宋体" w:hAnsi="宋体"/>
          <w:sz w:val="21"/>
          <w:szCs w:val="21"/>
          <w:lang w:eastAsia="zh-CN"/>
        </w:rPr>
        <w:t>浙江省金华监狱</w:t>
      </w:r>
    </w:p>
    <w:p w14:paraId="7D993CC1">
      <w:pPr>
        <w:spacing w:line="360" w:lineRule="auto"/>
        <w:jc w:val="left"/>
        <w:rPr>
          <w:rFonts w:ascii="宋体" w:hAnsi="宋体"/>
          <w:sz w:val="21"/>
          <w:szCs w:val="21"/>
        </w:rPr>
      </w:pPr>
      <w:r>
        <w:rPr>
          <w:rFonts w:hint="eastAsia" w:ascii="宋体" w:hAnsi="宋体"/>
          <w:sz w:val="21"/>
          <w:szCs w:val="21"/>
        </w:rPr>
        <w:t xml:space="preserve">承包人： </w:t>
      </w:r>
    </w:p>
    <w:p w14:paraId="2120036C">
      <w:pPr>
        <w:spacing w:line="360" w:lineRule="auto"/>
        <w:jc w:val="left"/>
        <w:rPr>
          <w:rFonts w:hint="eastAsia" w:ascii="宋体" w:hAnsi="宋体" w:eastAsia="宋体"/>
          <w:sz w:val="21"/>
          <w:szCs w:val="21"/>
          <w:lang w:eastAsia="zh-CN"/>
        </w:rPr>
      </w:pPr>
      <w:r>
        <w:rPr>
          <w:rFonts w:hint="eastAsia" w:ascii="宋体" w:hAnsi="宋体"/>
          <w:sz w:val="21"/>
          <w:szCs w:val="21"/>
        </w:rPr>
        <w:t>项目名称：</w:t>
      </w:r>
      <w:r>
        <w:rPr>
          <w:rFonts w:hint="eastAsia" w:ascii="宋体" w:hAnsi="宋体"/>
          <w:sz w:val="21"/>
          <w:szCs w:val="21"/>
          <w:lang w:eastAsia="zh-CN"/>
        </w:rPr>
        <w:t>浙江省金华监狱东关押点操场维修工程</w:t>
      </w:r>
    </w:p>
    <w:p w14:paraId="5979D355">
      <w:pPr>
        <w:spacing w:line="360" w:lineRule="auto"/>
        <w:ind w:firstLine="420" w:firstLineChars="200"/>
        <w:jc w:val="left"/>
        <w:rPr>
          <w:rFonts w:ascii="宋体" w:hAnsi="宋体"/>
          <w:sz w:val="21"/>
          <w:szCs w:val="21"/>
        </w:rPr>
      </w:pPr>
      <w:r>
        <w:rPr>
          <w:rFonts w:hint="eastAsia" w:ascii="宋体" w:hAnsi="宋体"/>
          <w:sz w:val="21"/>
          <w:szCs w:val="21"/>
        </w:rPr>
        <w:t>为认真做好工程建设施工区域内的文明施工，现经甲、乙双方协商同意，明确在文明施工和文明施工管理中的各自职责，并签订如下协议。</w:t>
      </w:r>
    </w:p>
    <w:p w14:paraId="72291824">
      <w:pPr>
        <w:spacing w:line="360" w:lineRule="auto"/>
        <w:jc w:val="left"/>
        <w:rPr>
          <w:rFonts w:ascii="宋体" w:hAnsi="宋体"/>
          <w:sz w:val="21"/>
          <w:szCs w:val="21"/>
        </w:rPr>
      </w:pPr>
      <w:r>
        <w:rPr>
          <w:rFonts w:ascii="宋体" w:hAnsi="宋体"/>
          <w:sz w:val="21"/>
          <w:szCs w:val="21"/>
        </w:rPr>
        <w:t xml:space="preserve">  </w:t>
      </w:r>
      <w:r>
        <w:rPr>
          <w:rFonts w:hint="eastAsia" w:ascii="宋体" w:hAnsi="宋体"/>
          <w:sz w:val="21"/>
          <w:szCs w:val="21"/>
        </w:rPr>
        <w:t>一、双方同意在在工程管理和工程建设中必须坚持社会效益第一，经济效益和社会效益相—致，“方便人民生活，有利于发展生产、保护生态环境”的原则，坚持便民、利民、为民服务的宗旨。搞好工程建设中的文明施工。</w:t>
      </w:r>
    </w:p>
    <w:p w14:paraId="59D41129">
      <w:pPr>
        <w:spacing w:line="360" w:lineRule="auto"/>
        <w:jc w:val="left"/>
        <w:rPr>
          <w:rFonts w:ascii="宋体" w:hAnsi="宋体"/>
          <w:sz w:val="21"/>
          <w:szCs w:val="21"/>
        </w:rPr>
      </w:pPr>
      <w:r>
        <w:rPr>
          <w:rFonts w:ascii="宋体" w:hAnsi="宋体"/>
          <w:sz w:val="21"/>
          <w:szCs w:val="21"/>
        </w:rPr>
        <w:t xml:space="preserve">  </w:t>
      </w:r>
      <w:r>
        <w:rPr>
          <w:rFonts w:hint="eastAsia" w:ascii="宋体" w:hAnsi="宋体"/>
          <w:sz w:val="21"/>
          <w:szCs w:val="21"/>
        </w:rPr>
        <w:t>二、双方要认真贯彻”建设单位负责，施工单位实施，地方政府监督”的文明施工原则。现场由发包人使用人代表牵头，建立三方共同参与的文明施工管理小组，负责日常管理协调工作，争创文明工地。发包人按合同有关要求，及时拨付有关费用并按市有关创建文明工地的规定，组织、指导、检查、考核、和开展选评工作，创建活动的实施由承包人负责。</w:t>
      </w:r>
    </w:p>
    <w:p w14:paraId="6ACFABE2">
      <w:pPr>
        <w:spacing w:line="360" w:lineRule="auto"/>
        <w:jc w:val="left"/>
        <w:rPr>
          <w:rFonts w:ascii="宋体" w:hAnsi="宋体"/>
          <w:sz w:val="21"/>
          <w:szCs w:val="21"/>
        </w:rPr>
      </w:pPr>
      <w:r>
        <w:rPr>
          <w:rFonts w:ascii="宋体" w:hAnsi="宋体"/>
          <w:sz w:val="21"/>
          <w:szCs w:val="21"/>
        </w:rPr>
        <w:t xml:space="preserve">  </w:t>
      </w:r>
      <w:r>
        <w:rPr>
          <w:rFonts w:hint="eastAsia" w:ascii="宋体" w:hAnsi="宋体"/>
          <w:sz w:val="21"/>
          <w:szCs w:val="21"/>
        </w:rPr>
        <w:t>三、承包人应遵守如下规定：</w:t>
      </w:r>
    </w:p>
    <w:p w14:paraId="16FC8013">
      <w:pPr>
        <w:spacing w:line="360" w:lineRule="auto"/>
        <w:jc w:val="left"/>
        <w:rPr>
          <w:rFonts w:ascii="宋体" w:hAnsi="宋体"/>
          <w:sz w:val="21"/>
          <w:szCs w:val="21"/>
        </w:rPr>
      </w:pPr>
      <w:r>
        <w:rPr>
          <w:rFonts w:hint="eastAsia" w:ascii="宋体" w:hAnsi="宋体"/>
          <w:sz w:val="21"/>
          <w:szCs w:val="21"/>
        </w:rPr>
        <w:t>1、根据工程的特点，编制文明施工实施方案，在开工前5日内，将文明施工实施方案报发包人备案。</w:t>
      </w:r>
    </w:p>
    <w:p w14:paraId="3A1CEFFE">
      <w:pPr>
        <w:spacing w:line="360" w:lineRule="auto"/>
        <w:jc w:val="left"/>
        <w:rPr>
          <w:rFonts w:ascii="宋体" w:hAnsi="宋体"/>
          <w:sz w:val="21"/>
          <w:szCs w:val="21"/>
        </w:rPr>
      </w:pPr>
      <w:r>
        <w:rPr>
          <w:rFonts w:hint="eastAsia" w:ascii="宋体" w:hAnsi="宋体"/>
          <w:sz w:val="21"/>
          <w:szCs w:val="21"/>
        </w:rPr>
        <w:t>2、承包人按有关规定专项包干使用文明施工费，不得挪作他用。</w:t>
      </w:r>
    </w:p>
    <w:p w14:paraId="15138D53">
      <w:pPr>
        <w:spacing w:line="360" w:lineRule="auto"/>
        <w:jc w:val="left"/>
        <w:rPr>
          <w:rFonts w:ascii="宋体" w:hAnsi="宋体"/>
          <w:sz w:val="21"/>
          <w:szCs w:val="21"/>
        </w:rPr>
      </w:pPr>
      <w:r>
        <w:rPr>
          <w:rFonts w:hint="eastAsia" w:ascii="宋体" w:hAnsi="宋体"/>
          <w:sz w:val="21"/>
          <w:szCs w:val="21"/>
        </w:rPr>
        <w:t>3、工地应设置专职文明施工安全员，做到佩证上岗、动态管理，及时收集、记录、整理、管理台帐等技术资料。</w:t>
      </w:r>
    </w:p>
    <w:p w14:paraId="1D3C607E">
      <w:pPr>
        <w:spacing w:line="360" w:lineRule="auto"/>
        <w:jc w:val="left"/>
        <w:rPr>
          <w:rFonts w:ascii="宋体" w:hAnsi="宋体"/>
          <w:sz w:val="21"/>
          <w:szCs w:val="21"/>
        </w:rPr>
      </w:pPr>
      <w:r>
        <w:rPr>
          <w:rFonts w:hint="eastAsia" w:ascii="宋体" w:hAnsi="宋体"/>
          <w:sz w:val="21"/>
          <w:szCs w:val="21"/>
        </w:rPr>
        <w:t>4、施工现场应按文明施工安全生产的要求，设置各项临时设施，并达到下列要求：</w:t>
      </w:r>
    </w:p>
    <w:p w14:paraId="1C7DE4ED">
      <w:pPr>
        <w:spacing w:line="360" w:lineRule="auto"/>
        <w:jc w:val="left"/>
        <w:rPr>
          <w:rFonts w:ascii="宋体" w:hAnsi="宋体"/>
          <w:sz w:val="21"/>
          <w:szCs w:val="21"/>
        </w:rPr>
      </w:pPr>
      <w:r>
        <w:rPr>
          <w:rFonts w:hint="eastAsia" w:ascii="宋体" w:hAnsi="宋体"/>
          <w:sz w:val="21"/>
          <w:szCs w:val="21"/>
        </w:rPr>
        <w:t>（1）施工区域与非施工区域严格分隔。</w:t>
      </w:r>
    </w:p>
    <w:p w14:paraId="13E4DE02">
      <w:pPr>
        <w:spacing w:line="360" w:lineRule="auto"/>
        <w:jc w:val="left"/>
        <w:rPr>
          <w:rFonts w:ascii="宋体" w:hAnsi="宋体"/>
          <w:sz w:val="21"/>
          <w:szCs w:val="21"/>
        </w:rPr>
      </w:pPr>
      <w:r>
        <w:rPr>
          <w:rFonts w:hint="eastAsia" w:ascii="宋体" w:hAnsi="宋体"/>
          <w:sz w:val="21"/>
          <w:szCs w:val="21"/>
        </w:rPr>
        <w:t>（2）施工区域内应设置能保证施工安全的夜间照明和警示标志，并采取安全防护措施。</w:t>
      </w:r>
    </w:p>
    <w:p w14:paraId="6B66F4FC">
      <w:pPr>
        <w:spacing w:line="360" w:lineRule="auto"/>
        <w:jc w:val="left"/>
        <w:rPr>
          <w:rFonts w:hint="eastAsia" w:ascii="宋体" w:hAnsi="宋体"/>
          <w:sz w:val="21"/>
          <w:szCs w:val="21"/>
        </w:rPr>
      </w:pPr>
      <w:r>
        <w:rPr>
          <w:rFonts w:hint="eastAsia" w:ascii="宋体" w:hAnsi="宋体"/>
          <w:sz w:val="21"/>
          <w:szCs w:val="21"/>
        </w:rPr>
        <w:t>（3）各类材料、机具设备按工地总平面图的布置，在固定场地整齐堆放，不得侵占场内道路及安全防护等设施。</w:t>
      </w:r>
    </w:p>
    <w:p w14:paraId="06F9ACA7">
      <w:pPr>
        <w:spacing w:line="360" w:lineRule="auto"/>
        <w:jc w:val="left"/>
        <w:rPr>
          <w:rFonts w:ascii="宋体" w:hAnsi="宋体"/>
          <w:sz w:val="21"/>
          <w:szCs w:val="21"/>
        </w:rPr>
      </w:pPr>
      <w:r>
        <w:rPr>
          <w:rFonts w:hint="eastAsia" w:ascii="宋体" w:hAnsi="宋体"/>
          <w:sz w:val="21"/>
          <w:szCs w:val="21"/>
        </w:rPr>
        <w:t>5、工地民工宿舍应符合卫生要求和居住条件，照明电线敷设应符合规范，不得任意拉线接电。宿舍应保持整洁有序，不得男女混杂居住及居住与施工无关的人员。</w:t>
      </w:r>
    </w:p>
    <w:p w14:paraId="68A74CB1">
      <w:pPr>
        <w:spacing w:line="360" w:lineRule="auto"/>
        <w:jc w:val="left"/>
        <w:rPr>
          <w:rFonts w:ascii="宋体" w:hAnsi="宋体"/>
          <w:sz w:val="21"/>
          <w:szCs w:val="21"/>
        </w:rPr>
      </w:pPr>
      <w:r>
        <w:rPr>
          <w:rFonts w:hint="eastAsia" w:ascii="宋体" w:hAnsi="宋体"/>
          <w:sz w:val="21"/>
          <w:szCs w:val="21"/>
        </w:rPr>
        <w:t>6、施工现场设有食堂的，应符合食堂管理的有关规定，并配备冷冻、冷藏设备，其位置应远离厕所、垃圾容器等污染源，炊事员应持有效健康证明及岗位培训合格证。施工现场应设置茶桶、保障茶水供应。</w:t>
      </w:r>
    </w:p>
    <w:p w14:paraId="09BF0EBA">
      <w:pPr>
        <w:spacing w:line="360" w:lineRule="auto"/>
        <w:jc w:val="left"/>
        <w:rPr>
          <w:rFonts w:ascii="宋体" w:hAnsi="宋体"/>
          <w:sz w:val="21"/>
          <w:szCs w:val="21"/>
        </w:rPr>
      </w:pPr>
      <w:r>
        <w:rPr>
          <w:rFonts w:hint="eastAsia" w:ascii="宋体" w:hAnsi="宋体"/>
          <w:sz w:val="21"/>
          <w:szCs w:val="21"/>
        </w:rPr>
        <w:t>7、建筑垃圾和其他散体物料装运应实行车辆密闭式运输，冲洗干净后出场，运输过程中严禁沿途抛、洒、滴、漏。</w:t>
      </w:r>
    </w:p>
    <w:p w14:paraId="552862B3">
      <w:pPr>
        <w:spacing w:line="360" w:lineRule="auto"/>
        <w:jc w:val="left"/>
        <w:rPr>
          <w:rFonts w:hint="eastAsia" w:ascii="宋体" w:hAnsi="宋体"/>
          <w:sz w:val="21"/>
          <w:szCs w:val="21"/>
        </w:rPr>
      </w:pPr>
      <w:r>
        <w:rPr>
          <w:rFonts w:hint="eastAsia" w:ascii="宋体" w:hAnsi="宋体"/>
          <w:sz w:val="21"/>
          <w:szCs w:val="21"/>
        </w:rPr>
        <w:t>8、承包人应当严格依照《中华人民共和国消防条例》的规定，在工地建立和执行防火管理制度，重点部位设置符合消防要求的消防设施，并保持完好的备用状态。　</w:t>
      </w:r>
    </w:p>
    <w:p w14:paraId="7F009762">
      <w:pPr>
        <w:spacing w:line="360" w:lineRule="auto"/>
        <w:jc w:val="left"/>
        <w:rPr>
          <w:rFonts w:ascii="宋体" w:hAnsi="宋体"/>
          <w:sz w:val="21"/>
          <w:szCs w:val="21"/>
        </w:rPr>
      </w:pPr>
      <w:r>
        <w:rPr>
          <w:rFonts w:hint="eastAsia" w:ascii="宋体" w:hAnsi="宋体"/>
          <w:sz w:val="21"/>
          <w:szCs w:val="21"/>
        </w:rPr>
        <w:t>9、遵守土建总承包人的现场管理要求。</w:t>
      </w:r>
    </w:p>
    <w:p w14:paraId="3F32EFAB">
      <w:pPr>
        <w:spacing w:line="360" w:lineRule="auto"/>
        <w:jc w:val="left"/>
        <w:rPr>
          <w:rFonts w:ascii="宋体" w:hAnsi="宋体"/>
          <w:sz w:val="21"/>
          <w:szCs w:val="21"/>
        </w:rPr>
      </w:pPr>
      <w:r>
        <w:rPr>
          <w:rFonts w:hint="eastAsia" w:ascii="宋体" w:hAnsi="宋体"/>
          <w:sz w:val="21"/>
          <w:szCs w:val="21"/>
        </w:rPr>
        <w:t>10、施工单位在施工中应遵守下列规定：</w:t>
      </w:r>
    </w:p>
    <w:p w14:paraId="5F19D5EC">
      <w:pPr>
        <w:spacing w:line="360" w:lineRule="auto"/>
        <w:jc w:val="left"/>
        <w:rPr>
          <w:rFonts w:ascii="宋体" w:hAnsi="宋体"/>
          <w:sz w:val="21"/>
          <w:szCs w:val="21"/>
        </w:rPr>
      </w:pPr>
      <w:r>
        <w:rPr>
          <w:rFonts w:hint="eastAsia" w:ascii="宋体" w:hAnsi="宋体"/>
          <w:sz w:val="21"/>
          <w:szCs w:val="21"/>
        </w:rPr>
        <w:t>　　（1）完善技术和操作管理规程，确保防汛设施和地下管线通畅、安全。</w:t>
      </w:r>
    </w:p>
    <w:p w14:paraId="50157FA7">
      <w:pPr>
        <w:spacing w:line="360" w:lineRule="auto"/>
        <w:jc w:val="left"/>
        <w:rPr>
          <w:rFonts w:ascii="宋体" w:hAnsi="宋体"/>
          <w:sz w:val="21"/>
          <w:szCs w:val="21"/>
        </w:rPr>
      </w:pPr>
      <w:r>
        <w:rPr>
          <w:rFonts w:hint="eastAsia" w:ascii="宋体" w:hAnsi="宋体"/>
          <w:sz w:val="21"/>
          <w:szCs w:val="21"/>
        </w:rPr>
        <w:t>　　（2）采取各种有效措施，控制扬尘、噪声。</w:t>
      </w:r>
    </w:p>
    <w:p w14:paraId="4D94183F">
      <w:pPr>
        <w:spacing w:line="360" w:lineRule="auto"/>
        <w:jc w:val="left"/>
        <w:rPr>
          <w:rFonts w:ascii="宋体" w:hAnsi="宋体"/>
          <w:sz w:val="21"/>
          <w:szCs w:val="21"/>
        </w:rPr>
      </w:pPr>
      <w:r>
        <w:rPr>
          <w:rFonts w:hint="eastAsia" w:ascii="宋体" w:hAnsi="宋体"/>
          <w:sz w:val="21"/>
          <w:szCs w:val="21"/>
        </w:rPr>
        <w:t>　　（3）设置各种防护设施，防止施工中废弃物、杂物影响周围环境，伤害过往行人。</w:t>
      </w:r>
    </w:p>
    <w:p w14:paraId="150D8CC0">
      <w:pPr>
        <w:spacing w:line="360" w:lineRule="auto"/>
        <w:jc w:val="left"/>
        <w:rPr>
          <w:rFonts w:ascii="宋体" w:hAnsi="宋体"/>
          <w:sz w:val="21"/>
          <w:szCs w:val="21"/>
        </w:rPr>
      </w:pPr>
      <w:r>
        <w:rPr>
          <w:rFonts w:hint="eastAsia" w:ascii="宋体" w:hAnsi="宋体"/>
          <w:sz w:val="21"/>
          <w:szCs w:val="21"/>
        </w:rPr>
        <w:t>　　（4）随时清理建筑垃圾，控制工地污染。</w:t>
      </w:r>
    </w:p>
    <w:p w14:paraId="4CED94C9">
      <w:pPr>
        <w:spacing w:line="360" w:lineRule="auto"/>
        <w:jc w:val="left"/>
        <w:rPr>
          <w:rFonts w:ascii="宋体" w:hAnsi="宋体"/>
          <w:sz w:val="21"/>
          <w:szCs w:val="21"/>
        </w:rPr>
      </w:pPr>
      <w:r>
        <w:rPr>
          <w:rFonts w:hint="eastAsia" w:ascii="宋体" w:hAnsi="宋体"/>
          <w:sz w:val="21"/>
          <w:szCs w:val="21"/>
        </w:rPr>
        <w:t>　　（5）控制夜间施工作业，确需夜间作业的，必须事先向环保部门申办《夜间施工许可证》。</w:t>
      </w:r>
    </w:p>
    <w:p w14:paraId="4B1C5064">
      <w:pPr>
        <w:spacing w:line="360" w:lineRule="auto"/>
        <w:jc w:val="left"/>
        <w:rPr>
          <w:rFonts w:ascii="宋体" w:hAnsi="宋体"/>
          <w:sz w:val="21"/>
          <w:szCs w:val="21"/>
        </w:rPr>
      </w:pPr>
      <w:r>
        <w:rPr>
          <w:rFonts w:hint="eastAsia" w:ascii="宋体" w:hAnsi="宋体"/>
          <w:sz w:val="21"/>
          <w:szCs w:val="21"/>
        </w:rPr>
        <w:t>　　（6）运用其他有效方式，减少施工时对市容、绿化和环境的不良影响。</w:t>
      </w:r>
    </w:p>
    <w:p w14:paraId="4588BD10">
      <w:pPr>
        <w:spacing w:line="360" w:lineRule="auto"/>
        <w:jc w:val="left"/>
        <w:rPr>
          <w:rFonts w:ascii="宋体" w:hAnsi="宋体"/>
          <w:sz w:val="21"/>
          <w:szCs w:val="21"/>
        </w:rPr>
      </w:pPr>
      <w:r>
        <w:rPr>
          <w:rFonts w:hint="eastAsia" w:ascii="宋体" w:hAnsi="宋体"/>
          <w:sz w:val="21"/>
          <w:szCs w:val="21"/>
        </w:rPr>
        <w:t>　　（7）遵守交通管理规定，不得使用人力车、三轮车向场外运输建筑垃圾、废土、物料。</w:t>
      </w:r>
    </w:p>
    <w:p w14:paraId="7B304DC8">
      <w:pPr>
        <w:spacing w:line="360" w:lineRule="auto"/>
        <w:jc w:val="left"/>
        <w:rPr>
          <w:rFonts w:ascii="宋体" w:hAnsi="宋体"/>
          <w:sz w:val="21"/>
          <w:szCs w:val="21"/>
        </w:rPr>
      </w:pPr>
      <w:r>
        <w:rPr>
          <w:rFonts w:hint="eastAsia" w:ascii="宋体" w:hAnsi="宋体"/>
          <w:sz w:val="21"/>
          <w:szCs w:val="21"/>
        </w:rPr>
        <w:t>11、施工人员在施工中应严格遵守下列规定:</w:t>
      </w:r>
    </w:p>
    <w:p w14:paraId="6CF839B1">
      <w:pPr>
        <w:spacing w:line="360" w:lineRule="auto"/>
        <w:jc w:val="left"/>
        <w:rPr>
          <w:rFonts w:ascii="宋体" w:hAnsi="宋体"/>
          <w:sz w:val="21"/>
          <w:szCs w:val="21"/>
        </w:rPr>
      </w:pPr>
      <w:r>
        <w:rPr>
          <w:rFonts w:hint="eastAsia" w:ascii="宋体" w:hAnsi="宋体"/>
          <w:sz w:val="21"/>
          <w:szCs w:val="21"/>
        </w:rPr>
        <w:t>　　（1）施工中产生的各类垃圾应及时清运到市容环境卫生管理部门指定的地点，严禁随意倾倒在城市道路、河道、绿化带、空旷地带和居民生活垃圾容器内。</w:t>
      </w:r>
    </w:p>
    <w:p w14:paraId="58F70486">
      <w:pPr>
        <w:spacing w:line="360" w:lineRule="auto"/>
        <w:jc w:val="left"/>
        <w:rPr>
          <w:rFonts w:ascii="宋体" w:hAnsi="宋体"/>
          <w:sz w:val="21"/>
          <w:szCs w:val="21"/>
        </w:rPr>
      </w:pPr>
      <w:r>
        <w:rPr>
          <w:rFonts w:hint="eastAsia" w:ascii="宋体" w:hAnsi="宋体"/>
          <w:sz w:val="21"/>
          <w:szCs w:val="21"/>
        </w:rPr>
        <w:t>　　（2）施工中不得随意丢弃废物、旧料和其他杂物。</w:t>
      </w:r>
    </w:p>
    <w:p w14:paraId="3A33E051">
      <w:pPr>
        <w:spacing w:line="360" w:lineRule="auto"/>
        <w:ind w:firstLine="420" w:firstLineChars="200"/>
        <w:jc w:val="left"/>
        <w:rPr>
          <w:rFonts w:ascii="宋体" w:hAnsi="宋体"/>
          <w:sz w:val="21"/>
          <w:szCs w:val="21"/>
        </w:rPr>
      </w:pPr>
      <w:r>
        <w:rPr>
          <w:rFonts w:hint="eastAsia" w:ascii="宋体" w:hAnsi="宋体"/>
          <w:sz w:val="21"/>
          <w:szCs w:val="21"/>
        </w:rPr>
        <w:t>（3）施工中应注意清理施工场地，做到随做随清。</w:t>
      </w:r>
    </w:p>
    <w:p w14:paraId="25530E5B">
      <w:pPr>
        <w:spacing w:line="360" w:lineRule="auto"/>
        <w:jc w:val="left"/>
        <w:rPr>
          <w:rFonts w:ascii="宋体" w:hAnsi="宋体"/>
          <w:sz w:val="21"/>
          <w:szCs w:val="21"/>
        </w:rPr>
      </w:pPr>
      <w:r>
        <w:rPr>
          <w:rFonts w:hint="eastAsia" w:ascii="宋体" w:hAnsi="宋体"/>
          <w:sz w:val="21"/>
          <w:szCs w:val="21"/>
        </w:rPr>
        <w:t>12、承包人应确保工地出入口和道路的畅通、安全。施工中造成沿线单位、人员的出入口障碍和道路交通堵塞，应及时采取有效措施。</w:t>
      </w:r>
    </w:p>
    <w:p w14:paraId="7A7B9547">
      <w:pPr>
        <w:spacing w:line="360" w:lineRule="auto"/>
        <w:jc w:val="left"/>
        <w:rPr>
          <w:rFonts w:ascii="宋体" w:hAnsi="宋体"/>
          <w:sz w:val="21"/>
          <w:szCs w:val="21"/>
        </w:rPr>
      </w:pPr>
      <w:r>
        <w:rPr>
          <w:rFonts w:hint="eastAsia" w:ascii="宋体" w:hAnsi="宋体"/>
          <w:sz w:val="21"/>
          <w:szCs w:val="21"/>
        </w:rPr>
        <w:t>13、施工中造成下水道和其他地下管线堵塞或损坏的，应立即疏浚或修复；对工地周围的单位及人员财产造成损失的，应承担经济赔偿责任。</w:t>
      </w:r>
    </w:p>
    <w:p w14:paraId="292D2B2E">
      <w:pPr>
        <w:spacing w:line="360" w:lineRule="auto"/>
        <w:jc w:val="left"/>
        <w:rPr>
          <w:rFonts w:hint="eastAsia" w:ascii="宋体" w:hAnsi="宋体"/>
          <w:sz w:val="21"/>
          <w:szCs w:val="21"/>
        </w:rPr>
      </w:pPr>
      <w:r>
        <w:rPr>
          <w:rFonts w:ascii="宋体" w:hAnsi="宋体"/>
          <w:sz w:val="21"/>
          <w:szCs w:val="21"/>
        </w:rPr>
        <w:t xml:space="preserve">  </w:t>
      </w:r>
      <w:r>
        <w:rPr>
          <w:rFonts w:hint="eastAsia" w:ascii="宋体" w:hAnsi="宋体"/>
          <w:sz w:val="21"/>
          <w:szCs w:val="21"/>
        </w:rPr>
        <w:t>四、发包人对承包人开展创建文明土地的工作要经常性地给予指导，定期组织检查，对承包人存在的问题应及时通知承包人进行整改，并有权对承包人责任违约，按约定办法进行经济处理。</w:t>
      </w:r>
    </w:p>
    <w:p w14:paraId="53EA87FE">
      <w:pPr>
        <w:spacing w:line="360" w:lineRule="auto"/>
        <w:jc w:val="left"/>
        <w:rPr>
          <w:rFonts w:hint="eastAsia" w:ascii="宋体" w:hAnsi="宋体"/>
          <w:sz w:val="21"/>
          <w:szCs w:val="21"/>
        </w:rPr>
      </w:pPr>
      <w:r>
        <w:rPr>
          <w:rFonts w:hint="eastAsia" w:ascii="宋体" w:hAnsi="宋体"/>
          <w:sz w:val="21"/>
          <w:szCs w:val="21"/>
        </w:rPr>
        <w:t xml:space="preserve">  约定的违责任处理办法：</w:t>
      </w:r>
    </w:p>
    <w:p w14:paraId="14D0395F">
      <w:pPr>
        <w:spacing w:line="360" w:lineRule="auto"/>
        <w:jc w:val="left"/>
        <w:rPr>
          <w:rFonts w:ascii="宋体" w:hAnsi="宋体"/>
          <w:sz w:val="21"/>
          <w:szCs w:val="21"/>
        </w:rPr>
      </w:pPr>
      <w:r>
        <w:rPr>
          <w:rFonts w:ascii="宋体" w:hAnsi="宋体"/>
          <w:sz w:val="21"/>
          <w:szCs w:val="21"/>
        </w:rPr>
        <w:t xml:space="preserve">  </w:t>
      </w:r>
      <w:r>
        <w:rPr>
          <w:rFonts w:hint="eastAsia" w:ascii="宋体" w:hAnsi="宋体"/>
          <w:sz w:val="21"/>
          <w:szCs w:val="21"/>
        </w:rPr>
        <w:t>五、因承包人违反文明施工管理要求，被地方政府有关部门查获而受到的经济处罚，以及由此而使发包人受到的经济损失，均由承包人承担。</w:t>
      </w:r>
    </w:p>
    <w:p w14:paraId="50BC6B84">
      <w:pPr>
        <w:spacing w:line="360" w:lineRule="auto"/>
        <w:jc w:val="left"/>
        <w:rPr>
          <w:rFonts w:hint="eastAsia" w:ascii="宋体" w:hAnsi="宋体"/>
          <w:sz w:val="21"/>
          <w:szCs w:val="21"/>
        </w:rPr>
      </w:pPr>
      <w:r>
        <w:rPr>
          <w:rFonts w:ascii="宋体" w:hAnsi="宋体"/>
          <w:sz w:val="21"/>
          <w:szCs w:val="21"/>
        </w:rPr>
        <w:t xml:space="preserve">  </w:t>
      </w:r>
      <w:r>
        <w:rPr>
          <w:rFonts w:hint="eastAsia" w:ascii="宋体" w:hAnsi="宋体"/>
          <w:sz w:val="21"/>
          <w:szCs w:val="21"/>
        </w:rPr>
        <w:t>六、本协议作为甲乙双方工程合同的附件，在工程合同正式签约后有效，与工程合同具有同等法律效力。工程合同期满，本协议终止。</w:t>
      </w:r>
    </w:p>
    <w:p w14:paraId="0A701902">
      <w:pPr>
        <w:rPr>
          <w:rFonts w:hint="eastAsia" w:ascii="宋体" w:hAnsi="宋体"/>
          <w:b/>
          <w:sz w:val="21"/>
          <w:szCs w:val="21"/>
        </w:rPr>
      </w:pPr>
      <w:bookmarkStart w:id="523" w:name="_Toc163484942"/>
    </w:p>
    <w:p w14:paraId="31E48E65">
      <w:pPr>
        <w:spacing w:line="360" w:lineRule="auto"/>
        <w:jc w:val="center"/>
        <w:rPr>
          <w:rFonts w:ascii="宋体" w:hAnsi="宋体"/>
          <w:b/>
          <w:sz w:val="21"/>
          <w:szCs w:val="21"/>
        </w:rPr>
      </w:pPr>
      <w:r>
        <w:rPr>
          <w:rFonts w:hint="eastAsia" w:ascii="宋体" w:hAnsi="宋体"/>
          <w:b/>
          <w:sz w:val="21"/>
          <w:szCs w:val="21"/>
        </w:rPr>
        <w:t>廉政</w:t>
      </w:r>
      <w:bookmarkEnd w:id="523"/>
      <w:r>
        <w:rPr>
          <w:rFonts w:hint="eastAsia" w:ascii="宋体" w:hAnsi="宋体"/>
          <w:b/>
          <w:sz w:val="21"/>
          <w:szCs w:val="21"/>
        </w:rPr>
        <w:t>自律承诺书</w:t>
      </w:r>
    </w:p>
    <w:p w14:paraId="3FC9FEB8">
      <w:pPr>
        <w:spacing w:line="360" w:lineRule="auto"/>
        <w:ind w:left="105" w:leftChars="50" w:firstLine="315" w:firstLineChars="150"/>
        <w:jc w:val="left"/>
        <w:rPr>
          <w:rFonts w:hint="eastAsia" w:ascii="宋体" w:hAnsi="宋体"/>
          <w:sz w:val="21"/>
          <w:szCs w:val="21"/>
        </w:rPr>
      </w:pPr>
      <w:r>
        <w:rPr>
          <w:rFonts w:ascii="宋体" w:hAnsi="宋体"/>
          <w:sz w:val="21"/>
          <w:szCs w:val="21"/>
        </w:rPr>
        <w:t>为了在工程建设中保持廉政自律的工作作风，防止各种不正当行为的发生，</w:t>
      </w:r>
      <w:r>
        <w:rPr>
          <w:rFonts w:hint="eastAsia" w:ascii="宋体" w:hAnsi="宋体"/>
          <w:sz w:val="21"/>
          <w:szCs w:val="21"/>
        </w:rPr>
        <w:t>确保将</w:t>
      </w:r>
      <w:r>
        <w:rPr>
          <w:rFonts w:hint="eastAsia" w:ascii="宋体" w:hAnsi="宋体"/>
          <w:sz w:val="21"/>
          <w:szCs w:val="21"/>
          <w:u w:val="single"/>
          <w:lang w:eastAsia="zh-CN"/>
        </w:rPr>
        <w:t>浙江省金华监狱东关押点操场维修工程</w:t>
      </w:r>
      <w:r>
        <w:rPr>
          <w:rFonts w:hint="eastAsia" w:ascii="宋体" w:hAnsi="宋体"/>
          <w:sz w:val="21"/>
          <w:szCs w:val="21"/>
        </w:rPr>
        <w:t>建设成一个优质工程、廉洁工程，根据国家和地方有关建设工程承发包和廉政建设的各项规定，我方全过程贯彻廉洁自律制度，对本项目廉政建设作如下承诺：</w:t>
      </w:r>
    </w:p>
    <w:p w14:paraId="5F04D5B1">
      <w:pPr>
        <w:numPr>
          <w:ilvl w:val="0"/>
          <w:numId w:val="7"/>
        </w:numPr>
        <w:spacing w:line="360" w:lineRule="auto"/>
        <w:ind w:firstLine="420" w:firstLineChars="200"/>
        <w:jc w:val="left"/>
        <w:rPr>
          <w:rFonts w:hint="eastAsia" w:ascii="宋体" w:hAnsi="宋体"/>
          <w:sz w:val="21"/>
          <w:szCs w:val="21"/>
        </w:rPr>
      </w:pPr>
      <w:r>
        <w:rPr>
          <w:rFonts w:hint="eastAsia" w:ascii="宋体" w:hAnsi="宋体"/>
          <w:sz w:val="21"/>
          <w:szCs w:val="21"/>
        </w:rPr>
        <w:t>保证严格自觉遵守国家和地方关于建设工程承发包工作规则以及有关廉政建设的各项规定。</w:t>
      </w:r>
    </w:p>
    <w:p w14:paraId="288D8D83">
      <w:pPr>
        <w:numPr>
          <w:ilvl w:val="0"/>
          <w:numId w:val="7"/>
        </w:numPr>
        <w:spacing w:line="360" w:lineRule="auto"/>
        <w:ind w:firstLine="420" w:firstLineChars="200"/>
        <w:jc w:val="left"/>
        <w:rPr>
          <w:rFonts w:hint="eastAsia" w:ascii="宋体" w:hAnsi="宋体"/>
          <w:sz w:val="21"/>
          <w:szCs w:val="21"/>
        </w:rPr>
      </w:pPr>
      <w:r>
        <w:rPr>
          <w:rFonts w:hint="eastAsia" w:ascii="宋体" w:hAnsi="宋体"/>
          <w:sz w:val="21"/>
          <w:szCs w:val="21"/>
        </w:rPr>
        <w:t>保证通过正常途径开展相应业务工作，严禁为获取某些不正当利益而向发包人工作人员、监理单位及与本工程相关管理单位工作人员赠送礼金、有价证券和贵重物品等。</w:t>
      </w:r>
    </w:p>
    <w:p w14:paraId="39C8A104">
      <w:pPr>
        <w:numPr>
          <w:ilvl w:val="0"/>
          <w:numId w:val="7"/>
        </w:numPr>
        <w:spacing w:line="360" w:lineRule="auto"/>
        <w:ind w:firstLine="420" w:firstLineChars="200"/>
        <w:jc w:val="left"/>
        <w:rPr>
          <w:rFonts w:hint="eastAsia" w:ascii="宋体" w:hAnsi="宋体"/>
          <w:sz w:val="21"/>
          <w:szCs w:val="21"/>
        </w:rPr>
      </w:pPr>
      <w:r>
        <w:rPr>
          <w:rFonts w:hint="eastAsia" w:ascii="宋体" w:hAnsi="宋体"/>
          <w:sz w:val="21"/>
          <w:szCs w:val="21"/>
        </w:rPr>
        <w:t>保证不为谋取私利擅自与发包人工作人员、监理单位及与本工程相关管理单位工作人员就工程承包、工程费用、材料设备供应、工程量变动、工程验收、工程质量问题处理等进行私下商谈或者达成默契。</w:t>
      </w:r>
    </w:p>
    <w:p w14:paraId="1AF6F89A">
      <w:pPr>
        <w:numPr>
          <w:ilvl w:val="0"/>
          <w:numId w:val="7"/>
        </w:numPr>
        <w:spacing w:line="360" w:lineRule="auto"/>
        <w:ind w:firstLine="420" w:firstLineChars="200"/>
        <w:jc w:val="left"/>
        <w:rPr>
          <w:rFonts w:hint="eastAsia" w:ascii="宋体" w:hAnsi="宋体"/>
          <w:sz w:val="21"/>
          <w:szCs w:val="21"/>
        </w:rPr>
      </w:pPr>
      <w:r>
        <w:rPr>
          <w:rFonts w:hint="eastAsia" w:ascii="宋体" w:hAnsi="宋体"/>
          <w:sz w:val="21"/>
          <w:szCs w:val="21"/>
        </w:rPr>
        <w:t>保证不以洽谈业务、签订经济合同为借口，邀请发包人工作人员、监理单位及与本工程管理相关单位工作人员外出旅游和进入高档娱乐性场所。</w:t>
      </w:r>
    </w:p>
    <w:p w14:paraId="614B0536">
      <w:pPr>
        <w:spacing w:line="360" w:lineRule="auto"/>
        <w:ind w:firstLine="420" w:firstLineChars="200"/>
        <w:jc w:val="left"/>
        <w:rPr>
          <w:rFonts w:hint="eastAsia" w:ascii="宋体" w:hAnsi="宋体"/>
          <w:sz w:val="21"/>
          <w:szCs w:val="21"/>
        </w:rPr>
      </w:pPr>
      <w:r>
        <w:rPr>
          <w:rFonts w:hint="eastAsia" w:ascii="宋体" w:hAnsi="宋体"/>
          <w:sz w:val="21"/>
          <w:szCs w:val="21"/>
        </w:rPr>
        <w:t>我方有违反本承诺的，经核实每发生一起扣除廉政保证金10000元，上不限额；由此给发包人造成的损失均由我方承担；我方用不正当手段获取的非法所得由发包人予以追缴。情节严重的将移交相关执法部门处理，发包人并有权终止本施工合同，并同意列不良记录乃至黑名单。</w:t>
      </w:r>
    </w:p>
    <w:p w14:paraId="15070857">
      <w:pPr>
        <w:spacing w:line="500" w:lineRule="exact"/>
        <w:rPr>
          <w:rFonts w:ascii="仿宋" w:hAnsi="仿宋" w:eastAsia="仿宋"/>
          <w:szCs w:val="24"/>
        </w:rPr>
      </w:pPr>
    </w:p>
    <w:p w14:paraId="44A2FB3A">
      <w:pPr>
        <w:spacing w:line="500" w:lineRule="exact"/>
        <w:rPr>
          <w:rFonts w:ascii="仿宋" w:hAnsi="仿宋" w:eastAsia="仿宋"/>
          <w:szCs w:val="21"/>
        </w:rPr>
      </w:pPr>
      <w:r>
        <w:rPr>
          <w:rFonts w:hint="eastAsia" w:ascii="仿宋" w:hAnsi="仿宋" w:eastAsia="仿宋"/>
          <w:szCs w:val="21"/>
        </w:rPr>
        <w:br w:type="textWrapping"/>
      </w:r>
    </w:p>
    <w:p w14:paraId="5FA63B70">
      <w:pPr>
        <w:spacing w:line="500" w:lineRule="exact"/>
        <w:rPr>
          <w:rFonts w:ascii="仿宋" w:hAnsi="仿宋" w:eastAsia="仿宋"/>
          <w:b/>
          <w:szCs w:val="21"/>
        </w:rPr>
        <w:sectPr>
          <w:pgSz w:w="11906" w:h="16838"/>
          <w:pgMar w:top="1440" w:right="1800" w:bottom="1440" w:left="1800" w:header="851" w:footer="992" w:gutter="0"/>
          <w:pgNumType w:fmt="decimal"/>
          <w:cols w:space="720" w:num="1"/>
          <w:docGrid w:type="lines" w:linePitch="312" w:charSpace="0"/>
        </w:sectPr>
      </w:pPr>
    </w:p>
    <w:p w14:paraId="1052B849">
      <w:pPr>
        <w:spacing w:line="360" w:lineRule="auto"/>
        <w:jc w:val="center"/>
        <w:rPr>
          <w:rFonts w:hint="eastAsia" w:ascii="宋体" w:hAnsi="宋体"/>
          <w:b/>
          <w:sz w:val="21"/>
          <w:szCs w:val="21"/>
        </w:rPr>
      </w:pPr>
      <w:r>
        <w:rPr>
          <w:rFonts w:hint="eastAsia" w:ascii="宋体" w:hAnsi="宋体"/>
          <w:b/>
          <w:sz w:val="21"/>
          <w:szCs w:val="21"/>
        </w:rPr>
        <w:t>工程施工保密协议</w:t>
      </w:r>
    </w:p>
    <w:p w14:paraId="46488F58">
      <w:pPr>
        <w:spacing w:line="360" w:lineRule="auto"/>
        <w:jc w:val="left"/>
        <w:rPr>
          <w:rFonts w:hint="eastAsia" w:ascii="宋体" w:hAnsi="宋体"/>
          <w:sz w:val="21"/>
          <w:szCs w:val="21"/>
        </w:rPr>
      </w:pPr>
    </w:p>
    <w:p w14:paraId="7CF9359F">
      <w:pPr>
        <w:spacing w:line="360" w:lineRule="auto"/>
        <w:jc w:val="left"/>
        <w:rPr>
          <w:rFonts w:hint="eastAsia" w:ascii="宋体" w:hAnsi="宋体"/>
          <w:sz w:val="21"/>
          <w:szCs w:val="21"/>
        </w:rPr>
      </w:pPr>
      <w:r>
        <w:rPr>
          <w:rFonts w:hint="eastAsia" w:ascii="宋体" w:hAnsi="宋体"/>
          <w:sz w:val="21"/>
          <w:szCs w:val="21"/>
        </w:rPr>
        <w:t>发包人：</w:t>
      </w:r>
      <w:r>
        <w:rPr>
          <w:rFonts w:hint="eastAsia" w:ascii="宋体" w:hAnsi="宋体"/>
          <w:sz w:val="21"/>
          <w:szCs w:val="21"/>
          <w:lang w:eastAsia="zh-CN"/>
        </w:rPr>
        <w:t>浙江省金华监狱</w:t>
      </w:r>
      <w:r>
        <w:rPr>
          <w:rFonts w:hint="eastAsia" w:ascii="宋体" w:hAnsi="宋体"/>
          <w:sz w:val="21"/>
          <w:szCs w:val="21"/>
        </w:rPr>
        <w:br w:type="textWrapping"/>
      </w:r>
      <w:r>
        <w:rPr>
          <w:rFonts w:hint="eastAsia" w:ascii="宋体" w:hAnsi="宋体"/>
          <w:sz w:val="21"/>
          <w:szCs w:val="21"/>
        </w:rPr>
        <w:t>承包人：</w:t>
      </w:r>
    </w:p>
    <w:p w14:paraId="1E8DB203">
      <w:pPr>
        <w:spacing w:line="360" w:lineRule="auto"/>
        <w:ind w:firstLine="420" w:firstLineChars="200"/>
        <w:jc w:val="left"/>
        <w:rPr>
          <w:rFonts w:hint="eastAsia" w:ascii="宋体" w:hAnsi="宋体"/>
          <w:sz w:val="21"/>
          <w:szCs w:val="21"/>
        </w:rPr>
      </w:pPr>
      <w:r>
        <w:rPr>
          <w:rFonts w:hint="eastAsia" w:ascii="宋体" w:hAnsi="宋体"/>
          <w:sz w:val="21"/>
          <w:szCs w:val="21"/>
        </w:rPr>
        <w:t>发包人所处地为监管区域，在该区域施工项目均为保密项目。其建设相关的秘密事项系国家秘密的组成部分。参建单位在实施过程中必须遵照《中华人民共和国保守国家秘密法》履行以下保密责任。</w:t>
      </w:r>
    </w:p>
    <w:p w14:paraId="0F0DAA21">
      <w:pPr>
        <w:spacing w:line="360" w:lineRule="auto"/>
        <w:jc w:val="left"/>
        <w:rPr>
          <w:rFonts w:hint="eastAsia" w:ascii="宋体" w:hAnsi="宋体"/>
          <w:sz w:val="21"/>
          <w:szCs w:val="21"/>
        </w:rPr>
      </w:pPr>
      <w:r>
        <w:rPr>
          <w:rFonts w:hint="eastAsia" w:ascii="宋体" w:hAnsi="宋体"/>
          <w:sz w:val="21"/>
          <w:szCs w:val="21"/>
        </w:rPr>
        <w:t>第一条 本协议适用于工程实施的全过程。包括但不限于工程概况、工程规模、工期计划、施工方案、工艺流程、技术设计、图纸资料、相关函电等等。</w:t>
      </w:r>
    </w:p>
    <w:p w14:paraId="662323B4">
      <w:pPr>
        <w:spacing w:line="360" w:lineRule="auto"/>
        <w:jc w:val="left"/>
        <w:rPr>
          <w:rFonts w:hint="eastAsia" w:ascii="宋体" w:hAnsi="宋体"/>
          <w:sz w:val="21"/>
          <w:szCs w:val="21"/>
        </w:rPr>
      </w:pPr>
      <w:r>
        <w:rPr>
          <w:rFonts w:hint="eastAsia" w:ascii="宋体" w:hAnsi="宋体"/>
          <w:sz w:val="21"/>
          <w:szCs w:val="21"/>
        </w:rPr>
        <w:t>第二条 具体保密内容：</w:t>
      </w:r>
    </w:p>
    <w:p w14:paraId="02E08D57">
      <w:pPr>
        <w:spacing w:line="360" w:lineRule="auto"/>
        <w:jc w:val="left"/>
        <w:rPr>
          <w:rFonts w:hint="eastAsia" w:ascii="宋体" w:hAnsi="宋体"/>
          <w:sz w:val="21"/>
          <w:szCs w:val="21"/>
        </w:rPr>
      </w:pPr>
      <w:r>
        <w:rPr>
          <w:rFonts w:hint="eastAsia" w:ascii="宋体" w:hAnsi="宋体"/>
          <w:sz w:val="21"/>
          <w:szCs w:val="21"/>
        </w:rPr>
        <w:t>1、甲乙双方均有责任对上述《工程施工合同》内容保守秘密，对因合同内容的公开而造成经济和名誉损失，有责任的一方承担法律责任。</w:t>
      </w:r>
    </w:p>
    <w:p w14:paraId="129EDAA7">
      <w:pPr>
        <w:spacing w:line="360" w:lineRule="auto"/>
        <w:jc w:val="left"/>
        <w:rPr>
          <w:rFonts w:hint="eastAsia" w:ascii="宋体" w:hAnsi="宋体"/>
          <w:sz w:val="21"/>
          <w:szCs w:val="21"/>
        </w:rPr>
      </w:pPr>
      <w:r>
        <w:rPr>
          <w:rFonts w:hint="eastAsia" w:ascii="宋体" w:hAnsi="宋体"/>
          <w:sz w:val="21"/>
          <w:szCs w:val="21"/>
        </w:rPr>
        <w:t>2、承包人应将合同的所有细节包括施工过程由发包人提供的所有技术资料作为保密资料对待，合同的任何部分不应在任何商业或技术文献上刊登或披露。也不得企图将其中的由发包人所提供的技术资料用作与本工程无关的事宜。</w:t>
      </w:r>
    </w:p>
    <w:p w14:paraId="2FE4E32E">
      <w:pPr>
        <w:spacing w:line="360" w:lineRule="auto"/>
        <w:jc w:val="left"/>
        <w:rPr>
          <w:rFonts w:ascii="宋体" w:hAnsi="宋体"/>
          <w:sz w:val="21"/>
          <w:szCs w:val="21"/>
        </w:rPr>
      </w:pPr>
      <w:r>
        <w:rPr>
          <w:rFonts w:hint="eastAsia" w:ascii="宋体" w:hAnsi="宋体"/>
          <w:sz w:val="21"/>
          <w:szCs w:val="21"/>
        </w:rPr>
        <w:t>3、由发包人提供给承包人的所有图纸和文件细则均被认为是机密，并由承包人要求其相关人员妥善保管，未经发包人的书面许可承包人不得对外或第三方公开披露；不得以任何形式，向媒体透露所承揽工程的相关情况。</w:t>
      </w:r>
      <w:r>
        <w:rPr>
          <w:rFonts w:hint="eastAsia" w:ascii="宋体" w:hAnsi="宋体"/>
          <w:sz w:val="21"/>
          <w:szCs w:val="21"/>
        </w:rPr>
        <w:br w:type="textWrapping"/>
      </w:r>
      <w:r>
        <w:rPr>
          <w:rFonts w:hint="eastAsia" w:ascii="宋体" w:hAnsi="宋体"/>
          <w:sz w:val="21"/>
          <w:szCs w:val="21"/>
        </w:rPr>
        <w:t xml:space="preserve">    4、所有工程照片的版权归发包人所有，没有发包人批推，承包人不得作任何应用。已批准的文章、照片和类似材料的出版应通知发包人。</w:t>
      </w:r>
      <w:r>
        <w:rPr>
          <w:rFonts w:hint="eastAsia" w:ascii="宋体" w:hAnsi="宋体"/>
          <w:sz w:val="21"/>
          <w:szCs w:val="21"/>
        </w:rPr>
        <w:br w:type="textWrapping"/>
      </w:r>
      <w:r>
        <w:rPr>
          <w:rFonts w:hint="eastAsia" w:ascii="宋体" w:hAnsi="宋体"/>
          <w:sz w:val="21"/>
          <w:szCs w:val="21"/>
        </w:rPr>
        <w:t xml:space="preserve">    5、承包人不应在工地或其施工设备上展出或允许展出任何贸易或商业广告，在工地上张贴的所有通知应事先征得业主的批准。</w:t>
      </w:r>
      <w:r>
        <w:rPr>
          <w:rFonts w:hint="eastAsia" w:ascii="宋体" w:hAnsi="宋体"/>
          <w:sz w:val="21"/>
          <w:szCs w:val="21"/>
        </w:rPr>
        <w:br w:type="textWrapping"/>
      </w:r>
      <w:r>
        <w:rPr>
          <w:rFonts w:hint="eastAsia" w:ascii="宋体" w:hAnsi="宋体"/>
          <w:sz w:val="21"/>
          <w:szCs w:val="21"/>
        </w:rPr>
        <w:t xml:space="preserve">    6、由发包人提供的所有图纸、文件和软件的著作权归发包人或虽属于第三方但发包人承诺保证权利不受侵犯。承包人只有使用与本合同工程有关的安装、调试操作或维护、备品备件采购所必需的图纸、文件和软件的权利，并且只用于本合同工程。未经发包人的书面许可，承包人不得擅自修改或用于本合同以外的工程。</w:t>
      </w:r>
      <w:r>
        <w:rPr>
          <w:rFonts w:hint="eastAsia" w:ascii="宋体" w:hAnsi="宋体"/>
          <w:sz w:val="21"/>
          <w:szCs w:val="21"/>
        </w:rPr>
        <w:br w:type="textWrapping"/>
      </w:r>
      <w:r>
        <w:rPr>
          <w:rFonts w:hint="eastAsia" w:ascii="宋体" w:hAnsi="宋体"/>
          <w:sz w:val="21"/>
          <w:szCs w:val="21"/>
        </w:rPr>
        <w:t xml:space="preserve">    7、由发包人提供的本合同工程的招标文件、基本设计、详细设计的所有图纸、文字说明、图表以及工程建设期间提供的安装、调试、培训资料均属于发包人或发包人供应商的专有技术和技术诀窍。承包人理解并且同意未经发包人事先书面许可不得提供或采用其它方式将本合同工程以及本合同工程的任何一部分所涉及到的专利技术和技术诀窍透露给第三方。因此发生任何第三方指控侵权时，承包人与第三方交涉并承担由此所发生的一切法律和经济责任。</w:t>
      </w:r>
      <w:r>
        <w:rPr>
          <w:rFonts w:hint="eastAsia" w:ascii="宋体" w:hAnsi="宋体"/>
          <w:sz w:val="21"/>
          <w:szCs w:val="21"/>
        </w:rPr>
        <w:br w:type="textWrapping"/>
      </w:r>
      <w:r>
        <w:rPr>
          <w:rFonts w:hint="eastAsia" w:ascii="宋体" w:hAnsi="宋体"/>
          <w:sz w:val="21"/>
          <w:szCs w:val="21"/>
        </w:rPr>
        <w:t xml:space="preserve">    8、承包人在发包人施工期间，未经发包人允许，不得介绍第三方相关人员或冒充承包人施工人员进入工程现场，以窃取工程的机密。</w:t>
      </w:r>
      <w:r>
        <w:rPr>
          <w:rFonts w:hint="eastAsia" w:ascii="宋体" w:hAnsi="宋体"/>
          <w:sz w:val="21"/>
          <w:szCs w:val="21"/>
        </w:rPr>
        <w:br w:type="textWrapping"/>
      </w:r>
      <w:r>
        <w:rPr>
          <w:rFonts w:hint="eastAsia" w:ascii="宋体" w:hAnsi="宋体"/>
          <w:sz w:val="21"/>
          <w:szCs w:val="21"/>
        </w:rPr>
        <w:t xml:space="preserve">    9、工程竣工后承包人仍对其在发包人施工期间接触、知悉的属于发包人或者虽属于第三方但发包人承诺有保密义务的技术秘密和其他商业秘密信息有保密义务。</w:t>
      </w:r>
      <w:r>
        <w:rPr>
          <w:rFonts w:hint="eastAsia" w:ascii="宋体" w:hAnsi="宋体"/>
          <w:sz w:val="21"/>
          <w:szCs w:val="21"/>
        </w:rPr>
        <w:br w:type="textWrapping"/>
      </w:r>
      <w:r>
        <w:rPr>
          <w:rFonts w:hint="eastAsia" w:ascii="宋体" w:hAnsi="宋体"/>
          <w:sz w:val="21"/>
          <w:szCs w:val="21"/>
        </w:rPr>
        <w:t xml:space="preserve">   第三条 承包人如违反本协议任一条款，应当一次性向发包人支付违约金为工程合同额的2%。</w:t>
      </w:r>
      <w:r>
        <w:rPr>
          <w:rFonts w:hint="eastAsia" w:ascii="宋体" w:hAnsi="宋体"/>
          <w:sz w:val="21"/>
          <w:szCs w:val="21"/>
        </w:rPr>
        <w:br w:type="textWrapping"/>
      </w:r>
      <w:r>
        <w:rPr>
          <w:rFonts w:hint="eastAsia" w:ascii="宋体" w:hAnsi="宋体"/>
          <w:sz w:val="21"/>
          <w:szCs w:val="21"/>
        </w:rPr>
        <w:t xml:space="preserve">   第四条  承包人的违约行为给发包人造成损失的，承包人应当赔偿发包人的损失。违约金不能代替赔偿损失，赔偿金可从工程合同款中扣除。</w:t>
      </w:r>
      <w:r>
        <w:rPr>
          <w:rFonts w:hint="eastAsia" w:ascii="宋体" w:hAnsi="宋体"/>
          <w:sz w:val="21"/>
          <w:szCs w:val="21"/>
        </w:rPr>
        <w:br w:type="textWrapping"/>
      </w:r>
      <w:r>
        <w:rPr>
          <w:rFonts w:hint="eastAsia" w:ascii="宋体" w:hAnsi="宋体"/>
          <w:sz w:val="21"/>
          <w:szCs w:val="21"/>
        </w:rPr>
        <w:t xml:space="preserve">   第五条 因本协议而引起的纠纷，如果协商解决不成，任何一方均有权提起诉讼。双方同意，选择发包人所住地人民法院作为双方合同纠纷的第一审管辖法院。</w:t>
      </w:r>
      <w:r>
        <w:rPr>
          <w:rFonts w:hint="eastAsia" w:ascii="宋体" w:hAnsi="宋体"/>
          <w:sz w:val="21"/>
          <w:szCs w:val="21"/>
        </w:rPr>
        <w:br w:type="textWrapping"/>
      </w:r>
      <w:r>
        <w:rPr>
          <w:rFonts w:hint="eastAsia" w:ascii="宋体" w:hAnsi="宋体"/>
          <w:sz w:val="21"/>
          <w:szCs w:val="21"/>
        </w:rPr>
        <w:t xml:space="preserve">   第六条 本协议作为施工合同的附件，与施工合同具有同等法律效力。</w:t>
      </w:r>
      <w:r>
        <w:rPr>
          <w:rFonts w:hint="eastAsia" w:ascii="宋体" w:hAnsi="宋体"/>
          <w:sz w:val="21"/>
          <w:szCs w:val="21"/>
        </w:rPr>
        <w:br w:type="textWrapping"/>
      </w:r>
      <w:r>
        <w:rPr>
          <w:rFonts w:hint="eastAsia" w:ascii="宋体" w:hAnsi="宋体"/>
          <w:sz w:val="21"/>
          <w:szCs w:val="21"/>
        </w:rPr>
        <w:t xml:space="preserve">   第七条 双方确认，在签署本协议前已仔细审阅过协议的内容，并完全了解协议各条款的法律含义。</w:t>
      </w:r>
    </w:p>
    <w:p w14:paraId="07C874AD">
      <w:pPr>
        <w:spacing w:line="360" w:lineRule="auto"/>
        <w:jc w:val="center"/>
        <w:rPr>
          <w:rFonts w:ascii="宋体" w:hAnsi="宋体"/>
          <w:b/>
          <w:bCs/>
          <w:sz w:val="21"/>
          <w:szCs w:val="21"/>
        </w:rPr>
      </w:pPr>
    </w:p>
    <w:p w14:paraId="2D8B9253">
      <w:pPr>
        <w:spacing w:line="360" w:lineRule="auto"/>
        <w:jc w:val="center"/>
        <w:rPr>
          <w:rFonts w:ascii="宋体" w:hAnsi="宋体"/>
          <w:b/>
          <w:bCs/>
          <w:sz w:val="21"/>
          <w:szCs w:val="21"/>
        </w:rPr>
      </w:pPr>
    </w:p>
    <w:p w14:paraId="76F74A53">
      <w:pPr>
        <w:spacing w:line="360" w:lineRule="auto"/>
        <w:jc w:val="center"/>
        <w:rPr>
          <w:rFonts w:ascii="宋体" w:hAnsi="宋体"/>
          <w:b/>
          <w:bCs/>
          <w:sz w:val="21"/>
          <w:szCs w:val="21"/>
        </w:rPr>
      </w:pPr>
    </w:p>
    <w:p w14:paraId="7C1800A5">
      <w:pPr>
        <w:spacing w:line="360" w:lineRule="auto"/>
        <w:jc w:val="center"/>
        <w:rPr>
          <w:rFonts w:ascii="宋体" w:hAnsi="宋体"/>
          <w:b/>
          <w:bCs/>
          <w:sz w:val="21"/>
          <w:szCs w:val="21"/>
        </w:rPr>
      </w:pPr>
    </w:p>
    <w:p w14:paraId="74211267">
      <w:pPr>
        <w:spacing w:line="360" w:lineRule="auto"/>
        <w:jc w:val="center"/>
        <w:rPr>
          <w:rFonts w:ascii="宋体" w:hAnsi="宋体"/>
          <w:b/>
          <w:bCs/>
          <w:sz w:val="21"/>
          <w:szCs w:val="21"/>
        </w:rPr>
      </w:pPr>
    </w:p>
    <w:p w14:paraId="2A66ADDB">
      <w:pPr>
        <w:spacing w:line="360" w:lineRule="auto"/>
        <w:jc w:val="center"/>
        <w:rPr>
          <w:rFonts w:ascii="宋体" w:hAnsi="宋体"/>
          <w:b/>
          <w:bCs/>
          <w:sz w:val="21"/>
          <w:szCs w:val="21"/>
        </w:rPr>
      </w:pPr>
    </w:p>
    <w:p w14:paraId="5FD20603">
      <w:pPr>
        <w:spacing w:line="360" w:lineRule="auto"/>
        <w:jc w:val="center"/>
        <w:rPr>
          <w:rFonts w:ascii="宋体" w:hAnsi="宋体"/>
          <w:b/>
          <w:bCs/>
          <w:sz w:val="21"/>
          <w:szCs w:val="21"/>
        </w:rPr>
      </w:pPr>
    </w:p>
    <w:p w14:paraId="10D58BEA">
      <w:pPr>
        <w:spacing w:line="360" w:lineRule="auto"/>
        <w:jc w:val="center"/>
        <w:rPr>
          <w:rFonts w:ascii="宋体" w:hAnsi="宋体"/>
          <w:b/>
          <w:bCs/>
          <w:sz w:val="21"/>
          <w:szCs w:val="21"/>
        </w:rPr>
      </w:pPr>
    </w:p>
    <w:p w14:paraId="0FDDDEAB">
      <w:pPr>
        <w:spacing w:line="360" w:lineRule="auto"/>
        <w:jc w:val="center"/>
        <w:rPr>
          <w:rFonts w:ascii="宋体" w:hAnsi="宋体"/>
          <w:b/>
          <w:bCs/>
          <w:sz w:val="21"/>
          <w:szCs w:val="21"/>
        </w:rPr>
      </w:pPr>
    </w:p>
    <w:p w14:paraId="651734D4">
      <w:pPr>
        <w:spacing w:line="360" w:lineRule="auto"/>
        <w:jc w:val="center"/>
        <w:rPr>
          <w:rFonts w:ascii="宋体" w:hAnsi="宋体"/>
          <w:b/>
          <w:bCs/>
          <w:sz w:val="21"/>
          <w:szCs w:val="21"/>
        </w:rPr>
      </w:pPr>
    </w:p>
    <w:p w14:paraId="2BAB130D">
      <w:pPr>
        <w:spacing w:line="360" w:lineRule="auto"/>
        <w:jc w:val="center"/>
        <w:rPr>
          <w:rFonts w:ascii="宋体" w:hAnsi="宋体"/>
          <w:b/>
          <w:bCs/>
          <w:sz w:val="21"/>
          <w:szCs w:val="21"/>
        </w:rPr>
      </w:pPr>
    </w:p>
    <w:p w14:paraId="5AF42D10">
      <w:pPr>
        <w:spacing w:line="360" w:lineRule="auto"/>
        <w:jc w:val="center"/>
        <w:rPr>
          <w:rFonts w:ascii="宋体" w:hAnsi="宋体"/>
          <w:b/>
          <w:bCs/>
          <w:sz w:val="21"/>
          <w:szCs w:val="21"/>
        </w:rPr>
      </w:pPr>
    </w:p>
    <w:p w14:paraId="6CFB0E2B">
      <w:pPr>
        <w:spacing w:line="360" w:lineRule="auto"/>
        <w:jc w:val="center"/>
        <w:rPr>
          <w:rFonts w:ascii="宋体" w:hAnsi="宋体"/>
          <w:b/>
          <w:bCs/>
          <w:sz w:val="21"/>
          <w:szCs w:val="21"/>
        </w:rPr>
      </w:pPr>
    </w:p>
    <w:p w14:paraId="532D15C9">
      <w:pPr>
        <w:spacing w:line="360" w:lineRule="auto"/>
        <w:jc w:val="center"/>
        <w:rPr>
          <w:rFonts w:ascii="宋体" w:hAnsi="宋体"/>
          <w:b/>
          <w:bCs/>
          <w:sz w:val="21"/>
          <w:szCs w:val="21"/>
        </w:rPr>
      </w:pPr>
    </w:p>
    <w:p w14:paraId="45766111">
      <w:pPr>
        <w:spacing w:line="360" w:lineRule="auto"/>
        <w:jc w:val="center"/>
        <w:rPr>
          <w:rFonts w:ascii="宋体" w:hAnsi="宋体"/>
          <w:b/>
          <w:bCs/>
          <w:sz w:val="21"/>
          <w:szCs w:val="21"/>
        </w:rPr>
      </w:pPr>
    </w:p>
    <w:p w14:paraId="1F7774A3">
      <w:pPr>
        <w:spacing w:line="360" w:lineRule="auto"/>
        <w:jc w:val="center"/>
        <w:rPr>
          <w:rFonts w:ascii="宋体" w:hAnsi="宋体"/>
          <w:b/>
          <w:bCs/>
          <w:sz w:val="21"/>
          <w:szCs w:val="21"/>
        </w:rPr>
      </w:pPr>
    </w:p>
    <w:p w14:paraId="1DD9803A">
      <w:pPr>
        <w:spacing w:line="360" w:lineRule="auto"/>
        <w:jc w:val="center"/>
        <w:rPr>
          <w:rFonts w:ascii="宋体" w:hAnsi="宋体"/>
          <w:b/>
          <w:bCs/>
          <w:sz w:val="21"/>
          <w:szCs w:val="21"/>
        </w:rPr>
      </w:pPr>
    </w:p>
    <w:p w14:paraId="40563B98">
      <w:pPr>
        <w:rPr>
          <w:rFonts w:ascii="宋体" w:hAnsi="宋体"/>
          <w:b/>
          <w:bCs/>
          <w:sz w:val="21"/>
          <w:szCs w:val="21"/>
        </w:rPr>
      </w:pPr>
      <w:r>
        <w:rPr>
          <w:rFonts w:ascii="宋体" w:hAnsi="宋体"/>
          <w:b/>
          <w:bCs/>
          <w:sz w:val="21"/>
          <w:szCs w:val="21"/>
        </w:rPr>
        <w:br w:type="page"/>
      </w:r>
    </w:p>
    <w:p w14:paraId="364ED959">
      <w:pPr>
        <w:spacing w:line="360" w:lineRule="auto"/>
        <w:jc w:val="center"/>
        <w:rPr>
          <w:rFonts w:hint="eastAsia" w:ascii="宋体" w:hAnsi="宋体"/>
          <w:b/>
          <w:bCs/>
          <w:sz w:val="21"/>
          <w:szCs w:val="21"/>
        </w:rPr>
      </w:pPr>
      <w:r>
        <w:rPr>
          <w:rFonts w:ascii="宋体" w:hAnsi="宋体"/>
          <w:b/>
          <w:bCs/>
          <w:sz w:val="21"/>
          <w:szCs w:val="21"/>
        </w:rPr>
        <w:t>工程质量保修书</w:t>
      </w:r>
    </w:p>
    <w:p w14:paraId="42B0E7D5">
      <w:pPr>
        <w:keepNext w:val="0"/>
        <w:keepLines w:val="0"/>
        <w:pageBreakBefore w:val="0"/>
        <w:widowControl w:val="0"/>
        <w:kinsoku/>
        <w:wordWrap/>
        <w:overflowPunct/>
        <w:topLinePunct w:val="0"/>
        <w:autoSpaceDE/>
        <w:autoSpaceDN/>
        <w:bidi w:val="0"/>
        <w:adjustRightInd/>
        <w:snapToGrid/>
        <w:spacing w:line="620" w:lineRule="exact"/>
        <w:ind w:left="0"/>
        <w:jc w:val="left"/>
        <w:textAlignment w:val="auto"/>
        <w:rPr>
          <w:rFonts w:hint="eastAsia" w:ascii="宋体" w:hAnsi="宋体" w:eastAsia="宋体"/>
          <w:sz w:val="21"/>
          <w:szCs w:val="21"/>
          <w:lang w:eastAsia="zh-CN"/>
        </w:rPr>
      </w:pPr>
      <w:r>
        <w:rPr>
          <w:rFonts w:hint="eastAsia" w:ascii="宋体" w:hAnsi="宋体"/>
          <w:sz w:val="21"/>
          <w:szCs w:val="21"/>
        </w:rPr>
        <w:t>发包人（全称）：</w:t>
      </w:r>
      <w:r>
        <w:rPr>
          <w:rFonts w:hint="eastAsia" w:ascii="宋体" w:hAnsi="宋体"/>
          <w:sz w:val="21"/>
          <w:szCs w:val="21"/>
          <w:lang w:eastAsia="zh-CN"/>
        </w:rPr>
        <w:t>浙江省金华监狱</w:t>
      </w:r>
    </w:p>
    <w:p w14:paraId="5F942721">
      <w:pPr>
        <w:keepNext w:val="0"/>
        <w:keepLines w:val="0"/>
        <w:pageBreakBefore w:val="0"/>
        <w:widowControl w:val="0"/>
        <w:kinsoku/>
        <w:wordWrap/>
        <w:overflowPunct/>
        <w:topLinePunct w:val="0"/>
        <w:autoSpaceDE/>
        <w:autoSpaceDN/>
        <w:bidi w:val="0"/>
        <w:adjustRightInd/>
        <w:snapToGrid/>
        <w:spacing w:line="620" w:lineRule="exact"/>
        <w:ind w:left="0"/>
        <w:jc w:val="left"/>
        <w:textAlignment w:val="auto"/>
        <w:rPr>
          <w:rFonts w:hint="eastAsia" w:ascii="宋体" w:hAnsi="宋体"/>
          <w:sz w:val="21"/>
          <w:szCs w:val="21"/>
        </w:rPr>
      </w:pPr>
      <w:r>
        <w:rPr>
          <w:rFonts w:hint="eastAsia" w:ascii="宋体" w:hAnsi="宋体"/>
          <w:sz w:val="21"/>
          <w:szCs w:val="21"/>
        </w:rPr>
        <w:t xml:space="preserve">承包人（全称）：  </w:t>
      </w:r>
    </w:p>
    <w:p w14:paraId="3E90EF31">
      <w:pPr>
        <w:keepNext w:val="0"/>
        <w:keepLines w:val="0"/>
        <w:pageBreakBefore w:val="0"/>
        <w:widowControl w:val="0"/>
        <w:kinsoku/>
        <w:wordWrap/>
        <w:overflowPunct/>
        <w:topLinePunct w:val="0"/>
        <w:autoSpaceDE/>
        <w:autoSpaceDN/>
        <w:bidi w:val="0"/>
        <w:adjustRightInd/>
        <w:snapToGrid/>
        <w:spacing w:line="620" w:lineRule="exact"/>
        <w:ind w:left="0" w:firstLine="420" w:firstLineChars="200"/>
        <w:jc w:val="left"/>
        <w:textAlignment w:val="auto"/>
        <w:rPr>
          <w:rFonts w:ascii="宋体" w:hAnsi="宋体"/>
          <w:sz w:val="21"/>
          <w:szCs w:val="21"/>
        </w:rPr>
      </w:pPr>
      <w:r>
        <w:rPr>
          <w:rFonts w:hint="eastAsia" w:ascii="宋体" w:hAnsi="宋体"/>
          <w:sz w:val="21"/>
          <w:szCs w:val="21"/>
        </w:rPr>
        <w:t>在合理使用年限内正常使用，</w:t>
      </w:r>
      <w:r>
        <w:rPr>
          <w:rFonts w:ascii="宋体" w:hAnsi="宋体"/>
          <w:sz w:val="21"/>
          <w:szCs w:val="21"/>
        </w:rPr>
        <w:t>发包人、承包人根据《中华人民共和国建筑法》、《建设工程质量管理条例》和《房屋建筑工程质量保修办法》</w:t>
      </w:r>
      <w:r>
        <w:rPr>
          <w:rFonts w:hint="eastAsia" w:ascii="宋体" w:hAnsi="宋体"/>
          <w:sz w:val="21"/>
          <w:szCs w:val="21"/>
        </w:rPr>
        <w:t>及双方约定承担工程质量保修责任，</w:t>
      </w:r>
      <w:r>
        <w:rPr>
          <w:rFonts w:ascii="宋体" w:hAnsi="宋体"/>
          <w:sz w:val="21"/>
          <w:szCs w:val="21"/>
        </w:rPr>
        <w:t>经协商一致，对</w:t>
      </w:r>
      <w:r>
        <w:rPr>
          <w:rFonts w:hint="eastAsia" w:ascii="宋体" w:hAnsi="宋体"/>
          <w:sz w:val="21"/>
          <w:szCs w:val="21"/>
          <w:u w:val="single"/>
          <w:lang w:eastAsia="zh-CN"/>
        </w:rPr>
        <w:t>浙江省金华监狱东关押点操场维修工程</w:t>
      </w:r>
      <w:r>
        <w:rPr>
          <w:rFonts w:ascii="宋体" w:hAnsi="宋体"/>
          <w:sz w:val="21"/>
          <w:szCs w:val="21"/>
        </w:rPr>
        <w:t>签定工程质量保修书。</w:t>
      </w:r>
    </w:p>
    <w:p w14:paraId="17B0BD94">
      <w:pPr>
        <w:keepNext w:val="0"/>
        <w:keepLines w:val="0"/>
        <w:pageBreakBefore w:val="0"/>
        <w:widowControl w:val="0"/>
        <w:kinsoku/>
        <w:wordWrap/>
        <w:overflowPunct/>
        <w:topLinePunct w:val="0"/>
        <w:autoSpaceDE/>
        <w:autoSpaceDN/>
        <w:bidi w:val="0"/>
        <w:adjustRightInd/>
        <w:snapToGrid/>
        <w:spacing w:line="620" w:lineRule="exact"/>
        <w:ind w:left="0"/>
        <w:jc w:val="left"/>
        <w:textAlignment w:val="auto"/>
        <w:rPr>
          <w:rFonts w:ascii="宋体" w:hAnsi="宋体"/>
          <w:b/>
          <w:sz w:val="21"/>
          <w:szCs w:val="21"/>
        </w:rPr>
      </w:pPr>
      <w:r>
        <w:rPr>
          <w:rFonts w:hint="eastAsia" w:ascii="宋体" w:hAnsi="宋体"/>
          <w:b/>
          <w:sz w:val="21"/>
          <w:szCs w:val="21"/>
        </w:rPr>
        <w:t>一、</w:t>
      </w:r>
      <w:r>
        <w:rPr>
          <w:rFonts w:ascii="宋体" w:hAnsi="宋体"/>
          <w:b/>
          <w:sz w:val="21"/>
          <w:szCs w:val="21"/>
        </w:rPr>
        <w:t>工程质量保修范围和内容</w:t>
      </w:r>
    </w:p>
    <w:p w14:paraId="7FA0FCE7">
      <w:pPr>
        <w:keepNext w:val="0"/>
        <w:keepLines w:val="0"/>
        <w:pageBreakBefore w:val="0"/>
        <w:widowControl w:val="0"/>
        <w:kinsoku/>
        <w:wordWrap/>
        <w:overflowPunct/>
        <w:topLinePunct w:val="0"/>
        <w:autoSpaceDE/>
        <w:autoSpaceDN/>
        <w:bidi w:val="0"/>
        <w:adjustRightInd/>
        <w:snapToGrid/>
        <w:spacing w:line="620" w:lineRule="exact"/>
        <w:ind w:left="0"/>
        <w:jc w:val="left"/>
        <w:textAlignment w:val="auto"/>
        <w:rPr>
          <w:rFonts w:hint="eastAsia" w:ascii="宋体" w:hAnsi="宋体"/>
          <w:sz w:val="21"/>
          <w:szCs w:val="21"/>
        </w:rPr>
      </w:pPr>
      <w:r>
        <w:rPr>
          <w:rFonts w:ascii="宋体" w:hAnsi="宋体"/>
          <w:sz w:val="21"/>
          <w:szCs w:val="21"/>
        </w:rPr>
        <w:t xml:space="preserve">   </w:t>
      </w:r>
      <w:r>
        <w:rPr>
          <w:rFonts w:hint="eastAsia" w:ascii="宋体" w:hAnsi="宋体"/>
          <w:sz w:val="21"/>
          <w:szCs w:val="21"/>
        </w:rPr>
        <w:t xml:space="preserve"> 质量保修范围包括地基基础工程、主体结构工程、屋面防水工程及双方约定的其他土建工程，以及电气管线、上下水管线的安装工程，供热、供冷系统工程等项目。具体质量保修内容双方约定如下：承包人所施工的</w:t>
      </w:r>
      <w:r>
        <w:rPr>
          <w:rFonts w:hint="eastAsia" w:ascii="宋体" w:hAnsi="宋体"/>
          <w:sz w:val="21"/>
          <w:szCs w:val="21"/>
          <w:u w:val="single"/>
          <w:lang w:eastAsia="zh-CN"/>
        </w:rPr>
        <w:t>浙江省金华监狱东关押点操场维修工程</w:t>
      </w:r>
      <w:r>
        <w:rPr>
          <w:rFonts w:hint="eastAsia" w:ascii="宋体" w:hAnsi="宋体"/>
          <w:sz w:val="21"/>
          <w:szCs w:val="21"/>
        </w:rPr>
        <w:t>施工图内全部内容（本次招标范围内的所有工程）。</w:t>
      </w:r>
    </w:p>
    <w:p w14:paraId="7D85C2D2">
      <w:pPr>
        <w:keepNext w:val="0"/>
        <w:keepLines w:val="0"/>
        <w:pageBreakBefore w:val="0"/>
        <w:widowControl w:val="0"/>
        <w:kinsoku/>
        <w:wordWrap/>
        <w:overflowPunct/>
        <w:topLinePunct w:val="0"/>
        <w:autoSpaceDE/>
        <w:autoSpaceDN/>
        <w:bidi w:val="0"/>
        <w:adjustRightInd/>
        <w:snapToGrid/>
        <w:spacing w:line="620" w:lineRule="exact"/>
        <w:ind w:left="0"/>
        <w:jc w:val="left"/>
        <w:textAlignment w:val="auto"/>
        <w:rPr>
          <w:rFonts w:ascii="宋体" w:hAnsi="宋体"/>
          <w:b/>
          <w:sz w:val="21"/>
          <w:szCs w:val="21"/>
        </w:rPr>
      </w:pPr>
      <w:r>
        <w:rPr>
          <w:rFonts w:hint="eastAsia" w:ascii="宋体" w:hAnsi="宋体"/>
          <w:b/>
          <w:sz w:val="21"/>
          <w:szCs w:val="21"/>
        </w:rPr>
        <w:t>二、</w:t>
      </w:r>
      <w:r>
        <w:rPr>
          <w:rFonts w:ascii="宋体" w:hAnsi="宋体"/>
          <w:b/>
          <w:sz w:val="21"/>
          <w:szCs w:val="21"/>
        </w:rPr>
        <w:t>质量保修期</w:t>
      </w:r>
    </w:p>
    <w:p w14:paraId="6C81F777">
      <w:pPr>
        <w:keepNext w:val="0"/>
        <w:keepLines w:val="0"/>
        <w:pageBreakBefore w:val="0"/>
        <w:widowControl w:val="0"/>
        <w:kinsoku/>
        <w:wordWrap/>
        <w:overflowPunct/>
        <w:topLinePunct w:val="0"/>
        <w:autoSpaceDE/>
        <w:autoSpaceDN/>
        <w:bidi w:val="0"/>
        <w:adjustRightInd/>
        <w:snapToGrid/>
        <w:spacing w:line="620" w:lineRule="exact"/>
        <w:ind w:left="0"/>
        <w:jc w:val="left"/>
        <w:textAlignment w:val="auto"/>
        <w:rPr>
          <w:rFonts w:ascii="宋体" w:hAnsi="宋体"/>
          <w:sz w:val="21"/>
          <w:szCs w:val="21"/>
        </w:rPr>
      </w:pPr>
      <w:r>
        <w:rPr>
          <w:rFonts w:ascii="宋体" w:hAnsi="宋体"/>
          <w:sz w:val="21"/>
          <w:szCs w:val="21"/>
        </w:rPr>
        <w:t>双方根据《建设工程质量管理条例》及有关规定，</w:t>
      </w:r>
      <w:r>
        <w:rPr>
          <w:rFonts w:hint="eastAsia" w:ascii="宋体" w:hAnsi="宋体"/>
          <w:sz w:val="21"/>
          <w:szCs w:val="21"/>
        </w:rPr>
        <w:t>结合具体工程</w:t>
      </w:r>
      <w:r>
        <w:rPr>
          <w:rFonts w:ascii="宋体" w:hAnsi="宋体"/>
          <w:sz w:val="21"/>
          <w:szCs w:val="21"/>
        </w:rPr>
        <w:t>约定本工程的质量保修期如下：</w:t>
      </w:r>
    </w:p>
    <w:p w14:paraId="59B94E96">
      <w:pPr>
        <w:keepNext w:val="0"/>
        <w:keepLines w:val="0"/>
        <w:pageBreakBefore w:val="0"/>
        <w:widowControl w:val="0"/>
        <w:kinsoku/>
        <w:wordWrap/>
        <w:overflowPunct/>
        <w:topLinePunct w:val="0"/>
        <w:autoSpaceDE/>
        <w:autoSpaceDN/>
        <w:bidi w:val="0"/>
        <w:adjustRightInd/>
        <w:snapToGrid/>
        <w:spacing w:line="620" w:lineRule="exact"/>
        <w:ind w:left="0"/>
        <w:jc w:val="left"/>
        <w:textAlignment w:val="auto"/>
        <w:rPr>
          <w:rFonts w:ascii="宋体" w:hAnsi="宋体"/>
          <w:sz w:val="21"/>
          <w:szCs w:val="21"/>
        </w:rPr>
      </w:pPr>
      <w:r>
        <w:rPr>
          <w:rFonts w:hint="eastAsia" w:ascii="宋体" w:hAnsi="宋体"/>
          <w:sz w:val="21"/>
          <w:szCs w:val="21"/>
        </w:rPr>
        <w:t>1</w:t>
      </w:r>
      <w:r>
        <w:rPr>
          <w:rFonts w:ascii="宋体" w:hAnsi="宋体"/>
          <w:b/>
          <w:sz w:val="21"/>
          <w:szCs w:val="21"/>
        </w:rPr>
        <w:t>、</w:t>
      </w:r>
      <w:r>
        <w:rPr>
          <w:rFonts w:ascii="宋体" w:hAnsi="宋体"/>
          <w:sz w:val="21"/>
          <w:szCs w:val="21"/>
        </w:rPr>
        <w:t>地基基础工程和主体结构工程为设计文件规定的该工程合理使用年限；</w:t>
      </w:r>
    </w:p>
    <w:p w14:paraId="7F161F94">
      <w:pPr>
        <w:keepNext w:val="0"/>
        <w:keepLines w:val="0"/>
        <w:pageBreakBefore w:val="0"/>
        <w:widowControl w:val="0"/>
        <w:kinsoku/>
        <w:wordWrap/>
        <w:overflowPunct/>
        <w:topLinePunct w:val="0"/>
        <w:autoSpaceDE/>
        <w:autoSpaceDN/>
        <w:bidi w:val="0"/>
        <w:adjustRightInd/>
        <w:snapToGrid/>
        <w:spacing w:line="620" w:lineRule="exact"/>
        <w:ind w:left="0"/>
        <w:jc w:val="left"/>
        <w:textAlignment w:val="auto"/>
        <w:rPr>
          <w:rFonts w:ascii="宋体" w:hAnsi="宋体"/>
          <w:sz w:val="21"/>
          <w:szCs w:val="21"/>
        </w:rPr>
      </w:pPr>
      <w:r>
        <w:rPr>
          <w:rFonts w:hint="eastAsia" w:ascii="宋体" w:hAnsi="宋体"/>
          <w:sz w:val="21"/>
          <w:szCs w:val="21"/>
        </w:rPr>
        <w:t>2</w:t>
      </w:r>
      <w:r>
        <w:rPr>
          <w:rFonts w:ascii="宋体" w:hAnsi="宋体"/>
          <w:b/>
          <w:sz w:val="21"/>
          <w:szCs w:val="21"/>
        </w:rPr>
        <w:t>、</w:t>
      </w:r>
      <w:r>
        <w:rPr>
          <w:rFonts w:ascii="宋体" w:hAnsi="宋体"/>
          <w:sz w:val="21"/>
          <w:szCs w:val="21"/>
        </w:rPr>
        <w:t>屋面防水工程、有防水要求的卫生间、房间和外墙的防渗漏为</w:t>
      </w:r>
      <w:r>
        <w:rPr>
          <w:rFonts w:hint="eastAsia" w:ascii="宋体" w:hAnsi="宋体"/>
          <w:sz w:val="21"/>
          <w:szCs w:val="21"/>
          <w:u w:val="single"/>
        </w:rPr>
        <w:t xml:space="preserve"> </w:t>
      </w:r>
      <w:r>
        <w:rPr>
          <w:rFonts w:hint="eastAsia" w:ascii="宋体" w:hAnsi="宋体"/>
          <w:b/>
          <w:sz w:val="21"/>
          <w:szCs w:val="21"/>
          <w:u w:val="single"/>
        </w:rPr>
        <w:t xml:space="preserve">伍 </w:t>
      </w:r>
      <w:r>
        <w:rPr>
          <w:rFonts w:ascii="宋体" w:hAnsi="宋体"/>
          <w:sz w:val="21"/>
          <w:szCs w:val="21"/>
        </w:rPr>
        <w:t>年；</w:t>
      </w:r>
    </w:p>
    <w:p w14:paraId="20C2CF8D">
      <w:pPr>
        <w:keepNext w:val="0"/>
        <w:keepLines w:val="0"/>
        <w:pageBreakBefore w:val="0"/>
        <w:widowControl w:val="0"/>
        <w:kinsoku/>
        <w:wordWrap/>
        <w:overflowPunct/>
        <w:topLinePunct w:val="0"/>
        <w:autoSpaceDE/>
        <w:autoSpaceDN/>
        <w:bidi w:val="0"/>
        <w:adjustRightInd/>
        <w:snapToGrid/>
        <w:spacing w:line="620" w:lineRule="exact"/>
        <w:ind w:left="0"/>
        <w:jc w:val="left"/>
        <w:textAlignment w:val="auto"/>
        <w:rPr>
          <w:rFonts w:ascii="宋体" w:hAnsi="宋体"/>
          <w:sz w:val="21"/>
          <w:szCs w:val="21"/>
        </w:rPr>
      </w:pPr>
      <w:r>
        <w:rPr>
          <w:rFonts w:hint="eastAsia" w:ascii="宋体" w:hAnsi="宋体"/>
          <w:sz w:val="21"/>
          <w:szCs w:val="21"/>
        </w:rPr>
        <w:t>3</w:t>
      </w:r>
      <w:r>
        <w:rPr>
          <w:rFonts w:ascii="宋体" w:hAnsi="宋体"/>
          <w:b/>
          <w:sz w:val="21"/>
          <w:szCs w:val="21"/>
        </w:rPr>
        <w:t>、</w:t>
      </w:r>
      <w:r>
        <w:rPr>
          <w:rFonts w:ascii="宋体" w:hAnsi="宋体"/>
          <w:sz w:val="21"/>
          <w:szCs w:val="21"/>
        </w:rPr>
        <w:t xml:space="preserve">装修工程为 </w:t>
      </w:r>
      <w:r>
        <w:rPr>
          <w:rFonts w:ascii="宋体" w:hAnsi="宋体"/>
          <w:b/>
          <w:sz w:val="21"/>
          <w:szCs w:val="21"/>
          <w:u w:val="single"/>
        </w:rPr>
        <w:t xml:space="preserve"> </w:t>
      </w:r>
      <w:r>
        <w:rPr>
          <w:rFonts w:hint="eastAsia" w:ascii="宋体" w:hAnsi="宋体"/>
          <w:b/>
          <w:sz w:val="21"/>
          <w:szCs w:val="21"/>
          <w:u w:val="single"/>
        </w:rPr>
        <w:t>贰</w:t>
      </w:r>
      <w:r>
        <w:rPr>
          <w:rFonts w:ascii="宋体" w:hAnsi="宋体"/>
          <w:b/>
          <w:sz w:val="21"/>
          <w:szCs w:val="21"/>
          <w:u w:val="single"/>
        </w:rPr>
        <w:t xml:space="preserve"> </w:t>
      </w:r>
      <w:r>
        <w:rPr>
          <w:rFonts w:ascii="宋体" w:hAnsi="宋体"/>
          <w:sz w:val="21"/>
          <w:szCs w:val="21"/>
        </w:rPr>
        <w:t xml:space="preserve"> 年；</w:t>
      </w:r>
    </w:p>
    <w:p w14:paraId="32A00BB2">
      <w:pPr>
        <w:keepNext w:val="0"/>
        <w:keepLines w:val="0"/>
        <w:pageBreakBefore w:val="0"/>
        <w:widowControl w:val="0"/>
        <w:kinsoku/>
        <w:wordWrap/>
        <w:overflowPunct/>
        <w:topLinePunct w:val="0"/>
        <w:autoSpaceDE/>
        <w:autoSpaceDN/>
        <w:bidi w:val="0"/>
        <w:adjustRightInd/>
        <w:snapToGrid/>
        <w:spacing w:line="620" w:lineRule="exact"/>
        <w:ind w:left="0"/>
        <w:jc w:val="left"/>
        <w:textAlignment w:val="auto"/>
        <w:rPr>
          <w:rFonts w:ascii="宋体" w:hAnsi="宋体"/>
          <w:sz w:val="21"/>
          <w:szCs w:val="21"/>
        </w:rPr>
      </w:pPr>
      <w:r>
        <w:rPr>
          <w:rFonts w:hint="eastAsia" w:ascii="宋体" w:hAnsi="宋体"/>
          <w:sz w:val="21"/>
          <w:szCs w:val="21"/>
        </w:rPr>
        <w:t>4</w:t>
      </w:r>
      <w:r>
        <w:rPr>
          <w:rFonts w:ascii="宋体" w:hAnsi="宋体"/>
          <w:b/>
          <w:sz w:val="21"/>
          <w:szCs w:val="21"/>
        </w:rPr>
        <w:t>、</w:t>
      </w:r>
      <w:r>
        <w:rPr>
          <w:rFonts w:ascii="宋体" w:hAnsi="宋体"/>
          <w:sz w:val="21"/>
          <w:szCs w:val="21"/>
        </w:rPr>
        <w:t xml:space="preserve">电气管线、给排水管道、设备安装工程为 </w:t>
      </w:r>
      <w:r>
        <w:rPr>
          <w:rFonts w:ascii="宋体" w:hAnsi="宋体"/>
          <w:b/>
          <w:sz w:val="21"/>
          <w:szCs w:val="21"/>
          <w:u w:val="single"/>
        </w:rPr>
        <w:t xml:space="preserve"> </w:t>
      </w:r>
      <w:r>
        <w:rPr>
          <w:rFonts w:hint="eastAsia" w:ascii="宋体" w:hAnsi="宋体"/>
          <w:b/>
          <w:sz w:val="21"/>
          <w:szCs w:val="21"/>
          <w:u w:val="single"/>
        </w:rPr>
        <w:t xml:space="preserve">贰 </w:t>
      </w:r>
      <w:r>
        <w:rPr>
          <w:rFonts w:ascii="宋体" w:hAnsi="宋体"/>
          <w:sz w:val="21"/>
          <w:szCs w:val="21"/>
        </w:rPr>
        <w:t xml:space="preserve"> 年；</w:t>
      </w:r>
    </w:p>
    <w:p w14:paraId="12846142">
      <w:pPr>
        <w:keepNext w:val="0"/>
        <w:keepLines w:val="0"/>
        <w:pageBreakBefore w:val="0"/>
        <w:widowControl w:val="0"/>
        <w:kinsoku/>
        <w:wordWrap/>
        <w:overflowPunct/>
        <w:topLinePunct w:val="0"/>
        <w:autoSpaceDE/>
        <w:autoSpaceDN/>
        <w:bidi w:val="0"/>
        <w:adjustRightInd/>
        <w:snapToGrid/>
        <w:spacing w:line="620" w:lineRule="exact"/>
        <w:ind w:left="0"/>
        <w:jc w:val="left"/>
        <w:textAlignment w:val="auto"/>
        <w:rPr>
          <w:rFonts w:ascii="宋体" w:hAnsi="宋体"/>
          <w:sz w:val="21"/>
          <w:szCs w:val="21"/>
        </w:rPr>
      </w:pPr>
      <w:r>
        <w:rPr>
          <w:rFonts w:hint="eastAsia" w:ascii="宋体" w:hAnsi="宋体"/>
          <w:sz w:val="21"/>
          <w:szCs w:val="21"/>
        </w:rPr>
        <w:t>5</w:t>
      </w:r>
      <w:r>
        <w:rPr>
          <w:rFonts w:ascii="宋体" w:hAnsi="宋体"/>
          <w:b/>
          <w:sz w:val="21"/>
          <w:szCs w:val="21"/>
        </w:rPr>
        <w:t>、</w:t>
      </w:r>
      <w:r>
        <w:rPr>
          <w:rFonts w:ascii="宋体" w:hAnsi="宋体"/>
          <w:sz w:val="21"/>
          <w:szCs w:val="21"/>
        </w:rPr>
        <w:t xml:space="preserve">供热与供冷系统为 </w:t>
      </w:r>
      <w:r>
        <w:rPr>
          <w:rFonts w:ascii="宋体" w:hAnsi="宋体"/>
          <w:b/>
          <w:sz w:val="21"/>
          <w:szCs w:val="21"/>
          <w:u w:val="single"/>
        </w:rPr>
        <w:t xml:space="preserve"> </w:t>
      </w:r>
      <w:r>
        <w:rPr>
          <w:rFonts w:hint="eastAsia" w:ascii="宋体" w:hAnsi="宋体"/>
          <w:b/>
          <w:sz w:val="21"/>
          <w:szCs w:val="21"/>
          <w:u w:val="single"/>
        </w:rPr>
        <w:t>贰</w:t>
      </w:r>
      <w:r>
        <w:rPr>
          <w:rFonts w:ascii="宋体" w:hAnsi="宋体"/>
          <w:b/>
          <w:sz w:val="21"/>
          <w:szCs w:val="21"/>
          <w:u w:val="single"/>
        </w:rPr>
        <w:t xml:space="preserve"> </w:t>
      </w:r>
      <w:r>
        <w:rPr>
          <w:rFonts w:ascii="宋体" w:hAnsi="宋体"/>
          <w:sz w:val="21"/>
          <w:szCs w:val="21"/>
        </w:rPr>
        <w:t xml:space="preserve"> 个采暖期、供冷期；</w:t>
      </w:r>
    </w:p>
    <w:p w14:paraId="580BA13E">
      <w:pPr>
        <w:keepNext w:val="0"/>
        <w:keepLines w:val="0"/>
        <w:pageBreakBefore w:val="0"/>
        <w:widowControl w:val="0"/>
        <w:kinsoku/>
        <w:wordWrap/>
        <w:overflowPunct/>
        <w:topLinePunct w:val="0"/>
        <w:autoSpaceDE/>
        <w:autoSpaceDN/>
        <w:bidi w:val="0"/>
        <w:adjustRightInd/>
        <w:snapToGrid/>
        <w:spacing w:line="620" w:lineRule="exact"/>
        <w:ind w:left="0"/>
        <w:jc w:val="left"/>
        <w:textAlignment w:val="auto"/>
        <w:rPr>
          <w:rFonts w:ascii="宋体" w:hAnsi="宋体"/>
          <w:sz w:val="21"/>
          <w:szCs w:val="21"/>
        </w:rPr>
      </w:pPr>
      <w:r>
        <w:rPr>
          <w:rFonts w:hint="eastAsia" w:ascii="宋体" w:hAnsi="宋体"/>
          <w:sz w:val="21"/>
          <w:szCs w:val="21"/>
        </w:rPr>
        <w:t>6</w:t>
      </w:r>
      <w:r>
        <w:rPr>
          <w:rFonts w:ascii="宋体" w:hAnsi="宋体"/>
          <w:b/>
          <w:sz w:val="21"/>
          <w:szCs w:val="21"/>
        </w:rPr>
        <w:t>、</w:t>
      </w:r>
      <w:r>
        <w:rPr>
          <w:rFonts w:ascii="宋体" w:hAnsi="宋体"/>
          <w:sz w:val="21"/>
          <w:szCs w:val="21"/>
        </w:rPr>
        <w:t xml:space="preserve">给排水设施、道路等配套工程为 </w:t>
      </w:r>
      <w:r>
        <w:rPr>
          <w:rFonts w:ascii="宋体" w:hAnsi="宋体"/>
          <w:b/>
          <w:sz w:val="21"/>
          <w:szCs w:val="21"/>
          <w:u w:val="single"/>
        </w:rPr>
        <w:t xml:space="preserve"> </w:t>
      </w:r>
      <w:r>
        <w:rPr>
          <w:rFonts w:hint="eastAsia" w:ascii="宋体" w:hAnsi="宋体"/>
          <w:b/>
          <w:sz w:val="21"/>
          <w:szCs w:val="21"/>
          <w:u w:val="single"/>
        </w:rPr>
        <w:t>贰</w:t>
      </w:r>
      <w:r>
        <w:rPr>
          <w:rFonts w:ascii="宋体" w:hAnsi="宋体"/>
          <w:b/>
          <w:sz w:val="21"/>
          <w:szCs w:val="21"/>
          <w:u w:val="single"/>
        </w:rPr>
        <w:t xml:space="preserve"> </w:t>
      </w:r>
      <w:r>
        <w:rPr>
          <w:rFonts w:ascii="宋体" w:hAnsi="宋体"/>
          <w:sz w:val="21"/>
          <w:szCs w:val="21"/>
        </w:rPr>
        <w:t xml:space="preserve"> 年；</w:t>
      </w:r>
    </w:p>
    <w:p w14:paraId="08A808D8">
      <w:pPr>
        <w:keepNext w:val="0"/>
        <w:keepLines w:val="0"/>
        <w:pageBreakBefore w:val="0"/>
        <w:widowControl w:val="0"/>
        <w:kinsoku/>
        <w:wordWrap/>
        <w:overflowPunct/>
        <w:topLinePunct w:val="0"/>
        <w:autoSpaceDE/>
        <w:autoSpaceDN/>
        <w:bidi w:val="0"/>
        <w:adjustRightInd/>
        <w:snapToGrid/>
        <w:spacing w:line="620" w:lineRule="exact"/>
        <w:ind w:left="0"/>
        <w:jc w:val="left"/>
        <w:textAlignment w:val="auto"/>
        <w:rPr>
          <w:rFonts w:hint="eastAsia" w:ascii="宋体" w:hAnsi="宋体"/>
          <w:sz w:val="21"/>
          <w:szCs w:val="21"/>
        </w:rPr>
      </w:pPr>
      <w:r>
        <w:rPr>
          <w:rFonts w:hint="eastAsia" w:ascii="宋体" w:hAnsi="宋体"/>
          <w:sz w:val="21"/>
          <w:szCs w:val="21"/>
        </w:rPr>
        <w:t>7</w:t>
      </w:r>
      <w:r>
        <w:rPr>
          <w:rFonts w:ascii="宋体" w:hAnsi="宋体"/>
          <w:b/>
          <w:sz w:val="21"/>
          <w:szCs w:val="21"/>
        </w:rPr>
        <w:t>、</w:t>
      </w:r>
      <w:r>
        <w:rPr>
          <w:rFonts w:ascii="宋体" w:hAnsi="宋体"/>
          <w:sz w:val="21"/>
          <w:szCs w:val="21"/>
        </w:rPr>
        <w:t>其他项目保修期限约定如下：</w:t>
      </w:r>
    </w:p>
    <w:p w14:paraId="13306975">
      <w:pPr>
        <w:keepNext w:val="0"/>
        <w:keepLines w:val="0"/>
        <w:pageBreakBefore w:val="0"/>
        <w:widowControl w:val="0"/>
        <w:kinsoku/>
        <w:wordWrap/>
        <w:overflowPunct/>
        <w:topLinePunct w:val="0"/>
        <w:autoSpaceDE/>
        <w:autoSpaceDN/>
        <w:bidi w:val="0"/>
        <w:adjustRightInd/>
        <w:snapToGrid/>
        <w:spacing w:line="620" w:lineRule="exact"/>
        <w:ind w:left="0"/>
        <w:jc w:val="left"/>
        <w:textAlignment w:val="auto"/>
        <w:rPr>
          <w:rFonts w:ascii="宋体" w:hAnsi="宋体"/>
          <w:sz w:val="21"/>
          <w:szCs w:val="21"/>
          <w:u w:val="single"/>
        </w:rPr>
      </w:pPr>
      <w:r>
        <w:rPr>
          <w:rFonts w:hint="eastAsia" w:ascii="宋体" w:hAnsi="宋体"/>
          <w:sz w:val="21"/>
          <w:szCs w:val="21"/>
        </w:rPr>
        <w:t>质量保修期自工程竣工验收合格之日起计算。</w:t>
      </w:r>
    </w:p>
    <w:p w14:paraId="777A880D">
      <w:pPr>
        <w:keepNext w:val="0"/>
        <w:keepLines w:val="0"/>
        <w:pageBreakBefore w:val="0"/>
        <w:widowControl w:val="0"/>
        <w:kinsoku/>
        <w:wordWrap/>
        <w:overflowPunct/>
        <w:topLinePunct w:val="0"/>
        <w:autoSpaceDE/>
        <w:autoSpaceDN/>
        <w:bidi w:val="0"/>
        <w:adjustRightInd/>
        <w:snapToGrid/>
        <w:spacing w:line="620" w:lineRule="exact"/>
        <w:ind w:left="0"/>
        <w:jc w:val="left"/>
        <w:textAlignment w:val="auto"/>
        <w:rPr>
          <w:rFonts w:ascii="宋体" w:hAnsi="宋体"/>
          <w:b/>
          <w:sz w:val="21"/>
          <w:szCs w:val="21"/>
        </w:rPr>
      </w:pPr>
      <w:r>
        <w:rPr>
          <w:rFonts w:hint="eastAsia" w:ascii="宋体" w:hAnsi="宋体"/>
          <w:b/>
          <w:sz w:val="21"/>
          <w:szCs w:val="21"/>
        </w:rPr>
        <w:t>三、</w:t>
      </w:r>
      <w:r>
        <w:rPr>
          <w:rFonts w:ascii="宋体" w:hAnsi="宋体"/>
          <w:b/>
          <w:sz w:val="21"/>
          <w:szCs w:val="21"/>
        </w:rPr>
        <w:t>质量保修责任</w:t>
      </w:r>
    </w:p>
    <w:p w14:paraId="72B0913E">
      <w:pPr>
        <w:keepNext w:val="0"/>
        <w:keepLines w:val="0"/>
        <w:pageBreakBefore w:val="0"/>
        <w:widowControl w:val="0"/>
        <w:kinsoku/>
        <w:wordWrap/>
        <w:overflowPunct/>
        <w:topLinePunct w:val="0"/>
        <w:autoSpaceDE/>
        <w:autoSpaceDN/>
        <w:bidi w:val="0"/>
        <w:adjustRightInd/>
        <w:snapToGrid/>
        <w:spacing w:line="620" w:lineRule="exact"/>
        <w:ind w:left="0"/>
        <w:jc w:val="left"/>
        <w:textAlignment w:val="auto"/>
        <w:rPr>
          <w:rFonts w:ascii="宋体" w:hAnsi="宋体"/>
          <w:sz w:val="21"/>
          <w:szCs w:val="21"/>
        </w:rPr>
      </w:pPr>
      <w:r>
        <w:rPr>
          <w:rFonts w:hint="eastAsia" w:ascii="宋体" w:hAnsi="宋体"/>
          <w:sz w:val="21"/>
          <w:szCs w:val="21"/>
        </w:rPr>
        <w:t>1</w:t>
      </w:r>
      <w:r>
        <w:rPr>
          <w:rFonts w:ascii="宋体" w:hAnsi="宋体"/>
          <w:b/>
          <w:sz w:val="21"/>
          <w:szCs w:val="21"/>
        </w:rPr>
        <w:t>、</w:t>
      </w:r>
      <w:r>
        <w:rPr>
          <w:rFonts w:ascii="宋体" w:hAnsi="宋体"/>
          <w:sz w:val="21"/>
          <w:szCs w:val="21"/>
        </w:rPr>
        <w:t>属于保修范围、内容的项目，承包人应当在接到保修通知之日起7天内派人保修。 承包人不在约定期限内派人保修的，发包人</w:t>
      </w:r>
      <w:r>
        <w:rPr>
          <w:rFonts w:hint="eastAsia" w:ascii="宋体" w:hAnsi="宋体"/>
          <w:sz w:val="21"/>
          <w:szCs w:val="21"/>
        </w:rPr>
        <w:t>书面通知承包人，在要求日期内（10天内）仍无响应及落实保修工作的，发包人将自行安排人员进行维修，维修费用经第三方预算后按预算价100%从保修金中扣除</w:t>
      </w:r>
      <w:r>
        <w:rPr>
          <w:rFonts w:ascii="宋体" w:hAnsi="宋体"/>
          <w:sz w:val="21"/>
          <w:szCs w:val="21"/>
        </w:rPr>
        <w:t>。</w:t>
      </w:r>
    </w:p>
    <w:p w14:paraId="152B5E00">
      <w:pPr>
        <w:keepNext w:val="0"/>
        <w:keepLines w:val="0"/>
        <w:pageBreakBefore w:val="0"/>
        <w:widowControl w:val="0"/>
        <w:kinsoku/>
        <w:wordWrap/>
        <w:overflowPunct/>
        <w:topLinePunct w:val="0"/>
        <w:autoSpaceDE/>
        <w:autoSpaceDN/>
        <w:bidi w:val="0"/>
        <w:adjustRightInd/>
        <w:snapToGrid/>
        <w:spacing w:line="620" w:lineRule="exact"/>
        <w:ind w:left="0"/>
        <w:jc w:val="left"/>
        <w:textAlignment w:val="auto"/>
        <w:rPr>
          <w:rFonts w:hint="eastAsia" w:ascii="宋体" w:hAnsi="宋体"/>
          <w:sz w:val="21"/>
          <w:szCs w:val="21"/>
        </w:rPr>
      </w:pPr>
      <w:r>
        <w:rPr>
          <w:rFonts w:hint="eastAsia" w:ascii="宋体" w:hAnsi="宋体"/>
          <w:sz w:val="21"/>
          <w:szCs w:val="21"/>
        </w:rPr>
        <w:t>2</w:t>
      </w:r>
      <w:r>
        <w:rPr>
          <w:rFonts w:ascii="宋体" w:hAnsi="宋体"/>
          <w:b/>
          <w:sz w:val="21"/>
          <w:szCs w:val="21"/>
        </w:rPr>
        <w:t>、</w:t>
      </w:r>
      <w:r>
        <w:rPr>
          <w:rFonts w:ascii="宋体" w:hAnsi="宋体"/>
          <w:sz w:val="21"/>
          <w:szCs w:val="21"/>
        </w:rPr>
        <w:t>发生紧急抢修事故</w:t>
      </w:r>
      <w:r>
        <w:rPr>
          <w:rFonts w:hint="eastAsia" w:ascii="宋体" w:hAnsi="宋体"/>
          <w:sz w:val="21"/>
          <w:szCs w:val="21"/>
        </w:rPr>
        <w:t>（如上水跑水、暖气漏水漏气、燃气漏气，厕所严重漏水等）</w:t>
      </w:r>
      <w:r>
        <w:rPr>
          <w:rFonts w:ascii="宋体" w:hAnsi="宋体"/>
          <w:sz w:val="21"/>
          <w:szCs w:val="21"/>
        </w:rPr>
        <w:t>，承包人在接到事故通知后，应当立即到达事故现场抢修</w:t>
      </w:r>
      <w:r>
        <w:rPr>
          <w:rFonts w:hint="eastAsia" w:ascii="宋体" w:hAnsi="宋体"/>
          <w:sz w:val="21"/>
          <w:szCs w:val="21"/>
        </w:rPr>
        <w:t>，非承包人施工质量引起的事故，抢修费用由发包人承担，否则按上述第一款执行。</w:t>
      </w:r>
    </w:p>
    <w:p w14:paraId="5488187D">
      <w:pPr>
        <w:keepNext w:val="0"/>
        <w:keepLines w:val="0"/>
        <w:pageBreakBefore w:val="0"/>
        <w:widowControl w:val="0"/>
        <w:kinsoku/>
        <w:wordWrap/>
        <w:overflowPunct/>
        <w:topLinePunct w:val="0"/>
        <w:autoSpaceDE/>
        <w:autoSpaceDN/>
        <w:bidi w:val="0"/>
        <w:adjustRightInd/>
        <w:snapToGrid/>
        <w:spacing w:line="620" w:lineRule="exact"/>
        <w:ind w:left="0"/>
        <w:jc w:val="left"/>
        <w:textAlignment w:val="auto"/>
        <w:rPr>
          <w:rFonts w:hint="eastAsia" w:ascii="宋体" w:hAnsi="宋体"/>
          <w:sz w:val="21"/>
          <w:szCs w:val="21"/>
        </w:rPr>
      </w:pPr>
      <w:r>
        <w:rPr>
          <w:rFonts w:hint="eastAsia" w:ascii="宋体" w:hAnsi="宋体"/>
          <w:sz w:val="21"/>
          <w:szCs w:val="21"/>
        </w:rPr>
        <w:t>3、国家规定的工程合理使用期限内，承包人确保地基基础工程和主体结构的质量。因承包人原因致使工程合理使用期限内造成人身财产损失的，承包人应承担损害赔偿责任。</w:t>
      </w:r>
    </w:p>
    <w:p w14:paraId="0D8E284F">
      <w:pPr>
        <w:keepNext w:val="0"/>
        <w:keepLines w:val="0"/>
        <w:pageBreakBefore w:val="0"/>
        <w:widowControl w:val="0"/>
        <w:kinsoku/>
        <w:wordWrap/>
        <w:overflowPunct/>
        <w:topLinePunct w:val="0"/>
        <w:autoSpaceDE/>
        <w:autoSpaceDN/>
        <w:bidi w:val="0"/>
        <w:adjustRightInd/>
        <w:snapToGrid/>
        <w:spacing w:line="620" w:lineRule="exact"/>
        <w:ind w:left="0"/>
        <w:jc w:val="left"/>
        <w:textAlignment w:val="auto"/>
        <w:rPr>
          <w:rFonts w:ascii="宋体" w:hAnsi="宋体"/>
          <w:sz w:val="21"/>
          <w:szCs w:val="21"/>
        </w:rPr>
      </w:pPr>
      <w:r>
        <w:rPr>
          <w:rFonts w:hint="eastAsia" w:ascii="宋体" w:hAnsi="宋体"/>
          <w:sz w:val="21"/>
          <w:szCs w:val="21"/>
        </w:rPr>
        <w:t>4</w:t>
      </w:r>
      <w:r>
        <w:rPr>
          <w:rFonts w:ascii="宋体" w:hAnsi="宋体"/>
          <w:b/>
          <w:sz w:val="21"/>
          <w:szCs w:val="21"/>
        </w:rPr>
        <w:t>、</w:t>
      </w:r>
      <w:r>
        <w:rPr>
          <w:rFonts w:ascii="宋体" w:hAnsi="宋体"/>
          <w:sz w:val="21"/>
          <w:szCs w:val="21"/>
        </w:rPr>
        <w:t>对于涉及结构安全的质量问题，应当按照《</w:t>
      </w:r>
      <w:r>
        <w:rPr>
          <w:rFonts w:hint="eastAsia" w:ascii="宋体" w:hAnsi="宋体"/>
          <w:sz w:val="21"/>
          <w:szCs w:val="21"/>
        </w:rPr>
        <w:t>房屋建筑工程质量保修办法</w:t>
      </w:r>
      <w:r>
        <w:rPr>
          <w:rFonts w:ascii="宋体" w:hAnsi="宋体"/>
          <w:sz w:val="21"/>
          <w:szCs w:val="21"/>
        </w:rPr>
        <w:t>》的规定，立即向当地建设行政主管部门报告，采取安全防范措施；由原设计单位或者具有相应资质等级的设计单位提出保修方案，承包人实施保修。</w:t>
      </w:r>
    </w:p>
    <w:p w14:paraId="41753314">
      <w:pPr>
        <w:keepNext w:val="0"/>
        <w:keepLines w:val="0"/>
        <w:pageBreakBefore w:val="0"/>
        <w:widowControl w:val="0"/>
        <w:kinsoku/>
        <w:wordWrap/>
        <w:overflowPunct/>
        <w:topLinePunct w:val="0"/>
        <w:autoSpaceDE/>
        <w:autoSpaceDN/>
        <w:bidi w:val="0"/>
        <w:adjustRightInd/>
        <w:snapToGrid/>
        <w:spacing w:line="620" w:lineRule="exact"/>
        <w:ind w:left="0"/>
        <w:jc w:val="left"/>
        <w:textAlignment w:val="auto"/>
        <w:rPr>
          <w:rFonts w:hint="eastAsia" w:ascii="宋体" w:hAnsi="宋体"/>
          <w:sz w:val="21"/>
          <w:szCs w:val="21"/>
        </w:rPr>
      </w:pPr>
      <w:r>
        <w:rPr>
          <w:rFonts w:hint="eastAsia" w:ascii="宋体" w:hAnsi="宋体"/>
          <w:sz w:val="21"/>
          <w:szCs w:val="21"/>
        </w:rPr>
        <w:t>5</w:t>
      </w:r>
      <w:r>
        <w:rPr>
          <w:rFonts w:ascii="宋体" w:hAnsi="宋体"/>
          <w:b/>
          <w:sz w:val="21"/>
          <w:szCs w:val="21"/>
        </w:rPr>
        <w:t>、</w:t>
      </w:r>
      <w:r>
        <w:rPr>
          <w:rFonts w:ascii="宋体" w:hAnsi="宋体"/>
          <w:sz w:val="21"/>
          <w:szCs w:val="21"/>
        </w:rPr>
        <w:t>质量保修完成后，由发包人组织验收</w:t>
      </w:r>
      <w:r>
        <w:rPr>
          <w:rFonts w:hint="eastAsia" w:ascii="宋体" w:hAnsi="宋体"/>
          <w:sz w:val="21"/>
          <w:szCs w:val="21"/>
        </w:rPr>
        <w:t xml:space="preserve">，合格后视为完成本次保修 </w:t>
      </w:r>
    </w:p>
    <w:p w14:paraId="595ADA86">
      <w:pPr>
        <w:keepNext w:val="0"/>
        <w:keepLines w:val="0"/>
        <w:pageBreakBefore w:val="0"/>
        <w:widowControl w:val="0"/>
        <w:kinsoku/>
        <w:wordWrap/>
        <w:overflowPunct/>
        <w:topLinePunct w:val="0"/>
        <w:autoSpaceDE/>
        <w:autoSpaceDN/>
        <w:bidi w:val="0"/>
        <w:adjustRightInd/>
        <w:snapToGrid/>
        <w:spacing w:line="620" w:lineRule="exact"/>
        <w:ind w:left="0"/>
        <w:jc w:val="left"/>
        <w:textAlignment w:val="auto"/>
        <w:rPr>
          <w:rFonts w:hint="eastAsia" w:ascii="宋体" w:hAnsi="宋体"/>
          <w:sz w:val="21"/>
          <w:szCs w:val="21"/>
        </w:rPr>
      </w:pPr>
      <w:r>
        <w:rPr>
          <w:rFonts w:hint="eastAsia" w:ascii="宋体" w:hAnsi="宋体"/>
          <w:sz w:val="21"/>
          <w:szCs w:val="21"/>
        </w:rPr>
        <w:t>6、因发包人在使用中的工程对承包人造成维修费用的增加（如施工维护费等）由承包人承担。</w:t>
      </w:r>
    </w:p>
    <w:p w14:paraId="78BF1245">
      <w:pPr>
        <w:keepNext w:val="0"/>
        <w:keepLines w:val="0"/>
        <w:pageBreakBefore w:val="0"/>
        <w:widowControl w:val="0"/>
        <w:kinsoku/>
        <w:wordWrap/>
        <w:overflowPunct/>
        <w:topLinePunct w:val="0"/>
        <w:autoSpaceDE/>
        <w:autoSpaceDN/>
        <w:bidi w:val="0"/>
        <w:adjustRightInd/>
        <w:snapToGrid/>
        <w:spacing w:line="620" w:lineRule="exact"/>
        <w:ind w:left="0"/>
        <w:jc w:val="left"/>
        <w:textAlignment w:val="auto"/>
        <w:rPr>
          <w:rFonts w:hint="eastAsia" w:ascii="宋体" w:hAnsi="宋体"/>
          <w:b/>
          <w:sz w:val="21"/>
          <w:szCs w:val="21"/>
        </w:rPr>
      </w:pPr>
      <w:r>
        <w:rPr>
          <w:rFonts w:hint="eastAsia" w:ascii="宋体" w:hAnsi="宋体"/>
          <w:b/>
          <w:sz w:val="21"/>
          <w:szCs w:val="21"/>
        </w:rPr>
        <w:t>四、质量保修金的支付</w:t>
      </w:r>
    </w:p>
    <w:p w14:paraId="0D1BCB7E">
      <w:pPr>
        <w:pStyle w:val="30"/>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textAlignment w:val="auto"/>
        <w:rPr>
          <w:rFonts w:hint="eastAsia" w:ascii="宋体" w:hAnsi="宋体" w:eastAsia="宋体"/>
          <w:sz w:val="21"/>
          <w:szCs w:val="21"/>
          <w:lang w:eastAsia="zh-CN"/>
        </w:rPr>
      </w:pPr>
      <w:r>
        <w:rPr>
          <w:rFonts w:ascii="宋体" w:hAnsi="宋体"/>
          <w:sz w:val="21"/>
          <w:szCs w:val="21"/>
        </w:rPr>
        <w:t>1、</w:t>
      </w:r>
      <w:r>
        <w:rPr>
          <w:rFonts w:hint="eastAsia" w:ascii="宋体" w:hAnsi="宋体"/>
          <w:sz w:val="21"/>
          <w:szCs w:val="21"/>
        </w:rPr>
        <w:t>本工程约定的工程质量保修金为工程审定价的1.5%</w:t>
      </w:r>
      <w:r>
        <w:rPr>
          <w:rFonts w:hint="eastAsia" w:ascii="宋体" w:hAnsi="宋体"/>
          <w:sz w:val="21"/>
          <w:szCs w:val="21"/>
          <w:lang w:eastAsia="zh-CN"/>
        </w:rPr>
        <w:t>；</w:t>
      </w:r>
    </w:p>
    <w:p w14:paraId="5EE5C516">
      <w:pPr>
        <w:pStyle w:val="30"/>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textAlignment w:val="auto"/>
        <w:rPr>
          <w:color w:val="auto"/>
          <w:sz w:val="21"/>
          <w:szCs w:val="22"/>
          <w:highlight w:val="none"/>
        </w:rPr>
      </w:pPr>
      <w:r>
        <w:rPr>
          <w:rFonts w:hint="eastAsia" w:ascii="宋体" w:hAnsi="宋体"/>
          <w:color w:val="auto"/>
          <w:sz w:val="21"/>
          <w:szCs w:val="21"/>
          <w:highlight w:val="none"/>
          <w:lang w:val="en-US" w:eastAsia="zh-CN"/>
        </w:rPr>
        <w:t>2、</w:t>
      </w:r>
      <w:r>
        <w:rPr>
          <w:rFonts w:hint="eastAsia" w:ascii="宋体" w:hAnsi="宋体"/>
          <w:color w:val="auto"/>
          <w:sz w:val="21"/>
          <w:szCs w:val="21"/>
          <w:highlight w:val="none"/>
          <w:u w:val="none"/>
          <w:lang w:val="en-US" w:eastAsia="zh-CN"/>
        </w:rPr>
        <w:t>质量保修金缴纳形式：以银行转账、保单或保函的方式向招标单位提供质量保修金。</w:t>
      </w:r>
    </w:p>
    <w:p w14:paraId="1723903F">
      <w:pPr>
        <w:keepNext w:val="0"/>
        <w:keepLines w:val="0"/>
        <w:pageBreakBefore w:val="0"/>
        <w:widowControl w:val="0"/>
        <w:kinsoku/>
        <w:wordWrap/>
        <w:overflowPunct/>
        <w:topLinePunct w:val="0"/>
        <w:autoSpaceDE/>
        <w:autoSpaceDN/>
        <w:bidi w:val="0"/>
        <w:adjustRightInd/>
        <w:snapToGrid/>
        <w:spacing w:line="620" w:lineRule="exact"/>
        <w:ind w:left="0"/>
        <w:jc w:val="left"/>
        <w:textAlignment w:val="auto"/>
        <w:rPr>
          <w:rFonts w:ascii="宋体" w:hAnsi="宋体"/>
          <w:sz w:val="21"/>
          <w:szCs w:val="21"/>
          <w:u w:val="single"/>
        </w:rPr>
      </w:pPr>
      <w:r>
        <w:rPr>
          <w:rFonts w:hint="eastAsia" w:ascii="宋体" w:hAnsi="宋体"/>
          <w:sz w:val="21"/>
          <w:szCs w:val="21"/>
          <w:u w:val="single"/>
          <w:lang w:val="en-US" w:eastAsia="zh-CN"/>
        </w:rPr>
        <w:t>3</w:t>
      </w:r>
      <w:r>
        <w:rPr>
          <w:rFonts w:ascii="宋体" w:hAnsi="宋体"/>
          <w:sz w:val="21"/>
          <w:szCs w:val="21"/>
          <w:u w:val="single"/>
        </w:rPr>
        <w:t>、</w:t>
      </w:r>
      <w:r>
        <w:rPr>
          <w:rFonts w:hint="eastAsia" w:ascii="宋体" w:hAnsi="宋体"/>
          <w:sz w:val="21"/>
          <w:szCs w:val="21"/>
          <w:u w:val="single"/>
        </w:rPr>
        <w:t>本工程双方约定承包人向发包人支付</w:t>
      </w:r>
      <w:r>
        <w:rPr>
          <w:rFonts w:hint="eastAsia" w:ascii="宋体" w:hAnsi="宋体"/>
          <w:sz w:val="21"/>
          <w:szCs w:val="21"/>
        </w:rPr>
        <w:t>工程质量保修金</w:t>
      </w:r>
      <w:r>
        <w:rPr>
          <w:rFonts w:hint="eastAsia" w:ascii="宋体" w:hAnsi="宋体"/>
          <w:sz w:val="21"/>
          <w:szCs w:val="21"/>
          <w:u w:val="single"/>
        </w:rPr>
        <w:t>为工程审定价的百分之一点五。</w:t>
      </w:r>
      <w:r>
        <w:rPr>
          <w:rFonts w:hint="eastAsia" w:ascii="宋体" w:hAnsi="宋体"/>
          <w:sz w:val="21"/>
          <w:szCs w:val="21"/>
        </w:rPr>
        <w:t>工程质量保修金</w:t>
      </w:r>
      <w:r>
        <w:rPr>
          <w:rFonts w:hint="eastAsia" w:ascii="宋体" w:hAnsi="宋体"/>
          <w:sz w:val="21"/>
          <w:szCs w:val="21"/>
          <w:u w:val="single"/>
        </w:rPr>
        <w:t>不计银行利息。</w:t>
      </w:r>
    </w:p>
    <w:p w14:paraId="5FF8928C">
      <w:pPr>
        <w:keepNext w:val="0"/>
        <w:keepLines w:val="0"/>
        <w:pageBreakBefore w:val="0"/>
        <w:widowControl w:val="0"/>
        <w:kinsoku/>
        <w:wordWrap/>
        <w:overflowPunct/>
        <w:topLinePunct w:val="0"/>
        <w:autoSpaceDE/>
        <w:autoSpaceDN/>
        <w:bidi w:val="0"/>
        <w:adjustRightInd/>
        <w:snapToGrid/>
        <w:spacing w:line="620" w:lineRule="exact"/>
        <w:ind w:left="0"/>
        <w:jc w:val="left"/>
        <w:textAlignment w:val="auto"/>
        <w:rPr>
          <w:rFonts w:hint="eastAsia" w:ascii="宋体" w:hAnsi="宋体"/>
          <w:b/>
          <w:sz w:val="21"/>
          <w:szCs w:val="21"/>
        </w:rPr>
      </w:pPr>
      <w:r>
        <w:rPr>
          <w:rFonts w:hint="eastAsia" w:ascii="宋体" w:hAnsi="宋体"/>
          <w:b/>
          <w:sz w:val="21"/>
          <w:szCs w:val="21"/>
        </w:rPr>
        <w:t>五、质量保修金的返还</w:t>
      </w:r>
    </w:p>
    <w:p w14:paraId="505C1CBE">
      <w:pPr>
        <w:keepNext w:val="0"/>
        <w:keepLines w:val="0"/>
        <w:pageBreakBefore w:val="0"/>
        <w:widowControl w:val="0"/>
        <w:kinsoku/>
        <w:wordWrap/>
        <w:overflowPunct/>
        <w:topLinePunct w:val="0"/>
        <w:autoSpaceDE/>
        <w:autoSpaceDN/>
        <w:bidi w:val="0"/>
        <w:adjustRightInd/>
        <w:snapToGrid/>
        <w:spacing w:line="620" w:lineRule="exact"/>
        <w:ind w:left="0"/>
        <w:jc w:val="left"/>
        <w:textAlignment w:val="auto"/>
        <w:rPr>
          <w:rFonts w:hint="eastAsia" w:ascii="宋体" w:hAnsi="宋体"/>
          <w:b/>
          <w:sz w:val="21"/>
          <w:szCs w:val="21"/>
          <w:u w:val="single"/>
        </w:rPr>
      </w:pPr>
      <w:r>
        <w:rPr>
          <w:rFonts w:hint="eastAsia" w:ascii="宋体" w:hAnsi="宋体"/>
          <w:b/>
          <w:sz w:val="21"/>
          <w:szCs w:val="21"/>
        </w:rPr>
        <w:t>工程质量保修金的退还：</w:t>
      </w:r>
      <w:r>
        <w:rPr>
          <w:rFonts w:hint="eastAsia" w:ascii="宋体" w:hAnsi="宋体"/>
          <w:b/>
          <w:sz w:val="21"/>
          <w:szCs w:val="21"/>
          <w:u w:val="single"/>
        </w:rPr>
        <w:t>工程竣工验收合格满2年后并质量回访符合要求无任何质量问题，扣除维修费、赔偿金等款项后（如有）无息</w:t>
      </w:r>
      <w:r>
        <w:rPr>
          <w:rFonts w:ascii="宋体" w:hAnsi="宋体"/>
          <w:b/>
          <w:sz w:val="21"/>
          <w:szCs w:val="21"/>
          <w:u w:val="single"/>
        </w:rPr>
        <w:t>退还</w:t>
      </w:r>
      <w:r>
        <w:rPr>
          <w:rFonts w:hint="eastAsia" w:ascii="宋体" w:hAnsi="宋体"/>
          <w:b/>
          <w:sz w:val="21"/>
          <w:szCs w:val="21"/>
          <w:u w:val="single"/>
        </w:rPr>
        <w:t>剩余保修金</w:t>
      </w:r>
      <w:r>
        <w:rPr>
          <w:rFonts w:ascii="宋体" w:hAnsi="宋体"/>
          <w:b/>
          <w:sz w:val="21"/>
          <w:szCs w:val="21"/>
          <w:u w:val="single"/>
        </w:rPr>
        <w:t>质量保修金不计利息）。</w:t>
      </w:r>
    </w:p>
    <w:p w14:paraId="09671516">
      <w:pPr>
        <w:keepNext w:val="0"/>
        <w:keepLines w:val="0"/>
        <w:pageBreakBefore w:val="0"/>
        <w:widowControl w:val="0"/>
        <w:kinsoku/>
        <w:wordWrap/>
        <w:overflowPunct/>
        <w:topLinePunct w:val="0"/>
        <w:autoSpaceDE/>
        <w:autoSpaceDN/>
        <w:bidi w:val="0"/>
        <w:adjustRightInd/>
        <w:snapToGrid/>
        <w:spacing w:line="620" w:lineRule="exact"/>
        <w:ind w:left="0" w:firstLine="600"/>
        <w:jc w:val="left"/>
        <w:textAlignment w:val="auto"/>
        <w:rPr>
          <w:rFonts w:hint="eastAsia" w:ascii="宋体" w:hAnsi="宋体"/>
          <w:sz w:val="21"/>
          <w:szCs w:val="21"/>
        </w:rPr>
      </w:pPr>
      <w:r>
        <w:rPr>
          <w:rFonts w:ascii="宋体" w:hAnsi="宋体"/>
          <w:sz w:val="21"/>
          <w:szCs w:val="21"/>
        </w:rPr>
        <w:t>本工程质量保修书，由施工合同发包人、承包人双方在竣工验收前共同签署，作为施工合同附件，其有效期限至保修期满。</w:t>
      </w:r>
    </w:p>
    <w:p w14:paraId="40307DE2">
      <w:pPr>
        <w:keepNext w:val="0"/>
        <w:keepLines w:val="0"/>
        <w:pageBreakBefore w:val="0"/>
        <w:widowControl w:val="0"/>
        <w:kinsoku/>
        <w:wordWrap/>
        <w:overflowPunct/>
        <w:topLinePunct w:val="0"/>
        <w:autoSpaceDE/>
        <w:autoSpaceDN/>
        <w:bidi w:val="0"/>
        <w:adjustRightInd/>
        <w:snapToGrid/>
        <w:spacing w:line="620" w:lineRule="exact"/>
        <w:ind w:left="0"/>
        <w:textAlignment w:val="auto"/>
        <w:rPr>
          <w:rFonts w:hint="eastAsia" w:ascii="宋体" w:hAnsi="宋体"/>
          <w:sz w:val="21"/>
          <w:szCs w:val="21"/>
          <w:u w:val="single"/>
        </w:rPr>
      </w:pPr>
      <w:r>
        <w:rPr>
          <w:rFonts w:ascii="宋体" w:hAnsi="宋体"/>
          <w:sz w:val="21"/>
          <w:szCs w:val="21"/>
        </w:rPr>
        <w:t>发包人</w:t>
      </w:r>
      <w:r>
        <w:rPr>
          <w:rFonts w:hint="eastAsia" w:ascii="宋体" w:hAnsi="宋体"/>
          <w:sz w:val="21"/>
          <w:szCs w:val="21"/>
        </w:rPr>
        <w:t xml:space="preserve">：  </w:t>
      </w:r>
      <w:r>
        <w:rPr>
          <w:rFonts w:ascii="宋体" w:hAnsi="宋体"/>
          <w:sz w:val="21"/>
          <w:szCs w:val="21"/>
        </w:rPr>
        <w:t>(公章)</w:t>
      </w:r>
      <w:r>
        <w:rPr>
          <w:rFonts w:hint="eastAsia" w:ascii="宋体" w:hAnsi="宋体"/>
          <w:sz w:val="21"/>
          <w:szCs w:val="21"/>
        </w:rPr>
        <w:t xml:space="preserve">                            </w:t>
      </w:r>
      <w:r>
        <w:rPr>
          <w:rFonts w:ascii="宋体" w:hAnsi="宋体"/>
          <w:sz w:val="21"/>
          <w:szCs w:val="21"/>
        </w:rPr>
        <w:t>承包人</w:t>
      </w:r>
      <w:r>
        <w:rPr>
          <w:rFonts w:hint="eastAsia" w:ascii="宋体" w:hAnsi="宋体"/>
          <w:sz w:val="21"/>
          <w:szCs w:val="21"/>
        </w:rPr>
        <w:t xml:space="preserve">：  </w:t>
      </w:r>
      <w:r>
        <w:rPr>
          <w:rFonts w:ascii="宋体" w:hAnsi="宋体"/>
          <w:sz w:val="21"/>
          <w:szCs w:val="21"/>
        </w:rPr>
        <w:t>(公章)</w:t>
      </w:r>
      <w:r>
        <w:rPr>
          <w:rFonts w:hint="eastAsia" w:ascii="宋体" w:hAnsi="宋体"/>
          <w:sz w:val="21"/>
          <w:szCs w:val="21"/>
        </w:rPr>
        <w:t xml:space="preserve"> </w:t>
      </w:r>
    </w:p>
    <w:p w14:paraId="56F8098D">
      <w:pPr>
        <w:keepNext w:val="0"/>
        <w:keepLines w:val="0"/>
        <w:pageBreakBefore w:val="0"/>
        <w:widowControl w:val="0"/>
        <w:kinsoku/>
        <w:wordWrap/>
        <w:overflowPunct/>
        <w:topLinePunct w:val="0"/>
        <w:autoSpaceDE/>
        <w:autoSpaceDN/>
        <w:bidi w:val="0"/>
        <w:adjustRightInd/>
        <w:snapToGrid/>
        <w:spacing w:line="620" w:lineRule="exact"/>
        <w:ind w:left="0"/>
        <w:textAlignment w:val="auto"/>
        <w:rPr>
          <w:rFonts w:hint="eastAsia" w:ascii="宋体" w:hAnsi="宋体"/>
          <w:sz w:val="21"/>
          <w:szCs w:val="21"/>
        </w:rPr>
      </w:pPr>
      <w:r>
        <w:rPr>
          <w:rFonts w:hint="eastAsia" w:ascii="宋体" w:hAnsi="宋体"/>
          <w:sz w:val="21"/>
          <w:szCs w:val="21"/>
        </w:rPr>
        <w:t>法定代表人或其委托代理人：                法定代表人或其委托代理人：</w:t>
      </w:r>
    </w:p>
    <w:p w14:paraId="2B5EF576">
      <w:pPr>
        <w:keepNext w:val="0"/>
        <w:keepLines w:val="0"/>
        <w:pageBreakBefore w:val="0"/>
        <w:widowControl w:val="0"/>
        <w:kinsoku/>
        <w:wordWrap/>
        <w:overflowPunct/>
        <w:topLinePunct w:val="0"/>
        <w:autoSpaceDE/>
        <w:autoSpaceDN/>
        <w:bidi w:val="0"/>
        <w:adjustRightInd/>
        <w:snapToGrid/>
        <w:spacing w:line="620" w:lineRule="exact"/>
        <w:ind w:left="0"/>
        <w:textAlignment w:val="auto"/>
        <w:rPr>
          <w:rFonts w:hint="eastAsia" w:ascii="宋体" w:hAnsi="宋体"/>
          <w:sz w:val="21"/>
          <w:szCs w:val="21"/>
        </w:rPr>
      </w:pPr>
      <w:r>
        <w:rPr>
          <w:rFonts w:hint="eastAsia" w:ascii="宋体" w:hAnsi="宋体"/>
          <w:sz w:val="21"/>
          <w:szCs w:val="21"/>
        </w:rPr>
        <w:t>（签字）                                  （签字）</w:t>
      </w:r>
    </w:p>
    <w:p w14:paraId="219527B6">
      <w:pPr>
        <w:keepNext w:val="0"/>
        <w:keepLines w:val="0"/>
        <w:pageBreakBefore w:val="0"/>
        <w:widowControl w:val="0"/>
        <w:kinsoku/>
        <w:wordWrap/>
        <w:overflowPunct/>
        <w:topLinePunct w:val="0"/>
        <w:autoSpaceDE/>
        <w:autoSpaceDN/>
        <w:bidi w:val="0"/>
        <w:adjustRightInd/>
        <w:snapToGrid/>
        <w:spacing w:line="620" w:lineRule="exact"/>
        <w:ind w:left="0"/>
        <w:textAlignment w:val="auto"/>
        <w:rPr>
          <w:rFonts w:hint="eastAsia" w:ascii="宋体" w:hAnsi="宋体"/>
          <w:sz w:val="21"/>
          <w:szCs w:val="21"/>
        </w:rPr>
      </w:pPr>
      <w:r>
        <w:rPr>
          <w:rFonts w:ascii="宋体" w:hAnsi="宋体"/>
          <w:sz w:val="21"/>
          <w:szCs w:val="21"/>
        </w:rPr>
        <w:t>地  址：</w:t>
      </w:r>
      <w:r>
        <w:rPr>
          <w:rFonts w:hint="eastAsia" w:ascii="宋体" w:hAnsi="宋体"/>
          <w:sz w:val="21"/>
          <w:szCs w:val="21"/>
          <w:u w:val="single"/>
        </w:rPr>
        <w:t xml:space="preserve">                     </w:t>
      </w:r>
      <w:r>
        <w:rPr>
          <w:rFonts w:hint="eastAsia" w:ascii="宋体" w:hAnsi="宋体"/>
          <w:sz w:val="21"/>
          <w:szCs w:val="21"/>
        </w:rPr>
        <w:t xml:space="preserve">           </w:t>
      </w:r>
      <w:r>
        <w:rPr>
          <w:rFonts w:ascii="宋体" w:hAnsi="宋体"/>
          <w:sz w:val="21"/>
          <w:szCs w:val="21"/>
        </w:rPr>
        <w:t>地  址：</w:t>
      </w:r>
      <w:r>
        <w:rPr>
          <w:rFonts w:hint="eastAsia" w:ascii="宋体" w:hAnsi="宋体" w:cs="宋体"/>
          <w:sz w:val="21"/>
          <w:szCs w:val="21"/>
          <w:u w:val="single"/>
        </w:rPr>
        <w:t xml:space="preserve">                      </w:t>
      </w:r>
    </w:p>
    <w:p w14:paraId="642D6EBD">
      <w:pPr>
        <w:keepNext w:val="0"/>
        <w:keepLines w:val="0"/>
        <w:pageBreakBefore w:val="0"/>
        <w:widowControl w:val="0"/>
        <w:kinsoku/>
        <w:wordWrap/>
        <w:overflowPunct/>
        <w:topLinePunct w:val="0"/>
        <w:autoSpaceDE/>
        <w:autoSpaceDN/>
        <w:bidi w:val="0"/>
        <w:adjustRightInd/>
        <w:snapToGrid/>
        <w:spacing w:line="620" w:lineRule="exact"/>
        <w:ind w:left="0"/>
        <w:textAlignment w:val="auto"/>
        <w:rPr>
          <w:rFonts w:ascii="宋体" w:hAnsi="宋体"/>
          <w:sz w:val="21"/>
          <w:szCs w:val="21"/>
        </w:rPr>
      </w:pPr>
      <w:r>
        <w:rPr>
          <w:rFonts w:ascii="宋体" w:hAnsi="宋体"/>
          <w:sz w:val="21"/>
          <w:szCs w:val="21"/>
        </w:rPr>
        <w:t>邮政编码：</w:t>
      </w:r>
      <w:r>
        <w:rPr>
          <w:rFonts w:ascii="宋体" w:hAnsi="宋体"/>
          <w:sz w:val="21"/>
          <w:szCs w:val="21"/>
          <w:u w:val="single"/>
        </w:rPr>
        <w:t xml:space="preserve"> </w:t>
      </w:r>
      <w:r>
        <w:rPr>
          <w:rFonts w:hint="eastAsia" w:ascii="宋体" w:hAnsi="宋体"/>
          <w:sz w:val="21"/>
          <w:szCs w:val="21"/>
          <w:u w:val="single"/>
        </w:rPr>
        <w:t xml:space="preserve">      </w:t>
      </w:r>
      <w:r>
        <w:rPr>
          <w:rFonts w:ascii="宋体" w:hAnsi="宋体"/>
          <w:sz w:val="21"/>
          <w:szCs w:val="21"/>
          <w:u w:val="single"/>
        </w:rPr>
        <w:t xml:space="preserve">  </w:t>
      </w:r>
      <w:r>
        <w:rPr>
          <w:rFonts w:hint="eastAsia" w:ascii="宋体" w:hAnsi="宋体"/>
          <w:sz w:val="21"/>
          <w:szCs w:val="21"/>
          <w:u w:val="single"/>
        </w:rPr>
        <w:t xml:space="preserve">    </w:t>
      </w:r>
      <w:r>
        <w:rPr>
          <w:rFonts w:ascii="宋体" w:hAnsi="宋体"/>
          <w:sz w:val="21"/>
          <w:szCs w:val="21"/>
          <w:u w:val="single"/>
        </w:rPr>
        <w:t xml:space="preserve"> </w:t>
      </w:r>
      <w:r>
        <w:rPr>
          <w:rFonts w:ascii="宋体" w:hAnsi="宋体"/>
          <w:sz w:val="21"/>
          <w:szCs w:val="21"/>
        </w:rPr>
        <w:t xml:space="preserve"> </w:t>
      </w:r>
      <w:r>
        <w:rPr>
          <w:rFonts w:hint="eastAsia" w:ascii="宋体" w:hAnsi="宋体"/>
          <w:sz w:val="21"/>
          <w:szCs w:val="21"/>
        </w:rPr>
        <w:t xml:space="preserve">               </w:t>
      </w:r>
      <w:r>
        <w:rPr>
          <w:rFonts w:ascii="宋体" w:hAnsi="宋体"/>
          <w:sz w:val="21"/>
          <w:szCs w:val="21"/>
        </w:rPr>
        <w:t>邮政编码：</w:t>
      </w:r>
      <w:r>
        <w:rPr>
          <w:rFonts w:hint="eastAsia" w:ascii="宋体" w:hAnsi="宋体"/>
          <w:sz w:val="21"/>
          <w:szCs w:val="21"/>
          <w:u w:val="single"/>
        </w:rPr>
        <w:t xml:space="preserve">                  </w:t>
      </w:r>
    </w:p>
    <w:p w14:paraId="0FB2AC41">
      <w:pPr>
        <w:keepNext w:val="0"/>
        <w:keepLines w:val="0"/>
        <w:pageBreakBefore w:val="0"/>
        <w:widowControl w:val="0"/>
        <w:kinsoku/>
        <w:wordWrap/>
        <w:overflowPunct/>
        <w:topLinePunct w:val="0"/>
        <w:autoSpaceDE/>
        <w:autoSpaceDN/>
        <w:bidi w:val="0"/>
        <w:adjustRightInd/>
        <w:snapToGrid/>
        <w:spacing w:line="620" w:lineRule="exact"/>
        <w:ind w:left="0"/>
        <w:textAlignment w:val="auto"/>
        <w:rPr>
          <w:rFonts w:ascii="宋体" w:hAnsi="宋体"/>
          <w:sz w:val="21"/>
          <w:szCs w:val="21"/>
        </w:rPr>
      </w:pPr>
      <w:r>
        <w:rPr>
          <w:rFonts w:ascii="宋体" w:hAnsi="宋体"/>
          <w:sz w:val="21"/>
          <w:szCs w:val="21"/>
        </w:rPr>
        <w:t>法定代表人：</w:t>
      </w:r>
      <w:r>
        <w:rPr>
          <w:rFonts w:hint="eastAsia" w:ascii="宋体" w:hAnsi="宋体"/>
          <w:sz w:val="21"/>
          <w:szCs w:val="21"/>
          <w:u w:val="single"/>
        </w:rPr>
        <w:t xml:space="preserve">           </w:t>
      </w:r>
      <w:r>
        <w:rPr>
          <w:rFonts w:ascii="宋体" w:hAnsi="宋体"/>
          <w:sz w:val="21"/>
          <w:szCs w:val="21"/>
          <w:u w:val="single"/>
        </w:rPr>
        <w:t xml:space="preserve"> </w:t>
      </w:r>
      <w:r>
        <w:rPr>
          <w:rFonts w:ascii="宋体" w:hAnsi="宋体"/>
          <w:sz w:val="21"/>
          <w:szCs w:val="21"/>
        </w:rPr>
        <w:t xml:space="preserve"> </w:t>
      </w:r>
      <w:r>
        <w:rPr>
          <w:rFonts w:hint="eastAsia" w:ascii="宋体" w:hAnsi="宋体"/>
          <w:sz w:val="21"/>
          <w:szCs w:val="21"/>
        </w:rPr>
        <w:t xml:space="preserve">               </w:t>
      </w:r>
      <w:r>
        <w:rPr>
          <w:rFonts w:ascii="宋体" w:hAnsi="宋体"/>
          <w:sz w:val="21"/>
          <w:szCs w:val="21"/>
        </w:rPr>
        <w:t>法定代表人：</w:t>
      </w:r>
      <w:r>
        <w:rPr>
          <w:rFonts w:hint="eastAsia" w:ascii="宋体" w:hAnsi="宋体"/>
          <w:sz w:val="21"/>
          <w:szCs w:val="21"/>
          <w:u w:val="single"/>
        </w:rPr>
        <w:t xml:space="preserve">   </w:t>
      </w:r>
      <w:r>
        <w:rPr>
          <w:rFonts w:hint="eastAsia" w:ascii="宋体" w:hAnsi="宋体" w:cs="宋体"/>
          <w:sz w:val="21"/>
          <w:szCs w:val="21"/>
          <w:u w:val="single"/>
        </w:rPr>
        <w:t xml:space="preserve">           </w:t>
      </w:r>
      <w:r>
        <w:rPr>
          <w:rFonts w:hint="eastAsia" w:ascii="宋体" w:hAnsi="宋体"/>
          <w:sz w:val="21"/>
          <w:szCs w:val="21"/>
          <w:u w:val="single"/>
        </w:rPr>
        <w:t xml:space="preserve">     </w:t>
      </w:r>
    </w:p>
    <w:p w14:paraId="3A4BDAFB">
      <w:pPr>
        <w:keepNext w:val="0"/>
        <w:keepLines w:val="0"/>
        <w:pageBreakBefore w:val="0"/>
        <w:widowControl w:val="0"/>
        <w:kinsoku/>
        <w:wordWrap/>
        <w:overflowPunct/>
        <w:topLinePunct w:val="0"/>
        <w:autoSpaceDE/>
        <w:autoSpaceDN/>
        <w:bidi w:val="0"/>
        <w:adjustRightInd/>
        <w:snapToGrid/>
        <w:spacing w:line="620" w:lineRule="exact"/>
        <w:ind w:left="0"/>
        <w:textAlignment w:val="auto"/>
        <w:rPr>
          <w:rFonts w:ascii="宋体" w:hAnsi="宋体"/>
          <w:sz w:val="21"/>
          <w:szCs w:val="21"/>
        </w:rPr>
      </w:pPr>
      <w:r>
        <w:rPr>
          <w:rFonts w:ascii="宋体" w:hAnsi="宋体"/>
          <w:sz w:val="21"/>
          <w:szCs w:val="21"/>
        </w:rPr>
        <w:t>委托代理人：</w:t>
      </w:r>
      <w:r>
        <w:rPr>
          <w:rFonts w:hint="eastAsia" w:ascii="宋体" w:hAnsi="宋体"/>
          <w:sz w:val="21"/>
          <w:szCs w:val="21"/>
          <w:u w:val="single"/>
        </w:rPr>
        <w:t xml:space="preserve">         </w:t>
      </w:r>
      <w:r>
        <w:rPr>
          <w:rFonts w:ascii="宋体" w:hAnsi="宋体"/>
          <w:sz w:val="21"/>
          <w:szCs w:val="21"/>
          <w:u w:val="single"/>
        </w:rPr>
        <w:t xml:space="preserve">  </w:t>
      </w:r>
      <w:r>
        <w:rPr>
          <w:rFonts w:ascii="宋体" w:hAnsi="宋体"/>
          <w:sz w:val="21"/>
          <w:szCs w:val="21"/>
        </w:rPr>
        <w:t xml:space="preserve"> </w:t>
      </w:r>
      <w:r>
        <w:rPr>
          <w:rFonts w:hint="eastAsia" w:ascii="宋体" w:hAnsi="宋体"/>
          <w:sz w:val="21"/>
          <w:szCs w:val="21"/>
        </w:rPr>
        <w:t xml:space="preserve">                </w:t>
      </w:r>
      <w:r>
        <w:rPr>
          <w:rFonts w:ascii="宋体" w:hAnsi="宋体"/>
          <w:sz w:val="21"/>
          <w:szCs w:val="21"/>
        </w:rPr>
        <w:t>委托代理人：</w:t>
      </w:r>
      <w:r>
        <w:rPr>
          <w:rFonts w:hint="eastAsia" w:ascii="宋体" w:hAnsi="宋体"/>
          <w:sz w:val="21"/>
          <w:szCs w:val="21"/>
          <w:u w:val="single"/>
        </w:rPr>
        <w:t xml:space="preserve"> </w:t>
      </w:r>
      <w:r>
        <w:rPr>
          <w:rFonts w:ascii="宋体" w:hAnsi="宋体"/>
          <w:sz w:val="21"/>
          <w:szCs w:val="21"/>
          <w:u w:val="single"/>
        </w:rPr>
        <w:t xml:space="preserve">  </w:t>
      </w:r>
      <w:r>
        <w:rPr>
          <w:rFonts w:hint="eastAsia" w:ascii="宋体" w:hAnsi="宋体"/>
          <w:sz w:val="21"/>
          <w:szCs w:val="21"/>
          <w:u w:val="single"/>
        </w:rPr>
        <w:t xml:space="preserve">              </w:t>
      </w:r>
      <w:r>
        <w:rPr>
          <w:rFonts w:ascii="宋体" w:hAnsi="宋体"/>
          <w:sz w:val="21"/>
          <w:szCs w:val="21"/>
          <w:u w:val="single"/>
        </w:rPr>
        <w:t xml:space="preserve">    </w:t>
      </w:r>
    </w:p>
    <w:p w14:paraId="230D97FB">
      <w:pPr>
        <w:keepNext w:val="0"/>
        <w:keepLines w:val="0"/>
        <w:pageBreakBefore w:val="0"/>
        <w:widowControl w:val="0"/>
        <w:kinsoku/>
        <w:wordWrap/>
        <w:overflowPunct/>
        <w:topLinePunct w:val="0"/>
        <w:autoSpaceDE/>
        <w:autoSpaceDN/>
        <w:bidi w:val="0"/>
        <w:adjustRightInd/>
        <w:snapToGrid/>
        <w:spacing w:line="620" w:lineRule="exact"/>
        <w:ind w:left="0"/>
        <w:textAlignment w:val="auto"/>
        <w:rPr>
          <w:rFonts w:ascii="宋体" w:hAnsi="宋体"/>
          <w:sz w:val="21"/>
          <w:szCs w:val="21"/>
        </w:rPr>
      </w:pPr>
      <w:r>
        <w:rPr>
          <w:rFonts w:ascii="宋体" w:hAnsi="宋体"/>
          <w:sz w:val="21"/>
          <w:szCs w:val="21"/>
        </w:rPr>
        <w:t>电  话：</w:t>
      </w:r>
      <w:r>
        <w:rPr>
          <w:rFonts w:hint="eastAsia" w:ascii="宋体" w:hAnsi="宋体"/>
          <w:sz w:val="21"/>
          <w:szCs w:val="21"/>
          <w:u w:val="single"/>
        </w:rPr>
        <w:t xml:space="preserve">             </w:t>
      </w:r>
      <w:r>
        <w:rPr>
          <w:rFonts w:ascii="宋体" w:hAnsi="宋体"/>
          <w:sz w:val="21"/>
          <w:szCs w:val="21"/>
          <w:u w:val="single"/>
        </w:rPr>
        <w:t xml:space="preserve">  </w:t>
      </w:r>
      <w:r>
        <w:rPr>
          <w:rFonts w:ascii="宋体" w:hAnsi="宋体"/>
          <w:sz w:val="21"/>
          <w:szCs w:val="21"/>
        </w:rPr>
        <w:t xml:space="preserve"> </w:t>
      </w:r>
      <w:r>
        <w:rPr>
          <w:rFonts w:hint="eastAsia" w:ascii="宋体" w:hAnsi="宋体"/>
          <w:sz w:val="21"/>
          <w:szCs w:val="21"/>
        </w:rPr>
        <w:t xml:space="preserve">                </w:t>
      </w:r>
      <w:r>
        <w:rPr>
          <w:rFonts w:ascii="宋体" w:hAnsi="宋体"/>
          <w:sz w:val="21"/>
          <w:szCs w:val="21"/>
        </w:rPr>
        <w:t>电  话：</w:t>
      </w:r>
      <w:r>
        <w:rPr>
          <w:rFonts w:hint="eastAsia" w:ascii="宋体" w:hAnsi="宋体"/>
          <w:sz w:val="21"/>
          <w:szCs w:val="21"/>
          <w:u w:val="single"/>
        </w:rPr>
        <w:t xml:space="preserve">             </w:t>
      </w:r>
      <w:r>
        <w:rPr>
          <w:rFonts w:hint="eastAsia" w:ascii="宋体" w:hAnsi="宋体" w:cs="MingLiU_HKSCS"/>
          <w:sz w:val="21"/>
          <w:szCs w:val="21"/>
          <w:u w:val="single"/>
        </w:rPr>
        <w:t xml:space="preserve">  </w:t>
      </w:r>
    </w:p>
    <w:p w14:paraId="2FF189E6">
      <w:pPr>
        <w:keepNext w:val="0"/>
        <w:keepLines w:val="0"/>
        <w:pageBreakBefore w:val="0"/>
        <w:widowControl w:val="0"/>
        <w:kinsoku/>
        <w:wordWrap/>
        <w:overflowPunct/>
        <w:topLinePunct w:val="0"/>
        <w:autoSpaceDE/>
        <w:autoSpaceDN/>
        <w:bidi w:val="0"/>
        <w:adjustRightInd/>
        <w:snapToGrid/>
        <w:spacing w:line="620" w:lineRule="exact"/>
        <w:ind w:left="0" w:hanging="5460" w:hangingChars="2600"/>
        <w:textAlignment w:val="auto"/>
        <w:rPr>
          <w:rFonts w:hint="eastAsia" w:ascii="宋体" w:hAnsi="宋体"/>
          <w:sz w:val="21"/>
          <w:szCs w:val="21"/>
          <w:u w:val="single"/>
        </w:rPr>
      </w:pPr>
      <w:r>
        <w:rPr>
          <w:rFonts w:ascii="宋体" w:hAnsi="宋体"/>
          <w:sz w:val="21"/>
          <w:szCs w:val="21"/>
        </w:rPr>
        <w:t>开户银行：</w:t>
      </w:r>
      <w:r>
        <w:rPr>
          <w:rFonts w:hint="eastAsia" w:ascii="宋体" w:hAnsi="宋体"/>
          <w:sz w:val="21"/>
          <w:szCs w:val="21"/>
          <w:u w:val="single"/>
        </w:rPr>
        <w:t xml:space="preserve">                 </w:t>
      </w:r>
      <w:r>
        <w:rPr>
          <w:rFonts w:hint="eastAsia" w:ascii="宋体" w:hAnsi="宋体"/>
          <w:sz w:val="21"/>
          <w:szCs w:val="21"/>
        </w:rPr>
        <w:t xml:space="preserve">             </w:t>
      </w:r>
      <w:r>
        <w:rPr>
          <w:rFonts w:ascii="宋体" w:hAnsi="宋体"/>
          <w:sz w:val="21"/>
          <w:szCs w:val="21"/>
        </w:rPr>
        <w:t>开户银行：</w:t>
      </w:r>
      <w:r>
        <w:rPr>
          <w:rFonts w:hint="eastAsia" w:ascii="宋体" w:hAnsi="宋体" w:cs="宋体"/>
          <w:sz w:val="21"/>
          <w:szCs w:val="21"/>
          <w:u w:val="single"/>
        </w:rPr>
        <w:t xml:space="preserve">                       </w:t>
      </w:r>
    </w:p>
    <w:p w14:paraId="36F1038A">
      <w:pPr>
        <w:keepNext w:val="0"/>
        <w:keepLines w:val="0"/>
        <w:pageBreakBefore w:val="0"/>
        <w:widowControl w:val="0"/>
        <w:kinsoku/>
        <w:wordWrap/>
        <w:overflowPunct/>
        <w:topLinePunct w:val="0"/>
        <w:autoSpaceDE/>
        <w:autoSpaceDN/>
        <w:bidi w:val="0"/>
        <w:adjustRightInd/>
        <w:snapToGrid/>
        <w:spacing w:line="620" w:lineRule="exact"/>
        <w:ind w:left="0"/>
        <w:textAlignment w:val="auto"/>
        <w:rPr>
          <w:rFonts w:ascii="宋体" w:hAnsi="宋体" w:cs="MingLiU_HKSCS"/>
          <w:sz w:val="21"/>
          <w:szCs w:val="21"/>
          <w:u w:val="single"/>
        </w:rPr>
      </w:pPr>
      <w:r>
        <w:rPr>
          <w:rFonts w:ascii="宋体" w:hAnsi="宋体"/>
          <w:sz w:val="21"/>
          <w:szCs w:val="21"/>
        </w:rPr>
        <w:t>账  号：</w:t>
      </w:r>
      <w:r>
        <w:rPr>
          <w:rFonts w:hint="eastAsia" w:ascii="宋体" w:hAnsi="宋体"/>
          <w:sz w:val="21"/>
          <w:szCs w:val="21"/>
          <w:u w:val="single"/>
        </w:rPr>
        <w:t xml:space="preserve">                    </w:t>
      </w:r>
      <w:r>
        <w:rPr>
          <w:rFonts w:hint="eastAsia" w:ascii="宋体" w:hAnsi="宋体"/>
          <w:sz w:val="21"/>
          <w:szCs w:val="21"/>
        </w:rPr>
        <w:t xml:space="preserve">            </w:t>
      </w:r>
      <w:r>
        <w:rPr>
          <w:rFonts w:ascii="宋体" w:hAnsi="宋体"/>
          <w:sz w:val="21"/>
          <w:szCs w:val="21"/>
        </w:rPr>
        <w:t>账</w:t>
      </w:r>
      <w:r>
        <w:rPr>
          <w:rFonts w:hint="eastAsia" w:ascii="宋体" w:hAnsi="宋体"/>
          <w:sz w:val="21"/>
          <w:szCs w:val="21"/>
        </w:rPr>
        <w:t xml:space="preserve"> </w:t>
      </w:r>
      <w:r>
        <w:rPr>
          <w:rFonts w:ascii="宋体" w:hAnsi="宋体"/>
          <w:sz w:val="21"/>
          <w:szCs w:val="21"/>
        </w:rPr>
        <w:t xml:space="preserve"> 号：</w:t>
      </w:r>
      <w:r>
        <w:rPr>
          <w:rFonts w:hint="eastAsia" w:ascii="宋体" w:hAnsi="宋体" w:cs="MingLiU_HKSCS"/>
          <w:sz w:val="21"/>
          <w:szCs w:val="21"/>
          <w:u w:val="single"/>
        </w:rPr>
        <w:t xml:space="preserve"> </w:t>
      </w:r>
      <w:r>
        <w:rPr>
          <w:rFonts w:hint="eastAsia" w:ascii="宋体" w:hAnsi="宋体"/>
          <w:sz w:val="21"/>
          <w:szCs w:val="21"/>
          <w:u w:val="single"/>
        </w:rPr>
        <w:t xml:space="preserve">                      </w:t>
      </w:r>
      <w:r>
        <w:rPr>
          <w:rFonts w:hint="eastAsia" w:ascii="宋体" w:hAnsi="宋体" w:cs="MingLiU_HKSCS"/>
          <w:sz w:val="21"/>
          <w:szCs w:val="21"/>
          <w:u w:val="single"/>
        </w:rPr>
        <w:t xml:space="preserve"> </w:t>
      </w:r>
    </w:p>
    <w:p w14:paraId="1F58CCB9">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宋体"/>
          <w:color w:val="auto"/>
          <w:szCs w:val="24"/>
          <w:highlight w:val="none"/>
        </w:rPr>
      </w:pPr>
    </w:p>
    <w:p w14:paraId="6FDA9FC7">
      <w:pPr>
        <w:rPr>
          <w:rFonts w:hint="eastAsia" w:ascii="宋体" w:hAnsi="宋体" w:eastAsia="宋体" w:cs="宋体"/>
          <w:b/>
          <w:color w:val="auto"/>
          <w:kern w:val="0"/>
          <w:sz w:val="36"/>
          <w:highlight w:val="none"/>
          <w:lang w:val="en-US" w:eastAsia="zh-CN" w:bidi="ar-SA"/>
        </w:rPr>
      </w:pPr>
      <w:r>
        <w:rPr>
          <w:rFonts w:hint="eastAsia" w:ascii="宋体" w:hAnsi="宋体" w:eastAsia="宋体" w:cs="宋体"/>
          <w:b/>
          <w:color w:val="auto"/>
          <w:kern w:val="0"/>
          <w:sz w:val="36"/>
          <w:highlight w:val="none"/>
          <w:lang w:val="en-US" w:eastAsia="zh-CN" w:bidi="ar-SA"/>
        </w:rPr>
        <w:br w:type="page"/>
      </w:r>
    </w:p>
    <w:bookmarkEnd w:id="74"/>
    <w:p w14:paraId="2D8FB0CD">
      <w:pPr>
        <w:rPr>
          <w:rFonts w:hint="eastAsia" w:ascii="宋体" w:hAnsi="宋体" w:eastAsia="宋体" w:cs="宋体"/>
          <w:b/>
          <w:color w:val="auto"/>
          <w:sz w:val="36"/>
          <w:highlight w:val="none"/>
        </w:rPr>
      </w:pPr>
    </w:p>
    <w:p w14:paraId="0A95E8EF">
      <w:pPr>
        <w:pStyle w:val="4"/>
        <w:bidi w:val="0"/>
        <w:rPr>
          <w:rFonts w:hint="eastAsia"/>
          <w:color w:val="auto"/>
          <w:highlight w:val="none"/>
        </w:rPr>
      </w:pPr>
      <w:bookmarkStart w:id="524" w:name="_Toc1344"/>
      <w:r>
        <w:rPr>
          <w:rFonts w:hint="eastAsia"/>
          <w:color w:val="auto"/>
          <w:highlight w:val="none"/>
        </w:rPr>
        <w:t>第</w:t>
      </w:r>
      <w:r>
        <w:rPr>
          <w:rFonts w:hint="eastAsia"/>
          <w:color w:val="auto"/>
          <w:highlight w:val="none"/>
          <w:lang w:val="en-US" w:eastAsia="zh-CN"/>
        </w:rPr>
        <w:t xml:space="preserve">六章 </w:t>
      </w:r>
      <w:r>
        <w:rPr>
          <w:rFonts w:hint="eastAsia"/>
          <w:color w:val="auto"/>
          <w:highlight w:val="none"/>
        </w:rPr>
        <w:t xml:space="preserve"> 响应文件格式</w:t>
      </w:r>
      <w:bookmarkEnd w:id="524"/>
      <w:bookmarkStart w:id="525" w:name="_Toc346178852"/>
    </w:p>
    <w:p w14:paraId="33B39C36">
      <w:pPr>
        <w:pStyle w:val="15"/>
        <w:adjustRightInd w:val="0"/>
        <w:snapToGrid w:val="0"/>
        <w:spacing w:line="276" w:lineRule="auto"/>
        <w:rPr>
          <w:rFonts w:hAnsi="宋体" w:cs="宋体"/>
          <w:b/>
          <w:color w:val="auto"/>
          <w:highlight w:val="none"/>
        </w:rPr>
      </w:pPr>
      <w:r>
        <w:rPr>
          <w:rFonts w:hint="eastAsia" w:hAnsi="宋体" w:cs="宋体"/>
          <w:b/>
          <w:color w:val="auto"/>
          <w:highlight w:val="none"/>
        </w:rPr>
        <w:t>一、文件封面格式：</w:t>
      </w:r>
    </w:p>
    <w:p w14:paraId="3364F3B4">
      <w:pPr>
        <w:snapToGrid w:val="0"/>
        <w:spacing w:before="120" w:beforeLines="50" w:after="50" w:line="360" w:lineRule="auto"/>
        <w:rPr>
          <w:rFonts w:ascii="宋体" w:hAnsi="宋体" w:cs="宋体"/>
          <w:color w:val="auto"/>
          <w:highlight w:val="none"/>
        </w:rPr>
      </w:pPr>
    </w:p>
    <w:p w14:paraId="3A560DCE">
      <w:pPr>
        <w:snapToGrid w:val="0"/>
        <w:spacing w:before="120" w:beforeLines="50" w:after="50" w:line="360" w:lineRule="auto"/>
        <w:rPr>
          <w:rFonts w:ascii="宋体" w:hAnsi="宋体" w:cs="宋体"/>
          <w:color w:val="auto"/>
          <w:highlight w:val="none"/>
        </w:rPr>
      </w:pPr>
    </w:p>
    <w:p w14:paraId="4161CCE4">
      <w:pPr>
        <w:snapToGrid w:val="0"/>
        <w:spacing w:before="120" w:beforeLines="50" w:after="50" w:line="360" w:lineRule="auto"/>
        <w:rPr>
          <w:rFonts w:ascii="宋体" w:hAnsi="宋体" w:cs="宋体"/>
          <w:color w:val="auto"/>
          <w:highlight w:val="none"/>
        </w:rPr>
      </w:pPr>
    </w:p>
    <w:p w14:paraId="16624B8F">
      <w:pPr>
        <w:snapToGrid w:val="0"/>
        <w:spacing w:before="120" w:beforeLines="50" w:after="50" w:line="360" w:lineRule="auto"/>
        <w:rPr>
          <w:rFonts w:ascii="宋体" w:hAnsi="宋体" w:cs="宋体"/>
          <w:color w:val="auto"/>
          <w:highlight w:val="none"/>
        </w:rPr>
      </w:pPr>
    </w:p>
    <w:p w14:paraId="2D51559E">
      <w:pPr>
        <w:snapToGrid w:val="0"/>
        <w:spacing w:before="120" w:beforeLines="50" w:after="50" w:line="360" w:lineRule="auto"/>
        <w:rPr>
          <w:rFonts w:ascii="宋体" w:hAnsi="宋体" w:cs="宋体"/>
          <w:color w:val="auto"/>
          <w:highlight w:val="none"/>
        </w:rPr>
      </w:pPr>
    </w:p>
    <w:p w14:paraId="60B63DAA">
      <w:pPr>
        <w:snapToGrid w:val="0"/>
        <w:spacing w:before="120" w:beforeLines="50" w:after="50" w:line="360" w:lineRule="auto"/>
        <w:rPr>
          <w:rFonts w:ascii="宋体" w:hAnsi="宋体" w:cs="宋体"/>
          <w:color w:val="auto"/>
          <w:highlight w:val="none"/>
        </w:rPr>
      </w:pPr>
    </w:p>
    <w:p w14:paraId="4739D4BE">
      <w:pPr>
        <w:snapToGrid w:val="0"/>
        <w:spacing w:before="120" w:beforeLines="50" w:after="50" w:line="360" w:lineRule="auto"/>
        <w:rPr>
          <w:rFonts w:ascii="宋体" w:hAnsi="宋体" w:cs="宋体"/>
          <w:color w:val="auto"/>
          <w:highlight w:val="none"/>
        </w:rPr>
      </w:pPr>
    </w:p>
    <w:p w14:paraId="5B9E01D0">
      <w:pPr>
        <w:pStyle w:val="15"/>
        <w:adjustRightInd w:val="0"/>
        <w:snapToGrid w:val="0"/>
        <w:jc w:val="center"/>
        <w:rPr>
          <w:rFonts w:hAnsi="宋体" w:cs="宋体"/>
          <w:b/>
          <w:color w:val="auto"/>
          <w:sz w:val="48"/>
          <w:szCs w:val="48"/>
          <w:highlight w:val="none"/>
        </w:rPr>
      </w:pPr>
      <w:r>
        <w:rPr>
          <w:rFonts w:hint="eastAsia" w:hAnsi="宋体" w:cs="宋体"/>
          <w:b/>
          <w:color w:val="auto"/>
          <w:sz w:val="48"/>
          <w:szCs w:val="48"/>
          <w:highlight w:val="none"/>
        </w:rPr>
        <w:t>资格文件</w:t>
      </w:r>
      <w:r>
        <w:rPr>
          <w:rFonts w:hint="eastAsia" w:hAnsi="宋体" w:cs="宋体"/>
          <w:b/>
          <w:color w:val="auto"/>
          <w:sz w:val="48"/>
          <w:szCs w:val="48"/>
          <w:highlight w:val="none"/>
          <w:lang w:eastAsia="zh-CN"/>
        </w:rPr>
        <w:t>（</w:t>
      </w:r>
      <w:r>
        <w:rPr>
          <w:rFonts w:hint="eastAsia" w:hAnsi="宋体" w:cs="宋体"/>
          <w:b/>
          <w:color w:val="auto"/>
          <w:sz w:val="48"/>
          <w:szCs w:val="48"/>
          <w:highlight w:val="none"/>
        </w:rPr>
        <w:t>或商务技术文件或</w:t>
      </w:r>
      <w:r>
        <w:rPr>
          <w:rFonts w:hint="eastAsia" w:hAnsi="宋体" w:cs="宋体"/>
          <w:b/>
          <w:color w:val="auto"/>
          <w:sz w:val="48"/>
          <w:szCs w:val="48"/>
          <w:highlight w:val="none"/>
          <w:lang w:eastAsia="zh-CN"/>
        </w:rPr>
        <w:t>报价文件）</w:t>
      </w:r>
    </w:p>
    <w:p w14:paraId="7F22A10B">
      <w:pPr>
        <w:snapToGrid w:val="0"/>
        <w:spacing w:before="120" w:beforeLines="50" w:after="50" w:line="360" w:lineRule="auto"/>
        <w:rPr>
          <w:rFonts w:ascii="宋体" w:hAnsi="宋体" w:cs="宋体"/>
          <w:color w:val="auto"/>
          <w:highlight w:val="none"/>
        </w:rPr>
      </w:pPr>
    </w:p>
    <w:p w14:paraId="5667942A">
      <w:pPr>
        <w:snapToGrid w:val="0"/>
        <w:spacing w:before="120" w:beforeLines="50" w:after="50" w:line="360" w:lineRule="auto"/>
        <w:rPr>
          <w:rFonts w:ascii="宋体" w:hAnsi="宋体" w:cs="宋体"/>
          <w:color w:val="auto"/>
          <w:highlight w:val="none"/>
        </w:rPr>
      </w:pPr>
    </w:p>
    <w:p w14:paraId="5A7B25A5">
      <w:pPr>
        <w:snapToGrid w:val="0"/>
        <w:spacing w:before="120" w:beforeLines="50" w:after="50" w:line="360" w:lineRule="auto"/>
        <w:rPr>
          <w:rFonts w:ascii="宋体" w:hAnsi="宋体" w:cs="宋体"/>
          <w:color w:val="auto"/>
          <w:highlight w:val="none"/>
        </w:rPr>
      </w:pPr>
    </w:p>
    <w:p w14:paraId="1C95D548">
      <w:pPr>
        <w:snapToGrid w:val="0"/>
        <w:spacing w:before="120" w:beforeLines="50" w:after="50" w:line="360" w:lineRule="auto"/>
        <w:rPr>
          <w:rFonts w:ascii="宋体" w:hAnsi="宋体" w:cs="宋体"/>
          <w:color w:val="auto"/>
          <w:highlight w:val="none"/>
        </w:rPr>
      </w:pPr>
    </w:p>
    <w:p w14:paraId="3E014446">
      <w:pPr>
        <w:pStyle w:val="30"/>
        <w:rPr>
          <w:rFonts w:ascii="宋体" w:hAnsi="宋体" w:cs="宋体"/>
          <w:color w:val="auto"/>
          <w:highlight w:val="none"/>
        </w:rPr>
      </w:pPr>
    </w:p>
    <w:p w14:paraId="09F7B45E">
      <w:pPr>
        <w:pStyle w:val="13"/>
        <w:rPr>
          <w:color w:val="auto"/>
          <w:highlight w:val="none"/>
        </w:rPr>
      </w:pPr>
    </w:p>
    <w:p w14:paraId="470F86B5">
      <w:pPr>
        <w:snapToGrid w:val="0"/>
        <w:spacing w:before="120" w:beforeLines="50" w:after="50" w:line="360" w:lineRule="auto"/>
        <w:rPr>
          <w:rFonts w:ascii="宋体" w:hAnsi="宋体" w:cs="宋体"/>
          <w:color w:val="auto"/>
          <w:highlight w:val="none"/>
        </w:rPr>
      </w:pPr>
    </w:p>
    <w:p w14:paraId="0137BE45">
      <w:pPr>
        <w:snapToGrid w:val="0"/>
        <w:spacing w:before="120" w:beforeLines="50" w:after="50" w:line="360" w:lineRule="auto"/>
        <w:rPr>
          <w:rFonts w:ascii="宋体" w:hAnsi="宋体" w:cs="宋体"/>
          <w:color w:val="auto"/>
          <w:highlight w:val="none"/>
        </w:rPr>
      </w:pPr>
    </w:p>
    <w:p w14:paraId="3F21B0DD">
      <w:pPr>
        <w:pStyle w:val="9"/>
        <w:keepNext w:val="0"/>
        <w:keepLines w:val="0"/>
        <w:pageBreakBefore w:val="0"/>
        <w:widowControl/>
        <w:kinsoku/>
        <w:wordWrap/>
        <w:overflowPunct/>
        <w:topLinePunct w:val="0"/>
        <w:autoSpaceDE/>
        <w:autoSpaceDN/>
        <w:bidi w:val="0"/>
        <w:adjustRightInd/>
        <w:snapToGrid w:val="0"/>
        <w:spacing w:before="50" w:after="50" w:line="360" w:lineRule="auto"/>
        <w:ind w:firstLine="1280" w:firstLineChars="425"/>
        <w:textAlignment w:val="auto"/>
        <w:rPr>
          <w:rFonts w:hint="default" w:ascii="宋体" w:hAnsi="宋体" w:eastAsia="宋体" w:cs="宋体"/>
          <w:b/>
          <w:bCs w:val="0"/>
          <w:color w:val="auto"/>
          <w:sz w:val="30"/>
          <w:szCs w:val="30"/>
          <w:highlight w:val="none"/>
          <w:u w:val="single"/>
          <w:lang w:val="en-US" w:eastAsia="zh-CN"/>
        </w:rPr>
      </w:pPr>
      <w:r>
        <w:rPr>
          <w:rFonts w:hint="eastAsia" w:ascii="宋体" w:hAnsi="宋体" w:cs="宋体"/>
          <w:b/>
          <w:bCs w:val="0"/>
          <w:color w:val="auto"/>
          <w:sz w:val="30"/>
          <w:szCs w:val="30"/>
          <w:highlight w:val="none"/>
        </w:rPr>
        <w:t>项目名称：</w:t>
      </w:r>
      <w:r>
        <w:rPr>
          <w:rFonts w:hint="eastAsia" w:ascii="宋体" w:hAnsi="宋体" w:cs="宋体"/>
          <w:b/>
          <w:bCs w:val="0"/>
          <w:color w:val="auto"/>
          <w:sz w:val="30"/>
          <w:szCs w:val="30"/>
          <w:highlight w:val="none"/>
          <w:u w:val="single"/>
          <w:lang w:val="en-US" w:eastAsia="zh-CN"/>
        </w:rPr>
        <w:t xml:space="preserve">                           </w:t>
      </w:r>
    </w:p>
    <w:p w14:paraId="58C1398D">
      <w:pPr>
        <w:pStyle w:val="9"/>
        <w:keepNext w:val="0"/>
        <w:keepLines w:val="0"/>
        <w:pageBreakBefore w:val="0"/>
        <w:widowControl/>
        <w:kinsoku/>
        <w:wordWrap/>
        <w:overflowPunct/>
        <w:topLinePunct w:val="0"/>
        <w:autoSpaceDE/>
        <w:autoSpaceDN/>
        <w:bidi w:val="0"/>
        <w:adjustRightInd/>
        <w:snapToGrid w:val="0"/>
        <w:spacing w:before="50" w:after="50" w:line="360" w:lineRule="auto"/>
        <w:ind w:firstLine="1280" w:firstLineChars="425"/>
        <w:textAlignment w:val="auto"/>
        <w:rPr>
          <w:rFonts w:ascii="宋体" w:hAnsi="宋体" w:cs="宋体"/>
          <w:b/>
          <w:bCs w:val="0"/>
          <w:color w:val="auto"/>
          <w:sz w:val="30"/>
          <w:szCs w:val="30"/>
          <w:highlight w:val="none"/>
        </w:rPr>
      </w:pPr>
      <w:r>
        <w:rPr>
          <w:rFonts w:hint="eastAsia" w:ascii="宋体" w:hAnsi="宋体" w:cs="宋体"/>
          <w:b/>
          <w:bCs w:val="0"/>
          <w:color w:val="auto"/>
          <w:sz w:val="30"/>
          <w:szCs w:val="30"/>
          <w:highlight w:val="none"/>
        </w:rPr>
        <w:t>项目编号：</w:t>
      </w:r>
      <w:r>
        <w:rPr>
          <w:rFonts w:hint="eastAsia" w:ascii="宋体" w:hAnsi="宋体" w:cs="宋体"/>
          <w:b/>
          <w:bCs w:val="0"/>
          <w:color w:val="auto"/>
          <w:sz w:val="30"/>
          <w:szCs w:val="30"/>
          <w:highlight w:val="none"/>
          <w:u w:val="single"/>
          <w:lang w:val="en-US" w:eastAsia="zh-CN"/>
        </w:rPr>
        <w:t xml:space="preserve">                           </w:t>
      </w:r>
    </w:p>
    <w:p w14:paraId="799A08D7">
      <w:pPr>
        <w:pStyle w:val="9"/>
        <w:keepNext w:val="0"/>
        <w:keepLines w:val="0"/>
        <w:pageBreakBefore w:val="0"/>
        <w:widowControl/>
        <w:kinsoku/>
        <w:wordWrap/>
        <w:overflowPunct/>
        <w:topLinePunct w:val="0"/>
        <w:autoSpaceDE/>
        <w:autoSpaceDN/>
        <w:bidi w:val="0"/>
        <w:adjustRightInd/>
        <w:snapToGrid w:val="0"/>
        <w:spacing w:before="50" w:after="50" w:line="360" w:lineRule="auto"/>
        <w:ind w:firstLine="1280" w:firstLineChars="425"/>
        <w:textAlignment w:val="auto"/>
        <w:rPr>
          <w:rFonts w:ascii="宋体" w:hAnsi="宋体" w:cs="宋体"/>
          <w:b/>
          <w:bCs w:val="0"/>
          <w:color w:val="auto"/>
          <w:sz w:val="30"/>
          <w:szCs w:val="30"/>
          <w:highlight w:val="none"/>
        </w:rPr>
      </w:pPr>
      <w:r>
        <w:rPr>
          <w:rFonts w:hint="eastAsia" w:ascii="宋体" w:hAnsi="宋体" w:cs="宋体"/>
          <w:b/>
          <w:bCs w:val="0"/>
          <w:color w:val="auto"/>
          <w:sz w:val="30"/>
          <w:szCs w:val="30"/>
          <w:highlight w:val="none"/>
        </w:rPr>
        <w:t>供应商名称：</w:t>
      </w:r>
      <w:r>
        <w:rPr>
          <w:rFonts w:hint="eastAsia" w:ascii="宋体" w:hAnsi="宋体" w:cs="宋体"/>
          <w:b/>
          <w:bCs w:val="0"/>
          <w:color w:val="auto"/>
          <w:sz w:val="30"/>
          <w:szCs w:val="30"/>
          <w:highlight w:val="none"/>
          <w:u w:val="single"/>
          <w:lang w:val="en-US" w:eastAsia="zh-CN"/>
        </w:rPr>
        <w:t xml:space="preserve">                         </w:t>
      </w:r>
    </w:p>
    <w:p w14:paraId="42FC29A7">
      <w:pP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br w:type="page"/>
      </w:r>
    </w:p>
    <w:p w14:paraId="617ACBE2">
      <w:pPr>
        <w:widowControl w:val="0"/>
        <w:adjustRightInd w:val="0"/>
        <w:snapToGrid w:val="0"/>
        <w:spacing w:line="360" w:lineRule="auto"/>
        <w:ind w:firstLine="540" w:firstLineChars="224"/>
        <w:rPr>
          <w:rFonts w:ascii="宋体" w:hAnsi="宋体" w:cs="宋体"/>
          <w:b/>
          <w:color w:val="auto"/>
          <w:sz w:val="24"/>
          <w:szCs w:val="22"/>
          <w:highlight w:val="none"/>
        </w:rPr>
      </w:pPr>
      <w:r>
        <w:rPr>
          <w:rFonts w:hint="eastAsia" w:ascii="宋体" w:hAnsi="宋体" w:cs="宋体"/>
          <w:b/>
          <w:color w:val="auto"/>
          <w:sz w:val="24"/>
          <w:szCs w:val="22"/>
          <w:highlight w:val="none"/>
        </w:rPr>
        <w:t>1.资格文件：</w:t>
      </w:r>
    </w:p>
    <w:p w14:paraId="30F810EE">
      <w:pPr>
        <w:widowControl w:val="0"/>
        <w:adjustRightInd w:val="0"/>
        <w:snapToGrid w:val="0"/>
        <w:spacing w:line="360" w:lineRule="auto"/>
        <w:jc w:val="center"/>
        <w:rPr>
          <w:rFonts w:ascii="宋体" w:hAnsi="宋体" w:cs="宋体"/>
          <w:b/>
          <w:color w:val="auto"/>
          <w:sz w:val="28"/>
          <w:szCs w:val="24"/>
          <w:highlight w:val="none"/>
        </w:rPr>
      </w:pPr>
      <w:r>
        <w:rPr>
          <w:rFonts w:hint="eastAsia" w:ascii="宋体" w:hAnsi="宋体" w:cs="宋体"/>
          <w:b/>
          <w:color w:val="auto"/>
          <w:sz w:val="28"/>
          <w:szCs w:val="24"/>
          <w:highlight w:val="none"/>
        </w:rPr>
        <w:t>资格文件目录</w:t>
      </w:r>
    </w:p>
    <w:p w14:paraId="183ADB5F">
      <w:pPr>
        <w:widowControl w:val="0"/>
        <w:adjustRightInd w:val="0"/>
        <w:snapToGrid w:val="0"/>
        <w:spacing w:line="360" w:lineRule="auto"/>
        <w:jc w:val="center"/>
        <w:rPr>
          <w:rFonts w:hint="eastAsia" w:ascii="宋体" w:hAnsi="宋体" w:eastAsia="宋体" w:cs="宋体"/>
          <w:b/>
          <w:bCs/>
          <w:color w:val="auto"/>
          <w:sz w:val="24"/>
          <w:szCs w:val="22"/>
          <w:highlight w:val="none"/>
          <w:lang w:val="en-US" w:eastAsia="zh-CN"/>
        </w:rPr>
      </w:pPr>
      <w:r>
        <w:rPr>
          <w:rFonts w:hint="eastAsia" w:ascii="宋体" w:hAnsi="宋体" w:eastAsia="宋体" w:cs="宋体"/>
          <w:b/>
          <w:bCs/>
          <w:color w:val="auto"/>
          <w:sz w:val="24"/>
          <w:szCs w:val="22"/>
          <w:highlight w:val="none"/>
          <w:lang w:eastAsia="zh-CN"/>
        </w:rPr>
        <w:t>（</w:t>
      </w:r>
      <w:r>
        <w:rPr>
          <w:rFonts w:hint="eastAsia" w:ascii="宋体" w:hAnsi="宋体" w:eastAsia="宋体" w:cs="宋体"/>
          <w:b/>
          <w:bCs/>
          <w:color w:val="auto"/>
          <w:sz w:val="24"/>
          <w:szCs w:val="22"/>
          <w:highlight w:val="none"/>
        </w:rPr>
        <w:t>未提供齐全将导致资格审查不通过，</w:t>
      </w:r>
      <w:r>
        <w:rPr>
          <w:rFonts w:hint="eastAsia" w:ascii="宋体" w:hAnsi="宋体" w:eastAsia="宋体" w:cs="宋体"/>
          <w:b/>
          <w:bCs/>
          <w:color w:val="auto"/>
          <w:sz w:val="24"/>
          <w:szCs w:val="22"/>
          <w:highlight w:val="none"/>
          <w:lang w:val="en-US" w:eastAsia="zh-CN"/>
        </w:rPr>
        <w:t>响应</w:t>
      </w:r>
      <w:r>
        <w:rPr>
          <w:rFonts w:hint="eastAsia" w:ascii="宋体" w:hAnsi="宋体" w:eastAsia="宋体" w:cs="宋体"/>
          <w:b/>
          <w:bCs/>
          <w:color w:val="auto"/>
          <w:sz w:val="24"/>
          <w:szCs w:val="22"/>
          <w:highlight w:val="none"/>
        </w:rPr>
        <w:t>文件</w:t>
      </w:r>
      <w:r>
        <w:rPr>
          <w:rFonts w:hint="eastAsia" w:ascii="宋体" w:hAnsi="宋体" w:eastAsia="宋体" w:cs="宋体"/>
          <w:b/>
          <w:bCs/>
          <w:color w:val="auto"/>
          <w:sz w:val="24"/>
          <w:szCs w:val="22"/>
          <w:highlight w:val="none"/>
          <w:lang w:val="en-US" w:eastAsia="zh-CN"/>
        </w:rPr>
        <w:t>无效</w:t>
      </w:r>
      <w:r>
        <w:rPr>
          <w:rFonts w:hint="eastAsia" w:ascii="宋体" w:hAnsi="宋体" w:eastAsia="宋体" w:cs="宋体"/>
          <w:b/>
          <w:bCs/>
          <w:color w:val="auto"/>
          <w:sz w:val="24"/>
          <w:szCs w:val="22"/>
          <w:highlight w:val="none"/>
          <w:lang w:eastAsia="zh-CN"/>
        </w:rPr>
        <w:t>）</w:t>
      </w:r>
    </w:p>
    <w:p w14:paraId="2EF50D8D">
      <w:pPr>
        <w:widowControl w:val="0"/>
        <w:adjustRightInd w:val="0"/>
        <w:snapToGrid w:val="0"/>
        <w:spacing w:line="360" w:lineRule="auto"/>
        <w:ind w:firstLine="537" w:firstLineChars="224"/>
        <w:rPr>
          <w:rFonts w:hint="eastAsia" w:ascii="宋体" w:hAnsi="宋体" w:eastAsia="宋体" w:cs="宋体"/>
          <w:color w:val="auto"/>
          <w:sz w:val="24"/>
          <w:szCs w:val="22"/>
          <w:highlight w:val="none"/>
        </w:rPr>
      </w:pPr>
    </w:p>
    <w:p w14:paraId="2981398E">
      <w:pPr>
        <w:widowControl w:val="0"/>
        <w:adjustRightInd w:val="0"/>
        <w:snapToGrid w:val="0"/>
        <w:spacing w:line="360" w:lineRule="auto"/>
        <w:ind w:firstLine="537" w:firstLineChars="224"/>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 xml:space="preserve">1.满足《中华人民共和国政府采购法》第二十二条规定的承诺函： </w:t>
      </w:r>
    </w:p>
    <w:p w14:paraId="209B7DE7">
      <w:pPr>
        <w:widowControl w:val="0"/>
        <w:adjustRightInd w:val="0"/>
        <w:snapToGrid w:val="0"/>
        <w:spacing w:line="360" w:lineRule="auto"/>
        <w:ind w:firstLine="537" w:firstLineChars="224"/>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（1）</w:t>
      </w:r>
      <w:r>
        <w:rPr>
          <w:rFonts w:hint="eastAsia" w:ascii="宋体" w:hAnsi="宋体" w:eastAsia="宋体" w:cs="宋体"/>
          <w:color w:val="auto"/>
          <w:sz w:val="24"/>
          <w:szCs w:val="22"/>
          <w:highlight w:val="none"/>
          <w:lang w:eastAsia="zh-CN"/>
        </w:rPr>
        <w:t>供应商</w:t>
      </w:r>
      <w:r>
        <w:rPr>
          <w:rFonts w:hint="eastAsia" w:ascii="宋体" w:hAnsi="宋体" w:eastAsia="宋体" w:cs="宋体"/>
          <w:color w:val="auto"/>
          <w:sz w:val="24"/>
          <w:szCs w:val="22"/>
          <w:highlight w:val="none"/>
        </w:rPr>
        <w:t>法人营业执照（副本）或事业单位法人证书（副本）或个体工商户营业执照或有效的自然人身份证明或社会团体法人登记证书（提供复印件上传）；</w:t>
      </w:r>
    </w:p>
    <w:p w14:paraId="5A96C422">
      <w:pPr>
        <w:widowControl w:val="0"/>
        <w:adjustRightInd w:val="0"/>
        <w:snapToGrid w:val="0"/>
        <w:spacing w:line="360" w:lineRule="auto"/>
        <w:ind w:firstLine="537" w:firstLineChars="224"/>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（2）符合参加政府采购活动应当具备的一般条件的承诺函；</w:t>
      </w:r>
    </w:p>
    <w:p w14:paraId="690F5A5C">
      <w:pPr>
        <w:widowControl w:val="0"/>
        <w:adjustRightInd w:val="0"/>
        <w:snapToGrid w:val="0"/>
        <w:spacing w:line="360" w:lineRule="auto"/>
        <w:ind w:firstLine="537" w:firstLineChars="224"/>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2.落实政府采购政策需满足的资格要求：</w:t>
      </w:r>
      <w:r>
        <w:rPr>
          <w:rFonts w:hint="eastAsia" w:ascii="宋体" w:hAnsi="宋体" w:cs="宋体"/>
          <w:color w:val="auto"/>
          <w:sz w:val="24"/>
          <w:szCs w:val="22"/>
          <w:highlight w:val="none"/>
          <w:lang w:val="en-US" w:eastAsia="zh-CN"/>
        </w:rPr>
        <w:t>提供《中小企业声明函》或《残疾人福利性单</w:t>
      </w:r>
      <w:r>
        <w:rPr>
          <w:rFonts w:hint="eastAsia" w:ascii="宋体" w:hAnsi="宋体" w:eastAsia="宋体" w:cs="宋体"/>
          <w:color w:val="auto"/>
          <w:sz w:val="24"/>
          <w:szCs w:val="22"/>
          <w:highlight w:val="none"/>
          <w:lang w:val="en-US" w:eastAsia="zh-CN"/>
        </w:rPr>
        <w:t>位声明函》或《监狱企业证明文件》</w:t>
      </w:r>
      <w:r>
        <w:rPr>
          <w:rFonts w:hint="eastAsia" w:ascii="宋体" w:hAnsi="宋体" w:eastAsia="宋体" w:cs="宋体"/>
          <w:color w:val="auto"/>
          <w:sz w:val="24"/>
          <w:szCs w:val="22"/>
          <w:highlight w:val="none"/>
        </w:rPr>
        <w:t>；</w:t>
      </w:r>
    </w:p>
    <w:p w14:paraId="6F08B3F4">
      <w:pPr>
        <w:pStyle w:val="27"/>
        <w:spacing w:before="0" w:beforeAutospacing="0" w:after="0" w:afterAutospacing="0" w:line="440" w:lineRule="exact"/>
        <w:ind w:left="0" w:leftChars="0" w:firstLine="420" w:firstLineChars="175"/>
        <w:rPr>
          <w:rFonts w:hint="eastAsia" w:ascii="宋体" w:hAnsi="宋体" w:eastAsia="宋体" w:cs="宋体"/>
          <w:color w:val="auto"/>
          <w:highlight w:val="none"/>
          <w:shd w:val="clear" w:color="auto" w:fill="FFFFFF"/>
          <w:lang w:eastAsia="zh-CN"/>
        </w:rPr>
      </w:pPr>
      <w:r>
        <w:rPr>
          <w:rFonts w:hint="eastAsia" w:ascii="宋体" w:hAnsi="宋体" w:eastAsia="宋体" w:cs="宋体"/>
          <w:color w:val="auto"/>
          <w:sz w:val="24"/>
          <w:szCs w:val="22"/>
          <w:highlight w:val="none"/>
        </w:rPr>
        <w:t>3.本项目的特定资格要求：</w:t>
      </w:r>
      <w:r>
        <w:rPr>
          <w:rFonts w:hint="eastAsia" w:ascii="宋体" w:hAnsi="宋体" w:eastAsia="宋体" w:cs="宋体"/>
          <w:color w:val="auto"/>
          <w:highlight w:val="none"/>
          <w:shd w:val="clear" w:color="auto" w:fill="FFFFFF"/>
          <w:lang w:eastAsia="zh-CN"/>
        </w:rPr>
        <w:t>① 供应商须为独立法人，且</w:t>
      </w:r>
      <w:r>
        <w:rPr>
          <w:rFonts w:hint="eastAsia" w:ascii="宋体" w:hAnsi="宋体" w:eastAsia="宋体" w:cs="宋体"/>
          <w:color w:val="auto"/>
          <w:highlight w:val="none"/>
          <w:shd w:val="clear" w:color="auto" w:fill="FFFFFF"/>
          <w:lang w:val="en-US" w:eastAsia="zh-CN"/>
        </w:rPr>
        <w:t>具有</w:t>
      </w:r>
      <w:r>
        <w:rPr>
          <w:rFonts w:hint="eastAsia" w:ascii="宋体" w:hAnsi="宋体" w:eastAsia="宋体" w:cs="宋体"/>
          <w:b/>
          <w:bCs/>
          <w:color w:val="auto"/>
          <w:highlight w:val="none"/>
          <w:shd w:val="clear" w:color="auto" w:fill="FFFFFF"/>
          <w:lang w:eastAsia="zh-CN"/>
        </w:rPr>
        <w:t>市政公用工程施工总承包叁级及以上资质</w:t>
      </w:r>
      <w:r>
        <w:rPr>
          <w:rFonts w:hint="eastAsia" w:ascii="宋体" w:hAnsi="宋体" w:eastAsia="宋体" w:cs="宋体"/>
          <w:color w:val="auto"/>
          <w:highlight w:val="none"/>
          <w:shd w:val="clear" w:color="auto" w:fill="FFFFFF"/>
          <w:lang w:eastAsia="zh-CN"/>
        </w:rPr>
        <w:t>，具有有效的安全生产许可证，并在人员、设备、资金等方面具备相应的施工能力；②供应商拟派项目负责人</w:t>
      </w:r>
      <w:r>
        <w:rPr>
          <w:rFonts w:hint="eastAsia" w:ascii="宋体" w:hAnsi="宋体" w:eastAsia="宋体" w:cs="宋体"/>
          <w:color w:val="auto"/>
          <w:highlight w:val="none"/>
          <w:shd w:val="clear" w:color="auto" w:fill="FFFFFF"/>
          <w:lang w:val="en-US" w:eastAsia="zh-CN"/>
        </w:rPr>
        <w:t>及拟派现场施工人员</w:t>
      </w:r>
      <w:r>
        <w:rPr>
          <w:rFonts w:hint="eastAsia" w:ascii="宋体" w:hAnsi="宋体" w:eastAsia="宋体" w:cs="宋体"/>
          <w:color w:val="auto"/>
          <w:highlight w:val="none"/>
          <w:shd w:val="clear" w:color="auto" w:fill="FFFFFF"/>
          <w:lang w:eastAsia="zh-CN"/>
        </w:rPr>
        <w:t>须为</w:t>
      </w:r>
      <w:r>
        <w:rPr>
          <w:rFonts w:hint="eastAsia" w:ascii="宋体" w:hAnsi="宋体" w:eastAsia="宋体" w:cs="宋体"/>
          <w:b/>
          <w:bCs/>
          <w:color w:val="auto"/>
          <w:highlight w:val="none"/>
          <w:shd w:val="clear" w:color="auto" w:fill="FFFFFF"/>
          <w:lang w:eastAsia="zh-CN"/>
        </w:rPr>
        <w:t>男性</w:t>
      </w:r>
      <w:r>
        <w:rPr>
          <w:rFonts w:hint="eastAsia" w:ascii="宋体" w:hAnsi="宋体" w:eastAsia="宋体" w:cs="宋体"/>
          <w:b/>
          <w:bCs/>
          <w:color w:val="auto"/>
          <w:highlight w:val="none"/>
          <w:shd w:val="clear" w:color="auto" w:fill="FFFFFF"/>
          <w:lang w:val="en-US" w:eastAsia="zh-CN"/>
        </w:rPr>
        <w:t>并提供承诺书（格式详见附件）</w:t>
      </w:r>
      <w:r>
        <w:rPr>
          <w:rFonts w:hint="eastAsia" w:ascii="宋体" w:hAnsi="宋体" w:eastAsia="宋体" w:cs="宋体"/>
          <w:color w:val="auto"/>
          <w:highlight w:val="none"/>
          <w:shd w:val="clear" w:color="auto" w:fill="FFFFFF"/>
          <w:lang w:eastAsia="zh-CN"/>
        </w:rPr>
        <w:t>，须具有注册在响应人单位的</w:t>
      </w:r>
      <w:r>
        <w:rPr>
          <w:rFonts w:hint="eastAsia" w:ascii="宋体" w:hAnsi="宋体" w:eastAsia="宋体" w:cs="宋体"/>
          <w:b/>
          <w:bCs/>
          <w:color w:val="auto"/>
          <w:highlight w:val="none"/>
          <w:shd w:val="clear" w:color="auto" w:fill="FFFFFF"/>
          <w:lang w:eastAsia="zh-CN"/>
        </w:rPr>
        <w:t>市政公用工程工程专业二级及以上</w:t>
      </w:r>
      <w:r>
        <w:rPr>
          <w:rFonts w:hint="eastAsia" w:ascii="宋体" w:hAnsi="宋体" w:eastAsia="宋体" w:cs="宋体"/>
          <w:color w:val="auto"/>
          <w:highlight w:val="none"/>
          <w:shd w:val="clear" w:color="auto" w:fill="FFFFFF"/>
          <w:lang w:eastAsia="zh-CN"/>
        </w:rPr>
        <w:t>注册建造师资格，同时具有有效的专职安全生产管理人员B类证书；③供应商拟驻现场的安全专职管理员具有“三类人员”C类证书；</w:t>
      </w:r>
      <w:r>
        <w:rPr>
          <w:rFonts w:hint="eastAsia" w:ascii="宋体" w:hAnsi="宋体" w:eastAsia="宋体" w:cs="宋体"/>
          <w:b/>
          <w:bCs/>
          <w:color w:val="auto"/>
          <w:highlight w:val="none"/>
          <w:shd w:val="clear" w:color="auto" w:fill="FFFFFF"/>
          <w:lang w:eastAsia="zh-CN"/>
        </w:rPr>
        <w:t>④供应商及拟派项目负责人及安全专职管理人员202</w:t>
      </w:r>
      <w:r>
        <w:rPr>
          <w:rFonts w:hint="eastAsia" w:ascii="宋体" w:hAnsi="宋体" w:eastAsia="宋体" w:cs="宋体"/>
          <w:b/>
          <w:bCs/>
          <w:color w:val="auto"/>
          <w:highlight w:val="none"/>
          <w:shd w:val="clear" w:color="auto" w:fill="FFFFFF"/>
          <w:lang w:val="en-US" w:eastAsia="zh-CN"/>
        </w:rPr>
        <w:t>2</w:t>
      </w:r>
      <w:r>
        <w:rPr>
          <w:rFonts w:hint="eastAsia" w:ascii="宋体" w:hAnsi="宋体" w:eastAsia="宋体" w:cs="宋体"/>
          <w:b/>
          <w:bCs/>
          <w:color w:val="auto"/>
          <w:highlight w:val="none"/>
          <w:shd w:val="clear" w:color="auto" w:fill="FFFFFF"/>
          <w:lang w:eastAsia="zh-CN"/>
        </w:rPr>
        <w:t>年1月1日至磋商响应截止时间前无行贿犯罪记录（以中国裁判文书网查询结果为准）</w:t>
      </w:r>
      <w:r>
        <w:rPr>
          <w:rFonts w:hint="eastAsia" w:ascii="宋体" w:hAnsi="宋体" w:eastAsia="宋体" w:cs="宋体"/>
          <w:color w:val="auto"/>
          <w:highlight w:val="none"/>
          <w:shd w:val="clear" w:color="auto" w:fill="FFFFFF"/>
          <w:lang w:eastAsia="zh-CN"/>
        </w:rPr>
        <w:t>；</w:t>
      </w:r>
    </w:p>
    <w:p w14:paraId="5C6AADBA">
      <w:pPr>
        <w:widowControl w:val="0"/>
        <w:adjustRightInd w:val="0"/>
        <w:snapToGrid w:val="0"/>
        <w:spacing w:line="360" w:lineRule="auto"/>
        <w:ind w:firstLine="537" w:firstLineChars="224"/>
        <w:rPr>
          <w:rFonts w:hint="eastAsia" w:ascii="宋体" w:hAnsi="宋体" w:eastAsia="宋体" w:cs="宋体"/>
          <w:b/>
          <w:bCs/>
          <w:color w:val="auto"/>
          <w:sz w:val="28"/>
          <w:szCs w:val="28"/>
          <w:highlight w:val="none"/>
        </w:rPr>
      </w:pPr>
      <w:r>
        <w:rPr>
          <w:rFonts w:hint="eastAsia" w:ascii="宋体" w:hAnsi="宋体" w:eastAsia="宋体" w:cs="宋体"/>
          <w:color w:val="auto"/>
          <w:sz w:val="24"/>
          <w:szCs w:val="22"/>
          <w:highlight w:val="none"/>
        </w:rPr>
        <w:t>。</w:t>
      </w:r>
      <w:r>
        <w:rPr>
          <w:rFonts w:hint="eastAsia" w:ascii="宋体" w:hAnsi="宋体" w:eastAsia="宋体" w:cs="宋体"/>
          <w:b/>
          <w:bCs/>
          <w:color w:val="auto"/>
          <w:sz w:val="28"/>
          <w:szCs w:val="28"/>
          <w:highlight w:val="none"/>
        </w:rPr>
        <w:br w:type="page"/>
      </w:r>
    </w:p>
    <w:p w14:paraId="0D1E20D4">
      <w:pPr>
        <w:snapToGrid w:val="0"/>
        <w:spacing w:line="360" w:lineRule="auto"/>
        <w:ind w:right="480"/>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一、 符合参加政府采购活动应当具备的一般条件的承诺函</w:t>
      </w:r>
    </w:p>
    <w:p w14:paraId="74E6E092">
      <w:pPr>
        <w:snapToGrid w:val="0"/>
        <w:spacing w:line="360" w:lineRule="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（采购人）、（采购代理机构）：</w:t>
      </w:r>
    </w:p>
    <w:p w14:paraId="72B5C12F">
      <w:pPr>
        <w:snapToGrid w:val="0"/>
        <w:spacing w:line="360" w:lineRule="auto"/>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我方参与</w:t>
      </w:r>
      <w:r>
        <w:rPr>
          <w:rFonts w:hint="eastAsia" w:ascii="宋体" w:hAnsi="宋体" w:eastAsia="宋体" w:cs="宋体"/>
          <w:color w:val="auto"/>
          <w:sz w:val="24"/>
          <w:szCs w:val="22"/>
          <w:highlight w:val="none"/>
          <w:u w:val="single"/>
        </w:rPr>
        <w:t>（项目名称）             【项目编号：    】</w:t>
      </w:r>
      <w:r>
        <w:rPr>
          <w:rFonts w:hint="eastAsia" w:ascii="宋体" w:hAnsi="宋体" w:eastAsia="宋体" w:cs="宋体"/>
          <w:color w:val="auto"/>
          <w:sz w:val="24"/>
          <w:szCs w:val="22"/>
          <w:highlight w:val="none"/>
        </w:rPr>
        <w:t>政府采购活动，郑重承诺：</w:t>
      </w:r>
    </w:p>
    <w:p w14:paraId="3853BA89">
      <w:pPr>
        <w:snapToGrid w:val="0"/>
        <w:spacing w:line="360" w:lineRule="auto"/>
        <w:ind w:firstLine="360" w:firstLineChars="15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（一）具备《中华人民共和国政府采购法》第二十二条第一款规定的条件：</w:t>
      </w:r>
    </w:p>
    <w:p w14:paraId="137F18E8">
      <w:pPr>
        <w:snapToGrid w:val="0"/>
        <w:spacing w:line="360" w:lineRule="auto"/>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1.具有独立承担民事责任的能力；</w:t>
      </w:r>
    </w:p>
    <w:p w14:paraId="05C1B7F3">
      <w:pPr>
        <w:snapToGrid w:val="0"/>
        <w:spacing w:line="360" w:lineRule="auto"/>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 xml:space="preserve">2.具有良好的商业信誉和健全的财务会计制度； </w:t>
      </w:r>
    </w:p>
    <w:p w14:paraId="7DDFE7F3">
      <w:pPr>
        <w:snapToGrid w:val="0"/>
        <w:spacing w:line="360" w:lineRule="auto"/>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3.具有履行合同所必需的设备和专业技术能力；</w:t>
      </w:r>
    </w:p>
    <w:p w14:paraId="63BCED7F">
      <w:pPr>
        <w:snapToGrid w:val="0"/>
        <w:spacing w:line="360" w:lineRule="auto"/>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4.有依法缴纳税收和社会保障资金的良好记录；</w:t>
      </w:r>
    </w:p>
    <w:p w14:paraId="4699EB7A">
      <w:pPr>
        <w:snapToGrid w:val="0"/>
        <w:spacing w:line="360" w:lineRule="auto"/>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5.参加政府采购活动前三年内，在经营活动中没有重大违法记录；</w:t>
      </w:r>
    </w:p>
    <w:p w14:paraId="1B8AA257">
      <w:pPr>
        <w:snapToGrid w:val="0"/>
        <w:spacing w:line="360" w:lineRule="auto"/>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6.具有法律、行政法规规定的其他条件。</w:t>
      </w:r>
    </w:p>
    <w:p w14:paraId="60602800">
      <w:pPr>
        <w:snapToGrid w:val="0"/>
        <w:spacing w:line="360" w:lineRule="auto"/>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（二）未被信用中国（www.creditchina.gov.cn)、中国政府采购网（www.ccgp.gov.cn）列入失信被执行人、重大税收违法案件当事人名单、政府采购严重违法失信行为记录名单。</w:t>
      </w:r>
    </w:p>
    <w:p w14:paraId="4CB6407E">
      <w:pPr>
        <w:snapToGrid w:val="0"/>
        <w:spacing w:line="360" w:lineRule="auto"/>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（三）不存在以下情况：</w:t>
      </w:r>
    </w:p>
    <w:p w14:paraId="2811D34E">
      <w:pPr>
        <w:snapToGrid w:val="0"/>
        <w:spacing w:line="360" w:lineRule="auto"/>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1.单位负责人为同一人或者存在直接控股、管理关系的不同供应商参加同一合同项下的政府采购活动的；</w:t>
      </w:r>
    </w:p>
    <w:p w14:paraId="1A88EA67">
      <w:pPr>
        <w:snapToGrid w:val="0"/>
        <w:spacing w:line="360" w:lineRule="auto"/>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2.为采购项目提供整体设计、规范编制或者项目管理、监理、检测等服务后再参加该采购项目的其他采购活动的。</w:t>
      </w:r>
    </w:p>
    <w:p w14:paraId="47028D25">
      <w:pPr>
        <w:snapToGrid w:val="0"/>
        <w:spacing w:line="360" w:lineRule="auto"/>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3.我单位不属于公益一类事业单位（该条承诺仅针对政府购买服务清单中项目）。</w:t>
      </w:r>
    </w:p>
    <w:p w14:paraId="3CDEF6EF">
      <w:pPr>
        <w:pStyle w:val="30"/>
        <w:ind w:left="480" w:firstLine="480"/>
        <w:rPr>
          <w:rFonts w:hint="eastAsia" w:ascii="宋体" w:hAnsi="宋体" w:eastAsia="宋体" w:cs="宋体"/>
          <w:color w:val="auto"/>
          <w:sz w:val="24"/>
          <w:szCs w:val="24"/>
          <w:highlight w:val="none"/>
        </w:rPr>
      </w:pPr>
    </w:p>
    <w:p w14:paraId="3B4B1F4C">
      <w:pPr>
        <w:pStyle w:val="30"/>
        <w:ind w:left="480" w:firstLine="480"/>
        <w:rPr>
          <w:rFonts w:hint="eastAsia" w:ascii="宋体" w:hAnsi="宋体" w:eastAsia="宋体" w:cs="宋体"/>
          <w:color w:val="auto"/>
          <w:sz w:val="24"/>
          <w:szCs w:val="24"/>
          <w:highlight w:val="none"/>
        </w:rPr>
      </w:pPr>
    </w:p>
    <w:p w14:paraId="6721A41C">
      <w:pPr>
        <w:pStyle w:val="15"/>
        <w:widowControl w:val="0"/>
        <w:adjustRightInd w:val="0"/>
        <w:snapToGrid w:val="0"/>
        <w:spacing w:before="0" w:beforeAutospacing="0" w:after="0" w:afterAutospacing="0" w:line="360" w:lineRule="auto"/>
        <w:ind w:firstLine="900" w:firstLineChars="375"/>
        <w:jc w:val="right"/>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lang w:eastAsia="zh-CN"/>
        </w:rPr>
        <w:t>供应商</w:t>
      </w:r>
      <w:r>
        <w:rPr>
          <w:rFonts w:hint="eastAsia" w:ascii="宋体" w:hAnsi="宋体" w:eastAsia="宋体" w:cs="宋体"/>
          <w:color w:val="auto"/>
          <w:sz w:val="24"/>
          <w:szCs w:val="22"/>
          <w:highlight w:val="none"/>
        </w:rPr>
        <w:t>（电子签章）：__________________________</w:t>
      </w:r>
    </w:p>
    <w:p w14:paraId="0D8509B4">
      <w:pPr>
        <w:pStyle w:val="15"/>
        <w:widowControl w:val="0"/>
        <w:adjustRightInd w:val="0"/>
        <w:snapToGrid w:val="0"/>
        <w:spacing w:before="0" w:beforeAutospacing="0" w:after="0" w:afterAutospacing="0"/>
        <w:ind w:firstLine="900" w:firstLineChars="375"/>
        <w:jc w:val="right"/>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日期：____年____月____日</w:t>
      </w:r>
    </w:p>
    <w:p w14:paraId="78FD8D9F">
      <w:pPr>
        <w:snapToGrid w:val="0"/>
        <w:spacing w:line="360" w:lineRule="auto"/>
        <w:ind w:right="480"/>
        <w:rPr>
          <w:rFonts w:hint="eastAsia" w:ascii="宋体" w:hAnsi="宋体" w:eastAsia="宋体" w:cs="宋体"/>
          <w:color w:val="auto"/>
          <w:sz w:val="24"/>
          <w:szCs w:val="24"/>
          <w:highlight w:val="none"/>
          <w:lang w:val="en-US" w:eastAsia="zh-CN" w:bidi="ar-SA"/>
        </w:rPr>
      </w:pPr>
    </w:p>
    <w:p w14:paraId="6C57B8EE">
      <w:pPr>
        <w:snapToGrid w:val="0"/>
        <w:spacing w:line="360" w:lineRule="auto"/>
        <w:ind w:right="480"/>
        <w:jc w:val="center"/>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w:t>
      </w:r>
    </w:p>
    <w:p w14:paraId="2FA7A5FF">
      <w:pPr>
        <w:pStyle w:val="30"/>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14:paraId="352A86AD">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18E6ABF1">
      <w:pPr>
        <w:pStyle w:val="46"/>
        <w:rPr>
          <w:rFonts w:hint="eastAsia"/>
          <w:color w:val="auto"/>
          <w:highlight w:val="none"/>
        </w:rPr>
      </w:pPr>
    </w:p>
    <w:p w14:paraId="1968BC38">
      <w:pPr>
        <w:snapToGrid w:val="0"/>
        <w:spacing w:line="360" w:lineRule="auto"/>
        <w:ind w:right="480"/>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二、落实政府采购政策需满足的资格要求</w:t>
      </w:r>
    </w:p>
    <w:p w14:paraId="50584137">
      <w:pPr>
        <w:spacing w:line="360" w:lineRule="auto"/>
        <w:rPr>
          <w:rFonts w:hint="eastAsia" w:ascii="宋体" w:hAnsi="宋体" w:eastAsia="宋体" w:cs="宋体"/>
          <w:b/>
          <w:color w:val="auto"/>
          <w:highlight w:val="none"/>
        </w:rPr>
      </w:pPr>
      <w:r>
        <w:rPr>
          <w:rFonts w:hint="eastAsia" w:ascii="宋体" w:hAnsi="宋体" w:eastAsia="宋体" w:cs="宋体"/>
          <w:b/>
          <w:color w:val="auto"/>
          <w:highlight w:val="none"/>
        </w:rPr>
        <w:t>（根据招标公告落实政府采购政策需满足的资格要求选择提供相应的材料；未要求的，无需提供）</w:t>
      </w:r>
    </w:p>
    <w:p w14:paraId="4696175E">
      <w:pPr>
        <w:pStyle w:val="30"/>
        <w:ind w:left="0" w:leftChars="0" w:firstLine="0" w:firstLineChars="0"/>
        <w:jc w:val="center"/>
        <w:rPr>
          <w:rFonts w:hint="eastAsia" w:ascii="宋体" w:hAnsi="宋体" w:eastAsia="宋体" w:cs="宋体"/>
          <w:b/>
          <w:color w:val="auto"/>
          <w:sz w:val="32"/>
          <w:szCs w:val="32"/>
          <w:highlight w:val="none"/>
        </w:rPr>
      </w:pPr>
    </w:p>
    <w:p w14:paraId="1DDD4243">
      <w:pPr>
        <w:pStyle w:val="30"/>
        <w:ind w:left="0" w:leftChars="0" w:firstLine="0" w:firstLineChars="0"/>
        <w:jc w:val="center"/>
        <w:rPr>
          <w:rFonts w:hint="eastAsia" w:ascii="宋体" w:hAnsi="宋体" w:eastAsia="宋体" w:cs="宋体"/>
          <w:color w:val="auto"/>
          <w:highlight w:val="none"/>
          <w:lang w:eastAsia="zh-CN"/>
        </w:rPr>
      </w:pPr>
      <w:r>
        <w:rPr>
          <w:rFonts w:hint="eastAsia" w:ascii="宋体" w:hAnsi="宋体" w:eastAsia="宋体" w:cs="宋体"/>
          <w:b/>
          <w:color w:val="auto"/>
          <w:sz w:val="32"/>
          <w:szCs w:val="32"/>
          <w:highlight w:val="none"/>
        </w:rPr>
        <w:t>中小企业声明函</w:t>
      </w:r>
    </w:p>
    <w:p w14:paraId="1273CC60">
      <w:pPr>
        <w:shd w:val="clear" w:color="auto" w:fill="FFFFFF"/>
        <w:spacing w:before="100" w:beforeAutospacing="1" w:after="100" w:afterAutospacing="1" w:line="360" w:lineRule="auto"/>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本公司郑重声明，根据《政府采购促进中小企业发展管理办法》（财库[2020]46号）的规定，本公司参加</w:t>
      </w:r>
      <w:r>
        <w:rPr>
          <w:rFonts w:hint="eastAsia" w:ascii="宋体" w:hAnsi="宋体" w:eastAsia="宋体" w:cs="宋体"/>
          <w:color w:val="auto"/>
          <w:sz w:val="24"/>
          <w:szCs w:val="22"/>
          <w:highlight w:val="none"/>
          <w:u w:val="single"/>
        </w:rPr>
        <w:t xml:space="preserve">       </w:t>
      </w:r>
      <w:r>
        <w:rPr>
          <w:rFonts w:hint="eastAsia" w:ascii="宋体" w:hAnsi="宋体" w:eastAsia="宋体" w:cs="宋体"/>
          <w:color w:val="auto"/>
          <w:sz w:val="24"/>
          <w:szCs w:val="22"/>
          <w:highlight w:val="none"/>
        </w:rPr>
        <w:t>（单位名称）的</w:t>
      </w:r>
      <w:r>
        <w:rPr>
          <w:rFonts w:hint="eastAsia" w:ascii="宋体" w:hAnsi="宋体" w:eastAsia="宋体" w:cs="宋体"/>
          <w:color w:val="auto"/>
          <w:sz w:val="24"/>
          <w:szCs w:val="22"/>
          <w:highlight w:val="none"/>
          <w:u w:val="single"/>
        </w:rPr>
        <w:t xml:space="preserve">            </w:t>
      </w:r>
      <w:r>
        <w:rPr>
          <w:rFonts w:hint="eastAsia" w:ascii="宋体" w:hAnsi="宋体" w:eastAsia="宋体" w:cs="宋体"/>
          <w:color w:val="auto"/>
          <w:sz w:val="24"/>
          <w:szCs w:val="22"/>
          <w:highlight w:val="none"/>
        </w:rPr>
        <w:t>（项目名称）采购活动，服务全部由符合政策要求的中小企业承接。相关企业的具体情况如下：</w:t>
      </w:r>
    </w:p>
    <w:p w14:paraId="32620EB6">
      <w:pPr>
        <w:shd w:val="clear" w:color="auto" w:fill="FFFFFF"/>
        <w:spacing w:before="100" w:beforeAutospacing="1" w:after="100" w:afterAutospacing="1" w:line="360" w:lineRule="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1._____（标的名称），属于（采购文件中明确的所属行业）行业；承接企业为（企业名称），从业人员_____人，营业收入为_____万元，资产总额为_____万元¹，属于（中型企业、小型企业、微型企业）</w:t>
      </w:r>
    </w:p>
    <w:p w14:paraId="3822E8E5">
      <w:pPr>
        <w:shd w:val="clear" w:color="auto" w:fill="FFFFFF"/>
        <w:spacing w:before="100" w:beforeAutospacing="1" w:after="100" w:afterAutospacing="1" w:line="360" w:lineRule="auto"/>
        <w:rPr>
          <w:rFonts w:hint="eastAsia" w:ascii="宋体" w:hAnsi="宋体" w:eastAsia="宋体" w:cs="宋体"/>
          <w:b/>
          <w:color w:val="auto"/>
          <w:sz w:val="24"/>
          <w:szCs w:val="22"/>
          <w:highlight w:val="none"/>
        </w:rPr>
      </w:pPr>
      <w:r>
        <w:rPr>
          <w:rFonts w:hint="eastAsia" w:ascii="宋体" w:hAnsi="宋体" w:eastAsia="宋体" w:cs="宋体"/>
          <w:b/>
          <w:color w:val="auto"/>
          <w:sz w:val="24"/>
          <w:szCs w:val="22"/>
          <w:highlight w:val="none"/>
        </w:rPr>
        <w:t>以上企业，不属于大型企业的分支机构，不存在控股股东为大型企业的情形，也不存在与大企业的负责人为同一人的情形。</w:t>
      </w:r>
    </w:p>
    <w:p w14:paraId="71C8E465">
      <w:pPr>
        <w:shd w:val="clear" w:color="auto" w:fill="FFFFFF"/>
        <w:spacing w:before="100" w:beforeAutospacing="1" w:after="100" w:afterAutospacing="1" w:line="360" w:lineRule="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本企业对上述声明内容的真实性负责。如有虚假，将依法承担相应责任。</w:t>
      </w:r>
    </w:p>
    <w:p w14:paraId="44EF4E1F">
      <w:pPr>
        <w:shd w:val="clear" w:color="auto" w:fill="FFFFFF"/>
        <w:spacing w:before="100" w:beforeAutospacing="1" w:after="100" w:afterAutospacing="1" w:line="360" w:lineRule="auto"/>
        <w:jc w:val="right"/>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企业名称：</w:t>
      </w:r>
      <w:r>
        <w:rPr>
          <w:rFonts w:hint="eastAsia" w:ascii="宋体" w:hAnsi="宋体" w:cs="宋体"/>
          <w:color w:val="auto"/>
          <w:sz w:val="24"/>
          <w:szCs w:val="22"/>
          <w:highlight w:val="none"/>
          <w:u w:val="single"/>
          <w:lang w:val="en-US" w:eastAsia="zh-CN"/>
        </w:rPr>
        <w:t xml:space="preserve">                  </w:t>
      </w:r>
      <w:r>
        <w:rPr>
          <w:rFonts w:hint="eastAsia" w:ascii="宋体" w:hAnsi="宋体" w:eastAsia="宋体" w:cs="宋体"/>
          <w:color w:val="auto"/>
          <w:sz w:val="24"/>
          <w:szCs w:val="22"/>
          <w:highlight w:val="none"/>
        </w:rPr>
        <w:t>（盖章）</w:t>
      </w:r>
    </w:p>
    <w:p w14:paraId="457BB6B0">
      <w:pPr>
        <w:shd w:val="clear" w:color="auto" w:fill="FFFFFF"/>
        <w:spacing w:before="100" w:beforeAutospacing="1" w:after="100" w:afterAutospacing="1" w:line="360" w:lineRule="auto"/>
        <w:jc w:val="right"/>
        <w:rPr>
          <w:rFonts w:hint="default" w:ascii="宋体" w:hAnsi="宋体" w:eastAsia="宋体" w:cs="宋体"/>
          <w:color w:val="auto"/>
          <w:sz w:val="24"/>
          <w:szCs w:val="22"/>
          <w:highlight w:val="none"/>
          <w:u w:val="single"/>
          <w:lang w:val="en-US" w:eastAsia="zh-CN"/>
        </w:rPr>
      </w:pPr>
      <w:r>
        <w:rPr>
          <w:rFonts w:hint="eastAsia" w:ascii="宋体" w:hAnsi="宋体" w:eastAsia="宋体" w:cs="宋体"/>
          <w:color w:val="auto"/>
          <w:sz w:val="24"/>
          <w:szCs w:val="22"/>
          <w:highlight w:val="none"/>
        </w:rPr>
        <w:t>日  期：</w:t>
      </w:r>
      <w:r>
        <w:rPr>
          <w:rFonts w:hint="eastAsia" w:ascii="宋体" w:hAnsi="宋体" w:cs="宋体"/>
          <w:color w:val="auto"/>
          <w:sz w:val="24"/>
          <w:szCs w:val="22"/>
          <w:highlight w:val="none"/>
          <w:u w:val="single"/>
          <w:lang w:val="en-US" w:eastAsia="zh-CN"/>
        </w:rPr>
        <w:t xml:space="preserve">    </w:t>
      </w:r>
      <w:r>
        <w:rPr>
          <w:rFonts w:hint="eastAsia" w:ascii="宋体" w:hAnsi="宋体" w:cs="宋体"/>
          <w:color w:val="auto"/>
          <w:sz w:val="24"/>
          <w:szCs w:val="22"/>
          <w:highlight w:val="none"/>
          <w:u w:val="none"/>
          <w:lang w:val="en-US" w:eastAsia="zh-CN"/>
        </w:rPr>
        <w:t>年</w:t>
      </w:r>
      <w:r>
        <w:rPr>
          <w:rFonts w:hint="eastAsia" w:ascii="宋体" w:hAnsi="宋体" w:cs="宋体"/>
          <w:color w:val="auto"/>
          <w:sz w:val="24"/>
          <w:szCs w:val="22"/>
          <w:highlight w:val="none"/>
          <w:u w:val="single"/>
          <w:lang w:val="en-US" w:eastAsia="zh-CN"/>
        </w:rPr>
        <w:t xml:space="preserve">  </w:t>
      </w:r>
      <w:r>
        <w:rPr>
          <w:rFonts w:hint="eastAsia" w:ascii="宋体" w:hAnsi="宋体" w:cs="宋体"/>
          <w:color w:val="auto"/>
          <w:sz w:val="24"/>
          <w:szCs w:val="22"/>
          <w:highlight w:val="none"/>
          <w:u w:val="none"/>
          <w:lang w:val="en-US" w:eastAsia="zh-CN"/>
        </w:rPr>
        <w:t>月</w:t>
      </w:r>
      <w:r>
        <w:rPr>
          <w:rFonts w:hint="eastAsia" w:ascii="宋体" w:hAnsi="宋体" w:cs="宋体"/>
          <w:color w:val="auto"/>
          <w:sz w:val="24"/>
          <w:szCs w:val="22"/>
          <w:highlight w:val="none"/>
          <w:u w:val="single"/>
          <w:lang w:val="en-US" w:eastAsia="zh-CN"/>
        </w:rPr>
        <w:t xml:space="preserve">  </w:t>
      </w:r>
      <w:r>
        <w:rPr>
          <w:rFonts w:hint="eastAsia" w:ascii="宋体" w:hAnsi="宋体" w:cs="宋体"/>
          <w:color w:val="auto"/>
          <w:sz w:val="24"/>
          <w:szCs w:val="22"/>
          <w:highlight w:val="none"/>
          <w:u w:val="none"/>
          <w:lang w:val="en-US" w:eastAsia="zh-CN"/>
        </w:rPr>
        <w:t>日</w:t>
      </w:r>
    </w:p>
    <w:p w14:paraId="58372E13">
      <w:pPr>
        <w:spacing w:after="120"/>
        <w:ind w:left="200" w:firstLine="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w:t>
      </w:r>
    </w:p>
    <w:p w14:paraId="70044FFA">
      <w:pPr>
        <w:pStyle w:val="15"/>
        <w:widowControl w:val="0"/>
        <w:adjustRightInd w:val="0"/>
        <w:snapToGrid w:val="0"/>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¹从业人员、营业收入、资产总额填报上一年度的数据，无上一年度数据的新成立企业可不填报。</w:t>
      </w:r>
    </w:p>
    <w:p w14:paraId="5E7F34F5">
      <w:pPr>
        <w:spacing w:line="360" w:lineRule="auto"/>
        <w:ind w:firstLine="480" w:firstLineChars="200"/>
        <w:rPr>
          <w:rFonts w:hint="eastAsia" w:ascii="宋体" w:hAnsi="宋体" w:eastAsia="宋体" w:cs="宋体"/>
          <w:color w:val="auto"/>
          <w:sz w:val="24"/>
          <w:szCs w:val="22"/>
          <w:highlight w:val="none"/>
        </w:rPr>
      </w:pPr>
    </w:p>
    <w:p w14:paraId="5CA76EA2">
      <w:pPr>
        <w:pStyle w:val="30"/>
        <w:rPr>
          <w:rFonts w:hint="eastAsia" w:ascii="宋体" w:hAnsi="宋体" w:eastAsia="宋体" w:cs="宋体"/>
          <w:color w:val="auto"/>
          <w:sz w:val="24"/>
          <w:szCs w:val="22"/>
          <w:highlight w:val="none"/>
        </w:rPr>
      </w:pPr>
    </w:p>
    <w:p w14:paraId="49A9B701">
      <w:pP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br w:type="page"/>
      </w:r>
    </w:p>
    <w:p w14:paraId="48004208">
      <w:pPr>
        <w:widowControl w:val="0"/>
        <w:autoSpaceDE w:val="0"/>
        <w:autoSpaceDN w:val="0"/>
        <w:adjustRightInd w:val="0"/>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残疾人福利性单位声明函</w:t>
      </w:r>
    </w:p>
    <w:p w14:paraId="6F540C00">
      <w:pPr>
        <w:shd w:val="clear" w:color="auto" w:fill="FFFFFF"/>
        <w:spacing w:before="100" w:beforeAutospacing="1" w:after="100" w:afterAutospacing="1" w:line="360" w:lineRule="auto"/>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5E4E75CD">
      <w:pPr>
        <w:shd w:val="clear" w:color="auto" w:fill="FFFFFF"/>
        <w:spacing w:before="100" w:beforeAutospacing="1" w:after="100" w:afterAutospacing="1" w:line="360" w:lineRule="auto"/>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本单位对上述声明的真实性负责。如有虚假，将依法承担相应责任。</w:t>
      </w:r>
    </w:p>
    <w:p w14:paraId="75245B5E">
      <w:pPr>
        <w:shd w:val="clear" w:color="auto" w:fill="FFFFFF"/>
        <w:spacing w:before="100" w:beforeAutospacing="1" w:after="100" w:afterAutospacing="1" w:line="360" w:lineRule="auto"/>
        <w:rPr>
          <w:rFonts w:hint="eastAsia" w:ascii="宋体" w:hAnsi="宋体" w:eastAsia="宋体" w:cs="宋体"/>
          <w:color w:val="auto"/>
          <w:sz w:val="24"/>
          <w:szCs w:val="22"/>
          <w:highlight w:val="none"/>
        </w:rPr>
      </w:pPr>
    </w:p>
    <w:p w14:paraId="4096636C">
      <w:pPr>
        <w:shd w:val="clear" w:color="auto" w:fill="FFFFFF"/>
        <w:spacing w:before="100" w:beforeAutospacing="1" w:after="100" w:afterAutospacing="1" w:line="360" w:lineRule="auto"/>
        <w:jc w:val="right"/>
        <w:rPr>
          <w:rFonts w:hint="eastAsia" w:ascii="宋体" w:hAnsi="宋体" w:eastAsia="宋体" w:cs="宋体"/>
          <w:color w:val="auto"/>
          <w:sz w:val="24"/>
          <w:szCs w:val="22"/>
          <w:highlight w:val="none"/>
        </w:rPr>
      </w:pPr>
      <w:r>
        <w:rPr>
          <w:rFonts w:hint="eastAsia" w:ascii="宋体" w:hAnsi="宋体" w:cs="宋体"/>
          <w:color w:val="auto"/>
          <w:sz w:val="24"/>
          <w:szCs w:val="22"/>
          <w:highlight w:val="none"/>
          <w:lang w:val="en-US" w:eastAsia="zh-CN"/>
        </w:rPr>
        <w:t>供应商</w:t>
      </w:r>
      <w:r>
        <w:rPr>
          <w:rFonts w:hint="eastAsia" w:ascii="宋体" w:hAnsi="宋体" w:eastAsia="宋体" w:cs="宋体"/>
          <w:color w:val="auto"/>
          <w:sz w:val="24"/>
          <w:szCs w:val="22"/>
          <w:highlight w:val="none"/>
        </w:rPr>
        <w:t>名称：</w:t>
      </w:r>
      <w:r>
        <w:rPr>
          <w:rFonts w:hint="eastAsia" w:ascii="宋体" w:hAnsi="宋体" w:cs="宋体"/>
          <w:color w:val="auto"/>
          <w:sz w:val="24"/>
          <w:szCs w:val="22"/>
          <w:highlight w:val="none"/>
          <w:u w:val="single"/>
          <w:lang w:val="en-US" w:eastAsia="zh-CN"/>
        </w:rPr>
        <w:t xml:space="preserve">                  </w:t>
      </w:r>
      <w:r>
        <w:rPr>
          <w:rFonts w:hint="eastAsia" w:ascii="宋体" w:hAnsi="宋体" w:eastAsia="宋体" w:cs="宋体"/>
          <w:color w:val="auto"/>
          <w:sz w:val="24"/>
          <w:szCs w:val="22"/>
          <w:highlight w:val="none"/>
        </w:rPr>
        <w:t>（盖章）</w:t>
      </w:r>
    </w:p>
    <w:p w14:paraId="68948AB7">
      <w:pPr>
        <w:shd w:val="clear" w:color="auto" w:fill="FFFFFF"/>
        <w:spacing w:before="100" w:beforeAutospacing="1" w:after="100" w:afterAutospacing="1" w:line="360" w:lineRule="auto"/>
        <w:jc w:val="right"/>
        <w:rPr>
          <w:rFonts w:hint="default" w:ascii="宋体" w:hAnsi="宋体" w:eastAsia="宋体" w:cs="宋体"/>
          <w:color w:val="auto"/>
          <w:sz w:val="24"/>
          <w:szCs w:val="22"/>
          <w:highlight w:val="none"/>
          <w:u w:val="single"/>
          <w:lang w:val="en-US" w:eastAsia="zh-CN"/>
        </w:rPr>
      </w:pPr>
      <w:r>
        <w:rPr>
          <w:rFonts w:hint="eastAsia" w:ascii="宋体" w:hAnsi="宋体" w:eastAsia="宋体" w:cs="宋体"/>
          <w:color w:val="auto"/>
          <w:sz w:val="24"/>
          <w:szCs w:val="22"/>
          <w:highlight w:val="none"/>
        </w:rPr>
        <w:t>日  期：</w:t>
      </w:r>
      <w:r>
        <w:rPr>
          <w:rFonts w:hint="eastAsia" w:ascii="宋体" w:hAnsi="宋体" w:cs="宋体"/>
          <w:color w:val="auto"/>
          <w:sz w:val="24"/>
          <w:szCs w:val="22"/>
          <w:highlight w:val="none"/>
          <w:u w:val="single"/>
          <w:lang w:val="en-US" w:eastAsia="zh-CN"/>
        </w:rPr>
        <w:t xml:space="preserve">    </w:t>
      </w:r>
      <w:r>
        <w:rPr>
          <w:rFonts w:hint="eastAsia" w:ascii="宋体" w:hAnsi="宋体" w:cs="宋体"/>
          <w:color w:val="auto"/>
          <w:sz w:val="24"/>
          <w:szCs w:val="22"/>
          <w:highlight w:val="none"/>
          <w:u w:val="none"/>
          <w:lang w:val="en-US" w:eastAsia="zh-CN"/>
        </w:rPr>
        <w:t>年</w:t>
      </w:r>
      <w:r>
        <w:rPr>
          <w:rFonts w:hint="eastAsia" w:ascii="宋体" w:hAnsi="宋体" w:cs="宋体"/>
          <w:color w:val="auto"/>
          <w:sz w:val="24"/>
          <w:szCs w:val="22"/>
          <w:highlight w:val="none"/>
          <w:u w:val="single"/>
          <w:lang w:val="en-US" w:eastAsia="zh-CN"/>
        </w:rPr>
        <w:t xml:space="preserve">  </w:t>
      </w:r>
      <w:r>
        <w:rPr>
          <w:rFonts w:hint="eastAsia" w:ascii="宋体" w:hAnsi="宋体" w:cs="宋体"/>
          <w:color w:val="auto"/>
          <w:sz w:val="24"/>
          <w:szCs w:val="22"/>
          <w:highlight w:val="none"/>
          <w:u w:val="none"/>
          <w:lang w:val="en-US" w:eastAsia="zh-CN"/>
        </w:rPr>
        <w:t>月</w:t>
      </w:r>
      <w:r>
        <w:rPr>
          <w:rFonts w:hint="eastAsia" w:ascii="宋体" w:hAnsi="宋体" w:cs="宋体"/>
          <w:color w:val="auto"/>
          <w:sz w:val="24"/>
          <w:szCs w:val="22"/>
          <w:highlight w:val="none"/>
          <w:u w:val="single"/>
          <w:lang w:val="en-US" w:eastAsia="zh-CN"/>
        </w:rPr>
        <w:t xml:space="preserve">  </w:t>
      </w:r>
      <w:r>
        <w:rPr>
          <w:rFonts w:hint="eastAsia" w:ascii="宋体" w:hAnsi="宋体" w:cs="宋体"/>
          <w:color w:val="auto"/>
          <w:sz w:val="24"/>
          <w:szCs w:val="22"/>
          <w:highlight w:val="none"/>
          <w:u w:val="none"/>
          <w:lang w:val="en-US" w:eastAsia="zh-CN"/>
        </w:rPr>
        <w:t>日</w:t>
      </w:r>
    </w:p>
    <w:p w14:paraId="17DE2EE7">
      <w:pPr>
        <w:shd w:val="clear" w:color="auto" w:fill="FFFFFF"/>
        <w:spacing w:before="100" w:beforeAutospacing="1" w:after="100" w:afterAutospacing="1" w:line="360" w:lineRule="auto"/>
        <w:rPr>
          <w:rFonts w:hint="eastAsia" w:ascii="宋体" w:hAnsi="宋体" w:eastAsia="宋体" w:cs="宋体"/>
          <w:color w:val="auto"/>
          <w:highlight w:val="none"/>
        </w:rPr>
      </w:pPr>
    </w:p>
    <w:p w14:paraId="4DD145D5">
      <w:pPr>
        <w:widowControl w:val="0"/>
        <w:autoSpaceDE w:val="0"/>
        <w:autoSpaceDN w:val="0"/>
        <w:adjustRightInd w:val="0"/>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监狱企业证明文件</w:t>
      </w:r>
    </w:p>
    <w:p w14:paraId="5DAC08F4">
      <w:pPr>
        <w:pStyle w:val="1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firstLine="420"/>
        <w:textAlignment w:val="auto"/>
        <w:rPr>
          <w:rFonts w:hint="eastAsia" w:ascii="宋体" w:hAnsi="宋体" w:eastAsia="宋体" w:cs="宋体"/>
          <w:color w:val="auto"/>
          <w:sz w:val="24"/>
          <w:szCs w:val="22"/>
          <w:highlight w:val="none"/>
        </w:rPr>
      </w:pPr>
    </w:p>
    <w:p w14:paraId="543FE372">
      <w:pPr>
        <w:pStyle w:val="1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firstLine="420"/>
        <w:textAlignment w:val="auto"/>
        <w:rPr>
          <w:rFonts w:hint="eastAsia" w:ascii="宋体" w:hAnsi="宋体" w:eastAsia="宋体" w:cs="宋体"/>
          <w:color w:val="auto"/>
          <w:sz w:val="24"/>
          <w:szCs w:val="22"/>
          <w:highlight w:val="none"/>
          <w:u w:val="single"/>
        </w:rPr>
      </w:pPr>
      <w:r>
        <w:rPr>
          <w:rFonts w:hint="eastAsia" w:ascii="宋体" w:hAnsi="宋体" w:eastAsia="宋体" w:cs="宋体"/>
          <w:color w:val="auto"/>
          <w:sz w:val="24"/>
          <w:szCs w:val="22"/>
          <w:highlight w:val="none"/>
        </w:rPr>
        <w:t>注：监狱企业参加政府采购活动时，应当提供由省级以上监狱管理局、戒毒管理局（含新疆生产建设兵团）出具的属于监狱企业的证明文件。</w:t>
      </w:r>
      <w:bookmarkStart w:id="526" w:name="_Hlk93401532"/>
      <w:bookmarkEnd w:id="526"/>
    </w:p>
    <w:p w14:paraId="66E03D71">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2"/>
          <w:highlight w:val="none"/>
        </w:rPr>
      </w:pPr>
    </w:p>
    <w:p w14:paraId="3B55A335">
      <w:pPr>
        <w:pStyle w:val="30"/>
        <w:rPr>
          <w:rFonts w:hint="eastAsia" w:ascii="宋体" w:hAnsi="宋体" w:eastAsia="宋体" w:cs="宋体"/>
          <w:color w:val="auto"/>
          <w:sz w:val="24"/>
          <w:szCs w:val="22"/>
          <w:highlight w:val="none"/>
        </w:rPr>
      </w:pPr>
    </w:p>
    <w:p w14:paraId="4091E257">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1EF55C22">
      <w:pPr>
        <w:tabs>
          <w:tab w:val="left" w:pos="6300"/>
        </w:tabs>
        <w:snapToGrid w:val="0"/>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注：各行业划型标准：</w:t>
      </w:r>
    </w:p>
    <w:p w14:paraId="37AD7ED6">
      <w:pPr>
        <w:tabs>
          <w:tab w:val="left" w:pos="6300"/>
        </w:tabs>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（一）农、林、牧、渔业。营业收入20000万元以下的为中小微型企业。其中，营业收入500万元及以上的为中型企业，营业收入50万元及以上的为小型企业，营业收入50万元以下的为微型企业。</w:t>
      </w:r>
    </w:p>
    <w:p w14:paraId="4780E1F5">
      <w:pPr>
        <w:tabs>
          <w:tab w:val="left" w:pos="6300"/>
        </w:tabs>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656501B6">
      <w:pPr>
        <w:tabs>
          <w:tab w:val="left" w:pos="6300"/>
        </w:tabs>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2BBF2B6B">
      <w:pPr>
        <w:tabs>
          <w:tab w:val="left" w:pos="6300"/>
        </w:tabs>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525CD4E4">
      <w:pPr>
        <w:tabs>
          <w:tab w:val="left" w:pos="6300"/>
        </w:tabs>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1250AA57">
      <w:pPr>
        <w:tabs>
          <w:tab w:val="left" w:pos="6300"/>
        </w:tabs>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7B3DA827">
      <w:pPr>
        <w:tabs>
          <w:tab w:val="left" w:pos="6300"/>
        </w:tabs>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0D1DF457">
      <w:pPr>
        <w:tabs>
          <w:tab w:val="left" w:pos="6300"/>
        </w:tabs>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2066F847">
      <w:pPr>
        <w:tabs>
          <w:tab w:val="left" w:pos="6300"/>
        </w:tabs>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387943AC">
      <w:pPr>
        <w:tabs>
          <w:tab w:val="left" w:pos="6300"/>
        </w:tabs>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4B5759CB">
      <w:pPr>
        <w:tabs>
          <w:tab w:val="left" w:pos="6300"/>
        </w:tabs>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6A9464B0">
      <w:pPr>
        <w:tabs>
          <w:tab w:val="left" w:pos="6300"/>
        </w:tabs>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0B5BFCD2">
      <w:pPr>
        <w:tabs>
          <w:tab w:val="left" w:pos="6300"/>
        </w:tabs>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（十三）房地产开发经营。营业收入</w:t>
      </w:r>
      <w:r>
        <w:rPr>
          <w:rFonts w:hint="eastAsia" w:ascii="宋体" w:hAnsi="宋体" w:cs="宋体"/>
          <w:color w:val="auto"/>
          <w:sz w:val="24"/>
          <w:szCs w:val="24"/>
          <w:highlight w:val="none"/>
          <w:lang w:eastAsia="zh-CN"/>
        </w:rPr>
        <w:t>350000</w:t>
      </w:r>
      <w:r>
        <w:rPr>
          <w:rFonts w:hint="eastAsia" w:ascii="宋体" w:hAnsi="宋体" w:eastAsia="宋体" w:cs="宋体"/>
          <w:color w:val="auto"/>
          <w:sz w:val="24"/>
          <w:szCs w:val="24"/>
          <w:highlight w:val="none"/>
        </w:rPr>
        <w:t>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3A372C4B">
      <w:pPr>
        <w:tabs>
          <w:tab w:val="left" w:pos="6300"/>
        </w:tabs>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2563FE28">
      <w:pPr>
        <w:tabs>
          <w:tab w:val="left" w:pos="6300"/>
        </w:tabs>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6DA0A750">
      <w:pPr>
        <w:tabs>
          <w:tab w:val="left" w:pos="6300"/>
        </w:tabs>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（十六）其他未列明行业。从业人员300人以下的为中小微型企业。其中，从业人员100人及以上的为中型企业；从业人员10人及以上的为小型企业；从业人员10人以下的为微型企业。</w:t>
      </w:r>
    </w:p>
    <w:p w14:paraId="2E2E2A54">
      <w:pPr>
        <w:spacing w:line="360" w:lineRule="auto"/>
        <w:ind w:left="150"/>
        <w:jc w:val="center"/>
        <w:rPr>
          <w:rFonts w:hint="eastAsia" w:ascii="宋体" w:hAnsi="宋体" w:eastAsia="宋体" w:cs="宋体"/>
          <w:b/>
          <w:color w:val="auto"/>
          <w:sz w:val="24"/>
          <w:szCs w:val="24"/>
          <w:highlight w:val="none"/>
        </w:rPr>
      </w:pPr>
    </w:p>
    <w:p w14:paraId="517BB42A">
      <w:pPr>
        <w:pStyle w:val="30"/>
        <w:rPr>
          <w:rFonts w:hint="eastAsia" w:ascii="宋体" w:hAnsi="宋体" w:eastAsia="宋体" w:cs="宋体"/>
          <w:b/>
          <w:color w:val="auto"/>
          <w:sz w:val="24"/>
          <w:szCs w:val="24"/>
          <w:highlight w:val="none"/>
        </w:rPr>
      </w:pPr>
    </w:p>
    <w:p w14:paraId="347B93FC">
      <w:pP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br w:type="page"/>
      </w:r>
    </w:p>
    <w:p w14:paraId="77F40C76">
      <w:pPr>
        <w:spacing w:line="360" w:lineRule="auto"/>
        <w:ind w:left="150"/>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三、本项目的特定资格要求</w:t>
      </w:r>
    </w:p>
    <w:p w14:paraId="5CE20C75">
      <w:pPr>
        <w:spacing w:line="360" w:lineRule="auto"/>
        <w:ind w:firstLine="480" w:firstLineChars="200"/>
        <w:jc w:val="both"/>
        <w:rPr>
          <w:rFonts w:hint="eastAsia" w:ascii="宋体" w:hAnsi="宋体" w:eastAsia="宋体" w:cs="宋体"/>
          <w:color w:val="auto"/>
          <w:sz w:val="24"/>
          <w:szCs w:val="24"/>
          <w:highlight w:val="none"/>
        </w:rPr>
      </w:pPr>
    </w:p>
    <w:p w14:paraId="2641C6C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根据招标公告本项目的特定资格要求提供相应的材料</w:t>
      </w:r>
    </w:p>
    <w:p w14:paraId="470FFAC5">
      <w:pPr>
        <w:numPr>
          <w:ilvl w:val="0"/>
          <w:numId w:val="8"/>
        </w:numPr>
        <w:spacing w:line="360" w:lineRule="auto"/>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供应商须为独立法人，且</w:t>
      </w:r>
      <w:r>
        <w:rPr>
          <w:rFonts w:hint="eastAsia" w:ascii="宋体" w:hAnsi="宋体" w:cs="宋体"/>
          <w:b/>
          <w:bCs/>
          <w:color w:val="auto"/>
          <w:sz w:val="24"/>
          <w:szCs w:val="24"/>
          <w:highlight w:val="none"/>
          <w:lang w:val="en-US" w:eastAsia="zh-CN"/>
        </w:rPr>
        <w:t>具有市政公用工程施工总承包叁级及以上资质</w:t>
      </w:r>
      <w:r>
        <w:rPr>
          <w:rFonts w:hint="eastAsia" w:ascii="宋体" w:hAnsi="宋体" w:eastAsia="宋体" w:cs="宋体"/>
          <w:b/>
          <w:bCs/>
          <w:color w:val="auto"/>
          <w:sz w:val="24"/>
          <w:szCs w:val="24"/>
          <w:highlight w:val="none"/>
          <w:lang w:val="en-US" w:eastAsia="zh-CN"/>
        </w:rPr>
        <w:t>，具有有效的安全生产许可证，并在人员、设备、资金等方面具备相应的施工能力；</w:t>
      </w:r>
    </w:p>
    <w:p w14:paraId="6522FDD0">
      <w:pPr>
        <w:numPr>
          <w:ilvl w:val="0"/>
          <w:numId w:val="8"/>
        </w:numPr>
        <w:spacing w:line="360" w:lineRule="auto"/>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供应商拟派项目负责人及拟派现场施工人员须为男性并提供承诺书（格式详见附件），</w:t>
      </w:r>
      <w:r>
        <w:rPr>
          <w:rFonts w:hint="eastAsia" w:ascii="宋体" w:hAnsi="宋体" w:cs="宋体"/>
          <w:b/>
          <w:bCs/>
          <w:color w:val="auto"/>
          <w:sz w:val="24"/>
          <w:szCs w:val="24"/>
          <w:highlight w:val="none"/>
          <w:lang w:val="en-US" w:eastAsia="zh-CN"/>
        </w:rPr>
        <w:t>项目负责人</w:t>
      </w:r>
      <w:r>
        <w:rPr>
          <w:rFonts w:hint="eastAsia" w:ascii="宋体" w:hAnsi="宋体" w:eastAsia="宋体" w:cs="宋体"/>
          <w:b/>
          <w:bCs/>
          <w:color w:val="auto"/>
          <w:sz w:val="24"/>
          <w:szCs w:val="24"/>
          <w:highlight w:val="none"/>
          <w:lang w:val="en-US" w:eastAsia="zh-CN"/>
        </w:rPr>
        <w:t>须具有注册在响应人单位的</w:t>
      </w:r>
      <w:r>
        <w:rPr>
          <w:rFonts w:hint="eastAsia" w:ascii="宋体" w:hAnsi="宋体" w:cs="宋体"/>
          <w:b/>
          <w:bCs/>
          <w:color w:val="auto"/>
          <w:sz w:val="24"/>
          <w:szCs w:val="24"/>
          <w:highlight w:val="none"/>
          <w:lang w:val="en-US" w:eastAsia="zh-CN"/>
        </w:rPr>
        <w:t>市政公用工程工程专业二级及以上</w:t>
      </w:r>
      <w:r>
        <w:rPr>
          <w:rFonts w:hint="eastAsia" w:ascii="宋体" w:hAnsi="宋体" w:eastAsia="宋体" w:cs="宋体"/>
          <w:b/>
          <w:bCs/>
          <w:color w:val="auto"/>
          <w:sz w:val="24"/>
          <w:szCs w:val="24"/>
          <w:highlight w:val="none"/>
          <w:lang w:val="en-US" w:eastAsia="zh-CN"/>
        </w:rPr>
        <w:t>注册建造师资格，同时具有有效的专职安全生产管理人员B类证书；</w:t>
      </w:r>
    </w:p>
    <w:p w14:paraId="0BD562D0">
      <w:pPr>
        <w:numPr>
          <w:ilvl w:val="0"/>
          <w:numId w:val="8"/>
        </w:numPr>
        <w:spacing w:line="360" w:lineRule="auto"/>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供应商拟驻现场的安全专职管理员具有“三类人员”C类证书；</w:t>
      </w:r>
    </w:p>
    <w:p w14:paraId="6166228C">
      <w:pPr>
        <w:numPr>
          <w:ilvl w:val="0"/>
          <w:numId w:val="8"/>
        </w:numPr>
        <w:spacing w:line="360" w:lineRule="auto"/>
        <w:jc w:val="both"/>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供应商及拟派项目负责人及安全专职管理人员202</w:t>
      </w:r>
      <w:r>
        <w:rPr>
          <w:rFonts w:hint="eastAsia" w:ascii="宋体" w:hAnsi="宋体" w:cs="宋体"/>
          <w:b/>
          <w:bCs/>
          <w:color w:val="auto"/>
          <w:sz w:val="24"/>
          <w:szCs w:val="24"/>
          <w:highlight w:val="none"/>
          <w:lang w:val="en-US" w:eastAsia="zh-CN"/>
        </w:rPr>
        <w:t>2</w:t>
      </w:r>
      <w:r>
        <w:rPr>
          <w:rFonts w:hint="eastAsia" w:ascii="宋体" w:hAnsi="宋体" w:eastAsia="宋体" w:cs="宋体"/>
          <w:b/>
          <w:bCs/>
          <w:color w:val="auto"/>
          <w:sz w:val="24"/>
          <w:szCs w:val="24"/>
          <w:highlight w:val="none"/>
          <w:lang w:val="en-US" w:eastAsia="zh-CN"/>
        </w:rPr>
        <w:t>年1月1日至磋商响应截止时间前无行贿犯罪记录（以中国裁判文书网查询结果为准）</w:t>
      </w:r>
      <w:r>
        <w:rPr>
          <w:rFonts w:hint="eastAsia" w:ascii="宋体" w:hAnsi="宋体" w:cs="宋体"/>
          <w:b/>
          <w:bCs/>
          <w:color w:val="auto"/>
          <w:sz w:val="24"/>
          <w:szCs w:val="24"/>
          <w:highlight w:val="none"/>
          <w:lang w:val="en-US" w:eastAsia="zh-CN"/>
        </w:rPr>
        <w:t>并提供相应承诺书</w:t>
      </w:r>
      <w:r>
        <w:rPr>
          <w:rFonts w:hint="eastAsia" w:ascii="宋体" w:hAnsi="宋体" w:eastAsia="宋体" w:cs="宋体"/>
          <w:color w:val="auto"/>
          <w:sz w:val="24"/>
          <w:szCs w:val="24"/>
          <w:highlight w:val="none"/>
          <w:lang w:val="en-US" w:eastAsia="zh-CN"/>
        </w:rPr>
        <w:t>。</w:t>
      </w:r>
    </w:p>
    <w:p w14:paraId="2E2E4CAE">
      <w:pPr>
        <w:rPr>
          <w:rFonts w:hint="eastAsia" w:ascii="宋体" w:hAnsi="宋体" w:cs="宋体"/>
          <w:b/>
          <w:color w:val="auto"/>
          <w:sz w:val="24"/>
          <w:szCs w:val="22"/>
          <w:highlight w:val="none"/>
        </w:rPr>
      </w:pPr>
      <w:r>
        <w:rPr>
          <w:rFonts w:hint="eastAsia" w:ascii="宋体" w:hAnsi="宋体" w:cs="宋体"/>
          <w:b/>
          <w:color w:val="auto"/>
          <w:sz w:val="24"/>
          <w:szCs w:val="22"/>
          <w:highlight w:val="none"/>
        </w:rPr>
        <w:br w:type="page"/>
      </w:r>
    </w:p>
    <w:p w14:paraId="74135792">
      <w:pPr>
        <w:widowControl w:val="0"/>
        <w:adjustRightInd w:val="0"/>
        <w:snapToGrid w:val="0"/>
        <w:spacing w:line="360" w:lineRule="auto"/>
        <w:ind w:firstLine="540" w:firstLineChars="224"/>
        <w:rPr>
          <w:rFonts w:ascii="宋体" w:hAnsi="宋体" w:cs="宋体"/>
          <w:b/>
          <w:color w:val="auto"/>
          <w:sz w:val="24"/>
          <w:szCs w:val="22"/>
          <w:highlight w:val="none"/>
        </w:rPr>
      </w:pPr>
      <w:r>
        <w:rPr>
          <w:rFonts w:hint="eastAsia" w:ascii="宋体" w:hAnsi="宋体" w:cs="宋体"/>
          <w:b/>
          <w:color w:val="auto"/>
          <w:sz w:val="24"/>
          <w:szCs w:val="22"/>
          <w:highlight w:val="none"/>
        </w:rPr>
        <w:t>2.商务技术文件：</w:t>
      </w:r>
    </w:p>
    <w:p w14:paraId="530C5DD2">
      <w:pPr>
        <w:pStyle w:val="30"/>
        <w:jc w:val="center"/>
        <w:rPr>
          <w:rFonts w:ascii="宋体" w:hAnsi="宋体"/>
          <w:color w:val="auto"/>
          <w:sz w:val="32"/>
          <w:szCs w:val="32"/>
          <w:highlight w:val="none"/>
        </w:rPr>
      </w:pPr>
      <w:r>
        <w:rPr>
          <w:rFonts w:hint="eastAsia" w:ascii="宋体" w:hAnsi="宋体"/>
          <w:b/>
          <w:color w:val="auto"/>
          <w:sz w:val="32"/>
          <w:szCs w:val="32"/>
          <w:highlight w:val="none"/>
        </w:rPr>
        <w:t>商务技术文件目录</w:t>
      </w:r>
    </w:p>
    <w:p w14:paraId="53D4C2D4">
      <w:pPr>
        <w:widowControl w:val="0"/>
        <w:adjustRightInd w:val="0"/>
        <w:snapToGrid w:val="0"/>
        <w:spacing w:line="360" w:lineRule="auto"/>
        <w:ind w:firstLine="537" w:firstLineChars="2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1.响应声明书</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声明函</w:t>
      </w:r>
      <w:r>
        <w:rPr>
          <w:rFonts w:hint="eastAsia" w:ascii="宋体" w:hAnsi="宋体" w:eastAsia="宋体" w:cs="宋体"/>
          <w:color w:val="auto"/>
          <w:sz w:val="24"/>
          <w:szCs w:val="24"/>
          <w:highlight w:val="none"/>
        </w:rPr>
        <w:t>。</w:t>
      </w:r>
    </w:p>
    <w:p w14:paraId="4225234A">
      <w:pPr>
        <w:widowControl w:val="0"/>
        <w:adjustRightInd w:val="0"/>
        <w:snapToGrid w:val="0"/>
        <w:spacing w:line="360" w:lineRule="auto"/>
        <w:ind w:firstLine="537" w:firstLineChars="2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2.法定代表人（负责人）授权委托书（法定代表人或负责人亲自参加的仅须提供身份证复印件）；</w:t>
      </w:r>
    </w:p>
    <w:p w14:paraId="64857A3F">
      <w:pPr>
        <w:widowControl w:val="0"/>
        <w:adjustRightInd w:val="0"/>
        <w:snapToGrid w:val="0"/>
        <w:spacing w:line="360" w:lineRule="auto"/>
        <w:ind w:firstLine="537" w:firstLineChars="2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3.服务要求偏离表。（</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拟提供的服务要求与</w:t>
      </w:r>
      <w:r>
        <w:rPr>
          <w:rFonts w:hint="eastAsia" w:ascii="宋体" w:hAnsi="宋体" w:eastAsia="宋体" w:cs="宋体"/>
          <w:color w:val="auto"/>
          <w:sz w:val="24"/>
          <w:szCs w:val="24"/>
          <w:highlight w:val="none"/>
          <w:u w:val="thick" w:color="FFFFFF"/>
          <w:lang w:eastAsia="zh-CN"/>
        </w:rPr>
        <w:t>采购文件</w:t>
      </w:r>
      <w:r>
        <w:rPr>
          <w:rFonts w:hint="eastAsia" w:ascii="宋体" w:hAnsi="宋体" w:eastAsia="宋体" w:cs="宋体"/>
          <w:color w:val="auto"/>
          <w:sz w:val="24"/>
          <w:szCs w:val="24"/>
          <w:highlight w:val="none"/>
        </w:rPr>
        <w:t>中的要求不一致时，则必须在《服务要求偏离表》中予以明确，否则将视为</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完全响应</w:t>
      </w:r>
      <w:r>
        <w:rPr>
          <w:rFonts w:hint="eastAsia" w:ascii="宋体" w:hAnsi="宋体" w:eastAsia="宋体" w:cs="宋体"/>
          <w:color w:val="auto"/>
          <w:sz w:val="24"/>
          <w:szCs w:val="24"/>
          <w:highlight w:val="none"/>
          <w:u w:val="thick" w:color="FFFFFF"/>
          <w:lang w:eastAsia="zh-CN"/>
        </w:rPr>
        <w:t>采购文件</w:t>
      </w:r>
      <w:r>
        <w:rPr>
          <w:rFonts w:hint="eastAsia" w:ascii="宋体" w:hAnsi="宋体" w:eastAsia="宋体" w:cs="宋体"/>
          <w:color w:val="auto"/>
          <w:sz w:val="24"/>
          <w:szCs w:val="24"/>
          <w:highlight w:val="none"/>
        </w:rPr>
        <w:t>的要求，并以</w:t>
      </w:r>
      <w:r>
        <w:rPr>
          <w:rFonts w:hint="eastAsia" w:ascii="宋体" w:hAnsi="宋体" w:eastAsia="宋体" w:cs="宋体"/>
          <w:color w:val="auto"/>
          <w:sz w:val="24"/>
          <w:szCs w:val="24"/>
          <w:highlight w:val="none"/>
          <w:u w:val="thick" w:color="FFFFFF"/>
          <w:lang w:eastAsia="zh-CN"/>
        </w:rPr>
        <w:t>采购文件</w:t>
      </w:r>
      <w:r>
        <w:rPr>
          <w:rFonts w:hint="eastAsia" w:ascii="宋体" w:hAnsi="宋体" w:eastAsia="宋体" w:cs="宋体"/>
          <w:color w:val="auto"/>
          <w:sz w:val="24"/>
          <w:szCs w:val="24"/>
          <w:highlight w:val="none"/>
        </w:rPr>
        <w:t>作为合同条件。）</w:t>
      </w:r>
    </w:p>
    <w:p w14:paraId="53E8CB32">
      <w:pPr>
        <w:widowControl w:val="0"/>
        <w:adjustRightInd w:val="0"/>
        <w:snapToGrid w:val="0"/>
        <w:spacing w:line="360" w:lineRule="auto"/>
        <w:ind w:firstLine="537" w:firstLineChars="2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4.人员配备到位承诺书。</w:t>
      </w:r>
    </w:p>
    <w:p w14:paraId="5CF66542">
      <w:pPr>
        <w:widowControl w:val="0"/>
        <w:adjustRightInd w:val="0"/>
        <w:snapToGrid w:val="0"/>
        <w:spacing w:line="360" w:lineRule="auto"/>
        <w:ind w:firstLine="537" w:firstLineChars="2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5.拟投入本项目的设备明细表。（如有）</w:t>
      </w:r>
    </w:p>
    <w:p w14:paraId="0DDC3B98">
      <w:pPr>
        <w:widowControl w:val="0"/>
        <w:adjustRightInd w:val="0"/>
        <w:snapToGrid w:val="0"/>
        <w:spacing w:line="360" w:lineRule="auto"/>
        <w:ind w:firstLine="537" w:firstLineChars="2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cs="宋体"/>
          <w:color w:val="auto"/>
          <w:sz w:val="24"/>
          <w:szCs w:val="24"/>
          <w:highlight w:val="none"/>
          <w:lang w:eastAsia="zh-CN"/>
        </w:rPr>
        <w:t>施工组织设计、服务计划书（例</w:t>
      </w:r>
      <w:r>
        <w:rPr>
          <w:rFonts w:hint="eastAsia" w:ascii="宋体" w:hAnsi="宋体" w:eastAsia="宋体" w:cs="宋体"/>
          <w:color w:val="auto"/>
          <w:sz w:val="24"/>
          <w:szCs w:val="24"/>
          <w:highlight w:val="none"/>
        </w:rPr>
        <w:t>：质量保证措施及承诺，服务措施及承诺，售后服务措施及承诺，其他服务措施及承诺）。</w:t>
      </w:r>
    </w:p>
    <w:p w14:paraId="7C23D1D4">
      <w:pPr>
        <w:widowControl w:val="0"/>
        <w:adjustRightInd w:val="0"/>
        <w:snapToGrid w:val="0"/>
        <w:spacing w:line="360" w:lineRule="auto"/>
        <w:ind w:firstLine="537" w:firstLineChars="2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情况：</w:t>
      </w:r>
    </w:p>
    <w:p w14:paraId="7F0330CE">
      <w:pPr>
        <w:widowControl w:val="0"/>
        <w:adjustRightInd w:val="0"/>
        <w:snapToGrid w:val="0"/>
        <w:spacing w:line="360" w:lineRule="auto"/>
        <w:ind w:firstLine="537" w:firstLineChars="2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（1）单位简介；</w:t>
      </w:r>
    </w:p>
    <w:p w14:paraId="0626F176">
      <w:pPr>
        <w:widowControl w:val="0"/>
        <w:adjustRightInd w:val="0"/>
        <w:snapToGrid w:val="0"/>
        <w:spacing w:line="360" w:lineRule="auto"/>
        <w:ind w:firstLine="537" w:firstLineChars="2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的信誉、荣誉证书；（如有）</w:t>
      </w:r>
    </w:p>
    <w:p w14:paraId="7F3020CF">
      <w:pPr>
        <w:widowControl w:val="0"/>
        <w:adjustRightInd w:val="0"/>
        <w:snapToGrid w:val="0"/>
        <w:spacing w:line="360" w:lineRule="auto"/>
        <w:ind w:firstLine="537" w:firstLineChars="2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质量管理和质量保证体系等方面的认证证书。（如有）</w:t>
      </w:r>
    </w:p>
    <w:p w14:paraId="6B863874">
      <w:pPr>
        <w:widowControl w:val="0"/>
        <w:adjustRightInd w:val="0"/>
        <w:snapToGrid w:val="0"/>
        <w:spacing w:line="360" w:lineRule="auto"/>
        <w:ind w:firstLine="537" w:firstLineChars="2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（3）同类业绩证明（如有，需提供合同复印件）；</w:t>
      </w:r>
    </w:p>
    <w:p w14:paraId="222B2279">
      <w:pPr>
        <w:widowControl w:val="0"/>
        <w:adjustRightInd w:val="0"/>
        <w:snapToGrid w:val="0"/>
        <w:spacing w:line="360" w:lineRule="auto"/>
        <w:ind w:firstLine="537" w:firstLineChars="2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8.评审标准相应的商务技术资料。</w:t>
      </w:r>
    </w:p>
    <w:p w14:paraId="71F9A810">
      <w:pPr>
        <w:pStyle w:val="30"/>
        <w:ind w:left="0" w:leftChars="0" w:firstLine="0" w:firstLineChars="0"/>
        <w:rPr>
          <w:rFonts w:hint="eastAsia" w:eastAsia="宋体"/>
          <w:color w:val="auto"/>
          <w:highlight w:val="none"/>
          <w:lang w:val="en-US" w:eastAsia="zh-CN"/>
        </w:rPr>
      </w:pPr>
    </w:p>
    <w:p w14:paraId="72C0DD97">
      <w:pPr>
        <w:shd w:val="clear" w:color="auto" w:fill="FFFFFF"/>
        <w:snapToGrid w:val="0"/>
        <w:spacing w:after="50"/>
        <w:jc w:val="center"/>
        <w:rPr>
          <w:rFonts w:hint="eastAsia" w:ascii="宋体" w:hAnsi="宋体" w:eastAsia="宋体" w:cs="宋体"/>
          <w:b/>
          <w:color w:val="auto"/>
          <w:sz w:val="32"/>
          <w:highlight w:val="none"/>
        </w:rPr>
      </w:pPr>
    </w:p>
    <w:p w14:paraId="4CB3E4F0">
      <w:pPr>
        <w:shd w:val="clear" w:color="auto" w:fill="FFFFFF"/>
        <w:snapToGrid w:val="0"/>
        <w:spacing w:after="50"/>
        <w:jc w:val="center"/>
        <w:rPr>
          <w:rFonts w:hint="eastAsia" w:ascii="宋体" w:hAnsi="宋体" w:eastAsia="宋体" w:cs="宋体"/>
          <w:b/>
          <w:color w:val="auto"/>
          <w:sz w:val="32"/>
          <w:highlight w:val="none"/>
        </w:rPr>
      </w:pPr>
    </w:p>
    <w:p w14:paraId="64C162D9">
      <w:pPr>
        <w:shd w:val="clear" w:color="auto" w:fill="FFFFFF"/>
        <w:snapToGrid w:val="0"/>
        <w:spacing w:after="50"/>
        <w:jc w:val="center"/>
        <w:rPr>
          <w:rFonts w:hint="eastAsia" w:ascii="宋体" w:hAnsi="宋体" w:eastAsia="宋体" w:cs="宋体"/>
          <w:b/>
          <w:color w:val="auto"/>
          <w:highlight w:val="none"/>
        </w:rPr>
      </w:pPr>
      <w:r>
        <w:rPr>
          <w:rFonts w:hint="eastAsia" w:ascii="宋体" w:hAnsi="宋体" w:eastAsia="宋体" w:cs="宋体"/>
          <w:b/>
          <w:color w:val="auto"/>
          <w:sz w:val="32"/>
          <w:highlight w:val="none"/>
        </w:rPr>
        <w:t>评分索引表</w:t>
      </w:r>
    </w:p>
    <w:tbl>
      <w:tblPr>
        <w:tblStyle w:val="31"/>
        <w:tblW w:w="99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3"/>
        <w:gridCol w:w="645"/>
        <w:gridCol w:w="4821"/>
        <w:gridCol w:w="1270"/>
        <w:gridCol w:w="1858"/>
        <w:gridCol w:w="721"/>
      </w:tblGrid>
      <w:tr w14:paraId="77214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63" w:type="dxa"/>
            <w:vAlign w:val="center"/>
          </w:tcPr>
          <w:p w14:paraId="6C797810">
            <w:pPr>
              <w:jc w:val="center"/>
              <w:rPr>
                <w:rFonts w:hint="eastAsia" w:ascii="宋体" w:hAnsi="宋体" w:eastAsia="宋体" w:cs="宋体"/>
                <w:bCs/>
                <w:color w:val="auto"/>
                <w:kern w:val="2"/>
                <w:sz w:val="21"/>
                <w:szCs w:val="21"/>
                <w:highlight w:val="none"/>
              </w:rPr>
            </w:pPr>
            <w:r>
              <w:rPr>
                <w:rFonts w:hint="eastAsia" w:ascii="宋体" w:hAnsi="宋体" w:eastAsia="宋体" w:cs="宋体"/>
                <w:bCs/>
                <w:color w:val="auto"/>
                <w:kern w:val="2"/>
                <w:sz w:val="21"/>
                <w:szCs w:val="21"/>
                <w:highlight w:val="none"/>
              </w:rPr>
              <w:t>序号</w:t>
            </w:r>
          </w:p>
        </w:tc>
        <w:tc>
          <w:tcPr>
            <w:tcW w:w="645" w:type="dxa"/>
            <w:vAlign w:val="center"/>
          </w:tcPr>
          <w:p w14:paraId="3931DAD5">
            <w:pPr>
              <w:jc w:val="center"/>
              <w:rPr>
                <w:rFonts w:hint="eastAsia" w:ascii="宋体" w:hAnsi="宋体" w:eastAsia="宋体" w:cs="宋体"/>
                <w:bCs/>
                <w:color w:val="auto"/>
                <w:kern w:val="2"/>
                <w:sz w:val="21"/>
                <w:szCs w:val="21"/>
                <w:highlight w:val="none"/>
              </w:rPr>
            </w:pPr>
            <w:r>
              <w:rPr>
                <w:rFonts w:hint="eastAsia" w:ascii="宋体" w:hAnsi="宋体" w:eastAsia="宋体" w:cs="宋体"/>
                <w:bCs/>
                <w:color w:val="auto"/>
                <w:kern w:val="2"/>
                <w:sz w:val="21"/>
                <w:szCs w:val="21"/>
                <w:highlight w:val="none"/>
              </w:rPr>
              <w:t>项目</w:t>
            </w:r>
          </w:p>
        </w:tc>
        <w:tc>
          <w:tcPr>
            <w:tcW w:w="4821" w:type="dxa"/>
            <w:vAlign w:val="center"/>
          </w:tcPr>
          <w:p w14:paraId="037027F8">
            <w:pPr>
              <w:jc w:val="center"/>
              <w:rPr>
                <w:rFonts w:hint="eastAsia" w:ascii="宋体" w:hAnsi="宋体" w:eastAsia="宋体" w:cs="宋体"/>
                <w:bCs/>
                <w:color w:val="auto"/>
                <w:kern w:val="2"/>
                <w:sz w:val="21"/>
                <w:szCs w:val="21"/>
                <w:highlight w:val="none"/>
              </w:rPr>
            </w:pPr>
            <w:r>
              <w:rPr>
                <w:rFonts w:hint="eastAsia" w:ascii="宋体" w:hAnsi="宋体" w:eastAsia="宋体" w:cs="宋体"/>
                <w:bCs/>
                <w:color w:val="auto"/>
                <w:kern w:val="2"/>
                <w:sz w:val="21"/>
                <w:szCs w:val="21"/>
                <w:highlight w:val="none"/>
              </w:rPr>
              <w:t>评分标准及分数</w:t>
            </w:r>
          </w:p>
        </w:tc>
        <w:tc>
          <w:tcPr>
            <w:tcW w:w="1270" w:type="dxa"/>
            <w:vAlign w:val="center"/>
          </w:tcPr>
          <w:p w14:paraId="15FC17CF">
            <w:pPr>
              <w:jc w:val="center"/>
              <w:rPr>
                <w:rFonts w:hint="eastAsia" w:ascii="宋体" w:hAnsi="宋体" w:eastAsia="宋体" w:cs="宋体"/>
                <w:bCs/>
                <w:color w:val="auto"/>
                <w:kern w:val="2"/>
                <w:sz w:val="21"/>
                <w:szCs w:val="21"/>
                <w:highlight w:val="none"/>
              </w:rPr>
            </w:pPr>
            <w:r>
              <w:rPr>
                <w:rFonts w:hint="eastAsia" w:ascii="宋体" w:hAnsi="宋体" w:eastAsia="宋体" w:cs="宋体"/>
                <w:bCs/>
                <w:color w:val="auto"/>
                <w:kern w:val="2"/>
                <w:sz w:val="21"/>
                <w:szCs w:val="21"/>
                <w:highlight w:val="none"/>
              </w:rPr>
              <w:t>分值</w:t>
            </w:r>
          </w:p>
        </w:tc>
        <w:tc>
          <w:tcPr>
            <w:tcW w:w="1858" w:type="dxa"/>
            <w:vAlign w:val="center"/>
          </w:tcPr>
          <w:p w14:paraId="37F47AF7">
            <w:pPr>
              <w:jc w:val="center"/>
              <w:rPr>
                <w:rFonts w:hint="eastAsia" w:ascii="宋体" w:hAnsi="宋体" w:eastAsia="宋体" w:cs="宋体"/>
                <w:bCs/>
                <w:color w:val="auto"/>
                <w:kern w:val="2"/>
                <w:sz w:val="21"/>
                <w:szCs w:val="21"/>
                <w:highlight w:val="none"/>
              </w:rPr>
            </w:pPr>
            <w:r>
              <w:rPr>
                <w:rFonts w:hint="eastAsia" w:ascii="宋体" w:hAnsi="宋体" w:eastAsia="宋体" w:cs="宋体"/>
                <w:bCs/>
                <w:color w:val="auto"/>
                <w:kern w:val="2"/>
                <w:sz w:val="21"/>
                <w:szCs w:val="21"/>
                <w:highlight w:val="none"/>
              </w:rPr>
              <w:t>自评分</w:t>
            </w:r>
          </w:p>
        </w:tc>
        <w:tc>
          <w:tcPr>
            <w:tcW w:w="721" w:type="dxa"/>
            <w:vAlign w:val="center"/>
          </w:tcPr>
          <w:p w14:paraId="4B20A2EF">
            <w:pPr>
              <w:jc w:val="center"/>
              <w:rPr>
                <w:rFonts w:hint="eastAsia" w:ascii="宋体" w:hAnsi="宋体" w:eastAsia="宋体" w:cs="宋体"/>
                <w:bCs/>
                <w:color w:val="auto"/>
                <w:kern w:val="2"/>
                <w:sz w:val="21"/>
                <w:szCs w:val="21"/>
                <w:highlight w:val="none"/>
              </w:rPr>
            </w:pPr>
            <w:r>
              <w:rPr>
                <w:rFonts w:hint="eastAsia" w:ascii="宋体" w:hAnsi="宋体" w:eastAsia="宋体" w:cs="宋体"/>
                <w:bCs/>
                <w:color w:val="auto"/>
                <w:kern w:val="2"/>
                <w:sz w:val="21"/>
                <w:szCs w:val="21"/>
                <w:highlight w:val="none"/>
              </w:rPr>
              <w:t>页码</w:t>
            </w:r>
          </w:p>
        </w:tc>
      </w:tr>
      <w:tr w14:paraId="120D2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63" w:type="dxa"/>
            <w:vAlign w:val="center"/>
          </w:tcPr>
          <w:p w14:paraId="6012C9B7">
            <w:pPr>
              <w:jc w:val="center"/>
              <w:rPr>
                <w:rFonts w:hint="eastAsia" w:ascii="宋体" w:hAnsi="宋体" w:eastAsia="宋体" w:cs="宋体"/>
                <w:bCs/>
                <w:color w:val="auto"/>
                <w:kern w:val="2"/>
                <w:sz w:val="21"/>
                <w:szCs w:val="21"/>
                <w:highlight w:val="none"/>
              </w:rPr>
            </w:pPr>
            <w:r>
              <w:rPr>
                <w:rFonts w:hint="eastAsia" w:ascii="宋体" w:hAnsi="宋体" w:eastAsia="宋体" w:cs="宋体"/>
                <w:bCs/>
                <w:color w:val="auto"/>
                <w:kern w:val="2"/>
                <w:sz w:val="21"/>
                <w:szCs w:val="21"/>
                <w:highlight w:val="none"/>
              </w:rPr>
              <w:t>1</w:t>
            </w:r>
          </w:p>
        </w:tc>
        <w:tc>
          <w:tcPr>
            <w:tcW w:w="645" w:type="dxa"/>
            <w:vAlign w:val="center"/>
          </w:tcPr>
          <w:p w14:paraId="754B245F">
            <w:pPr>
              <w:keepNext/>
              <w:tabs>
                <w:tab w:val="left" w:pos="3808"/>
              </w:tabs>
              <w:adjustRightInd w:val="0"/>
              <w:snapToGrid w:val="0"/>
              <w:spacing w:before="60" w:after="60"/>
              <w:jc w:val="center"/>
              <w:rPr>
                <w:rFonts w:hint="eastAsia" w:ascii="宋体" w:hAnsi="宋体" w:eastAsia="宋体" w:cs="宋体"/>
                <w:bCs/>
                <w:color w:val="auto"/>
                <w:kern w:val="2"/>
                <w:sz w:val="21"/>
                <w:szCs w:val="21"/>
                <w:highlight w:val="none"/>
              </w:rPr>
            </w:pPr>
            <w:r>
              <w:rPr>
                <w:rFonts w:hint="eastAsia" w:ascii="宋体" w:hAnsi="宋体" w:eastAsia="宋体" w:cs="宋体"/>
                <w:bCs/>
                <w:color w:val="auto"/>
                <w:kern w:val="2"/>
                <w:sz w:val="21"/>
                <w:szCs w:val="21"/>
                <w:highlight w:val="none"/>
              </w:rPr>
              <w:t>…</w:t>
            </w:r>
          </w:p>
        </w:tc>
        <w:tc>
          <w:tcPr>
            <w:tcW w:w="4821" w:type="dxa"/>
            <w:vAlign w:val="center"/>
          </w:tcPr>
          <w:p w14:paraId="32BFCF36">
            <w:pPr>
              <w:keepNext/>
              <w:tabs>
                <w:tab w:val="left" w:pos="3808"/>
              </w:tabs>
              <w:adjustRightInd w:val="0"/>
              <w:snapToGrid w:val="0"/>
              <w:spacing w:before="60" w:after="60"/>
              <w:rPr>
                <w:rFonts w:hint="eastAsia" w:ascii="宋体" w:hAnsi="宋体" w:eastAsia="宋体" w:cs="宋体"/>
                <w:bCs/>
                <w:color w:val="auto"/>
                <w:kern w:val="2"/>
                <w:sz w:val="21"/>
                <w:szCs w:val="21"/>
                <w:highlight w:val="none"/>
              </w:rPr>
            </w:pPr>
            <w:r>
              <w:rPr>
                <w:rFonts w:hint="eastAsia" w:ascii="宋体" w:hAnsi="宋体" w:eastAsia="宋体" w:cs="宋体"/>
                <w:bCs/>
                <w:color w:val="auto"/>
                <w:kern w:val="2"/>
                <w:sz w:val="21"/>
                <w:szCs w:val="21"/>
                <w:highlight w:val="none"/>
              </w:rPr>
              <w:t>…（请按商务技术评分标准填写）</w:t>
            </w:r>
          </w:p>
        </w:tc>
        <w:tc>
          <w:tcPr>
            <w:tcW w:w="1270" w:type="dxa"/>
            <w:vAlign w:val="center"/>
          </w:tcPr>
          <w:p w14:paraId="44C3B311">
            <w:pPr>
              <w:keepNext/>
              <w:tabs>
                <w:tab w:val="left" w:pos="3808"/>
              </w:tabs>
              <w:adjustRightInd w:val="0"/>
              <w:snapToGrid w:val="0"/>
              <w:spacing w:before="60" w:after="60"/>
              <w:jc w:val="center"/>
              <w:rPr>
                <w:rFonts w:hint="eastAsia" w:ascii="宋体" w:hAnsi="宋体" w:eastAsia="宋体" w:cs="宋体"/>
                <w:bCs/>
                <w:color w:val="auto"/>
                <w:spacing w:val="20"/>
                <w:kern w:val="2"/>
                <w:sz w:val="21"/>
                <w:szCs w:val="21"/>
                <w:highlight w:val="none"/>
              </w:rPr>
            </w:pPr>
          </w:p>
        </w:tc>
        <w:tc>
          <w:tcPr>
            <w:tcW w:w="1858" w:type="dxa"/>
            <w:vAlign w:val="center"/>
          </w:tcPr>
          <w:p w14:paraId="46CFA445">
            <w:pPr>
              <w:keepNext/>
              <w:tabs>
                <w:tab w:val="left" w:pos="3808"/>
              </w:tabs>
              <w:adjustRightInd w:val="0"/>
              <w:snapToGrid w:val="0"/>
              <w:spacing w:before="60" w:after="60"/>
              <w:jc w:val="center"/>
              <w:rPr>
                <w:rFonts w:hint="eastAsia" w:ascii="宋体" w:hAnsi="宋体" w:eastAsia="宋体" w:cs="宋体"/>
                <w:bCs/>
                <w:color w:val="auto"/>
                <w:spacing w:val="20"/>
                <w:kern w:val="2"/>
                <w:sz w:val="21"/>
                <w:szCs w:val="21"/>
                <w:highlight w:val="none"/>
              </w:rPr>
            </w:pPr>
          </w:p>
        </w:tc>
        <w:tc>
          <w:tcPr>
            <w:tcW w:w="721" w:type="dxa"/>
            <w:vAlign w:val="center"/>
          </w:tcPr>
          <w:p w14:paraId="69DBC7E5">
            <w:pPr>
              <w:keepNext/>
              <w:tabs>
                <w:tab w:val="left" w:pos="3808"/>
              </w:tabs>
              <w:adjustRightInd w:val="0"/>
              <w:snapToGrid w:val="0"/>
              <w:spacing w:before="60" w:after="60"/>
              <w:jc w:val="center"/>
              <w:rPr>
                <w:rFonts w:hint="eastAsia" w:ascii="宋体" w:hAnsi="宋体" w:eastAsia="宋体" w:cs="宋体"/>
                <w:bCs/>
                <w:color w:val="auto"/>
                <w:spacing w:val="20"/>
                <w:kern w:val="2"/>
                <w:sz w:val="21"/>
                <w:szCs w:val="21"/>
                <w:highlight w:val="none"/>
              </w:rPr>
            </w:pPr>
          </w:p>
        </w:tc>
      </w:tr>
      <w:tr w14:paraId="40FD7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63" w:type="dxa"/>
            <w:vAlign w:val="center"/>
          </w:tcPr>
          <w:p w14:paraId="25A20B68">
            <w:pPr>
              <w:jc w:val="center"/>
              <w:rPr>
                <w:rFonts w:hint="eastAsia" w:ascii="宋体" w:hAnsi="宋体" w:eastAsia="宋体" w:cs="宋体"/>
                <w:bCs/>
                <w:color w:val="auto"/>
                <w:kern w:val="2"/>
                <w:sz w:val="21"/>
                <w:szCs w:val="21"/>
                <w:highlight w:val="none"/>
              </w:rPr>
            </w:pPr>
            <w:r>
              <w:rPr>
                <w:rFonts w:hint="eastAsia" w:ascii="宋体" w:hAnsi="宋体" w:eastAsia="宋体" w:cs="宋体"/>
                <w:bCs/>
                <w:color w:val="auto"/>
                <w:kern w:val="2"/>
                <w:sz w:val="21"/>
                <w:szCs w:val="21"/>
                <w:highlight w:val="none"/>
              </w:rPr>
              <w:t>2</w:t>
            </w:r>
          </w:p>
        </w:tc>
        <w:tc>
          <w:tcPr>
            <w:tcW w:w="645" w:type="dxa"/>
            <w:vAlign w:val="center"/>
          </w:tcPr>
          <w:p w14:paraId="3D28D806">
            <w:pPr>
              <w:keepNext/>
              <w:tabs>
                <w:tab w:val="left" w:pos="3808"/>
              </w:tabs>
              <w:adjustRightInd w:val="0"/>
              <w:snapToGrid w:val="0"/>
              <w:spacing w:before="60" w:after="60"/>
              <w:jc w:val="center"/>
              <w:rPr>
                <w:rFonts w:hint="eastAsia" w:ascii="宋体" w:hAnsi="宋体" w:eastAsia="宋体" w:cs="宋体"/>
                <w:bCs/>
                <w:color w:val="auto"/>
                <w:kern w:val="2"/>
                <w:sz w:val="21"/>
                <w:szCs w:val="21"/>
                <w:highlight w:val="none"/>
              </w:rPr>
            </w:pPr>
            <w:r>
              <w:rPr>
                <w:rFonts w:hint="eastAsia" w:ascii="宋体" w:hAnsi="宋体" w:eastAsia="宋体" w:cs="宋体"/>
                <w:bCs/>
                <w:color w:val="auto"/>
                <w:kern w:val="2"/>
                <w:sz w:val="21"/>
                <w:szCs w:val="21"/>
                <w:highlight w:val="none"/>
              </w:rPr>
              <w:t>…</w:t>
            </w:r>
          </w:p>
        </w:tc>
        <w:tc>
          <w:tcPr>
            <w:tcW w:w="4821" w:type="dxa"/>
            <w:vAlign w:val="center"/>
          </w:tcPr>
          <w:p w14:paraId="146E3F21">
            <w:pPr>
              <w:keepNext/>
              <w:tabs>
                <w:tab w:val="left" w:pos="3808"/>
              </w:tabs>
              <w:adjustRightInd w:val="0"/>
              <w:snapToGrid w:val="0"/>
              <w:spacing w:before="60" w:after="60"/>
              <w:rPr>
                <w:rFonts w:hint="eastAsia" w:ascii="宋体" w:hAnsi="宋体" w:eastAsia="宋体" w:cs="宋体"/>
                <w:bCs/>
                <w:color w:val="auto"/>
                <w:kern w:val="2"/>
                <w:sz w:val="21"/>
                <w:szCs w:val="21"/>
                <w:highlight w:val="none"/>
              </w:rPr>
            </w:pPr>
            <w:r>
              <w:rPr>
                <w:rFonts w:hint="eastAsia" w:ascii="宋体" w:hAnsi="宋体" w:eastAsia="宋体" w:cs="宋体"/>
                <w:bCs/>
                <w:color w:val="auto"/>
                <w:kern w:val="2"/>
                <w:sz w:val="21"/>
                <w:szCs w:val="21"/>
                <w:highlight w:val="none"/>
              </w:rPr>
              <w:t>…</w:t>
            </w:r>
          </w:p>
        </w:tc>
        <w:tc>
          <w:tcPr>
            <w:tcW w:w="1270" w:type="dxa"/>
            <w:vAlign w:val="center"/>
          </w:tcPr>
          <w:p w14:paraId="1BD95ED3">
            <w:pPr>
              <w:keepNext/>
              <w:tabs>
                <w:tab w:val="left" w:pos="3808"/>
              </w:tabs>
              <w:adjustRightInd w:val="0"/>
              <w:snapToGrid w:val="0"/>
              <w:spacing w:before="60" w:after="60"/>
              <w:jc w:val="center"/>
              <w:rPr>
                <w:rFonts w:hint="eastAsia" w:ascii="宋体" w:hAnsi="宋体" w:eastAsia="宋体" w:cs="宋体"/>
                <w:bCs/>
                <w:color w:val="auto"/>
                <w:spacing w:val="20"/>
                <w:kern w:val="2"/>
                <w:sz w:val="21"/>
                <w:szCs w:val="21"/>
                <w:highlight w:val="none"/>
              </w:rPr>
            </w:pPr>
          </w:p>
        </w:tc>
        <w:tc>
          <w:tcPr>
            <w:tcW w:w="1858" w:type="dxa"/>
            <w:vAlign w:val="center"/>
          </w:tcPr>
          <w:p w14:paraId="30BAA715">
            <w:pPr>
              <w:keepNext/>
              <w:tabs>
                <w:tab w:val="left" w:pos="3808"/>
              </w:tabs>
              <w:adjustRightInd w:val="0"/>
              <w:snapToGrid w:val="0"/>
              <w:spacing w:before="60" w:after="60"/>
              <w:jc w:val="center"/>
              <w:rPr>
                <w:rFonts w:hint="eastAsia" w:ascii="宋体" w:hAnsi="宋体" w:eastAsia="宋体" w:cs="宋体"/>
                <w:bCs/>
                <w:color w:val="auto"/>
                <w:spacing w:val="20"/>
                <w:kern w:val="2"/>
                <w:sz w:val="21"/>
                <w:szCs w:val="21"/>
                <w:highlight w:val="none"/>
              </w:rPr>
            </w:pPr>
          </w:p>
        </w:tc>
        <w:tc>
          <w:tcPr>
            <w:tcW w:w="721" w:type="dxa"/>
            <w:vAlign w:val="center"/>
          </w:tcPr>
          <w:p w14:paraId="616E148D">
            <w:pPr>
              <w:keepNext/>
              <w:tabs>
                <w:tab w:val="left" w:pos="3808"/>
              </w:tabs>
              <w:adjustRightInd w:val="0"/>
              <w:snapToGrid w:val="0"/>
              <w:spacing w:before="60" w:after="60"/>
              <w:jc w:val="center"/>
              <w:rPr>
                <w:rFonts w:hint="eastAsia" w:ascii="宋体" w:hAnsi="宋体" w:eastAsia="宋体" w:cs="宋体"/>
                <w:bCs/>
                <w:color w:val="auto"/>
                <w:spacing w:val="20"/>
                <w:kern w:val="2"/>
                <w:sz w:val="21"/>
                <w:szCs w:val="21"/>
                <w:highlight w:val="none"/>
              </w:rPr>
            </w:pPr>
          </w:p>
        </w:tc>
      </w:tr>
    </w:tbl>
    <w:p w14:paraId="2CB8E098">
      <w:pPr>
        <w:shd w:val="clear" w:color="auto" w:fill="FFFFFF"/>
        <w:snapToGrid w:val="0"/>
        <w:spacing w:after="50"/>
        <w:rPr>
          <w:rFonts w:hint="eastAsia" w:ascii="宋体" w:hAnsi="宋体" w:eastAsia="宋体" w:cs="宋体"/>
          <w:color w:val="auto"/>
          <w:szCs w:val="20"/>
          <w:highlight w:val="none"/>
        </w:rPr>
      </w:pPr>
      <w:r>
        <w:rPr>
          <w:rFonts w:hint="eastAsia" w:ascii="宋体" w:hAnsi="宋体" w:eastAsia="宋体" w:cs="宋体"/>
          <w:b/>
          <w:color w:val="auto"/>
          <w:spacing w:val="-4"/>
          <w:sz w:val="21"/>
          <w:szCs w:val="21"/>
          <w:highlight w:val="none"/>
        </w:rPr>
        <w:t>备注：该表格仅为方便评标之用，表格放置在商务技术文件目录的前页，以方便评标委员会进行评审。</w:t>
      </w:r>
    </w:p>
    <w:p w14:paraId="7410645F">
      <w:pPr>
        <w:pStyle w:val="30"/>
        <w:rPr>
          <w:rFonts w:ascii="宋体" w:hAnsi="宋体"/>
          <w:color w:val="auto"/>
          <w:highlight w:val="none"/>
        </w:rPr>
      </w:pPr>
    </w:p>
    <w:p w14:paraId="69DAD952">
      <w:pP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br w:type="page"/>
      </w:r>
    </w:p>
    <w:p w14:paraId="3ED2D96B">
      <w:pPr>
        <w:shd w:val="clear" w:color="auto" w:fill="FFFFFF"/>
        <w:spacing w:before="100" w:beforeAutospacing="1" w:after="100" w:afterAutospacing="1" w:line="500" w:lineRule="atLeast"/>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一、</w:t>
      </w:r>
      <w:r>
        <w:rPr>
          <w:rFonts w:hint="eastAsia" w:ascii="宋体" w:hAnsi="宋体" w:eastAsia="宋体" w:cs="宋体"/>
          <w:b/>
          <w:color w:val="auto"/>
          <w:sz w:val="32"/>
          <w:szCs w:val="32"/>
          <w:highlight w:val="none"/>
        </w:rPr>
        <w:t>响应声明书</w:t>
      </w:r>
    </w:p>
    <w:p w14:paraId="2FDE0216">
      <w:pPr>
        <w:snapToGrid w:val="0"/>
        <w:spacing w:line="360" w:lineRule="auto"/>
        <w:rPr>
          <w:rFonts w:ascii="宋体" w:hAnsi="宋体" w:cs="宋体"/>
          <w:color w:val="auto"/>
          <w:sz w:val="24"/>
          <w:szCs w:val="22"/>
          <w:highlight w:val="none"/>
        </w:rPr>
      </w:pPr>
      <w:r>
        <w:rPr>
          <w:rFonts w:hint="eastAsia" w:ascii="宋体" w:hAnsi="宋体" w:cs="宋体"/>
          <w:color w:val="auto"/>
          <w:sz w:val="24"/>
          <w:szCs w:val="22"/>
          <w:highlight w:val="none"/>
        </w:rPr>
        <w:t>致</w:t>
      </w:r>
      <w:r>
        <w:rPr>
          <w:rFonts w:hint="eastAsia" w:ascii="宋体" w:hAnsi="宋体" w:cs="宋体"/>
          <w:color w:val="auto"/>
          <w:sz w:val="24"/>
          <w:szCs w:val="22"/>
          <w:highlight w:val="none"/>
          <w:u w:val="single"/>
        </w:rPr>
        <w:t>（采购人名称）</w:t>
      </w:r>
      <w:r>
        <w:rPr>
          <w:rFonts w:hint="eastAsia" w:ascii="宋体" w:hAnsi="宋体" w:cs="宋体"/>
          <w:color w:val="auto"/>
          <w:sz w:val="24"/>
          <w:szCs w:val="22"/>
          <w:highlight w:val="none"/>
        </w:rPr>
        <w:t>：</w:t>
      </w:r>
    </w:p>
    <w:p w14:paraId="38F49689">
      <w:pPr>
        <w:snapToGrid w:val="0"/>
        <w:spacing w:line="360" w:lineRule="auto"/>
        <w:ind w:firstLine="480" w:firstLineChars="200"/>
        <w:rPr>
          <w:rFonts w:ascii="宋体" w:hAnsi="宋体" w:cs="宋体"/>
          <w:color w:val="auto"/>
          <w:sz w:val="24"/>
          <w:szCs w:val="22"/>
          <w:highlight w:val="none"/>
        </w:rPr>
      </w:pPr>
      <w:r>
        <w:rPr>
          <w:rFonts w:hint="eastAsia" w:ascii="宋体" w:hAnsi="宋体" w:cs="宋体"/>
          <w:color w:val="auto"/>
          <w:sz w:val="24"/>
          <w:szCs w:val="22"/>
          <w:highlight w:val="none"/>
          <w:u w:val="single"/>
        </w:rPr>
        <w:t xml:space="preserve">    （供应商名称）  </w:t>
      </w:r>
      <w:r>
        <w:rPr>
          <w:rFonts w:hint="eastAsia" w:ascii="宋体" w:hAnsi="宋体" w:cs="宋体"/>
          <w:color w:val="auto"/>
          <w:sz w:val="24"/>
          <w:szCs w:val="22"/>
          <w:highlight w:val="none"/>
        </w:rPr>
        <w:t>系中华人民共和国合法企业，经营地址。</w:t>
      </w:r>
    </w:p>
    <w:p w14:paraId="3DE33D2C">
      <w:pPr>
        <w:snapToGrid w:val="0"/>
        <w:spacing w:line="360" w:lineRule="auto"/>
        <w:ind w:firstLine="480" w:firstLineChars="200"/>
        <w:rPr>
          <w:rFonts w:ascii="宋体" w:hAnsi="宋体" w:cs="宋体"/>
          <w:color w:val="auto"/>
          <w:sz w:val="24"/>
          <w:szCs w:val="22"/>
          <w:highlight w:val="none"/>
        </w:rPr>
      </w:pPr>
      <w:r>
        <w:rPr>
          <w:rFonts w:hint="eastAsia" w:ascii="宋体" w:hAnsi="宋体" w:cs="宋体"/>
          <w:color w:val="auto"/>
          <w:sz w:val="24"/>
          <w:szCs w:val="22"/>
          <w:highlight w:val="none"/>
        </w:rPr>
        <w:t>我</w:t>
      </w:r>
      <w:r>
        <w:rPr>
          <w:rFonts w:hint="eastAsia" w:ascii="宋体" w:hAnsi="宋体" w:cs="宋体"/>
          <w:color w:val="auto"/>
          <w:sz w:val="24"/>
          <w:szCs w:val="22"/>
          <w:highlight w:val="none"/>
          <w:u w:val="single"/>
        </w:rPr>
        <w:t xml:space="preserve">    （姓名）</w:t>
      </w:r>
      <w:r>
        <w:rPr>
          <w:rFonts w:hint="eastAsia" w:ascii="宋体" w:hAnsi="宋体" w:cs="宋体"/>
          <w:color w:val="auto"/>
          <w:sz w:val="24"/>
          <w:szCs w:val="22"/>
          <w:highlight w:val="none"/>
        </w:rPr>
        <w:t>系</w:t>
      </w:r>
      <w:r>
        <w:rPr>
          <w:rFonts w:hint="eastAsia" w:ascii="宋体" w:hAnsi="宋体" w:cs="宋体"/>
          <w:color w:val="auto"/>
          <w:sz w:val="24"/>
          <w:szCs w:val="22"/>
          <w:highlight w:val="none"/>
          <w:u w:val="single"/>
        </w:rPr>
        <w:t xml:space="preserve">    （供应商名称）</w:t>
      </w:r>
      <w:r>
        <w:rPr>
          <w:rFonts w:hint="eastAsia" w:ascii="宋体" w:hAnsi="宋体" w:cs="宋体"/>
          <w:color w:val="auto"/>
          <w:sz w:val="24"/>
          <w:szCs w:val="22"/>
          <w:highlight w:val="none"/>
        </w:rPr>
        <w:t>的法定代表人，我方愿意参加贵方组织的</w:t>
      </w:r>
      <w:r>
        <w:rPr>
          <w:rFonts w:hint="eastAsia" w:ascii="宋体" w:hAnsi="宋体" w:cs="宋体"/>
          <w:color w:val="auto"/>
          <w:sz w:val="24"/>
          <w:szCs w:val="22"/>
          <w:highlight w:val="none"/>
          <w:u w:val="single"/>
        </w:rPr>
        <w:t>（项目名称）</w:t>
      </w:r>
      <w:r>
        <w:rPr>
          <w:rFonts w:hint="eastAsia" w:ascii="宋体" w:hAnsi="宋体" w:cs="宋体"/>
          <w:color w:val="auto"/>
          <w:sz w:val="24"/>
          <w:szCs w:val="22"/>
          <w:highlight w:val="none"/>
        </w:rPr>
        <w:t>项目的磋商，为便于贵方公正、择优地确定成交人及其磋商产品和服务，我方就本次磋商有关事项郑重声明如下：</w:t>
      </w:r>
    </w:p>
    <w:p w14:paraId="1377360F">
      <w:pPr>
        <w:snapToGrid w:val="0"/>
        <w:spacing w:line="360" w:lineRule="auto"/>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1.我方承诺</w:t>
      </w:r>
      <w:r>
        <w:rPr>
          <w:rFonts w:hint="eastAsia" w:ascii="宋体" w:hAnsi="宋体" w:eastAsia="宋体" w:cs="宋体"/>
          <w:color w:val="auto"/>
          <w:sz w:val="24"/>
          <w:szCs w:val="22"/>
          <w:highlight w:val="none"/>
          <w:lang w:val="en-US" w:eastAsia="zh-CN"/>
        </w:rPr>
        <w:t>响应</w:t>
      </w:r>
      <w:r>
        <w:rPr>
          <w:rFonts w:hint="eastAsia" w:ascii="宋体" w:hAnsi="宋体" w:eastAsia="宋体" w:cs="宋体"/>
          <w:color w:val="auto"/>
          <w:sz w:val="24"/>
          <w:szCs w:val="22"/>
          <w:highlight w:val="none"/>
        </w:rPr>
        <w:t>有效期从提交</w:t>
      </w:r>
      <w:r>
        <w:rPr>
          <w:rFonts w:hint="eastAsia" w:ascii="宋体" w:hAnsi="宋体" w:eastAsia="宋体" w:cs="宋体"/>
          <w:color w:val="auto"/>
          <w:sz w:val="24"/>
          <w:szCs w:val="22"/>
          <w:highlight w:val="none"/>
          <w:lang w:val="en-US" w:eastAsia="zh-CN"/>
        </w:rPr>
        <w:t>响应</w:t>
      </w:r>
      <w:r>
        <w:rPr>
          <w:rFonts w:hint="eastAsia" w:ascii="宋体" w:hAnsi="宋体" w:eastAsia="宋体" w:cs="宋体"/>
          <w:color w:val="auto"/>
          <w:sz w:val="24"/>
          <w:szCs w:val="22"/>
          <w:highlight w:val="none"/>
        </w:rPr>
        <w:t>文件的截止之日起</w:t>
      </w:r>
      <w:r>
        <w:rPr>
          <w:rFonts w:hint="eastAsia" w:ascii="宋体" w:hAnsi="宋体" w:eastAsia="宋体" w:cs="宋体"/>
          <w:color w:val="auto"/>
          <w:sz w:val="24"/>
          <w:szCs w:val="22"/>
          <w:highlight w:val="none"/>
          <w:u w:val="single"/>
        </w:rPr>
        <w:t xml:space="preserve">     </w:t>
      </w:r>
      <w:r>
        <w:rPr>
          <w:rFonts w:hint="eastAsia" w:ascii="宋体" w:hAnsi="宋体" w:eastAsia="宋体" w:cs="宋体"/>
          <w:color w:val="auto"/>
          <w:sz w:val="24"/>
          <w:szCs w:val="22"/>
          <w:highlight w:val="none"/>
        </w:rPr>
        <w:t>天（不少于90天），本</w:t>
      </w:r>
      <w:r>
        <w:rPr>
          <w:rFonts w:hint="eastAsia" w:ascii="宋体" w:hAnsi="宋体" w:eastAsia="宋体" w:cs="宋体"/>
          <w:color w:val="auto"/>
          <w:sz w:val="24"/>
          <w:szCs w:val="22"/>
          <w:highlight w:val="none"/>
          <w:lang w:val="en-US" w:eastAsia="zh-CN"/>
        </w:rPr>
        <w:t>响应</w:t>
      </w:r>
      <w:r>
        <w:rPr>
          <w:rFonts w:hint="eastAsia" w:ascii="宋体" w:hAnsi="宋体" w:eastAsia="宋体" w:cs="宋体"/>
          <w:color w:val="auto"/>
          <w:sz w:val="24"/>
          <w:szCs w:val="22"/>
          <w:highlight w:val="none"/>
        </w:rPr>
        <w:t>文件在</w:t>
      </w:r>
      <w:r>
        <w:rPr>
          <w:rFonts w:hint="eastAsia" w:ascii="宋体" w:hAnsi="宋体" w:eastAsia="宋体" w:cs="宋体"/>
          <w:color w:val="auto"/>
          <w:sz w:val="24"/>
          <w:szCs w:val="22"/>
          <w:highlight w:val="none"/>
          <w:lang w:val="en-US" w:eastAsia="zh-CN"/>
        </w:rPr>
        <w:t>响应</w:t>
      </w:r>
      <w:r>
        <w:rPr>
          <w:rFonts w:hint="eastAsia" w:ascii="宋体" w:hAnsi="宋体" w:eastAsia="宋体" w:cs="宋体"/>
          <w:color w:val="auto"/>
          <w:sz w:val="24"/>
          <w:szCs w:val="22"/>
          <w:highlight w:val="none"/>
        </w:rPr>
        <w:t>有效期满之前均具有约束力。</w:t>
      </w:r>
    </w:p>
    <w:p w14:paraId="38841BCF">
      <w:pPr>
        <w:snapToGrid w:val="0"/>
        <w:spacing w:line="360" w:lineRule="auto"/>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2.我方的</w:t>
      </w:r>
      <w:r>
        <w:rPr>
          <w:rFonts w:hint="eastAsia" w:ascii="宋体" w:hAnsi="宋体" w:eastAsia="宋体" w:cs="宋体"/>
          <w:color w:val="auto"/>
          <w:sz w:val="24"/>
          <w:szCs w:val="22"/>
          <w:highlight w:val="none"/>
          <w:lang w:val="en-US" w:eastAsia="zh-CN"/>
        </w:rPr>
        <w:t>响应</w:t>
      </w:r>
      <w:r>
        <w:rPr>
          <w:rFonts w:hint="eastAsia" w:ascii="宋体" w:hAnsi="宋体" w:eastAsia="宋体" w:cs="宋体"/>
          <w:color w:val="auto"/>
          <w:sz w:val="24"/>
          <w:szCs w:val="22"/>
          <w:highlight w:val="none"/>
        </w:rPr>
        <w:t>文件包括以下内容：</w:t>
      </w:r>
    </w:p>
    <w:p w14:paraId="04AC4F3D">
      <w:pPr>
        <w:snapToGrid w:val="0"/>
        <w:spacing w:line="360" w:lineRule="auto"/>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2.1资格文件</w:t>
      </w:r>
    </w:p>
    <w:p w14:paraId="65D1FEB1">
      <w:pPr>
        <w:snapToGrid w:val="0"/>
        <w:spacing w:line="360" w:lineRule="auto"/>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2</w:t>
      </w:r>
      <w:r>
        <w:rPr>
          <w:rFonts w:hint="eastAsia" w:ascii="宋体" w:hAnsi="宋体" w:eastAsia="宋体" w:cs="宋体"/>
          <w:color w:val="auto"/>
          <w:sz w:val="24"/>
          <w:szCs w:val="22"/>
          <w:highlight w:val="none"/>
          <w:lang w:val="zh-CN"/>
        </w:rPr>
        <w:t>.</w:t>
      </w:r>
      <w:r>
        <w:rPr>
          <w:rFonts w:hint="eastAsia" w:ascii="宋体" w:hAnsi="宋体" w:eastAsia="宋体" w:cs="宋体"/>
          <w:color w:val="auto"/>
          <w:sz w:val="24"/>
          <w:szCs w:val="22"/>
          <w:highlight w:val="none"/>
        </w:rPr>
        <w:t>2商务技术</w:t>
      </w:r>
      <w:r>
        <w:rPr>
          <w:rFonts w:hint="eastAsia" w:ascii="宋体" w:hAnsi="宋体" w:eastAsia="宋体" w:cs="宋体"/>
          <w:color w:val="auto"/>
          <w:sz w:val="24"/>
          <w:szCs w:val="22"/>
          <w:highlight w:val="none"/>
          <w:lang w:val="zh-CN"/>
        </w:rPr>
        <w:t>文件</w:t>
      </w:r>
    </w:p>
    <w:p w14:paraId="77840F13">
      <w:pPr>
        <w:snapToGrid w:val="0"/>
        <w:spacing w:line="360" w:lineRule="auto"/>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2</w:t>
      </w:r>
      <w:r>
        <w:rPr>
          <w:rFonts w:hint="eastAsia" w:ascii="宋体" w:hAnsi="宋体" w:eastAsia="宋体" w:cs="宋体"/>
          <w:color w:val="auto"/>
          <w:sz w:val="24"/>
          <w:szCs w:val="22"/>
          <w:highlight w:val="none"/>
          <w:lang w:val="zh-CN"/>
        </w:rPr>
        <w:t>.</w:t>
      </w:r>
      <w:r>
        <w:rPr>
          <w:rFonts w:hint="eastAsia" w:ascii="宋体" w:hAnsi="宋体" w:eastAsia="宋体" w:cs="宋体"/>
          <w:color w:val="auto"/>
          <w:sz w:val="24"/>
          <w:szCs w:val="22"/>
          <w:highlight w:val="none"/>
        </w:rPr>
        <w:t>3</w:t>
      </w:r>
      <w:r>
        <w:rPr>
          <w:rFonts w:hint="eastAsia" w:ascii="宋体" w:hAnsi="宋体" w:eastAsia="宋体" w:cs="宋体"/>
          <w:color w:val="auto"/>
          <w:sz w:val="24"/>
          <w:szCs w:val="22"/>
          <w:highlight w:val="none"/>
          <w:lang w:val="en-US" w:eastAsia="zh-CN"/>
        </w:rPr>
        <w:t>报价文件</w:t>
      </w:r>
    </w:p>
    <w:p w14:paraId="580DC5AC">
      <w:pPr>
        <w:snapToGrid w:val="0"/>
        <w:spacing w:line="360" w:lineRule="auto"/>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3.我方承诺除偏离表列出的负偏离外，我方响应</w:t>
      </w:r>
      <w:r>
        <w:rPr>
          <w:rFonts w:hint="eastAsia" w:ascii="宋体" w:hAnsi="宋体" w:eastAsia="宋体" w:cs="宋体"/>
          <w:color w:val="auto"/>
          <w:sz w:val="24"/>
          <w:szCs w:val="22"/>
          <w:highlight w:val="none"/>
          <w:lang w:val="en-US" w:eastAsia="zh-CN"/>
        </w:rPr>
        <w:t>采购</w:t>
      </w:r>
      <w:r>
        <w:rPr>
          <w:rFonts w:hint="eastAsia" w:ascii="宋体" w:hAnsi="宋体" w:eastAsia="宋体" w:cs="宋体"/>
          <w:color w:val="auto"/>
          <w:sz w:val="24"/>
          <w:szCs w:val="22"/>
          <w:highlight w:val="none"/>
        </w:rPr>
        <w:t>文件的全部要求。</w:t>
      </w:r>
    </w:p>
    <w:p w14:paraId="0EB43159">
      <w:pPr>
        <w:snapToGrid w:val="0"/>
        <w:spacing w:line="360" w:lineRule="auto"/>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4.如我方</w:t>
      </w:r>
      <w:r>
        <w:rPr>
          <w:rFonts w:hint="eastAsia" w:ascii="宋体" w:hAnsi="宋体" w:eastAsia="宋体" w:cs="宋体"/>
          <w:color w:val="auto"/>
          <w:sz w:val="24"/>
          <w:szCs w:val="22"/>
          <w:highlight w:val="none"/>
          <w:lang w:val="en-US" w:eastAsia="zh-CN"/>
        </w:rPr>
        <w:t>成交</w:t>
      </w:r>
      <w:r>
        <w:rPr>
          <w:rFonts w:hint="eastAsia" w:ascii="宋体" w:hAnsi="宋体" w:eastAsia="宋体" w:cs="宋体"/>
          <w:color w:val="auto"/>
          <w:sz w:val="24"/>
          <w:szCs w:val="22"/>
          <w:highlight w:val="none"/>
        </w:rPr>
        <w:t>，我方承诺：</w:t>
      </w:r>
    </w:p>
    <w:p w14:paraId="022F1667">
      <w:pPr>
        <w:snapToGrid w:val="0"/>
        <w:spacing w:line="360" w:lineRule="auto"/>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4.1在收到</w:t>
      </w:r>
      <w:r>
        <w:rPr>
          <w:rFonts w:hint="eastAsia" w:ascii="宋体" w:hAnsi="宋体" w:eastAsia="宋体" w:cs="宋体"/>
          <w:color w:val="auto"/>
          <w:sz w:val="24"/>
          <w:szCs w:val="22"/>
          <w:highlight w:val="none"/>
          <w:lang w:val="en-US" w:eastAsia="zh-CN"/>
        </w:rPr>
        <w:t>成交</w:t>
      </w:r>
      <w:r>
        <w:rPr>
          <w:rFonts w:hint="eastAsia" w:ascii="宋体" w:hAnsi="宋体" w:eastAsia="宋体" w:cs="宋体"/>
          <w:color w:val="auto"/>
          <w:sz w:val="24"/>
          <w:szCs w:val="22"/>
          <w:highlight w:val="none"/>
        </w:rPr>
        <w:t>通知书后，在</w:t>
      </w:r>
      <w:r>
        <w:rPr>
          <w:rFonts w:hint="eastAsia" w:ascii="宋体" w:hAnsi="宋体" w:eastAsia="宋体" w:cs="宋体"/>
          <w:color w:val="auto"/>
          <w:sz w:val="24"/>
          <w:szCs w:val="22"/>
          <w:highlight w:val="none"/>
          <w:lang w:val="en-US" w:eastAsia="zh-CN"/>
        </w:rPr>
        <w:t>成交</w:t>
      </w:r>
      <w:r>
        <w:rPr>
          <w:rFonts w:hint="eastAsia" w:ascii="宋体" w:hAnsi="宋体" w:eastAsia="宋体" w:cs="宋体"/>
          <w:color w:val="auto"/>
          <w:sz w:val="24"/>
          <w:szCs w:val="22"/>
          <w:highlight w:val="none"/>
        </w:rPr>
        <w:t xml:space="preserve">通知书规定的期限内与你方签订合同； </w:t>
      </w:r>
    </w:p>
    <w:p w14:paraId="1307038F">
      <w:pPr>
        <w:snapToGrid w:val="0"/>
        <w:spacing w:line="360" w:lineRule="auto"/>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4.2在签订合同时不向你方提出附加条件；</w:t>
      </w:r>
    </w:p>
    <w:p w14:paraId="77507A93">
      <w:pPr>
        <w:snapToGrid w:val="0"/>
        <w:spacing w:line="360" w:lineRule="auto"/>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4.3按照</w:t>
      </w:r>
      <w:r>
        <w:rPr>
          <w:rFonts w:hint="eastAsia" w:ascii="宋体" w:hAnsi="宋体" w:eastAsia="宋体" w:cs="宋体"/>
          <w:color w:val="auto"/>
          <w:sz w:val="24"/>
          <w:szCs w:val="22"/>
          <w:highlight w:val="none"/>
          <w:lang w:val="en-US" w:eastAsia="zh-CN"/>
        </w:rPr>
        <w:t>采购</w:t>
      </w:r>
      <w:r>
        <w:rPr>
          <w:rFonts w:hint="eastAsia" w:ascii="宋体" w:hAnsi="宋体" w:eastAsia="宋体" w:cs="宋体"/>
          <w:color w:val="auto"/>
          <w:sz w:val="24"/>
          <w:szCs w:val="22"/>
          <w:highlight w:val="none"/>
        </w:rPr>
        <w:t xml:space="preserve">文件要求提交履约保证金（如有）； </w:t>
      </w:r>
    </w:p>
    <w:p w14:paraId="49A58ACA">
      <w:pPr>
        <w:snapToGrid w:val="0"/>
        <w:spacing w:line="360" w:lineRule="auto"/>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 xml:space="preserve">4.4在合同约定的期限内完成合同规定的全部义务。 </w:t>
      </w:r>
    </w:p>
    <w:p w14:paraId="0F1EB605">
      <w:pPr>
        <w:snapToGrid w:val="0"/>
        <w:spacing w:line="360" w:lineRule="auto"/>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5.其他补充说明:</w:t>
      </w:r>
      <w:r>
        <w:rPr>
          <w:rFonts w:hint="eastAsia" w:ascii="宋体" w:hAnsi="宋体" w:eastAsia="宋体" w:cs="宋体"/>
          <w:color w:val="auto"/>
          <w:sz w:val="24"/>
          <w:szCs w:val="22"/>
          <w:highlight w:val="none"/>
          <w:u w:val="single"/>
        </w:rPr>
        <w:t xml:space="preserve">                                        </w:t>
      </w:r>
      <w:r>
        <w:rPr>
          <w:rFonts w:hint="eastAsia" w:ascii="宋体" w:hAnsi="宋体" w:eastAsia="宋体" w:cs="宋体"/>
          <w:color w:val="auto"/>
          <w:sz w:val="24"/>
          <w:szCs w:val="22"/>
          <w:highlight w:val="none"/>
        </w:rPr>
        <w:t>。</w:t>
      </w:r>
    </w:p>
    <w:p w14:paraId="0990D00F">
      <w:pPr>
        <w:pStyle w:val="15"/>
        <w:adjustRightInd w:val="0"/>
        <w:snapToGrid w:val="0"/>
        <w:ind w:firstLine="900" w:firstLineChars="375"/>
        <w:jc w:val="right"/>
        <w:rPr>
          <w:rFonts w:hAnsi="宋体" w:cs="宋体"/>
          <w:color w:val="auto"/>
          <w:sz w:val="24"/>
          <w:szCs w:val="22"/>
          <w:highlight w:val="none"/>
        </w:rPr>
      </w:pPr>
    </w:p>
    <w:p w14:paraId="59A144D3">
      <w:pPr>
        <w:pStyle w:val="15"/>
        <w:adjustRightInd w:val="0"/>
        <w:snapToGrid w:val="0"/>
        <w:ind w:firstLine="900" w:firstLineChars="375"/>
        <w:jc w:val="right"/>
        <w:rPr>
          <w:rFonts w:hAnsi="宋体" w:cs="宋体"/>
          <w:color w:val="auto"/>
          <w:sz w:val="24"/>
          <w:szCs w:val="22"/>
          <w:highlight w:val="none"/>
        </w:rPr>
      </w:pPr>
    </w:p>
    <w:p w14:paraId="0DD47AC2">
      <w:pPr>
        <w:pStyle w:val="15"/>
        <w:adjustRightInd w:val="0"/>
        <w:snapToGrid w:val="0"/>
        <w:ind w:firstLine="900" w:firstLineChars="375"/>
        <w:jc w:val="right"/>
        <w:rPr>
          <w:rFonts w:hAnsi="宋体" w:cs="宋体"/>
          <w:color w:val="auto"/>
          <w:sz w:val="24"/>
          <w:szCs w:val="22"/>
          <w:highlight w:val="none"/>
        </w:rPr>
      </w:pPr>
    </w:p>
    <w:p w14:paraId="39A22D49">
      <w:pPr>
        <w:pStyle w:val="15"/>
        <w:adjustRightInd w:val="0"/>
        <w:snapToGrid w:val="0"/>
        <w:spacing w:line="360" w:lineRule="auto"/>
        <w:ind w:firstLine="900" w:firstLineChars="375"/>
        <w:jc w:val="right"/>
        <w:rPr>
          <w:rFonts w:hAnsi="宋体" w:cs="宋体"/>
          <w:color w:val="auto"/>
          <w:sz w:val="24"/>
          <w:szCs w:val="22"/>
          <w:highlight w:val="none"/>
        </w:rPr>
      </w:pPr>
      <w:r>
        <w:rPr>
          <w:rFonts w:hint="eastAsia" w:hAnsi="宋体" w:cs="宋体"/>
          <w:color w:val="auto"/>
          <w:sz w:val="24"/>
          <w:szCs w:val="22"/>
          <w:highlight w:val="none"/>
        </w:rPr>
        <w:t>供应商（盖章）：__________________________</w:t>
      </w:r>
    </w:p>
    <w:p w14:paraId="0E7F77A4">
      <w:pPr>
        <w:pStyle w:val="15"/>
        <w:adjustRightInd w:val="0"/>
        <w:snapToGrid w:val="0"/>
        <w:spacing w:line="360" w:lineRule="auto"/>
        <w:ind w:firstLine="900" w:firstLineChars="375"/>
        <w:jc w:val="right"/>
        <w:rPr>
          <w:rFonts w:hAnsi="宋体" w:cs="宋体"/>
          <w:color w:val="auto"/>
          <w:sz w:val="24"/>
          <w:szCs w:val="22"/>
          <w:highlight w:val="none"/>
        </w:rPr>
      </w:pPr>
      <w:r>
        <w:rPr>
          <w:rFonts w:hint="eastAsia" w:hAnsi="宋体" w:cs="宋体"/>
          <w:color w:val="auto"/>
          <w:sz w:val="24"/>
          <w:szCs w:val="22"/>
          <w:highlight w:val="none"/>
        </w:rPr>
        <w:t>法定代表人或授权代表签字：____________________</w:t>
      </w:r>
    </w:p>
    <w:p w14:paraId="40652D3E">
      <w:pPr>
        <w:pStyle w:val="15"/>
        <w:adjustRightInd w:val="0"/>
        <w:snapToGrid w:val="0"/>
        <w:ind w:firstLine="900" w:firstLineChars="375"/>
        <w:jc w:val="right"/>
        <w:rPr>
          <w:rFonts w:hint="eastAsia" w:hAnsi="宋体" w:cs="宋体"/>
          <w:color w:val="auto"/>
          <w:sz w:val="24"/>
          <w:szCs w:val="22"/>
          <w:highlight w:val="none"/>
        </w:rPr>
      </w:pPr>
      <w:r>
        <w:rPr>
          <w:rFonts w:hint="eastAsia" w:hAnsi="宋体" w:cs="宋体"/>
          <w:color w:val="auto"/>
          <w:sz w:val="24"/>
          <w:szCs w:val="22"/>
          <w:highlight w:val="none"/>
        </w:rPr>
        <w:t>日期：____年____月____日</w:t>
      </w:r>
    </w:p>
    <w:p w14:paraId="2A059DAE">
      <w:pPr>
        <w:pStyle w:val="15"/>
        <w:adjustRightInd w:val="0"/>
        <w:snapToGrid w:val="0"/>
        <w:ind w:firstLine="900" w:firstLineChars="375"/>
        <w:jc w:val="right"/>
        <w:rPr>
          <w:rFonts w:hint="eastAsia" w:hAnsi="宋体" w:cs="宋体"/>
          <w:color w:val="auto"/>
          <w:sz w:val="24"/>
          <w:szCs w:val="22"/>
          <w:highlight w:val="none"/>
        </w:rPr>
      </w:pPr>
    </w:p>
    <w:p w14:paraId="6A5CA037">
      <w:pP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br w:type="page"/>
      </w:r>
    </w:p>
    <w:p w14:paraId="439C39D7">
      <w:pPr>
        <w:shd w:val="clear" w:color="auto" w:fill="FFFFFF"/>
        <w:spacing w:before="100" w:beforeAutospacing="1" w:after="100" w:afterAutospacing="1" w:line="500" w:lineRule="atLeast"/>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二、声明函</w:t>
      </w:r>
    </w:p>
    <w:p w14:paraId="3B8D005B">
      <w:pPr>
        <w:jc w:val="center"/>
        <w:rPr>
          <w:rFonts w:ascii="仿宋" w:hAnsi="仿宋" w:eastAsia="仿宋" w:cs="仿宋"/>
          <w:color w:val="auto"/>
          <w:sz w:val="24"/>
          <w:highlight w:val="none"/>
        </w:rPr>
      </w:pPr>
    </w:p>
    <w:p w14:paraId="25A99359">
      <w:pPr>
        <w:snapToGrid w:val="0"/>
        <w:spacing w:line="360" w:lineRule="auto"/>
        <w:rPr>
          <w:rFonts w:hint="eastAsia" w:ascii="宋体" w:hAnsi="宋体" w:eastAsia="宋体" w:cs="宋体"/>
          <w:color w:val="auto"/>
          <w:sz w:val="24"/>
          <w:szCs w:val="22"/>
          <w:highlight w:val="none"/>
        </w:rPr>
      </w:pPr>
      <w:r>
        <w:rPr>
          <w:rFonts w:hint="eastAsia" w:ascii="宋体" w:hAnsi="宋体" w:cs="宋体"/>
          <w:color w:val="auto"/>
          <w:sz w:val="24"/>
          <w:szCs w:val="22"/>
          <w:highlight w:val="none"/>
        </w:rPr>
        <w:t>致</w:t>
      </w:r>
      <w:r>
        <w:rPr>
          <w:rFonts w:hint="eastAsia" w:ascii="宋体" w:hAnsi="宋体" w:cs="宋体"/>
          <w:color w:val="auto"/>
          <w:sz w:val="24"/>
          <w:szCs w:val="22"/>
          <w:highlight w:val="none"/>
          <w:u w:val="single"/>
        </w:rPr>
        <w:t>（采购人名称）</w:t>
      </w:r>
      <w:r>
        <w:rPr>
          <w:rFonts w:hint="eastAsia" w:ascii="宋体" w:hAnsi="宋体" w:cs="宋体"/>
          <w:color w:val="auto"/>
          <w:sz w:val="24"/>
          <w:szCs w:val="22"/>
          <w:highlight w:val="none"/>
        </w:rPr>
        <w:t>：</w:t>
      </w:r>
    </w:p>
    <w:p w14:paraId="46EC2726">
      <w:pPr>
        <w:snapToGrid w:val="0"/>
        <w:spacing w:line="360" w:lineRule="auto"/>
        <w:rPr>
          <w:rFonts w:hint="eastAsia" w:ascii="宋体" w:hAnsi="宋体" w:eastAsia="宋体" w:cs="宋体"/>
          <w:color w:val="auto"/>
          <w:sz w:val="24"/>
          <w:szCs w:val="22"/>
          <w:highlight w:val="none"/>
        </w:rPr>
      </w:pPr>
    </w:p>
    <w:p w14:paraId="53D22AE3">
      <w:pPr>
        <w:snapToGrid w:val="0"/>
        <w:spacing w:line="360" w:lineRule="auto"/>
        <w:ind w:firstLine="480" w:firstLineChars="200"/>
        <w:rPr>
          <w:rFonts w:hint="eastAsia" w:ascii="宋体" w:hAnsi="宋体" w:eastAsia="宋体" w:cs="宋体"/>
          <w:color w:val="auto"/>
          <w:sz w:val="24"/>
          <w:szCs w:val="22"/>
          <w:highlight w:val="none"/>
          <w:lang w:eastAsia="zh-CN"/>
        </w:rPr>
      </w:pPr>
      <w:r>
        <w:rPr>
          <w:rFonts w:hint="eastAsia" w:ascii="宋体" w:hAnsi="宋体" w:eastAsia="宋体" w:cs="宋体"/>
          <w:color w:val="auto"/>
          <w:sz w:val="24"/>
          <w:szCs w:val="22"/>
          <w:highlight w:val="none"/>
        </w:rPr>
        <w:t>我公司郑重承诺</w:t>
      </w:r>
      <w:r>
        <w:rPr>
          <w:rFonts w:hint="eastAsia" w:ascii="宋体" w:hAnsi="宋体" w:eastAsia="宋体" w:cs="宋体"/>
          <w:color w:val="auto"/>
          <w:sz w:val="24"/>
          <w:szCs w:val="22"/>
          <w:highlight w:val="none"/>
          <w:lang w:eastAsia="zh-CN"/>
        </w:rPr>
        <w:t>：</w:t>
      </w:r>
    </w:p>
    <w:p w14:paraId="69DC4898">
      <w:pPr>
        <w:numPr>
          <w:ilvl w:val="0"/>
          <w:numId w:val="9"/>
        </w:numPr>
        <w:snapToGrid w:val="0"/>
        <w:spacing w:line="360" w:lineRule="auto"/>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在参加本项目政府采购活动前三年内，在经营活动中无重大违法记录。公司未受到责令停业、吊销许可证（或执照）；未处于财产被接管、冻结、破产状况。</w:t>
      </w:r>
    </w:p>
    <w:p w14:paraId="6964E88E">
      <w:pPr>
        <w:numPr>
          <w:ilvl w:val="0"/>
          <w:numId w:val="9"/>
        </w:numPr>
        <w:snapToGrid w:val="0"/>
        <w:spacing w:line="360" w:lineRule="auto"/>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公司郑重承诺：我公司及拟派项目负责人自20</w:t>
      </w:r>
      <w:r>
        <w:rPr>
          <w:rFonts w:hint="eastAsia" w:ascii="宋体" w:hAnsi="宋体" w:cs="宋体"/>
          <w:color w:val="auto"/>
          <w:sz w:val="24"/>
          <w:szCs w:val="22"/>
          <w:highlight w:val="none"/>
          <w:lang w:val="en-US" w:eastAsia="zh-CN"/>
        </w:rPr>
        <w:t>22</w:t>
      </w:r>
      <w:r>
        <w:rPr>
          <w:rFonts w:hint="eastAsia" w:ascii="宋体" w:hAnsi="宋体" w:eastAsia="宋体" w:cs="宋体"/>
          <w:color w:val="auto"/>
          <w:sz w:val="24"/>
          <w:szCs w:val="22"/>
          <w:highlight w:val="none"/>
        </w:rPr>
        <w:t>年1月1日至磋商响应截止时间前无行贿犯罪记录，我公司截止响应截止时间未在“信用中国”网站（www.creditchina.gov.cn）、中国政府采购网（www.ccgp.gov.cn）被列入失信被执行人、重大税收违法案件当事人名单、政府采购严重违法失信行为记录名单。</w:t>
      </w:r>
    </w:p>
    <w:p w14:paraId="225FD430">
      <w:pPr>
        <w:numPr>
          <w:ilvl w:val="0"/>
          <w:numId w:val="9"/>
        </w:numPr>
        <w:snapToGrid w:val="0"/>
        <w:spacing w:line="360" w:lineRule="auto"/>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我方</w:t>
      </w:r>
      <w:r>
        <w:rPr>
          <w:rFonts w:hint="eastAsia" w:ascii="宋体" w:hAnsi="宋体" w:eastAsia="宋体" w:cs="宋体"/>
          <w:color w:val="auto"/>
          <w:sz w:val="24"/>
          <w:szCs w:val="22"/>
          <w:highlight w:val="none"/>
          <w:u w:val="single"/>
        </w:rPr>
        <w:t xml:space="preserve"> 不属于 </w:t>
      </w:r>
      <w:r>
        <w:rPr>
          <w:rFonts w:hint="eastAsia" w:ascii="宋体" w:hAnsi="宋体" w:eastAsia="宋体" w:cs="宋体"/>
          <w:color w:val="auto"/>
          <w:sz w:val="24"/>
          <w:szCs w:val="22"/>
          <w:highlight w:val="none"/>
        </w:rPr>
        <w:t>为本项目提供整体设计、规范编制或者项目管理、监理、检测等服务的供应商。</w:t>
      </w:r>
    </w:p>
    <w:p w14:paraId="1F93D242">
      <w:pPr>
        <w:numPr>
          <w:ilvl w:val="0"/>
          <w:numId w:val="9"/>
        </w:numPr>
        <w:snapToGrid w:val="0"/>
        <w:spacing w:line="360" w:lineRule="auto"/>
        <w:ind w:firstLine="480" w:firstLineChars="2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供应商控股股东名称、控股公司的名称和存在管理、被管理关系的单位名称说明</w:t>
      </w:r>
      <w:r>
        <w:rPr>
          <w:rFonts w:hint="eastAsia" w:ascii="宋体" w:hAnsi="宋体" w:eastAsia="宋体" w:cs="宋体"/>
          <w:color w:val="auto"/>
          <w:sz w:val="24"/>
          <w:szCs w:val="22"/>
          <w:highlight w:val="none"/>
          <w:lang w:eastAsia="zh-CN"/>
        </w:rPr>
        <w:t>：</w:t>
      </w:r>
    </w:p>
    <w:p w14:paraId="35CD1622">
      <w:pPr>
        <w:numPr>
          <w:ilvl w:val="0"/>
          <w:numId w:val="0"/>
        </w:numPr>
        <w:snapToGrid w:val="0"/>
        <w:spacing w:line="360" w:lineRule="auto"/>
        <w:ind w:left="0" w:leftChars="0" w:firstLine="420" w:firstLineChars="175"/>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lang w:eastAsia="zh-CN"/>
        </w:rPr>
        <w:t>（</w:t>
      </w:r>
      <w:r>
        <w:rPr>
          <w:rFonts w:hint="eastAsia" w:ascii="宋体" w:hAnsi="宋体" w:eastAsia="宋体" w:cs="宋体"/>
          <w:color w:val="auto"/>
          <w:sz w:val="24"/>
          <w:szCs w:val="22"/>
          <w:highlight w:val="none"/>
          <w:lang w:val="en-US" w:eastAsia="zh-CN"/>
        </w:rPr>
        <w:t>1</w:t>
      </w:r>
      <w:r>
        <w:rPr>
          <w:rFonts w:hint="eastAsia" w:ascii="宋体" w:hAnsi="宋体" w:eastAsia="宋体" w:cs="宋体"/>
          <w:color w:val="auto"/>
          <w:sz w:val="24"/>
          <w:szCs w:val="22"/>
          <w:highlight w:val="none"/>
          <w:lang w:eastAsia="zh-CN"/>
        </w:rPr>
        <w:t>）</w:t>
      </w:r>
      <w:r>
        <w:rPr>
          <w:rFonts w:hint="eastAsia" w:ascii="宋体" w:hAnsi="宋体" w:eastAsia="宋体" w:cs="宋体"/>
          <w:color w:val="auto"/>
          <w:sz w:val="24"/>
          <w:szCs w:val="22"/>
          <w:highlight w:val="none"/>
        </w:rPr>
        <w:t>与我方的法定代表人（单位负责人）为同一人的企业如下：</w:t>
      </w:r>
    </w:p>
    <w:p w14:paraId="00C1833D">
      <w:pPr>
        <w:numPr>
          <w:ilvl w:val="0"/>
          <w:numId w:val="0"/>
        </w:numPr>
        <w:snapToGrid w:val="0"/>
        <w:spacing w:line="360" w:lineRule="auto"/>
        <w:ind w:left="0" w:leftChars="0" w:firstLine="420" w:firstLineChars="175"/>
        <w:rPr>
          <w:rFonts w:hint="eastAsia" w:ascii="宋体" w:hAnsi="宋体" w:eastAsia="宋体" w:cs="宋体"/>
          <w:color w:val="auto"/>
          <w:sz w:val="24"/>
          <w:szCs w:val="22"/>
          <w:highlight w:val="none"/>
          <w:lang w:eastAsia="zh-CN"/>
        </w:rPr>
      </w:pPr>
    </w:p>
    <w:p w14:paraId="792F9A0A">
      <w:pPr>
        <w:numPr>
          <w:ilvl w:val="0"/>
          <w:numId w:val="0"/>
        </w:numPr>
        <w:snapToGrid w:val="0"/>
        <w:spacing w:line="360" w:lineRule="auto"/>
        <w:ind w:left="0" w:leftChars="0" w:firstLine="420" w:firstLineChars="175"/>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lang w:eastAsia="zh-CN"/>
        </w:rPr>
        <w:t>（</w:t>
      </w:r>
      <w:r>
        <w:rPr>
          <w:rFonts w:hint="eastAsia" w:ascii="宋体" w:hAnsi="宋体" w:eastAsia="宋体" w:cs="宋体"/>
          <w:color w:val="auto"/>
          <w:sz w:val="24"/>
          <w:szCs w:val="22"/>
          <w:highlight w:val="none"/>
          <w:lang w:val="en-US" w:eastAsia="zh-CN"/>
        </w:rPr>
        <w:t>2</w:t>
      </w:r>
      <w:r>
        <w:rPr>
          <w:rFonts w:hint="eastAsia" w:ascii="宋体" w:hAnsi="宋体" w:eastAsia="宋体" w:cs="宋体"/>
          <w:color w:val="auto"/>
          <w:sz w:val="24"/>
          <w:szCs w:val="22"/>
          <w:highlight w:val="none"/>
          <w:lang w:eastAsia="zh-CN"/>
        </w:rPr>
        <w:t>）</w:t>
      </w:r>
      <w:r>
        <w:rPr>
          <w:rFonts w:hint="eastAsia" w:ascii="宋体" w:hAnsi="宋体" w:eastAsia="宋体" w:cs="宋体"/>
          <w:color w:val="auto"/>
          <w:sz w:val="24"/>
          <w:szCs w:val="22"/>
          <w:highlight w:val="none"/>
        </w:rPr>
        <w:t>我方的控股股东如下：</w:t>
      </w:r>
    </w:p>
    <w:p w14:paraId="4DFF5F8E">
      <w:pPr>
        <w:numPr>
          <w:ilvl w:val="0"/>
          <w:numId w:val="0"/>
        </w:numPr>
        <w:snapToGrid w:val="0"/>
        <w:spacing w:line="360" w:lineRule="auto"/>
        <w:ind w:left="0" w:leftChars="0" w:firstLine="420" w:firstLineChars="175"/>
        <w:rPr>
          <w:rFonts w:hint="eastAsia" w:ascii="宋体" w:hAnsi="宋体" w:eastAsia="宋体" w:cs="宋体"/>
          <w:color w:val="auto"/>
          <w:sz w:val="24"/>
          <w:szCs w:val="22"/>
          <w:highlight w:val="none"/>
        </w:rPr>
      </w:pPr>
    </w:p>
    <w:p w14:paraId="2451075E">
      <w:pPr>
        <w:numPr>
          <w:ilvl w:val="0"/>
          <w:numId w:val="0"/>
        </w:numPr>
        <w:snapToGrid w:val="0"/>
        <w:spacing w:line="360" w:lineRule="auto"/>
        <w:ind w:left="0" w:leftChars="0" w:firstLine="420" w:firstLineChars="175"/>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lang w:eastAsia="zh-CN"/>
        </w:rPr>
        <w:t>（</w:t>
      </w:r>
      <w:r>
        <w:rPr>
          <w:rFonts w:hint="eastAsia" w:ascii="宋体" w:hAnsi="宋体" w:eastAsia="宋体" w:cs="宋体"/>
          <w:color w:val="auto"/>
          <w:sz w:val="24"/>
          <w:szCs w:val="22"/>
          <w:highlight w:val="none"/>
          <w:lang w:val="en-US" w:eastAsia="zh-CN"/>
        </w:rPr>
        <w:t>3</w:t>
      </w:r>
      <w:r>
        <w:rPr>
          <w:rFonts w:hint="eastAsia" w:ascii="宋体" w:hAnsi="宋体" w:eastAsia="宋体" w:cs="宋体"/>
          <w:color w:val="auto"/>
          <w:sz w:val="24"/>
          <w:szCs w:val="22"/>
          <w:highlight w:val="none"/>
          <w:lang w:eastAsia="zh-CN"/>
        </w:rPr>
        <w:t>）</w:t>
      </w:r>
      <w:r>
        <w:rPr>
          <w:rFonts w:hint="eastAsia" w:ascii="宋体" w:hAnsi="宋体" w:eastAsia="宋体" w:cs="宋体"/>
          <w:color w:val="auto"/>
          <w:sz w:val="24"/>
          <w:szCs w:val="22"/>
          <w:highlight w:val="none"/>
        </w:rPr>
        <w:t>我方直接控股的企业如下：</w:t>
      </w:r>
    </w:p>
    <w:p w14:paraId="3E140AF6">
      <w:pPr>
        <w:numPr>
          <w:ilvl w:val="0"/>
          <w:numId w:val="0"/>
        </w:numPr>
        <w:snapToGrid w:val="0"/>
        <w:spacing w:line="360" w:lineRule="auto"/>
        <w:ind w:left="0" w:leftChars="0" w:firstLine="420" w:firstLineChars="175"/>
        <w:rPr>
          <w:rFonts w:hint="eastAsia" w:ascii="宋体" w:hAnsi="宋体" w:eastAsia="宋体" w:cs="宋体"/>
          <w:color w:val="auto"/>
          <w:sz w:val="24"/>
          <w:szCs w:val="22"/>
          <w:highlight w:val="none"/>
        </w:rPr>
      </w:pPr>
    </w:p>
    <w:p w14:paraId="28FC9676">
      <w:pPr>
        <w:numPr>
          <w:ilvl w:val="0"/>
          <w:numId w:val="0"/>
        </w:numPr>
        <w:snapToGrid w:val="0"/>
        <w:spacing w:line="360" w:lineRule="auto"/>
        <w:ind w:left="0" w:leftChars="0" w:firstLine="420" w:firstLineChars="175"/>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lang w:eastAsia="zh-CN"/>
        </w:rPr>
        <w:t>（</w:t>
      </w:r>
      <w:r>
        <w:rPr>
          <w:rFonts w:hint="eastAsia" w:ascii="宋体" w:hAnsi="宋体" w:eastAsia="宋体" w:cs="宋体"/>
          <w:color w:val="auto"/>
          <w:sz w:val="24"/>
          <w:szCs w:val="22"/>
          <w:highlight w:val="none"/>
          <w:lang w:val="en-US" w:eastAsia="zh-CN"/>
        </w:rPr>
        <w:t>4</w:t>
      </w:r>
      <w:r>
        <w:rPr>
          <w:rFonts w:hint="eastAsia" w:ascii="宋体" w:hAnsi="宋体" w:eastAsia="宋体" w:cs="宋体"/>
          <w:color w:val="auto"/>
          <w:sz w:val="24"/>
          <w:szCs w:val="22"/>
          <w:highlight w:val="none"/>
          <w:lang w:eastAsia="zh-CN"/>
        </w:rPr>
        <w:t>）</w:t>
      </w:r>
      <w:r>
        <w:rPr>
          <w:rFonts w:hint="eastAsia" w:ascii="宋体" w:hAnsi="宋体" w:eastAsia="宋体" w:cs="宋体"/>
          <w:color w:val="auto"/>
          <w:sz w:val="24"/>
          <w:szCs w:val="22"/>
          <w:highlight w:val="none"/>
        </w:rPr>
        <w:t>与我方存在管理、被管理关系的单位名称如下：</w:t>
      </w:r>
    </w:p>
    <w:p w14:paraId="43D9A69E">
      <w:pPr>
        <w:pStyle w:val="15"/>
        <w:adjustRightInd w:val="0"/>
        <w:snapToGrid w:val="0"/>
        <w:spacing w:line="360" w:lineRule="auto"/>
        <w:ind w:firstLine="900" w:firstLineChars="375"/>
        <w:jc w:val="right"/>
        <w:rPr>
          <w:rFonts w:hint="eastAsia" w:hAnsi="宋体" w:cs="宋体"/>
          <w:color w:val="auto"/>
          <w:sz w:val="24"/>
          <w:szCs w:val="22"/>
          <w:highlight w:val="none"/>
        </w:rPr>
      </w:pPr>
    </w:p>
    <w:p w14:paraId="57403C93">
      <w:pPr>
        <w:pStyle w:val="15"/>
        <w:adjustRightInd w:val="0"/>
        <w:snapToGrid w:val="0"/>
        <w:spacing w:line="360" w:lineRule="auto"/>
        <w:ind w:firstLine="900" w:firstLineChars="375"/>
        <w:jc w:val="right"/>
        <w:rPr>
          <w:rFonts w:hint="eastAsia" w:hAnsi="宋体" w:cs="宋体"/>
          <w:color w:val="auto"/>
          <w:sz w:val="24"/>
          <w:szCs w:val="22"/>
          <w:highlight w:val="none"/>
        </w:rPr>
      </w:pPr>
    </w:p>
    <w:p w14:paraId="0527EEBD">
      <w:pPr>
        <w:pStyle w:val="15"/>
        <w:adjustRightInd w:val="0"/>
        <w:snapToGrid w:val="0"/>
        <w:spacing w:line="360" w:lineRule="auto"/>
        <w:ind w:firstLine="900" w:firstLineChars="375"/>
        <w:jc w:val="right"/>
        <w:rPr>
          <w:rFonts w:hAnsi="宋体" w:cs="宋体"/>
          <w:color w:val="auto"/>
          <w:sz w:val="24"/>
          <w:szCs w:val="22"/>
          <w:highlight w:val="none"/>
        </w:rPr>
      </w:pPr>
      <w:r>
        <w:rPr>
          <w:rFonts w:hint="eastAsia" w:hAnsi="宋体" w:cs="宋体"/>
          <w:color w:val="auto"/>
          <w:sz w:val="24"/>
          <w:szCs w:val="22"/>
          <w:highlight w:val="none"/>
        </w:rPr>
        <w:t>供应商（盖章）：__________________________</w:t>
      </w:r>
    </w:p>
    <w:p w14:paraId="3ED78188">
      <w:pPr>
        <w:pStyle w:val="15"/>
        <w:adjustRightInd w:val="0"/>
        <w:snapToGrid w:val="0"/>
        <w:spacing w:line="360" w:lineRule="auto"/>
        <w:ind w:firstLine="900" w:firstLineChars="375"/>
        <w:jc w:val="right"/>
        <w:rPr>
          <w:rFonts w:hAnsi="宋体" w:cs="宋体"/>
          <w:color w:val="auto"/>
          <w:sz w:val="24"/>
          <w:szCs w:val="22"/>
          <w:highlight w:val="none"/>
        </w:rPr>
      </w:pPr>
      <w:r>
        <w:rPr>
          <w:rFonts w:hint="eastAsia" w:hAnsi="宋体" w:cs="宋体"/>
          <w:color w:val="auto"/>
          <w:sz w:val="24"/>
          <w:szCs w:val="22"/>
          <w:highlight w:val="none"/>
        </w:rPr>
        <w:t>法定代表人或授权代表签字：____________________</w:t>
      </w:r>
    </w:p>
    <w:p w14:paraId="35E9D27D">
      <w:pPr>
        <w:pStyle w:val="15"/>
        <w:adjustRightInd w:val="0"/>
        <w:snapToGrid w:val="0"/>
        <w:ind w:firstLine="900" w:firstLineChars="375"/>
        <w:jc w:val="right"/>
        <w:rPr>
          <w:rFonts w:hint="eastAsia" w:hAnsi="宋体" w:cs="宋体"/>
          <w:color w:val="auto"/>
          <w:sz w:val="24"/>
          <w:szCs w:val="22"/>
          <w:highlight w:val="none"/>
        </w:rPr>
      </w:pPr>
      <w:r>
        <w:rPr>
          <w:rFonts w:hint="eastAsia" w:hAnsi="宋体" w:cs="宋体"/>
          <w:color w:val="auto"/>
          <w:sz w:val="24"/>
          <w:szCs w:val="22"/>
          <w:highlight w:val="none"/>
        </w:rPr>
        <w:t>日期：____年____月____日</w:t>
      </w:r>
    </w:p>
    <w:p w14:paraId="71455377">
      <w:pPr>
        <w:pStyle w:val="15"/>
        <w:adjustRightInd w:val="0"/>
        <w:snapToGrid w:val="0"/>
        <w:jc w:val="both"/>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br w:type="page"/>
      </w:r>
    </w:p>
    <w:p w14:paraId="43FCCA05">
      <w:pPr>
        <w:pStyle w:val="27"/>
        <w:widowControl w:val="0"/>
        <w:adjustRightInd w:val="0"/>
        <w:snapToGrid w:val="0"/>
        <w:spacing w:line="390" w:lineRule="atLeast"/>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三</w:t>
      </w:r>
      <w:r>
        <w:rPr>
          <w:rFonts w:hint="eastAsia" w:ascii="宋体" w:hAnsi="宋体" w:eastAsia="宋体" w:cs="宋体"/>
          <w:b/>
          <w:color w:val="auto"/>
          <w:sz w:val="32"/>
          <w:szCs w:val="32"/>
          <w:highlight w:val="none"/>
        </w:rPr>
        <w:t>、授权委托书或法定代表人（单位负责人、自然人本人）身份证明</w:t>
      </w:r>
    </w:p>
    <w:p w14:paraId="684BE966">
      <w:pPr>
        <w:pStyle w:val="27"/>
        <w:widowControl w:val="0"/>
        <w:adjustRightInd w:val="0"/>
        <w:snapToGrid w:val="0"/>
        <w:spacing w:line="390" w:lineRule="atLeast"/>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授权委托书</w:t>
      </w:r>
    </w:p>
    <w:p w14:paraId="1051636A">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（采购人）、（采购代理机构）</w:t>
      </w:r>
      <w:r>
        <w:rPr>
          <w:rFonts w:hint="eastAsia" w:ascii="宋体" w:hAnsi="宋体" w:eastAsia="宋体" w:cs="宋体"/>
          <w:color w:val="auto"/>
          <w:sz w:val="24"/>
          <w:szCs w:val="24"/>
          <w:highlight w:val="none"/>
          <w:lang w:val="zh-CN"/>
        </w:rPr>
        <w:t>：</w:t>
      </w:r>
    </w:p>
    <w:p w14:paraId="5D46B990">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w:t>
      </w:r>
      <w:r>
        <w:rPr>
          <w:rFonts w:hint="eastAsia" w:ascii="宋体" w:hAnsi="宋体" w:eastAsia="宋体" w:cs="宋体"/>
          <w:color w:val="auto"/>
          <w:sz w:val="24"/>
          <w:szCs w:val="24"/>
          <w:highlight w:val="none"/>
          <w:lang w:val="zh-CN"/>
        </w:rPr>
        <w:t>委托</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（姓名）为我方代理人（身份证号码：</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，手机：</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），以我方名义处理</w:t>
      </w:r>
      <w:r>
        <w:rPr>
          <w:rFonts w:hint="eastAsia" w:ascii="宋体" w:hAnsi="宋体" w:eastAsia="宋体" w:cs="宋体"/>
          <w:color w:val="auto"/>
          <w:sz w:val="24"/>
          <w:szCs w:val="24"/>
          <w:highlight w:val="none"/>
          <w:u w:val="single"/>
        </w:rPr>
        <w:t>（项目名称）     （项目编号：</w:t>
      </w:r>
      <w:r>
        <w:rPr>
          <w:rFonts w:hint="eastAsia" w:ascii="宋体" w:hAnsi="宋体" w:eastAsia="宋体" w:cs="宋体"/>
          <w:color w:val="auto"/>
          <w:sz w:val="24"/>
          <w:szCs w:val="24"/>
          <w:highlight w:val="none"/>
          <w:lang w:val="zh-CN"/>
        </w:rPr>
        <w:t>）政府采购投标的一切事项，其法律后果由我方承担。</w:t>
      </w:r>
    </w:p>
    <w:p w14:paraId="7D7199F0">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委托期限：自   年 月  日起至  年  月  日止。</w:t>
      </w:r>
    </w:p>
    <w:p w14:paraId="7085F944">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特此告知。</w:t>
      </w:r>
    </w:p>
    <w:p w14:paraId="24B99054">
      <w:pPr>
        <w:pStyle w:val="30"/>
        <w:ind w:left="480" w:firstLine="480"/>
        <w:rPr>
          <w:rFonts w:hint="eastAsia" w:ascii="宋体" w:hAnsi="宋体" w:eastAsia="宋体" w:cs="宋体"/>
          <w:color w:val="auto"/>
          <w:sz w:val="24"/>
          <w:szCs w:val="24"/>
          <w:highlight w:val="none"/>
        </w:rPr>
      </w:pPr>
    </w:p>
    <w:p w14:paraId="5844CAA2">
      <w:pPr>
        <w:pStyle w:val="30"/>
        <w:ind w:left="480" w:firstLine="480"/>
        <w:rPr>
          <w:rFonts w:hint="eastAsia" w:ascii="宋体" w:hAnsi="宋体" w:eastAsia="宋体" w:cs="宋体"/>
          <w:color w:val="auto"/>
          <w:sz w:val="24"/>
          <w:szCs w:val="24"/>
          <w:highlight w:val="none"/>
        </w:rPr>
      </w:pPr>
    </w:p>
    <w:p w14:paraId="2B1B2037">
      <w:pPr>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附：授权代表身份证复印件（正反面）</w:t>
      </w:r>
    </w:p>
    <w:p w14:paraId="771CFF18">
      <w:pPr>
        <w:pStyle w:val="30"/>
        <w:ind w:left="480" w:firstLine="480"/>
        <w:rPr>
          <w:rFonts w:hint="eastAsia" w:ascii="宋体" w:hAnsi="宋体" w:eastAsia="宋体" w:cs="宋体"/>
          <w:color w:val="auto"/>
          <w:sz w:val="24"/>
          <w:szCs w:val="24"/>
          <w:highlight w:val="none"/>
        </w:rPr>
      </w:pPr>
    </w:p>
    <w:p w14:paraId="1FEB370D">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法定代表人身份证复印件（正反面）</w:t>
      </w:r>
    </w:p>
    <w:p w14:paraId="5C0A9198">
      <w:pPr>
        <w:pStyle w:val="27"/>
        <w:widowControl w:val="0"/>
        <w:adjustRightInd w:val="0"/>
        <w:snapToGrid w:val="0"/>
        <w:spacing w:line="480" w:lineRule="auto"/>
        <w:rPr>
          <w:rFonts w:hint="eastAsia" w:ascii="宋体" w:hAnsi="宋体" w:eastAsia="宋体" w:cs="宋体"/>
          <w:color w:val="auto"/>
          <w:sz w:val="24"/>
          <w:szCs w:val="24"/>
          <w:highlight w:val="none"/>
        </w:rPr>
      </w:pPr>
    </w:p>
    <w:p w14:paraId="69CF72F0">
      <w:pPr>
        <w:pStyle w:val="27"/>
        <w:widowControl w:val="0"/>
        <w:adjustRightInd w:val="0"/>
        <w:snapToGrid w:val="0"/>
        <w:spacing w:line="480" w:lineRule="auto"/>
        <w:rPr>
          <w:rFonts w:hint="eastAsia" w:ascii="宋体" w:hAnsi="宋体" w:eastAsia="宋体" w:cs="宋体"/>
          <w:color w:val="auto"/>
          <w:sz w:val="24"/>
          <w:szCs w:val="24"/>
          <w:highlight w:val="none"/>
        </w:rPr>
      </w:pPr>
    </w:p>
    <w:p w14:paraId="3A2524BF">
      <w:pPr>
        <w:snapToGrid w:val="0"/>
        <w:spacing w:line="360" w:lineRule="auto"/>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单位名称（电子签章）：</w:t>
      </w:r>
    </w:p>
    <w:p w14:paraId="46503FDF">
      <w:pPr>
        <w:snapToGrid w:val="0"/>
        <w:spacing w:line="360" w:lineRule="auto"/>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法定代表人签字（或盖章或电子签章）：</w:t>
      </w:r>
    </w:p>
    <w:p w14:paraId="27FF318F">
      <w:pPr>
        <w:pStyle w:val="30"/>
        <w:ind w:left="0" w:leftChars="0" w:firstLine="0" w:firstLineChars="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授权代表签字（或盖章或电子签章）：</w:t>
      </w:r>
    </w:p>
    <w:p w14:paraId="18C6A350">
      <w:pPr>
        <w:snapToGrid w:val="0"/>
        <w:spacing w:line="360" w:lineRule="auto"/>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p w14:paraId="60A0E775">
      <w:pPr>
        <w:snapToGrid w:val="0"/>
        <w:spacing w:line="360" w:lineRule="auto"/>
        <w:rPr>
          <w:rFonts w:hint="eastAsia" w:ascii="宋体" w:hAnsi="宋体" w:eastAsia="宋体" w:cs="宋体"/>
          <w:color w:val="auto"/>
          <w:highlight w:val="none"/>
        </w:rPr>
      </w:pPr>
    </w:p>
    <w:p w14:paraId="0A0184BF">
      <w:pPr>
        <w:snapToGrid w:val="0"/>
        <w:spacing w:line="360" w:lineRule="auto"/>
        <w:rPr>
          <w:rFonts w:hint="eastAsia" w:ascii="宋体" w:hAnsi="宋体" w:eastAsia="宋体" w:cs="宋体"/>
          <w:color w:val="auto"/>
          <w:highlight w:val="none"/>
        </w:rPr>
      </w:pPr>
    </w:p>
    <w:p w14:paraId="3E2809F1">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7911F9F4">
      <w:pPr>
        <w:pStyle w:val="30"/>
        <w:rPr>
          <w:rFonts w:hint="eastAsia"/>
          <w:color w:val="auto"/>
          <w:highlight w:val="none"/>
        </w:rPr>
      </w:pPr>
    </w:p>
    <w:p w14:paraId="751F5A18">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法定代表人、单位负责人或自然人本人的身份证明（适用于法定代表人、单位负责人或者自然人本人代表</w:t>
      </w:r>
      <w:r>
        <w:rPr>
          <w:rFonts w:hint="eastAsia" w:ascii="宋体" w:hAnsi="宋体" w:eastAsia="宋体" w:cs="宋体"/>
          <w:b/>
          <w:color w:val="auto"/>
          <w:sz w:val="32"/>
          <w:szCs w:val="32"/>
          <w:highlight w:val="none"/>
          <w:lang w:eastAsia="zh-CN"/>
        </w:rPr>
        <w:t>供应商</w:t>
      </w:r>
      <w:r>
        <w:rPr>
          <w:rFonts w:hint="eastAsia" w:ascii="宋体" w:hAnsi="宋体" w:eastAsia="宋体" w:cs="宋体"/>
          <w:b/>
          <w:color w:val="auto"/>
          <w:sz w:val="32"/>
          <w:szCs w:val="32"/>
          <w:highlight w:val="none"/>
        </w:rPr>
        <w:t>参加投标）</w:t>
      </w:r>
    </w:p>
    <w:p w14:paraId="78C8A9A2">
      <w:pPr>
        <w:shd w:val="clear" w:color="auto" w:fill="FFFFFF"/>
        <w:spacing w:before="100" w:beforeAutospacing="1" w:after="100" w:afterAutospacing="1" w:line="500" w:lineRule="atLeast"/>
        <w:ind w:firstLine="358"/>
        <w:jc w:val="center"/>
        <w:rPr>
          <w:rFonts w:hint="eastAsia" w:ascii="宋体" w:hAnsi="宋体" w:eastAsia="宋体" w:cs="宋体"/>
          <w:color w:val="auto"/>
          <w:szCs w:val="28"/>
          <w:highlight w:val="none"/>
        </w:rPr>
      </w:pPr>
    </w:p>
    <w:p w14:paraId="39BE06CD">
      <w:pPr>
        <w:spacing w:line="360" w:lineRule="auto"/>
        <w:jc w:val="center"/>
        <w:rPr>
          <w:rFonts w:hint="eastAsia" w:ascii="宋体" w:hAnsi="宋体" w:cs="宋体"/>
          <w:b/>
          <w:color w:val="auto"/>
          <w:sz w:val="28"/>
          <w:szCs w:val="28"/>
          <w:highlight w:val="none"/>
        </w:rPr>
      </w:pPr>
      <w:r>
        <w:rPr>
          <w:rFonts w:hint="eastAsia" w:ascii="宋体" w:hAnsi="宋体" w:cs="宋体"/>
          <w:b/>
          <w:color w:val="auto"/>
          <w:sz w:val="28"/>
          <w:szCs w:val="28"/>
          <w:highlight w:val="none"/>
        </w:rPr>
        <w:t>法定代表人</w:t>
      </w:r>
      <w:r>
        <w:rPr>
          <w:rFonts w:hint="eastAsia" w:ascii="宋体" w:hAnsi="宋体" w:cs="宋体"/>
          <w:b/>
          <w:color w:val="auto"/>
          <w:sz w:val="28"/>
          <w:szCs w:val="28"/>
          <w:highlight w:val="none"/>
          <w:lang w:eastAsia="zh-CN"/>
        </w:rPr>
        <w:t>（</w:t>
      </w:r>
      <w:r>
        <w:rPr>
          <w:rFonts w:hint="eastAsia" w:ascii="宋体" w:hAnsi="宋体" w:cs="宋体"/>
          <w:b/>
          <w:color w:val="auto"/>
          <w:sz w:val="28"/>
          <w:szCs w:val="28"/>
          <w:highlight w:val="none"/>
          <w:lang w:val="en-US" w:eastAsia="zh-CN"/>
        </w:rPr>
        <w:t>或</w:t>
      </w:r>
      <w:r>
        <w:rPr>
          <w:rFonts w:hint="eastAsia" w:ascii="宋体" w:hAnsi="宋体" w:eastAsia="宋体" w:cs="宋体"/>
          <w:b/>
          <w:color w:val="auto"/>
          <w:sz w:val="32"/>
          <w:szCs w:val="32"/>
          <w:highlight w:val="none"/>
        </w:rPr>
        <w:t>单位负责人</w:t>
      </w:r>
      <w:r>
        <w:rPr>
          <w:rFonts w:hint="eastAsia" w:ascii="宋体" w:hAnsi="宋体" w:cs="宋体"/>
          <w:b/>
          <w:color w:val="auto"/>
          <w:sz w:val="28"/>
          <w:szCs w:val="28"/>
          <w:highlight w:val="none"/>
          <w:lang w:eastAsia="zh-CN"/>
        </w:rPr>
        <w:t>）</w:t>
      </w:r>
      <w:r>
        <w:rPr>
          <w:rFonts w:hint="eastAsia" w:ascii="宋体" w:hAnsi="宋体" w:cs="宋体"/>
          <w:b/>
          <w:color w:val="auto"/>
          <w:sz w:val="28"/>
          <w:szCs w:val="28"/>
          <w:highlight w:val="none"/>
        </w:rPr>
        <w:t>身份证明</w:t>
      </w:r>
    </w:p>
    <w:p w14:paraId="382F7BC3">
      <w:pPr>
        <w:spacing w:line="360" w:lineRule="auto"/>
        <w:ind w:firstLine="420" w:firstLineChars="200"/>
        <w:rPr>
          <w:rFonts w:hint="eastAsia" w:ascii="宋体" w:hAnsi="宋体" w:cs="宋体"/>
          <w:color w:val="auto"/>
          <w:szCs w:val="21"/>
          <w:highlight w:val="none"/>
        </w:rPr>
      </w:pPr>
    </w:p>
    <w:p w14:paraId="058404C9">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投标人名称：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7B081ED1">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单位性质：</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0DC8E066">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地址：</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228AF83F">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成立时间：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6DE61A3B">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经营期限：</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05B7B6D2">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职务：</w:t>
      </w:r>
      <w:r>
        <w:rPr>
          <w:rFonts w:hint="eastAsia" w:ascii="宋体" w:hAnsi="宋体" w:cs="宋体"/>
          <w:color w:val="auto"/>
          <w:sz w:val="24"/>
          <w:szCs w:val="24"/>
          <w:highlight w:val="none"/>
          <w:u w:val="single"/>
        </w:rPr>
        <w:t xml:space="preserve">        </w:t>
      </w:r>
    </w:p>
    <w:p w14:paraId="3ADB3375">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系</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供应商</w:t>
      </w:r>
      <w:r>
        <w:rPr>
          <w:rFonts w:hint="eastAsia" w:ascii="宋体" w:hAnsi="宋体" w:cs="宋体"/>
          <w:color w:val="auto"/>
          <w:sz w:val="24"/>
          <w:szCs w:val="24"/>
          <w:highlight w:val="none"/>
        </w:rPr>
        <w:t>名称）的法定代表人</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或</w:t>
      </w:r>
      <w:r>
        <w:rPr>
          <w:rFonts w:hint="eastAsia" w:ascii="宋体" w:hAnsi="宋体" w:cs="宋体"/>
          <w:color w:val="auto"/>
          <w:sz w:val="24"/>
          <w:szCs w:val="24"/>
          <w:highlight w:val="none"/>
          <w:lang w:eastAsia="zh-CN"/>
        </w:rPr>
        <w:t>单位负责人）</w:t>
      </w:r>
      <w:r>
        <w:rPr>
          <w:rFonts w:hint="eastAsia" w:ascii="宋体" w:hAnsi="宋体" w:cs="宋体"/>
          <w:color w:val="auto"/>
          <w:sz w:val="24"/>
          <w:szCs w:val="24"/>
          <w:highlight w:val="none"/>
        </w:rPr>
        <w:t>。</w:t>
      </w:r>
    </w:p>
    <w:p w14:paraId="7EFF888C">
      <w:pPr>
        <w:spacing w:line="360" w:lineRule="auto"/>
        <w:ind w:firstLine="960" w:firstLineChars="400"/>
        <w:rPr>
          <w:rFonts w:hint="eastAsia" w:ascii="宋体" w:hAnsi="宋体" w:cs="宋体"/>
          <w:color w:val="auto"/>
          <w:sz w:val="24"/>
          <w:szCs w:val="24"/>
          <w:highlight w:val="none"/>
        </w:rPr>
      </w:pPr>
      <w:r>
        <w:rPr>
          <w:rFonts w:hint="eastAsia" w:ascii="宋体" w:hAnsi="宋体" w:cs="宋体"/>
          <w:color w:val="auto"/>
          <w:sz w:val="24"/>
          <w:szCs w:val="24"/>
          <w:highlight w:val="none"/>
        </w:rPr>
        <w:t>特此证明。</w:t>
      </w:r>
    </w:p>
    <w:p w14:paraId="1479367D">
      <w:pPr>
        <w:spacing w:line="360" w:lineRule="auto"/>
        <w:ind w:firstLine="480" w:firstLineChars="200"/>
        <w:rPr>
          <w:rFonts w:hint="eastAsia" w:ascii="宋体" w:hAnsi="宋体" w:cs="宋体"/>
          <w:color w:val="auto"/>
          <w:sz w:val="24"/>
          <w:szCs w:val="24"/>
          <w:highlight w:val="none"/>
        </w:rPr>
      </w:pPr>
    </w:p>
    <w:p w14:paraId="52BE47B6">
      <w:pPr>
        <w:spacing w:line="360" w:lineRule="auto"/>
        <w:jc w:val="right"/>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供应商</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（盖单位章）</w:t>
      </w:r>
    </w:p>
    <w:p w14:paraId="28A65F2D">
      <w:pPr>
        <w:spacing w:line="360" w:lineRule="auto"/>
        <w:ind w:firstLine="5160" w:firstLineChars="2150"/>
        <w:rPr>
          <w:rFonts w:hint="eastAsia" w:ascii="宋体" w:hAnsi="宋体" w:cs="宋体"/>
          <w:color w:val="auto"/>
          <w:sz w:val="24"/>
          <w:szCs w:val="24"/>
          <w:highlight w:val="none"/>
          <w:u w:val="single"/>
        </w:rPr>
      </w:pPr>
    </w:p>
    <w:p w14:paraId="7EDBD6E3">
      <w:pPr>
        <w:spacing w:line="360" w:lineRule="auto"/>
        <w:ind w:firstLine="5160" w:firstLineChars="2150"/>
        <w:jc w:val="right"/>
        <w:rPr>
          <w:rFonts w:hint="eastAsia" w:ascii="宋体" w:hAnsi="宋体" w:cs="宋体"/>
          <w:color w:val="auto"/>
          <w:sz w:val="24"/>
          <w:szCs w:val="24"/>
          <w:highlight w:val="none"/>
        </w:rPr>
      </w:pP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79E71440">
      <w:pPr>
        <w:shd w:val="clear" w:color="auto" w:fill="FFFFFF"/>
        <w:spacing w:before="100" w:beforeAutospacing="1" w:after="100" w:afterAutospacing="1" w:line="500" w:lineRule="atLeast"/>
        <w:jc w:val="center"/>
        <w:rPr>
          <w:rFonts w:hint="eastAsia" w:ascii="宋体" w:hAnsi="宋体" w:eastAsia="宋体" w:cs="宋体"/>
          <w:color w:val="auto"/>
          <w:sz w:val="24"/>
          <w:szCs w:val="36"/>
          <w:highlight w:val="none"/>
        </w:rPr>
      </w:pPr>
    </w:p>
    <w:p w14:paraId="1EDD8FEB">
      <w:pPr>
        <w:shd w:val="clear" w:color="auto" w:fill="FFFFFF"/>
        <w:spacing w:before="100" w:beforeAutospacing="1" w:after="100" w:afterAutospacing="1" w:line="500" w:lineRule="atLeast"/>
        <w:jc w:val="both"/>
        <w:rPr>
          <w:rFonts w:hint="eastAsia" w:ascii="宋体" w:hAnsi="宋体" w:eastAsia="宋体" w:cs="宋体"/>
          <w:color w:val="auto"/>
          <w:sz w:val="24"/>
          <w:szCs w:val="36"/>
          <w:highlight w:val="none"/>
          <w:lang w:eastAsia="zh-CN"/>
        </w:rPr>
      </w:pPr>
      <w:r>
        <w:rPr>
          <w:rFonts w:hint="eastAsia" w:ascii="宋体" w:hAnsi="宋体" w:cs="宋体"/>
          <w:color w:val="auto"/>
          <w:sz w:val="24"/>
          <w:szCs w:val="36"/>
          <w:highlight w:val="none"/>
          <w:lang w:val="en-US" w:eastAsia="zh-CN"/>
        </w:rPr>
        <w:t>注：自然人参加投标的，</w:t>
      </w:r>
      <w:r>
        <w:rPr>
          <w:rFonts w:hint="eastAsia" w:ascii="宋体" w:hAnsi="宋体" w:eastAsia="宋体" w:cs="宋体"/>
          <w:color w:val="auto"/>
          <w:sz w:val="24"/>
          <w:szCs w:val="36"/>
          <w:highlight w:val="none"/>
        </w:rPr>
        <w:t>仅提供身份证正反面即可</w:t>
      </w:r>
      <w:r>
        <w:rPr>
          <w:rFonts w:hint="eastAsia" w:ascii="宋体" w:hAnsi="宋体" w:cs="宋体"/>
          <w:color w:val="auto"/>
          <w:sz w:val="24"/>
          <w:szCs w:val="36"/>
          <w:highlight w:val="none"/>
          <w:lang w:eastAsia="zh-CN"/>
        </w:rPr>
        <w:t>。</w:t>
      </w:r>
    </w:p>
    <w:p w14:paraId="05ED9C82">
      <w:pPr>
        <w:pStyle w:val="30"/>
        <w:rPr>
          <w:rFonts w:hint="eastAsia" w:ascii="宋体" w:hAnsi="宋体" w:eastAsia="宋体" w:cs="宋体"/>
          <w:color w:val="auto"/>
          <w:szCs w:val="28"/>
          <w:highlight w:val="none"/>
        </w:rPr>
      </w:pPr>
    </w:p>
    <w:p w14:paraId="0BA847DE">
      <w:pP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br w:type="page"/>
      </w:r>
    </w:p>
    <w:p w14:paraId="420365D8">
      <w:pPr>
        <w:pStyle w:val="27"/>
        <w:widowControl w:val="0"/>
        <w:adjustRightInd w:val="0"/>
        <w:snapToGrid w:val="0"/>
        <w:spacing w:line="390" w:lineRule="atLeast"/>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四</w:t>
      </w:r>
      <w:r>
        <w:rPr>
          <w:rFonts w:hint="eastAsia" w:ascii="宋体" w:hAnsi="宋体" w:eastAsia="宋体" w:cs="宋体"/>
          <w:b/>
          <w:color w:val="auto"/>
          <w:sz w:val="32"/>
          <w:szCs w:val="32"/>
          <w:highlight w:val="none"/>
        </w:rPr>
        <w:t>、服务条款偏离表</w:t>
      </w:r>
    </w:p>
    <w:p w14:paraId="4B8B9435">
      <w:pPr>
        <w:pStyle w:val="27"/>
        <w:widowControl w:val="0"/>
        <w:adjustRightInd w:val="0"/>
        <w:snapToGrid w:val="0"/>
        <w:rPr>
          <w:rFonts w:hint="eastAsia" w:ascii="宋体" w:hAnsi="宋体" w:eastAsia="宋体" w:cs="宋体"/>
          <w:color w:val="auto"/>
          <w:highlight w:val="none"/>
        </w:rPr>
      </w:pPr>
      <w:r>
        <w:rPr>
          <w:rFonts w:hint="eastAsia" w:ascii="宋体" w:hAnsi="宋体" w:eastAsia="宋体" w:cs="宋体"/>
          <w:color w:val="auto"/>
          <w:highlight w:val="none"/>
        </w:rPr>
        <w:t xml:space="preserve"> </w:t>
      </w:r>
    </w:p>
    <w:tbl>
      <w:tblPr>
        <w:tblStyle w:val="31"/>
        <w:tblW w:w="9498"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3180"/>
        <w:gridCol w:w="2773"/>
        <w:gridCol w:w="1452"/>
        <w:gridCol w:w="1134"/>
      </w:tblGrid>
      <w:tr w14:paraId="71D23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59" w:type="dxa"/>
            <w:vAlign w:val="center"/>
          </w:tcPr>
          <w:p w14:paraId="10039E73">
            <w:pPr>
              <w:pStyle w:val="27"/>
              <w:widowControl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序号</w:t>
            </w:r>
          </w:p>
        </w:tc>
        <w:tc>
          <w:tcPr>
            <w:tcW w:w="3180" w:type="dxa"/>
            <w:vAlign w:val="center"/>
          </w:tcPr>
          <w:p w14:paraId="498E055F">
            <w:pPr>
              <w:pStyle w:val="27"/>
              <w:widowControl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u w:val="thick" w:color="FFFFFF"/>
                <w:lang w:eastAsia="zh-CN"/>
              </w:rPr>
              <w:t>采购文件</w:t>
            </w:r>
            <w:r>
              <w:rPr>
                <w:rFonts w:hint="eastAsia" w:ascii="宋体" w:hAnsi="宋体" w:eastAsia="宋体" w:cs="宋体"/>
                <w:color w:val="auto"/>
                <w:highlight w:val="none"/>
              </w:rPr>
              <w:t>要求</w:t>
            </w:r>
          </w:p>
        </w:tc>
        <w:tc>
          <w:tcPr>
            <w:tcW w:w="2773" w:type="dxa"/>
            <w:vAlign w:val="center"/>
          </w:tcPr>
          <w:p w14:paraId="5021BA43">
            <w:pPr>
              <w:pStyle w:val="27"/>
              <w:widowControl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投标响应内容</w:t>
            </w:r>
          </w:p>
        </w:tc>
        <w:tc>
          <w:tcPr>
            <w:tcW w:w="1452" w:type="dxa"/>
            <w:vAlign w:val="center"/>
          </w:tcPr>
          <w:p w14:paraId="55AD5822">
            <w:pPr>
              <w:pStyle w:val="27"/>
              <w:widowControl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偏离情况</w:t>
            </w:r>
          </w:p>
        </w:tc>
        <w:tc>
          <w:tcPr>
            <w:tcW w:w="1134" w:type="dxa"/>
            <w:vAlign w:val="center"/>
          </w:tcPr>
          <w:p w14:paraId="0A1F5DF7">
            <w:pPr>
              <w:pStyle w:val="27"/>
              <w:widowControl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备注</w:t>
            </w:r>
          </w:p>
        </w:tc>
      </w:tr>
      <w:tr w14:paraId="0AEFC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59" w:type="dxa"/>
            <w:vAlign w:val="center"/>
          </w:tcPr>
          <w:p w14:paraId="73D8E3BA">
            <w:pPr>
              <w:pStyle w:val="27"/>
              <w:widowControl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1</w:t>
            </w:r>
          </w:p>
        </w:tc>
        <w:tc>
          <w:tcPr>
            <w:tcW w:w="3180" w:type="dxa"/>
            <w:vAlign w:val="center"/>
          </w:tcPr>
          <w:p w14:paraId="37E1AF26">
            <w:pPr>
              <w:pStyle w:val="27"/>
              <w:widowControl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（服务</w:t>
            </w:r>
            <w:r>
              <w:rPr>
                <w:rFonts w:hint="eastAsia" w:cs="宋体"/>
                <w:color w:val="auto"/>
                <w:highlight w:val="none"/>
                <w:lang w:val="en-US" w:eastAsia="zh-CN"/>
              </w:rPr>
              <w:t>期限</w:t>
            </w:r>
            <w:r>
              <w:rPr>
                <w:rFonts w:hint="eastAsia" w:ascii="宋体" w:hAnsi="宋体" w:eastAsia="宋体" w:cs="宋体"/>
                <w:color w:val="auto"/>
                <w:highlight w:val="none"/>
              </w:rPr>
              <w:t>）</w:t>
            </w:r>
          </w:p>
        </w:tc>
        <w:tc>
          <w:tcPr>
            <w:tcW w:w="2773" w:type="dxa"/>
            <w:vAlign w:val="center"/>
          </w:tcPr>
          <w:p w14:paraId="2B39AF68">
            <w:pPr>
              <w:pStyle w:val="27"/>
              <w:widowControl w:val="0"/>
              <w:adjustRightInd w:val="0"/>
              <w:snapToGrid w:val="0"/>
              <w:jc w:val="both"/>
              <w:rPr>
                <w:rFonts w:hint="eastAsia" w:ascii="宋体" w:hAnsi="宋体" w:eastAsia="宋体" w:cs="宋体"/>
                <w:color w:val="auto"/>
                <w:highlight w:val="none"/>
              </w:rPr>
            </w:pPr>
          </w:p>
        </w:tc>
        <w:tc>
          <w:tcPr>
            <w:tcW w:w="1452" w:type="dxa"/>
            <w:vAlign w:val="center"/>
          </w:tcPr>
          <w:p w14:paraId="1D19F8BB">
            <w:pPr>
              <w:pStyle w:val="27"/>
              <w:widowControl w:val="0"/>
              <w:adjustRightInd w:val="0"/>
              <w:snapToGrid w:val="0"/>
              <w:jc w:val="center"/>
              <w:rPr>
                <w:rFonts w:hint="eastAsia" w:ascii="宋体" w:hAnsi="宋体" w:eastAsia="宋体" w:cs="宋体"/>
                <w:color w:val="auto"/>
                <w:highlight w:val="none"/>
              </w:rPr>
            </w:pPr>
          </w:p>
        </w:tc>
        <w:tc>
          <w:tcPr>
            <w:tcW w:w="1134" w:type="dxa"/>
            <w:vAlign w:val="center"/>
          </w:tcPr>
          <w:p w14:paraId="30D6EFB7">
            <w:pPr>
              <w:pStyle w:val="27"/>
              <w:widowControl w:val="0"/>
              <w:adjustRightInd w:val="0"/>
              <w:snapToGrid w:val="0"/>
              <w:jc w:val="both"/>
              <w:rPr>
                <w:rFonts w:hint="eastAsia" w:ascii="宋体" w:hAnsi="宋体" w:eastAsia="宋体" w:cs="宋体"/>
                <w:color w:val="auto"/>
                <w:highlight w:val="none"/>
              </w:rPr>
            </w:pPr>
          </w:p>
        </w:tc>
      </w:tr>
      <w:tr w14:paraId="4A708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59" w:type="dxa"/>
            <w:vAlign w:val="center"/>
          </w:tcPr>
          <w:p w14:paraId="4B5889C6">
            <w:pPr>
              <w:pStyle w:val="27"/>
              <w:widowControl w:val="0"/>
              <w:adjustRightInd w:val="0"/>
              <w:snapToGrid w:val="0"/>
              <w:jc w:val="center"/>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highlight w:val="none"/>
              </w:rPr>
              <w:t>2</w:t>
            </w:r>
          </w:p>
        </w:tc>
        <w:tc>
          <w:tcPr>
            <w:tcW w:w="3180" w:type="dxa"/>
            <w:vAlign w:val="center"/>
          </w:tcPr>
          <w:p w14:paraId="72D37C5F">
            <w:pPr>
              <w:pStyle w:val="27"/>
              <w:widowControl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rPr>
              <w:t>技术规范及要求</w:t>
            </w:r>
            <w:r>
              <w:rPr>
                <w:rFonts w:hint="eastAsia" w:ascii="宋体" w:hAnsi="宋体" w:eastAsia="宋体" w:cs="宋体"/>
                <w:color w:val="auto"/>
                <w:highlight w:val="none"/>
                <w:lang w:eastAsia="zh-CN"/>
              </w:rPr>
              <w:t>）</w:t>
            </w:r>
          </w:p>
        </w:tc>
        <w:tc>
          <w:tcPr>
            <w:tcW w:w="2773" w:type="dxa"/>
            <w:vAlign w:val="center"/>
          </w:tcPr>
          <w:p w14:paraId="301DB85D">
            <w:pPr>
              <w:pStyle w:val="27"/>
              <w:widowControl w:val="0"/>
              <w:adjustRightInd w:val="0"/>
              <w:snapToGrid w:val="0"/>
              <w:jc w:val="both"/>
              <w:rPr>
                <w:rFonts w:hint="eastAsia" w:ascii="宋体" w:hAnsi="宋体" w:eastAsia="宋体" w:cs="宋体"/>
                <w:color w:val="auto"/>
                <w:highlight w:val="none"/>
              </w:rPr>
            </w:pPr>
          </w:p>
        </w:tc>
        <w:tc>
          <w:tcPr>
            <w:tcW w:w="1452" w:type="dxa"/>
            <w:vAlign w:val="center"/>
          </w:tcPr>
          <w:p w14:paraId="4A0535A6">
            <w:pPr>
              <w:pStyle w:val="27"/>
              <w:widowControl w:val="0"/>
              <w:adjustRightInd w:val="0"/>
              <w:snapToGrid w:val="0"/>
              <w:jc w:val="center"/>
              <w:rPr>
                <w:rFonts w:hint="eastAsia" w:ascii="宋体" w:hAnsi="宋体" w:eastAsia="宋体" w:cs="宋体"/>
                <w:color w:val="auto"/>
                <w:highlight w:val="none"/>
              </w:rPr>
            </w:pPr>
          </w:p>
        </w:tc>
        <w:tc>
          <w:tcPr>
            <w:tcW w:w="1134" w:type="dxa"/>
            <w:vAlign w:val="center"/>
          </w:tcPr>
          <w:p w14:paraId="4CDCB642">
            <w:pPr>
              <w:pStyle w:val="27"/>
              <w:widowControl w:val="0"/>
              <w:adjustRightInd w:val="0"/>
              <w:snapToGrid w:val="0"/>
              <w:jc w:val="both"/>
              <w:rPr>
                <w:rFonts w:hint="eastAsia" w:ascii="宋体" w:hAnsi="宋体" w:eastAsia="宋体" w:cs="宋体"/>
                <w:color w:val="auto"/>
                <w:highlight w:val="none"/>
              </w:rPr>
            </w:pPr>
          </w:p>
        </w:tc>
      </w:tr>
      <w:tr w14:paraId="12A82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59" w:type="dxa"/>
            <w:vAlign w:val="center"/>
          </w:tcPr>
          <w:p w14:paraId="51480077">
            <w:pPr>
              <w:pStyle w:val="27"/>
              <w:widowControl w:val="0"/>
              <w:adjustRightInd w:val="0"/>
              <w:snapToGrid w:val="0"/>
              <w:jc w:val="center"/>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highlight w:val="none"/>
              </w:rPr>
              <w:t>3</w:t>
            </w:r>
          </w:p>
        </w:tc>
        <w:tc>
          <w:tcPr>
            <w:tcW w:w="3180" w:type="dxa"/>
            <w:vAlign w:val="center"/>
          </w:tcPr>
          <w:p w14:paraId="12F94B91">
            <w:pPr>
              <w:pStyle w:val="27"/>
              <w:widowControl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履约保证金</w:t>
            </w:r>
            <w:r>
              <w:rPr>
                <w:rFonts w:hint="eastAsia" w:ascii="宋体" w:hAnsi="宋体" w:eastAsia="宋体" w:cs="宋体"/>
                <w:color w:val="auto"/>
                <w:highlight w:val="none"/>
              </w:rPr>
              <w:t>）</w:t>
            </w:r>
          </w:p>
        </w:tc>
        <w:tc>
          <w:tcPr>
            <w:tcW w:w="2773" w:type="dxa"/>
            <w:vAlign w:val="center"/>
          </w:tcPr>
          <w:p w14:paraId="5ADE06E7">
            <w:pPr>
              <w:pStyle w:val="27"/>
              <w:widowControl w:val="0"/>
              <w:adjustRightInd w:val="0"/>
              <w:snapToGrid w:val="0"/>
              <w:jc w:val="both"/>
              <w:rPr>
                <w:rFonts w:hint="eastAsia" w:ascii="宋体" w:hAnsi="宋体" w:eastAsia="宋体" w:cs="宋体"/>
                <w:color w:val="auto"/>
                <w:highlight w:val="none"/>
              </w:rPr>
            </w:pPr>
          </w:p>
        </w:tc>
        <w:tc>
          <w:tcPr>
            <w:tcW w:w="1452" w:type="dxa"/>
            <w:vAlign w:val="center"/>
          </w:tcPr>
          <w:p w14:paraId="2558E792">
            <w:pPr>
              <w:pStyle w:val="27"/>
              <w:widowControl w:val="0"/>
              <w:adjustRightInd w:val="0"/>
              <w:snapToGrid w:val="0"/>
              <w:jc w:val="center"/>
              <w:rPr>
                <w:rFonts w:hint="eastAsia" w:ascii="宋体" w:hAnsi="宋体" w:eastAsia="宋体" w:cs="宋体"/>
                <w:color w:val="auto"/>
                <w:highlight w:val="none"/>
              </w:rPr>
            </w:pPr>
          </w:p>
        </w:tc>
        <w:tc>
          <w:tcPr>
            <w:tcW w:w="1134" w:type="dxa"/>
            <w:vAlign w:val="center"/>
          </w:tcPr>
          <w:p w14:paraId="1250560C">
            <w:pPr>
              <w:pStyle w:val="27"/>
              <w:widowControl w:val="0"/>
              <w:adjustRightInd w:val="0"/>
              <w:snapToGrid w:val="0"/>
              <w:jc w:val="both"/>
              <w:rPr>
                <w:rFonts w:hint="eastAsia" w:ascii="宋体" w:hAnsi="宋体" w:eastAsia="宋体" w:cs="宋体"/>
                <w:color w:val="auto"/>
                <w:highlight w:val="none"/>
              </w:rPr>
            </w:pPr>
          </w:p>
        </w:tc>
      </w:tr>
      <w:tr w14:paraId="60AD3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59" w:type="dxa"/>
            <w:vAlign w:val="center"/>
          </w:tcPr>
          <w:p w14:paraId="00D5A6BC">
            <w:pPr>
              <w:pStyle w:val="27"/>
              <w:widowControl w:val="0"/>
              <w:adjustRightInd w:val="0"/>
              <w:snapToGrid w:val="0"/>
              <w:jc w:val="center"/>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highlight w:val="none"/>
              </w:rPr>
              <w:t>4</w:t>
            </w:r>
          </w:p>
        </w:tc>
        <w:tc>
          <w:tcPr>
            <w:tcW w:w="3180" w:type="dxa"/>
            <w:vAlign w:val="center"/>
          </w:tcPr>
          <w:p w14:paraId="4E360EBD">
            <w:pPr>
              <w:pStyle w:val="27"/>
              <w:widowControl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（付款方式）</w:t>
            </w:r>
          </w:p>
        </w:tc>
        <w:tc>
          <w:tcPr>
            <w:tcW w:w="2773" w:type="dxa"/>
            <w:vAlign w:val="center"/>
          </w:tcPr>
          <w:p w14:paraId="00F8C47B">
            <w:pPr>
              <w:pStyle w:val="27"/>
              <w:widowControl w:val="0"/>
              <w:adjustRightInd w:val="0"/>
              <w:snapToGrid w:val="0"/>
              <w:jc w:val="both"/>
              <w:rPr>
                <w:rFonts w:hint="eastAsia" w:ascii="宋体" w:hAnsi="宋体" w:eastAsia="宋体" w:cs="宋体"/>
                <w:color w:val="auto"/>
                <w:highlight w:val="none"/>
              </w:rPr>
            </w:pPr>
          </w:p>
        </w:tc>
        <w:tc>
          <w:tcPr>
            <w:tcW w:w="1452" w:type="dxa"/>
            <w:vAlign w:val="center"/>
          </w:tcPr>
          <w:p w14:paraId="13C0575F">
            <w:pPr>
              <w:pStyle w:val="27"/>
              <w:widowControl w:val="0"/>
              <w:adjustRightInd w:val="0"/>
              <w:snapToGrid w:val="0"/>
              <w:jc w:val="both"/>
              <w:rPr>
                <w:rFonts w:hint="eastAsia" w:ascii="宋体" w:hAnsi="宋体" w:eastAsia="宋体" w:cs="宋体"/>
                <w:color w:val="auto"/>
                <w:highlight w:val="none"/>
              </w:rPr>
            </w:pPr>
          </w:p>
        </w:tc>
        <w:tc>
          <w:tcPr>
            <w:tcW w:w="1134" w:type="dxa"/>
            <w:vAlign w:val="center"/>
          </w:tcPr>
          <w:p w14:paraId="4E11B787">
            <w:pPr>
              <w:pStyle w:val="27"/>
              <w:widowControl w:val="0"/>
              <w:adjustRightInd w:val="0"/>
              <w:snapToGrid w:val="0"/>
              <w:jc w:val="both"/>
              <w:rPr>
                <w:rFonts w:hint="eastAsia" w:ascii="宋体" w:hAnsi="宋体" w:eastAsia="宋体" w:cs="宋体"/>
                <w:color w:val="auto"/>
                <w:highlight w:val="none"/>
              </w:rPr>
            </w:pPr>
          </w:p>
        </w:tc>
      </w:tr>
      <w:tr w14:paraId="19B5A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59" w:type="dxa"/>
            <w:vAlign w:val="center"/>
          </w:tcPr>
          <w:p w14:paraId="7F3ECDC2">
            <w:pPr>
              <w:pStyle w:val="27"/>
              <w:widowControl w:val="0"/>
              <w:adjustRightInd w:val="0"/>
              <w:snapToGrid w:val="0"/>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5</w:t>
            </w:r>
          </w:p>
        </w:tc>
        <w:tc>
          <w:tcPr>
            <w:tcW w:w="3180" w:type="dxa"/>
            <w:vAlign w:val="center"/>
          </w:tcPr>
          <w:p w14:paraId="71190815">
            <w:pPr>
              <w:pStyle w:val="27"/>
              <w:widowControl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w:t>
            </w:r>
          </w:p>
        </w:tc>
        <w:tc>
          <w:tcPr>
            <w:tcW w:w="2773" w:type="dxa"/>
            <w:vAlign w:val="center"/>
          </w:tcPr>
          <w:p w14:paraId="39CF2BB2">
            <w:pPr>
              <w:pStyle w:val="27"/>
              <w:widowControl w:val="0"/>
              <w:adjustRightInd w:val="0"/>
              <w:snapToGrid w:val="0"/>
              <w:jc w:val="both"/>
              <w:rPr>
                <w:rFonts w:hint="eastAsia" w:ascii="宋体" w:hAnsi="宋体" w:eastAsia="宋体" w:cs="宋体"/>
                <w:color w:val="auto"/>
                <w:highlight w:val="none"/>
              </w:rPr>
            </w:pPr>
          </w:p>
        </w:tc>
        <w:tc>
          <w:tcPr>
            <w:tcW w:w="1452" w:type="dxa"/>
            <w:vAlign w:val="center"/>
          </w:tcPr>
          <w:p w14:paraId="45BFBF6E">
            <w:pPr>
              <w:pStyle w:val="27"/>
              <w:widowControl w:val="0"/>
              <w:adjustRightInd w:val="0"/>
              <w:snapToGrid w:val="0"/>
              <w:jc w:val="both"/>
              <w:rPr>
                <w:rFonts w:hint="eastAsia" w:ascii="宋体" w:hAnsi="宋体" w:eastAsia="宋体" w:cs="宋体"/>
                <w:color w:val="auto"/>
                <w:highlight w:val="none"/>
              </w:rPr>
            </w:pPr>
          </w:p>
        </w:tc>
        <w:tc>
          <w:tcPr>
            <w:tcW w:w="1134" w:type="dxa"/>
            <w:vAlign w:val="center"/>
          </w:tcPr>
          <w:p w14:paraId="0E4367ED">
            <w:pPr>
              <w:pStyle w:val="27"/>
              <w:widowControl w:val="0"/>
              <w:adjustRightInd w:val="0"/>
              <w:snapToGrid w:val="0"/>
              <w:jc w:val="both"/>
              <w:rPr>
                <w:rFonts w:hint="eastAsia" w:ascii="宋体" w:hAnsi="宋体" w:eastAsia="宋体" w:cs="宋体"/>
                <w:color w:val="auto"/>
                <w:highlight w:val="none"/>
              </w:rPr>
            </w:pPr>
          </w:p>
        </w:tc>
      </w:tr>
      <w:tr w14:paraId="48DCD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59" w:type="dxa"/>
            <w:vAlign w:val="center"/>
          </w:tcPr>
          <w:p w14:paraId="3EA1293F">
            <w:pPr>
              <w:pStyle w:val="27"/>
              <w:widowControl w:val="0"/>
              <w:adjustRightInd w:val="0"/>
              <w:snapToGrid w:val="0"/>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6</w:t>
            </w:r>
          </w:p>
        </w:tc>
        <w:tc>
          <w:tcPr>
            <w:tcW w:w="3180" w:type="dxa"/>
            <w:vAlign w:val="center"/>
          </w:tcPr>
          <w:p w14:paraId="57EEBC0D">
            <w:pPr>
              <w:pStyle w:val="27"/>
              <w:widowControl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w:t>
            </w:r>
          </w:p>
        </w:tc>
        <w:tc>
          <w:tcPr>
            <w:tcW w:w="2773" w:type="dxa"/>
            <w:vAlign w:val="center"/>
          </w:tcPr>
          <w:p w14:paraId="7E0F0E68">
            <w:pPr>
              <w:pStyle w:val="27"/>
              <w:widowControl w:val="0"/>
              <w:adjustRightInd w:val="0"/>
              <w:snapToGrid w:val="0"/>
              <w:jc w:val="both"/>
              <w:rPr>
                <w:rFonts w:hint="eastAsia" w:ascii="宋体" w:hAnsi="宋体" w:eastAsia="宋体" w:cs="宋体"/>
                <w:color w:val="auto"/>
                <w:highlight w:val="none"/>
              </w:rPr>
            </w:pPr>
          </w:p>
        </w:tc>
        <w:tc>
          <w:tcPr>
            <w:tcW w:w="1452" w:type="dxa"/>
            <w:vAlign w:val="center"/>
          </w:tcPr>
          <w:p w14:paraId="6088FCE9">
            <w:pPr>
              <w:pStyle w:val="27"/>
              <w:widowControl w:val="0"/>
              <w:adjustRightInd w:val="0"/>
              <w:snapToGrid w:val="0"/>
              <w:jc w:val="both"/>
              <w:rPr>
                <w:rFonts w:hint="eastAsia" w:ascii="宋体" w:hAnsi="宋体" w:eastAsia="宋体" w:cs="宋体"/>
                <w:color w:val="auto"/>
                <w:highlight w:val="none"/>
              </w:rPr>
            </w:pPr>
          </w:p>
        </w:tc>
        <w:tc>
          <w:tcPr>
            <w:tcW w:w="1134" w:type="dxa"/>
            <w:vAlign w:val="center"/>
          </w:tcPr>
          <w:p w14:paraId="64E2E6BC">
            <w:pPr>
              <w:pStyle w:val="27"/>
              <w:widowControl w:val="0"/>
              <w:adjustRightInd w:val="0"/>
              <w:snapToGrid w:val="0"/>
              <w:jc w:val="both"/>
              <w:rPr>
                <w:rFonts w:hint="eastAsia" w:ascii="宋体" w:hAnsi="宋体" w:eastAsia="宋体" w:cs="宋体"/>
                <w:color w:val="auto"/>
                <w:highlight w:val="none"/>
              </w:rPr>
            </w:pPr>
          </w:p>
        </w:tc>
      </w:tr>
    </w:tbl>
    <w:p w14:paraId="04AA914C">
      <w:pPr>
        <w:pStyle w:val="15"/>
        <w:widowControl w:val="0"/>
        <w:adjustRightInd w:val="0"/>
        <w:snapToGrid w:val="0"/>
        <w:spacing w:before="0" w:beforeAutospacing="0" w:after="0" w:afterAutospacing="0" w:line="360" w:lineRule="auto"/>
        <w:rPr>
          <w:rFonts w:hint="eastAsia" w:ascii="宋体" w:hAnsi="宋体" w:eastAsia="宋体" w:cs="宋体"/>
          <w:color w:val="auto"/>
          <w:highlight w:val="none"/>
        </w:rPr>
      </w:pPr>
    </w:p>
    <w:p w14:paraId="4474B347">
      <w:pPr>
        <w:pStyle w:val="15"/>
        <w:widowControl w:val="0"/>
        <w:adjustRightInd w:val="0"/>
        <w:snapToGrid w:val="0"/>
        <w:spacing w:before="0" w:beforeAutospacing="0" w:after="0" w:afterAutospacing="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说明：1.</w:t>
      </w:r>
      <w:r>
        <w:rPr>
          <w:rFonts w:hint="eastAsia" w:ascii="宋体" w:hAnsi="宋体" w:eastAsia="宋体" w:cs="宋体"/>
          <w:b/>
          <w:color w:val="auto"/>
          <w:sz w:val="24"/>
          <w:szCs w:val="24"/>
          <w:highlight w:val="none"/>
          <w:lang w:eastAsia="zh-CN"/>
        </w:rPr>
        <w:t>供应商</w:t>
      </w:r>
      <w:r>
        <w:rPr>
          <w:rFonts w:hint="eastAsia" w:ascii="宋体" w:hAnsi="宋体" w:eastAsia="宋体" w:cs="宋体"/>
          <w:b/>
          <w:color w:val="auto"/>
          <w:sz w:val="24"/>
          <w:szCs w:val="24"/>
          <w:highlight w:val="none"/>
        </w:rPr>
        <w:t>拟提供的服务承诺与</w:t>
      </w:r>
      <w:r>
        <w:rPr>
          <w:rFonts w:hint="eastAsia" w:ascii="宋体" w:hAnsi="宋体" w:eastAsia="宋体" w:cs="宋体"/>
          <w:b/>
          <w:color w:val="auto"/>
          <w:sz w:val="24"/>
          <w:szCs w:val="24"/>
          <w:highlight w:val="none"/>
          <w:lang w:eastAsia="zh-CN"/>
        </w:rPr>
        <w:t>采购文件</w:t>
      </w:r>
      <w:r>
        <w:rPr>
          <w:rFonts w:hint="eastAsia" w:ascii="宋体" w:hAnsi="宋体" w:eastAsia="宋体" w:cs="宋体"/>
          <w:b/>
          <w:color w:val="auto"/>
          <w:sz w:val="24"/>
          <w:szCs w:val="24"/>
          <w:highlight w:val="none"/>
        </w:rPr>
        <w:t>中的要求不一致时，则必须在此表中予以明确。否则将视为</w:t>
      </w:r>
      <w:r>
        <w:rPr>
          <w:rFonts w:hint="eastAsia" w:ascii="宋体" w:hAnsi="宋体" w:eastAsia="宋体" w:cs="宋体"/>
          <w:b/>
          <w:color w:val="auto"/>
          <w:sz w:val="24"/>
          <w:szCs w:val="24"/>
          <w:highlight w:val="none"/>
          <w:lang w:eastAsia="zh-CN"/>
        </w:rPr>
        <w:t>供应商</w:t>
      </w:r>
      <w:r>
        <w:rPr>
          <w:rFonts w:hint="eastAsia" w:ascii="宋体" w:hAnsi="宋体" w:eastAsia="宋体" w:cs="宋体"/>
          <w:b/>
          <w:color w:val="auto"/>
          <w:sz w:val="24"/>
          <w:szCs w:val="24"/>
          <w:highlight w:val="none"/>
        </w:rPr>
        <w:t>完全响应</w:t>
      </w:r>
      <w:r>
        <w:rPr>
          <w:rFonts w:hint="eastAsia" w:ascii="宋体" w:hAnsi="宋体" w:eastAsia="宋体" w:cs="宋体"/>
          <w:b/>
          <w:color w:val="auto"/>
          <w:sz w:val="24"/>
          <w:szCs w:val="24"/>
          <w:highlight w:val="none"/>
          <w:lang w:eastAsia="zh-CN"/>
        </w:rPr>
        <w:t>采购文件</w:t>
      </w:r>
      <w:r>
        <w:rPr>
          <w:rFonts w:hint="eastAsia" w:ascii="宋体" w:hAnsi="宋体" w:eastAsia="宋体" w:cs="宋体"/>
          <w:b/>
          <w:color w:val="auto"/>
          <w:sz w:val="24"/>
          <w:szCs w:val="24"/>
          <w:highlight w:val="none"/>
        </w:rPr>
        <w:t>的要求，并以</w:t>
      </w:r>
      <w:r>
        <w:rPr>
          <w:rFonts w:hint="eastAsia" w:ascii="宋体" w:hAnsi="宋体" w:eastAsia="宋体" w:cs="宋体"/>
          <w:b/>
          <w:color w:val="auto"/>
          <w:sz w:val="24"/>
          <w:szCs w:val="24"/>
          <w:highlight w:val="none"/>
          <w:lang w:eastAsia="zh-CN"/>
        </w:rPr>
        <w:t>采购文件</w:t>
      </w:r>
      <w:r>
        <w:rPr>
          <w:rFonts w:hint="eastAsia" w:ascii="宋体" w:hAnsi="宋体" w:eastAsia="宋体" w:cs="宋体"/>
          <w:b/>
          <w:color w:val="auto"/>
          <w:sz w:val="24"/>
          <w:szCs w:val="24"/>
          <w:highlight w:val="none"/>
        </w:rPr>
        <w:t>作为合同条件。</w:t>
      </w:r>
      <w:r>
        <w:rPr>
          <w:rFonts w:hint="eastAsia" w:ascii="宋体" w:hAnsi="宋体" w:eastAsia="宋体" w:cs="宋体"/>
          <w:b/>
          <w:color w:val="auto"/>
          <w:sz w:val="24"/>
          <w:szCs w:val="24"/>
          <w:highlight w:val="none"/>
        </w:rPr>
        <w:br w:type="textWrapping"/>
      </w:r>
      <w:r>
        <w:rPr>
          <w:rFonts w:hint="eastAsia" w:ascii="宋体" w:hAnsi="宋体" w:eastAsia="宋体" w:cs="宋体"/>
          <w:b/>
          <w:color w:val="auto"/>
          <w:sz w:val="24"/>
          <w:szCs w:val="24"/>
          <w:highlight w:val="none"/>
        </w:rPr>
        <w:t>    2.偏离情况分别为：正偏离、无偏离或负偏离。</w:t>
      </w:r>
      <w:r>
        <w:rPr>
          <w:rFonts w:hint="eastAsia" w:ascii="宋体" w:hAnsi="宋体" w:eastAsia="宋体" w:cs="宋体"/>
          <w:b/>
          <w:color w:val="auto"/>
          <w:sz w:val="24"/>
          <w:szCs w:val="24"/>
          <w:highlight w:val="none"/>
          <w:lang w:eastAsia="zh-CN"/>
        </w:rPr>
        <w:t>供应商</w:t>
      </w:r>
      <w:r>
        <w:rPr>
          <w:rFonts w:hint="eastAsia" w:ascii="宋体" w:hAnsi="宋体" w:eastAsia="宋体" w:cs="宋体"/>
          <w:b/>
          <w:color w:val="auto"/>
          <w:sz w:val="24"/>
          <w:szCs w:val="24"/>
          <w:highlight w:val="none"/>
        </w:rPr>
        <w:t>可在备注栏内就偏离原因进行简要说明。</w:t>
      </w:r>
    </w:p>
    <w:p w14:paraId="3F5CB390">
      <w:pPr>
        <w:pStyle w:val="15"/>
        <w:widowControl w:val="0"/>
        <w:adjustRightInd w:val="0"/>
        <w:snapToGrid w:val="0"/>
        <w:spacing w:before="0" w:beforeAutospacing="0" w:after="0" w:afterAutospacing="0"/>
        <w:rPr>
          <w:rFonts w:hint="eastAsia" w:ascii="宋体" w:hAnsi="宋体" w:eastAsia="宋体" w:cs="宋体"/>
          <w:color w:val="auto"/>
          <w:sz w:val="24"/>
          <w:szCs w:val="22"/>
          <w:highlight w:val="none"/>
        </w:rPr>
      </w:pPr>
    </w:p>
    <w:p w14:paraId="415D7632">
      <w:pPr>
        <w:pStyle w:val="15"/>
        <w:widowControl w:val="0"/>
        <w:adjustRightInd w:val="0"/>
        <w:snapToGrid w:val="0"/>
        <w:spacing w:before="0" w:beforeAutospacing="0" w:after="0" w:afterAutospacing="0"/>
        <w:rPr>
          <w:rFonts w:hint="eastAsia" w:ascii="宋体" w:hAnsi="宋体" w:eastAsia="宋体" w:cs="宋体"/>
          <w:color w:val="auto"/>
          <w:sz w:val="24"/>
          <w:szCs w:val="22"/>
          <w:highlight w:val="none"/>
        </w:rPr>
      </w:pPr>
    </w:p>
    <w:p w14:paraId="05BB63C3">
      <w:pPr>
        <w:pStyle w:val="15"/>
        <w:widowControl w:val="0"/>
        <w:adjustRightInd w:val="0"/>
        <w:snapToGrid w:val="0"/>
        <w:spacing w:before="0" w:beforeAutospacing="0" w:after="0" w:afterAutospacing="0"/>
        <w:rPr>
          <w:rFonts w:hint="eastAsia" w:ascii="宋体" w:hAnsi="宋体" w:eastAsia="宋体" w:cs="宋体"/>
          <w:color w:val="auto"/>
          <w:sz w:val="24"/>
          <w:szCs w:val="22"/>
          <w:highlight w:val="none"/>
        </w:rPr>
      </w:pPr>
    </w:p>
    <w:p w14:paraId="6E878758">
      <w:pPr>
        <w:pStyle w:val="15"/>
        <w:widowControl w:val="0"/>
        <w:adjustRightInd w:val="0"/>
        <w:snapToGrid w:val="0"/>
        <w:spacing w:before="0" w:beforeAutospacing="0" w:after="0" w:afterAutospacing="0" w:line="360" w:lineRule="auto"/>
        <w:ind w:firstLine="3120" w:firstLineChars="1300"/>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lang w:eastAsia="zh-CN"/>
        </w:rPr>
        <w:t>供应商</w:t>
      </w:r>
      <w:r>
        <w:rPr>
          <w:rFonts w:hint="eastAsia" w:ascii="宋体" w:hAnsi="宋体" w:eastAsia="宋体" w:cs="宋体"/>
          <w:color w:val="auto"/>
          <w:sz w:val="24"/>
          <w:szCs w:val="22"/>
          <w:highlight w:val="none"/>
        </w:rPr>
        <w:t>（电子签章）：__________________________</w:t>
      </w:r>
    </w:p>
    <w:p w14:paraId="5F757EDE">
      <w:pPr>
        <w:shd w:val="clear" w:color="auto" w:fill="FFFFFF"/>
        <w:spacing w:before="100" w:beforeAutospacing="1" w:after="100" w:afterAutospacing="1" w:line="500" w:lineRule="atLeast"/>
        <w:ind w:firstLine="358"/>
        <w:jc w:val="center"/>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日期：____年____月____日</w:t>
      </w:r>
    </w:p>
    <w:p w14:paraId="2B545170">
      <w:pPr>
        <w:pStyle w:val="30"/>
        <w:rPr>
          <w:rFonts w:hint="eastAsia" w:ascii="宋体" w:hAnsi="宋体" w:eastAsia="宋体" w:cs="宋体"/>
          <w:color w:val="auto"/>
          <w:sz w:val="24"/>
          <w:szCs w:val="22"/>
          <w:highlight w:val="none"/>
        </w:rPr>
      </w:pPr>
    </w:p>
    <w:p w14:paraId="0A923CE3">
      <w:pPr>
        <w:rPr>
          <w:rFonts w:hint="eastAsia" w:hAnsi="宋体" w:cs="宋体"/>
          <w:b/>
          <w:color w:val="auto"/>
          <w:sz w:val="32"/>
          <w:szCs w:val="32"/>
          <w:highlight w:val="none"/>
          <w:lang w:val="en-US" w:eastAsia="zh-CN"/>
        </w:rPr>
      </w:pPr>
      <w:r>
        <w:rPr>
          <w:rFonts w:hint="eastAsia" w:hAnsi="宋体" w:cs="宋体"/>
          <w:b/>
          <w:color w:val="auto"/>
          <w:sz w:val="32"/>
          <w:szCs w:val="32"/>
          <w:highlight w:val="none"/>
          <w:lang w:val="en-US" w:eastAsia="zh-CN"/>
        </w:rPr>
        <w:br w:type="page"/>
      </w:r>
    </w:p>
    <w:p w14:paraId="0C0D3182">
      <w:pPr>
        <w:keepNext w:val="0"/>
        <w:keepLines w:val="0"/>
        <w:pageBreakBefore w:val="0"/>
        <w:kinsoku/>
        <w:overflowPunct/>
        <w:topLinePunct w:val="0"/>
        <w:autoSpaceDE/>
        <w:autoSpaceDN/>
        <w:bidi w:val="0"/>
        <w:adjustRightInd/>
        <w:spacing w:line="360" w:lineRule="auto"/>
        <w:jc w:val="center"/>
        <w:outlineLvl w:val="9"/>
        <w:rPr>
          <w:rFonts w:hint="eastAsia" w:ascii="宋体" w:hAnsi="宋体" w:eastAsia="宋体" w:cs="宋体"/>
          <w:b/>
          <w:bCs/>
          <w:i w:val="0"/>
          <w:iCs w:val="0"/>
          <w:color w:val="auto"/>
          <w:sz w:val="36"/>
          <w:szCs w:val="36"/>
          <w:highlight w:val="none"/>
        </w:rPr>
      </w:pPr>
      <w:r>
        <w:rPr>
          <w:rFonts w:hint="eastAsia" w:hAnsi="宋体" w:cs="宋体"/>
          <w:b/>
          <w:color w:val="auto"/>
          <w:sz w:val="32"/>
          <w:szCs w:val="32"/>
          <w:highlight w:val="none"/>
          <w:lang w:val="en-US" w:eastAsia="zh-CN"/>
        </w:rPr>
        <w:t>五</w:t>
      </w:r>
      <w:r>
        <w:rPr>
          <w:rFonts w:hint="eastAsia" w:ascii="宋体" w:hAnsi="宋体" w:eastAsia="宋体" w:cs="宋体"/>
          <w:b/>
          <w:color w:val="auto"/>
          <w:sz w:val="32"/>
          <w:szCs w:val="32"/>
          <w:highlight w:val="none"/>
        </w:rPr>
        <w:t>、</w:t>
      </w:r>
      <w:r>
        <w:rPr>
          <w:rFonts w:hint="eastAsia" w:ascii="宋体" w:hAnsi="宋体" w:eastAsia="宋体" w:cs="宋体"/>
          <w:b/>
          <w:bCs/>
          <w:i w:val="0"/>
          <w:iCs w:val="0"/>
          <w:color w:val="auto"/>
          <w:sz w:val="36"/>
          <w:szCs w:val="36"/>
          <w:highlight w:val="none"/>
        </w:rPr>
        <w:t>人员</w:t>
      </w:r>
      <w:r>
        <w:rPr>
          <w:rFonts w:hint="eastAsia" w:ascii="宋体" w:hAnsi="宋体" w:eastAsia="宋体" w:cs="宋体"/>
          <w:b/>
          <w:bCs/>
          <w:i w:val="0"/>
          <w:iCs w:val="0"/>
          <w:color w:val="auto"/>
          <w:sz w:val="36"/>
          <w:szCs w:val="36"/>
          <w:highlight w:val="none"/>
          <w:lang w:val="en-US" w:eastAsia="zh-CN"/>
        </w:rPr>
        <w:t>配备到位</w:t>
      </w:r>
      <w:r>
        <w:rPr>
          <w:rFonts w:hint="eastAsia" w:ascii="宋体" w:hAnsi="宋体" w:eastAsia="宋体" w:cs="宋体"/>
          <w:b/>
          <w:bCs/>
          <w:i w:val="0"/>
          <w:iCs w:val="0"/>
          <w:color w:val="auto"/>
          <w:sz w:val="36"/>
          <w:szCs w:val="36"/>
          <w:highlight w:val="none"/>
        </w:rPr>
        <w:t>承诺书</w:t>
      </w:r>
    </w:p>
    <w:p w14:paraId="67FBA126">
      <w:pPr>
        <w:keepNext w:val="0"/>
        <w:keepLines w:val="0"/>
        <w:pageBreakBefore w:val="0"/>
        <w:kinsoku/>
        <w:overflowPunct/>
        <w:topLinePunct w:val="0"/>
        <w:autoSpaceDE/>
        <w:autoSpaceDN/>
        <w:bidi w:val="0"/>
        <w:adjustRightInd/>
        <w:spacing w:line="360" w:lineRule="auto"/>
        <w:jc w:val="center"/>
        <w:outlineLvl w:val="9"/>
        <w:rPr>
          <w:rFonts w:hint="eastAsia" w:ascii="宋体" w:hAnsi="宋体" w:eastAsia="宋体" w:cs="宋体"/>
          <w:i w:val="0"/>
          <w:iCs w:val="0"/>
          <w:color w:val="auto"/>
          <w:sz w:val="24"/>
          <w:szCs w:val="24"/>
          <w:highlight w:val="none"/>
        </w:rPr>
      </w:pPr>
    </w:p>
    <w:p w14:paraId="0106B312">
      <w:pPr>
        <w:keepNext w:val="0"/>
        <w:keepLines w:val="0"/>
        <w:pageBreakBefore w:val="0"/>
        <w:kinsoku/>
        <w:overflowPunct/>
        <w:topLinePunct w:val="0"/>
        <w:autoSpaceDE/>
        <w:autoSpaceDN/>
        <w:bidi w:val="0"/>
        <w:adjustRightInd/>
        <w:spacing w:line="360" w:lineRule="auto"/>
        <w:outlineLvl w:val="9"/>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u w:val="single"/>
        </w:rPr>
        <w:t>（招标人名称）</w:t>
      </w:r>
      <w:r>
        <w:rPr>
          <w:rFonts w:hint="eastAsia" w:ascii="宋体" w:hAnsi="宋体" w:eastAsia="宋体" w:cs="宋体"/>
          <w:i w:val="0"/>
          <w:iCs w:val="0"/>
          <w:color w:val="auto"/>
          <w:sz w:val="24"/>
          <w:szCs w:val="24"/>
          <w:highlight w:val="none"/>
        </w:rPr>
        <w:t xml:space="preserve">: </w:t>
      </w:r>
    </w:p>
    <w:p w14:paraId="68ACDEAB">
      <w:pPr>
        <w:keepNext w:val="0"/>
        <w:keepLines w:val="0"/>
        <w:pageBreakBefore w:val="0"/>
        <w:kinsoku/>
        <w:overflowPunct/>
        <w:topLinePunct w:val="0"/>
        <w:autoSpaceDE/>
        <w:autoSpaceDN/>
        <w:bidi w:val="0"/>
        <w:adjustRightInd/>
        <w:spacing w:line="360" w:lineRule="auto"/>
        <w:ind w:firstLine="480" w:firstLineChars="200"/>
        <w:outlineLvl w:val="9"/>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我公司在收到</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招标文件后，经公司研究决定，如我公司中标作如下承诺：</w:t>
      </w:r>
    </w:p>
    <w:p w14:paraId="40BB126B">
      <w:pPr>
        <w:keepNext w:val="0"/>
        <w:keepLines w:val="0"/>
        <w:pageBreakBefore w:val="0"/>
        <w:kinsoku/>
        <w:overflowPunct/>
        <w:topLinePunct w:val="0"/>
        <w:autoSpaceDE/>
        <w:autoSpaceDN/>
        <w:bidi w:val="0"/>
        <w:adjustRightInd/>
        <w:spacing w:line="360" w:lineRule="auto"/>
        <w:ind w:firstLine="480" w:firstLineChars="200"/>
        <w:outlineLvl w:val="9"/>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lang w:val="en-US" w:eastAsia="zh-CN"/>
        </w:rPr>
        <w:t>施工人员及其他施工</w:t>
      </w:r>
      <w:r>
        <w:rPr>
          <w:rFonts w:hint="eastAsia" w:ascii="宋体" w:hAnsi="宋体" w:eastAsia="宋体" w:cs="宋体"/>
          <w:i w:val="0"/>
          <w:iCs w:val="0"/>
          <w:color w:val="auto"/>
          <w:sz w:val="24"/>
          <w:szCs w:val="24"/>
          <w:highlight w:val="none"/>
        </w:rPr>
        <w:t>管理人员配备承诺：</w:t>
      </w:r>
      <w:r>
        <w:rPr>
          <w:rFonts w:hint="eastAsia" w:ascii="宋体" w:hAnsi="宋体" w:eastAsia="宋体" w:cs="宋体"/>
          <w:i w:val="0"/>
          <w:iCs w:val="0"/>
          <w:color w:val="auto"/>
          <w:sz w:val="24"/>
          <w:szCs w:val="24"/>
          <w:highlight w:val="none"/>
          <w:u w:val="single"/>
        </w:rPr>
        <w:t>项目管理人员配备符合《金华市房屋建筑和市政基础设施工程施工项目部和现场监理部关键岗位人员配备标准及管理办法（试行）》要求，并缴纳社会保险</w:t>
      </w:r>
      <w:r>
        <w:rPr>
          <w:rFonts w:hint="eastAsia" w:ascii="宋体" w:hAnsi="宋体" w:eastAsia="宋体" w:cs="宋体"/>
          <w:i w:val="0"/>
          <w:iCs w:val="0"/>
          <w:color w:val="auto"/>
          <w:sz w:val="24"/>
          <w:szCs w:val="24"/>
          <w:highlight w:val="none"/>
          <w:u w:val="single"/>
          <w:lang w:eastAsia="zh-CN"/>
        </w:rPr>
        <w:t>，</w:t>
      </w:r>
      <w:r>
        <w:rPr>
          <w:rFonts w:hint="eastAsia" w:ascii="宋体" w:hAnsi="宋体" w:eastAsia="宋体" w:cs="宋体"/>
          <w:i w:val="0"/>
          <w:iCs w:val="0"/>
          <w:color w:val="auto"/>
          <w:kern w:val="2"/>
          <w:sz w:val="24"/>
          <w:szCs w:val="24"/>
          <w:highlight w:val="none"/>
          <w:u w:val="single"/>
          <w:lang w:val="en-US" w:eastAsia="zh-CN" w:bidi="ar-SA"/>
        </w:rPr>
        <w:t>月到位率达到21天以上，并按照招标文件要求提供符合特定资格条件的现场施工人员</w:t>
      </w:r>
      <w:r>
        <w:rPr>
          <w:rFonts w:hint="eastAsia" w:ascii="宋体" w:hAnsi="宋体" w:eastAsia="宋体" w:cs="宋体"/>
          <w:i w:val="0"/>
          <w:iCs w:val="0"/>
          <w:color w:val="auto"/>
          <w:sz w:val="24"/>
          <w:szCs w:val="24"/>
          <w:highlight w:val="none"/>
          <w:u w:val="single"/>
        </w:rPr>
        <w:t>。</w:t>
      </w:r>
    </w:p>
    <w:p w14:paraId="6DFEEAD1">
      <w:pPr>
        <w:keepNext w:val="0"/>
        <w:keepLines w:val="0"/>
        <w:pageBreakBefore w:val="0"/>
        <w:kinsoku/>
        <w:overflowPunct/>
        <w:topLinePunct w:val="0"/>
        <w:autoSpaceDE/>
        <w:autoSpaceDN/>
        <w:bidi w:val="0"/>
        <w:adjustRightInd/>
        <w:spacing w:line="360" w:lineRule="auto"/>
        <w:outlineLvl w:val="9"/>
        <w:rPr>
          <w:rFonts w:hint="eastAsia" w:ascii="宋体" w:hAnsi="宋体" w:eastAsia="宋体" w:cs="宋体"/>
          <w:i w:val="0"/>
          <w:iCs w:val="0"/>
          <w:color w:val="auto"/>
          <w:sz w:val="24"/>
          <w:szCs w:val="24"/>
          <w:highlight w:val="none"/>
        </w:rPr>
      </w:pPr>
    </w:p>
    <w:p w14:paraId="79E1265E">
      <w:pPr>
        <w:keepNext w:val="0"/>
        <w:keepLines w:val="0"/>
        <w:pageBreakBefore w:val="0"/>
        <w:kinsoku/>
        <w:overflowPunct/>
        <w:topLinePunct w:val="0"/>
        <w:autoSpaceDE/>
        <w:autoSpaceDN/>
        <w:bidi w:val="0"/>
        <w:adjustRightInd/>
        <w:spacing w:line="360" w:lineRule="auto"/>
        <w:ind w:firstLine="24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 xml:space="preserve">（单位盖章）： </w:t>
      </w:r>
      <w:r>
        <w:rPr>
          <w:rFonts w:hint="eastAsia" w:ascii="宋体" w:hAnsi="宋体" w:eastAsia="宋体" w:cs="宋体"/>
          <w:color w:val="auto"/>
          <w:sz w:val="24"/>
          <w:szCs w:val="24"/>
          <w:highlight w:val="none"/>
          <w:u w:val="single"/>
        </w:rPr>
        <w:t xml:space="preserve">                   </w:t>
      </w:r>
    </w:p>
    <w:p w14:paraId="4E7A0521">
      <w:pPr>
        <w:keepNext w:val="0"/>
        <w:keepLines w:val="0"/>
        <w:pageBreakBefore w:val="0"/>
        <w:kinsoku/>
        <w:overflowPunct/>
        <w:topLinePunct w:val="0"/>
        <w:autoSpaceDE/>
        <w:autoSpaceDN/>
        <w:bidi w:val="0"/>
        <w:adjustRightInd/>
        <w:spacing w:line="360" w:lineRule="auto"/>
        <w:ind w:firstLine="240"/>
        <w:jc w:val="center"/>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法定代表或委托代理人（签字或盖章）：</w:t>
      </w:r>
      <w:r>
        <w:rPr>
          <w:rFonts w:hint="eastAsia" w:ascii="宋体" w:hAnsi="宋体" w:eastAsia="宋体" w:cs="宋体"/>
          <w:color w:val="auto"/>
          <w:sz w:val="24"/>
          <w:szCs w:val="24"/>
          <w:highlight w:val="none"/>
          <w:u w:val="single"/>
        </w:rPr>
        <w:t xml:space="preserve">                  </w:t>
      </w:r>
    </w:p>
    <w:p w14:paraId="103C4667">
      <w:pPr>
        <w:jc w:val="right"/>
        <w:rPr>
          <w:rFonts w:hint="default"/>
          <w:lang w:val="en-US" w:eastAsia="zh-CN"/>
        </w:rPr>
      </w:pPr>
      <w:r>
        <w:rPr>
          <w:rFonts w:hint="eastAsia" w:ascii="宋体" w:hAnsi="宋体" w:eastAsia="宋体" w:cs="宋体"/>
          <w:i w:val="0"/>
          <w:iCs w:val="0"/>
          <w:color w:val="auto"/>
          <w:kern w:val="2"/>
          <w:sz w:val="24"/>
          <w:szCs w:val="24"/>
          <w:highlight w:val="none"/>
          <w:u w:val="single"/>
          <w:lang w:val="en-US" w:eastAsia="zh-CN" w:bidi="ar-SA"/>
        </w:rPr>
        <w:t xml:space="preserve">      </w:t>
      </w:r>
      <w:r>
        <w:rPr>
          <w:rFonts w:hint="eastAsia" w:ascii="宋体" w:hAnsi="宋体" w:eastAsia="宋体" w:cs="宋体"/>
          <w:i w:val="0"/>
          <w:iCs w:val="0"/>
          <w:color w:val="auto"/>
          <w:kern w:val="2"/>
          <w:sz w:val="24"/>
          <w:szCs w:val="24"/>
          <w:highlight w:val="none"/>
          <w:lang w:val="en-US" w:eastAsia="zh-CN" w:bidi="ar-SA"/>
        </w:rPr>
        <w:t xml:space="preserve">年 </w:t>
      </w:r>
      <w:r>
        <w:rPr>
          <w:rFonts w:hint="eastAsia" w:ascii="宋体" w:hAnsi="宋体" w:eastAsia="宋体" w:cs="宋体"/>
          <w:i w:val="0"/>
          <w:iCs w:val="0"/>
          <w:color w:val="auto"/>
          <w:kern w:val="2"/>
          <w:sz w:val="24"/>
          <w:szCs w:val="24"/>
          <w:highlight w:val="none"/>
          <w:u w:val="single"/>
          <w:lang w:val="en-US" w:eastAsia="zh-CN" w:bidi="ar-SA"/>
        </w:rPr>
        <w:t xml:space="preserve">    </w:t>
      </w:r>
      <w:r>
        <w:rPr>
          <w:rFonts w:hint="eastAsia" w:ascii="宋体" w:hAnsi="宋体" w:eastAsia="宋体" w:cs="宋体"/>
          <w:i w:val="0"/>
          <w:iCs w:val="0"/>
          <w:color w:val="auto"/>
          <w:kern w:val="2"/>
          <w:sz w:val="24"/>
          <w:szCs w:val="24"/>
          <w:highlight w:val="none"/>
          <w:lang w:val="en-US" w:eastAsia="zh-CN" w:bidi="ar-SA"/>
        </w:rPr>
        <w:t>月</w:t>
      </w:r>
      <w:r>
        <w:rPr>
          <w:rFonts w:hint="eastAsia" w:ascii="宋体" w:hAnsi="宋体" w:eastAsia="宋体" w:cs="宋体"/>
          <w:i w:val="0"/>
          <w:iCs w:val="0"/>
          <w:color w:val="auto"/>
          <w:kern w:val="2"/>
          <w:sz w:val="24"/>
          <w:szCs w:val="24"/>
          <w:highlight w:val="none"/>
          <w:u w:val="single"/>
          <w:lang w:val="en-US" w:eastAsia="zh-CN" w:bidi="ar-SA"/>
        </w:rPr>
        <w:t xml:space="preserve">     </w:t>
      </w:r>
      <w:r>
        <w:rPr>
          <w:rFonts w:hint="eastAsia" w:ascii="宋体" w:hAnsi="宋体" w:eastAsia="宋体" w:cs="宋体"/>
          <w:i w:val="0"/>
          <w:iCs w:val="0"/>
          <w:color w:val="auto"/>
          <w:kern w:val="2"/>
          <w:sz w:val="24"/>
          <w:szCs w:val="24"/>
          <w:highlight w:val="none"/>
          <w:lang w:val="en-US" w:eastAsia="zh-CN" w:bidi="ar-SA"/>
        </w:rPr>
        <w:t>日</w:t>
      </w:r>
    </w:p>
    <w:p w14:paraId="51D3DFEA">
      <w:pPr>
        <w:shd w:val="clear" w:color="auto" w:fill="FFFFFF"/>
        <w:spacing w:before="100" w:beforeAutospacing="1" w:after="100" w:afterAutospacing="1" w:line="500" w:lineRule="atLeast"/>
        <w:ind w:firstLine="358"/>
        <w:jc w:val="center"/>
        <w:rPr>
          <w:rFonts w:hint="eastAsia" w:ascii="宋体" w:hAnsi="宋体" w:eastAsia="宋体" w:cs="宋体"/>
          <w:color w:val="auto"/>
          <w:sz w:val="24"/>
          <w:szCs w:val="22"/>
          <w:highlight w:val="none"/>
        </w:rPr>
      </w:pPr>
    </w:p>
    <w:p w14:paraId="23E3D99C">
      <w:pPr>
        <w:pStyle w:val="30"/>
        <w:rPr>
          <w:rFonts w:hint="eastAsia" w:ascii="宋体" w:hAnsi="宋体" w:eastAsia="宋体" w:cs="宋体"/>
          <w:color w:val="auto"/>
          <w:sz w:val="24"/>
          <w:szCs w:val="22"/>
          <w:highlight w:val="none"/>
        </w:rPr>
      </w:pPr>
    </w:p>
    <w:p w14:paraId="26ADBA89">
      <w:pPr>
        <w:pStyle w:val="46"/>
        <w:rPr>
          <w:rFonts w:hint="eastAsia" w:ascii="宋体" w:hAnsi="宋体" w:eastAsia="宋体" w:cs="宋体"/>
          <w:color w:val="auto"/>
          <w:sz w:val="24"/>
          <w:szCs w:val="22"/>
          <w:highlight w:val="none"/>
        </w:rPr>
      </w:pPr>
    </w:p>
    <w:p w14:paraId="0F58C950">
      <w:pPr>
        <w:rPr>
          <w:rFonts w:hint="eastAsia" w:ascii="宋体" w:hAnsi="宋体" w:cs="宋体"/>
          <w:b/>
          <w:color w:val="auto"/>
          <w:sz w:val="32"/>
          <w:szCs w:val="32"/>
          <w:highlight w:val="none"/>
          <w:lang w:val="en-US" w:eastAsia="zh-CN"/>
        </w:rPr>
      </w:pPr>
      <w:r>
        <w:rPr>
          <w:rFonts w:hint="eastAsia" w:ascii="宋体" w:hAnsi="宋体" w:cs="宋体"/>
          <w:b/>
          <w:color w:val="auto"/>
          <w:sz w:val="32"/>
          <w:szCs w:val="32"/>
          <w:highlight w:val="none"/>
          <w:lang w:val="en-US" w:eastAsia="zh-CN"/>
        </w:rPr>
        <w:br w:type="page"/>
      </w:r>
    </w:p>
    <w:p w14:paraId="78630D32">
      <w:pPr>
        <w:adjustRightInd w:val="0"/>
        <w:snapToGrid w:val="0"/>
        <w:spacing w:before="100" w:beforeAutospacing="1" w:after="100" w:afterAutospacing="1"/>
        <w:jc w:val="center"/>
        <w:rPr>
          <w:rFonts w:hint="eastAsia" w:ascii="宋体" w:hAnsi="宋体" w:eastAsia="宋体" w:cs="宋体"/>
          <w:b/>
          <w:color w:val="auto"/>
          <w:sz w:val="32"/>
          <w:szCs w:val="32"/>
          <w:highlight w:val="none"/>
        </w:rPr>
      </w:pPr>
      <w:r>
        <w:rPr>
          <w:rFonts w:hint="eastAsia" w:ascii="宋体" w:hAnsi="宋体" w:cs="宋体"/>
          <w:b/>
          <w:color w:val="auto"/>
          <w:sz w:val="32"/>
          <w:szCs w:val="32"/>
          <w:highlight w:val="none"/>
          <w:lang w:val="en-US" w:eastAsia="zh-CN"/>
        </w:rPr>
        <w:t>六</w:t>
      </w:r>
      <w:r>
        <w:rPr>
          <w:rFonts w:hint="eastAsia" w:ascii="宋体" w:hAnsi="宋体" w:eastAsia="宋体" w:cs="宋体"/>
          <w:b/>
          <w:color w:val="auto"/>
          <w:sz w:val="32"/>
          <w:szCs w:val="32"/>
          <w:highlight w:val="none"/>
        </w:rPr>
        <w:t>、拟投入本项目的设备明细表（如有）</w:t>
      </w:r>
    </w:p>
    <w:p w14:paraId="587060AE">
      <w:pPr>
        <w:pStyle w:val="30"/>
        <w:rPr>
          <w:rFonts w:hint="eastAsia"/>
          <w:color w:val="auto"/>
          <w:highlight w:val="none"/>
        </w:rPr>
      </w:pPr>
    </w:p>
    <w:tbl>
      <w:tblPr>
        <w:tblStyle w:val="31"/>
        <w:tblW w:w="908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644"/>
        <w:gridCol w:w="2835"/>
        <w:gridCol w:w="1353"/>
        <w:gridCol w:w="1353"/>
      </w:tblGrid>
      <w:tr w14:paraId="714B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trPr>
        <w:tc>
          <w:tcPr>
            <w:tcW w:w="900" w:type="dxa"/>
            <w:tcBorders>
              <w:top w:val="single" w:color="auto" w:sz="4" w:space="0"/>
              <w:left w:val="single" w:color="auto" w:sz="4" w:space="0"/>
              <w:bottom w:val="single" w:color="auto" w:sz="4" w:space="0"/>
              <w:right w:val="single" w:color="auto" w:sz="4" w:space="0"/>
            </w:tcBorders>
            <w:vAlign w:val="center"/>
          </w:tcPr>
          <w:p w14:paraId="4CC1794B">
            <w:pPr>
              <w:adjustRightInd w:val="0"/>
              <w:snapToGrid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序号</w:t>
            </w:r>
          </w:p>
        </w:tc>
        <w:tc>
          <w:tcPr>
            <w:tcW w:w="2644" w:type="dxa"/>
            <w:tcBorders>
              <w:top w:val="single" w:color="auto" w:sz="4" w:space="0"/>
              <w:left w:val="single" w:color="auto" w:sz="4" w:space="0"/>
              <w:bottom w:val="single" w:color="auto" w:sz="4" w:space="0"/>
              <w:right w:val="single" w:color="auto" w:sz="4" w:space="0"/>
            </w:tcBorders>
            <w:vAlign w:val="center"/>
          </w:tcPr>
          <w:p w14:paraId="30D5CC6C">
            <w:pPr>
              <w:adjustRightInd w:val="0"/>
              <w:snapToGrid w:val="0"/>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名称</w:t>
            </w:r>
          </w:p>
        </w:tc>
        <w:tc>
          <w:tcPr>
            <w:tcW w:w="2835" w:type="dxa"/>
            <w:tcBorders>
              <w:top w:val="single" w:color="auto" w:sz="4" w:space="0"/>
              <w:left w:val="single" w:color="auto" w:sz="4" w:space="0"/>
              <w:bottom w:val="single" w:color="auto" w:sz="4" w:space="0"/>
              <w:right w:val="single" w:color="auto" w:sz="4" w:space="0"/>
            </w:tcBorders>
            <w:vAlign w:val="center"/>
          </w:tcPr>
          <w:p w14:paraId="471523A4">
            <w:pPr>
              <w:adjustRightInd w:val="0"/>
              <w:snapToGrid w:val="0"/>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规格型号</w:t>
            </w:r>
          </w:p>
        </w:tc>
        <w:tc>
          <w:tcPr>
            <w:tcW w:w="1353" w:type="dxa"/>
            <w:tcBorders>
              <w:top w:val="single" w:color="auto" w:sz="4" w:space="0"/>
              <w:left w:val="single" w:color="auto" w:sz="4" w:space="0"/>
              <w:bottom w:val="single" w:color="auto" w:sz="4" w:space="0"/>
              <w:right w:val="single" w:color="auto" w:sz="4" w:space="0"/>
            </w:tcBorders>
            <w:vAlign w:val="center"/>
          </w:tcPr>
          <w:p w14:paraId="4CC7D0BD">
            <w:pPr>
              <w:adjustRightInd w:val="0"/>
              <w:snapToGrid w:val="0"/>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数量</w:t>
            </w:r>
          </w:p>
        </w:tc>
        <w:tc>
          <w:tcPr>
            <w:tcW w:w="1353" w:type="dxa"/>
            <w:tcBorders>
              <w:top w:val="single" w:color="auto" w:sz="4" w:space="0"/>
              <w:left w:val="single" w:color="auto" w:sz="4" w:space="0"/>
              <w:bottom w:val="single" w:color="auto" w:sz="4" w:space="0"/>
              <w:right w:val="single" w:color="auto" w:sz="4" w:space="0"/>
            </w:tcBorders>
            <w:vAlign w:val="center"/>
          </w:tcPr>
          <w:p w14:paraId="362BF775">
            <w:pPr>
              <w:adjustRightInd w:val="0"/>
              <w:snapToGrid w:val="0"/>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备注</w:t>
            </w:r>
          </w:p>
        </w:tc>
      </w:tr>
      <w:tr w14:paraId="14E51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trPr>
        <w:tc>
          <w:tcPr>
            <w:tcW w:w="900" w:type="dxa"/>
            <w:tcBorders>
              <w:top w:val="single" w:color="auto" w:sz="4" w:space="0"/>
              <w:left w:val="single" w:color="auto" w:sz="4" w:space="0"/>
              <w:bottom w:val="single" w:color="auto" w:sz="4" w:space="0"/>
              <w:right w:val="single" w:color="auto" w:sz="4" w:space="0"/>
            </w:tcBorders>
            <w:vAlign w:val="center"/>
          </w:tcPr>
          <w:p w14:paraId="3D38DE71">
            <w:pPr>
              <w:adjustRightInd w:val="0"/>
              <w:snapToGrid w:val="0"/>
              <w:spacing w:line="360" w:lineRule="auto"/>
              <w:rPr>
                <w:rFonts w:hint="eastAsia" w:ascii="宋体" w:hAnsi="宋体" w:eastAsia="宋体" w:cs="宋体"/>
                <w:color w:val="auto"/>
                <w:highlight w:val="none"/>
              </w:rPr>
            </w:pPr>
          </w:p>
        </w:tc>
        <w:tc>
          <w:tcPr>
            <w:tcW w:w="2644" w:type="dxa"/>
            <w:tcBorders>
              <w:top w:val="single" w:color="auto" w:sz="4" w:space="0"/>
              <w:left w:val="single" w:color="auto" w:sz="4" w:space="0"/>
              <w:bottom w:val="single" w:color="auto" w:sz="4" w:space="0"/>
              <w:right w:val="single" w:color="auto" w:sz="4" w:space="0"/>
            </w:tcBorders>
            <w:vAlign w:val="center"/>
          </w:tcPr>
          <w:p w14:paraId="05A5B2B2">
            <w:pPr>
              <w:adjustRightInd w:val="0"/>
              <w:snapToGrid w:val="0"/>
              <w:spacing w:line="360" w:lineRule="auto"/>
              <w:rPr>
                <w:rFonts w:hint="eastAsia" w:ascii="宋体" w:hAnsi="宋体" w:eastAsia="宋体" w:cs="宋体"/>
                <w:color w:val="auto"/>
                <w:highlight w:val="none"/>
              </w:rPr>
            </w:pPr>
          </w:p>
        </w:tc>
        <w:tc>
          <w:tcPr>
            <w:tcW w:w="2835" w:type="dxa"/>
            <w:tcBorders>
              <w:top w:val="single" w:color="auto" w:sz="4" w:space="0"/>
              <w:left w:val="single" w:color="auto" w:sz="4" w:space="0"/>
              <w:bottom w:val="single" w:color="auto" w:sz="4" w:space="0"/>
              <w:right w:val="single" w:color="auto" w:sz="4" w:space="0"/>
            </w:tcBorders>
            <w:vAlign w:val="center"/>
          </w:tcPr>
          <w:p w14:paraId="20F46DDA">
            <w:pPr>
              <w:adjustRightInd w:val="0"/>
              <w:snapToGrid w:val="0"/>
              <w:spacing w:line="360" w:lineRule="auto"/>
              <w:rPr>
                <w:rFonts w:hint="eastAsia" w:ascii="宋体" w:hAnsi="宋体" w:eastAsia="宋体" w:cs="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vAlign w:val="center"/>
          </w:tcPr>
          <w:p w14:paraId="61B1EFB6">
            <w:pPr>
              <w:adjustRightInd w:val="0"/>
              <w:snapToGrid w:val="0"/>
              <w:spacing w:line="360" w:lineRule="auto"/>
              <w:rPr>
                <w:rFonts w:hint="eastAsia" w:ascii="宋体" w:hAnsi="宋体" w:eastAsia="宋体" w:cs="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vAlign w:val="center"/>
          </w:tcPr>
          <w:p w14:paraId="2298654D">
            <w:pPr>
              <w:adjustRightInd w:val="0"/>
              <w:snapToGrid w:val="0"/>
              <w:spacing w:line="360" w:lineRule="auto"/>
              <w:rPr>
                <w:rFonts w:hint="eastAsia" w:ascii="宋体" w:hAnsi="宋体" w:eastAsia="宋体" w:cs="宋体"/>
                <w:color w:val="auto"/>
                <w:highlight w:val="none"/>
              </w:rPr>
            </w:pPr>
          </w:p>
        </w:tc>
      </w:tr>
      <w:tr w14:paraId="31DEC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trPr>
        <w:tc>
          <w:tcPr>
            <w:tcW w:w="900" w:type="dxa"/>
            <w:tcBorders>
              <w:top w:val="single" w:color="auto" w:sz="4" w:space="0"/>
              <w:left w:val="single" w:color="auto" w:sz="4" w:space="0"/>
              <w:bottom w:val="single" w:color="auto" w:sz="4" w:space="0"/>
              <w:right w:val="single" w:color="auto" w:sz="4" w:space="0"/>
            </w:tcBorders>
            <w:vAlign w:val="center"/>
          </w:tcPr>
          <w:p w14:paraId="05ACB981">
            <w:pPr>
              <w:spacing w:before="100" w:beforeAutospacing="1" w:after="100" w:afterAutospacing="1"/>
              <w:rPr>
                <w:rFonts w:hint="eastAsia" w:ascii="宋体" w:hAnsi="宋体" w:eastAsia="宋体" w:cs="宋体"/>
                <w:color w:val="auto"/>
                <w:highlight w:val="none"/>
              </w:rPr>
            </w:pPr>
          </w:p>
        </w:tc>
        <w:tc>
          <w:tcPr>
            <w:tcW w:w="2644" w:type="dxa"/>
            <w:tcBorders>
              <w:top w:val="single" w:color="auto" w:sz="4" w:space="0"/>
              <w:left w:val="single" w:color="auto" w:sz="4" w:space="0"/>
              <w:bottom w:val="single" w:color="auto" w:sz="4" w:space="0"/>
              <w:right w:val="single" w:color="auto" w:sz="4" w:space="0"/>
            </w:tcBorders>
            <w:vAlign w:val="center"/>
          </w:tcPr>
          <w:p w14:paraId="5337A8FF">
            <w:pPr>
              <w:spacing w:before="100" w:beforeAutospacing="1" w:after="100" w:afterAutospacing="1"/>
              <w:rPr>
                <w:rFonts w:hint="eastAsia" w:ascii="宋体" w:hAnsi="宋体" w:eastAsia="宋体" w:cs="宋体"/>
                <w:color w:val="auto"/>
                <w:highlight w:val="none"/>
              </w:rPr>
            </w:pPr>
          </w:p>
        </w:tc>
        <w:tc>
          <w:tcPr>
            <w:tcW w:w="2835" w:type="dxa"/>
            <w:tcBorders>
              <w:top w:val="single" w:color="auto" w:sz="4" w:space="0"/>
              <w:left w:val="single" w:color="auto" w:sz="4" w:space="0"/>
              <w:bottom w:val="single" w:color="auto" w:sz="4" w:space="0"/>
              <w:right w:val="single" w:color="auto" w:sz="4" w:space="0"/>
            </w:tcBorders>
            <w:vAlign w:val="center"/>
          </w:tcPr>
          <w:p w14:paraId="7DA8A02C">
            <w:pPr>
              <w:spacing w:before="100" w:beforeAutospacing="1" w:after="100" w:afterAutospacing="1"/>
              <w:rPr>
                <w:rFonts w:hint="eastAsia" w:ascii="宋体" w:hAnsi="宋体" w:eastAsia="宋体" w:cs="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vAlign w:val="center"/>
          </w:tcPr>
          <w:p w14:paraId="33A8A2AA">
            <w:pPr>
              <w:spacing w:before="100" w:beforeAutospacing="1" w:after="100" w:afterAutospacing="1"/>
              <w:rPr>
                <w:rFonts w:hint="eastAsia" w:ascii="宋体" w:hAnsi="宋体" w:eastAsia="宋体" w:cs="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vAlign w:val="center"/>
          </w:tcPr>
          <w:p w14:paraId="715B3A17">
            <w:pPr>
              <w:spacing w:before="100" w:beforeAutospacing="1" w:after="100" w:afterAutospacing="1"/>
              <w:rPr>
                <w:rFonts w:hint="eastAsia" w:ascii="宋体" w:hAnsi="宋体" w:eastAsia="宋体" w:cs="宋体"/>
                <w:color w:val="auto"/>
                <w:highlight w:val="none"/>
              </w:rPr>
            </w:pPr>
          </w:p>
        </w:tc>
      </w:tr>
      <w:tr w14:paraId="00308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trPr>
        <w:tc>
          <w:tcPr>
            <w:tcW w:w="900" w:type="dxa"/>
            <w:tcBorders>
              <w:top w:val="single" w:color="auto" w:sz="4" w:space="0"/>
              <w:left w:val="single" w:color="auto" w:sz="4" w:space="0"/>
              <w:bottom w:val="single" w:color="auto" w:sz="4" w:space="0"/>
              <w:right w:val="single" w:color="auto" w:sz="4" w:space="0"/>
            </w:tcBorders>
            <w:vAlign w:val="center"/>
          </w:tcPr>
          <w:p w14:paraId="72983266">
            <w:pPr>
              <w:spacing w:before="100" w:beforeAutospacing="1" w:after="100" w:afterAutospacing="1"/>
              <w:rPr>
                <w:rFonts w:hint="eastAsia" w:ascii="宋体" w:hAnsi="宋体" w:eastAsia="宋体" w:cs="宋体"/>
                <w:color w:val="auto"/>
                <w:highlight w:val="none"/>
              </w:rPr>
            </w:pPr>
          </w:p>
        </w:tc>
        <w:tc>
          <w:tcPr>
            <w:tcW w:w="2644" w:type="dxa"/>
            <w:tcBorders>
              <w:top w:val="single" w:color="auto" w:sz="4" w:space="0"/>
              <w:left w:val="single" w:color="auto" w:sz="4" w:space="0"/>
              <w:bottom w:val="single" w:color="auto" w:sz="4" w:space="0"/>
              <w:right w:val="single" w:color="auto" w:sz="4" w:space="0"/>
            </w:tcBorders>
            <w:vAlign w:val="center"/>
          </w:tcPr>
          <w:p w14:paraId="77652150">
            <w:pPr>
              <w:spacing w:before="100" w:beforeAutospacing="1" w:after="100" w:afterAutospacing="1"/>
              <w:rPr>
                <w:rFonts w:hint="eastAsia" w:ascii="宋体" w:hAnsi="宋体" w:eastAsia="宋体" w:cs="宋体"/>
                <w:color w:val="auto"/>
                <w:highlight w:val="none"/>
              </w:rPr>
            </w:pPr>
          </w:p>
        </w:tc>
        <w:tc>
          <w:tcPr>
            <w:tcW w:w="2835" w:type="dxa"/>
            <w:tcBorders>
              <w:top w:val="single" w:color="auto" w:sz="4" w:space="0"/>
              <w:left w:val="single" w:color="auto" w:sz="4" w:space="0"/>
              <w:bottom w:val="single" w:color="auto" w:sz="4" w:space="0"/>
              <w:right w:val="single" w:color="auto" w:sz="4" w:space="0"/>
            </w:tcBorders>
            <w:vAlign w:val="center"/>
          </w:tcPr>
          <w:p w14:paraId="005B20BB">
            <w:pPr>
              <w:spacing w:before="100" w:beforeAutospacing="1" w:after="100" w:afterAutospacing="1"/>
              <w:rPr>
                <w:rFonts w:hint="eastAsia" w:ascii="宋体" w:hAnsi="宋体" w:eastAsia="宋体" w:cs="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vAlign w:val="center"/>
          </w:tcPr>
          <w:p w14:paraId="0DC672F2">
            <w:pPr>
              <w:spacing w:before="100" w:beforeAutospacing="1" w:after="100" w:afterAutospacing="1"/>
              <w:rPr>
                <w:rFonts w:hint="eastAsia" w:ascii="宋体" w:hAnsi="宋体" w:eastAsia="宋体" w:cs="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vAlign w:val="center"/>
          </w:tcPr>
          <w:p w14:paraId="559A3BC9">
            <w:pPr>
              <w:spacing w:before="100" w:beforeAutospacing="1" w:after="100" w:afterAutospacing="1"/>
              <w:rPr>
                <w:rFonts w:hint="eastAsia" w:ascii="宋体" w:hAnsi="宋体" w:eastAsia="宋体" w:cs="宋体"/>
                <w:color w:val="auto"/>
                <w:highlight w:val="none"/>
              </w:rPr>
            </w:pPr>
          </w:p>
        </w:tc>
      </w:tr>
      <w:tr w14:paraId="289BF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trPr>
        <w:tc>
          <w:tcPr>
            <w:tcW w:w="900" w:type="dxa"/>
            <w:tcBorders>
              <w:top w:val="single" w:color="auto" w:sz="4" w:space="0"/>
              <w:left w:val="single" w:color="auto" w:sz="4" w:space="0"/>
              <w:bottom w:val="single" w:color="auto" w:sz="4" w:space="0"/>
              <w:right w:val="single" w:color="auto" w:sz="4" w:space="0"/>
            </w:tcBorders>
            <w:vAlign w:val="center"/>
          </w:tcPr>
          <w:p w14:paraId="0D456085">
            <w:pPr>
              <w:spacing w:before="100" w:beforeAutospacing="1" w:after="100" w:afterAutospacing="1"/>
              <w:rPr>
                <w:rFonts w:hint="eastAsia" w:ascii="宋体" w:hAnsi="宋体" w:eastAsia="宋体" w:cs="宋体"/>
                <w:color w:val="auto"/>
                <w:highlight w:val="none"/>
              </w:rPr>
            </w:pPr>
          </w:p>
        </w:tc>
        <w:tc>
          <w:tcPr>
            <w:tcW w:w="2644" w:type="dxa"/>
            <w:tcBorders>
              <w:top w:val="single" w:color="auto" w:sz="4" w:space="0"/>
              <w:left w:val="single" w:color="auto" w:sz="4" w:space="0"/>
              <w:bottom w:val="single" w:color="auto" w:sz="4" w:space="0"/>
              <w:right w:val="single" w:color="auto" w:sz="4" w:space="0"/>
            </w:tcBorders>
            <w:vAlign w:val="center"/>
          </w:tcPr>
          <w:p w14:paraId="7A0C3E4D">
            <w:pPr>
              <w:spacing w:before="100" w:beforeAutospacing="1" w:after="100" w:afterAutospacing="1"/>
              <w:rPr>
                <w:rFonts w:hint="eastAsia" w:ascii="宋体" w:hAnsi="宋体" w:eastAsia="宋体" w:cs="宋体"/>
                <w:color w:val="auto"/>
                <w:highlight w:val="none"/>
              </w:rPr>
            </w:pPr>
          </w:p>
        </w:tc>
        <w:tc>
          <w:tcPr>
            <w:tcW w:w="2835" w:type="dxa"/>
            <w:tcBorders>
              <w:top w:val="single" w:color="auto" w:sz="4" w:space="0"/>
              <w:left w:val="single" w:color="auto" w:sz="4" w:space="0"/>
              <w:bottom w:val="single" w:color="auto" w:sz="4" w:space="0"/>
              <w:right w:val="single" w:color="auto" w:sz="4" w:space="0"/>
            </w:tcBorders>
            <w:vAlign w:val="center"/>
          </w:tcPr>
          <w:p w14:paraId="1E7F9890">
            <w:pPr>
              <w:spacing w:before="100" w:beforeAutospacing="1" w:after="100" w:afterAutospacing="1"/>
              <w:rPr>
                <w:rFonts w:hint="eastAsia" w:ascii="宋体" w:hAnsi="宋体" w:eastAsia="宋体" w:cs="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vAlign w:val="center"/>
          </w:tcPr>
          <w:p w14:paraId="1EA41403">
            <w:pPr>
              <w:spacing w:before="100" w:beforeAutospacing="1" w:after="100" w:afterAutospacing="1"/>
              <w:rPr>
                <w:rFonts w:hint="eastAsia" w:ascii="宋体" w:hAnsi="宋体" w:eastAsia="宋体" w:cs="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vAlign w:val="center"/>
          </w:tcPr>
          <w:p w14:paraId="3E29F069">
            <w:pPr>
              <w:spacing w:before="100" w:beforeAutospacing="1" w:after="100" w:afterAutospacing="1"/>
              <w:rPr>
                <w:rFonts w:hint="eastAsia" w:ascii="宋体" w:hAnsi="宋体" w:eastAsia="宋体" w:cs="宋体"/>
                <w:color w:val="auto"/>
                <w:highlight w:val="none"/>
              </w:rPr>
            </w:pPr>
          </w:p>
        </w:tc>
      </w:tr>
      <w:tr w14:paraId="5A4B6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trPr>
        <w:tc>
          <w:tcPr>
            <w:tcW w:w="900" w:type="dxa"/>
            <w:tcBorders>
              <w:top w:val="single" w:color="auto" w:sz="4" w:space="0"/>
              <w:left w:val="single" w:color="auto" w:sz="4" w:space="0"/>
              <w:bottom w:val="single" w:color="auto" w:sz="4" w:space="0"/>
              <w:right w:val="single" w:color="auto" w:sz="4" w:space="0"/>
            </w:tcBorders>
            <w:vAlign w:val="center"/>
          </w:tcPr>
          <w:p w14:paraId="7DBD5B52">
            <w:pPr>
              <w:spacing w:before="100" w:beforeAutospacing="1" w:after="100" w:afterAutospacing="1"/>
              <w:rPr>
                <w:rFonts w:hint="eastAsia" w:ascii="宋体" w:hAnsi="宋体" w:eastAsia="宋体" w:cs="宋体"/>
                <w:color w:val="auto"/>
                <w:highlight w:val="none"/>
              </w:rPr>
            </w:pPr>
          </w:p>
        </w:tc>
        <w:tc>
          <w:tcPr>
            <w:tcW w:w="2644" w:type="dxa"/>
            <w:tcBorders>
              <w:top w:val="single" w:color="auto" w:sz="4" w:space="0"/>
              <w:left w:val="single" w:color="auto" w:sz="4" w:space="0"/>
              <w:bottom w:val="single" w:color="auto" w:sz="4" w:space="0"/>
              <w:right w:val="single" w:color="auto" w:sz="4" w:space="0"/>
            </w:tcBorders>
            <w:vAlign w:val="center"/>
          </w:tcPr>
          <w:p w14:paraId="74A6C504">
            <w:pPr>
              <w:spacing w:before="100" w:beforeAutospacing="1" w:after="100" w:afterAutospacing="1"/>
              <w:rPr>
                <w:rFonts w:hint="eastAsia" w:ascii="宋体" w:hAnsi="宋体" w:eastAsia="宋体" w:cs="宋体"/>
                <w:color w:val="auto"/>
                <w:highlight w:val="none"/>
              </w:rPr>
            </w:pPr>
          </w:p>
        </w:tc>
        <w:tc>
          <w:tcPr>
            <w:tcW w:w="2835" w:type="dxa"/>
            <w:tcBorders>
              <w:top w:val="single" w:color="auto" w:sz="4" w:space="0"/>
              <w:left w:val="single" w:color="auto" w:sz="4" w:space="0"/>
              <w:bottom w:val="single" w:color="auto" w:sz="4" w:space="0"/>
              <w:right w:val="single" w:color="auto" w:sz="4" w:space="0"/>
            </w:tcBorders>
            <w:vAlign w:val="center"/>
          </w:tcPr>
          <w:p w14:paraId="500358DE">
            <w:pPr>
              <w:spacing w:before="100" w:beforeAutospacing="1" w:after="100" w:afterAutospacing="1"/>
              <w:rPr>
                <w:rFonts w:hint="eastAsia" w:ascii="宋体" w:hAnsi="宋体" w:eastAsia="宋体" w:cs="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vAlign w:val="center"/>
          </w:tcPr>
          <w:p w14:paraId="687CB596">
            <w:pPr>
              <w:spacing w:before="100" w:beforeAutospacing="1" w:after="100" w:afterAutospacing="1"/>
              <w:rPr>
                <w:rFonts w:hint="eastAsia" w:ascii="宋体" w:hAnsi="宋体" w:eastAsia="宋体" w:cs="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vAlign w:val="center"/>
          </w:tcPr>
          <w:p w14:paraId="515A0397">
            <w:pPr>
              <w:spacing w:before="100" w:beforeAutospacing="1" w:after="100" w:afterAutospacing="1"/>
              <w:rPr>
                <w:rFonts w:hint="eastAsia" w:ascii="宋体" w:hAnsi="宋体" w:eastAsia="宋体" w:cs="宋体"/>
                <w:color w:val="auto"/>
                <w:highlight w:val="none"/>
              </w:rPr>
            </w:pPr>
          </w:p>
        </w:tc>
      </w:tr>
      <w:tr w14:paraId="3D516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trPr>
        <w:tc>
          <w:tcPr>
            <w:tcW w:w="900" w:type="dxa"/>
            <w:tcBorders>
              <w:top w:val="single" w:color="auto" w:sz="4" w:space="0"/>
              <w:left w:val="single" w:color="auto" w:sz="4" w:space="0"/>
              <w:bottom w:val="single" w:color="auto" w:sz="4" w:space="0"/>
              <w:right w:val="single" w:color="auto" w:sz="4" w:space="0"/>
            </w:tcBorders>
            <w:vAlign w:val="center"/>
          </w:tcPr>
          <w:p w14:paraId="2A102B9E">
            <w:pPr>
              <w:spacing w:before="100" w:beforeAutospacing="1" w:after="100" w:afterAutospacing="1"/>
              <w:rPr>
                <w:rFonts w:hint="eastAsia" w:ascii="宋体" w:hAnsi="宋体" w:eastAsia="宋体" w:cs="宋体"/>
                <w:color w:val="auto"/>
                <w:highlight w:val="none"/>
              </w:rPr>
            </w:pPr>
          </w:p>
        </w:tc>
        <w:tc>
          <w:tcPr>
            <w:tcW w:w="2644" w:type="dxa"/>
            <w:tcBorders>
              <w:top w:val="single" w:color="auto" w:sz="4" w:space="0"/>
              <w:left w:val="single" w:color="auto" w:sz="4" w:space="0"/>
              <w:bottom w:val="single" w:color="auto" w:sz="4" w:space="0"/>
              <w:right w:val="single" w:color="auto" w:sz="4" w:space="0"/>
            </w:tcBorders>
            <w:vAlign w:val="center"/>
          </w:tcPr>
          <w:p w14:paraId="606F7286">
            <w:pPr>
              <w:spacing w:before="100" w:beforeAutospacing="1" w:after="100" w:afterAutospacing="1"/>
              <w:rPr>
                <w:rFonts w:hint="eastAsia" w:ascii="宋体" w:hAnsi="宋体" w:eastAsia="宋体" w:cs="宋体"/>
                <w:color w:val="auto"/>
                <w:highlight w:val="none"/>
              </w:rPr>
            </w:pPr>
          </w:p>
        </w:tc>
        <w:tc>
          <w:tcPr>
            <w:tcW w:w="2835" w:type="dxa"/>
            <w:tcBorders>
              <w:top w:val="single" w:color="auto" w:sz="4" w:space="0"/>
              <w:left w:val="single" w:color="auto" w:sz="4" w:space="0"/>
              <w:bottom w:val="single" w:color="auto" w:sz="4" w:space="0"/>
              <w:right w:val="single" w:color="auto" w:sz="4" w:space="0"/>
            </w:tcBorders>
            <w:vAlign w:val="center"/>
          </w:tcPr>
          <w:p w14:paraId="6471CA59">
            <w:pPr>
              <w:spacing w:before="100" w:beforeAutospacing="1" w:after="100" w:afterAutospacing="1"/>
              <w:rPr>
                <w:rFonts w:hint="eastAsia" w:ascii="宋体" w:hAnsi="宋体" w:eastAsia="宋体" w:cs="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vAlign w:val="center"/>
          </w:tcPr>
          <w:p w14:paraId="686176CA">
            <w:pPr>
              <w:spacing w:before="100" w:beforeAutospacing="1" w:after="100" w:afterAutospacing="1"/>
              <w:rPr>
                <w:rFonts w:hint="eastAsia" w:ascii="宋体" w:hAnsi="宋体" w:eastAsia="宋体" w:cs="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vAlign w:val="center"/>
          </w:tcPr>
          <w:p w14:paraId="4D4D9904">
            <w:pPr>
              <w:spacing w:before="100" w:beforeAutospacing="1" w:after="100" w:afterAutospacing="1"/>
              <w:rPr>
                <w:rFonts w:hint="eastAsia" w:ascii="宋体" w:hAnsi="宋体" w:eastAsia="宋体" w:cs="宋体"/>
                <w:color w:val="auto"/>
                <w:highlight w:val="none"/>
              </w:rPr>
            </w:pPr>
          </w:p>
        </w:tc>
      </w:tr>
      <w:tr w14:paraId="3306A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trPr>
        <w:tc>
          <w:tcPr>
            <w:tcW w:w="900" w:type="dxa"/>
            <w:tcBorders>
              <w:top w:val="single" w:color="auto" w:sz="4" w:space="0"/>
              <w:left w:val="single" w:color="auto" w:sz="4" w:space="0"/>
              <w:bottom w:val="single" w:color="auto" w:sz="4" w:space="0"/>
              <w:right w:val="single" w:color="auto" w:sz="4" w:space="0"/>
            </w:tcBorders>
            <w:vAlign w:val="center"/>
          </w:tcPr>
          <w:p w14:paraId="6F2D5FBE">
            <w:pPr>
              <w:spacing w:before="100" w:beforeAutospacing="1" w:after="100" w:afterAutospacing="1"/>
              <w:rPr>
                <w:rFonts w:hint="eastAsia" w:ascii="宋体" w:hAnsi="宋体" w:eastAsia="宋体" w:cs="宋体"/>
                <w:color w:val="auto"/>
                <w:highlight w:val="none"/>
              </w:rPr>
            </w:pPr>
          </w:p>
        </w:tc>
        <w:tc>
          <w:tcPr>
            <w:tcW w:w="2644" w:type="dxa"/>
            <w:tcBorders>
              <w:top w:val="single" w:color="auto" w:sz="4" w:space="0"/>
              <w:left w:val="single" w:color="auto" w:sz="4" w:space="0"/>
              <w:bottom w:val="single" w:color="auto" w:sz="4" w:space="0"/>
              <w:right w:val="single" w:color="auto" w:sz="4" w:space="0"/>
            </w:tcBorders>
            <w:vAlign w:val="center"/>
          </w:tcPr>
          <w:p w14:paraId="4E3B5E1F">
            <w:pPr>
              <w:spacing w:before="100" w:beforeAutospacing="1" w:after="100" w:afterAutospacing="1"/>
              <w:rPr>
                <w:rFonts w:hint="eastAsia" w:ascii="宋体" w:hAnsi="宋体" w:eastAsia="宋体" w:cs="宋体"/>
                <w:color w:val="auto"/>
                <w:highlight w:val="none"/>
              </w:rPr>
            </w:pPr>
          </w:p>
        </w:tc>
        <w:tc>
          <w:tcPr>
            <w:tcW w:w="2835" w:type="dxa"/>
            <w:tcBorders>
              <w:top w:val="single" w:color="auto" w:sz="4" w:space="0"/>
              <w:left w:val="single" w:color="auto" w:sz="4" w:space="0"/>
              <w:bottom w:val="single" w:color="auto" w:sz="4" w:space="0"/>
              <w:right w:val="single" w:color="auto" w:sz="4" w:space="0"/>
            </w:tcBorders>
            <w:vAlign w:val="center"/>
          </w:tcPr>
          <w:p w14:paraId="395F594A">
            <w:pPr>
              <w:spacing w:before="100" w:beforeAutospacing="1" w:after="100" w:afterAutospacing="1"/>
              <w:rPr>
                <w:rFonts w:hint="eastAsia" w:ascii="宋体" w:hAnsi="宋体" w:eastAsia="宋体" w:cs="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vAlign w:val="center"/>
          </w:tcPr>
          <w:p w14:paraId="5B9D785F">
            <w:pPr>
              <w:spacing w:before="100" w:beforeAutospacing="1" w:after="100" w:afterAutospacing="1"/>
              <w:rPr>
                <w:rFonts w:hint="eastAsia" w:ascii="宋体" w:hAnsi="宋体" w:eastAsia="宋体" w:cs="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vAlign w:val="center"/>
          </w:tcPr>
          <w:p w14:paraId="36FF1624">
            <w:pPr>
              <w:spacing w:before="100" w:beforeAutospacing="1" w:after="100" w:afterAutospacing="1"/>
              <w:rPr>
                <w:rFonts w:hint="eastAsia" w:ascii="宋体" w:hAnsi="宋体" w:eastAsia="宋体" w:cs="宋体"/>
                <w:color w:val="auto"/>
                <w:highlight w:val="none"/>
              </w:rPr>
            </w:pPr>
          </w:p>
        </w:tc>
      </w:tr>
      <w:tr w14:paraId="558F9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trPr>
        <w:tc>
          <w:tcPr>
            <w:tcW w:w="900" w:type="dxa"/>
            <w:tcBorders>
              <w:top w:val="single" w:color="auto" w:sz="4" w:space="0"/>
              <w:left w:val="single" w:color="auto" w:sz="4" w:space="0"/>
              <w:bottom w:val="single" w:color="auto" w:sz="4" w:space="0"/>
              <w:right w:val="single" w:color="auto" w:sz="4" w:space="0"/>
            </w:tcBorders>
            <w:vAlign w:val="center"/>
          </w:tcPr>
          <w:p w14:paraId="64A6DDBF">
            <w:pPr>
              <w:spacing w:before="100" w:beforeAutospacing="1" w:after="100" w:afterAutospacing="1"/>
              <w:rPr>
                <w:rFonts w:hint="eastAsia" w:ascii="宋体" w:hAnsi="宋体" w:eastAsia="宋体" w:cs="宋体"/>
                <w:color w:val="auto"/>
                <w:highlight w:val="none"/>
              </w:rPr>
            </w:pPr>
          </w:p>
        </w:tc>
        <w:tc>
          <w:tcPr>
            <w:tcW w:w="2644" w:type="dxa"/>
            <w:tcBorders>
              <w:top w:val="single" w:color="auto" w:sz="4" w:space="0"/>
              <w:left w:val="single" w:color="auto" w:sz="4" w:space="0"/>
              <w:bottom w:val="single" w:color="auto" w:sz="4" w:space="0"/>
              <w:right w:val="single" w:color="auto" w:sz="4" w:space="0"/>
            </w:tcBorders>
            <w:vAlign w:val="center"/>
          </w:tcPr>
          <w:p w14:paraId="5859ACAC">
            <w:pPr>
              <w:spacing w:before="100" w:beforeAutospacing="1" w:after="100" w:afterAutospacing="1"/>
              <w:rPr>
                <w:rFonts w:hint="eastAsia" w:ascii="宋体" w:hAnsi="宋体" w:eastAsia="宋体" w:cs="宋体"/>
                <w:color w:val="auto"/>
                <w:highlight w:val="none"/>
              </w:rPr>
            </w:pPr>
          </w:p>
        </w:tc>
        <w:tc>
          <w:tcPr>
            <w:tcW w:w="2835" w:type="dxa"/>
            <w:tcBorders>
              <w:top w:val="single" w:color="auto" w:sz="4" w:space="0"/>
              <w:left w:val="single" w:color="auto" w:sz="4" w:space="0"/>
              <w:bottom w:val="single" w:color="auto" w:sz="4" w:space="0"/>
              <w:right w:val="single" w:color="auto" w:sz="4" w:space="0"/>
            </w:tcBorders>
            <w:vAlign w:val="center"/>
          </w:tcPr>
          <w:p w14:paraId="38AB55CF">
            <w:pPr>
              <w:spacing w:before="100" w:beforeAutospacing="1" w:after="100" w:afterAutospacing="1"/>
              <w:rPr>
                <w:rFonts w:hint="eastAsia" w:ascii="宋体" w:hAnsi="宋体" w:eastAsia="宋体" w:cs="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vAlign w:val="center"/>
          </w:tcPr>
          <w:p w14:paraId="606FEF7D">
            <w:pPr>
              <w:spacing w:before="100" w:beforeAutospacing="1" w:after="100" w:afterAutospacing="1"/>
              <w:rPr>
                <w:rFonts w:hint="eastAsia" w:ascii="宋体" w:hAnsi="宋体" w:eastAsia="宋体" w:cs="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vAlign w:val="center"/>
          </w:tcPr>
          <w:p w14:paraId="7F5026EF">
            <w:pPr>
              <w:spacing w:before="100" w:beforeAutospacing="1" w:after="100" w:afterAutospacing="1"/>
              <w:rPr>
                <w:rFonts w:hint="eastAsia" w:ascii="宋体" w:hAnsi="宋体" w:eastAsia="宋体" w:cs="宋体"/>
                <w:color w:val="auto"/>
                <w:highlight w:val="none"/>
              </w:rPr>
            </w:pPr>
          </w:p>
        </w:tc>
      </w:tr>
      <w:tr w14:paraId="727BE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trPr>
        <w:tc>
          <w:tcPr>
            <w:tcW w:w="900" w:type="dxa"/>
            <w:tcBorders>
              <w:top w:val="single" w:color="auto" w:sz="4" w:space="0"/>
              <w:left w:val="single" w:color="auto" w:sz="4" w:space="0"/>
              <w:bottom w:val="single" w:color="auto" w:sz="4" w:space="0"/>
              <w:right w:val="single" w:color="auto" w:sz="4" w:space="0"/>
            </w:tcBorders>
            <w:vAlign w:val="center"/>
          </w:tcPr>
          <w:p w14:paraId="4806593A">
            <w:pPr>
              <w:spacing w:before="100" w:beforeAutospacing="1" w:after="100" w:afterAutospacing="1"/>
              <w:rPr>
                <w:rFonts w:hint="eastAsia" w:ascii="宋体" w:hAnsi="宋体" w:eastAsia="宋体" w:cs="宋体"/>
                <w:color w:val="auto"/>
                <w:highlight w:val="none"/>
              </w:rPr>
            </w:pPr>
          </w:p>
        </w:tc>
        <w:tc>
          <w:tcPr>
            <w:tcW w:w="2644" w:type="dxa"/>
            <w:tcBorders>
              <w:top w:val="single" w:color="auto" w:sz="4" w:space="0"/>
              <w:left w:val="single" w:color="auto" w:sz="4" w:space="0"/>
              <w:bottom w:val="single" w:color="auto" w:sz="4" w:space="0"/>
              <w:right w:val="single" w:color="auto" w:sz="4" w:space="0"/>
            </w:tcBorders>
            <w:vAlign w:val="center"/>
          </w:tcPr>
          <w:p w14:paraId="321195A2">
            <w:pPr>
              <w:spacing w:before="100" w:beforeAutospacing="1" w:after="100" w:afterAutospacing="1"/>
              <w:rPr>
                <w:rFonts w:hint="eastAsia" w:ascii="宋体" w:hAnsi="宋体" w:eastAsia="宋体" w:cs="宋体"/>
                <w:color w:val="auto"/>
                <w:highlight w:val="none"/>
              </w:rPr>
            </w:pPr>
          </w:p>
        </w:tc>
        <w:tc>
          <w:tcPr>
            <w:tcW w:w="2835" w:type="dxa"/>
            <w:tcBorders>
              <w:top w:val="single" w:color="auto" w:sz="4" w:space="0"/>
              <w:left w:val="single" w:color="auto" w:sz="4" w:space="0"/>
              <w:bottom w:val="single" w:color="auto" w:sz="4" w:space="0"/>
              <w:right w:val="single" w:color="auto" w:sz="4" w:space="0"/>
            </w:tcBorders>
            <w:vAlign w:val="center"/>
          </w:tcPr>
          <w:p w14:paraId="7B5C335F">
            <w:pPr>
              <w:spacing w:before="100" w:beforeAutospacing="1" w:after="100" w:afterAutospacing="1"/>
              <w:rPr>
                <w:rFonts w:hint="eastAsia" w:ascii="宋体" w:hAnsi="宋体" w:eastAsia="宋体" w:cs="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vAlign w:val="center"/>
          </w:tcPr>
          <w:p w14:paraId="35FC39C9">
            <w:pPr>
              <w:spacing w:before="100" w:beforeAutospacing="1" w:after="100" w:afterAutospacing="1"/>
              <w:rPr>
                <w:rFonts w:hint="eastAsia" w:ascii="宋体" w:hAnsi="宋体" w:eastAsia="宋体" w:cs="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vAlign w:val="center"/>
          </w:tcPr>
          <w:p w14:paraId="2BF46741">
            <w:pPr>
              <w:spacing w:before="100" w:beforeAutospacing="1" w:after="100" w:afterAutospacing="1"/>
              <w:rPr>
                <w:rFonts w:hint="eastAsia" w:ascii="宋体" w:hAnsi="宋体" w:eastAsia="宋体" w:cs="宋体"/>
                <w:color w:val="auto"/>
                <w:highlight w:val="none"/>
              </w:rPr>
            </w:pPr>
          </w:p>
        </w:tc>
      </w:tr>
      <w:tr w14:paraId="13BB3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trPr>
        <w:tc>
          <w:tcPr>
            <w:tcW w:w="900" w:type="dxa"/>
            <w:tcBorders>
              <w:top w:val="single" w:color="auto" w:sz="4" w:space="0"/>
              <w:left w:val="single" w:color="auto" w:sz="4" w:space="0"/>
              <w:bottom w:val="single" w:color="auto" w:sz="4" w:space="0"/>
              <w:right w:val="single" w:color="auto" w:sz="4" w:space="0"/>
            </w:tcBorders>
            <w:vAlign w:val="center"/>
          </w:tcPr>
          <w:p w14:paraId="406E4086">
            <w:pPr>
              <w:spacing w:before="100" w:beforeAutospacing="1" w:after="100" w:afterAutospacing="1"/>
              <w:rPr>
                <w:rFonts w:hint="eastAsia" w:ascii="宋体" w:hAnsi="宋体" w:eastAsia="宋体" w:cs="宋体"/>
                <w:color w:val="auto"/>
                <w:highlight w:val="none"/>
              </w:rPr>
            </w:pPr>
          </w:p>
        </w:tc>
        <w:tc>
          <w:tcPr>
            <w:tcW w:w="2644" w:type="dxa"/>
            <w:tcBorders>
              <w:top w:val="single" w:color="auto" w:sz="4" w:space="0"/>
              <w:left w:val="single" w:color="auto" w:sz="4" w:space="0"/>
              <w:bottom w:val="single" w:color="auto" w:sz="4" w:space="0"/>
              <w:right w:val="single" w:color="auto" w:sz="4" w:space="0"/>
            </w:tcBorders>
            <w:vAlign w:val="center"/>
          </w:tcPr>
          <w:p w14:paraId="62F6C23A">
            <w:pPr>
              <w:spacing w:before="100" w:beforeAutospacing="1" w:after="100" w:afterAutospacing="1"/>
              <w:rPr>
                <w:rFonts w:hint="eastAsia" w:ascii="宋体" w:hAnsi="宋体" w:eastAsia="宋体" w:cs="宋体"/>
                <w:color w:val="auto"/>
                <w:highlight w:val="none"/>
              </w:rPr>
            </w:pPr>
          </w:p>
        </w:tc>
        <w:tc>
          <w:tcPr>
            <w:tcW w:w="2835" w:type="dxa"/>
            <w:tcBorders>
              <w:top w:val="single" w:color="auto" w:sz="4" w:space="0"/>
              <w:left w:val="single" w:color="auto" w:sz="4" w:space="0"/>
              <w:bottom w:val="single" w:color="auto" w:sz="4" w:space="0"/>
              <w:right w:val="single" w:color="auto" w:sz="4" w:space="0"/>
            </w:tcBorders>
            <w:vAlign w:val="center"/>
          </w:tcPr>
          <w:p w14:paraId="05726FF1">
            <w:pPr>
              <w:spacing w:before="100" w:beforeAutospacing="1" w:after="100" w:afterAutospacing="1"/>
              <w:rPr>
                <w:rFonts w:hint="eastAsia" w:ascii="宋体" w:hAnsi="宋体" w:eastAsia="宋体" w:cs="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vAlign w:val="center"/>
          </w:tcPr>
          <w:p w14:paraId="536D5C36">
            <w:pPr>
              <w:spacing w:before="100" w:beforeAutospacing="1" w:after="100" w:afterAutospacing="1"/>
              <w:rPr>
                <w:rFonts w:hint="eastAsia" w:ascii="宋体" w:hAnsi="宋体" w:eastAsia="宋体" w:cs="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vAlign w:val="center"/>
          </w:tcPr>
          <w:p w14:paraId="23F6921D">
            <w:pPr>
              <w:spacing w:before="100" w:beforeAutospacing="1" w:after="100" w:afterAutospacing="1"/>
              <w:rPr>
                <w:rFonts w:hint="eastAsia" w:ascii="宋体" w:hAnsi="宋体" w:eastAsia="宋体" w:cs="宋体"/>
                <w:color w:val="auto"/>
                <w:highlight w:val="none"/>
              </w:rPr>
            </w:pPr>
          </w:p>
        </w:tc>
      </w:tr>
      <w:tr w14:paraId="4DBF7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trPr>
        <w:tc>
          <w:tcPr>
            <w:tcW w:w="900" w:type="dxa"/>
            <w:tcBorders>
              <w:top w:val="single" w:color="auto" w:sz="4" w:space="0"/>
              <w:left w:val="single" w:color="auto" w:sz="4" w:space="0"/>
              <w:bottom w:val="single" w:color="auto" w:sz="4" w:space="0"/>
              <w:right w:val="single" w:color="auto" w:sz="4" w:space="0"/>
            </w:tcBorders>
            <w:vAlign w:val="center"/>
          </w:tcPr>
          <w:p w14:paraId="3CC8D369">
            <w:pPr>
              <w:spacing w:before="100" w:beforeAutospacing="1" w:after="100" w:afterAutospacing="1"/>
              <w:rPr>
                <w:rFonts w:hint="eastAsia" w:ascii="宋体" w:hAnsi="宋体" w:eastAsia="宋体" w:cs="宋体"/>
                <w:color w:val="auto"/>
                <w:highlight w:val="none"/>
              </w:rPr>
            </w:pPr>
          </w:p>
        </w:tc>
        <w:tc>
          <w:tcPr>
            <w:tcW w:w="2644" w:type="dxa"/>
            <w:tcBorders>
              <w:top w:val="single" w:color="auto" w:sz="4" w:space="0"/>
              <w:left w:val="single" w:color="auto" w:sz="4" w:space="0"/>
              <w:bottom w:val="single" w:color="auto" w:sz="4" w:space="0"/>
              <w:right w:val="single" w:color="auto" w:sz="4" w:space="0"/>
            </w:tcBorders>
            <w:vAlign w:val="center"/>
          </w:tcPr>
          <w:p w14:paraId="54B9F591">
            <w:pPr>
              <w:spacing w:before="100" w:beforeAutospacing="1" w:after="100" w:afterAutospacing="1"/>
              <w:rPr>
                <w:rFonts w:hint="eastAsia" w:ascii="宋体" w:hAnsi="宋体" w:eastAsia="宋体" w:cs="宋体"/>
                <w:color w:val="auto"/>
                <w:highlight w:val="none"/>
              </w:rPr>
            </w:pPr>
          </w:p>
        </w:tc>
        <w:tc>
          <w:tcPr>
            <w:tcW w:w="2835" w:type="dxa"/>
            <w:tcBorders>
              <w:top w:val="single" w:color="auto" w:sz="4" w:space="0"/>
              <w:left w:val="single" w:color="auto" w:sz="4" w:space="0"/>
              <w:bottom w:val="single" w:color="auto" w:sz="4" w:space="0"/>
              <w:right w:val="single" w:color="auto" w:sz="4" w:space="0"/>
            </w:tcBorders>
            <w:vAlign w:val="center"/>
          </w:tcPr>
          <w:p w14:paraId="3B8DC364">
            <w:pPr>
              <w:spacing w:before="100" w:beforeAutospacing="1" w:after="100" w:afterAutospacing="1"/>
              <w:rPr>
                <w:rFonts w:hint="eastAsia" w:ascii="宋体" w:hAnsi="宋体" w:eastAsia="宋体" w:cs="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vAlign w:val="center"/>
          </w:tcPr>
          <w:p w14:paraId="487050AA">
            <w:pPr>
              <w:spacing w:before="100" w:beforeAutospacing="1" w:after="100" w:afterAutospacing="1"/>
              <w:rPr>
                <w:rFonts w:hint="eastAsia" w:ascii="宋体" w:hAnsi="宋体" w:eastAsia="宋体" w:cs="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vAlign w:val="center"/>
          </w:tcPr>
          <w:p w14:paraId="6FE18C5C">
            <w:pPr>
              <w:spacing w:before="100" w:beforeAutospacing="1" w:after="100" w:afterAutospacing="1"/>
              <w:rPr>
                <w:rFonts w:hint="eastAsia" w:ascii="宋体" w:hAnsi="宋体" w:eastAsia="宋体" w:cs="宋体"/>
                <w:color w:val="auto"/>
                <w:highlight w:val="none"/>
              </w:rPr>
            </w:pPr>
          </w:p>
        </w:tc>
      </w:tr>
      <w:tr w14:paraId="77999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trPr>
        <w:tc>
          <w:tcPr>
            <w:tcW w:w="900" w:type="dxa"/>
            <w:tcBorders>
              <w:top w:val="single" w:color="auto" w:sz="4" w:space="0"/>
              <w:left w:val="single" w:color="auto" w:sz="4" w:space="0"/>
              <w:bottom w:val="single" w:color="auto" w:sz="4" w:space="0"/>
              <w:right w:val="single" w:color="auto" w:sz="4" w:space="0"/>
            </w:tcBorders>
            <w:vAlign w:val="center"/>
          </w:tcPr>
          <w:p w14:paraId="14CC8419">
            <w:pPr>
              <w:spacing w:before="100" w:beforeAutospacing="1" w:after="100" w:afterAutospacing="1"/>
              <w:rPr>
                <w:rFonts w:hint="eastAsia" w:ascii="宋体" w:hAnsi="宋体" w:eastAsia="宋体" w:cs="宋体"/>
                <w:color w:val="auto"/>
                <w:highlight w:val="none"/>
              </w:rPr>
            </w:pPr>
          </w:p>
        </w:tc>
        <w:tc>
          <w:tcPr>
            <w:tcW w:w="2644" w:type="dxa"/>
            <w:tcBorders>
              <w:top w:val="single" w:color="auto" w:sz="4" w:space="0"/>
              <w:left w:val="single" w:color="auto" w:sz="4" w:space="0"/>
              <w:bottom w:val="single" w:color="auto" w:sz="4" w:space="0"/>
              <w:right w:val="single" w:color="auto" w:sz="4" w:space="0"/>
            </w:tcBorders>
            <w:vAlign w:val="center"/>
          </w:tcPr>
          <w:p w14:paraId="49CFA011">
            <w:pPr>
              <w:spacing w:before="100" w:beforeAutospacing="1" w:after="100" w:afterAutospacing="1"/>
              <w:rPr>
                <w:rFonts w:hint="eastAsia" w:ascii="宋体" w:hAnsi="宋体" w:eastAsia="宋体" w:cs="宋体"/>
                <w:color w:val="auto"/>
                <w:highlight w:val="none"/>
              </w:rPr>
            </w:pPr>
          </w:p>
        </w:tc>
        <w:tc>
          <w:tcPr>
            <w:tcW w:w="2835" w:type="dxa"/>
            <w:tcBorders>
              <w:top w:val="single" w:color="auto" w:sz="4" w:space="0"/>
              <w:left w:val="single" w:color="auto" w:sz="4" w:space="0"/>
              <w:bottom w:val="single" w:color="auto" w:sz="4" w:space="0"/>
              <w:right w:val="single" w:color="auto" w:sz="4" w:space="0"/>
            </w:tcBorders>
            <w:vAlign w:val="center"/>
          </w:tcPr>
          <w:p w14:paraId="2013943F">
            <w:pPr>
              <w:spacing w:before="100" w:beforeAutospacing="1" w:after="100" w:afterAutospacing="1"/>
              <w:rPr>
                <w:rFonts w:hint="eastAsia" w:ascii="宋体" w:hAnsi="宋体" w:eastAsia="宋体" w:cs="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vAlign w:val="center"/>
          </w:tcPr>
          <w:p w14:paraId="30FF6AAB">
            <w:pPr>
              <w:spacing w:before="100" w:beforeAutospacing="1" w:after="100" w:afterAutospacing="1"/>
              <w:rPr>
                <w:rFonts w:hint="eastAsia" w:ascii="宋体" w:hAnsi="宋体" w:eastAsia="宋体" w:cs="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vAlign w:val="center"/>
          </w:tcPr>
          <w:p w14:paraId="4E364089">
            <w:pPr>
              <w:spacing w:before="100" w:beforeAutospacing="1" w:after="100" w:afterAutospacing="1"/>
              <w:rPr>
                <w:rFonts w:hint="eastAsia" w:ascii="宋体" w:hAnsi="宋体" w:eastAsia="宋体" w:cs="宋体"/>
                <w:color w:val="auto"/>
                <w:highlight w:val="none"/>
              </w:rPr>
            </w:pPr>
          </w:p>
        </w:tc>
      </w:tr>
      <w:tr w14:paraId="6C575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trPr>
        <w:tc>
          <w:tcPr>
            <w:tcW w:w="900" w:type="dxa"/>
            <w:tcBorders>
              <w:top w:val="single" w:color="auto" w:sz="4" w:space="0"/>
              <w:left w:val="single" w:color="auto" w:sz="4" w:space="0"/>
              <w:bottom w:val="single" w:color="auto" w:sz="4" w:space="0"/>
              <w:right w:val="single" w:color="auto" w:sz="4" w:space="0"/>
            </w:tcBorders>
            <w:vAlign w:val="center"/>
          </w:tcPr>
          <w:p w14:paraId="34A23A8C">
            <w:pPr>
              <w:spacing w:before="100" w:beforeAutospacing="1" w:after="100" w:afterAutospacing="1"/>
              <w:rPr>
                <w:rFonts w:hint="eastAsia" w:ascii="宋体" w:hAnsi="宋体" w:eastAsia="宋体" w:cs="宋体"/>
                <w:color w:val="auto"/>
                <w:highlight w:val="none"/>
              </w:rPr>
            </w:pPr>
          </w:p>
        </w:tc>
        <w:tc>
          <w:tcPr>
            <w:tcW w:w="2644" w:type="dxa"/>
            <w:tcBorders>
              <w:top w:val="single" w:color="auto" w:sz="4" w:space="0"/>
              <w:left w:val="single" w:color="auto" w:sz="4" w:space="0"/>
              <w:bottom w:val="single" w:color="auto" w:sz="4" w:space="0"/>
              <w:right w:val="single" w:color="auto" w:sz="4" w:space="0"/>
            </w:tcBorders>
            <w:vAlign w:val="center"/>
          </w:tcPr>
          <w:p w14:paraId="3B168579">
            <w:pPr>
              <w:spacing w:before="100" w:beforeAutospacing="1" w:after="100" w:afterAutospacing="1"/>
              <w:rPr>
                <w:rFonts w:hint="eastAsia" w:ascii="宋体" w:hAnsi="宋体" w:eastAsia="宋体" w:cs="宋体"/>
                <w:color w:val="auto"/>
                <w:highlight w:val="none"/>
              </w:rPr>
            </w:pPr>
          </w:p>
        </w:tc>
        <w:tc>
          <w:tcPr>
            <w:tcW w:w="2835" w:type="dxa"/>
            <w:tcBorders>
              <w:top w:val="single" w:color="auto" w:sz="4" w:space="0"/>
              <w:left w:val="single" w:color="auto" w:sz="4" w:space="0"/>
              <w:bottom w:val="single" w:color="auto" w:sz="4" w:space="0"/>
              <w:right w:val="single" w:color="auto" w:sz="4" w:space="0"/>
            </w:tcBorders>
            <w:vAlign w:val="center"/>
          </w:tcPr>
          <w:p w14:paraId="0CD3E33F">
            <w:pPr>
              <w:spacing w:before="100" w:beforeAutospacing="1" w:after="100" w:afterAutospacing="1"/>
              <w:rPr>
                <w:rFonts w:hint="eastAsia" w:ascii="宋体" w:hAnsi="宋体" w:eastAsia="宋体" w:cs="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vAlign w:val="center"/>
          </w:tcPr>
          <w:p w14:paraId="5DF93F99">
            <w:pPr>
              <w:spacing w:before="100" w:beforeAutospacing="1" w:after="100" w:afterAutospacing="1"/>
              <w:rPr>
                <w:rFonts w:hint="eastAsia" w:ascii="宋体" w:hAnsi="宋体" w:eastAsia="宋体" w:cs="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vAlign w:val="center"/>
          </w:tcPr>
          <w:p w14:paraId="12EE88ED">
            <w:pPr>
              <w:spacing w:before="100" w:beforeAutospacing="1" w:after="100" w:afterAutospacing="1"/>
              <w:rPr>
                <w:rFonts w:hint="eastAsia" w:ascii="宋体" w:hAnsi="宋体" w:eastAsia="宋体" w:cs="宋体"/>
                <w:color w:val="auto"/>
                <w:highlight w:val="none"/>
              </w:rPr>
            </w:pPr>
          </w:p>
        </w:tc>
      </w:tr>
      <w:tr w14:paraId="32873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trPr>
        <w:tc>
          <w:tcPr>
            <w:tcW w:w="900" w:type="dxa"/>
            <w:tcBorders>
              <w:top w:val="single" w:color="auto" w:sz="4" w:space="0"/>
              <w:left w:val="single" w:color="auto" w:sz="4" w:space="0"/>
              <w:bottom w:val="single" w:color="auto" w:sz="4" w:space="0"/>
              <w:right w:val="single" w:color="auto" w:sz="4" w:space="0"/>
            </w:tcBorders>
            <w:vAlign w:val="center"/>
          </w:tcPr>
          <w:p w14:paraId="62DFC237">
            <w:pPr>
              <w:spacing w:before="100" w:beforeAutospacing="1" w:after="100" w:afterAutospacing="1"/>
              <w:rPr>
                <w:rFonts w:hint="eastAsia" w:ascii="宋体" w:hAnsi="宋体" w:eastAsia="宋体" w:cs="宋体"/>
                <w:color w:val="auto"/>
                <w:highlight w:val="none"/>
              </w:rPr>
            </w:pPr>
          </w:p>
        </w:tc>
        <w:tc>
          <w:tcPr>
            <w:tcW w:w="2644" w:type="dxa"/>
            <w:tcBorders>
              <w:top w:val="single" w:color="auto" w:sz="4" w:space="0"/>
              <w:left w:val="single" w:color="auto" w:sz="4" w:space="0"/>
              <w:bottom w:val="single" w:color="auto" w:sz="4" w:space="0"/>
              <w:right w:val="single" w:color="auto" w:sz="4" w:space="0"/>
            </w:tcBorders>
            <w:vAlign w:val="center"/>
          </w:tcPr>
          <w:p w14:paraId="078667C4">
            <w:pPr>
              <w:spacing w:before="100" w:beforeAutospacing="1" w:after="100" w:afterAutospacing="1"/>
              <w:rPr>
                <w:rFonts w:hint="eastAsia" w:ascii="宋体" w:hAnsi="宋体" w:eastAsia="宋体" w:cs="宋体"/>
                <w:color w:val="auto"/>
                <w:highlight w:val="none"/>
              </w:rPr>
            </w:pPr>
          </w:p>
        </w:tc>
        <w:tc>
          <w:tcPr>
            <w:tcW w:w="2835" w:type="dxa"/>
            <w:tcBorders>
              <w:top w:val="single" w:color="auto" w:sz="4" w:space="0"/>
              <w:left w:val="single" w:color="auto" w:sz="4" w:space="0"/>
              <w:bottom w:val="single" w:color="auto" w:sz="4" w:space="0"/>
              <w:right w:val="single" w:color="auto" w:sz="4" w:space="0"/>
            </w:tcBorders>
            <w:vAlign w:val="center"/>
          </w:tcPr>
          <w:p w14:paraId="19848CDE">
            <w:pPr>
              <w:spacing w:before="100" w:beforeAutospacing="1" w:after="100" w:afterAutospacing="1"/>
              <w:rPr>
                <w:rFonts w:hint="eastAsia" w:ascii="宋体" w:hAnsi="宋体" w:eastAsia="宋体" w:cs="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vAlign w:val="center"/>
          </w:tcPr>
          <w:p w14:paraId="02AB33C1">
            <w:pPr>
              <w:spacing w:before="100" w:beforeAutospacing="1" w:after="100" w:afterAutospacing="1"/>
              <w:rPr>
                <w:rFonts w:hint="eastAsia" w:ascii="宋体" w:hAnsi="宋体" w:eastAsia="宋体" w:cs="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vAlign w:val="center"/>
          </w:tcPr>
          <w:p w14:paraId="29982464">
            <w:pPr>
              <w:spacing w:before="100" w:beforeAutospacing="1" w:after="100" w:afterAutospacing="1"/>
              <w:rPr>
                <w:rFonts w:hint="eastAsia" w:ascii="宋体" w:hAnsi="宋体" w:eastAsia="宋体" w:cs="宋体"/>
                <w:color w:val="auto"/>
                <w:highlight w:val="none"/>
              </w:rPr>
            </w:pPr>
          </w:p>
        </w:tc>
      </w:tr>
      <w:tr w14:paraId="534E9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trPr>
        <w:tc>
          <w:tcPr>
            <w:tcW w:w="900" w:type="dxa"/>
            <w:tcBorders>
              <w:top w:val="single" w:color="auto" w:sz="4" w:space="0"/>
              <w:left w:val="single" w:color="auto" w:sz="4" w:space="0"/>
              <w:bottom w:val="single" w:color="auto" w:sz="4" w:space="0"/>
              <w:right w:val="single" w:color="auto" w:sz="4" w:space="0"/>
            </w:tcBorders>
            <w:vAlign w:val="center"/>
          </w:tcPr>
          <w:p w14:paraId="23D78623">
            <w:pPr>
              <w:spacing w:before="100" w:beforeAutospacing="1" w:after="100" w:afterAutospacing="1"/>
              <w:rPr>
                <w:rFonts w:hint="eastAsia" w:ascii="宋体" w:hAnsi="宋体" w:eastAsia="宋体" w:cs="宋体"/>
                <w:color w:val="auto"/>
                <w:highlight w:val="none"/>
              </w:rPr>
            </w:pPr>
          </w:p>
        </w:tc>
        <w:tc>
          <w:tcPr>
            <w:tcW w:w="2644" w:type="dxa"/>
            <w:tcBorders>
              <w:top w:val="single" w:color="auto" w:sz="4" w:space="0"/>
              <w:left w:val="single" w:color="auto" w:sz="4" w:space="0"/>
              <w:bottom w:val="single" w:color="auto" w:sz="4" w:space="0"/>
              <w:right w:val="single" w:color="auto" w:sz="4" w:space="0"/>
            </w:tcBorders>
            <w:vAlign w:val="center"/>
          </w:tcPr>
          <w:p w14:paraId="6EE561A8">
            <w:pPr>
              <w:spacing w:before="100" w:beforeAutospacing="1" w:after="100" w:afterAutospacing="1"/>
              <w:rPr>
                <w:rFonts w:hint="eastAsia" w:ascii="宋体" w:hAnsi="宋体" w:eastAsia="宋体" w:cs="宋体"/>
                <w:color w:val="auto"/>
                <w:highlight w:val="none"/>
              </w:rPr>
            </w:pPr>
          </w:p>
        </w:tc>
        <w:tc>
          <w:tcPr>
            <w:tcW w:w="2835" w:type="dxa"/>
            <w:tcBorders>
              <w:top w:val="single" w:color="auto" w:sz="4" w:space="0"/>
              <w:left w:val="single" w:color="auto" w:sz="4" w:space="0"/>
              <w:bottom w:val="single" w:color="auto" w:sz="4" w:space="0"/>
              <w:right w:val="single" w:color="auto" w:sz="4" w:space="0"/>
            </w:tcBorders>
            <w:vAlign w:val="center"/>
          </w:tcPr>
          <w:p w14:paraId="28B6F935">
            <w:pPr>
              <w:spacing w:before="100" w:beforeAutospacing="1" w:after="100" w:afterAutospacing="1"/>
              <w:rPr>
                <w:rFonts w:hint="eastAsia" w:ascii="宋体" w:hAnsi="宋体" w:eastAsia="宋体" w:cs="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vAlign w:val="center"/>
          </w:tcPr>
          <w:p w14:paraId="2B1EB17E">
            <w:pPr>
              <w:spacing w:before="100" w:beforeAutospacing="1" w:after="100" w:afterAutospacing="1"/>
              <w:rPr>
                <w:rFonts w:hint="eastAsia" w:ascii="宋体" w:hAnsi="宋体" w:eastAsia="宋体" w:cs="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vAlign w:val="center"/>
          </w:tcPr>
          <w:p w14:paraId="3657C1BA">
            <w:pPr>
              <w:spacing w:before="100" w:beforeAutospacing="1" w:after="100" w:afterAutospacing="1"/>
              <w:rPr>
                <w:rFonts w:hint="eastAsia" w:ascii="宋体" w:hAnsi="宋体" w:eastAsia="宋体" w:cs="宋体"/>
                <w:color w:val="auto"/>
                <w:highlight w:val="none"/>
              </w:rPr>
            </w:pPr>
          </w:p>
        </w:tc>
      </w:tr>
      <w:tr w14:paraId="602D5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trPr>
        <w:tc>
          <w:tcPr>
            <w:tcW w:w="900" w:type="dxa"/>
            <w:tcBorders>
              <w:top w:val="single" w:color="auto" w:sz="4" w:space="0"/>
              <w:left w:val="single" w:color="auto" w:sz="4" w:space="0"/>
              <w:bottom w:val="single" w:color="auto" w:sz="4" w:space="0"/>
              <w:right w:val="single" w:color="auto" w:sz="4" w:space="0"/>
            </w:tcBorders>
            <w:vAlign w:val="center"/>
          </w:tcPr>
          <w:p w14:paraId="60FE111C">
            <w:pPr>
              <w:spacing w:before="100" w:beforeAutospacing="1" w:after="100" w:afterAutospacing="1"/>
              <w:rPr>
                <w:rFonts w:hint="eastAsia" w:ascii="宋体" w:hAnsi="宋体" w:eastAsia="宋体" w:cs="宋体"/>
                <w:color w:val="auto"/>
                <w:highlight w:val="none"/>
              </w:rPr>
            </w:pPr>
          </w:p>
        </w:tc>
        <w:tc>
          <w:tcPr>
            <w:tcW w:w="2644" w:type="dxa"/>
            <w:tcBorders>
              <w:top w:val="single" w:color="auto" w:sz="4" w:space="0"/>
              <w:left w:val="single" w:color="auto" w:sz="4" w:space="0"/>
              <w:bottom w:val="single" w:color="auto" w:sz="4" w:space="0"/>
              <w:right w:val="single" w:color="auto" w:sz="4" w:space="0"/>
            </w:tcBorders>
            <w:vAlign w:val="center"/>
          </w:tcPr>
          <w:p w14:paraId="51BCA682">
            <w:pPr>
              <w:spacing w:before="100" w:beforeAutospacing="1" w:after="100" w:afterAutospacing="1"/>
              <w:rPr>
                <w:rFonts w:hint="eastAsia" w:ascii="宋体" w:hAnsi="宋体" w:eastAsia="宋体" w:cs="宋体"/>
                <w:color w:val="auto"/>
                <w:highlight w:val="none"/>
              </w:rPr>
            </w:pPr>
          </w:p>
        </w:tc>
        <w:tc>
          <w:tcPr>
            <w:tcW w:w="2835" w:type="dxa"/>
            <w:tcBorders>
              <w:top w:val="single" w:color="auto" w:sz="4" w:space="0"/>
              <w:left w:val="single" w:color="auto" w:sz="4" w:space="0"/>
              <w:bottom w:val="single" w:color="auto" w:sz="4" w:space="0"/>
              <w:right w:val="single" w:color="auto" w:sz="4" w:space="0"/>
            </w:tcBorders>
            <w:vAlign w:val="center"/>
          </w:tcPr>
          <w:p w14:paraId="788E68DD">
            <w:pPr>
              <w:spacing w:before="100" w:beforeAutospacing="1" w:after="100" w:afterAutospacing="1"/>
              <w:rPr>
                <w:rFonts w:hint="eastAsia" w:ascii="宋体" w:hAnsi="宋体" w:eastAsia="宋体" w:cs="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vAlign w:val="center"/>
          </w:tcPr>
          <w:p w14:paraId="6F770D87">
            <w:pPr>
              <w:spacing w:before="100" w:beforeAutospacing="1" w:after="100" w:afterAutospacing="1"/>
              <w:rPr>
                <w:rFonts w:hint="eastAsia" w:ascii="宋体" w:hAnsi="宋体" w:eastAsia="宋体" w:cs="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vAlign w:val="center"/>
          </w:tcPr>
          <w:p w14:paraId="171B8C27">
            <w:pPr>
              <w:spacing w:before="100" w:beforeAutospacing="1" w:after="100" w:afterAutospacing="1"/>
              <w:rPr>
                <w:rFonts w:hint="eastAsia" w:ascii="宋体" w:hAnsi="宋体" w:eastAsia="宋体" w:cs="宋体"/>
                <w:color w:val="auto"/>
                <w:highlight w:val="none"/>
              </w:rPr>
            </w:pPr>
          </w:p>
        </w:tc>
      </w:tr>
    </w:tbl>
    <w:p w14:paraId="5AD1D27A">
      <w:pPr>
        <w:adjustRightInd w:val="0"/>
        <w:snapToGrid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备注：数量可为预估数量。</w:t>
      </w:r>
    </w:p>
    <w:p w14:paraId="17025FDC">
      <w:pPr>
        <w:adjustRightInd w:val="0"/>
        <w:snapToGrid w:val="0"/>
        <w:spacing w:line="360" w:lineRule="auto"/>
        <w:ind w:firstLine="630" w:firstLineChars="300"/>
        <w:rPr>
          <w:rFonts w:hint="eastAsia" w:ascii="宋体" w:hAnsi="宋体" w:eastAsia="宋体" w:cs="宋体"/>
          <w:color w:val="auto"/>
          <w:highlight w:val="none"/>
        </w:rPr>
      </w:pPr>
    </w:p>
    <w:p w14:paraId="402AFD39">
      <w:pPr>
        <w:adjustRightInd w:val="0"/>
        <w:snapToGrid w:val="0"/>
        <w:spacing w:line="360" w:lineRule="auto"/>
        <w:ind w:firstLine="630" w:firstLineChars="300"/>
        <w:rPr>
          <w:rFonts w:hint="eastAsia" w:ascii="宋体" w:hAnsi="宋体" w:eastAsia="宋体" w:cs="宋体"/>
          <w:color w:val="auto"/>
          <w:highlight w:val="none"/>
        </w:rPr>
      </w:pPr>
    </w:p>
    <w:p w14:paraId="74EE373A">
      <w:pPr>
        <w:pStyle w:val="15"/>
        <w:widowControl w:val="0"/>
        <w:adjustRightInd w:val="0"/>
        <w:snapToGrid w:val="0"/>
        <w:spacing w:before="0" w:beforeAutospacing="0" w:after="0" w:afterAutospacing="0" w:line="360" w:lineRule="auto"/>
        <w:ind w:left="2852" w:leftChars="1358"/>
        <w:rPr>
          <w:rFonts w:hint="eastAsia" w:ascii="宋体" w:hAnsi="宋体" w:eastAsia="宋体" w:cs="宋体"/>
          <w:color w:val="auto"/>
          <w:highlight w:val="none"/>
        </w:rPr>
      </w:pPr>
      <w:r>
        <w:rPr>
          <w:rFonts w:hint="eastAsia" w:ascii="宋体" w:hAnsi="宋体" w:eastAsia="宋体" w:cs="宋体"/>
          <w:color w:val="auto"/>
          <w:highlight w:val="none"/>
          <w:lang w:eastAsia="zh-CN"/>
        </w:rPr>
        <w:t>供应商</w:t>
      </w:r>
      <w:r>
        <w:rPr>
          <w:rFonts w:hint="eastAsia" w:ascii="宋体" w:hAnsi="宋体" w:eastAsia="宋体" w:cs="宋体"/>
          <w:color w:val="auto"/>
          <w:highlight w:val="none"/>
        </w:rPr>
        <w:t>（电子签章）：__________________________</w:t>
      </w:r>
    </w:p>
    <w:p w14:paraId="51E02FCC">
      <w:pPr>
        <w:shd w:val="clear" w:color="auto" w:fill="FFFFFF"/>
        <w:spacing w:before="100" w:beforeAutospacing="1" w:after="100" w:afterAutospacing="1" w:line="500" w:lineRule="atLeast"/>
        <w:ind w:firstLine="358"/>
        <w:jc w:val="center"/>
        <w:rPr>
          <w:rFonts w:hint="eastAsia" w:ascii="宋体" w:hAnsi="宋体" w:eastAsia="宋体" w:cs="宋体"/>
          <w:color w:val="auto"/>
          <w:highlight w:val="none"/>
        </w:rPr>
      </w:pPr>
      <w:r>
        <w:rPr>
          <w:rFonts w:hint="eastAsia" w:ascii="宋体" w:hAnsi="宋体" w:eastAsia="宋体" w:cs="宋体"/>
          <w:color w:val="auto"/>
          <w:highlight w:val="none"/>
        </w:rPr>
        <w:t>日期：____年____月____日</w:t>
      </w:r>
    </w:p>
    <w:p w14:paraId="4B07109C">
      <w:pPr>
        <w:pStyle w:val="30"/>
        <w:rPr>
          <w:rFonts w:hint="eastAsia" w:ascii="宋体" w:hAnsi="宋体" w:eastAsia="宋体" w:cs="宋体"/>
          <w:color w:val="auto"/>
          <w:highlight w:val="none"/>
        </w:rPr>
      </w:pPr>
    </w:p>
    <w:p w14:paraId="0FD65190">
      <w:pPr>
        <w:rPr>
          <w:rFonts w:hint="eastAsia" w:hAnsi="宋体" w:cs="宋体"/>
          <w:b/>
          <w:color w:val="auto"/>
          <w:sz w:val="32"/>
          <w:szCs w:val="32"/>
          <w:highlight w:val="none"/>
          <w:lang w:val="en-US" w:eastAsia="zh-CN"/>
        </w:rPr>
      </w:pPr>
      <w:r>
        <w:rPr>
          <w:rFonts w:hint="eastAsia" w:hAnsi="宋体" w:cs="宋体"/>
          <w:b/>
          <w:color w:val="auto"/>
          <w:sz w:val="32"/>
          <w:szCs w:val="32"/>
          <w:highlight w:val="none"/>
          <w:lang w:val="en-US" w:eastAsia="zh-CN"/>
        </w:rPr>
        <w:br w:type="page"/>
      </w:r>
    </w:p>
    <w:p w14:paraId="470C59FF">
      <w:pPr>
        <w:pStyle w:val="15"/>
        <w:widowControl w:val="0"/>
        <w:adjustRightInd w:val="0"/>
        <w:snapToGrid w:val="0"/>
        <w:jc w:val="center"/>
        <w:rPr>
          <w:rFonts w:hint="eastAsia" w:ascii="宋体" w:hAnsi="宋体" w:eastAsia="宋体" w:cs="宋体"/>
          <w:b/>
          <w:color w:val="auto"/>
          <w:sz w:val="32"/>
          <w:szCs w:val="32"/>
          <w:highlight w:val="none"/>
          <w:lang w:eastAsia="zh-CN"/>
        </w:rPr>
      </w:pPr>
      <w:r>
        <w:rPr>
          <w:rFonts w:hint="eastAsia" w:hAnsi="宋体" w:cs="宋体"/>
          <w:b/>
          <w:color w:val="auto"/>
          <w:sz w:val="32"/>
          <w:szCs w:val="32"/>
          <w:highlight w:val="none"/>
          <w:lang w:val="en-US" w:eastAsia="zh-CN"/>
        </w:rPr>
        <w:t>七</w:t>
      </w:r>
      <w:r>
        <w:rPr>
          <w:rFonts w:hint="eastAsia" w:ascii="宋体" w:hAnsi="宋体" w:eastAsia="宋体" w:cs="宋体"/>
          <w:b/>
          <w:color w:val="auto"/>
          <w:sz w:val="32"/>
          <w:szCs w:val="32"/>
          <w:highlight w:val="none"/>
        </w:rPr>
        <w:t>、同类业绩</w:t>
      </w:r>
      <w:r>
        <w:rPr>
          <w:rFonts w:hint="eastAsia" w:hAnsi="宋体" w:cs="宋体"/>
          <w:b/>
          <w:color w:val="auto"/>
          <w:sz w:val="32"/>
          <w:szCs w:val="32"/>
          <w:highlight w:val="none"/>
          <w:lang w:eastAsia="zh-CN"/>
        </w:rPr>
        <w:t>（</w:t>
      </w:r>
      <w:r>
        <w:rPr>
          <w:rFonts w:hint="eastAsia" w:hAnsi="宋体" w:cs="宋体"/>
          <w:b/>
          <w:color w:val="auto"/>
          <w:sz w:val="32"/>
          <w:szCs w:val="32"/>
          <w:highlight w:val="none"/>
          <w:lang w:val="en-US" w:eastAsia="zh-CN"/>
        </w:rPr>
        <w:t>如有</w:t>
      </w:r>
      <w:r>
        <w:rPr>
          <w:rFonts w:hint="eastAsia" w:hAnsi="宋体" w:cs="宋体"/>
          <w:b/>
          <w:color w:val="auto"/>
          <w:sz w:val="32"/>
          <w:szCs w:val="32"/>
          <w:highlight w:val="none"/>
          <w:lang w:eastAsia="zh-CN"/>
        </w:rPr>
        <w:t>）</w:t>
      </w:r>
    </w:p>
    <w:p w14:paraId="4D511016">
      <w:pPr>
        <w:pStyle w:val="15"/>
        <w:widowControl w:val="0"/>
        <w:adjustRightInd w:val="0"/>
        <w:snapToGrid w:val="0"/>
        <w:jc w:val="center"/>
        <w:rPr>
          <w:rFonts w:hint="eastAsia" w:ascii="宋体" w:hAnsi="宋体" w:eastAsia="宋体" w:cs="宋体"/>
          <w:b/>
          <w:color w:val="auto"/>
          <w:sz w:val="32"/>
          <w:szCs w:val="32"/>
          <w:highlight w:val="none"/>
        </w:rPr>
      </w:pPr>
    </w:p>
    <w:tbl>
      <w:tblPr>
        <w:tblStyle w:val="31"/>
        <w:tblW w:w="881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2854"/>
        <w:gridCol w:w="1540"/>
        <w:gridCol w:w="1757"/>
        <w:gridCol w:w="1531"/>
        <w:gridCol w:w="1132"/>
      </w:tblGrid>
      <w:tr w14:paraId="2EB4432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798" w:hRule="exact"/>
          <w:jc w:val="center"/>
        </w:trPr>
        <w:tc>
          <w:tcPr>
            <w:tcW w:w="2854" w:type="dxa"/>
            <w:tcMar>
              <w:top w:w="0" w:type="dxa"/>
              <w:left w:w="108" w:type="dxa"/>
              <w:bottom w:w="0" w:type="dxa"/>
              <w:right w:w="108" w:type="dxa"/>
            </w:tcMar>
            <w:vAlign w:val="center"/>
          </w:tcPr>
          <w:p w14:paraId="56460D91">
            <w:pPr>
              <w:spacing w:before="100" w:beforeAutospacing="1" w:after="100" w:afterAutospacing="1" w:line="360" w:lineRule="atLeast"/>
              <w:jc w:val="center"/>
              <w:rPr>
                <w:rFonts w:hint="eastAsia" w:ascii="宋体" w:hAnsi="宋体" w:eastAsia="宋体" w:cs="宋体"/>
                <w:color w:val="auto"/>
                <w:highlight w:val="none"/>
              </w:rPr>
            </w:pPr>
            <w:r>
              <w:rPr>
                <w:rFonts w:hint="eastAsia" w:ascii="宋体" w:hAnsi="宋体" w:eastAsia="宋体" w:cs="宋体"/>
                <w:color w:val="auto"/>
                <w:highlight w:val="none"/>
              </w:rPr>
              <w:t>项目名称</w:t>
            </w:r>
          </w:p>
        </w:tc>
        <w:tc>
          <w:tcPr>
            <w:tcW w:w="1540" w:type="dxa"/>
            <w:tcMar>
              <w:top w:w="0" w:type="dxa"/>
              <w:left w:w="108" w:type="dxa"/>
              <w:bottom w:w="0" w:type="dxa"/>
              <w:right w:w="108" w:type="dxa"/>
            </w:tcMar>
            <w:vAlign w:val="center"/>
          </w:tcPr>
          <w:p w14:paraId="62F709B2">
            <w:pPr>
              <w:spacing w:before="100" w:beforeAutospacing="1" w:after="100" w:afterAutospacing="1" w:line="360" w:lineRule="atLeast"/>
              <w:jc w:val="center"/>
              <w:rPr>
                <w:rFonts w:hint="eastAsia" w:ascii="宋体" w:hAnsi="宋体" w:eastAsia="宋体" w:cs="宋体"/>
                <w:color w:val="auto"/>
                <w:highlight w:val="none"/>
              </w:rPr>
            </w:pPr>
            <w:r>
              <w:rPr>
                <w:rFonts w:hint="eastAsia" w:ascii="宋体" w:hAnsi="宋体" w:eastAsia="宋体" w:cs="宋体"/>
                <w:color w:val="auto"/>
                <w:highlight w:val="none"/>
              </w:rPr>
              <w:t>合同金额</w:t>
            </w:r>
          </w:p>
        </w:tc>
        <w:tc>
          <w:tcPr>
            <w:tcW w:w="1757" w:type="dxa"/>
            <w:tcMar>
              <w:top w:w="0" w:type="dxa"/>
              <w:left w:w="108" w:type="dxa"/>
              <w:bottom w:w="0" w:type="dxa"/>
              <w:right w:w="108" w:type="dxa"/>
            </w:tcMar>
            <w:vAlign w:val="center"/>
          </w:tcPr>
          <w:p w14:paraId="36DE68FB">
            <w:pPr>
              <w:spacing w:before="100" w:beforeAutospacing="1" w:after="100" w:afterAutospacing="1" w:line="360" w:lineRule="atLeast"/>
              <w:jc w:val="center"/>
              <w:rPr>
                <w:rFonts w:hint="eastAsia" w:ascii="宋体" w:hAnsi="宋体" w:eastAsia="宋体" w:cs="宋体"/>
                <w:color w:val="auto"/>
                <w:highlight w:val="none"/>
              </w:rPr>
            </w:pPr>
            <w:r>
              <w:rPr>
                <w:rFonts w:hint="eastAsia" w:ascii="宋体" w:hAnsi="宋体" w:eastAsia="宋体" w:cs="宋体"/>
                <w:color w:val="auto"/>
                <w:highlight w:val="none"/>
              </w:rPr>
              <w:t>签订时间</w:t>
            </w:r>
          </w:p>
        </w:tc>
        <w:tc>
          <w:tcPr>
            <w:tcW w:w="1531" w:type="dxa"/>
            <w:tcMar>
              <w:top w:w="0" w:type="dxa"/>
              <w:left w:w="108" w:type="dxa"/>
              <w:bottom w:w="0" w:type="dxa"/>
              <w:right w:w="108" w:type="dxa"/>
            </w:tcMar>
            <w:vAlign w:val="center"/>
          </w:tcPr>
          <w:p w14:paraId="79E3AE8B">
            <w:pPr>
              <w:spacing w:before="100" w:beforeAutospacing="1" w:after="100" w:afterAutospacing="1" w:line="360" w:lineRule="atLeast"/>
              <w:jc w:val="center"/>
              <w:rPr>
                <w:rFonts w:hint="eastAsia" w:ascii="宋体" w:hAnsi="宋体" w:eastAsia="宋体" w:cs="宋体"/>
                <w:color w:val="auto"/>
                <w:highlight w:val="none"/>
              </w:rPr>
            </w:pPr>
            <w:r>
              <w:rPr>
                <w:rFonts w:hint="eastAsia" w:ascii="宋体" w:hAnsi="宋体" w:eastAsia="宋体" w:cs="宋体"/>
                <w:color w:val="auto"/>
                <w:highlight w:val="none"/>
              </w:rPr>
              <w:t>业主名称及联系方式</w:t>
            </w:r>
          </w:p>
        </w:tc>
        <w:tc>
          <w:tcPr>
            <w:tcW w:w="1132" w:type="dxa"/>
            <w:tcMar>
              <w:top w:w="0" w:type="dxa"/>
              <w:left w:w="108" w:type="dxa"/>
              <w:bottom w:w="0" w:type="dxa"/>
              <w:right w:w="108" w:type="dxa"/>
            </w:tcMar>
            <w:vAlign w:val="center"/>
          </w:tcPr>
          <w:p w14:paraId="16BD88BF">
            <w:pPr>
              <w:spacing w:before="100" w:beforeAutospacing="1" w:after="100" w:afterAutospacing="1" w:line="360" w:lineRule="atLeast"/>
              <w:jc w:val="center"/>
              <w:rPr>
                <w:rFonts w:hint="eastAsia" w:ascii="宋体" w:hAnsi="宋体" w:eastAsia="宋体" w:cs="宋体"/>
                <w:color w:val="auto"/>
                <w:highlight w:val="none"/>
              </w:rPr>
            </w:pPr>
            <w:r>
              <w:rPr>
                <w:rFonts w:hint="eastAsia" w:ascii="宋体" w:hAnsi="宋体" w:eastAsia="宋体" w:cs="宋体"/>
                <w:color w:val="auto"/>
                <w:highlight w:val="none"/>
              </w:rPr>
              <w:t>备注</w:t>
            </w:r>
          </w:p>
        </w:tc>
      </w:tr>
      <w:tr w14:paraId="4331404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567" w:hRule="exact"/>
          <w:jc w:val="center"/>
        </w:trPr>
        <w:tc>
          <w:tcPr>
            <w:tcW w:w="2854" w:type="dxa"/>
            <w:tcMar>
              <w:top w:w="0" w:type="dxa"/>
              <w:left w:w="108" w:type="dxa"/>
              <w:bottom w:w="0" w:type="dxa"/>
              <w:right w:w="108" w:type="dxa"/>
            </w:tcMar>
            <w:vAlign w:val="center"/>
          </w:tcPr>
          <w:p w14:paraId="511124DD">
            <w:pPr>
              <w:spacing w:before="100" w:beforeAutospacing="1" w:after="100" w:afterAutospacing="1" w:line="360" w:lineRule="atLeast"/>
              <w:jc w:val="center"/>
              <w:rPr>
                <w:rFonts w:hint="eastAsia" w:ascii="宋体" w:hAnsi="宋体" w:eastAsia="宋体" w:cs="宋体"/>
                <w:color w:val="auto"/>
                <w:highlight w:val="none"/>
                <w:lang w:eastAsia="zh-CN"/>
              </w:rPr>
            </w:pPr>
          </w:p>
        </w:tc>
        <w:tc>
          <w:tcPr>
            <w:tcW w:w="1540" w:type="dxa"/>
            <w:tcMar>
              <w:top w:w="0" w:type="dxa"/>
              <w:left w:w="108" w:type="dxa"/>
              <w:bottom w:w="0" w:type="dxa"/>
              <w:right w:w="108" w:type="dxa"/>
            </w:tcMar>
            <w:vAlign w:val="center"/>
          </w:tcPr>
          <w:p w14:paraId="76AA6F63">
            <w:pPr>
              <w:spacing w:before="100" w:beforeAutospacing="1" w:after="100" w:afterAutospacing="1" w:line="360" w:lineRule="atLeast"/>
              <w:jc w:val="center"/>
              <w:rPr>
                <w:rFonts w:hint="eastAsia" w:ascii="宋体" w:hAnsi="宋体" w:eastAsia="宋体" w:cs="宋体"/>
                <w:color w:val="auto"/>
                <w:highlight w:val="none"/>
                <w:lang w:eastAsia="zh-CN"/>
              </w:rPr>
            </w:pPr>
          </w:p>
        </w:tc>
        <w:tc>
          <w:tcPr>
            <w:tcW w:w="1757" w:type="dxa"/>
            <w:tcMar>
              <w:top w:w="0" w:type="dxa"/>
              <w:left w:w="108" w:type="dxa"/>
              <w:bottom w:w="0" w:type="dxa"/>
              <w:right w:w="108" w:type="dxa"/>
            </w:tcMar>
            <w:vAlign w:val="center"/>
          </w:tcPr>
          <w:p w14:paraId="11A27079">
            <w:pPr>
              <w:spacing w:before="100" w:beforeAutospacing="1" w:after="100" w:afterAutospacing="1" w:line="360" w:lineRule="atLeast"/>
              <w:jc w:val="center"/>
              <w:rPr>
                <w:rFonts w:hint="eastAsia" w:ascii="宋体" w:hAnsi="宋体" w:eastAsia="宋体" w:cs="宋体"/>
                <w:color w:val="auto"/>
                <w:highlight w:val="none"/>
                <w:lang w:eastAsia="zh-CN"/>
              </w:rPr>
            </w:pPr>
          </w:p>
        </w:tc>
        <w:tc>
          <w:tcPr>
            <w:tcW w:w="1531" w:type="dxa"/>
            <w:tcMar>
              <w:top w:w="0" w:type="dxa"/>
              <w:left w:w="108" w:type="dxa"/>
              <w:bottom w:w="0" w:type="dxa"/>
              <w:right w:w="108" w:type="dxa"/>
            </w:tcMar>
            <w:vAlign w:val="center"/>
          </w:tcPr>
          <w:p w14:paraId="30C233E6">
            <w:pPr>
              <w:spacing w:before="100" w:beforeAutospacing="1" w:after="100" w:afterAutospacing="1" w:line="360" w:lineRule="atLeast"/>
              <w:jc w:val="center"/>
              <w:rPr>
                <w:rFonts w:hint="eastAsia" w:ascii="宋体" w:hAnsi="宋体" w:eastAsia="宋体" w:cs="宋体"/>
                <w:color w:val="auto"/>
                <w:highlight w:val="none"/>
              </w:rPr>
            </w:pPr>
          </w:p>
        </w:tc>
        <w:tc>
          <w:tcPr>
            <w:tcW w:w="1132" w:type="dxa"/>
            <w:tcMar>
              <w:top w:w="0" w:type="dxa"/>
              <w:left w:w="108" w:type="dxa"/>
              <w:bottom w:w="0" w:type="dxa"/>
              <w:right w:w="108" w:type="dxa"/>
            </w:tcMar>
            <w:vAlign w:val="center"/>
          </w:tcPr>
          <w:p w14:paraId="594E4DDE">
            <w:pPr>
              <w:spacing w:before="100" w:beforeAutospacing="1" w:after="100" w:afterAutospacing="1" w:line="360" w:lineRule="atLeast"/>
              <w:jc w:val="center"/>
              <w:rPr>
                <w:rFonts w:hint="eastAsia" w:ascii="宋体" w:hAnsi="宋体" w:eastAsia="宋体" w:cs="宋体"/>
                <w:color w:val="auto"/>
                <w:highlight w:val="none"/>
                <w:lang w:eastAsia="zh-CN"/>
              </w:rPr>
            </w:pPr>
          </w:p>
        </w:tc>
      </w:tr>
      <w:tr w14:paraId="762D36A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567" w:hRule="exact"/>
          <w:jc w:val="center"/>
        </w:trPr>
        <w:tc>
          <w:tcPr>
            <w:tcW w:w="2854" w:type="dxa"/>
            <w:tcMar>
              <w:top w:w="0" w:type="dxa"/>
              <w:left w:w="108" w:type="dxa"/>
              <w:bottom w:w="0" w:type="dxa"/>
              <w:right w:w="108" w:type="dxa"/>
            </w:tcMar>
            <w:vAlign w:val="center"/>
          </w:tcPr>
          <w:p w14:paraId="7E0CD92B">
            <w:pPr>
              <w:spacing w:before="100" w:beforeAutospacing="1" w:after="100" w:afterAutospacing="1" w:line="360" w:lineRule="atLeast"/>
              <w:jc w:val="center"/>
              <w:rPr>
                <w:rFonts w:hint="eastAsia" w:ascii="宋体" w:hAnsi="宋体" w:eastAsia="宋体" w:cs="宋体"/>
                <w:color w:val="auto"/>
                <w:highlight w:val="none"/>
                <w:lang w:eastAsia="zh-CN"/>
              </w:rPr>
            </w:pPr>
          </w:p>
        </w:tc>
        <w:tc>
          <w:tcPr>
            <w:tcW w:w="1540" w:type="dxa"/>
            <w:tcMar>
              <w:top w:w="0" w:type="dxa"/>
              <w:left w:w="108" w:type="dxa"/>
              <w:bottom w:w="0" w:type="dxa"/>
              <w:right w:w="108" w:type="dxa"/>
            </w:tcMar>
            <w:vAlign w:val="center"/>
          </w:tcPr>
          <w:p w14:paraId="0500EDD6">
            <w:pPr>
              <w:spacing w:before="100" w:beforeAutospacing="1" w:after="100" w:afterAutospacing="1" w:line="360" w:lineRule="atLeast"/>
              <w:jc w:val="center"/>
              <w:rPr>
                <w:rFonts w:hint="eastAsia" w:ascii="宋体" w:hAnsi="宋体" w:eastAsia="宋体" w:cs="宋体"/>
                <w:color w:val="auto"/>
                <w:highlight w:val="none"/>
                <w:lang w:eastAsia="zh-CN"/>
              </w:rPr>
            </w:pPr>
          </w:p>
        </w:tc>
        <w:tc>
          <w:tcPr>
            <w:tcW w:w="1757" w:type="dxa"/>
            <w:tcMar>
              <w:top w:w="0" w:type="dxa"/>
              <w:left w:w="108" w:type="dxa"/>
              <w:bottom w:w="0" w:type="dxa"/>
              <w:right w:w="108" w:type="dxa"/>
            </w:tcMar>
            <w:vAlign w:val="center"/>
          </w:tcPr>
          <w:p w14:paraId="7E5DA827">
            <w:pPr>
              <w:spacing w:before="100" w:beforeAutospacing="1" w:after="100" w:afterAutospacing="1" w:line="360" w:lineRule="atLeast"/>
              <w:jc w:val="center"/>
              <w:rPr>
                <w:rFonts w:hint="eastAsia" w:ascii="宋体" w:hAnsi="宋体" w:eastAsia="宋体" w:cs="宋体"/>
                <w:color w:val="auto"/>
                <w:highlight w:val="none"/>
                <w:lang w:eastAsia="zh-CN"/>
              </w:rPr>
            </w:pPr>
          </w:p>
        </w:tc>
        <w:tc>
          <w:tcPr>
            <w:tcW w:w="1531" w:type="dxa"/>
            <w:tcMar>
              <w:top w:w="0" w:type="dxa"/>
              <w:left w:w="108" w:type="dxa"/>
              <w:bottom w:w="0" w:type="dxa"/>
              <w:right w:w="108" w:type="dxa"/>
            </w:tcMar>
            <w:vAlign w:val="center"/>
          </w:tcPr>
          <w:p w14:paraId="420368C3">
            <w:pPr>
              <w:spacing w:before="100" w:beforeAutospacing="1" w:after="100" w:afterAutospacing="1" w:line="360" w:lineRule="atLeast"/>
              <w:jc w:val="center"/>
              <w:rPr>
                <w:rFonts w:hint="eastAsia" w:ascii="宋体" w:hAnsi="宋体" w:eastAsia="宋体" w:cs="宋体"/>
                <w:color w:val="auto"/>
                <w:highlight w:val="none"/>
              </w:rPr>
            </w:pPr>
          </w:p>
        </w:tc>
        <w:tc>
          <w:tcPr>
            <w:tcW w:w="1132" w:type="dxa"/>
            <w:tcMar>
              <w:top w:w="0" w:type="dxa"/>
              <w:left w:w="108" w:type="dxa"/>
              <w:bottom w:w="0" w:type="dxa"/>
              <w:right w:w="108" w:type="dxa"/>
            </w:tcMar>
            <w:vAlign w:val="center"/>
          </w:tcPr>
          <w:p w14:paraId="56A15919">
            <w:pPr>
              <w:spacing w:before="100" w:beforeAutospacing="1" w:after="100" w:afterAutospacing="1" w:line="360" w:lineRule="atLeast"/>
              <w:jc w:val="center"/>
              <w:rPr>
                <w:rFonts w:hint="eastAsia" w:ascii="宋体" w:hAnsi="宋体" w:eastAsia="宋体" w:cs="宋体"/>
                <w:color w:val="auto"/>
                <w:highlight w:val="none"/>
                <w:lang w:eastAsia="zh-CN"/>
              </w:rPr>
            </w:pPr>
          </w:p>
        </w:tc>
      </w:tr>
      <w:tr w14:paraId="07959E5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567" w:hRule="exact"/>
          <w:jc w:val="center"/>
        </w:trPr>
        <w:tc>
          <w:tcPr>
            <w:tcW w:w="2854" w:type="dxa"/>
            <w:tcMar>
              <w:top w:w="0" w:type="dxa"/>
              <w:left w:w="108" w:type="dxa"/>
              <w:bottom w:w="0" w:type="dxa"/>
              <w:right w:w="108" w:type="dxa"/>
            </w:tcMar>
            <w:vAlign w:val="center"/>
          </w:tcPr>
          <w:p w14:paraId="2D5FB2AF">
            <w:pPr>
              <w:spacing w:before="100" w:beforeAutospacing="1" w:after="100" w:afterAutospacing="1" w:line="360" w:lineRule="atLeast"/>
              <w:jc w:val="center"/>
              <w:rPr>
                <w:rFonts w:hint="eastAsia" w:ascii="宋体" w:hAnsi="宋体" w:eastAsia="宋体" w:cs="宋体"/>
                <w:color w:val="auto"/>
                <w:highlight w:val="none"/>
                <w:lang w:eastAsia="zh-CN"/>
              </w:rPr>
            </w:pPr>
          </w:p>
        </w:tc>
        <w:tc>
          <w:tcPr>
            <w:tcW w:w="1540" w:type="dxa"/>
            <w:tcMar>
              <w:top w:w="0" w:type="dxa"/>
              <w:left w:w="108" w:type="dxa"/>
              <w:bottom w:w="0" w:type="dxa"/>
              <w:right w:w="108" w:type="dxa"/>
            </w:tcMar>
            <w:vAlign w:val="center"/>
          </w:tcPr>
          <w:p w14:paraId="07C140F7">
            <w:pPr>
              <w:spacing w:before="100" w:beforeAutospacing="1" w:after="100" w:afterAutospacing="1" w:line="360" w:lineRule="atLeast"/>
              <w:jc w:val="center"/>
              <w:rPr>
                <w:rFonts w:hint="eastAsia" w:ascii="宋体" w:hAnsi="宋体" w:eastAsia="宋体" w:cs="宋体"/>
                <w:color w:val="auto"/>
                <w:highlight w:val="none"/>
                <w:lang w:eastAsia="zh-CN"/>
              </w:rPr>
            </w:pPr>
          </w:p>
        </w:tc>
        <w:tc>
          <w:tcPr>
            <w:tcW w:w="1757" w:type="dxa"/>
            <w:tcMar>
              <w:top w:w="0" w:type="dxa"/>
              <w:left w:w="108" w:type="dxa"/>
              <w:bottom w:w="0" w:type="dxa"/>
              <w:right w:w="108" w:type="dxa"/>
            </w:tcMar>
            <w:vAlign w:val="center"/>
          </w:tcPr>
          <w:p w14:paraId="56DB25A0">
            <w:pPr>
              <w:spacing w:before="100" w:beforeAutospacing="1" w:after="100" w:afterAutospacing="1" w:line="360" w:lineRule="atLeast"/>
              <w:jc w:val="center"/>
              <w:rPr>
                <w:rFonts w:hint="eastAsia" w:ascii="宋体" w:hAnsi="宋体" w:eastAsia="宋体" w:cs="宋体"/>
                <w:color w:val="auto"/>
                <w:highlight w:val="none"/>
                <w:lang w:eastAsia="zh-CN"/>
              </w:rPr>
            </w:pPr>
          </w:p>
        </w:tc>
        <w:tc>
          <w:tcPr>
            <w:tcW w:w="1531" w:type="dxa"/>
            <w:tcMar>
              <w:top w:w="0" w:type="dxa"/>
              <w:left w:w="108" w:type="dxa"/>
              <w:bottom w:w="0" w:type="dxa"/>
              <w:right w:w="108" w:type="dxa"/>
            </w:tcMar>
            <w:vAlign w:val="center"/>
          </w:tcPr>
          <w:p w14:paraId="04B25AA1">
            <w:pPr>
              <w:spacing w:before="100" w:beforeAutospacing="1" w:after="100" w:afterAutospacing="1" w:line="360" w:lineRule="atLeast"/>
              <w:jc w:val="center"/>
              <w:rPr>
                <w:rFonts w:hint="eastAsia" w:ascii="宋体" w:hAnsi="宋体" w:eastAsia="宋体" w:cs="宋体"/>
                <w:color w:val="auto"/>
                <w:highlight w:val="none"/>
              </w:rPr>
            </w:pPr>
          </w:p>
        </w:tc>
        <w:tc>
          <w:tcPr>
            <w:tcW w:w="1132" w:type="dxa"/>
            <w:tcMar>
              <w:top w:w="0" w:type="dxa"/>
              <w:left w:w="108" w:type="dxa"/>
              <w:bottom w:w="0" w:type="dxa"/>
              <w:right w:w="108" w:type="dxa"/>
            </w:tcMar>
            <w:vAlign w:val="center"/>
          </w:tcPr>
          <w:p w14:paraId="5C67FE01">
            <w:pPr>
              <w:spacing w:before="100" w:beforeAutospacing="1" w:after="100" w:afterAutospacing="1" w:line="360" w:lineRule="atLeast"/>
              <w:jc w:val="center"/>
              <w:rPr>
                <w:rFonts w:hint="eastAsia" w:ascii="宋体" w:hAnsi="宋体" w:eastAsia="宋体" w:cs="宋体"/>
                <w:color w:val="auto"/>
                <w:highlight w:val="none"/>
                <w:lang w:eastAsia="zh-CN"/>
              </w:rPr>
            </w:pPr>
          </w:p>
        </w:tc>
      </w:tr>
      <w:tr w14:paraId="3882A06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567" w:hRule="exact"/>
          <w:jc w:val="center"/>
        </w:trPr>
        <w:tc>
          <w:tcPr>
            <w:tcW w:w="2854" w:type="dxa"/>
            <w:tcMar>
              <w:top w:w="0" w:type="dxa"/>
              <w:left w:w="108" w:type="dxa"/>
              <w:bottom w:w="0" w:type="dxa"/>
              <w:right w:w="108" w:type="dxa"/>
            </w:tcMar>
            <w:vAlign w:val="center"/>
          </w:tcPr>
          <w:p w14:paraId="562ABE97">
            <w:pPr>
              <w:spacing w:before="100" w:beforeAutospacing="1" w:after="100" w:afterAutospacing="1" w:line="360" w:lineRule="atLeast"/>
              <w:jc w:val="center"/>
              <w:rPr>
                <w:rFonts w:hint="eastAsia" w:ascii="宋体" w:hAnsi="宋体" w:eastAsia="宋体" w:cs="宋体"/>
                <w:color w:val="auto"/>
                <w:highlight w:val="none"/>
                <w:lang w:eastAsia="zh-CN"/>
              </w:rPr>
            </w:pPr>
          </w:p>
        </w:tc>
        <w:tc>
          <w:tcPr>
            <w:tcW w:w="1540" w:type="dxa"/>
            <w:tcMar>
              <w:top w:w="0" w:type="dxa"/>
              <w:left w:w="108" w:type="dxa"/>
              <w:bottom w:w="0" w:type="dxa"/>
              <w:right w:w="108" w:type="dxa"/>
            </w:tcMar>
            <w:vAlign w:val="center"/>
          </w:tcPr>
          <w:p w14:paraId="7BC1A2C9">
            <w:pPr>
              <w:spacing w:before="100" w:beforeAutospacing="1" w:after="100" w:afterAutospacing="1" w:line="360" w:lineRule="atLeast"/>
              <w:jc w:val="center"/>
              <w:rPr>
                <w:rFonts w:hint="eastAsia" w:ascii="宋体" w:hAnsi="宋体" w:eastAsia="宋体" w:cs="宋体"/>
                <w:color w:val="auto"/>
                <w:highlight w:val="none"/>
                <w:lang w:eastAsia="zh-CN"/>
              </w:rPr>
            </w:pPr>
          </w:p>
        </w:tc>
        <w:tc>
          <w:tcPr>
            <w:tcW w:w="1757" w:type="dxa"/>
            <w:tcMar>
              <w:top w:w="0" w:type="dxa"/>
              <w:left w:w="108" w:type="dxa"/>
              <w:bottom w:w="0" w:type="dxa"/>
              <w:right w:w="108" w:type="dxa"/>
            </w:tcMar>
            <w:vAlign w:val="center"/>
          </w:tcPr>
          <w:p w14:paraId="70479894">
            <w:pPr>
              <w:spacing w:before="100" w:beforeAutospacing="1" w:after="100" w:afterAutospacing="1" w:line="360" w:lineRule="atLeast"/>
              <w:jc w:val="center"/>
              <w:rPr>
                <w:rFonts w:hint="eastAsia" w:ascii="宋体" w:hAnsi="宋体" w:eastAsia="宋体" w:cs="宋体"/>
                <w:color w:val="auto"/>
                <w:highlight w:val="none"/>
                <w:lang w:eastAsia="zh-CN"/>
              </w:rPr>
            </w:pPr>
          </w:p>
        </w:tc>
        <w:tc>
          <w:tcPr>
            <w:tcW w:w="1531" w:type="dxa"/>
            <w:tcMar>
              <w:top w:w="0" w:type="dxa"/>
              <w:left w:w="108" w:type="dxa"/>
              <w:bottom w:w="0" w:type="dxa"/>
              <w:right w:w="108" w:type="dxa"/>
            </w:tcMar>
            <w:vAlign w:val="center"/>
          </w:tcPr>
          <w:p w14:paraId="35BE2C44">
            <w:pPr>
              <w:spacing w:before="100" w:beforeAutospacing="1" w:after="100" w:afterAutospacing="1" w:line="360" w:lineRule="atLeast"/>
              <w:jc w:val="center"/>
              <w:rPr>
                <w:rFonts w:hint="eastAsia" w:ascii="宋体" w:hAnsi="宋体" w:eastAsia="宋体" w:cs="宋体"/>
                <w:color w:val="auto"/>
                <w:highlight w:val="none"/>
              </w:rPr>
            </w:pPr>
          </w:p>
        </w:tc>
        <w:tc>
          <w:tcPr>
            <w:tcW w:w="1132" w:type="dxa"/>
            <w:tcMar>
              <w:top w:w="0" w:type="dxa"/>
              <w:left w:w="108" w:type="dxa"/>
              <w:bottom w:w="0" w:type="dxa"/>
              <w:right w:w="108" w:type="dxa"/>
            </w:tcMar>
            <w:vAlign w:val="center"/>
          </w:tcPr>
          <w:p w14:paraId="420501E8">
            <w:pPr>
              <w:spacing w:before="100" w:beforeAutospacing="1" w:after="100" w:afterAutospacing="1" w:line="360" w:lineRule="atLeast"/>
              <w:jc w:val="center"/>
              <w:rPr>
                <w:rFonts w:hint="eastAsia" w:ascii="宋体" w:hAnsi="宋体" w:eastAsia="宋体" w:cs="宋体"/>
                <w:color w:val="auto"/>
                <w:highlight w:val="none"/>
                <w:lang w:eastAsia="zh-CN"/>
              </w:rPr>
            </w:pPr>
          </w:p>
        </w:tc>
      </w:tr>
    </w:tbl>
    <w:p w14:paraId="15684163">
      <w:pPr>
        <w:widowControl w:val="0"/>
        <w:adjustRightInd w:val="0"/>
        <w:snapToGrid w:val="0"/>
        <w:spacing w:line="440" w:lineRule="exact"/>
        <w:ind w:firstLine="435"/>
        <w:rPr>
          <w:rFonts w:hint="eastAsia" w:ascii="宋体" w:hAnsi="宋体" w:eastAsia="宋体" w:cs="宋体"/>
          <w:color w:val="auto"/>
          <w:highlight w:val="none"/>
        </w:rPr>
      </w:pPr>
      <w:r>
        <w:rPr>
          <w:rFonts w:hint="eastAsia" w:ascii="宋体" w:hAnsi="宋体" w:eastAsia="宋体" w:cs="宋体"/>
          <w:color w:val="auto"/>
          <w:highlight w:val="none"/>
        </w:rPr>
        <w:t>注：须附合同复印件。</w:t>
      </w:r>
    </w:p>
    <w:p w14:paraId="732BA6FA">
      <w:pPr>
        <w:shd w:val="clear" w:color="auto" w:fill="FFFFFF"/>
        <w:spacing w:before="100" w:beforeAutospacing="1" w:after="100" w:afterAutospacing="1" w:line="500" w:lineRule="atLeast"/>
        <w:ind w:firstLine="358"/>
        <w:jc w:val="center"/>
        <w:rPr>
          <w:rFonts w:hint="eastAsia" w:ascii="宋体" w:hAnsi="宋体" w:eastAsia="宋体" w:cs="宋体"/>
          <w:color w:val="auto"/>
          <w:szCs w:val="28"/>
          <w:highlight w:val="none"/>
        </w:rPr>
      </w:pPr>
    </w:p>
    <w:p w14:paraId="6D056E47">
      <w:pPr>
        <w:pStyle w:val="30"/>
        <w:rPr>
          <w:rFonts w:hint="eastAsia" w:ascii="宋体" w:hAnsi="宋体" w:eastAsia="宋体" w:cs="宋体"/>
          <w:color w:val="auto"/>
          <w:szCs w:val="28"/>
          <w:highlight w:val="none"/>
        </w:rPr>
      </w:pPr>
    </w:p>
    <w:p w14:paraId="5722BB24">
      <w:pPr>
        <w:rPr>
          <w:rFonts w:hint="eastAsia" w:ascii="宋体" w:hAnsi="宋体" w:cs="宋体"/>
          <w:b/>
          <w:color w:val="auto"/>
          <w:sz w:val="24"/>
          <w:szCs w:val="22"/>
          <w:highlight w:val="none"/>
        </w:rPr>
      </w:pPr>
      <w:r>
        <w:rPr>
          <w:rFonts w:hint="eastAsia" w:ascii="宋体" w:hAnsi="宋体" w:cs="宋体"/>
          <w:b/>
          <w:color w:val="auto"/>
          <w:sz w:val="24"/>
          <w:szCs w:val="22"/>
          <w:highlight w:val="none"/>
        </w:rPr>
        <w:br w:type="page"/>
      </w:r>
    </w:p>
    <w:p w14:paraId="77F75EAC">
      <w:pPr>
        <w:widowControl w:val="0"/>
        <w:adjustRightInd w:val="0"/>
        <w:snapToGrid w:val="0"/>
        <w:spacing w:line="360" w:lineRule="auto"/>
        <w:ind w:firstLine="540" w:firstLineChars="224"/>
        <w:rPr>
          <w:rFonts w:ascii="宋体" w:hAnsi="宋体" w:cs="宋体"/>
          <w:b/>
          <w:color w:val="auto"/>
          <w:sz w:val="24"/>
          <w:szCs w:val="22"/>
          <w:highlight w:val="none"/>
        </w:rPr>
      </w:pPr>
      <w:r>
        <w:rPr>
          <w:rFonts w:hint="eastAsia" w:ascii="宋体" w:hAnsi="宋体" w:cs="宋体"/>
          <w:b/>
          <w:color w:val="auto"/>
          <w:sz w:val="24"/>
          <w:szCs w:val="22"/>
          <w:highlight w:val="none"/>
        </w:rPr>
        <w:t>3.</w:t>
      </w:r>
      <w:r>
        <w:rPr>
          <w:rFonts w:hint="eastAsia" w:ascii="宋体" w:hAnsi="宋体" w:cs="宋体"/>
          <w:b/>
          <w:color w:val="auto"/>
          <w:sz w:val="24"/>
          <w:szCs w:val="22"/>
          <w:highlight w:val="none"/>
          <w:lang w:eastAsia="zh-CN"/>
        </w:rPr>
        <w:t>报价文件</w:t>
      </w:r>
      <w:r>
        <w:rPr>
          <w:rFonts w:hint="eastAsia" w:ascii="宋体" w:hAnsi="宋体" w:cs="宋体"/>
          <w:b/>
          <w:color w:val="auto"/>
          <w:sz w:val="24"/>
          <w:szCs w:val="22"/>
          <w:highlight w:val="none"/>
        </w:rPr>
        <w:t>：</w:t>
      </w:r>
    </w:p>
    <w:p w14:paraId="764058C2">
      <w:pPr>
        <w:pStyle w:val="30"/>
        <w:jc w:val="center"/>
        <w:rPr>
          <w:rFonts w:ascii="宋体" w:hAnsi="宋体"/>
          <w:color w:val="auto"/>
          <w:sz w:val="32"/>
          <w:szCs w:val="32"/>
          <w:highlight w:val="none"/>
        </w:rPr>
      </w:pPr>
      <w:r>
        <w:rPr>
          <w:rFonts w:hint="eastAsia" w:ascii="宋体" w:hAnsi="宋体"/>
          <w:b/>
          <w:color w:val="auto"/>
          <w:sz w:val="32"/>
          <w:szCs w:val="32"/>
          <w:highlight w:val="none"/>
          <w:lang w:eastAsia="zh-CN"/>
        </w:rPr>
        <w:t>报价文件</w:t>
      </w:r>
      <w:r>
        <w:rPr>
          <w:rFonts w:hint="eastAsia" w:ascii="宋体" w:hAnsi="宋体"/>
          <w:b/>
          <w:color w:val="auto"/>
          <w:sz w:val="32"/>
          <w:szCs w:val="32"/>
          <w:highlight w:val="none"/>
        </w:rPr>
        <w:t>目录</w:t>
      </w:r>
    </w:p>
    <w:p w14:paraId="061FBA67">
      <w:pPr>
        <w:widowControl w:val="0"/>
        <w:adjustRightInd w:val="0"/>
        <w:snapToGrid w:val="0"/>
        <w:spacing w:line="420" w:lineRule="exact"/>
        <w:ind w:firstLine="537" w:firstLineChars="224"/>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w:t>
      </w:r>
      <w:r>
        <w:rPr>
          <w:rFonts w:hint="eastAsia" w:ascii="宋体" w:hAnsi="宋体" w:eastAsia="宋体" w:cs="宋体"/>
          <w:color w:val="auto"/>
          <w:sz w:val="24"/>
          <w:szCs w:val="22"/>
          <w:highlight w:val="none"/>
          <w:lang w:val="en-US" w:eastAsia="zh-CN"/>
        </w:rPr>
        <w:t>1</w:t>
      </w:r>
      <w:r>
        <w:rPr>
          <w:rFonts w:hint="eastAsia" w:ascii="宋体" w:hAnsi="宋体" w:eastAsia="宋体" w:cs="宋体"/>
          <w:color w:val="auto"/>
          <w:sz w:val="24"/>
          <w:szCs w:val="22"/>
          <w:highlight w:val="none"/>
        </w:rPr>
        <w:t>）报价一览表；</w:t>
      </w:r>
    </w:p>
    <w:p w14:paraId="09C6282B">
      <w:pPr>
        <w:widowControl w:val="0"/>
        <w:adjustRightInd w:val="0"/>
        <w:snapToGrid w:val="0"/>
        <w:spacing w:line="420" w:lineRule="exact"/>
        <w:ind w:firstLine="537" w:firstLineChars="224"/>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w:t>
      </w:r>
      <w:r>
        <w:rPr>
          <w:rFonts w:hint="eastAsia" w:ascii="宋体" w:hAnsi="宋体" w:eastAsia="宋体" w:cs="宋体"/>
          <w:color w:val="auto"/>
          <w:sz w:val="24"/>
          <w:szCs w:val="22"/>
          <w:highlight w:val="none"/>
          <w:lang w:val="en-US" w:eastAsia="zh-CN"/>
        </w:rPr>
        <w:t>2</w:t>
      </w:r>
      <w:r>
        <w:rPr>
          <w:rFonts w:hint="eastAsia" w:ascii="宋体" w:hAnsi="宋体" w:eastAsia="宋体" w:cs="宋体"/>
          <w:color w:val="auto"/>
          <w:sz w:val="24"/>
          <w:szCs w:val="22"/>
          <w:highlight w:val="none"/>
        </w:rPr>
        <w:t>）其他供应商认为有必要提供的资料。</w:t>
      </w:r>
    </w:p>
    <w:p w14:paraId="72F937BC">
      <w:pPr>
        <w:widowControl w:val="0"/>
        <w:adjustRightInd w:val="0"/>
        <w:snapToGrid w:val="0"/>
        <w:spacing w:line="420" w:lineRule="exact"/>
        <w:ind w:firstLine="537" w:firstLineChars="224"/>
        <w:rPr>
          <w:rFonts w:hint="eastAsia" w:ascii="宋体" w:hAnsi="宋体" w:eastAsia="宋体" w:cs="宋体"/>
          <w:color w:val="auto"/>
          <w:sz w:val="24"/>
          <w:szCs w:val="22"/>
          <w:highlight w:val="none"/>
          <w:lang w:val="en-US" w:eastAsia="zh-CN"/>
        </w:rPr>
      </w:pPr>
      <w:r>
        <w:rPr>
          <w:rFonts w:hint="eastAsia" w:ascii="宋体" w:hAnsi="宋体" w:eastAsia="宋体" w:cs="宋体"/>
          <w:color w:val="auto"/>
          <w:sz w:val="24"/>
          <w:szCs w:val="22"/>
          <w:highlight w:val="none"/>
          <w:lang w:eastAsia="zh-CN"/>
        </w:rPr>
        <w:t>（</w:t>
      </w:r>
      <w:r>
        <w:rPr>
          <w:rFonts w:hint="eastAsia" w:ascii="宋体" w:hAnsi="宋体" w:eastAsia="宋体" w:cs="宋体"/>
          <w:color w:val="auto"/>
          <w:sz w:val="24"/>
          <w:szCs w:val="22"/>
          <w:highlight w:val="none"/>
          <w:lang w:val="en-US" w:eastAsia="zh-CN"/>
        </w:rPr>
        <w:t>3</w:t>
      </w:r>
      <w:r>
        <w:rPr>
          <w:rFonts w:hint="eastAsia" w:ascii="宋体" w:hAnsi="宋体" w:eastAsia="宋体" w:cs="宋体"/>
          <w:color w:val="auto"/>
          <w:sz w:val="24"/>
          <w:szCs w:val="22"/>
          <w:highlight w:val="none"/>
          <w:lang w:eastAsia="zh-CN"/>
        </w:rPr>
        <w:t>）</w:t>
      </w:r>
      <w:r>
        <w:rPr>
          <w:rFonts w:hint="eastAsia" w:ascii="宋体" w:hAnsi="宋体" w:eastAsia="宋体" w:cs="宋体"/>
          <w:color w:val="auto"/>
          <w:sz w:val="24"/>
          <w:szCs w:val="22"/>
          <w:highlight w:val="none"/>
          <w:lang w:val="en-US" w:eastAsia="zh-CN"/>
        </w:rPr>
        <w:t>主要品牌响应表</w:t>
      </w:r>
    </w:p>
    <w:p w14:paraId="770EB1F6">
      <w:pPr>
        <w:pStyle w:val="30"/>
        <w:rPr>
          <w:rFonts w:hint="eastAsia" w:eastAsia="宋体"/>
          <w:color w:val="auto"/>
          <w:highlight w:val="none"/>
          <w:lang w:eastAsia="zh-CN"/>
        </w:rPr>
      </w:pPr>
    </w:p>
    <w:p w14:paraId="143EBDE5">
      <w:pPr>
        <w:widowControl w:val="0"/>
        <w:adjustRightInd w:val="0"/>
        <w:snapToGrid w:val="0"/>
        <w:spacing w:line="420" w:lineRule="exact"/>
        <w:ind w:firstLine="537" w:firstLineChars="224"/>
        <w:rPr>
          <w:rFonts w:ascii="宋体" w:hAnsi="宋体" w:cs="宋体"/>
          <w:color w:val="auto"/>
          <w:sz w:val="24"/>
          <w:szCs w:val="22"/>
          <w:highlight w:val="none"/>
        </w:rPr>
      </w:pPr>
      <w:r>
        <w:rPr>
          <w:rFonts w:hint="eastAsia" w:ascii="宋体" w:hAnsi="宋体" w:cs="宋体"/>
          <w:color w:val="auto"/>
          <w:sz w:val="24"/>
          <w:szCs w:val="22"/>
          <w:highlight w:val="none"/>
        </w:rPr>
        <w:t>备注：供应商必须按后附表规定的格式完整、清晰、正确的填写，磋商报价一览表中不得填报有选择性的报价方案。</w:t>
      </w:r>
    </w:p>
    <w:p w14:paraId="0882E3C9">
      <w:pPr>
        <w:pStyle w:val="27"/>
        <w:widowControl w:val="0"/>
        <w:adjustRightInd w:val="0"/>
        <w:snapToGrid w:val="0"/>
        <w:ind w:firstLine="225"/>
        <w:jc w:val="center"/>
        <w:rPr>
          <w:rFonts w:ascii="宋体" w:hAnsi="宋体" w:eastAsia="宋体" w:cs="宋体"/>
          <w:b/>
          <w:color w:val="auto"/>
          <w:sz w:val="32"/>
          <w:szCs w:val="32"/>
          <w:highlight w:val="none"/>
        </w:rPr>
      </w:pPr>
      <w:r>
        <w:rPr>
          <w:rFonts w:hint="eastAsia" w:ascii="宋体" w:hAnsi="宋体" w:cs="宋体"/>
          <w:b/>
          <w:color w:val="auto"/>
          <w:sz w:val="32"/>
          <w:szCs w:val="32"/>
          <w:highlight w:val="none"/>
        </w:rPr>
        <w:br w:type="page"/>
      </w:r>
      <w:r>
        <w:rPr>
          <w:rFonts w:hint="eastAsia" w:ascii="宋体" w:hAnsi="宋体" w:eastAsia="宋体" w:cs="宋体"/>
          <w:b/>
          <w:color w:val="auto"/>
          <w:sz w:val="32"/>
          <w:szCs w:val="32"/>
          <w:highlight w:val="none"/>
        </w:rPr>
        <w:t>报价一览表</w:t>
      </w:r>
    </w:p>
    <w:p w14:paraId="2DB7E7EF">
      <w:pPr>
        <w:pStyle w:val="9"/>
        <w:spacing w:beforeLines="50"/>
        <w:ind w:firstLine="0"/>
        <w:jc w:val="center"/>
        <w:rPr>
          <w:rFonts w:hint="eastAsia" w:ascii="宋体" w:hAnsi="宋体" w:eastAsia="宋体" w:cs="宋体"/>
          <w:b/>
          <w:bCs/>
          <w:color w:val="auto"/>
          <w:sz w:val="32"/>
          <w:szCs w:val="32"/>
          <w:highlight w:val="none"/>
          <w:lang w:eastAsia="zh-CN"/>
        </w:rPr>
      </w:pPr>
      <w:r>
        <w:rPr>
          <w:rFonts w:hint="eastAsia" w:ascii="宋体" w:hAnsi="宋体" w:cs="宋体"/>
          <w:b/>
          <w:bCs/>
          <w:color w:val="auto"/>
          <w:sz w:val="32"/>
          <w:szCs w:val="32"/>
          <w:highlight w:val="none"/>
          <w:lang w:eastAsia="zh-CN"/>
        </w:rPr>
        <w:t>浙江省金华监狱东关押点操场维修工程</w:t>
      </w:r>
    </w:p>
    <w:p w14:paraId="30F6C3DD">
      <w:pPr>
        <w:snapToGrid w:val="0"/>
        <w:spacing w:before="50" w:after="50" w:line="460" w:lineRule="exact"/>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项目编号：</w:t>
      </w:r>
    </w:p>
    <w:tbl>
      <w:tblPr>
        <w:tblStyle w:val="31"/>
        <w:tblpPr w:leftFromText="180" w:rightFromText="180" w:vertAnchor="text" w:horzAnchor="page" w:tblpXSpec="center" w:tblpY="157"/>
        <w:tblOverlap w:val="never"/>
        <w:tblW w:w="94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61"/>
        <w:gridCol w:w="1947"/>
        <w:gridCol w:w="1672"/>
        <w:gridCol w:w="3286"/>
      </w:tblGrid>
      <w:tr w14:paraId="6F894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jc w:val="center"/>
        </w:trPr>
        <w:tc>
          <w:tcPr>
            <w:tcW w:w="2561" w:type="dxa"/>
            <w:tcBorders>
              <w:left w:val="single" w:color="auto" w:sz="4" w:space="0"/>
            </w:tcBorders>
            <w:vAlign w:val="center"/>
          </w:tcPr>
          <w:p w14:paraId="5B9E61B9">
            <w:pPr>
              <w:pStyle w:val="15"/>
              <w:spacing w:before="156" w:after="156" w:line="3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w:t>
            </w:r>
          </w:p>
        </w:tc>
        <w:tc>
          <w:tcPr>
            <w:tcW w:w="1947" w:type="dxa"/>
            <w:vAlign w:val="center"/>
          </w:tcPr>
          <w:p w14:paraId="6A7068E8">
            <w:pPr>
              <w:pStyle w:val="15"/>
              <w:spacing w:before="156" w:after="156" w:line="36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服务期限</w:t>
            </w:r>
          </w:p>
        </w:tc>
        <w:tc>
          <w:tcPr>
            <w:tcW w:w="1672" w:type="dxa"/>
            <w:vAlign w:val="center"/>
          </w:tcPr>
          <w:p w14:paraId="108E8387">
            <w:pPr>
              <w:pStyle w:val="15"/>
              <w:spacing w:before="156" w:after="156" w:line="360" w:lineRule="exact"/>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质量</w:t>
            </w:r>
            <w:r>
              <w:rPr>
                <w:rFonts w:hint="eastAsia" w:ascii="宋体" w:hAnsi="宋体" w:eastAsia="宋体" w:cs="宋体"/>
                <w:color w:val="auto"/>
                <w:sz w:val="24"/>
                <w:szCs w:val="24"/>
                <w:highlight w:val="none"/>
                <w:lang w:val="en-US" w:eastAsia="zh-CN"/>
              </w:rPr>
              <w:t>要求</w:t>
            </w:r>
          </w:p>
        </w:tc>
        <w:tc>
          <w:tcPr>
            <w:tcW w:w="3286" w:type="dxa"/>
            <w:vAlign w:val="center"/>
          </w:tcPr>
          <w:p w14:paraId="62ACBCF7">
            <w:pPr>
              <w:pStyle w:val="15"/>
              <w:spacing w:before="156" w:after="156" w:line="3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首次折扣率报价（%）</w:t>
            </w:r>
          </w:p>
        </w:tc>
      </w:tr>
      <w:tr w14:paraId="4C425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43" w:hRule="atLeast"/>
          <w:jc w:val="center"/>
        </w:trPr>
        <w:tc>
          <w:tcPr>
            <w:tcW w:w="2561" w:type="dxa"/>
            <w:tcBorders>
              <w:left w:val="single" w:color="auto" w:sz="4" w:space="0"/>
            </w:tcBorders>
            <w:vAlign w:val="center"/>
          </w:tcPr>
          <w:p w14:paraId="29311FEC">
            <w:pPr>
              <w:pStyle w:val="15"/>
              <w:spacing w:before="156" w:after="156" w:line="360" w:lineRule="exact"/>
              <w:jc w:val="center"/>
              <w:rPr>
                <w:rFonts w:hint="eastAsia" w:ascii="宋体" w:hAnsi="宋体" w:eastAsia="宋体" w:cs="宋体"/>
                <w:color w:val="auto"/>
                <w:sz w:val="24"/>
                <w:szCs w:val="24"/>
                <w:highlight w:val="none"/>
              </w:rPr>
            </w:pPr>
            <w:r>
              <w:rPr>
                <w:rFonts w:hint="eastAsia" w:hAnsi="宋体" w:cs="宋体"/>
                <w:color w:val="auto"/>
                <w:sz w:val="24"/>
                <w:szCs w:val="24"/>
                <w:highlight w:val="none"/>
                <w:lang w:val="zh-CN"/>
              </w:rPr>
              <w:t>浙江省金华监狱东关押点操场维修工程</w:t>
            </w:r>
          </w:p>
        </w:tc>
        <w:tc>
          <w:tcPr>
            <w:tcW w:w="1947" w:type="dxa"/>
            <w:vAlign w:val="center"/>
          </w:tcPr>
          <w:p w14:paraId="0F35919D">
            <w:pPr>
              <w:pStyle w:val="15"/>
              <w:spacing w:before="156" w:after="156" w:line="360" w:lineRule="exact"/>
              <w:jc w:val="center"/>
              <w:rPr>
                <w:rFonts w:hint="eastAsia" w:ascii="宋体" w:hAnsi="宋体" w:eastAsia="宋体" w:cs="宋体"/>
                <w:color w:val="auto"/>
                <w:sz w:val="24"/>
                <w:szCs w:val="24"/>
                <w:highlight w:val="none"/>
                <w:lang w:eastAsia="zh-CN"/>
              </w:rPr>
            </w:pPr>
            <w:r>
              <w:rPr>
                <w:rFonts w:hint="eastAsia" w:hAnsi="宋体" w:cs="宋体"/>
                <w:color w:val="auto"/>
                <w:sz w:val="24"/>
                <w:szCs w:val="24"/>
                <w:highlight w:val="none"/>
                <w:lang w:eastAsia="zh-CN"/>
              </w:rPr>
              <w:t>自合同签订之日起95个日历天内完成所有工程项目</w:t>
            </w:r>
          </w:p>
        </w:tc>
        <w:tc>
          <w:tcPr>
            <w:tcW w:w="1672" w:type="dxa"/>
            <w:vAlign w:val="center"/>
          </w:tcPr>
          <w:p w14:paraId="6CEAEE80">
            <w:pPr>
              <w:pStyle w:val="15"/>
              <w:spacing w:before="156" w:after="156" w:line="360" w:lineRule="exact"/>
              <w:jc w:val="center"/>
              <w:rPr>
                <w:rFonts w:hint="eastAsia" w:ascii="宋体" w:hAnsi="宋体" w:eastAsia="宋体" w:cs="宋体"/>
                <w:color w:val="auto"/>
                <w:sz w:val="24"/>
                <w:szCs w:val="24"/>
                <w:highlight w:val="none"/>
              </w:rPr>
            </w:pPr>
            <w:r>
              <w:rPr>
                <w:rFonts w:hint="eastAsia" w:hAnsi="宋体" w:cs="宋体"/>
                <w:color w:val="auto"/>
                <w:sz w:val="24"/>
                <w:szCs w:val="24"/>
                <w:highlight w:val="none"/>
                <w:lang w:eastAsia="zh-CN"/>
              </w:rPr>
              <w:t>不低于国家相关验收的合格标准</w:t>
            </w:r>
            <w:r>
              <w:rPr>
                <w:rFonts w:hint="eastAsia" w:ascii="宋体" w:hAnsi="宋体" w:eastAsia="宋体" w:cs="宋体"/>
                <w:color w:val="auto"/>
                <w:sz w:val="24"/>
                <w:szCs w:val="24"/>
                <w:highlight w:val="none"/>
              </w:rPr>
              <w:t>。</w:t>
            </w:r>
          </w:p>
        </w:tc>
        <w:tc>
          <w:tcPr>
            <w:tcW w:w="3286" w:type="dxa"/>
            <w:vAlign w:val="center"/>
          </w:tcPr>
          <w:p w14:paraId="3DD5682A">
            <w:pPr>
              <w:pStyle w:val="15"/>
              <w:spacing w:before="156" w:after="156" w:line="36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小写：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ECDD3D0">
            <w:pPr>
              <w:pStyle w:val="15"/>
              <w:spacing w:before="156" w:after="156" w:line="36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大写：百分之</w:t>
            </w:r>
            <w:r>
              <w:rPr>
                <w:rFonts w:hint="eastAsia" w:ascii="宋体" w:hAnsi="宋体" w:eastAsia="宋体" w:cs="宋体"/>
                <w:color w:val="auto"/>
                <w:sz w:val="24"/>
                <w:szCs w:val="24"/>
                <w:highlight w:val="none"/>
                <w:u w:val="single"/>
              </w:rPr>
              <w:t xml:space="preserve">           </w:t>
            </w:r>
          </w:p>
        </w:tc>
      </w:tr>
    </w:tbl>
    <w:p w14:paraId="1BF0FA9C">
      <w:pPr>
        <w:pStyle w:val="15"/>
        <w:spacing w:line="360" w:lineRule="exact"/>
        <w:rPr>
          <w:rFonts w:hint="eastAsia" w:ascii="宋体" w:hAnsi="宋体" w:eastAsia="宋体" w:cs="宋体"/>
          <w:color w:val="auto"/>
          <w:sz w:val="24"/>
          <w:szCs w:val="24"/>
          <w:highlight w:val="none"/>
        </w:rPr>
      </w:pPr>
    </w:p>
    <w:p w14:paraId="11B45250">
      <w:pPr>
        <w:pStyle w:val="15"/>
        <w:keepNext w:val="0"/>
        <w:keepLines w:val="0"/>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 1、报价一经涂改，应在涂改处加盖单位公章或者由法定代表人或授权委托人签字或盖章，否则其响应作无效响应处理。</w:t>
      </w:r>
    </w:p>
    <w:p w14:paraId="35414D1B">
      <w:pPr>
        <w:pStyle w:val="15"/>
        <w:keepNext w:val="0"/>
        <w:keepLines w:val="0"/>
        <w:pageBreakBefore w:val="0"/>
        <w:numPr>
          <w:ilvl w:val="0"/>
          <w:numId w:val="0"/>
        </w:numPr>
        <w:kinsoku/>
        <w:wordWrap/>
        <w:overflowPunct/>
        <w:topLinePunct w:val="0"/>
        <w:autoSpaceDE/>
        <w:autoSpaceDN/>
        <w:bidi w:val="0"/>
        <w:adjustRightInd/>
        <w:spacing w:line="360" w:lineRule="auto"/>
        <w:ind w:leftChars="50"/>
        <w:textAlignment w:val="auto"/>
        <w:rPr>
          <w:rFonts w:hint="eastAsia" w:ascii="宋体" w:hAnsi="宋体" w:eastAsia="宋体" w:cs="宋体"/>
          <w:color w:val="auto"/>
          <w:sz w:val="24"/>
          <w:szCs w:val="24"/>
          <w:highlight w:val="none"/>
        </w:rPr>
      </w:pPr>
      <w:r>
        <w:rPr>
          <w:rFonts w:hint="eastAsia" w:hAnsi="宋体" w:cs="宋体"/>
          <w:color w:val="auto"/>
          <w:sz w:val="24"/>
          <w:szCs w:val="24"/>
          <w:highlight w:val="none"/>
          <w:lang w:val="en-US" w:eastAsia="zh-CN"/>
        </w:rPr>
        <w:t>2、</w:t>
      </w:r>
      <w:r>
        <w:rPr>
          <w:rFonts w:hint="eastAsia" w:ascii="宋体" w:hAnsi="宋体" w:eastAsia="宋体" w:cs="宋体"/>
          <w:color w:val="auto"/>
          <w:sz w:val="24"/>
          <w:szCs w:val="24"/>
          <w:highlight w:val="none"/>
        </w:rPr>
        <w:t>报价应包括整个工程的所有需的一切费用。即所投报的报价为所能承受的整个项目的报价，如有漏项，视同已包含在其它项目中。</w:t>
      </w:r>
    </w:p>
    <w:p w14:paraId="4ADF2CEA">
      <w:pPr>
        <w:pStyle w:val="15"/>
        <w:keepNext w:val="0"/>
        <w:keepLines w:val="0"/>
        <w:pageBreakBefore w:val="0"/>
        <w:numPr>
          <w:ilvl w:val="0"/>
          <w:numId w:val="0"/>
        </w:numPr>
        <w:kinsoku/>
        <w:wordWrap/>
        <w:overflowPunct/>
        <w:topLinePunct w:val="0"/>
        <w:autoSpaceDE/>
        <w:autoSpaceDN/>
        <w:bidi w:val="0"/>
        <w:adjustRightInd/>
        <w:spacing w:line="360" w:lineRule="auto"/>
        <w:ind w:leftChars="50"/>
        <w:textAlignment w:val="auto"/>
        <w:rPr>
          <w:rFonts w:hint="eastAsia" w:ascii="宋体" w:hAnsi="宋体" w:eastAsia="宋体" w:cs="宋体"/>
          <w:color w:val="auto"/>
          <w:sz w:val="24"/>
          <w:szCs w:val="24"/>
          <w:highlight w:val="none"/>
        </w:rPr>
      </w:pPr>
      <w:r>
        <w:rPr>
          <w:rFonts w:hint="eastAsia" w:hAnsi="宋体" w:cs="宋体"/>
          <w:color w:val="auto"/>
          <w:sz w:val="24"/>
          <w:szCs w:val="24"/>
          <w:highlight w:val="none"/>
          <w:lang w:val="en-US" w:eastAsia="zh-CN"/>
        </w:rPr>
        <w:t>3、</w:t>
      </w:r>
      <w:r>
        <w:rPr>
          <w:rFonts w:hint="eastAsia" w:ascii="宋体" w:hAnsi="宋体" w:eastAsia="宋体" w:cs="宋体"/>
          <w:color w:val="auto"/>
          <w:sz w:val="24"/>
          <w:szCs w:val="24"/>
          <w:highlight w:val="none"/>
        </w:rPr>
        <w:t>注意：报价费率为折扣率，非下浮率，请勿填报错误。</w:t>
      </w:r>
    </w:p>
    <w:p w14:paraId="64557E9C">
      <w:pPr>
        <w:pStyle w:val="15"/>
        <w:keepNext w:val="0"/>
        <w:keepLines w:val="0"/>
        <w:pageBreakBefore w:val="0"/>
        <w:numPr>
          <w:ilvl w:val="0"/>
          <w:numId w:val="0"/>
        </w:numPr>
        <w:kinsoku/>
        <w:wordWrap/>
        <w:overflowPunct/>
        <w:topLinePunct w:val="0"/>
        <w:autoSpaceDE/>
        <w:autoSpaceDN/>
        <w:bidi w:val="0"/>
        <w:adjustRightInd/>
        <w:spacing w:line="360" w:lineRule="auto"/>
        <w:ind w:leftChars="5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4、根据浙江省政府采购禁止行为清单指引（一）“供应商行为禁止类”之“影响政府采购公平竞争的行为”第5条：供应商不得进行影响产品质量或者诚信履约的恶意报价。供应商在项目评审前准备好报价核算、报价明细、报价说明等材料，以备评审专家核查。供应商报价低于项目预算50%的，应当在报价文件中详细阐述不影响产品质量或者诚信履约的具体原因。</w:t>
      </w:r>
    </w:p>
    <w:p w14:paraId="704C5151">
      <w:pPr>
        <w:pStyle w:val="15"/>
        <w:keepNext w:val="0"/>
        <w:keepLines w:val="0"/>
        <w:pageBreakBefore w:val="0"/>
        <w:numPr>
          <w:ilvl w:val="0"/>
          <w:numId w:val="0"/>
        </w:numPr>
        <w:kinsoku/>
        <w:wordWrap/>
        <w:overflowPunct/>
        <w:topLinePunct w:val="0"/>
        <w:autoSpaceDE/>
        <w:autoSpaceDN/>
        <w:bidi w:val="0"/>
        <w:adjustRightInd/>
        <w:spacing w:line="360" w:lineRule="auto"/>
        <w:ind w:leftChars="50"/>
        <w:textAlignment w:val="auto"/>
        <w:rPr>
          <w:rFonts w:hint="eastAsia" w:ascii="宋体" w:hAnsi="宋体" w:eastAsia="宋体" w:cs="宋体"/>
          <w:color w:val="auto"/>
          <w:sz w:val="24"/>
          <w:szCs w:val="24"/>
          <w:highlight w:val="none"/>
          <w:lang w:val="en-US" w:eastAsia="zh-CN"/>
        </w:rPr>
      </w:pPr>
    </w:p>
    <w:p w14:paraId="564C5EF6">
      <w:pPr>
        <w:keepNext w:val="0"/>
        <w:keepLines w:val="0"/>
        <w:pageBreakBefore w:val="0"/>
        <w:kinsoku/>
        <w:wordWrap/>
        <w:overflowPunct/>
        <w:topLinePunct w:val="0"/>
        <w:autoSpaceDE/>
        <w:autoSpaceDN/>
        <w:bidi w:val="0"/>
        <w:adjustRightInd/>
        <w:snapToGrid w:val="0"/>
        <w:spacing w:before="50" w:after="50" w:line="360" w:lineRule="auto"/>
        <w:ind w:firstLine="480" w:firstLineChars="200"/>
        <w:jc w:val="right"/>
        <w:textAlignment w:val="auto"/>
        <w:rPr>
          <w:rFonts w:hint="eastAsia" w:ascii="宋体" w:hAnsi="宋体" w:eastAsia="宋体" w:cs="宋体"/>
          <w:color w:val="auto"/>
          <w:kern w:val="2"/>
          <w:sz w:val="24"/>
          <w:szCs w:val="24"/>
          <w:highlight w:val="none"/>
        </w:rPr>
      </w:pPr>
    </w:p>
    <w:p w14:paraId="37A12FE4">
      <w:pPr>
        <w:keepNext w:val="0"/>
        <w:keepLines w:val="0"/>
        <w:pageBreakBefore w:val="0"/>
        <w:kinsoku/>
        <w:wordWrap/>
        <w:overflowPunct/>
        <w:topLinePunct w:val="0"/>
        <w:autoSpaceDE/>
        <w:autoSpaceDN/>
        <w:bidi w:val="0"/>
        <w:adjustRightInd/>
        <w:snapToGrid w:val="0"/>
        <w:spacing w:line="360" w:lineRule="auto"/>
        <w:ind w:firstLine="3240" w:firstLineChars="1350"/>
        <w:jc w:val="right"/>
        <w:textAlignment w:val="auto"/>
        <w:rPr>
          <w:rFonts w:hint="eastAsia" w:ascii="宋体" w:hAnsi="宋体" w:eastAsia="宋体" w:cs="宋体"/>
          <w:color w:val="auto"/>
          <w:kern w:val="2"/>
          <w:sz w:val="24"/>
          <w:szCs w:val="24"/>
          <w:highlight w:val="none"/>
        </w:rPr>
      </w:pPr>
      <w:r>
        <w:rPr>
          <w:rFonts w:hint="eastAsia" w:ascii="宋体" w:hAnsi="宋体" w:cs="宋体"/>
          <w:color w:val="auto"/>
          <w:kern w:val="2"/>
          <w:sz w:val="24"/>
          <w:szCs w:val="24"/>
          <w:highlight w:val="none"/>
          <w:lang w:val="en-US" w:eastAsia="zh-CN"/>
        </w:rPr>
        <w:t>供应商名称</w:t>
      </w:r>
      <w:r>
        <w:rPr>
          <w:rFonts w:hint="eastAsia" w:ascii="宋体" w:hAnsi="宋体" w:eastAsia="宋体" w:cs="宋体"/>
          <w:color w:val="auto"/>
          <w:kern w:val="2"/>
          <w:sz w:val="24"/>
          <w:szCs w:val="24"/>
          <w:highlight w:val="none"/>
        </w:rPr>
        <w:t>:</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（盖公章）</w:t>
      </w:r>
    </w:p>
    <w:p w14:paraId="67B782EA">
      <w:pPr>
        <w:keepNext w:val="0"/>
        <w:keepLines w:val="0"/>
        <w:pageBreakBefore w:val="0"/>
        <w:kinsoku/>
        <w:wordWrap/>
        <w:overflowPunct/>
        <w:topLinePunct w:val="0"/>
        <w:autoSpaceDE/>
        <w:autoSpaceDN/>
        <w:bidi w:val="0"/>
        <w:adjustRightInd/>
        <w:snapToGrid w:val="0"/>
        <w:spacing w:line="360" w:lineRule="auto"/>
        <w:jc w:val="right"/>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法定代表人或授权委托人:</w:t>
      </w:r>
      <w:r>
        <w:rPr>
          <w:rFonts w:hint="eastAsia" w:ascii="宋体" w:hAnsi="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rPr>
        <w:t>（签字或盖章）</w:t>
      </w:r>
    </w:p>
    <w:p w14:paraId="4E8675D0">
      <w:pPr>
        <w:keepNext w:val="0"/>
        <w:keepLines w:val="0"/>
        <w:pageBreakBefore w:val="0"/>
        <w:kinsoku/>
        <w:wordWrap/>
        <w:overflowPunct/>
        <w:topLinePunct w:val="0"/>
        <w:autoSpaceDE/>
        <w:autoSpaceDN/>
        <w:bidi w:val="0"/>
        <w:adjustRightInd/>
        <w:spacing w:line="360" w:lineRule="auto"/>
        <w:jc w:val="right"/>
        <w:textAlignment w:val="auto"/>
        <w:rPr>
          <w:rFonts w:hint="eastAsia" w:ascii="宋体" w:hAnsi="宋体" w:eastAsia="宋体" w:cs="宋体"/>
          <w:b/>
          <w:bCs/>
          <w:color w:val="auto"/>
          <w:sz w:val="32"/>
          <w:szCs w:val="32"/>
          <w:highlight w:val="none"/>
        </w:rPr>
      </w:pPr>
      <w:r>
        <w:rPr>
          <w:rFonts w:hint="eastAsia" w:ascii="宋体" w:hAnsi="宋体" w:eastAsia="宋体" w:cs="宋体"/>
          <w:color w:val="auto"/>
          <w:kern w:val="2"/>
          <w:sz w:val="24"/>
          <w:szCs w:val="24"/>
          <w:highlight w:val="none"/>
        </w:rPr>
        <w:t xml:space="preserve">       年     月     日</w:t>
      </w:r>
    </w:p>
    <w:bookmarkEnd w:id="525"/>
    <w:p w14:paraId="4AA54607">
      <w:pPr>
        <w:rPr>
          <w:rFonts w:hint="eastAsia" w:ascii="宋体" w:hAnsi="宋体" w:eastAsia="宋体" w:cs="宋体"/>
          <w:b/>
          <w:bCs/>
          <w:color w:val="auto"/>
          <w:sz w:val="32"/>
          <w:szCs w:val="32"/>
          <w:highlight w:val="none"/>
        </w:rPr>
      </w:pPr>
    </w:p>
    <w:p w14:paraId="2459CED3">
      <w:pPr>
        <w:rPr>
          <w:rFonts w:hint="eastAsia" w:ascii="宋体" w:hAnsi="宋体" w:eastAsia="宋体" w:cs="宋体"/>
          <w:b/>
          <w:bCs/>
          <w:color w:val="auto"/>
          <w:sz w:val="32"/>
          <w:szCs w:val="32"/>
          <w:highlight w:val="none"/>
        </w:rPr>
      </w:pPr>
    </w:p>
    <w:p w14:paraId="4502C513">
      <w:pPr>
        <w:pStyle w:val="30"/>
        <w:jc w:val="center"/>
        <w:rPr>
          <w:rFonts w:hint="eastAsia"/>
          <w:b/>
          <w:bCs/>
          <w:color w:val="auto"/>
          <w:sz w:val="32"/>
          <w:szCs w:val="32"/>
          <w:highlight w:val="none"/>
          <w:lang w:val="en-US" w:eastAsia="zh-CN"/>
        </w:rPr>
      </w:pPr>
      <w:r>
        <w:rPr>
          <w:rFonts w:hint="eastAsia"/>
          <w:b/>
          <w:bCs/>
          <w:color w:val="auto"/>
          <w:sz w:val="32"/>
          <w:szCs w:val="32"/>
          <w:highlight w:val="none"/>
          <w:lang w:val="en-US" w:eastAsia="zh-CN"/>
        </w:rPr>
        <w:t>主要品牌响应表</w:t>
      </w:r>
    </w:p>
    <w:tbl>
      <w:tblPr>
        <w:tblStyle w:val="31"/>
        <w:tblW w:w="7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2128"/>
        <w:gridCol w:w="4346"/>
      </w:tblGrid>
      <w:tr w14:paraId="221EF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975" w:type="dxa"/>
            <w:vAlign w:val="center"/>
          </w:tcPr>
          <w:p w14:paraId="616639F8">
            <w:pPr>
              <w:jc w:val="center"/>
              <w:rPr>
                <w:rFonts w:ascii="宋体" w:hAnsi="宋体" w:cs="宋体"/>
                <w:b/>
                <w:color w:val="auto"/>
                <w:szCs w:val="21"/>
                <w:highlight w:val="none"/>
              </w:rPr>
            </w:pPr>
            <w:r>
              <w:rPr>
                <w:rFonts w:hint="eastAsia" w:ascii="宋体" w:hAnsi="宋体" w:cs="宋体"/>
                <w:b/>
                <w:color w:val="auto"/>
                <w:szCs w:val="21"/>
                <w:highlight w:val="none"/>
              </w:rPr>
              <w:t>序号</w:t>
            </w:r>
          </w:p>
        </w:tc>
        <w:tc>
          <w:tcPr>
            <w:tcW w:w="2128" w:type="dxa"/>
            <w:vAlign w:val="center"/>
          </w:tcPr>
          <w:p w14:paraId="1C911005">
            <w:pPr>
              <w:jc w:val="center"/>
              <w:rPr>
                <w:rFonts w:ascii="宋体" w:hAnsi="宋体" w:cs="宋体"/>
                <w:b/>
                <w:color w:val="auto"/>
                <w:szCs w:val="21"/>
                <w:highlight w:val="none"/>
              </w:rPr>
            </w:pPr>
            <w:r>
              <w:rPr>
                <w:rFonts w:hint="eastAsia" w:ascii="宋体" w:hAnsi="宋体" w:cs="宋体"/>
                <w:b/>
                <w:color w:val="auto"/>
                <w:szCs w:val="21"/>
                <w:highlight w:val="none"/>
              </w:rPr>
              <w:t>材料</w:t>
            </w:r>
          </w:p>
        </w:tc>
        <w:tc>
          <w:tcPr>
            <w:tcW w:w="4346" w:type="dxa"/>
            <w:vAlign w:val="center"/>
          </w:tcPr>
          <w:p w14:paraId="0786EAC3">
            <w:pPr>
              <w:jc w:val="center"/>
              <w:rPr>
                <w:rFonts w:ascii="宋体" w:hAnsi="宋体" w:cs="宋体"/>
                <w:b/>
                <w:color w:val="auto"/>
                <w:szCs w:val="21"/>
                <w:highlight w:val="none"/>
              </w:rPr>
            </w:pPr>
            <w:r>
              <w:rPr>
                <w:rFonts w:hint="eastAsia" w:ascii="宋体" w:hAnsi="宋体" w:cs="宋体"/>
                <w:b/>
                <w:color w:val="auto"/>
                <w:szCs w:val="21"/>
                <w:highlight w:val="none"/>
              </w:rPr>
              <w:t>品牌</w:t>
            </w:r>
          </w:p>
        </w:tc>
      </w:tr>
      <w:tr w14:paraId="47A3A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975" w:type="dxa"/>
            <w:vAlign w:val="center"/>
          </w:tcPr>
          <w:p w14:paraId="6078F083">
            <w:pPr>
              <w:pStyle w:val="80"/>
              <w:keepNext w:val="0"/>
              <w:keepLines w:val="0"/>
              <w:pageBreakBefore w:val="0"/>
              <w:widowControl/>
              <w:numPr>
                <w:ilvl w:val="0"/>
                <w:numId w:val="0"/>
              </w:numPr>
              <w:kinsoku/>
              <w:wordWrap/>
              <w:overflowPunct/>
              <w:topLinePunct w:val="0"/>
              <w:autoSpaceDE/>
              <w:autoSpaceDN/>
              <w:bidi w:val="0"/>
              <w:adjustRightInd/>
              <w:snapToGrid/>
              <w:spacing w:line="440" w:lineRule="exact"/>
              <w:ind w:leftChars="0" w:firstLine="420" w:firstLineChars="200"/>
              <w:jc w:val="both"/>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w:t>
            </w:r>
          </w:p>
        </w:tc>
        <w:tc>
          <w:tcPr>
            <w:tcW w:w="2128" w:type="dxa"/>
            <w:vAlign w:val="center"/>
          </w:tcPr>
          <w:p w14:paraId="4811C4F3">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宋体" w:hAnsi="宋体" w:cs="宋体"/>
                <w:color w:val="auto"/>
                <w:szCs w:val="21"/>
                <w:highlight w:val="none"/>
                <w:lang w:val="zh-CN"/>
              </w:rPr>
            </w:pPr>
            <w:r>
              <w:rPr>
                <w:rFonts w:hint="eastAsia"/>
                <w:kern w:val="0"/>
                <w:sz w:val="24"/>
                <w:lang w:val="en-US" w:eastAsia="zh-CN"/>
              </w:rPr>
              <w:t>硅pu</w:t>
            </w:r>
          </w:p>
        </w:tc>
        <w:tc>
          <w:tcPr>
            <w:tcW w:w="4346" w:type="dxa"/>
            <w:vAlign w:val="center"/>
          </w:tcPr>
          <w:p w14:paraId="73FDB122">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宋体" w:hAnsi="宋体" w:cs="宋体"/>
                <w:color w:val="auto"/>
                <w:szCs w:val="21"/>
                <w:highlight w:val="none"/>
                <w:lang w:val="zh-CN"/>
              </w:rPr>
            </w:pPr>
            <w:r>
              <w:rPr>
                <w:rFonts w:hint="eastAsia" w:ascii="Times New Roman" w:hAnsi="Times New Roman" w:eastAsia="宋体" w:cs="Times New Roman"/>
                <w:kern w:val="0"/>
                <w:sz w:val="24"/>
                <w:lang w:val="zh-CN" w:eastAsia="zh-CN"/>
              </w:rPr>
              <w:t>绿能、格林斯柏、川奥、湖南盛亚、</w:t>
            </w:r>
            <w:r>
              <w:rPr>
                <w:rFonts w:hint="eastAsia" w:ascii="Times New Roman" w:hAnsi="Times New Roman" w:eastAsia="宋体" w:cs="Times New Roman"/>
                <w:kern w:val="0"/>
                <w:sz w:val="24"/>
                <w:lang w:val="en-US" w:eastAsia="zh-CN"/>
              </w:rPr>
              <w:t>广东恒利</w:t>
            </w:r>
          </w:p>
        </w:tc>
      </w:tr>
      <w:tr w14:paraId="32349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975" w:type="dxa"/>
            <w:vAlign w:val="center"/>
          </w:tcPr>
          <w:p w14:paraId="56A20A5E">
            <w:pPr>
              <w:pStyle w:val="80"/>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0" w:firstLineChars="0"/>
              <w:jc w:val="center"/>
              <w:textAlignment w:val="auto"/>
              <w:rPr>
                <w:rFonts w:hint="eastAsia" w:ascii="宋体" w:hAnsi="宋体" w:cs="宋体"/>
                <w:color w:val="auto"/>
                <w:szCs w:val="21"/>
                <w:highlight w:val="none"/>
              </w:rPr>
            </w:pPr>
            <w:r>
              <w:rPr>
                <w:rFonts w:hint="eastAsia" w:ascii="宋体" w:hAnsi="宋体" w:cs="宋体"/>
                <w:color w:val="auto"/>
                <w:sz w:val="21"/>
                <w:szCs w:val="21"/>
                <w:lang w:val="en-US" w:eastAsia="zh-CN" w:bidi="ar-SA"/>
              </w:rPr>
              <w:t>2</w:t>
            </w:r>
          </w:p>
        </w:tc>
        <w:tc>
          <w:tcPr>
            <w:tcW w:w="2128" w:type="dxa"/>
            <w:vAlign w:val="center"/>
          </w:tcPr>
          <w:p w14:paraId="0676A3DE">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kern w:val="0"/>
                <w:sz w:val="24"/>
                <w:lang w:val="zh-CN"/>
              </w:rPr>
            </w:pPr>
            <w:r>
              <w:rPr>
                <w:rFonts w:hint="eastAsia"/>
                <w:kern w:val="0"/>
                <w:sz w:val="24"/>
                <w:lang w:val="en-US" w:eastAsia="zh-CN"/>
              </w:rPr>
              <w:t>水泥</w:t>
            </w:r>
          </w:p>
        </w:tc>
        <w:tc>
          <w:tcPr>
            <w:tcW w:w="4346" w:type="dxa"/>
            <w:vAlign w:val="center"/>
          </w:tcPr>
          <w:p w14:paraId="66EE8470">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kern w:val="0"/>
                <w:sz w:val="24"/>
                <w:lang w:val="zh-CN"/>
              </w:rPr>
            </w:pPr>
            <w:r>
              <w:rPr>
                <w:rFonts w:hint="eastAsia" w:ascii="Times New Roman" w:hAnsi="Times New Roman" w:eastAsia="宋体" w:cs="Times New Roman"/>
                <w:kern w:val="0"/>
                <w:sz w:val="24"/>
                <w:lang w:val="zh-CN" w:eastAsia="zh-CN"/>
              </w:rPr>
              <w:t>尖峰、金圆、立马、红狮、豪龙</w:t>
            </w:r>
          </w:p>
        </w:tc>
      </w:tr>
    </w:tbl>
    <w:p w14:paraId="36AC0FF0">
      <w:pPr>
        <w:rPr>
          <w:rFonts w:ascii="宋体" w:hAnsi="宋体" w:cs="宋体"/>
          <w:b/>
          <w:color w:val="auto"/>
          <w:szCs w:val="21"/>
          <w:highlight w:val="none"/>
        </w:rPr>
      </w:pPr>
    </w:p>
    <w:p w14:paraId="08049E74">
      <w:pPr>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本</w:t>
      </w:r>
      <w:r>
        <w:rPr>
          <w:rFonts w:hint="eastAsia" w:ascii="宋体" w:hAnsi="宋体" w:cs="宋体"/>
          <w:b/>
          <w:color w:val="auto"/>
          <w:szCs w:val="21"/>
          <w:highlight w:val="none"/>
          <w:lang w:val="en-US" w:eastAsia="zh-CN"/>
        </w:rPr>
        <w:t>项目</w:t>
      </w:r>
      <w:r>
        <w:rPr>
          <w:rFonts w:hint="eastAsia" w:ascii="宋体" w:hAnsi="宋体" w:cs="宋体"/>
          <w:b/>
          <w:color w:val="auto"/>
          <w:szCs w:val="21"/>
          <w:highlight w:val="none"/>
        </w:rPr>
        <w:t>涉及各类品牌、型号，则所述品牌、型号是结合实际现有情况的推荐性参考方案，</w:t>
      </w:r>
      <w:r>
        <w:rPr>
          <w:rFonts w:hint="eastAsia" w:ascii="宋体" w:hAnsi="宋体" w:cs="宋体"/>
          <w:b/>
          <w:color w:val="auto"/>
          <w:szCs w:val="21"/>
          <w:highlight w:val="none"/>
          <w:lang w:val="en-US" w:eastAsia="zh-CN"/>
        </w:rPr>
        <w:t>响应人</w:t>
      </w:r>
      <w:r>
        <w:rPr>
          <w:rFonts w:hint="eastAsia" w:ascii="宋体" w:hAnsi="宋体" w:cs="宋体"/>
          <w:b/>
          <w:color w:val="auto"/>
          <w:szCs w:val="21"/>
          <w:highlight w:val="none"/>
        </w:rPr>
        <w:t>也可根据磋商文件得要求推荐性能相当或高于、服务条款相等或高于、符合采购方实际业务需求其他同档次优质品牌的产品，进行方案优化。所投产品不在推荐品牌范围内的，需提供加盖原厂商公章的产品性能指标详细材料和证明其产品与推荐品牌同档次、具有可比性,且品牌、型号性能相当或高于、服务条款相等或高于、符合采购</w:t>
      </w:r>
      <w:r>
        <w:rPr>
          <w:rFonts w:hint="eastAsia" w:ascii="宋体" w:hAnsi="宋体" w:cs="宋体"/>
          <w:b/>
          <w:color w:val="auto"/>
          <w:szCs w:val="21"/>
          <w:highlight w:val="none"/>
          <w:lang w:val="en-US" w:eastAsia="zh-CN"/>
        </w:rPr>
        <w:t>人</w:t>
      </w:r>
      <w:r>
        <w:rPr>
          <w:rFonts w:hint="eastAsia" w:ascii="宋体" w:hAnsi="宋体" w:cs="宋体"/>
          <w:b/>
          <w:color w:val="auto"/>
          <w:szCs w:val="21"/>
          <w:highlight w:val="none"/>
        </w:rPr>
        <w:t>实际业务需求同档次优质品牌的说明书，无法在磋商响应文件中提供的，其磋商可能会被拒绝(或作无效磋商)。</w:t>
      </w:r>
    </w:p>
    <w:p w14:paraId="407177C9">
      <w:pPr>
        <w:ind w:firstLine="4956" w:firstLineChars="2351"/>
        <w:rPr>
          <w:rFonts w:hint="eastAsia" w:ascii="宋体" w:hAnsi="宋体" w:cs="宋体"/>
          <w:b/>
          <w:color w:val="auto"/>
          <w:szCs w:val="21"/>
          <w:highlight w:val="none"/>
        </w:rPr>
      </w:pPr>
    </w:p>
    <w:p w14:paraId="27B2EFFC">
      <w:pPr>
        <w:ind w:firstLine="4956" w:firstLineChars="2351"/>
        <w:rPr>
          <w:rFonts w:ascii="宋体" w:hAnsi="宋体" w:cs="宋体"/>
          <w:b/>
          <w:color w:val="auto"/>
          <w:szCs w:val="21"/>
          <w:highlight w:val="none"/>
        </w:rPr>
      </w:pPr>
      <w:r>
        <w:rPr>
          <w:rFonts w:hint="eastAsia" w:ascii="宋体" w:hAnsi="宋体" w:cs="宋体"/>
          <w:b/>
          <w:color w:val="auto"/>
          <w:szCs w:val="21"/>
          <w:highlight w:val="none"/>
        </w:rPr>
        <w:t>供应商：（盖章）</w:t>
      </w:r>
    </w:p>
    <w:p w14:paraId="0ACF999C">
      <w:pPr>
        <w:ind w:firstLine="4956" w:firstLineChars="2351"/>
        <w:rPr>
          <w:rFonts w:ascii="宋体" w:hAnsi="宋体" w:cs="宋体"/>
          <w:b/>
          <w:color w:val="auto"/>
          <w:szCs w:val="21"/>
          <w:highlight w:val="none"/>
        </w:rPr>
      </w:pPr>
      <w:r>
        <w:rPr>
          <w:rFonts w:hint="eastAsia" w:ascii="宋体" w:hAnsi="宋体" w:cs="宋体"/>
          <w:b/>
          <w:color w:val="auto"/>
          <w:szCs w:val="21"/>
          <w:highlight w:val="none"/>
        </w:rPr>
        <w:t>法定代表人：（签字或盖章）</w:t>
      </w:r>
    </w:p>
    <w:p w14:paraId="15B16368">
      <w:pPr>
        <w:pStyle w:val="46"/>
        <w:ind w:firstLine="5622" w:firstLineChars="2800"/>
        <w:jc w:val="both"/>
        <w:rPr>
          <w:rFonts w:hint="eastAsia" w:ascii="宋体" w:hAnsi="宋体" w:cs="宋体"/>
          <w:b/>
          <w:color w:val="auto"/>
          <w:szCs w:val="21"/>
          <w:highlight w:val="none"/>
        </w:rPr>
      </w:pPr>
      <w:r>
        <w:rPr>
          <w:rFonts w:hint="eastAsia" w:ascii="宋体" w:hAnsi="宋体" w:cs="宋体"/>
          <w:b/>
          <w:color w:val="auto"/>
          <w:szCs w:val="21"/>
          <w:highlight w:val="none"/>
        </w:rPr>
        <w:t>日期：年 月 日</w:t>
      </w:r>
    </w:p>
    <w:p w14:paraId="2BBB9A9E">
      <w:pPr>
        <w:rPr>
          <w:rFonts w:hint="default" w:ascii="宋体" w:hAnsi="宋体" w:cs="宋体"/>
          <w:b/>
          <w:color w:val="auto"/>
          <w:szCs w:val="21"/>
          <w:highlight w:val="none"/>
          <w:lang w:val="en-US" w:eastAsia="zh-CN"/>
        </w:rPr>
      </w:pPr>
    </w:p>
    <w:sectPr>
      <w:headerReference r:id="rId5" w:type="default"/>
      <w:footerReference r:id="rId6" w:type="default"/>
      <w:pgSz w:w="11906" w:h="16838"/>
      <w:pgMar w:top="1440" w:right="1080" w:bottom="1440" w:left="1080" w:header="1020" w:footer="1020" w:gutter="0"/>
      <w:pgNumType w:fmt="decimal"/>
      <w:cols w:space="720"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432">
      <wne:acd wne:acdName="acd0"/>
    </wne:keymap>
  </wne:keymaps>
  <wne:acds>
    <wne:acd wne:argValue="AQAAAAI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monospace">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_x0002_.簆鱞..">
    <w:altName w:val="宋体"/>
    <w:panose1 w:val="00000000000000000000"/>
    <w:charset w:val="86"/>
    <w:family w:val="roma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CS?o｡ﾀ?">
    <w:altName w:val="MS PGothic"/>
    <w:panose1 w:val="00000000000000000000"/>
    <w:charset w:val="80"/>
    <w:family w:val="modern"/>
    <w:pitch w:val="default"/>
    <w:sig w:usb0="00000000" w:usb1="00000000" w:usb2="00000010" w:usb3="00000000" w:csb0="00020000" w:csb1="00000000"/>
  </w:font>
  <w:font w:name="MS PGothic">
    <w:panose1 w:val="020B0600070205080204"/>
    <w:charset w:val="80"/>
    <w:family w:val="auto"/>
    <w:pitch w:val="default"/>
    <w:sig w:usb0="E00002FF" w:usb1="6AC7FDFB" w:usb2="08000012" w:usb3="00000000" w:csb0="4002009F" w:csb1="DFD70000"/>
  </w:font>
  <w:font w:name="仿宋">
    <w:panose1 w:val="02010609060101010101"/>
    <w:charset w:val="86"/>
    <w:family w:val="auto"/>
    <w:pitch w:val="default"/>
    <w:sig w:usb0="800002BF" w:usb1="38CF7CFA" w:usb2="00000016" w:usb3="00000000" w:csb0="00040001" w:csb1="00000000"/>
  </w:font>
  <w:font w:name="MingLiU_HKSCS">
    <w:altName w:val="PMingLiU-ExtB"/>
    <w:panose1 w:val="02020500000000000000"/>
    <w:charset w:val="88"/>
    <w:family w:val="roman"/>
    <w:pitch w:val="default"/>
    <w:sig w:usb0="00000000" w:usb1="0000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3E1BA4">
    <w:pPr>
      <w:pStyle w:val="18"/>
      <w:jc w:val="right"/>
      <w:rPr>
        <w:rFonts w:hint="eastAsia" w:eastAsia="宋体"/>
        <w:lang w:val="en-US" w:eastAsia="zh-CN"/>
      </w:rPr>
    </w:pPr>
    <w:r>
      <w:rPr>
        <w:rFonts w:hint="eastAsia"/>
        <w:lang w:val="en-US" w:eastAsia="zh-CN"/>
      </w:rPr>
      <w:t>浙江华杰工程咨询有限公司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C04F5D">
    <w:pPr>
      <w:pStyle w:val="18"/>
      <w:jc w:val="right"/>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865A1C">
                          <w:pPr>
                            <w:pStyle w:val="18"/>
                          </w:pPr>
                          <w:r>
                            <w:fldChar w:fldCharType="begin"/>
                          </w:r>
                          <w:r>
                            <w:instrText xml:space="preserve"> PAGE  \* MERGEFORMAT </w:instrText>
                          </w:r>
                          <w:r>
                            <w:fldChar w:fldCharType="separate"/>
                          </w:r>
                          <w:r>
                            <w:t>76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34865A1C">
                    <w:pPr>
                      <w:pStyle w:val="18"/>
                    </w:pPr>
                    <w:r>
                      <w:fldChar w:fldCharType="begin"/>
                    </w:r>
                    <w:r>
                      <w:instrText xml:space="preserve"> PAGE  \* MERGEFORMAT </w:instrText>
                    </w:r>
                    <w:r>
                      <w:fldChar w:fldCharType="separate"/>
                    </w:r>
                    <w:r>
                      <w:t>76</w:t>
                    </w:r>
                    <w:r>
                      <w:fldChar w:fldCharType="end"/>
                    </w:r>
                  </w:p>
                </w:txbxContent>
              </v:textbox>
            </v:shape>
          </w:pict>
        </mc:Fallback>
      </mc:AlternateContent>
    </w:r>
    <w:r>
      <w:rPr>
        <w:rFonts w:hint="eastAsia"/>
      </w:rPr>
      <w:t>浙江华杰工程咨询有限公司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2622F2">
    <w:pPr>
      <w:pStyle w:val="19"/>
      <w:pBdr>
        <w:bottom w:val="single" w:color="auto" w:sz="4" w:space="0"/>
      </w:pBdr>
      <w:jc w:val="both"/>
      <w:rPr>
        <w:rFonts w:hint="eastAsia" w:eastAsia="宋体"/>
        <w:lang w:eastAsia="zh-CN"/>
      </w:rPr>
    </w:pPr>
    <w:r>
      <w:rPr>
        <w:sz w:val="18"/>
      </w:rPr>
      <w:pict>
        <v:shape id="PowerPlusWaterMarkObject75249" o:spid="_x0000_s4097" o:spt="136" type="#_x0000_t136" style="position:absolute;left:0pt;height:50.95pt;width:536.3pt;mso-position-horizontal:center;mso-position-horizontal-relative:margin;mso-position-vertical:center;mso-position-vertical-relative:margin;rotation:-2949120f;z-index:-251657216;mso-width-relative:page;mso-height-relative:page;" fillcolor="#C0C0C0" filled="t" stroked="f" coordsize="21600,21600" adj="10800">
          <v:path/>
          <v:fill on="t" color2="#FFFFFF" opacity="32768f" focussize="0,0"/>
          <v:stroke on="f"/>
          <v:imagedata o:title=""/>
          <o:lock v:ext="edit" aspectratio="t"/>
          <v:textpath on="t" fitshape="t" fitpath="t" trim="t" xscale="f" string="浙江华杰工程咨询有限公司" style="font-family:宋体;font-size:36pt;v-same-letter-heights:f;v-text-align:center;"/>
        </v:shape>
      </w:pict>
    </w:r>
    <w:r>
      <w:rPr>
        <w:rFonts w:hint="eastAsia"/>
        <w:lang w:eastAsia="zh-CN"/>
      </w:rPr>
      <w:t>浙江省金华监狱东关押点操场维修工程</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EB631A">
    <w:pPr>
      <w:pStyle w:val="1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A0C741"/>
    <w:multiLevelType w:val="singleLevel"/>
    <w:tmpl w:val="80A0C741"/>
    <w:lvl w:ilvl="0" w:tentative="0">
      <w:start w:val="1"/>
      <w:numFmt w:val="decimalEnclosedCircleChinese"/>
      <w:suff w:val="space"/>
      <w:lvlText w:val="%1"/>
      <w:lvlJc w:val="left"/>
      <w:rPr>
        <w:rFonts w:hint="eastAsia"/>
      </w:rPr>
    </w:lvl>
  </w:abstractNum>
  <w:abstractNum w:abstractNumId="1">
    <w:nsid w:val="A6A679F7"/>
    <w:multiLevelType w:val="singleLevel"/>
    <w:tmpl w:val="A6A679F7"/>
    <w:lvl w:ilvl="0" w:tentative="0">
      <w:start w:val="2"/>
      <w:numFmt w:val="chineseCounting"/>
      <w:suff w:val="space"/>
      <w:lvlText w:val="第%1章"/>
      <w:lvlJc w:val="left"/>
      <w:rPr>
        <w:rFonts w:hint="eastAsia"/>
      </w:rPr>
    </w:lvl>
  </w:abstractNum>
  <w:abstractNum w:abstractNumId="2">
    <w:nsid w:val="CFFADDB3"/>
    <w:multiLevelType w:val="singleLevel"/>
    <w:tmpl w:val="CFFADDB3"/>
    <w:lvl w:ilvl="0" w:tentative="0">
      <w:start w:val="1"/>
      <w:numFmt w:val="decimal"/>
      <w:suff w:val="nothing"/>
      <w:lvlText w:val="%1、"/>
      <w:lvlJc w:val="left"/>
    </w:lvl>
  </w:abstractNum>
  <w:abstractNum w:abstractNumId="3">
    <w:nsid w:val="00000004"/>
    <w:multiLevelType w:val="singleLevel"/>
    <w:tmpl w:val="00000004"/>
    <w:lvl w:ilvl="0" w:tentative="0">
      <w:start w:val="1"/>
      <w:numFmt w:val="japaneseCounting"/>
      <w:suff w:val="nothing"/>
      <w:lvlText w:val="%1、"/>
      <w:lvlJc w:val="left"/>
      <w:rPr>
        <w:rFonts w:ascii="Times New Roman" w:hAnsi="Times New Roman" w:eastAsia="Times New Roman" w:cs="Times New Roman"/>
      </w:rPr>
    </w:lvl>
  </w:abstractNum>
  <w:abstractNum w:abstractNumId="4">
    <w:nsid w:val="05CE9C1F"/>
    <w:multiLevelType w:val="singleLevel"/>
    <w:tmpl w:val="05CE9C1F"/>
    <w:lvl w:ilvl="0" w:tentative="0">
      <w:start w:val="1"/>
      <w:numFmt w:val="decimal"/>
      <w:suff w:val="nothing"/>
      <w:lvlText w:val="%1、"/>
      <w:lvlJc w:val="left"/>
    </w:lvl>
  </w:abstractNum>
  <w:abstractNum w:abstractNumId="5">
    <w:nsid w:val="46253B92"/>
    <w:multiLevelType w:val="multilevel"/>
    <w:tmpl w:val="46253B92"/>
    <w:lvl w:ilvl="0" w:tentative="0">
      <w:start w:val="8"/>
      <w:numFmt w:val="japaneseCounting"/>
      <w:lvlText w:val="第%1条"/>
      <w:lvlJc w:val="left"/>
      <w:pPr>
        <w:tabs>
          <w:tab w:val="left" w:pos="1095"/>
        </w:tabs>
        <w:ind w:left="1095" w:hanging="1095"/>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51642AB0"/>
    <w:multiLevelType w:val="multilevel"/>
    <w:tmpl w:val="51642AB0"/>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5CC40BBF"/>
    <w:multiLevelType w:val="multilevel"/>
    <w:tmpl w:val="5CC40BBF"/>
    <w:lvl w:ilvl="0" w:tentative="0">
      <w:start w:val="1"/>
      <w:numFmt w:val="japaneseCounting"/>
      <w:lvlText w:val="第%1条"/>
      <w:lvlJc w:val="left"/>
      <w:pPr>
        <w:tabs>
          <w:tab w:val="left" w:pos="1185"/>
        </w:tabs>
        <w:ind w:left="1185" w:hanging="750"/>
      </w:pPr>
      <w:rPr>
        <w:rFonts w:hint="default"/>
      </w:rPr>
    </w:lvl>
    <w:lvl w:ilvl="1" w:tentative="0">
      <w:start w:val="1"/>
      <w:numFmt w:val="decimal"/>
      <w:lvlText w:val="%2、"/>
      <w:lvlJc w:val="left"/>
      <w:pPr>
        <w:tabs>
          <w:tab w:val="left" w:pos="1215"/>
        </w:tabs>
        <w:ind w:left="1215" w:hanging="360"/>
      </w:pPr>
      <w:rPr>
        <w:rFonts w:hint="default"/>
      </w:rPr>
    </w:lvl>
    <w:lvl w:ilvl="2" w:tentative="0">
      <w:start w:val="1"/>
      <w:numFmt w:val="lowerRoman"/>
      <w:lvlText w:val="%3."/>
      <w:lvlJc w:val="right"/>
      <w:pPr>
        <w:tabs>
          <w:tab w:val="left" w:pos="1695"/>
        </w:tabs>
        <w:ind w:left="1695" w:hanging="420"/>
      </w:pPr>
    </w:lvl>
    <w:lvl w:ilvl="3" w:tentative="0">
      <w:start w:val="1"/>
      <w:numFmt w:val="decimal"/>
      <w:lvlText w:val="%4."/>
      <w:lvlJc w:val="left"/>
      <w:pPr>
        <w:tabs>
          <w:tab w:val="left" w:pos="2115"/>
        </w:tabs>
        <w:ind w:left="2115" w:hanging="420"/>
      </w:pPr>
    </w:lvl>
    <w:lvl w:ilvl="4" w:tentative="0">
      <w:start w:val="1"/>
      <w:numFmt w:val="lowerLetter"/>
      <w:lvlText w:val="%5)"/>
      <w:lvlJc w:val="left"/>
      <w:pPr>
        <w:tabs>
          <w:tab w:val="left" w:pos="2535"/>
        </w:tabs>
        <w:ind w:left="2535" w:hanging="420"/>
      </w:pPr>
    </w:lvl>
    <w:lvl w:ilvl="5" w:tentative="0">
      <w:start w:val="1"/>
      <w:numFmt w:val="lowerRoman"/>
      <w:lvlText w:val="%6."/>
      <w:lvlJc w:val="right"/>
      <w:pPr>
        <w:tabs>
          <w:tab w:val="left" w:pos="2955"/>
        </w:tabs>
        <w:ind w:left="2955" w:hanging="420"/>
      </w:pPr>
    </w:lvl>
    <w:lvl w:ilvl="6" w:tentative="0">
      <w:start w:val="1"/>
      <w:numFmt w:val="decimal"/>
      <w:lvlText w:val="%7."/>
      <w:lvlJc w:val="left"/>
      <w:pPr>
        <w:tabs>
          <w:tab w:val="left" w:pos="3375"/>
        </w:tabs>
        <w:ind w:left="3375" w:hanging="420"/>
      </w:pPr>
    </w:lvl>
    <w:lvl w:ilvl="7" w:tentative="0">
      <w:start w:val="1"/>
      <w:numFmt w:val="lowerLetter"/>
      <w:lvlText w:val="%8)"/>
      <w:lvlJc w:val="left"/>
      <w:pPr>
        <w:tabs>
          <w:tab w:val="left" w:pos="3795"/>
        </w:tabs>
        <w:ind w:left="3795" w:hanging="420"/>
      </w:pPr>
    </w:lvl>
    <w:lvl w:ilvl="8" w:tentative="0">
      <w:start w:val="1"/>
      <w:numFmt w:val="lowerRoman"/>
      <w:lvlText w:val="%9."/>
      <w:lvlJc w:val="right"/>
      <w:pPr>
        <w:tabs>
          <w:tab w:val="left" w:pos="4215"/>
        </w:tabs>
        <w:ind w:left="4215" w:hanging="420"/>
      </w:pPr>
    </w:lvl>
  </w:abstractNum>
  <w:abstractNum w:abstractNumId="8">
    <w:nsid w:val="64D308F3"/>
    <w:multiLevelType w:val="singleLevel"/>
    <w:tmpl w:val="64D308F3"/>
    <w:lvl w:ilvl="0" w:tentative="0">
      <w:start w:val="1"/>
      <w:numFmt w:val="decimal"/>
      <w:lvlText w:val="(%1)"/>
      <w:lvlJc w:val="left"/>
      <w:pPr>
        <w:ind w:left="425" w:hanging="425"/>
      </w:pPr>
      <w:rPr>
        <w:rFonts w:hint="default"/>
      </w:rPr>
    </w:lvl>
  </w:abstractNum>
  <w:num w:numId="1">
    <w:abstractNumId w:val="1"/>
  </w:num>
  <w:num w:numId="2">
    <w:abstractNumId w:val="6"/>
  </w:num>
  <w:num w:numId="3">
    <w:abstractNumId w:val="4"/>
  </w:num>
  <w:num w:numId="4">
    <w:abstractNumId w:val="8"/>
  </w:num>
  <w:num w:numId="5">
    <w:abstractNumId w:val="7"/>
  </w:num>
  <w:num w:numId="6">
    <w:abstractNumId w:val="5"/>
  </w:num>
  <w:num w:numId="7">
    <w:abstractNumId w:val="3"/>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0"/>
  <w:bordersDoNotSurroundFooter w:val="0"/>
  <w:doNotTrackMoves/>
  <w:documentProtection w:enforcement="0"/>
  <w:defaultTabStop w:val="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hOTY4Y2ZiOGE2MzUyODZjNTc2NGFjYmI0OTE5ZjcifQ=="/>
    <w:docVar w:name="KSO_WPS_MARK_KEY" w:val="552313e7-04d7-431f-85e6-3d199c4a4860"/>
  </w:docVars>
  <w:rsids>
    <w:rsidRoot w:val="00172A27"/>
    <w:rsid w:val="000012D0"/>
    <w:rsid w:val="00003C5B"/>
    <w:rsid w:val="00003F63"/>
    <w:rsid w:val="000056E1"/>
    <w:rsid w:val="000061DC"/>
    <w:rsid w:val="00006A04"/>
    <w:rsid w:val="0001019E"/>
    <w:rsid w:val="0001064C"/>
    <w:rsid w:val="00011D31"/>
    <w:rsid w:val="00011E61"/>
    <w:rsid w:val="00016A46"/>
    <w:rsid w:val="00021D7F"/>
    <w:rsid w:val="0002263C"/>
    <w:rsid w:val="00023162"/>
    <w:rsid w:val="0003087B"/>
    <w:rsid w:val="0003343F"/>
    <w:rsid w:val="00034985"/>
    <w:rsid w:val="0003539E"/>
    <w:rsid w:val="00037A9A"/>
    <w:rsid w:val="00040333"/>
    <w:rsid w:val="00040BB9"/>
    <w:rsid w:val="00044C4E"/>
    <w:rsid w:val="0004559A"/>
    <w:rsid w:val="00047334"/>
    <w:rsid w:val="00050633"/>
    <w:rsid w:val="00052A87"/>
    <w:rsid w:val="00054E27"/>
    <w:rsid w:val="000578BE"/>
    <w:rsid w:val="000603C1"/>
    <w:rsid w:val="00063A5D"/>
    <w:rsid w:val="00063FFD"/>
    <w:rsid w:val="00064155"/>
    <w:rsid w:val="00065059"/>
    <w:rsid w:val="000653FF"/>
    <w:rsid w:val="00065C8C"/>
    <w:rsid w:val="00070A23"/>
    <w:rsid w:val="00070E38"/>
    <w:rsid w:val="00072792"/>
    <w:rsid w:val="0007323B"/>
    <w:rsid w:val="000733E4"/>
    <w:rsid w:val="00075BA3"/>
    <w:rsid w:val="00076357"/>
    <w:rsid w:val="00076B9C"/>
    <w:rsid w:val="00077B5E"/>
    <w:rsid w:val="00080BEC"/>
    <w:rsid w:val="00081FCE"/>
    <w:rsid w:val="0008306D"/>
    <w:rsid w:val="00085703"/>
    <w:rsid w:val="00085B83"/>
    <w:rsid w:val="000861BA"/>
    <w:rsid w:val="0008694E"/>
    <w:rsid w:val="00086DF2"/>
    <w:rsid w:val="00087024"/>
    <w:rsid w:val="00087E90"/>
    <w:rsid w:val="000919AF"/>
    <w:rsid w:val="00094551"/>
    <w:rsid w:val="00094CDB"/>
    <w:rsid w:val="000953D2"/>
    <w:rsid w:val="00096198"/>
    <w:rsid w:val="00096503"/>
    <w:rsid w:val="000A06C0"/>
    <w:rsid w:val="000A0DBA"/>
    <w:rsid w:val="000A2011"/>
    <w:rsid w:val="000A256D"/>
    <w:rsid w:val="000A44A2"/>
    <w:rsid w:val="000A50C6"/>
    <w:rsid w:val="000A575B"/>
    <w:rsid w:val="000A7A29"/>
    <w:rsid w:val="000B0F5B"/>
    <w:rsid w:val="000B4F8C"/>
    <w:rsid w:val="000B5744"/>
    <w:rsid w:val="000B60BC"/>
    <w:rsid w:val="000C1488"/>
    <w:rsid w:val="000C6176"/>
    <w:rsid w:val="000C6204"/>
    <w:rsid w:val="000D04AC"/>
    <w:rsid w:val="000D128A"/>
    <w:rsid w:val="000D197C"/>
    <w:rsid w:val="000D1C83"/>
    <w:rsid w:val="000D51F0"/>
    <w:rsid w:val="000D60CB"/>
    <w:rsid w:val="000D6956"/>
    <w:rsid w:val="000D71AB"/>
    <w:rsid w:val="000D76CF"/>
    <w:rsid w:val="000E1559"/>
    <w:rsid w:val="000E292C"/>
    <w:rsid w:val="000E6DDC"/>
    <w:rsid w:val="000F0431"/>
    <w:rsid w:val="000F04C0"/>
    <w:rsid w:val="000F05A7"/>
    <w:rsid w:val="000F0DD6"/>
    <w:rsid w:val="000F164F"/>
    <w:rsid w:val="000F28AD"/>
    <w:rsid w:val="000F2E59"/>
    <w:rsid w:val="000F318D"/>
    <w:rsid w:val="000F3FFF"/>
    <w:rsid w:val="000F6319"/>
    <w:rsid w:val="000F67AB"/>
    <w:rsid w:val="000F6C04"/>
    <w:rsid w:val="0010219A"/>
    <w:rsid w:val="00102B92"/>
    <w:rsid w:val="00111FEA"/>
    <w:rsid w:val="0011225A"/>
    <w:rsid w:val="00112302"/>
    <w:rsid w:val="001127F8"/>
    <w:rsid w:val="001129E1"/>
    <w:rsid w:val="001154AC"/>
    <w:rsid w:val="00116CD1"/>
    <w:rsid w:val="00117D67"/>
    <w:rsid w:val="0012099C"/>
    <w:rsid w:val="00121154"/>
    <w:rsid w:val="00121AA3"/>
    <w:rsid w:val="00121FBF"/>
    <w:rsid w:val="00123114"/>
    <w:rsid w:val="0012446B"/>
    <w:rsid w:val="00124849"/>
    <w:rsid w:val="001336A4"/>
    <w:rsid w:val="00135B94"/>
    <w:rsid w:val="001366A0"/>
    <w:rsid w:val="00140E88"/>
    <w:rsid w:val="001445D5"/>
    <w:rsid w:val="00144F56"/>
    <w:rsid w:val="001453E9"/>
    <w:rsid w:val="00145A70"/>
    <w:rsid w:val="00146ABB"/>
    <w:rsid w:val="00146F3E"/>
    <w:rsid w:val="001479B2"/>
    <w:rsid w:val="001479B6"/>
    <w:rsid w:val="00147C49"/>
    <w:rsid w:val="00147CFB"/>
    <w:rsid w:val="00150258"/>
    <w:rsid w:val="00150474"/>
    <w:rsid w:val="001504DD"/>
    <w:rsid w:val="0015067F"/>
    <w:rsid w:val="00150EEA"/>
    <w:rsid w:val="00151AA5"/>
    <w:rsid w:val="00151BBE"/>
    <w:rsid w:val="00151EE8"/>
    <w:rsid w:val="00152122"/>
    <w:rsid w:val="00153CC7"/>
    <w:rsid w:val="00153CDD"/>
    <w:rsid w:val="00154B02"/>
    <w:rsid w:val="001650FD"/>
    <w:rsid w:val="00167614"/>
    <w:rsid w:val="00167E72"/>
    <w:rsid w:val="00170CC5"/>
    <w:rsid w:val="001719C9"/>
    <w:rsid w:val="00172A27"/>
    <w:rsid w:val="00172D7C"/>
    <w:rsid w:val="001765CA"/>
    <w:rsid w:val="00176EAF"/>
    <w:rsid w:val="00177452"/>
    <w:rsid w:val="00181BEF"/>
    <w:rsid w:val="00183B07"/>
    <w:rsid w:val="001847D3"/>
    <w:rsid w:val="0018773F"/>
    <w:rsid w:val="00191B5C"/>
    <w:rsid w:val="00192C43"/>
    <w:rsid w:val="0019312F"/>
    <w:rsid w:val="001939CA"/>
    <w:rsid w:val="00197331"/>
    <w:rsid w:val="00197DAE"/>
    <w:rsid w:val="001A0F42"/>
    <w:rsid w:val="001A1D88"/>
    <w:rsid w:val="001A1F5E"/>
    <w:rsid w:val="001A2FB7"/>
    <w:rsid w:val="001A35EC"/>
    <w:rsid w:val="001A56DE"/>
    <w:rsid w:val="001A779E"/>
    <w:rsid w:val="001B0BD9"/>
    <w:rsid w:val="001B1C63"/>
    <w:rsid w:val="001B2B15"/>
    <w:rsid w:val="001B2E87"/>
    <w:rsid w:val="001C462D"/>
    <w:rsid w:val="001C4A2C"/>
    <w:rsid w:val="001C4D8D"/>
    <w:rsid w:val="001C5199"/>
    <w:rsid w:val="001C719B"/>
    <w:rsid w:val="001D039B"/>
    <w:rsid w:val="001D05F5"/>
    <w:rsid w:val="001D0B8D"/>
    <w:rsid w:val="001D284A"/>
    <w:rsid w:val="001D5885"/>
    <w:rsid w:val="001D5933"/>
    <w:rsid w:val="001E0731"/>
    <w:rsid w:val="001E22D0"/>
    <w:rsid w:val="001E2B2B"/>
    <w:rsid w:val="001E365C"/>
    <w:rsid w:val="001E3F69"/>
    <w:rsid w:val="001E55C7"/>
    <w:rsid w:val="001E5D74"/>
    <w:rsid w:val="001E5F3F"/>
    <w:rsid w:val="001E68FF"/>
    <w:rsid w:val="001F091B"/>
    <w:rsid w:val="001F0DB1"/>
    <w:rsid w:val="001F1118"/>
    <w:rsid w:val="001F1F66"/>
    <w:rsid w:val="001F39DE"/>
    <w:rsid w:val="001F4E31"/>
    <w:rsid w:val="001F6340"/>
    <w:rsid w:val="0020121A"/>
    <w:rsid w:val="002029C3"/>
    <w:rsid w:val="0020384D"/>
    <w:rsid w:val="00203CE8"/>
    <w:rsid w:val="002059F1"/>
    <w:rsid w:val="0020733A"/>
    <w:rsid w:val="00207A2D"/>
    <w:rsid w:val="00207DDF"/>
    <w:rsid w:val="00210427"/>
    <w:rsid w:val="00210FB0"/>
    <w:rsid w:val="00211D9A"/>
    <w:rsid w:val="002141FB"/>
    <w:rsid w:val="0021474E"/>
    <w:rsid w:val="00215120"/>
    <w:rsid w:val="00220E19"/>
    <w:rsid w:val="00222EA2"/>
    <w:rsid w:val="002250FE"/>
    <w:rsid w:val="002259FB"/>
    <w:rsid w:val="0022603B"/>
    <w:rsid w:val="00230247"/>
    <w:rsid w:val="00230B9B"/>
    <w:rsid w:val="0023116D"/>
    <w:rsid w:val="00231928"/>
    <w:rsid w:val="00232547"/>
    <w:rsid w:val="002325BD"/>
    <w:rsid w:val="00232E97"/>
    <w:rsid w:val="00233522"/>
    <w:rsid w:val="0023358B"/>
    <w:rsid w:val="0023388E"/>
    <w:rsid w:val="00233F7A"/>
    <w:rsid w:val="00234A4E"/>
    <w:rsid w:val="00235B1C"/>
    <w:rsid w:val="00236481"/>
    <w:rsid w:val="00236A2C"/>
    <w:rsid w:val="002379BC"/>
    <w:rsid w:val="00242F99"/>
    <w:rsid w:val="002433A5"/>
    <w:rsid w:val="0024495F"/>
    <w:rsid w:val="0024553A"/>
    <w:rsid w:val="002500F9"/>
    <w:rsid w:val="0025317F"/>
    <w:rsid w:val="00254053"/>
    <w:rsid w:val="002544FF"/>
    <w:rsid w:val="00254BCF"/>
    <w:rsid w:val="00254DD5"/>
    <w:rsid w:val="002552BE"/>
    <w:rsid w:val="00255393"/>
    <w:rsid w:val="00255920"/>
    <w:rsid w:val="002559DB"/>
    <w:rsid w:val="00255EDC"/>
    <w:rsid w:val="002564CB"/>
    <w:rsid w:val="00256706"/>
    <w:rsid w:val="002604C5"/>
    <w:rsid w:val="002607F8"/>
    <w:rsid w:val="0026134E"/>
    <w:rsid w:val="00261663"/>
    <w:rsid w:val="00262AAC"/>
    <w:rsid w:val="00265245"/>
    <w:rsid w:val="00265A1F"/>
    <w:rsid w:val="00265B9B"/>
    <w:rsid w:val="00266A51"/>
    <w:rsid w:val="0026755C"/>
    <w:rsid w:val="002703AE"/>
    <w:rsid w:val="00270928"/>
    <w:rsid w:val="00270A86"/>
    <w:rsid w:val="00270D9B"/>
    <w:rsid w:val="00272665"/>
    <w:rsid w:val="00272E6A"/>
    <w:rsid w:val="002743F7"/>
    <w:rsid w:val="00276138"/>
    <w:rsid w:val="002779E8"/>
    <w:rsid w:val="00280F67"/>
    <w:rsid w:val="00282A3D"/>
    <w:rsid w:val="00282F2F"/>
    <w:rsid w:val="00284FB1"/>
    <w:rsid w:val="002878CF"/>
    <w:rsid w:val="002903F5"/>
    <w:rsid w:val="0029129D"/>
    <w:rsid w:val="00294885"/>
    <w:rsid w:val="00294A22"/>
    <w:rsid w:val="00295205"/>
    <w:rsid w:val="00296D05"/>
    <w:rsid w:val="00297013"/>
    <w:rsid w:val="00297297"/>
    <w:rsid w:val="002A0958"/>
    <w:rsid w:val="002A4FC2"/>
    <w:rsid w:val="002A7492"/>
    <w:rsid w:val="002B038D"/>
    <w:rsid w:val="002B0AB5"/>
    <w:rsid w:val="002B1B8C"/>
    <w:rsid w:val="002B1CBD"/>
    <w:rsid w:val="002B2F16"/>
    <w:rsid w:val="002B3532"/>
    <w:rsid w:val="002B3875"/>
    <w:rsid w:val="002B4923"/>
    <w:rsid w:val="002B7BC2"/>
    <w:rsid w:val="002C226B"/>
    <w:rsid w:val="002C7577"/>
    <w:rsid w:val="002D07C2"/>
    <w:rsid w:val="002D18BD"/>
    <w:rsid w:val="002D1A64"/>
    <w:rsid w:val="002D22BF"/>
    <w:rsid w:val="002D4051"/>
    <w:rsid w:val="002D4607"/>
    <w:rsid w:val="002D4646"/>
    <w:rsid w:val="002D4C1F"/>
    <w:rsid w:val="002D5249"/>
    <w:rsid w:val="002D62C0"/>
    <w:rsid w:val="002D6307"/>
    <w:rsid w:val="002D6642"/>
    <w:rsid w:val="002D66DF"/>
    <w:rsid w:val="002D67A0"/>
    <w:rsid w:val="002E11BF"/>
    <w:rsid w:val="002E2807"/>
    <w:rsid w:val="002E3C36"/>
    <w:rsid w:val="002E593D"/>
    <w:rsid w:val="002E68B4"/>
    <w:rsid w:val="002E76CB"/>
    <w:rsid w:val="002E7867"/>
    <w:rsid w:val="002F28D1"/>
    <w:rsid w:val="002F2DB6"/>
    <w:rsid w:val="002F447D"/>
    <w:rsid w:val="002F4852"/>
    <w:rsid w:val="003014D4"/>
    <w:rsid w:val="0030166D"/>
    <w:rsid w:val="00301975"/>
    <w:rsid w:val="00303D2C"/>
    <w:rsid w:val="00304867"/>
    <w:rsid w:val="00306F48"/>
    <w:rsid w:val="003101E3"/>
    <w:rsid w:val="003110B4"/>
    <w:rsid w:val="00311F99"/>
    <w:rsid w:val="00312D47"/>
    <w:rsid w:val="00313810"/>
    <w:rsid w:val="00315E73"/>
    <w:rsid w:val="00316E3F"/>
    <w:rsid w:val="00317064"/>
    <w:rsid w:val="003170B5"/>
    <w:rsid w:val="0031790F"/>
    <w:rsid w:val="00320233"/>
    <w:rsid w:val="00321236"/>
    <w:rsid w:val="003213F1"/>
    <w:rsid w:val="00321453"/>
    <w:rsid w:val="00321D71"/>
    <w:rsid w:val="003221EA"/>
    <w:rsid w:val="00322461"/>
    <w:rsid w:val="00323C44"/>
    <w:rsid w:val="00323EFF"/>
    <w:rsid w:val="00325DB0"/>
    <w:rsid w:val="00327D07"/>
    <w:rsid w:val="0033048B"/>
    <w:rsid w:val="00331E8F"/>
    <w:rsid w:val="00332776"/>
    <w:rsid w:val="0033583C"/>
    <w:rsid w:val="00340C03"/>
    <w:rsid w:val="0034325C"/>
    <w:rsid w:val="00343D1F"/>
    <w:rsid w:val="00344BB5"/>
    <w:rsid w:val="00346A4E"/>
    <w:rsid w:val="003470B5"/>
    <w:rsid w:val="00347969"/>
    <w:rsid w:val="0034797B"/>
    <w:rsid w:val="00351FD9"/>
    <w:rsid w:val="00353AF8"/>
    <w:rsid w:val="00353F76"/>
    <w:rsid w:val="00353FD9"/>
    <w:rsid w:val="003570DD"/>
    <w:rsid w:val="00366D9E"/>
    <w:rsid w:val="0036748A"/>
    <w:rsid w:val="0037171D"/>
    <w:rsid w:val="00371802"/>
    <w:rsid w:val="00371854"/>
    <w:rsid w:val="003731E8"/>
    <w:rsid w:val="00373839"/>
    <w:rsid w:val="00374D52"/>
    <w:rsid w:val="0037571A"/>
    <w:rsid w:val="00376774"/>
    <w:rsid w:val="003774DD"/>
    <w:rsid w:val="0037793E"/>
    <w:rsid w:val="00380932"/>
    <w:rsid w:val="003811D3"/>
    <w:rsid w:val="00381D1C"/>
    <w:rsid w:val="003827ED"/>
    <w:rsid w:val="003833A9"/>
    <w:rsid w:val="003846F2"/>
    <w:rsid w:val="00384D5A"/>
    <w:rsid w:val="00385ED9"/>
    <w:rsid w:val="003866E6"/>
    <w:rsid w:val="00393AE2"/>
    <w:rsid w:val="003956B8"/>
    <w:rsid w:val="003958CD"/>
    <w:rsid w:val="0039659A"/>
    <w:rsid w:val="00396B06"/>
    <w:rsid w:val="00397AC4"/>
    <w:rsid w:val="003A022F"/>
    <w:rsid w:val="003A026E"/>
    <w:rsid w:val="003A0A57"/>
    <w:rsid w:val="003A1A9B"/>
    <w:rsid w:val="003A20F9"/>
    <w:rsid w:val="003A4187"/>
    <w:rsid w:val="003A62E1"/>
    <w:rsid w:val="003A6B0E"/>
    <w:rsid w:val="003A6C2D"/>
    <w:rsid w:val="003A7AF5"/>
    <w:rsid w:val="003B0D62"/>
    <w:rsid w:val="003B3015"/>
    <w:rsid w:val="003B69A5"/>
    <w:rsid w:val="003C0668"/>
    <w:rsid w:val="003C12CF"/>
    <w:rsid w:val="003C2BC1"/>
    <w:rsid w:val="003C3DB7"/>
    <w:rsid w:val="003C416B"/>
    <w:rsid w:val="003D03A5"/>
    <w:rsid w:val="003D1EAD"/>
    <w:rsid w:val="003D2102"/>
    <w:rsid w:val="003D427C"/>
    <w:rsid w:val="003D4F5E"/>
    <w:rsid w:val="003D50BB"/>
    <w:rsid w:val="003D5853"/>
    <w:rsid w:val="003D714F"/>
    <w:rsid w:val="003E0050"/>
    <w:rsid w:val="003E193B"/>
    <w:rsid w:val="003E2891"/>
    <w:rsid w:val="003E451D"/>
    <w:rsid w:val="003E485F"/>
    <w:rsid w:val="003E53D6"/>
    <w:rsid w:val="003E64D3"/>
    <w:rsid w:val="003F034F"/>
    <w:rsid w:val="003F12E0"/>
    <w:rsid w:val="003F2556"/>
    <w:rsid w:val="003F26DC"/>
    <w:rsid w:val="003F32AC"/>
    <w:rsid w:val="003F3902"/>
    <w:rsid w:val="003F392C"/>
    <w:rsid w:val="003F557E"/>
    <w:rsid w:val="003F71DA"/>
    <w:rsid w:val="0040278B"/>
    <w:rsid w:val="004034C6"/>
    <w:rsid w:val="00405292"/>
    <w:rsid w:val="00410567"/>
    <w:rsid w:val="00410F65"/>
    <w:rsid w:val="004110D6"/>
    <w:rsid w:val="00411AF8"/>
    <w:rsid w:val="0041246C"/>
    <w:rsid w:val="0041307F"/>
    <w:rsid w:val="0041466D"/>
    <w:rsid w:val="00416B25"/>
    <w:rsid w:val="004173A2"/>
    <w:rsid w:val="00417E82"/>
    <w:rsid w:val="00422ACA"/>
    <w:rsid w:val="00423E9F"/>
    <w:rsid w:val="0042416C"/>
    <w:rsid w:val="00424491"/>
    <w:rsid w:val="00425CED"/>
    <w:rsid w:val="00426147"/>
    <w:rsid w:val="004311A1"/>
    <w:rsid w:val="004313A8"/>
    <w:rsid w:val="00435093"/>
    <w:rsid w:val="00436E37"/>
    <w:rsid w:val="00437319"/>
    <w:rsid w:val="004421CE"/>
    <w:rsid w:val="00444646"/>
    <w:rsid w:val="00445397"/>
    <w:rsid w:val="004456A8"/>
    <w:rsid w:val="00445ABB"/>
    <w:rsid w:val="00446C00"/>
    <w:rsid w:val="00447029"/>
    <w:rsid w:val="00453B98"/>
    <w:rsid w:val="00455FB6"/>
    <w:rsid w:val="00457E70"/>
    <w:rsid w:val="004608DC"/>
    <w:rsid w:val="00461E6F"/>
    <w:rsid w:val="00462BC6"/>
    <w:rsid w:val="00463534"/>
    <w:rsid w:val="00464401"/>
    <w:rsid w:val="004674C4"/>
    <w:rsid w:val="004712BB"/>
    <w:rsid w:val="004715DE"/>
    <w:rsid w:val="00471C1F"/>
    <w:rsid w:val="00472082"/>
    <w:rsid w:val="00472A45"/>
    <w:rsid w:val="004736A3"/>
    <w:rsid w:val="004745C7"/>
    <w:rsid w:val="00474C04"/>
    <w:rsid w:val="00475979"/>
    <w:rsid w:val="00476033"/>
    <w:rsid w:val="004777C6"/>
    <w:rsid w:val="00477EE9"/>
    <w:rsid w:val="00477F82"/>
    <w:rsid w:val="00477FC7"/>
    <w:rsid w:val="00484AF8"/>
    <w:rsid w:val="00486154"/>
    <w:rsid w:val="004924C0"/>
    <w:rsid w:val="00493B71"/>
    <w:rsid w:val="00493D45"/>
    <w:rsid w:val="00495DAA"/>
    <w:rsid w:val="004969E2"/>
    <w:rsid w:val="004972D2"/>
    <w:rsid w:val="004972E7"/>
    <w:rsid w:val="00497956"/>
    <w:rsid w:val="004A30B3"/>
    <w:rsid w:val="004A3836"/>
    <w:rsid w:val="004A3DF0"/>
    <w:rsid w:val="004A5403"/>
    <w:rsid w:val="004A5511"/>
    <w:rsid w:val="004A66B0"/>
    <w:rsid w:val="004A6A08"/>
    <w:rsid w:val="004A7270"/>
    <w:rsid w:val="004B0721"/>
    <w:rsid w:val="004B214E"/>
    <w:rsid w:val="004B24B1"/>
    <w:rsid w:val="004C33D1"/>
    <w:rsid w:val="004C43AC"/>
    <w:rsid w:val="004C45FE"/>
    <w:rsid w:val="004C4A2B"/>
    <w:rsid w:val="004C6F9A"/>
    <w:rsid w:val="004D18B5"/>
    <w:rsid w:val="004D1CBC"/>
    <w:rsid w:val="004D1DC3"/>
    <w:rsid w:val="004D545E"/>
    <w:rsid w:val="004D6C1A"/>
    <w:rsid w:val="004E0089"/>
    <w:rsid w:val="004E10D2"/>
    <w:rsid w:val="004E11D4"/>
    <w:rsid w:val="004E382E"/>
    <w:rsid w:val="004E3CF0"/>
    <w:rsid w:val="004E4943"/>
    <w:rsid w:val="004E6065"/>
    <w:rsid w:val="004E6639"/>
    <w:rsid w:val="004F0768"/>
    <w:rsid w:val="004F333A"/>
    <w:rsid w:val="004F3C0F"/>
    <w:rsid w:val="004F569E"/>
    <w:rsid w:val="004F57E7"/>
    <w:rsid w:val="004F725B"/>
    <w:rsid w:val="004F7F03"/>
    <w:rsid w:val="005033C9"/>
    <w:rsid w:val="00503408"/>
    <w:rsid w:val="0050402D"/>
    <w:rsid w:val="005042DC"/>
    <w:rsid w:val="00504A93"/>
    <w:rsid w:val="00504C9F"/>
    <w:rsid w:val="00505F2A"/>
    <w:rsid w:val="0050610E"/>
    <w:rsid w:val="00506A8C"/>
    <w:rsid w:val="00512EEA"/>
    <w:rsid w:val="00514220"/>
    <w:rsid w:val="00514720"/>
    <w:rsid w:val="00514EF3"/>
    <w:rsid w:val="00515059"/>
    <w:rsid w:val="00517669"/>
    <w:rsid w:val="00520754"/>
    <w:rsid w:val="005222DF"/>
    <w:rsid w:val="00523E6C"/>
    <w:rsid w:val="00525D99"/>
    <w:rsid w:val="00530B73"/>
    <w:rsid w:val="00531C84"/>
    <w:rsid w:val="00532954"/>
    <w:rsid w:val="00532A60"/>
    <w:rsid w:val="00534535"/>
    <w:rsid w:val="00534A59"/>
    <w:rsid w:val="005354ED"/>
    <w:rsid w:val="005359F3"/>
    <w:rsid w:val="00535BA9"/>
    <w:rsid w:val="00536A59"/>
    <w:rsid w:val="0054190C"/>
    <w:rsid w:val="00541921"/>
    <w:rsid w:val="00544768"/>
    <w:rsid w:val="00544B3E"/>
    <w:rsid w:val="00544CAF"/>
    <w:rsid w:val="00545436"/>
    <w:rsid w:val="005463B5"/>
    <w:rsid w:val="005465A1"/>
    <w:rsid w:val="0054694C"/>
    <w:rsid w:val="00546B33"/>
    <w:rsid w:val="00547330"/>
    <w:rsid w:val="005475C7"/>
    <w:rsid w:val="00550CD7"/>
    <w:rsid w:val="00550E9C"/>
    <w:rsid w:val="0055197B"/>
    <w:rsid w:val="005521AF"/>
    <w:rsid w:val="00552AA6"/>
    <w:rsid w:val="00553168"/>
    <w:rsid w:val="00554D83"/>
    <w:rsid w:val="00554F78"/>
    <w:rsid w:val="00557172"/>
    <w:rsid w:val="0056158F"/>
    <w:rsid w:val="00565463"/>
    <w:rsid w:val="00565619"/>
    <w:rsid w:val="00565864"/>
    <w:rsid w:val="00567442"/>
    <w:rsid w:val="0056774F"/>
    <w:rsid w:val="00570726"/>
    <w:rsid w:val="00571013"/>
    <w:rsid w:val="005717EC"/>
    <w:rsid w:val="00571C4D"/>
    <w:rsid w:val="005743CA"/>
    <w:rsid w:val="005745D1"/>
    <w:rsid w:val="00580854"/>
    <w:rsid w:val="005838BC"/>
    <w:rsid w:val="00584E48"/>
    <w:rsid w:val="005857FB"/>
    <w:rsid w:val="0058677C"/>
    <w:rsid w:val="00587D7B"/>
    <w:rsid w:val="00590565"/>
    <w:rsid w:val="00591616"/>
    <w:rsid w:val="00592985"/>
    <w:rsid w:val="005939BD"/>
    <w:rsid w:val="00594F80"/>
    <w:rsid w:val="0059626A"/>
    <w:rsid w:val="00596287"/>
    <w:rsid w:val="0059729B"/>
    <w:rsid w:val="00597749"/>
    <w:rsid w:val="00597C6C"/>
    <w:rsid w:val="005A0825"/>
    <w:rsid w:val="005A0C3F"/>
    <w:rsid w:val="005A1DF8"/>
    <w:rsid w:val="005A2C55"/>
    <w:rsid w:val="005A2F09"/>
    <w:rsid w:val="005A336F"/>
    <w:rsid w:val="005A4737"/>
    <w:rsid w:val="005A4D74"/>
    <w:rsid w:val="005A705F"/>
    <w:rsid w:val="005A72C8"/>
    <w:rsid w:val="005B091F"/>
    <w:rsid w:val="005B0D4C"/>
    <w:rsid w:val="005B2425"/>
    <w:rsid w:val="005B2FD5"/>
    <w:rsid w:val="005B49C6"/>
    <w:rsid w:val="005B5367"/>
    <w:rsid w:val="005B698F"/>
    <w:rsid w:val="005B6BF6"/>
    <w:rsid w:val="005C24DA"/>
    <w:rsid w:val="005C3C59"/>
    <w:rsid w:val="005C44A3"/>
    <w:rsid w:val="005C4F7E"/>
    <w:rsid w:val="005C7F99"/>
    <w:rsid w:val="005D0793"/>
    <w:rsid w:val="005D2A4A"/>
    <w:rsid w:val="005D349A"/>
    <w:rsid w:val="005D38EE"/>
    <w:rsid w:val="005D399E"/>
    <w:rsid w:val="005D46B1"/>
    <w:rsid w:val="005D5B2C"/>
    <w:rsid w:val="005D5DA7"/>
    <w:rsid w:val="005D798D"/>
    <w:rsid w:val="005D7EFD"/>
    <w:rsid w:val="005E071C"/>
    <w:rsid w:val="005E08F6"/>
    <w:rsid w:val="005E09EB"/>
    <w:rsid w:val="005E254B"/>
    <w:rsid w:val="005E2659"/>
    <w:rsid w:val="005E2722"/>
    <w:rsid w:val="005E644D"/>
    <w:rsid w:val="005E7869"/>
    <w:rsid w:val="005F085D"/>
    <w:rsid w:val="005F2BCB"/>
    <w:rsid w:val="005F2FE7"/>
    <w:rsid w:val="005F3773"/>
    <w:rsid w:val="005F3AF5"/>
    <w:rsid w:val="006040BF"/>
    <w:rsid w:val="00605BBC"/>
    <w:rsid w:val="00607373"/>
    <w:rsid w:val="0060760F"/>
    <w:rsid w:val="00607FFD"/>
    <w:rsid w:val="00615C57"/>
    <w:rsid w:val="00616C59"/>
    <w:rsid w:val="00620866"/>
    <w:rsid w:val="00620C54"/>
    <w:rsid w:val="0062165B"/>
    <w:rsid w:val="00621756"/>
    <w:rsid w:val="006217CE"/>
    <w:rsid w:val="0062221F"/>
    <w:rsid w:val="00632D26"/>
    <w:rsid w:val="0063313F"/>
    <w:rsid w:val="00633E80"/>
    <w:rsid w:val="00634157"/>
    <w:rsid w:val="006349D8"/>
    <w:rsid w:val="006353BF"/>
    <w:rsid w:val="00641567"/>
    <w:rsid w:val="006420AE"/>
    <w:rsid w:val="0064666E"/>
    <w:rsid w:val="006470DB"/>
    <w:rsid w:val="006473AF"/>
    <w:rsid w:val="00647426"/>
    <w:rsid w:val="006474EC"/>
    <w:rsid w:val="00647666"/>
    <w:rsid w:val="0065110A"/>
    <w:rsid w:val="006530E8"/>
    <w:rsid w:val="006555A0"/>
    <w:rsid w:val="0065572C"/>
    <w:rsid w:val="00656DA2"/>
    <w:rsid w:val="006572CF"/>
    <w:rsid w:val="00660659"/>
    <w:rsid w:val="006613FA"/>
    <w:rsid w:val="0066179A"/>
    <w:rsid w:val="00661C69"/>
    <w:rsid w:val="006622E3"/>
    <w:rsid w:val="0066239E"/>
    <w:rsid w:val="006640EB"/>
    <w:rsid w:val="00667255"/>
    <w:rsid w:val="0066795B"/>
    <w:rsid w:val="00667B60"/>
    <w:rsid w:val="006705C0"/>
    <w:rsid w:val="006711C3"/>
    <w:rsid w:val="0067169B"/>
    <w:rsid w:val="00671D7B"/>
    <w:rsid w:val="00672A46"/>
    <w:rsid w:val="006730C0"/>
    <w:rsid w:val="00673F6F"/>
    <w:rsid w:val="00675F7E"/>
    <w:rsid w:val="006769BB"/>
    <w:rsid w:val="00677665"/>
    <w:rsid w:val="00680A94"/>
    <w:rsid w:val="00682480"/>
    <w:rsid w:val="006856A2"/>
    <w:rsid w:val="00686780"/>
    <w:rsid w:val="00686ED5"/>
    <w:rsid w:val="00686F11"/>
    <w:rsid w:val="00687004"/>
    <w:rsid w:val="006901D3"/>
    <w:rsid w:val="006911EC"/>
    <w:rsid w:val="00691757"/>
    <w:rsid w:val="00696412"/>
    <w:rsid w:val="00697FE8"/>
    <w:rsid w:val="006A1645"/>
    <w:rsid w:val="006A1A89"/>
    <w:rsid w:val="006A5CE3"/>
    <w:rsid w:val="006A6676"/>
    <w:rsid w:val="006A762E"/>
    <w:rsid w:val="006B1B3F"/>
    <w:rsid w:val="006B4493"/>
    <w:rsid w:val="006B57C9"/>
    <w:rsid w:val="006B7A01"/>
    <w:rsid w:val="006C1959"/>
    <w:rsid w:val="006C5150"/>
    <w:rsid w:val="006C6570"/>
    <w:rsid w:val="006C6CBE"/>
    <w:rsid w:val="006D020F"/>
    <w:rsid w:val="006D0AE9"/>
    <w:rsid w:val="006D0B7E"/>
    <w:rsid w:val="006D1273"/>
    <w:rsid w:val="006D19A5"/>
    <w:rsid w:val="006D22B8"/>
    <w:rsid w:val="006D4A08"/>
    <w:rsid w:val="006D4CB2"/>
    <w:rsid w:val="006D5A30"/>
    <w:rsid w:val="006D7AB4"/>
    <w:rsid w:val="006E03CA"/>
    <w:rsid w:val="006E1CB4"/>
    <w:rsid w:val="006E1E5B"/>
    <w:rsid w:val="006E21B5"/>
    <w:rsid w:val="006E5515"/>
    <w:rsid w:val="006E5A70"/>
    <w:rsid w:val="006E647F"/>
    <w:rsid w:val="006E74D2"/>
    <w:rsid w:val="006E76B7"/>
    <w:rsid w:val="006E7F51"/>
    <w:rsid w:val="006F5192"/>
    <w:rsid w:val="006F6BA7"/>
    <w:rsid w:val="007009BE"/>
    <w:rsid w:val="00701A86"/>
    <w:rsid w:val="00701D6E"/>
    <w:rsid w:val="00704456"/>
    <w:rsid w:val="0070566E"/>
    <w:rsid w:val="00705F35"/>
    <w:rsid w:val="007118FF"/>
    <w:rsid w:val="00713A06"/>
    <w:rsid w:val="00713D0A"/>
    <w:rsid w:val="0072243F"/>
    <w:rsid w:val="007224D7"/>
    <w:rsid w:val="00722531"/>
    <w:rsid w:val="00722E5C"/>
    <w:rsid w:val="007247D8"/>
    <w:rsid w:val="007255B5"/>
    <w:rsid w:val="007256C5"/>
    <w:rsid w:val="00726AF4"/>
    <w:rsid w:val="0072749D"/>
    <w:rsid w:val="00727FE7"/>
    <w:rsid w:val="0073281B"/>
    <w:rsid w:val="00734F28"/>
    <w:rsid w:val="00735BCD"/>
    <w:rsid w:val="00735FAE"/>
    <w:rsid w:val="00736B3E"/>
    <w:rsid w:val="00736FFA"/>
    <w:rsid w:val="007372B7"/>
    <w:rsid w:val="00737E3F"/>
    <w:rsid w:val="00744D16"/>
    <w:rsid w:val="007450B5"/>
    <w:rsid w:val="0074638A"/>
    <w:rsid w:val="00751CB0"/>
    <w:rsid w:val="00752375"/>
    <w:rsid w:val="007537C9"/>
    <w:rsid w:val="00754D99"/>
    <w:rsid w:val="00756262"/>
    <w:rsid w:val="00756DAA"/>
    <w:rsid w:val="00757160"/>
    <w:rsid w:val="00757DE1"/>
    <w:rsid w:val="007603EB"/>
    <w:rsid w:val="00763363"/>
    <w:rsid w:val="007649D8"/>
    <w:rsid w:val="00766559"/>
    <w:rsid w:val="007665D8"/>
    <w:rsid w:val="00770772"/>
    <w:rsid w:val="00772433"/>
    <w:rsid w:val="00774BCE"/>
    <w:rsid w:val="00776201"/>
    <w:rsid w:val="00776AC0"/>
    <w:rsid w:val="00777EC1"/>
    <w:rsid w:val="007811D1"/>
    <w:rsid w:val="00783F01"/>
    <w:rsid w:val="00784121"/>
    <w:rsid w:val="00785027"/>
    <w:rsid w:val="00786691"/>
    <w:rsid w:val="00787408"/>
    <w:rsid w:val="00787A87"/>
    <w:rsid w:val="007915DF"/>
    <w:rsid w:val="007966DC"/>
    <w:rsid w:val="00796A23"/>
    <w:rsid w:val="007A03C4"/>
    <w:rsid w:val="007A18A2"/>
    <w:rsid w:val="007A3468"/>
    <w:rsid w:val="007A398C"/>
    <w:rsid w:val="007A6136"/>
    <w:rsid w:val="007A650E"/>
    <w:rsid w:val="007B17EA"/>
    <w:rsid w:val="007B2429"/>
    <w:rsid w:val="007B2B86"/>
    <w:rsid w:val="007B4DC3"/>
    <w:rsid w:val="007B4EEF"/>
    <w:rsid w:val="007B5A47"/>
    <w:rsid w:val="007C188A"/>
    <w:rsid w:val="007C2616"/>
    <w:rsid w:val="007C3794"/>
    <w:rsid w:val="007C3A40"/>
    <w:rsid w:val="007C4099"/>
    <w:rsid w:val="007C4A79"/>
    <w:rsid w:val="007C4AFE"/>
    <w:rsid w:val="007C5460"/>
    <w:rsid w:val="007C74CC"/>
    <w:rsid w:val="007D1076"/>
    <w:rsid w:val="007D166E"/>
    <w:rsid w:val="007D20DE"/>
    <w:rsid w:val="007D21BB"/>
    <w:rsid w:val="007D2636"/>
    <w:rsid w:val="007D33B4"/>
    <w:rsid w:val="007D4371"/>
    <w:rsid w:val="007D461C"/>
    <w:rsid w:val="007D5F94"/>
    <w:rsid w:val="007D700B"/>
    <w:rsid w:val="007E0891"/>
    <w:rsid w:val="007E0AB5"/>
    <w:rsid w:val="007E11E0"/>
    <w:rsid w:val="007E333E"/>
    <w:rsid w:val="007E4DDA"/>
    <w:rsid w:val="007E5319"/>
    <w:rsid w:val="007E54A7"/>
    <w:rsid w:val="007E5BA3"/>
    <w:rsid w:val="007E5C2C"/>
    <w:rsid w:val="007E5CCB"/>
    <w:rsid w:val="007E6630"/>
    <w:rsid w:val="007F0A1D"/>
    <w:rsid w:val="007F1C2B"/>
    <w:rsid w:val="007F3DED"/>
    <w:rsid w:val="007F442A"/>
    <w:rsid w:val="007F4600"/>
    <w:rsid w:val="007F6040"/>
    <w:rsid w:val="007F66B5"/>
    <w:rsid w:val="007F724B"/>
    <w:rsid w:val="007F72E4"/>
    <w:rsid w:val="0080091D"/>
    <w:rsid w:val="0080131D"/>
    <w:rsid w:val="00801830"/>
    <w:rsid w:val="00802D3C"/>
    <w:rsid w:val="00803CFE"/>
    <w:rsid w:val="008042A2"/>
    <w:rsid w:val="00806483"/>
    <w:rsid w:val="0081006E"/>
    <w:rsid w:val="00813846"/>
    <w:rsid w:val="00813EA2"/>
    <w:rsid w:val="0081452D"/>
    <w:rsid w:val="00816E50"/>
    <w:rsid w:val="00821A3A"/>
    <w:rsid w:val="00822699"/>
    <w:rsid w:val="00824109"/>
    <w:rsid w:val="00824C64"/>
    <w:rsid w:val="00825941"/>
    <w:rsid w:val="00826E62"/>
    <w:rsid w:val="00827303"/>
    <w:rsid w:val="00827F09"/>
    <w:rsid w:val="00830FFB"/>
    <w:rsid w:val="008356FB"/>
    <w:rsid w:val="0083592C"/>
    <w:rsid w:val="00835EFC"/>
    <w:rsid w:val="0084248F"/>
    <w:rsid w:val="00843981"/>
    <w:rsid w:val="00844709"/>
    <w:rsid w:val="00845243"/>
    <w:rsid w:val="0084544D"/>
    <w:rsid w:val="008503C6"/>
    <w:rsid w:val="00850E1E"/>
    <w:rsid w:val="00851E01"/>
    <w:rsid w:val="00852060"/>
    <w:rsid w:val="00852AF6"/>
    <w:rsid w:val="0085323A"/>
    <w:rsid w:val="00853DDA"/>
    <w:rsid w:val="00854901"/>
    <w:rsid w:val="00856228"/>
    <w:rsid w:val="00860AD6"/>
    <w:rsid w:val="00861DA7"/>
    <w:rsid w:val="008644FC"/>
    <w:rsid w:val="00865922"/>
    <w:rsid w:val="00870712"/>
    <w:rsid w:val="0087114A"/>
    <w:rsid w:val="0087161D"/>
    <w:rsid w:val="00874F52"/>
    <w:rsid w:val="008750BB"/>
    <w:rsid w:val="00875470"/>
    <w:rsid w:val="00881A88"/>
    <w:rsid w:val="00881D25"/>
    <w:rsid w:val="00882D2E"/>
    <w:rsid w:val="0088418E"/>
    <w:rsid w:val="00884497"/>
    <w:rsid w:val="00884523"/>
    <w:rsid w:val="008876D0"/>
    <w:rsid w:val="008876F8"/>
    <w:rsid w:val="00896FAC"/>
    <w:rsid w:val="008977D1"/>
    <w:rsid w:val="008A3572"/>
    <w:rsid w:val="008A506F"/>
    <w:rsid w:val="008B0831"/>
    <w:rsid w:val="008B088B"/>
    <w:rsid w:val="008B2123"/>
    <w:rsid w:val="008B2704"/>
    <w:rsid w:val="008B4503"/>
    <w:rsid w:val="008B6481"/>
    <w:rsid w:val="008C1DC9"/>
    <w:rsid w:val="008C251D"/>
    <w:rsid w:val="008C2617"/>
    <w:rsid w:val="008C364A"/>
    <w:rsid w:val="008C543B"/>
    <w:rsid w:val="008C568D"/>
    <w:rsid w:val="008C6A9D"/>
    <w:rsid w:val="008D28D3"/>
    <w:rsid w:val="008D28FD"/>
    <w:rsid w:val="008D2EFA"/>
    <w:rsid w:val="008D34DD"/>
    <w:rsid w:val="008D3B5E"/>
    <w:rsid w:val="008D5869"/>
    <w:rsid w:val="008E050C"/>
    <w:rsid w:val="008E0CE8"/>
    <w:rsid w:val="008E2597"/>
    <w:rsid w:val="008E33B4"/>
    <w:rsid w:val="008E57B3"/>
    <w:rsid w:val="008E586F"/>
    <w:rsid w:val="008E5E45"/>
    <w:rsid w:val="008E76D3"/>
    <w:rsid w:val="008E7C7E"/>
    <w:rsid w:val="008E7E16"/>
    <w:rsid w:val="008F0D5C"/>
    <w:rsid w:val="008F23AC"/>
    <w:rsid w:val="008F40F2"/>
    <w:rsid w:val="008F498F"/>
    <w:rsid w:val="008F54E8"/>
    <w:rsid w:val="008F55BF"/>
    <w:rsid w:val="008F5A80"/>
    <w:rsid w:val="00904403"/>
    <w:rsid w:val="00906B39"/>
    <w:rsid w:val="00906BC0"/>
    <w:rsid w:val="00907AA9"/>
    <w:rsid w:val="0091085B"/>
    <w:rsid w:val="00912F28"/>
    <w:rsid w:val="00913B05"/>
    <w:rsid w:val="0091633C"/>
    <w:rsid w:val="0091637C"/>
    <w:rsid w:val="0091698A"/>
    <w:rsid w:val="00917645"/>
    <w:rsid w:val="0092020A"/>
    <w:rsid w:val="00923DDD"/>
    <w:rsid w:val="00924F45"/>
    <w:rsid w:val="0092535A"/>
    <w:rsid w:val="00926777"/>
    <w:rsid w:val="00926DE5"/>
    <w:rsid w:val="00932455"/>
    <w:rsid w:val="009339F7"/>
    <w:rsid w:val="009341E6"/>
    <w:rsid w:val="009360F3"/>
    <w:rsid w:val="00936587"/>
    <w:rsid w:val="00936E4D"/>
    <w:rsid w:val="0094270E"/>
    <w:rsid w:val="00946252"/>
    <w:rsid w:val="009473A2"/>
    <w:rsid w:val="00947825"/>
    <w:rsid w:val="00950691"/>
    <w:rsid w:val="00950D35"/>
    <w:rsid w:val="00951A74"/>
    <w:rsid w:val="00951E60"/>
    <w:rsid w:val="00952596"/>
    <w:rsid w:val="00952B6C"/>
    <w:rsid w:val="0095323B"/>
    <w:rsid w:val="009551A7"/>
    <w:rsid w:val="00956020"/>
    <w:rsid w:val="0095614D"/>
    <w:rsid w:val="009572DE"/>
    <w:rsid w:val="0095748F"/>
    <w:rsid w:val="00961ABA"/>
    <w:rsid w:val="00961C33"/>
    <w:rsid w:val="00961D71"/>
    <w:rsid w:val="0096236B"/>
    <w:rsid w:val="00962EF7"/>
    <w:rsid w:val="0096349B"/>
    <w:rsid w:val="00963E57"/>
    <w:rsid w:val="00964157"/>
    <w:rsid w:val="009667E8"/>
    <w:rsid w:val="0096793E"/>
    <w:rsid w:val="00970DD0"/>
    <w:rsid w:val="00971CF9"/>
    <w:rsid w:val="009748BC"/>
    <w:rsid w:val="00974D7D"/>
    <w:rsid w:val="00975108"/>
    <w:rsid w:val="0097675A"/>
    <w:rsid w:val="00976B56"/>
    <w:rsid w:val="00980B61"/>
    <w:rsid w:val="00981B50"/>
    <w:rsid w:val="00981E81"/>
    <w:rsid w:val="009821E7"/>
    <w:rsid w:val="009839D2"/>
    <w:rsid w:val="00984FF9"/>
    <w:rsid w:val="009853B3"/>
    <w:rsid w:val="00985438"/>
    <w:rsid w:val="00990332"/>
    <w:rsid w:val="00990F56"/>
    <w:rsid w:val="009935FE"/>
    <w:rsid w:val="00993C38"/>
    <w:rsid w:val="00993E82"/>
    <w:rsid w:val="009956D9"/>
    <w:rsid w:val="00995A73"/>
    <w:rsid w:val="009970A0"/>
    <w:rsid w:val="009A004E"/>
    <w:rsid w:val="009A058E"/>
    <w:rsid w:val="009A10C5"/>
    <w:rsid w:val="009A1CA1"/>
    <w:rsid w:val="009A28A9"/>
    <w:rsid w:val="009A344C"/>
    <w:rsid w:val="009A3A9B"/>
    <w:rsid w:val="009A4A0D"/>
    <w:rsid w:val="009A548D"/>
    <w:rsid w:val="009A5C34"/>
    <w:rsid w:val="009A5ED3"/>
    <w:rsid w:val="009A611D"/>
    <w:rsid w:val="009A718D"/>
    <w:rsid w:val="009A7323"/>
    <w:rsid w:val="009A7DA5"/>
    <w:rsid w:val="009B5892"/>
    <w:rsid w:val="009B58B2"/>
    <w:rsid w:val="009B78A3"/>
    <w:rsid w:val="009B7960"/>
    <w:rsid w:val="009C163B"/>
    <w:rsid w:val="009C348E"/>
    <w:rsid w:val="009C51B7"/>
    <w:rsid w:val="009C51C3"/>
    <w:rsid w:val="009C59B8"/>
    <w:rsid w:val="009C5AAF"/>
    <w:rsid w:val="009C75D4"/>
    <w:rsid w:val="009C7FA2"/>
    <w:rsid w:val="009D07D8"/>
    <w:rsid w:val="009D1CE5"/>
    <w:rsid w:val="009D201C"/>
    <w:rsid w:val="009D2A07"/>
    <w:rsid w:val="009D2B56"/>
    <w:rsid w:val="009D5656"/>
    <w:rsid w:val="009D63DB"/>
    <w:rsid w:val="009D697B"/>
    <w:rsid w:val="009E164A"/>
    <w:rsid w:val="009E1921"/>
    <w:rsid w:val="009E1C56"/>
    <w:rsid w:val="009E2369"/>
    <w:rsid w:val="009E5763"/>
    <w:rsid w:val="009E7270"/>
    <w:rsid w:val="009E76AF"/>
    <w:rsid w:val="009E7796"/>
    <w:rsid w:val="009E7E83"/>
    <w:rsid w:val="009F25F0"/>
    <w:rsid w:val="00A06FDC"/>
    <w:rsid w:val="00A10A6E"/>
    <w:rsid w:val="00A10FD7"/>
    <w:rsid w:val="00A11D0A"/>
    <w:rsid w:val="00A13192"/>
    <w:rsid w:val="00A1468F"/>
    <w:rsid w:val="00A167CD"/>
    <w:rsid w:val="00A17095"/>
    <w:rsid w:val="00A173A6"/>
    <w:rsid w:val="00A17965"/>
    <w:rsid w:val="00A17D94"/>
    <w:rsid w:val="00A20280"/>
    <w:rsid w:val="00A21377"/>
    <w:rsid w:val="00A2362F"/>
    <w:rsid w:val="00A239C0"/>
    <w:rsid w:val="00A24FC6"/>
    <w:rsid w:val="00A25E0B"/>
    <w:rsid w:val="00A26053"/>
    <w:rsid w:val="00A26A0B"/>
    <w:rsid w:val="00A26AC5"/>
    <w:rsid w:val="00A271CC"/>
    <w:rsid w:val="00A278C0"/>
    <w:rsid w:val="00A27FA0"/>
    <w:rsid w:val="00A33499"/>
    <w:rsid w:val="00A364DE"/>
    <w:rsid w:val="00A37400"/>
    <w:rsid w:val="00A3762A"/>
    <w:rsid w:val="00A40E01"/>
    <w:rsid w:val="00A4272C"/>
    <w:rsid w:val="00A42B54"/>
    <w:rsid w:val="00A43B1A"/>
    <w:rsid w:val="00A45DB6"/>
    <w:rsid w:val="00A50203"/>
    <w:rsid w:val="00A5238F"/>
    <w:rsid w:val="00A534D7"/>
    <w:rsid w:val="00A56F86"/>
    <w:rsid w:val="00A617B6"/>
    <w:rsid w:val="00A646D2"/>
    <w:rsid w:val="00A65E38"/>
    <w:rsid w:val="00A725A3"/>
    <w:rsid w:val="00A72B50"/>
    <w:rsid w:val="00A73205"/>
    <w:rsid w:val="00A740D3"/>
    <w:rsid w:val="00A74996"/>
    <w:rsid w:val="00A74C8E"/>
    <w:rsid w:val="00A7559E"/>
    <w:rsid w:val="00A76BA6"/>
    <w:rsid w:val="00A80705"/>
    <w:rsid w:val="00A80A41"/>
    <w:rsid w:val="00A81479"/>
    <w:rsid w:val="00A8392C"/>
    <w:rsid w:val="00A85632"/>
    <w:rsid w:val="00A85D6A"/>
    <w:rsid w:val="00A87E30"/>
    <w:rsid w:val="00A90E54"/>
    <w:rsid w:val="00A90ED3"/>
    <w:rsid w:val="00A912FD"/>
    <w:rsid w:val="00A93E46"/>
    <w:rsid w:val="00A94D41"/>
    <w:rsid w:val="00A951C3"/>
    <w:rsid w:val="00A96438"/>
    <w:rsid w:val="00A97AF4"/>
    <w:rsid w:val="00AA0B03"/>
    <w:rsid w:val="00AA478D"/>
    <w:rsid w:val="00AA4BAC"/>
    <w:rsid w:val="00AA5699"/>
    <w:rsid w:val="00AA5FC9"/>
    <w:rsid w:val="00AA5FF2"/>
    <w:rsid w:val="00AA63FF"/>
    <w:rsid w:val="00AA7566"/>
    <w:rsid w:val="00AA7C17"/>
    <w:rsid w:val="00AB01BD"/>
    <w:rsid w:val="00AB0FF7"/>
    <w:rsid w:val="00AB1B8F"/>
    <w:rsid w:val="00AB27E2"/>
    <w:rsid w:val="00AB444A"/>
    <w:rsid w:val="00AB44AA"/>
    <w:rsid w:val="00AB5694"/>
    <w:rsid w:val="00AB5D0F"/>
    <w:rsid w:val="00AC0164"/>
    <w:rsid w:val="00AC12CE"/>
    <w:rsid w:val="00AC1609"/>
    <w:rsid w:val="00AC1F92"/>
    <w:rsid w:val="00AC4D91"/>
    <w:rsid w:val="00AC530A"/>
    <w:rsid w:val="00AD1E8D"/>
    <w:rsid w:val="00AD5C0A"/>
    <w:rsid w:val="00AD5F9E"/>
    <w:rsid w:val="00AE0047"/>
    <w:rsid w:val="00AE0C34"/>
    <w:rsid w:val="00AE0D89"/>
    <w:rsid w:val="00AE3A21"/>
    <w:rsid w:val="00AE698B"/>
    <w:rsid w:val="00AE6E07"/>
    <w:rsid w:val="00AE7F9A"/>
    <w:rsid w:val="00AF0F02"/>
    <w:rsid w:val="00AF1EA6"/>
    <w:rsid w:val="00AF30D2"/>
    <w:rsid w:val="00AF3791"/>
    <w:rsid w:val="00AF491E"/>
    <w:rsid w:val="00AF4CBC"/>
    <w:rsid w:val="00AF4E87"/>
    <w:rsid w:val="00AF57D6"/>
    <w:rsid w:val="00AF7CE4"/>
    <w:rsid w:val="00B00335"/>
    <w:rsid w:val="00B017A7"/>
    <w:rsid w:val="00B06B40"/>
    <w:rsid w:val="00B105E3"/>
    <w:rsid w:val="00B12B4E"/>
    <w:rsid w:val="00B132F7"/>
    <w:rsid w:val="00B13F11"/>
    <w:rsid w:val="00B15380"/>
    <w:rsid w:val="00B20E86"/>
    <w:rsid w:val="00B21785"/>
    <w:rsid w:val="00B24717"/>
    <w:rsid w:val="00B25049"/>
    <w:rsid w:val="00B252BF"/>
    <w:rsid w:val="00B25784"/>
    <w:rsid w:val="00B26AD4"/>
    <w:rsid w:val="00B2718C"/>
    <w:rsid w:val="00B33A53"/>
    <w:rsid w:val="00B34313"/>
    <w:rsid w:val="00B343B3"/>
    <w:rsid w:val="00B35CA4"/>
    <w:rsid w:val="00B36491"/>
    <w:rsid w:val="00B3723A"/>
    <w:rsid w:val="00B40128"/>
    <w:rsid w:val="00B406C6"/>
    <w:rsid w:val="00B429ED"/>
    <w:rsid w:val="00B43A7C"/>
    <w:rsid w:val="00B466E9"/>
    <w:rsid w:val="00B46EC1"/>
    <w:rsid w:val="00B47D7D"/>
    <w:rsid w:val="00B512FE"/>
    <w:rsid w:val="00B5507A"/>
    <w:rsid w:val="00B554DE"/>
    <w:rsid w:val="00B5587B"/>
    <w:rsid w:val="00B57C36"/>
    <w:rsid w:val="00B603CF"/>
    <w:rsid w:val="00B606FF"/>
    <w:rsid w:val="00B61665"/>
    <w:rsid w:val="00B61A80"/>
    <w:rsid w:val="00B61E8E"/>
    <w:rsid w:val="00B632E0"/>
    <w:rsid w:val="00B63374"/>
    <w:rsid w:val="00B6751D"/>
    <w:rsid w:val="00B71B4A"/>
    <w:rsid w:val="00B72135"/>
    <w:rsid w:val="00B74AAD"/>
    <w:rsid w:val="00B75BBF"/>
    <w:rsid w:val="00B7661D"/>
    <w:rsid w:val="00B7748D"/>
    <w:rsid w:val="00B82A45"/>
    <w:rsid w:val="00B82F0B"/>
    <w:rsid w:val="00B82F10"/>
    <w:rsid w:val="00B84A3E"/>
    <w:rsid w:val="00B85342"/>
    <w:rsid w:val="00B86678"/>
    <w:rsid w:val="00B915FB"/>
    <w:rsid w:val="00B94E2B"/>
    <w:rsid w:val="00B94EFA"/>
    <w:rsid w:val="00B963BB"/>
    <w:rsid w:val="00B9765F"/>
    <w:rsid w:val="00BA1D09"/>
    <w:rsid w:val="00BA4480"/>
    <w:rsid w:val="00BA44C3"/>
    <w:rsid w:val="00BA4B81"/>
    <w:rsid w:val="00BA54CF"/>
    <w:rsid w:val="00BA6883"/>
    <w:rsid w:val="00BA6AAC"/>
    <w:rsid w:val="00BB0F53"/>
    <w:rsid w:val="00BB1A80"/>
    <w:rsid w:val="00BB1A99"/>
    <w:rsid w:val="00BB296F"/>
    <w:rsid w:val="00BB39B0"/>
    <w:rsid w:val="00BB3CF3"/>
    <w:rsid w:val="00BB6D96"/>
    <w:rsid w:val="00BB6E1C"/>
    <w:rsid w:val="00BB7481"/>
    <w:rsid w:val="00BC16B4"/>
    <w:rsid w:val="00BC2DA3"/>
    <w:rsid w:val="00BC77C1"/>
    <w:rsid w:val="00BD5DFC"/>
    <w:rsid w:val="00BE1346"/>
    <w:rsid w:val="00BE5169"/>
    <w:rsid w:val="00BE5F4F"/>
    <w:rsid w:val="00BF2C9D"/>
    <w:rsid w:val="00BF2F69"/>
    <w:rsid w:val="00BF3083"/>
    <w:rsid w:val="00BF5656"/>
    <w:rsid w:val="00BF5A1A"/>
    <w:rsid w:val="00BF6346"/>
    <w:rsid w:val="00BF77CA"/>
    <w:rsid w:val="00C0109A"/>
    <w:rsid w:val="00C01787"/>
    <w:rsid w:val="00C01E4A"/>
    <w:rsid w:val="00C02515"/>
    <w:rsid w:val="00C032D1"/>
    <w:rsid w:val="00C048B0"/>
    <w:rsid w:val="00C05AA1"/>
    <w:rsid w:val="00C10A34"/>
    <w:rsid w:val="00C10FE9"/>
    <w:rsid w:val="00C118F1"/>
    <w:rsid w:val="00C122B8"/>
    <w:rsid w:val="00C1326B"/>
    <w:rsid w:val="00C136F0"/>
    <w:rsid w:val="00C14692"/>
    <w:rsid w:val="00C15BD1"/>
    <w:rsid w:val="00C1602D"/>
    <w:rsid w:val="00C16CF7"/>
    <w:rsid w:val="00C2092E"/>
    <w:rsid w:val="00C214FD"/>
    <w:rsid w:val="00C2153B"/>
    <w:rsid w:val="00C2208F"/>
    <w:rsid w:val="00C2320F"/>
    <w:rsid w:val="00C234B2"/>
    <w:rsid w:val="00C23D80"/>
    <w:rsid w:val="00C31A7E"/>
    <w:rsid w:val="00C31CCE"/>
    <w:rsid w:val="00C32344"/>
    <w:rsid w:val="00C34E55"/>
    <w:rsid w:val="00C3578D"/>
    <w:rsid w:val="00C37170"/>
    <w:rsid w:val="00C40F3E"/>
    <w:rsid w:val="00C41B64"/>
    <w:rsid w:val="00C4253D"/>
    <w:rsid w:val="00C427E9"/>
    <w:rsid w:val="00C4330F"/>
    <w:rsid w:val="00C50B99"/>
    <w:rsid w:val="00C51994"/>
    <w:rsid w:val="00C5298D"/>
    <w:rsid w:val="00C52A40"/>
    <w:rsid w:val="00C531C3"/>
    <w:rsid w:val="00C5343A"/>
    <w:rsid w:val="00C53B54"/>
    <w:rsid w:val="00C547F3"/>
    <w:rsid w:val="00C54949"/>
    <w:rsid w:val="00C54C44"/>
    <w:rsid w:val="00C56297"/>
    <w:rsid w:val="00C5688D"/>
    <w:rsid w:val="00C61C02"/>
    <w:rsid w:val="00C63DD0"/>
    <w:rsid w:val="00C6698B"/>
    <w:rsid w:val="00C66CCD"/>
    <w:rsid w:val="00C66F28"/>
    <w:rsid w:val="00C70103"/>
    <w:rsid w:val="00C70177"/>
    <w:rsid w:val="00C70579"/>
    <w:rsid w:val="00C71650"/>
    <w:rsid w:val="00C71BE5"/>
    <w:rsid w:val="00C72171"/>
    <w:rsid w:val="00C72B3E"/>
    <w:rsid w:val="00C73D30"/>
    <w:rsid w:val="00C7717E"/>
    <w:rsid w:val="00C8546E"/>
    <w:rsid w:val="00C85F94"/>
    <w:rsid w:val="00C86330"/>
    <w:rsid w:val="00C87641"/>
    <w:rsid w:val="00C90416"/>
    <w:rsid w:val="00C93ED4"/>
    <w:rsid w:val="00C9416D"/>
    <w:rsid w:val="00C94F66"/>
    <w:rsid w:val="00C955D1"/>
    <w:rsid w:val="00C959F4"/>
    <w:rsid w:val="00C96569"/>
    <w:rsid w:val="00CA1981"/>
    <w:rsid w:val="00CA2140"/>
    <w:rsid w:val="00CA253A"/>
    <w:rsid w:val="00CB4245"/>
    <w:rsid w:val="00CB56B9"/>
    <w:rsid w:val="00CB670F"/>
    <w:rsid w:val="00CB6C97"/>
    <w:rsid w:val="00CB7B96"/>
    <w:rsid w:val="00CC20EE"/>
    <w:rsid w:val="00CC28D1"/>
    <w:rsid w:val="00CC342F"/>
    <w:rsid w:val="00CC3BD2"/>
    <w:rsid w:val="00CC63A7"/>
    <w:rsid w:val="00CC64AA"/>
    <w:rsid w:val="00CD2B32"/>
    <w:rsid w:val="00CD3F07"/>
    <w:rsid w:val="00CD5F5C"/>
    <w:rsid w:val="00CD63CC"/>
    <w:rsid w:val="00CD70EB"/>
    <w:rsid w:val="00CE2B85"/>
    <w:rsid w:val="00CE31FC"/>
    <w:rsid w:val="00CE423D"/>
    <w:rsid w:val="00CE5691"/>
    <w:rsid w:val="00CE57C6"/>
    <w:rsid w:val="00CE5BFD"/>
    <w:rsid w:val="00CE7D45"/>
    <w:rsid w:val="00CF0326"/>
    <w:rsid w:val="00CF0371"/>
    <w:rsid w:val="00CF1661"/>
    <w:rsid w:val="00CF2115"/>
    <w:rsid w:val="00CF2D81"/>
    <w:rsid w:val="00CF37BF"/>
    <w:rsid w:val="00CF47C6"/>
    <w:rsid w:val="00CF6463"/>
    <w:rsid w:val="00CF7285"/>
    <w:rsid w:val="00CF7463"/>
    <w:rsid w:val="00D0065F"/>
    <w:rsid w:val="00D00A99"/>
    <w:rsid w:val="00D04CEA"/>
    <w:rsid w:val="00D062A7"/>
    <w:rsid w:val="00D129ED"/>
    <w:rsid w:val="00D12F17"/>
    <w:rsid w:val="00D14319"/>
    <w:rsid w:val="00D14B93"/>
    <w:rsid w:val="00D15C28"/>
    <w:rsid w:val="00D17323"/>
    <w:rsid w:val="00D21A70"/>
    <w:rsid w:val="00D21BAC"/>
    <w:rsid w:val="00D302E8"/>
    <w:rsid w:val="00D31927"/>
    <w:rsid w:val="00D364DD"/>
    <w:rsid w:val="00D36BF3"/>
    <w:rsid w:val="00D37C67"/>
    <w:rsid w:val="00D41AF0"/>
    <w:rsid w:val="00D43113"/>
    <w:rsid w:val="00D44EBE"/>
    <w:rsid w:val="00D45F82"/>
    <w:rsid w:val="00D479E1"/>
    <w:rsid w:val="00D51599"/>
    <w:rsid w:val="00D52DAD"/>
    <w:rsid w:val="00D54AF5"/>
    <w:rsid w:val="00D56D8D"/>
    <w:rsid w:val="00D5730E"/>
    <w:rsid w:val="00D618B7"/>
    <w:rsid w:val="00D61B88"/>
    <w:rsid w:val="00D626E8"/>
    <w:rsid w:val="00D63EE5"/>
    <w:rsid w:val="00D641CB"/>
    <w:rsid w:val="00D65FCF"/>
    <w:rsid w:val="00D702B8"/>
    <w:rsid w:val="00D7048F"/>
    <w:rsid w:val="00D71C8D"/>
    <w:rsid w:val="00D71EE8"/>
    <w:rsid w:val="00D73120"/>
    <w:rsid w:val="00D73628"/>
    <w:rsid w:val="00D74736"/>
    <w:rsid w:val="00D74914"/>
    <w:rsid w:val="00D74C91"/>
    <w:rsid w:val="00D758E4"/>
    <w:rsid w:val="00D76657"/>
    <w:rsid w:val="00D800D4"/>
    <w:rsid w:val="00D80ECD"/>
    <w:rsid w:val="00D8345C"/>
    <w:rsid w:val="00D843A9"/>
    <w:rsid w:val="00D90B86"/>
    <w:rsid w:val="00D91F0B"/>
    <w:rsid w:val="00D93B72"/>
    <w:rsid w:val="00D9424D"/>
    <w:rsid w:val="00D94520"/>
    <w:rsid w:val="00D9607C"/>
    <w:rsid w:val="00D960C0"/>
    <w:rsid w:val="00D96F02"/>
    <w:rsid w:val="00DA094A"/>
    <w:rsid w:val="00DA0C51"/>
    <w:rsid w:val="00DA114B"/>
    <w:rsid w:val="00DA1B91"/>
    <w:rsid w:val="00DA3B43"/>
    <w:rsid w:val="00DA423D"/>
    <w:rsid w:val="00DA4DFE"/>
    <w:rsid w:val="00DA51D3"/>
    <w:rsid w:val="00DA57BE"/>
    <w:rsid w:val="00DA7421"/>
    <w:rsid w:val="00DB0628"/>
    <w:rsid w:val="00DB114B"/>
    <w:rsid w:val="00DB24B2"/>
    <w:rsid w:val="00DB2E58"/>
    <w:rsid w:val="00DB4C40"/>
    <w:rsid w:val="00DC2FDE"/>
    <w:rsid w:val="00DC39B4"/>
    <w:rsid w:val="00DC5674"/>
    <w:rsid w:val="00DC72A4"/>
    <w:rsid w:val="00DC7B3D"/>
    <w:rsid w:val="00DD03BF"/>
    <w:rsid w:val="00DD0DE8"/>
    <w:rsid w:val="00DD36BD"/>
    <w:rsid w:val="00DD450F"/>
    <w:rsid w:val="00DD4560"/>
    <w:rsid w:val="00DD69C1"/>
    <w:rsid w:val="00DE02C4"/>
    <w:rsid w:val="00DE055D"/>
    <w:rsid w:val="00DE0B0F"/>
    <w:rsid w:val="00DE186D"/>
    <w:rsid w:val="00DE1F41"/>
    <w:rsid w:val="00DE31C5"/>
    <w:rsid w:val="00DE3AA2"/>
    <w:rsid w:val="00DE5C4D"/>
    <w:rsid w:val="00DF0C2F"/>
    <w:rsid w:val="00DF15E3"/>
    <w:rsid w:val="00DF4BE0"/>
    <w:rsid w:val="00DF557A"/>
    <w:rsid w:val="00DF7A96"/>
    <w:rsid w:val="00DF7F8D"/>
    <w:rsid w:val="00E00E1C"/>
    <w:rsid w:val="00E01325"/>
    <w:rsid w:val="00E01DE9"/>
    <w:rsid w:val="00E0252E"/>
    <w:rsid w:val="00E05FA0"/>
    <w:rsid w:val="00E10172"/>
    <w:rsid w:val="00E1196B"/>
    <w:rsid w:val="00E1212D"/>
    <w:rsid w:val="00E147AF"/>
    <w:rsid w:val="00E2089E"/>
    <w:rsid w:val="00E20FF0"/>
    <w:rsid w:val="00E21A09"/>
    <w:rsid w:val="00E22984"/>
    <w:rsid w:val="00E233DB"/>
    <w:rsid w:val="00E23772"/>
    <w:rsid w:val="00E25599"/>
    <w:rsid w:val="00E27716"/>
    <w:rsid w:val="00E31473"/>
    <w:rsid w:val="00E332C5"/>
    <w:rsid w:val="00E34D72"/>
    <w:rsid w:val="00E367F7"/>
    <w:rsid w:val="00E40977"/>
    <w:rsid w:val="00E41252"/>
    <w:rsid w:val="00E44DBF"/>
    <w:rsid w:val="00E453D3"/>
    <w:rsid w:val="00E462C0"/>
    <w:rsid w:val="00E46E47"/>
    <w:rsid w:val="00E46EDA"/>
    <w:rsid w:val="00E4784B"/>
    <w:rsid w:val="00E47FE9"/>
    <w:rsid w:val="00E52E21"/>
    <w:rsid w:val="00E5357C"/>
    <w:rsid w:val="00E54233"/>
    <w:rsid w:val="00E5513E"/>
    <w:rsid w:val="00E55A9F"/>
    <w:rsid w:val="00E5636B"/>
    <w:rsid w:val="00E56626"/>
    <w:rsid w:val="00E60510"/>
    <w:rsid w:val="00E60FA3"/>
    <w:rsid w:val="00E61AA9"/>
    <w:rsid w:val="00E62668"/>
    <w:rsid w:val="00E6367F"/>
    <w:rsid w:val="00E6390C"/>
    <w:rsid w:val="00E64BEC"/>
    <w:rsid w:val="00E65547"/>
    <w:rsid w:val="00E7004D"/>
    <w:rsid w:val="00E774BB"/>
    <w:rsid w:val="00E80069"/>
    <w:rsid w:val="00E82D4B"/>
    <w:rsid w:val="00E84DDC"/>
    <w:rsid w:val="00E90A98"/>
    <w:rsid w:val="00E91785"/>
    <w:rsid w:val="00E92F53"/>
    <w:rsid w:val="00E93496"/>
    <w:rsid w:val="00E93694"/>
    <w:rsid w:val="00E93C9D"/>
    <w:rsid w:val="00E951F8"/>
    <w:rsid w:val="00E95BF2"/>
    <w:rsid w:val="00E95EE1"/>
    <w:rsid w:val="00E97615"/>
    <w:rsid w:val="00EA1919"/>
    <w:rsid w:val="00EA1F8F"/>
    <w:rsid w:val="00EA2AEB"/>
    <w:rsid w:val="00EA2F57"/>
    <w:rsid w:val="00EA5098"/>
    <w:rsid w:val="00EA5654"/>
    <w:rsid w:val="00EA5CA7"/>
    <w:rsid w:val="00EA7EE0"/>
    <w:rsid w:val="00EB0718"/>
    <w:rsid w:val="00EB0DB4"/>
    <w:rsid w:val="00EB111A"/>
    <w:rsid w:val="00EB2137"/>
    <w:rsid w:val="00EB4B01"/>
    <w:rsid w:val="00EB4C93"/>
    <w:rsid w:val="00EB6F7A"/>
    <w:rsid w:val="00EB6FBC"/>
    <w:rsid w:val="00EC6A28"/>
    <w:rsid w:val="00EC7E54"/>
    <w:rsid w:val="00ED00AF"/>
    <w:rsid w:val="00ED27FA"/>
    <w:rsid w:val="00ED2B77"/>
    <w:rsid w:val="00ED314F"/>
    <w:rsid w:val="00ED3D79"/>
    <w:rsid w:val="00ED686C"/>
    <w:rsid w:val="00EE115A"/>
    <w:rsid w:val="00EE1B24"/>
    <w:rsid w:val="00EE4CBF"/>
    <w:rsid w:val="00EE55ED"/>
    <w:rsid w:val="00EE6DD9"/>
    <w:rsid w:val="00EE7E05"/>
    <w:rsid w:val="00EF0525"/>
    <w:rsid w:val="00EF0673"/>
    <w:rsid w:val="00EF068E"/>
    <w:rsid w:val="00EF0F79"/>
    <w:rsid w:val="00EF2A1C"/>
    <w:rsid w:val="00EF31F7"/>
    <w:rsid w:val="00EF33CE"/>
    <w:rsid w:val="00EF41E8"/>
    <w:rsid w:val="00EF50F7"/>
    <w:rsid w:val="00EF5CC3"/>
    <w:rsid w:val="00EF6148"/>
    <w:rsid w:val="00EF6449"/>
    <w:rsid w:val="00EF6B21"/>
    <w:rsid w:val="00EF78FB"/>
    <w:rsid w:val="00EF7AF2"/>
    <w:rsid w:val="00F0055A"/>
    <w:rsid w:val="00F019CC"/>
    <w:rsid w:val="00F0330C"/>
    <w:rsid w:val="00F04006"/>
    <w:rsid w:val="00F06C41"/>
    <w:rsid w:val="00F073CC"/>
    <w:rsid w:val="00F07654"/>
    <w:rsid w:val="00F10086"/>
    <w:rsid w:val="00F1096C"/>
    <w:rsid w:val="00F12FF2"/>
    <w:rsid w:val="00F14CD3"/>
    <w:rsid w:val="00F14FD0"/>
    <w:rsid w:val="00F156FD"/>
    <w:rsid w:val="00F16B5E"/>
    <w:rsid w:val="00F171D1"/>
    <w:rsid w:val="00F20699"/>
    <w:rsid w:val="00F20F3B"/>
    <w:rsid w:val="00F21642"/>
    <w:rsid w:val="00F216E5"/>
    <w:rsid w:val="00F23F01"/>
    <w:rsid w:val="00F273EB"/>
    <w:rsid w:val="00F27B4C"/>
    <w:rsid w:val="00F27DD7"/>
    <w:rsid w:val="00F27EC0"/>
    <w:rsid w:val="00F30621"/>
    <w:rsid w:val="00F31F9A"/>
    <w:rsid w:val="00F33A0B"/>
    <w:rsid w:val="00F36CDC"/>
    <w:rsid w:val="00F37DA6"/>
    <w:rsid w:val="00F4058B"/>
    <w:rsid w:val="00F410B7"/>
    <w:rsid w:val="00F41F4D"/>
    <w:rsid w:val="00F42B6F"/>
    <w:rsid w:val="00F45A23"/>
    <w:rsid w:val="00F46958"/>
    <w:rsid w:val="00F469DA"/>
    <w:rsid w:val="00F47296"/>
    <w:rsid w:val="00F478DE"/>
    <w:rsid w:val="00F51B53"/>
    <w:rsid w:val="00F536EE"/>
    <w:rsid w:val="00F53A39"/>
    <w:rsid w:val="00F557D2"/>
    <w:rsid w:val="00F62902"/>
    <w:rsid w:val="00F629B0"/>
    <w:rsid w:val="00F62BCA"/>
    <w:rsid w:val="00F63C2A"/>
    <w:rsid w:val="00F64276"/>
    <w:rsid w:val="00F65103"/>
    <w:rsid w:val="00F6549F"/>
    <w:rsid w:val="00F656AD"/>
    <w:rsid w:val="00F668B4"/>
    <w:rsid w:val="00F710C7"/>
    <w:rsid w:val="00F711C5"/>
    <w:rsid w:val="00F71E28"/>
    <w:rsid w:val="00F72FF3"/>
    <w:rsid w:val="00F73EC4"/>
    <w:rsid w:val="00F74C6D"/>
    <w:rsid w:val="00F77A68"/>
    <w:rsid w:val="00F83501"/>
    <w:rsid w:val="00F83955"/>
    <w:rsid w:val="00F8550F"/>
    <w:rsid w:val="00F8794F"/>
    <w:rsid w:val="00F901CC"/>
    <w:rsid w:val="00F93B53"/>
    <w:rsid w:val="00F93C9E"/>
    <w:rsid w:val="00FA1227"/>
    <w:rsid w:val="00FA15B8"/>
    <w:rsid w:val="00FA1B9A"/>
    <w:rsid w:val="00FA2606"/>
    <w:rsid w:val="00FA2696"/>
    <w:rsid w:val="00FA4E67"/>
    <w:rsid w:val="00FA56F1"/>
    <w:rsid w:val="00FA6793"/>
    <w:rsid w:val="00FA6E65"/>
    <w:rsid w:val="00FB4777"/>
    <w:rsid w:val="00FB549D"/>
    <w:rsid w:val="00FB6641"/>
    <w:rsid w:val="00FB6703"/>
    <w:rsid w:val="00FB6837"/>
    <w:rsid w:val="00FB7276"/>
    <w:rsid w:val="00FC0522"/>
    <w:rsid w:val="00FC2D28"/>
    <w:rsid w:val="00FC4AE0"/>
    <w:rsid w:val="00FC5A0C"/>
    <w:rsid w:val="00FC7873"/>
    <w:rsid w:val="00FC7DC0"/>
    <w:rsid w:val="00FD3116"/>
    <w:rsid w:val="00FD326A"/>
    <w:rsid w:val="00FD4036"/>
    <w:rsid w:val="00FD46D0"/>
    <w:rsid w:val="00FD698E"/>
    <w:rsid w:val="00FE1D12"/>
    <w:rsid w:val="00FE22D0"/>
    <w:rsid w:val="00FE42CE"/>
    <w:rsid w:val="00FE620D"/>
    <w:rsid w:val="00FE7D48"/>
    <w:rsid w:val="00FF0925"/>
    <w:rsid w:val="00FF1190"/>
    <w:rsid w:val="00FF2819"/>
    <w:rsid w:val="00FF2A55"/>
    <w:rsid w:val="00FF3163"/>
    <w:rsid w:val="00FF3931"/>
    <w:rsid w:val="00FF5F8B"/>
    <w:rsid w:val="01027611"/>
    <w:rsid w:val="011022AA"/>
    <w:rsid w:val="01467C7F"/>
    <w:rsid w:val="014A337A"/>
    <w:rsid w:val="014F048F"/>
    <w:rsid w:val="0154411B"/>
    <w:rsid w:val="01657A43"/>
    <w:rsid w:val="01752C2D"/>
    <w:rsid w:val="01785E3A"/>
    <w:rsid w:val="017936BE"/>
    <w:rsid w:val="018D0BED"/>
    <w:rsid w:val="018E53BB"/>
    <w:rsid w:val="018F27BB"/>
    <w:rsid w:val="01951748"/>
    <w:rsid w:val="01B647C3"/>
    <w:rsid w:val="01BE228F"/>
    <w:rsid w:val="01C47C76"/>
    <w:rsid w:val="01C95043"/>
    <w:rsid w:val="01CA216C"/>
    <w:rsid w:val="01D60CBC"/>
    <w:rsid w:val="01DD1E9F"/>
    <w:rsid w:val="01E40C5C"/>
    <w:rsid w:val="01E4322D"/>
    <w:rsid w:val="01E829AE"/>
    <w:rsid w:val="01E97C45"/>
    <w:rsid w:val="01EA3119"/>
    <w:rsid w:val="01FE1F92"/>
    <w:rsid w:val="02022B0D"/>
    <w:rsid w:val="02095CB7"/>
    <w:rsid w:val="021035FF"/>
    <w:rsid w:val="021556F2"/>
    <w:rsid w:val="021749AE"/>
    <w:rsid w:val="023C7B73"/>
    <w:rsid w:val="02413857"/>
    <w:rsid w:val="02416817"/>
    <w:rsid w:val="025665F6"/>
    <w:rsid w:val="02671BD1"/>
    <w:rsid w:val="0276477D"/>
    <w:rsid w:val="027A209D"/>
    <w:rsid w:val="028331B9"/>
    <w:rsid w:val="02874BE3"/>
    <w:rsid w:val="029433A2"/>
    <w:rsid w:val="02CA121C"/>
    <w:rsid w:val="02CA5264"/>
    <w:rsid w:val="02CD3A5F"/>
    <w:rsid w:val="02D500C3"/>
    <w:rsid w:val="02D87746"/>
    <w:rsid w:val="02DA6B31"/>
    <w:rsid w:val="03044EF5"/>
    <w:rsid w:val="030F47EA"/>
    <w:rsid w:val="03107FC2"/>
    <w:rsid w:val="033F7B7A"/>
    <w:rsid w:val="03444381"/>
    <w:rsid w:val="03640ECA"/>
    <w:rsid w:val="0364439C"/>
    <w:rsid w:val="036E59F6"/>
    <w:rsid w:val="039B0F8C"/>
    <w:rsid w:val="03C230FA"/>
    <w:rsid w:val="03C54DDD"/>
    <w:rsid w:val="03D90444"/>
    <w:rsid w:val="03DE7E94"/>
    <w:rsid w:val="03ED1B1E"/>
    <w:rsid w:val="03F802E4"/>
    <w:rsid w:val="040A2987"/>
    <w:rsid w:val="040D3FFE"/>
    <w:rsid w:val="041154F6"/>
    <w:rsid w:val="04157B81"/>
    <w:rsid w:val="042E74BC"/>
    <w:rsid w:val="0435079E"/>
    <w:rsid w:val="043912B7"/>
    <w:rsid w:val="043D4B50"/>
    <w:rsid w:val="044B74EA"/>
    <w:rsid w:val="0466208F"/>
    <w:rsid w:val="0499713D"/>
    <w:rsid w:val="049973F4"/>
    <w:rsid w:val="049D37BA"/>
    <w:rsid w:val="04AD5B99"/>
    <w:rsid w:val="04DC3D46"/>
    <w:rsid w:val="04E168B6"/>
    <w:rsid w:val="04EE43AE"/>
    <w:rsid w:val="05065269"/>
    <w:rsid w:val="051454C7"/>
    <w:rsid w:val="051C2CDE"/>
    <w:rsid w:val="0530456B"/>
    <w:rsid w:val="055A680F"/>
    <w:rsid w:val="05624DD4"/>
    <w:rsid w:val="05672795"/>
    <w:rsid w:val="056D353A"/>
    <w:rsid w:val="05734AFB"/>
    <w:rsid w:val="0583395C"/>
    <w:rsid w:val="05881932"/>
    <w:rsid w:val="059730D5"/>
    <w:rsid w:val="05AD323E"/>
    <w:rsid w:val="05B210EA"/>
    <w:rsid w:val="05B33F86"/>
    <w:rsid w:val="05B6016A"/>
    <w:rsid w:val="05D12D88"/>
    <w:rsid w:val="05D36420"/>
    <w:rsid w:val="05E81FD8"/>
    <w:rsid w:val="05F571BF"/>
    <w:rsid w:val="060A08A1"/>
    <w:rsid w:val="061B1D25"/>
    <w:rsid w:val="061F4694"/>
    <w:rsid w:val="0631593D"/>
    <w:rsid w:val="064D1FB5"/>
    <w:rsid w:val="06587D46"/>
    <w:rsid w:val="065F7C45"/>
    <w:rsid w:val="06781940"/>
    <w:rsid w:val="067C28F8"/>
    <w:rsid w:val="0681237D"/>
    <w:rsid w:val="06871684"/>
    <w:rsid w:val="069A7F6E"/>
    <w:rsid w:val="06AB256C"/>
    <w:rsid w:val="06AB4473"/>
    <w:rsid w:val="06B43B46"/>
    <w:rsid w:val="06B945C6"/>
    <w:rsid w:val="06B9683C"/>
    <w:rsid w:val="06BA650B"/>
    <w:rsid w:val="06BC37DB"/>
    <w:rsid w:val="06E53EDC"/>
    <w:rsid w:val="06E839C5"/>
    <w:rsid w:val="06F47955"/>
    <w:rsid w:val="07004023"/>
    <w:rsid w:val="070112FB"/>
    <w:rsid w:val="0701218C"/>
    <w:rsid w:val="0701643E"/>
    <w:rsid w:val="07033E6D"/>
    <w:rsid w:val="07087B1C"/>
    <w:rsid w:val="070A066D"/>
    <w:rsid w:val="070B06EF"/>
    <w:rsid w:val="071C3C77"/>
    <w:rsid w:val="072A6023"/>
    <w:rsid w:val="07300E17"/>
    <w:rsid w:val="073B1BE1"/>
    <w:rsid w:val="07463507"/>
    <w:rsid w:val="074A40F8"/>
    <w:rsid w:val="074F4C05"/>
    <w:rsid w:val="07571DAC"/>
    <w:rsid w:val="07574EDB"/>
    <w:rsid w:val="076E6931"/>
    <w:rsid w:val="07743CC1"/>
    <w:rsid w:val="07784B4A"/>
    <w:rsid w:val="07812A7A"/>
    <w:rsid w:val="0792352E"/>
    <w:rsid w:val="07A7671A"/>
    <w:rsid w:val="07AC3DDD"/>
    <w:rsid w:val="07C30E53"/>
    <w:rsid w:val="07CA58DA"/>
    <w:rsid w:val="07D959CF"/>
    <w:rsid w:val="07E41117"/>
    <w:rsid w:val="07E55609"/>
    <w:rsid w:val="07E85431"/>
    <w:rsid w:val="07EF15E6"/>
    <w:rsid w:val="07F341CA"/>
    <w:rsid w:val="07FA2A71"/>
    <w:rsid w:val="07FB0651"/>
    <w:rsid w:val="07FC0F24"/>
    <w:rsid w:val="08161327"/>
    <w:rsid w:val="081C04FD"/>
    <w:rsid w:val="081D6B03"/>
    <w:rsid w:val="08202AE5"/>
    <w:rsid w:val="082141B3"/>
    <w:rsid w:val="082A0212"/>
    <w:rsid w:val="082A7615"/>
    <w:rsid w:val="082D6B15"/>
    <w:rsid w:val="08344555"/>
    <w:rsid w:val="08420CAE"/>
    <w:rsid w:val="0869087E"/>
    <w:rsid w:val="08752B51"/>
    <w:rsid w:val="087B6FD9"/>
    <w:rsid w:val="0887679D"/>
    <w:rsid w:val="088E1C09"/>
    <w:rsid w:val="088E51D0"/>
    <w:rsid w:val="088F07D2"/>
    <w:rsid w:val="08A11C34"/>
    <w:rsid w:val="08C03CBE"/>
    <w:rsid w:val="08CC3D59"/>
    <w:rsid w:val="08D703E3"/>
    <w:rsid w:val="08E11AA9"/>
    <w:rsid w:val="08EF6914"/>
    <w:rsid w:val="08F1256C"/>
    <w:rsid w:val="08F22DED"/>
    <w:rsid w:val="08F311DC"/>
    <w:rsid w:val="08FC3D7F"/>
    <w:rsid w:val="0900420A"/>
    <w:rsid w:val="09061CDB"/>
    <w:rsid w:val="0910175E"/>
    <w:rsid w:val="09234132"/>
    <w:rsid w:val="09234425"/>
    <w:rsid w:val="09351649"/>
    <w:rsid w:val="09364FA1"/>
    <w:rsid w:val="093A0980"/>
    <w:rsid w:val="09495C5D"/>
    <w:rsid w:val="094B3730"/>
    <w:rsid w:val="09521A90"/>
    <w:rsid w:val="0960071A"/>
    <w:rsid w:val="096820D0"/>
    <w:rsid w:val="09776735"/>
    <w:rsid w:val="09AE60BF"/>
    <w:rsid w:val="09BF0A3A"/>
    <w:rsid w:val="09BF7D69"/>
    <w:rsid w:val="09C000DC"/>
    <w:rsid w:val="09C772CE"/>
    <w:rsid w:val="09C86F91"/>
    <w:rsid w:val="09D13A81"/>
    <w:rsid w:val="09DA0630"/>
    <w:rsid w:val="09DB21CC"/>
    <w:rsid w:val="09DB35D7"/>
    <w:rsid w:val="09E1633D"/>
    <w:rsid w:val="09EC2C9C"/>
    <w:rsid w:val="0A24432F"/>
    <w:rsid w:val="0A312D88"/>
    <w:rsid w:val="0A367E2F"/>
    <w:rsid w:val="0A431180"/>
    <w:rsid w:val="0A4535FB"/>
    <w:rsid w:val="0A4D5570"/>
    <w:rsid w:val="0A57263E"/>
    <w:rsid w:val="0A601456"/>
    <w:rsid w:val="0A752EDF"/>
    <w:rsid w:val="0A825E20"/>
    <w:rsid w:val="0A907A91"/>
    <w:rsid w:val="0A9C2C22"/>
    <w:rsid w:val="0AA128C2"/>
    <w:rsid w:val="0AAA5B3F"/>
    <w:rsid w:val="0AB11EDD"/>
    <w:rsid w:val="0AB940FC"/>
    <w:rsid w:val="0ACA2EA5"/>
    <w:rsid w:val="0ACF0438"/>
    <w:rsid w:val="0AE470ED"/>
    <w:rsid w:val="0B1017C3"/>
    <w:rsid w:val="0B191DEF"/>
    <w:rsid w:val="0B321205"/>
    <w:rsid w:val="0B42706C"/>
    <w:rsid w:val="0B4D0E6D"/>
    <w:rsid w:val="0B5063D6"/>
    <w:rsid w:val="0B540A49"/>
    <w:rsid w:val="0B5A1452"/>
    <w:rsid w:val="0B5B47CC"/>
    <w:rsid w:val="0B626B92"/>
    <w:rsid w:val="0B6568E7"/>
    <w:rsid w:val="0B6F6EE7"/>
    <w:rsid w:val="0B717FBE"/>
    <w:rsid w:val="0B755E3C"/>
    <w:rsid w:val="0B7A6B92"/>
    <w:rsid w:val="0B811E94"/>
    <w:rsid w:val="0B992406"/>
    <w:rsid w:val="0B9F0228"/>
    <w:rsid w:val="0BA43914"/>
    <w:rsid w:val="0BAB034F"/>
    <w:rsid w:val="0BAF5F54"/>
    <w:rsid w:val="0BBC7D62"/>
    <w:rsid w:val="0BC25C41"/>
    <w:rsid w:val="0BC73C78"/>
    <w:rsid w:val="0BD15607"/>
    <w:rsid w:val="0BD22593"/>
    <w:rsid w:val="0BDC6246"/>
    <w:rsid w:val="0BE1650F"/>
    <w:rsid w:val="0BE87032"/>
    <w:rsid w:val="0C051BBF"/>
    <w:rsid w:val="0C090933"/>
    <w:rsid w:val="0C14751E"/>
    <w:rsid w:val="0C147EE8"/>
    <w:rsid w:val="0C1C0641"/>
    <w:rsid w:val="0C247D59"/>
    <w:rsid w:val="0C2F6F2E"/>
    <w:rsid w:val="0C32533E"/>
    <w:rsid w:val="0C51085C"/>
    <w:rsid w:val="0C554370"/>
    <w:rsid w:val="0C6C415F"/>
    <w:rsid w:val="0C796C68"/>
    <w:rsid w:val="0C7D22B4"/>
    <w:rsid w:val="0C831895"/>
    <w:rsid w:val="0C971C51"/>
    <w:rsid w:val="0C977863"/>
    <w:rsid w:val="0C9C64B3"/>
    <w:rsid w:val="0CA75583"/>
    <w:rsid w:val="0CB941BE"/>
    <w:rsid w:val="0CE77D0D"/>
    <w:rsid w:val="0CEB5E93"/>
    <w:rsid w:val="0CF56840"/>
    <w:rsid w:val="0CF62745"/>
    <w:rsid w:val="0CFA0827"/>
    <w:rsid w:val="0D2E1801"/>
    <w:rsid w:val="0D4057D3"/>
    <w:rsid w:val="0D46220C"/>
    <w:rsid w:val="0D4B5661"/>
    <w:rsid w:val="0D6171FE"/>
    <w:rsid w:val="0D733351"/>
    <w:rsid w:val="0D8D4124"/>
    <w:rsid w:val="0D91604D"/>
    <w:rsid w:val="0DA90D65"/>
    <w:rsid w:val="0DB23393"/>
    <w:rsid w:val="0DB33E03"/>
    <w:rsid w:val="0DBC142A"/>
    <w:rsid w:val="0DCA6163"/>
    <w:rsid w:val="0E0F5672"/>
    <w:rsid w:val="0E1F7474"/>
    <w:rsid w:val="0E2A1052"/>
    <w:rsid w:val="0E2F2530"/>
    <w:rsid w:val="0E3449AC"/>
    <w:rsid w:val="0E3A6AA9"/>
    <w:rsid w:val="0E3C619F"/>
    <w:rsid w:val="0E4B61A3"/>
    <w:rsid w:val="0E5271B4"/>
    <w:rsid w:val="0E555C3E"/>
    <w:rsid w:val="0E5737AD"/>
    <w:rsid w:val="0E7C5598"/>
    <w:rsid w:val="0E985C77"/>
    <w:rsid w:val="0EA55148"/>
    <w:rsid w:val="0EAC56C4"/>
    <w:rsid w:val="0EAD093B"/>
    <w:rsid w:val="0EC312C8"/>
    <w:rsid w:val="0ED97265"/>
    <w:rsid w:val="0EFD2192"/>
    <w:rsid w:val="0F0E1BE7"/>
    <w:rsid w:val="0F157E66"/>
    <w:rsid w:val="0F2C6C82"/>
    <w:rsid w:val="0F2F08FA"/>
    <w:rsid w:val="0F480D70"/>
    <w:rsid w:val="0F5874C4"/>
    <w:rsid w:val="0F5A00DE"/>
    <w:rsid w:val="0F6634D4"/>
    <w:rsid w:val="0F745045"/>
    <w:rsid w:val="0F85666A"/>
    <w:rsid w:val="0F860705"/>
    <w:rsid w:val="0F893163"/>
    <w:rsid w:val="0F8F0013"/>
    <w:rsid w:val="0F9D543E"/>
    <w:rsid w:val="0FA47565"/>
    <w:rsid w:val="0FA57681"/>
    <w:rsid w:val="0FAB121A"/>
    <w:rsid w:val="0FB1099D"/>
    <w:rsid w:val="0FD21D56"/>
    <w:rsid w:val="0FE0437D"/>
    <w:rsid w:val="0FF601D0"/>
    <w:rsid w:val="0FF83E24"/>
    <w:rsid w:val="0FFD595F"/>
    <w:rsid w:val="0FFE1BED"/>
    <w:rsid w:val="10046E46"/>
    <w:rsid w:val="100A108B"/>
    <w:rsid w:val="100C2A1A"/>
    <w:rsid w:val="1014775F"/>
    <w:rsid w:val="101C17AC"/>
    <w:rsid w:val="102D7B72"/>
    <w:rsid w:val="10333850"/>
    <w:rsid w:val="103A516D"/>
    <w:rsid w:val="10410FED"/>
    <w:rsid w:val="10430647"/>
    <w:rsid w:val="104460B1"/>
    <w:rsid w:val="10503CB6"/>
    <w:rsid w:val="10570168"/>
    <w:rsid w:val="106127F3"/>
    <w:rsid w:val="106D2E6C"/>
    <w:rsid w:val="106E29B8"/>
    <w:rsid w:val="108104F1"/>
    <w:rsid w:val="10823CC7"/>
    <w:rsid w:val="10875959"/>
    <w:rsid w:val="1088747A"/>
    <w:rsid w:val="108D0362"/>
    <w:rsid w:val="10933AA9"/>
    <w:rsid w:val="10987D91"/>
    <w:rsid w:val="10AC71DF"/>
    <w:rsid w:val="10C167AD"/>
    <w:rsid w:val="10C5422A"/>
    <w:rsid w:val="10C6767A"/>
    <w:rsid w:val="10EA3C90"/>
    <w:rsid w:val="10EA738F"/>
    <w:rsid w:val="11005C56"/>
    <w:rsid w:val="110F2CF1"/>
    <w:rsid w:val="11263FAD"/>
    <w:rsid w:val="112D34FB"/>
    <w:rsid w:val="11315FA6"/>
    <w:rsid w:val="11594E6E"/>
    <w:rsid w:val="11656D8F"/>
    <w:rsid w:val="11660CBD"/>
    <w:rsid w:val="11684816"/>
    <w:rsid w:val="117B078B"/>
    <w:rsid w:val="11833213"/>
    <w:rsid w:val="11941B3C"/>
    <w:rsid w:val="119F2BA5"/>
    <w:rsid w:val="11A6005A"/>
    <w:rsid w:val="11A721D5"/>
    <w:rsid w:val="11A8030F"/>
    <w:rsid w:val="11AB74A0"/>
    <w:rsid w:val="11B94CEF"/>
    <w:rsid w:val="11C95437"/>
    <w:rsid w:val="11E630C4"/>
    <w:rsid w:val="11F373EE"/>
    <w:rsid w:val="11FC6860"/>
    <w:rsid w:val="11FE3E97"/>
    <w:rsid w:val="12100828"/>
    <w:rsid w:val="12107AFC"/>
    <w:rsid w:val="121D0BF1"/>
    <w:rsid w:val="12277056"/>
    <w:rsid w:val="122B7207"/>
    <w:rsid w:val="122C0EBB"/>
    <w:rsid w:val="123251FD"/>
    <w:rsid w:val="124652B3"/>
    <w:rsid w:val="12494E86"/>
    <w:rsid w:val="124F794D"/>
    <w:rsid w:val="125C64C7"/>
    <w:rsid w:val="125F746C"/>
    <w:rsid w:val="12617BD3"/>
    <w:rsid w:val="126248AC"/>
    <w:rsid w:val="12635200"/>
    <w:rsid w:val="12831D1D"/>
    <w:rsid w:val="128864D0"/>
    <w:rsid w:val="12935C7D"/>
    <w:rsid w:val="12AE6BDB"/>
    <w:rsid w:val="12B27EE4"/>
    <w:rsid w:val="12B5207C"/>
    <w:rsid w:val="12BA7794"/>
    <w:rsid w:val="12D01BAC"/>
    <w:rsid w:val="12E44BCC"/>
    <w:rsid w:val="13172F67"/>
    <w:rsid w:val="13247077"/>
    <w:rsid w:val="132F34C5"/>
    <w:rsid w:val="134531DB"/>
    <w:rsid w:val="135E6A19"/>
    <w:rsid w:val="13606F15"/>
    <w:rsid w:val="13655C0A"/>
    <w:rsid w:val="1368185F"/>
    <w:rsid w:val="13717F96"/>
    <w:rsid w:val="13757E44"/>
    <w:rsid w:val="137B6FD4"/>
    <w:rsid w:val="139068CB"/>
    <w:rsid w:val="139709E8"/>
    <w:rsid w:val="13A61776"/>
    <w:rsid w:val="13B14F7F"/>
    <w:rsid w:val="13B31678"/>
    <w:rsid w:val="13BD27B2"/>
    <w:rsid w:val="13C64F0B"/>
    <w:rsid w:val="13D018D2"/>
    <w:rsid w:val="13DC75A4"/>
    <w:rsid w:val="13ED5770"/>
    <w:rsid w:val="1402203F"/>
    <w:rsid w:val="140221B5"/>
    <w:rsid w:val="141F1225"/>
    <w:rsid w:val="142275C2"/>
    <w:rsid w:val="142C1E0A"/>
    <w:rsid w:val="142E252A"/>
    <w:rsid w:val="1438653A"/>
    <w:rsid w:val="143A1702"/>
    <w:rsid w:val="143E4A1F"/>
    <w:rsid w:val="143E7E42"/>
    <w:rsid w:val="144B2446"/>
    <w:rsid w:val="14500781"/>
    <w:rsid w:val="14514111"/>
    <w:rsid w:val="145C3B7E"/>
    <w:rsid w:val="145E4651"/>
    <w:rsid w:val="14601C9B"/>
    <w:rsid w:val="14663410"/>
    <w:rsid w:val="146858A8"/>
    <w:rsid w:val="146975C2"/>
    <w:rsid w:val="14861C24"/>
    <w:rsid w:val="148F235A"/>
    <w:rsid w:val="14B40CF0"/>
    <w:rsid w:val="14C8546B"/>
    <w:rsid w:val="14E874BC"/>
    <w:rsid w:val="14E92260"/>
    <w:rsid w:val="14F27054"/>
    <w:rsid w:val="14F67100"/>
    <w:rsid w:val="14FD2CB3"/>
    <w:rsid w:val="15000A64"/>
    <w:rsid w:val="150012DD"/>
    <w:rsid w:val="15001DF1"/>
    <w:rsid w:val="150412B6"/>
    <w:rsid w:val="1506770B"/>
    <w:rsid w:val="150A15E8"/>
    <w:rsid w:val="150E0F5D"/>
    <w:rsid w:val="151E2EC0"/>
    <w:rsid w:val="151F1BE1"/>
    <w:rsid w:val="15233833"/>
    <w:rsid w:val="1524647F"/>
    <w:rsid w:val="152A7A45"/>
    <w:rsid w:val="153320AA"/>
    <w:rsid w:val="153D45F3"/>
    <w:rsid w:val="15485429"/>
    <w:rsid w:val="15532D61"/>
    <w:rsid w:val="155A1273"/>
    <w:rsid w:val="155A17F7"/>
    <w:rsid w:val="15694127"/>
    <w:rsid w:val="15751F70"/>
    <w:rsid w:val="159A56D1"/>
    <w:rsid w:val="15A07E05"/>
    <w:rsid w:val="15AE7365"/>
    <w:rsid w:val="15C044A1"/>
    <w:rsid w:val="15C2342E"/>
    <w:rsid w:val="15C84D33"/>
    <w:rsid w:val="15CB6525"/>
    <w:rsid w:val="15F92482"/>
    <w:rsid w:val="160D009F"/>
    <w:rsid w:val="160E3FD3"/>
    <w:rsid w:val="16320453"/>
    <w:rsid w:val="16337635"/>
    <w:rsid w:val="16374E5A"/>
    <w:rsid w:val="164145F0"/>
    <w:rsid w:val="165247B2"/>
    <w:rsid w:val="1672595D"/>
    <w:rsid w:val="1678606A"/>
    <w:rsid w:val="168F7405"/>
    <w:rsid w:val="16922E00"/>
    <w:rsid w:val="16992125"/>
    <w:rsid w:val="16A02A00"/>
    <w:rsid w:val="16A22057"/>
    <w:rsid w:val="16A62311"/>
    <w:rsid w:val="16A97563"/>
    <w:rsid w:val="16B953FF"/>
    <w:rsid w:val="16E17C78"/>
    <w:rsid w:val="16EC62A5"/>
    <w:rsid w:val="16EC6B70"/>
    <w:rsid w:val="16FF243D"/>
    <w:rsid w:val="17057071"/>
    <w:rsid w:val="170D0BAA"/>
    <w:rsid w:val="170E3BC0"/>
    <w:rsid w:val="171B79E6"/>
    <w:rsid w:val="17263548"/>
    <w:rsid w:val="17437E4A"/>
    <w:rsid w:val="174F22CC"/>
    <w:rsid w:val="175C3D0D"/>
    <w:rsid w:val="175C3F5D"/>
    <w:rsid w:val="175D1615"/>
    <w:rsid w:val="17620AFA"/>
    <w:rsid w:val="177046F6"/>
    <w:rsid w:val="17931548"/>
    <w:rsid w:val="179F0188"/>
    <w:rsid w:val="17A830A5"/>
    <w:rsid w:val="17B84AE8"/>
    <w:rsid w:val="17B92C66"/>
    <w:rsid w:val="17D26E39"/>
    <w:rsid w:val="17D66D5D"/>
    <w:rsid w:val="17E46ED8"/>
    <w:rsid w:val="17E60C2F"/>
    <w:rsid w:val="17E844DD"/>
    <w:rsid w:val="17F556B6"/>
    <w:rsid w:val="17F56AF7"/>
    <w:rsid w:val="17F66765"/>
    <w:rsid w:val="18012F28"/>
    <w:rsid w:val="181C2F8E"/>
    <w:rsid w:val="18346024"/>
    <w:rsid w:val="184C2620"/>
    <w:rsid w:val="184C6C23"/>
    <w:rsid w:val="18531006"/>
    <w:rsid w:val="18581B45"/>
    <w:rsid w:val="185E65FF"/>
    <w:rsid w:val="18601EA5"/>
    <w:rsid w:val="1865569D"/>
    <w:rsid w:val="186B13FA"/>
    <w:rsid w:val="18786807"/>
    <w:rsid w:val="18911A4E"/>
    <w:rsid w:val="18935C23"/>
    <w:rsid w:val="18974912"/>
    <w:rsid w:val="18A97A1B"/>
    <w:rsid w:val="18B42848"/>
    <w:rsid w:val="18B852ED"/>
    <w:rsid w:val="18C72CD0"/>
    <w:rsid w:val="18D1153E"/>
    <w:rsid w:val="18D43223"/>
    <w:rsid w:val="18E52F4E"/>
    <w:rsid w:val="18EE1707"/>
    <w:rsid w:val="18F13E8A"/>
    <w:rsid w:val="18F951DB"/>
    <w:rsid w:val="18FB76FE"/>
    <w:rsid w:val="18FC5E5F"/>
    <w:rsid w:val="18FE5019"/>
    <w:rsid w:val="18FF732C"/>
    <w:rsid w:val="190A3BF1"/>
    <w:rsid w:val="192D528C"/>
    <w:rsid w:val="192D6E10"/>
    <w:rsid w:val="193B5A41"/>
    <w:rsid w:val="19434185"/>
    <w:rsid w:val="19436FBC"/>
    <w:rsid w:val="195C1A5D"/>
    <w:rsid w:val="195E76DA"/>
    <w:rsid w:val="196C084D"/>
    <w:rsid w:val="19790AEA"/>
    <w:rsid w:val="197A1166"/>
    <w:rsid w:val="197D4A4F"/>
    <w:rsid w:val="199149CA"/>
    <w:rsid w:val="199779B0"/>
    <w:rsid w:val="19A35324"/>
    <w:rsid w:val="19A4044B"/>
    <w:rsid w:val="19A43DD1"/>
    <w:rsid w:val="19B579D5"/>
    <w:rsid w:val="19D80011"/>
    <w:rsid w:val="19E61B94"/>
    <w:rsid w:val="19E63917"/>
    <w:rsid w:val="1A061133"/>
    <w:rsid w:val="1A2C3DF5"/>
    <w:rsid w:val="1A2F0386"/>
    <w:rsid w:val="1A310B82"/>
    <w:rsid w:val="1A385A6D"/>
    <w:rsid w:val="1A526BDB"/>
    <w:rsid w:val="1A787A17"/>
    <w:rsid w:val="1A8A72B2"/>
    <w:rsid w:val="1A9829AF"/>
    <w:rsid w:val="1AA01D86"/>
    <w:rsid w:val="1ABB3B5E"/>
    <w:rsid w:val="1ACA3408"/>
    <w:rsid w:val="1ADF5697"/>
    <w:rsid w:val="1AE35B2A"/>
    <w:rsid w:val="1AF649F1"/>
    <w:rsid w:val="1B033F00"/>
    <w:rsid w:val="1B0D321A"/>
    <w:rsid w:val="1B0F0EC3"/>
    <w:rsid w:val="1B14155F"/>
    <w:rsid w:val="1B1777B1"/>
    <w:rsid w:val="1B1A33C4"/>
    <w:rsid w:val="1B1E3251"/>
    <w:rsid w:val="1B203B00"/>
    <w:rsid w:val="1B2C72BE"/>
    <w:rsid w:val="1B2F64AF"/>
    <w:rsid w:val="1B321839"/>
    <w:rsid w:val="1B326960"/>
    <w:rsid w:val="1B4072CF"/>
    <w:rsid w:val="1B4704DC"/>
    <w:rsid w:val="1B483216"/>
    <w:rsid w:val="1B4916D2"/>
    <w:rsid w:val="1B6C12AA"/>
    <w:rsid w:val="1B8B2522"/>
    <w:rsid w:val="1B90162F"/>
    <w:rsid w:val="1BB235FD"/>
    <w:rsid w:val="1BB5578D"/>
    <w:rsid w:val="1BBF491F"/>
    <w:rsid w:val="1BC22CF9"/>
    <w:rsid w:val="1BC445BD"/>
    <w:rsid w:val="1BCA0632"/>
    <w:rsid w:val="1BDA0FD3"/>
    <w:rsid w:val="1BDB7DC9"/>
    <w:rsid w:val="1BE961D9"/>
    <w:rsid w:val="1BFA2518"/>
    <w:rsid w:val="1BFF7648"/>
    <w:rsid w:val="1C085913"/>
    <w:rsid w:val="1C0B1DE3"/>
    <w:rsid w:val="1C104D2F"/>
    <w:rsid w:val="1C266F43"/>
    <w:rsid w:val="1C334870"/>
    <w:rsid w:val="1C3B579F"/>
    <w:rsid w:val="1C482F53"/>
    <w:rsid w:val="1C4A6413"/>
    <w:rsid w:val="1C56042C"/>
    <w:rsid w:val="1C58313C"/>
    <w:rsid w:val="1C6568C1"/>
    <w:rsid w:val="1C683D37"/>
    <w:rsid w:val="1C69015F"/>
    <w:rsid w:val="1C720FC6"/>
    <w:rsid w:val="1C7879D5"/>
    <w:rsid w:val="1C7E0123"/>
    <w:rsid w:val="1C88338D"/>
    <w:rsid w:val="1C973C1C"/>
    <w:rsid w:val="1C9A2A0F"/>
    <w:rsid w:val="1C9C6787"/>
    <w:rsid w:val="1CA4388D"/>
    <w:rsid w:val="1CA45B73"/>
    <w:rsid w:val="1CA64B79"/>
    <w:rsid w:val="1CB80FAA"/>
    <w:rsid w:val="1CC7337D"/>
    <w:rsid w:val="1CC918C9"/>
    <w:rsid w:val="1CCB2BC8"/>
    <w:rsid w:val="1CCF0200"/>
    <w:rsid w:val="1CCF0712"/>
    <w:rsid w:val="1CDF4A16"/>
    <w:rsid w:val="1CF45219"/>
    <w:rsid w:val="1CF814E3"/>
    <w:rsid w:val="1CFD7765"/>
    <w:rsid w:val="1D0B1216"/>
    <w:rsid w:val="1D1441D1"/>
    <w:rsid w:val="1D180A83"/>
    <w:rsid w:val="1D1A4099"/>
    <w:rsid w:val="1D446565"/>
    <w:rsid w:val="1D547061"/>
    <w:rsid w:val="1D5F00A8"/>
    <w:rsid w:val="1D6830D0"/>
    <w:rsid w:val="1D7C2F6F"/>
    <w:rsid w:val="1D833115"/>
    <w:rsid w:val="1D873B37"/>
    <w:rsid w:val="1D8868DE"/>
    <w:rsid w:val="1D8F0099"/>
    <w:rsid w:val="1D9E6313"/>
    <w:rsid w:val="1DA43EC9"/>
    <w:rsid w:val="1DA73626"/>
    <w:rsid w:val="1DD110F0"/>
    <w:rsid w:val="1DE90A15"/>
    <w:rsid w:val="1E0267EA"/>
    <w:rsid w:val="1E0D78F4"/>
    <w:rsid w:val="1E1F5E8B"/>
    <w:rsid w:val="1E21702F"/>
    <w:rsid w:val="1E240AE9"/>
    <w:rsid w:val="1E2A40B3"/>
    <w:rsid w:val="1E303F72"/>
    <w:rsid w:val="1E3173A3"/>
    <w:rsid w:val="1E3D3D40"/>
    <w:rsid w:val="1E3D6E2A"/>
    <w:rsid w:val="1E461669"/>
    <w:rsid w:val="1E583062"/>
    <w:rsid w:val="1E595FEE"/>
    <w:rsid w:val="1E7A4F49"/>
    <w:rsid w:val="1E7B41D6"/>
    <w:rsid w:val="1E7E77ED"/>
    <w:rsid w:val="1E815C83"/>
    <w:rsid w:val="1E8477AE"/>
    <w:rsid w:val="1E906E04"/>
    <w:rsid w:val="1E967DA9"/>
    <w:rsid w:val="1E9B4F56"/>
    <w:rsid w:val="1EA0267C"/>
    <w:rsid w:val="1EA50B92"/>
    <w:rsid w:val="1EAA341E"/>
    <w:rsid w:val="1EB10B45"/>
    <w:rsid w:val="1EB26A7E"/>
    <w:rsid w:val="1EC82F15"/>
    <w:rsid w:val="1ECC5D0A"/>
    <w:rsid w:val="1EE06AAE"/>
    <w:rsid w:val="1EE267EF"/>
    <w:rsid w:val="1EE761BC"/>
    <w:rsid w:val="1EE81578"/>
    <w:rsid w:val="1EFA23D3"/>
    <w:rsid w:val="1F016BF9"/>
    <w:rsid w:val="1F055F5C"/>
    <w:rsid w:val="1F06725E"/>
    <w:rsid w:val="1F08433F"/>
    <w:rsid w:val="1F170F2F"/>
    <w:rsid w:val="1F1C20C6"/>
    <w:rsid w:val="1F4E5B07"/>
    <w:rsid w:val="1F6037F0"/>
    <w:rsid w:val="1F673EA6"/>
    <w:rsid w:val="1F6841BE"/>
    <w:rsid w:val="1F6B41EE"/>
    <w:rsid w:val="1F7D4289"/>
    <w:rsid w:val="1F8823E0"/>
    <w:rsid w:val="1F992322"/>
    <w:rsid w:val="1FDE0E64"/>
    <w:rsid w:val="1FFE14AC"/>
    <w:rsid w:val="20040911"/>
    <w:rsid w:val="20090CED"/>
    <w:rsid w:val="20146323"/>
    <w:rsid w:val="20194E40"/>
    <w:rsid w:val="202A3C58"/>
    <w:rsid w:val="202F357A"/>
    <w:rsid w:val="20322451"/>
    <w:rsid w:val="20373E1E"/>
    <w:rsid w:val="203F3CA7"/>
    <w:rsid w:val="204268C7"/>
    <w:rsid w:val="205546F8"/>
    <w:rsid w:val="205C7238"/>
    <w:rsid w:val="206A606B"/>
    <w:rsid w:val="20796DDF"/>
    <w:rsid w:val="207B760B"/>
    <w:rsid w:val="20970CE3"/>
    <w:rsid w:val="20A6697C"/>
    <w:rsid w:val="20BD15A5"/>
    <w:rsid w:val="20C812E2"/>
    <w:rsid w:val="20CF1F7C"/>
    <w:rsid w:val="20EE50D7"/>
    <w:rsid w:val="20F34D64"/>
    <w:rsid w:val="20F5014E"/>
    <w:rsid w:val="211E2AA6"/>
    <w:rsid w:val="213A689F"/>
    <w:rsid w:val="21442DFA"/>
    <w:rsid w:val="214D44F3"/>
    <w:rsid w:val="214D506E"/>
    <w:rsid w:val="216243D6"/>
    <w:rsid w:val="216A69BC"/>
    <w:rsid w:val="216F19C8"/>
    <w:rsid w:val="21705F43"/>
    <w:rsid w:val="218C03EE"/>
    <w:rsid w:val="218C669E"/>
    <w:rsid w:val="219E55E6"/>
    <w:rsid w:val="21A760D0"/>
    <w:rsid w:val="21B604D2"/>
    <w:rsid w:val="21BE3CFB"/>
    <w:rsid w:val="21C646D6"/>
    <w:rsid w:val="21CD2CAC"/>
    <w:rsid w:val="21D73489"/>
    <w:rsid w:val="21D9516E"/>
    <w:rsid w:val="21DD6EFA"/>
    <w:rsid w:val="21E21804"/>
    <w:rsid w:val="21FD40C9"/>
    <w:rsid w:val="21FE653C"/>
    <w:rsid w:val="220E539C"/>
    <w:rsid w:val="22105521"/>
    <w:rsid w:val="22220061"/>
    <w:rsid w:val="22246C08"/>
    <w:rsid w:val="222726FF"/>
    <w:rsid w:val="222D3CDE"/>
    <w:rsid w:val="2236263D"/>
    <w:rsid w:val="223B7790"/>
    <w:rsid w:val="22414129"/>
    <w:rsid w:val="22460F43"/>
    <w:rsid w:val="225020DE"/>
    <w:rsid w:val="226A1FDC"/>
    <w:rsid w:val="228D1E28"/>
    <w:rsid w:val="22916662"/>
    <w:rsid w:val="22A75649"/>
    <w:rsid w:val="22A77675"/>
    <w:rsid w:val="22AF0C12"/>
    <w:rsid w:val="22BD18E4"/>
    <w:rsid w:val="22BE28E0"/>
    <w:rsid w:val="22C41E9A"/>
    <w:rsid w:val="22CC70F0"/>
    <w:rsid w:val="22D10D3B"/>
    <w:rsid w:val="22D7603D"/>
    <w:rsid w:val="22E23984"/>
    <w:rsid w:val="22E86C6F"/>
    <w:rsid w:val="22F7092B"/>
    <w:rsid w:val="22F85165"/>
    <w:rsid w:val="23115379"/>
    <w:rsid w:val="2312327F"/>
    <w:rsid w:val="2324674C"/>
    <w:rsid w:val="233F1C1A"/>
    <w:rsid w:val="23642D75"/>
    <w:rsid w:val="23705B7E"/>
    <w:rsid w:val="23740399"/>
    <w:rsid w:val="23754AA7"/>
    <w:rsid w:val="237F5B7E"/>
    <w:rsid w:val="238E1814"/>
    <w:rsid w:val="23A21048"/>
    <w:rsid w:val="23B04F24"/>
    <w:rsid w:val="23C30A9D"/>
    <w:rsid w:val="23DB2C3E"/>
    <w:rsid w:val="23F3199B"/>
    <w:rsid w:val="23FA5508"/>
    <w:rsid w:val="24001AE9"/>
    <w:rsid w:val="240F5A90"/>
    <w:rsid w:val="241D33A1"/>
    <w:rsid w:val="242B219E"/>
    <w:rsid w:val="24395D25"/>
    <w:rsid w:val="24437969"/>
    <w:rsid w:val="244447AF"/>
    <w:rsid w:val="244B45EE"/>
    <w:rsid w:val="24557C8C"/>
    <w:rsid w:val="245E352F"/>
    <w:rsid w:val="24621C72"/>
    <w:rsid w:val="248875F1"/>
    <w:rsid w:val="24977834"/>
    <w:rsid w:val="249B510A"/>
    <w:rsid w:val="24A57CB8"/>
    <w:rsid w:val="24A80556"/>
    <w:rsid w:val="24AA32E6"/>
    <w:rsid w:val="24B554F3"/>
    <w:rsid w:val="24CE51BB"/>
    <w:rsid w:val="24F40754"/>
    <w:rsid w:val="24F5609F"/>
    <w:rsid w:val="2507105B"/>
    <w:rsid w:val="25115072"/>
    <w:rsid w:val="251E5AE1"/>
    <w:rsid w:val="2532049B"/>
    <w:rsid w:val="253432D4"/>
    <w:rsid w:val="2557234B"/>
    <w:rsid w:val="25573EAB"/>
    <w:rsid w:val="259D531E"/>
    <w:rsid w:val="25B3069D"/>
    <w:rsid w:val="25B47E66"/>
    <w:rsid w:val="25DF46F1"/>
    <w:rsid w:val="25F9103B"/>
    <w:rsid w:val="26020B1A"/>
    <w:rsid w:val="26175B70"/>
    <w:rsid w:val="26196789"/>
    <w:rsid w:val="2628749C"/>
    <w:rsid w:val="26313CDB"/>
    <w:rsid w:val="2633657F"/>
    <w:rsid w:val="26351A8F"/>
    <w:rsid w:val="264C168C"/>
    <w:rsid w:val="267865BC"/>
    <w:rsid w:val="267D15C1"/>
    <w:rsid w:val="267E110E"/>
    <w:rsid w:val="268214FA"/>
    <w:rsid w:val="26897BBA"/>
    <w:rsid w:val="26A81730"/>
    <w:rsid w:val="26A87BAF"/>
    <w:rsid w:val="26AA749C"/>
    <w:rsid w:val="26AC2D12"/>
    <w:rsid w:val="26AE1AA2"/>
    <w:rsid w:val="26B2787F"/>
    <w:rsid w:val="26B970D4"/>
    <w:rsid w:val="26BC3255"/>
    <w:rsid w:val="26C06687"/>
    <w:rsid w:val="26C84667"/>
    <w:rsid w:val="26D06C93"/>
    <w:rsid w:val="26D2431A"/>
    <w:rsid w:val="26E256DE"/>
    <w:rsid w:val="26E623ED"/>
    <w:rsid w:val="26E907FB"/>
    <w:rsid w:val="26F55340"/>
    <w:rsid w:val="270C385A"/>
    <w:rsid w:val="270D19DD"/>
    <w:rsid w:val="27125443"/>
    <w:rsid w:val="2714457A"/>
    <w:rsid w:val="272016C5"/>
    <w:rsid w:val="272E2AC5"/>
    <w:rsid w:val="276279FE"/>
    <w:rsid w:val="276E3DC5"/>
    <w:rsid w:val="27757A97"/>
    <w:rsid w:val="277976C4"/>
    <w:rsid w:val="27884F5E"/>
    <w:rsid w:val="278D39F6"/>
    <w:rsid w:val="278E526F"/>
    <w:rsid w:val="279462CA"/>
    <w:rsid w:val="27A642A0"/>
    <w:rsid w:val="27AC71A6"/>
    <w:rsid w:val="27B11484"/>
    <w:rsid w:val="27B13B6F"/>
    <w:rsid w:val="27B85506"/>
    <w:rsid w:val="27C0464F"/>
    <w:rsid w:val="27CA605F"/>
    <w:rsid w:val="27CB43C4"/>
    <w:rsid w:val="27D82694"/>
    <w:rsid w:val="27E24956"/>
    <w:rsid w:val="27E35023"/>
    <w:rsid w:val="28180233"/>
    <w:rsid w:val="28196298"/>
    <w:rsid w:val="281D33EB"/>
    <w:rsid w:val="28302EE1"/>
    <w:rsid w:val="28327C44"/>
    <w:rsid w:val="28354121"/>
    <w:rsid w:val="285E6FE6"/>
    <w:rsid w:val="286272C1"/>
    <w:rsid w:val="286F36EC"/>
    <w:rsid w:val="287175E8"/>
    <w:rsid w:val="287341A7"/>
    <w:rsid w:val="28AD5878"/>
    <w:rsid w:val="28AE2C46"/>
    <w:rsid w:val="28B250F8"/>
    <w:rsid w:val="28B32025"/>
    <w:rsid w:val="28B53E93"/>
    <w:rsid w:val="28B7285C"/>
    <w:rsid w:val="28BA51E4"/>
    <w:rsid w:val="28C7654C"/>
    <w:rsid w:val="28E10A05"/>
    <w:rsid w:val="28F039B6"/>
    <w:rsid w:val="28F90594"/>
    <w:rsid w:val="290025C4"/>
    <w:rsid w:val="29050083"/>
    <w:rsid w:val="291B2020"/>
    <w:rsid w:val="291F0546"/>
    <w:rsid w:val="293451E1"/>
    <w:rsid w:val="29483B15"/>
    <w:rsid w:val="29494025"/>
    <w:rsid w:val="29755B92"/>
    <w:rsid w:val="29771B39"/>
    <w:rsid w:val="299775CE"/>
    <w:rsid w:val="299C2575"/>
    <w:rsid w:val="299E0408"/>
    <w:rsid w:val="29A024CB"/>
    <w:rsid w:val="29B516BB"/>
    <w:rsid w:val="29CF0577"/>
    <w:rsid w:val="29CF4C1F"/>
    <w:rsid w:val="29D4046C"/>
    <w:rsid w:val="29DD115F"/>
    <w:rsid w:val="29E7300B"/>
    <w:rsid w:val="29F10DE4"/>
    <w:rsid w:val="29FD6E74"/>
    <w:rsid w:val="2A0C11C6"/>
    <w:rsid w:val="2A1C2780"/>
    <w:rsid w:val="2A1F2FC9"/>
    <w:rsid w:val="2A270B57"/>
    <w:rsid w:val="2A2D4EC2"/>
    <w:rsid w:val="2A3738D4"/>
    <w:rsid w:val="2A3B652B"/>
    <w:rsid w:val="2A4100D7"/>
    <w:rsid w:val="2A4C2F24"/>
    <w:rsid w:val="2A5C7DEC"/>
    <w:rsid w:val="2A6362D0"/>
    <w:rsid w:val="2A6C1213"/>
    <w:rsid w:val="2A7E7A5F"/>
    <w:rsid w:val="2A856BE0"/>
    <w:rsid w:val="2A8A5EE8"/>
    <w:rsid w:val="2A8A7A9F"/>
    <w:rsid w:val="2A94349E"/>
    <w:rsid w:val="2AAB5B7C"/>
    <w:rsid w:val="2AC03B2D"/>
    <w:rsid w:val="2AC72AB0"/>
    <w:rsid w:val="2AC95035"/>
    <w:rsid w:val="2AD6303C"/>
    <w:rsid w:val="2AF0798C"/>
    <w:rsid w:val="2AF801F1"/>
    <w:rsid w:val="2B003114"/>
    <w:rsid w:val="2B072286"/>
    <w:rsid w:val="2B110340"/>
    <w:rsid w:val="2B520BAA"/>
    <w:rsid w:val="2B581CC7"/>
    <w:rsid w:val="2B5E668A"/>
    <w:rsid w:val="2B73550C"/>
    <w:rsid w:val="2B8540A8"/>
    <w:rsid w:val="2B965C94"/>
    <w:rsid w:val="2B97572C"/>
    <w:rsid w:val="2B99601A"/>
    <w:rsid w:val="2BB05DAB"/>
    <w:rsid w:val="2BB357E8"/>
    <w:rsid w:val="2BB8192E"/>
    <w:rsid w:val="2BB862BC"/>
    <w:rsid w:val="2BBB59C5"/>
    <w:rsid w:val="2BC4508F"/>
    <w:rsid w:val="2BE52636"/>
    <w:rsid w:val="2BE673D4"/>
    <w:rsid w:val="2C0D7553"/>
    <w:rsid w:val="2C223A95"/>
    <w:rsid w:val="2C286DB9"/>
    <w:rsid w:val="2C2964E9"/>
    <w:rsid w:val="2C306061"/>
    <w:rsid w:val="2C3C7134"/>
    <w:rsid w:val="2C3E23A2"/>
    <w:rsid w:val="2C4A6388"/>
    <w:rsid w:val="2C516404"/>
    <w:rsid w:val="2C5525C9"/>
    <w:rsid w:val="2C557E64"/>
    <w:rsid w:val="2C58376F"/>
    <w:rsid w:val="2C5B55EB"/>
    <w:rsid w:val="2C626979"/>
    <w:rsid w:val="2C642DF7"/>
    <w:rsid w:val="2C8A09CB"/>
    <w:rsid w:val="2C8D1FE9"/>
    <w:rsid w:val="2C95057B"/>
    <w:rsid w:val="2C9A4978"/>
    <w:rsid w:val="2C9F2F65"/>
    <w:rsid w:val="2CAD424C"/>
    <w:rsid w:val="2CB54834"/>
    <w:rsid w:val="2CBD5818"/>
    <w:rsid w:val="2CC3147D"/>
    <w:rsid w:val="2CC90D28"/>
    <w:rsid w:val="2CDE0069"/>
    <w:rsid w:val="2CE12765"/>
    <w:rsid w:val="2CE170EA"/>
    <w:rsid w:val="2CE44ADD"/>
    <w:rsid w:val="2CF004AF"/>
    <w:rsid w:val="2CF51881"/>
    <w:rsid w:val="2CF726A5"/>
    <w:rsid w:val="2D103E04"/>
    <w:rsid w:val="2D1973E5"/>
    <w:rsid w:val="2D250158"/>
    <w:rsid w:val="2D265EC5"/>
    <w:rsid w:val="2D3839F5"/>
    <w:rsid w:val="2D6C5CE8"/>
    <w:rsid w:val="2D811081"/>
    <w:rsid w:val="2D8554EB"/>
    <w:rsid w:val="2D9233A0"/>
    <w:rsid w:val="2D9458F5"/>
    <w:rsid w:val="2DA97D8C"/>
    <w:rsid w:val="2DAE44CB"/>
    <w:rsid w:val="2DB71225"/>
    <w:rsid w:val="2DB90821"/>
    <w:rsid w:val="2DC16F41"/>
    <w:rsid w:val="2DC34F68"/>
    <w:rsid w:val="2DC526CA"/>
    <w:rsid w:val="2DC67B58"/>
    <w:rsid w:val="2DCC0BFC"/>
    <w:rsid w:val="2DDC2891"/>
    <w:rsid w:val="2DE8495E"/>
    <w:rsid w:val="2DE961F5"/>
    <w:rsid w:val="2DEE5219"/>
    <w:rsid w:val="2DF753A4"/>
    <w:rsid w:val="2E096483"/>
    <w:rsid w:val="2E203A25"/>
    <w:rsid w:val="2E572865"/>
    <w:rsid w:val="2E590EB9"/>
    <w:rsid w:val="2E706D19"/>
    <w:rsid w:val="2E885771"/>
    <w:rsid w:val="2E9813B9"/>
    <w:rsid w:val="2EAA27E8"/>
    <w:rsid w:val="2EC0671B"/>
    <w:rsid w:val="2EC13A94"/>
    <w:rsid w:val="2EDF561C"/>
    <w:rsid w:val="2EE61AE3"/>
    <w:rsid w:val="2EE66F04"/>
    <w:rsid w:val="2EF747EB"/>
    <w:rsid w:val="2F0523E0"/>
    <w:rsid w:val="2F184319"/>
    <w:rsid w:val="2F1C4BA8"/>
    <w:rsid w:val="2F1C65FD"/>
    <w:rsid w:val="2F250320"/>
    <w:rsid w:val="2F275E47"/>
    <w:rsid w:val="2F3234BA"/>
    <w:rsid w:val="2F37656A"/>
    <w:rsid w:val="2F377FE9"/>
    <w:rsid w:val="2F3C6DC2"/>
    <w:rsid w:val="2F620F77"/>
    <w:rsid w:val="2F990904"/>
    <w:rsid w:val="2FA21794"/>
    <w:rsid w:val="2FA367AF"/>
    <w:rsid w:val="2FBB7575"/>
    <w:rsid w:val="2FD11800"/>
    <w:rsid w:val="2FD65BF1"/>
    <w:rsid w:val="2FE42670"/>
    <w:rsid w:val="301821BC"/>
    <w:rsid w:val="301A3D5D"/>
    <w:rsid w:val="302A70EC"/>
    <w:rsid w:val="302F72D2"/>
    <w:rsid w:val="3058660E"/>
    <w:rsid w:val="3068413B"/>
    <w:rsid w:val="30762504"/>
    <w:rsid w:val="307A2001"/>
    <w:rsid w:val="307E3B06"/>
    <w:rsid w:val="308727EA"/>
    <w:rsid w:val="30A14B78"/>
    <w:rsid w:val="30A3091C"/>
    <w:rsid w:val="30AE7D13"/>
    <w:rsid w:val="30D53D4E"/>
    <w:rsid w:val="30FA1545"/>
    <w:rsid w:val="30FA7B61"/>
    <w:rsid w:val="30FC55EE"/>
    <w:rsid w:val="310E2315"/>
    <w:rsid w:val="3143715E"/>
    <w:rsid w:val="31482D8C"/>
    <w:rsid w:val="314C15B9"/>
    <w:rsid w:val="31654DFB"/>
    <w:rsid w:val="31711CA8"/>
    <w:rsid w:val="317503B0"/>
    <w:rsid w:val="317E3907"/>
    <w:rsid w:val="319A0510"/>
    <w:rsid w:val="31BE0303"/>
    <w:rsid w:val="31C01418"/>
    <w:rsid w:val="31C10964"/>
    <w:rsid w:val="31C66EB6"/>
    <w:rsid w:val="31C973C1"/>
    <w:rsid w:val="31D245A1"/>
    <w:rsid w:val="31D73965"/>
    <w:rsid w:val="31D75713"/>
    <w:rsid w:val="31E83DC4"/>
    <w:rsid w:val="31EA1C0B"/>
    <w:rsid w:val="32063434"/>
    <w:rsid w:val="322546D1"/>
    <w:rsid w:val="32501A02"/>
    <w:rsid w:val="326873AA"/>
    <w:rsid w:val="326A5A94"/>
    <w:rsid w:val="32731DEB"/>
    <w:rsid w:val="327E77B2"/>
    <w:rsid w:val="327F0C1E"/>
    <w:rsid w:val="32983AE0"/>
    <w:rsid w:val="32A357A3"/>
    <w:rsid w:val="32AE27E1"/>
    <w:rsid w:val="32B14F49"/>
    <w:rsid w:val="32B85394"/>
    <w:rsid w:val="32D974CB"/>
    <w:rsid w:val="32DA19EA"/>
    <w:rsid w:val="330316AD"/>
    <w:rsid w:val="33060AD2"/>
    <w:rsid w:val="330E3D9E"/>
    <w:rsid w:val="3328177D"/>
    <w:rsid w:val="334470B7"/>
    <w:rsid w:val="334C4024"/>
    <w:rsid w:val="3356187C"/>
    <w:rsid w:val="335D0B97"/>
    <w:rsid w:val="335D7EB7"/>
    <w:rsid w:val="33956F58"/>
    <w:rsid w:val="33B50B60"/>
    <w:rsid w:val="33B54B52"/>
    <w:rsid w:val="33C4499E"/>
    <w:rsid w:val="33D65DD3"/>
    <w:rsid w:val="33E07509"/>
    <w:rsid w:val="33E32157"/>
    <w:rsid w:val="33E87939"/>
    <w:rsid w:val="33F55FED"/>
    <w:rsid w:val="33FB2DE9"/>
    <w:rsid w:val="33FD2976"/>
    <w:rsid w:val="34055216"/>
    <w:rsid w:val="341439B1"/>
    <w:rsid w:val="341E3388"/>
    <w:rsid w:val="34260FFD"/>
    <w:rsid w:val="342B252D"/>
    <w:rsid w:val="342D1C4B"/>
    <w:rsid w:val="34320D6E"/>
    <w:rsid w:val="344F18B6"/>
    <w:rsid w:val="3451169B"/>
    <w:rsid w:val="345E593B"/>
    <w:rsid w:val="345F5468"/>
    <w:rsid w:val="34612D00"/>
    <w:rsid w:val="34627F0B"/>
    <w:rsid w:val="34917963"/>
    <w:rsid w:val="3492089A"/>
    <w:rsid w:val="34A35338"/>
    <w:rsid w:val="34A57D4B"/>
    <w:rsid w:val="34AE30A3"/>
    <w:rsid w:val="34AF7004"/>
    <w:rsid w:val="34B779F5"/>
    <w:rsid w:val="34C32AB8"/>
    <w:rsid w:val="34D243B8"/>
    <w:rsid w:val="34EF2C51"/>
    <w:rsid w:val="34F33D7D"/>
    <w:rsid w:val="34F5467F"/>
    <w:rsid w:val="35066A99"/>
    <w:rsid w:val="35591BC7"/>
    <w:rsid w:val="356468F1"/>
    <w:rsid w:val="357C7EED"/>
    <w:rsid w:val="35965EF4"/>
    <w:rsid w:val="359C7FBE"/>
    <w:rsid w:val="35A57E4D"/>
    <w:rsid w:val="35B94D18"/>
    <w:rsid w:val="35E23768"/>
    <w:rsid w:val="35E248C5"/>
    <w:rsid w:val="35E825E5"/>
    <w:rsid w:val="35EA0C32"/>
    <w:rsid w:val="35EB5C1D"/>
    <w:rsid w:val="35F1283E"/>
    <w:rsid w:val="35F807D7"/>
    <w:rsid w:val="36090A2A"/>
    <w:rsid w:val="360E36AB"/>
    <w:rsid w:val="361145EA"/>
    <w:rsid w:val="361562D6"/>
    <w:rsid w:val="364A12EB"/>
    <w:rsid w:val="36610B55"/>
    <w:rsid w:val="3662580A"/>
    <w:rsid w:val="3693139E"/>
    <w:rsid w:val="36934A39"/>
    <w:rsid w:val="36A527D6"/>
    <w:rsid w:val="36BC38D6"/>
    <w:rsid w:val="36D93CDC"/>
    <w:rsid w:val="36EC175E"/>
    <w:rsid w:val="36F11118"/>
    <w:rsid w:val="36F678D1"/>
    <w:rsid w:val="36F85AAE"/>
    <w:rsid w:val="37006C82"/>
    <w:rsid w:val="37014501"/>
    <w:rsid w:val="370E1BD7"/>
    <w:rsid w:val="37137599"/>
    <w:rsid w:val="372042B9"/>
    <w:rsid w:val="37221366"/>
    <w:rsid w:val="373852E5"/>
    <w:rsid w:val="373D4056"/>
    <w:rsid w:val="374D577A"/>
    <w:rsid w:val="37540B1C"/>
    <w:rsid w:val="375A591B"/>
    <w:rsid w:val="375C1D08"/>
    <w:rsid w:val="375F39BD"/>
    <w:rsid w:val="3770236E"/>
    <w:rsid w:val="3778146B"/>
    <w:rsid w:val="377A10BE"/>
    <w:rsid w:val="377B7EDC"/>
    <w:rsid w:val="378B5214"/>
    <w:rsid w:val="378C2B28"/>
    <w:rsid w:val="37962F1E"/>
    <w:rsid w:val="37963C65"/>
    <w:rsid w:val="379F13BE"/>
    <w:rsid w:val="37AD4A78"/>
    <w:rsid w:val="37B118EC"/>
    <w:rsid w:val="37B61C0E"/>
    <w:rsid w:val="37BD489C"/>
    <w:rsid w:val="37CA5078"/>
    <w:rsid w:val="37E40D40"/>
    <w:rsid w:val="37E908F4"/>
    <w:rsid w:val="380D3E24"/>
    <w:rsid w:val="381B51A5"/>
    <w:rsid w:val="381E4191"/>
    <w:rsid w:val="38297B75"/>
    <w:rsid w:val="383E1860"/>
    <w:rsid w:val="384944CF"/>
    <w:rsid w:val="386D40F2"/>
    <w:rsid w:val="38705725"/>
    <w:rsid w:val="38954BC2"/>
    <w:rsid w:val="38A35955"/>
    <w:rsid w:val="38AD23E7"/>
    <w:rsid w:val="38AF2F28"/>
    <w:rsid w:val="38B425EE"/>
    <w:rsid w:val="38B97441"/>
    <w:rsid w:val="38D75E97"/>
    <w:rsid w:val="38E70FEA"/>
    <w:rsid w:val="38EA50AA"/>
    <w:rsid w:val="39175BF3"/>
    <w:rsid w:val="39183F99"/>
    <w:rsid w:val="39186D3D"/>
    <w:rsid w:val="391A2AB5"/>
    <w:rsid w:val="392317A1"/>
    <w:rsid w:val="392B2C6B"/>
    <w:rsid w:val="392C3B94"/>
    <w:rsid w:val="39365A28"/>
    <w:rsid w:val="39455658"/>
    <w:rsid w:val="39474BFE"/>
    <w:rsid w:val="39475874"/>
    <w:rsid w:val="39552923"/>
    <w:rsid w:val="39742FE3"/>
    <w:rsid w:val="39761C83"/>
    <w:rsid w:val="397633C4"/>
    <w:rsid w:val="3981122B"/>
    <w:rsid w:val="39830432"/>
    <w:rsid w:val="398A0D58"/>
    <w:rsid w:val="398A6C7B"/>
    <w:rsid w:val="39B66C81"/>
    <w:rsid w:val="39C00510"/>
    <w:rsid w:val="39D05FD6"/>
    <w:rsid w:val="39D744E0"/>
    <w:rsid w:val="39E82BB3"/>
    <w:rsid w:val="39F6369D"/>
    <w:rsid w:val="39FB4EB2"/>
    <w:rsid w:val="39FF6703"/>
    <w:rsid w:val="3A0E410B"/>
    <w:rsid w:val="3A0F1B22"/>
    <w:rsid w:val="3A236702"/>
    <w:rsid w:val="3A26326A"/>
    <w:rsid w:val="3A26571D"/>
    <w:rsid w:val="3A2A6F75"/>
    <w:rsid w:val="3A2E6D44"/>
    <w:rsid w:val="3A3440B5"/>
    <w:rsid w:val="3A3A4225"/>
    <w:rsid w:val="3A532633"/>
    <w:rsid w:val="3A542D21"/>
    <w:rsid w:val="3A57069F"/>
    <w:rsid w:val="3A636C6D"/>
    <w:rsid w:val="3A686896"/>
    <w:rsid w:val="3A8F6591"/>
    <w:rsid w:val="3A937B00"/>
    <w:rsid w:val="3A976683"/>
    <w:rsid w:val="3AA06DA7"/>
    <w:rsid w:val="3AC14F6B"/>
    <w:rsid w:val="3AC4344B"/>
    <w:rsid w:val="3AD35612"/>
    <w:rsid w:val="3AD849D6"/>
    <w:rsid w:val="3AD965DF"/>
    <w:rsid w:val="3ADA2CCB"/>
    <w:rsid w:val="3AE16AAC"/>
    <w:rsid w:val="3AE906A1"/>
    <w:rsid w:val="3AED108E"/>
    <w:rsid w:val="3AF35270"/>
    <w:rsid w:val="3B0666BB"/>
    <w:rsid w:val="3B0E66C2"/>
    <w:rsid w:val="3B1224E4"/>
    <w:rsid w:val="3B190B4B"/>
    <w:rsid w:val="3B1F4D2F"/>
    <w:rsid w:val="3B363E98"/>
    <w:rsid w:val="3B5716EC"/>
    <w:rsid w:val="3B5A10F2"/>
    <w:rsid w:val="3B5B3A93"/>
    <w:rsid w:val="3B630CE5"/>
    <w:rsid w:val="3B706723"/>
    <w:rsid w:val="3B763A2C"/>
    <w:rsid w:val="3B7769E6"/>
    <w:rsid w:val="3B7D1F73"/>
    <w:rsid w:val="3B914E67"/>
    <w:rsid w:val="3BA14290"/>
    <w:rsid w:val="3BA1640A"/>
    <w:rsid w:val="3BA64C65"/>
    <w:rsid w:val="3BD15CF7"/>
    <w:rsid w:val="3BD774FE"/>
    <w:rsid w:val="3BDE6B6B"/>
    <w:rsid w:val="3BF12DCA"/>
    <w:rsid w:val="3C0161AE"/>
    <w:rsid w:val="3C0479A5"/>
    <w:rsid w:val="3C091525"/>
    <w:rsid w:val="3C0D0D13"/>
    <w:rsid w:val="3C0F0A81"/>
    <w:rsid w:val="3C2105FF"/>
    <w:rsid w:val="3C21189E"/>
    <w:rsid w:val="3C244B9D"/>
    <w:rsid w:val="3C276428"/>
    <w:rsid w:val="3C3017F1"/>
    <w:rsid w:val="3C3B1611"/>
    <w:rsid w:val="3C526605"/>
    <w:rsid w:val="3C536323"/>
    <w:rsid w:val="3C5C3AF4"/>
    <w:rsid w:val="3C5F591C"/>
    <w:rsid w:val="3C6219D2"/>
    <w:rsid w:val="3C752BFA"/>
    <w:rsid w:val="3C8811BB"/>
    <w:rsid w:val="3CB140BA"/>
    <w:rsid w:val="3CBB1818"/>
    <w:rsid w:val="3CC7237C"/>
    <w:rsid w:val="3CD74CC5"/>
    <w:rsid w:val="3CE621C0"/>
    <w:rsid w:val="3CEF08E5"/>
    <w:rsid w:val="3D104E04"/>
    <w:rsid w:val="3D236B16"/>
    <w:rsid w:val="3D2F4655"/>
    <w:rsid w:val="3D307123"/>
    <w:rsid w:val="3D324146"/>
    <w:rsid w:val="3D3332F9"/>
    <w:rsid w:val="3D3B5E12"/>
    <w:rsid w:val="3D4F5104"/>
    <w:rsid w:val="3D6639F1"/>
    <w:rsid w:val="3D6D7383"/>
    <w:rsid w:val="3D7B2074"/>
    <w:rsid w:val="3D7E738B"/>
    <w:rsid w:val="3D8A3F82"/>
    <w:rsid w:val="3DAC25C0"/>
    <w:rsid w:val="3DAD3068"/>
    <w:rsid w:val="3DB32303"/>
    <w:rsid w:val="3DCF4DEF"/>
    <w:rsid w:val="3DE771F9"/>
    <w:rsid w:val="3DEE4763"/>
    <w:rsid w:val="3DF33774"/>
    <w:rsid w:val="3DF5764D"/>
    <w:rsid w:val="3DF603FD"/>
    <w:rsid w:val="3E161F82"/>
    <w:rsid w:val="3E1F291C"/>
    <w:rsid w:val="3E335766"/>
    <w:rsid w:val="3E3D02FA"/>
    <w:rsid w:val="3E3D7D25"/>
    <w:rsid w:val="3E3E2317"/>
    <w:rsid w:val="3E660538"/>
    <w:rsid w:val="3E693B97"/>
    <w:rsid w:val="3E6F0BC1"/>
    <w:rsid w:val="3E7449E6"/>
    <w:rsid w:val="3E7474C5"/>
    <w:rsid w:val="3E7B1A32"/>
    <w:rsid w:val="3E7F478C"/>
    <w:rsid w:val="3EA51073"/>
    <w:rsid w:val="3EA66A89"/>
    <w:rsid w:val="3EB85AE3"/>
    <w:rsid w:val="3EC85605"/>
    <w:rsid w:val="3ED648C6"/>
    <w:rsid w:val="3EE43DBA"/>
    <w:rsid w:val="3F005013"/>
    <w:rsid w:val="3F012E30"/>
    <w:rsid w:val="3F0A0BE0"/>
    <w:rsid w:val="3F166839"/>
    <w:rsid w:val="3F285800"/>
    <w:rsid w:val="3F2A1D41"/>
    <w:rsid w:val="3F2C230B"/>
    <w:rsid w:val="3F3A675B"/>
    <w:rsid w:val="3F47538F"/>
    <w:rsid w:val="3F4E6475"/>
    <w:rsid w:val="3F5448DB"/>
    <w:rsid w:val="3F5B4344"/>
    <w:rsid w:val="3F6F7FAE"/>
    <w:rsid w:val="3F8867C0"/>
    <w:rsid w:val="3F8E2A88"/>
    <w:rsid w:val="3F954B03"/>
    <w:rsid w:val="3F9E65DF"/>
    <w:rsid w:val="3FA506C2"/>
    <w:rsid w:val="3FB91102"/>
    <w:rsid w:val="3FC41290"/>
    <w:rsid w:val="3FC82D73"/>
    <w:rsid w:val="3FCB34E1"/>
    <w:rsid w:val="3FD21CB9"/>
    <w:rsid w:val="3FE42D3C"/>
    <w:rsid w:val="40000BD4"/>
    <w:rsid w:val="401D58E4"/>
    <w:rsid w:val="402D4A17"/>
    <w:rsid w:val="402E371B"/>
    <w:rsid w:val="402E7DBF"/>
    <w:rsid w:val="40364F60"/>
    <w:rsid w:val="403E7690"/>
    <w:rsid w:val="4043489A"/>
    <w:rsid w:val="40473734"/>
    <w:rsid w:val="40512D68"/>
    <w:rsid w:val="40523CFE"/>
    <w:rsid w:val="40632985"/>
    <w:rsid w:val="40651C1E"/>
    <w:rsid w:val="406E1374"/>
    <w:rsid w:val="407422FD"/>
    <w:rsid w:val="40780D1D"/>
    <w:rsid w:val="407D1813"/>
    <w:rsid w:val="40812587"/>
    <w:rsid w:val="408F0EAF"/>
    <w:rsid w:val="409C0547"/>
    <w:rsid w:val="40C675E3"/>
    <w:rsid w:val="40CA3F63"/>
    <w:rsid w:val="40CE1FCC"/>
    <w:rsid w:val="40D56898"/>
    <w:rsid w:val="40EC0E39"/>
    <w:rsid w:val="40FC0224"/>
    <w:rsid w:val="40FC792D"/>
    <w:rsid w:val="410B1B19"/>
    <w:rsid w:val="411367A5"/>
    <w:rsid w:val="411A4820"/>
    <w:rsid w:val="41407284"/>
    <w:rsid w:val="41412BA9"/>
    <w:rsid w:val="41414740"/>
    <w:rsid w:val="415F67B6"/>
    <w:rsid w:val="416A1439"/>
    <w:rsid w:val="417F71AB"/>
    <w:rsid w:val="4184736C"/>
    <w:rsid w:val="419351A5"/>
    <w:rsid w:val="41994529"/>
    <w:rsid w:val="419F5855"/>
    <w:rsid w:val="41A352DA"/>
    <w:rsid w:val="41BF069E"/>
    <w:rsid w:val="41C93EDE"/>
    <w:rsid w:val="41E16F5A"/>
    <w:rsid w:val="41E82255"/>
    <w:rsid w:val="41F66C39"/>
    <w:rsid w:val="421C35A8"/>
    <w:rsid w:val="42233AA2"/>
    <w:rsid w:val="42281F14"/>
    <w:rsid w:val="423A5F76"/>
    <w:rsid w:val="423D2C52"/>
    <w:rsid w:val="42552DE3"/>
    <w:rsid w:val="425B4CD3"/>
    <w:rsid w:val="42672AE3"/>
    <w:rsid w:val="42746360"/>
    <w:rsid w:val="427E2307"/>
    <w:rsid w:val="427F681B"/>
    <w:rsid w:val="42835B38"/>
    <w:rsid w:val="429733C9"/>
    <w:rsid w:val="42BD4108"/>
    <w:rsid w:val="42C00FEB"/>
    <w:rsid w:val="42C8571E"/>
    <w:rsid w:val="42CA3715"/>
    <w:rsid w:val="42CB4E20"/>
    <w:rsid w:val="42CD0B98"/>
    <w:rsid w:val="42FC36D8"/>
    <w:rsid w:val="430376DA"/>
    <w:rsid w:val="43052031"/>
    <w:rsid w:val="4305373B"/>
    <w:rsid w:val="43143090"/>
    <w:rsid w:val="431C4C8F"/>
    <w:rsid w:val="43225DFC"/>
    <w:rsid w:val="432277AA"/>
    <w:rsid w:val="432F46AD"/>
    <w:rsid w:val="43384660"/>
    <w:rsid w:val="434A0F39"/>
    <w:rsid w:val="43515BBA"/>
    <w:rsid w:val="4363676E"/>
    <w:rsid w:val="436D3760"/>
    <w:rsid w:val="4373683C"/>
    <w:rsid w:val="438020AF"/>
    <w:rsid w:val="43807EAD"/>
    <w:rsid w:val="438229F5"/>
    <w:rsid w:val="438D7257"/>
    <w:rsid w:val="43973107"/>
    <w:rsid w:val="43B911DF"/>
    <w:rsid w:val="43BC0907"/>
    <w:rsid w:val="43C66158"/>
    <w:rsid w:val="43E4263E"/>
    <w:rsid w:val="43E52032"/>
    <w:rsid w:val="43F517FF"/>
    <w:rsid w:val="43FC5097"/>
    <w:rsid w:val="440946EE"/>
    <w:rsid w:val="440F3CC4"/>
    <w:rsid w:val="441105B5"/>
    <w:rsid w:val="441118B4"/>
    <w:rsid w:val="441629F5"/>
    <w:rsid w:val="44230431"/>
    <w:rsid w:val="442F5A16"/>
    <w:rsid w:val="443524F9"/>
    <w:rsid w:val="44437C8B"/>
    <w:rsid w:val="44443A41"/>
    <w:rsid w:val="444608BC"/>
    <w:rsid w:val="444768E9"/>
    <w:rsid w:val="444C19A9"/>
    <w:rsid w:val="44505A73"/>
    <w:rsid w:val="44512DED"/>
    <w:rsid w:val="44626D3E"/>
    <w:rsid w:val="44655901"/>
    <w:rsid w:val="44686858"/>
    <w:rsid w:val="44721281"/>
    <w:rsid w:val="447F1F01"/>
    <w:rsid w:val="44A474D0"/>
    <w:rsid w:val="44A51A51"/>
    <w:rsid w:val="44AB4F9E"/>
    <w:rsid w:val="44B007B6"/>
    <w:rsid w:val="44BC2C73"/>
    <w:rsid w:val="44BD3807"/>
    <w:rsid w:val="44CB29A6"/>
    <w:rsid w:val="44CF23A9"/>
    <w:rsid w:val="44D42A00"/>
    <w:rsid w:val="44D5607F"/>
    <w:rsid w:val="44E91733"/>
    <w:rsid w:val="44EE0DE9"/>
    <w:rsid w:val="44FC118B"/>
    <w:rsid w:val="44FF24DC"/>
    <w:rsid w:val="45033720"/>
    <w:rsid w:val="450D3C5F"/>
    <w:rsid w:val="451407AF"/>
    <w:rsid w:val="451A356A"/>
    <w:rsid w:val="45225746"/>
    <w:rsid w:val="45236CF5"/>
    <w:rsid w:val="452A417D"/>
    <w:rsid w:val="452E401A"/>
    <w:rsid w:val="453F1647"/>
    <w:rsid w:val="45515884"/>
    <w:rsid w:val="4568287F"/>
    <w:rsid w:val="45784155"/>
    <w:rsid w:val="457B69DA"/>
    <w:rsid w:val="457E43CC"/>
    <w:rsid w:val="458F2701"/>
    <w:rsid w:val="45AF550F"/>
    <w:rsid w:val="45C26FDB"/>
    <w:rsid w:val="45E42BF2"/>
    <w:rsid w:val="46065FF8"/>
    <w:rsid w:val="460E70A6"/>
    <w:rsid w:val="461E170B"/>
    <w:rsid w:val="46224A71"/>
    <w:rsid w:val="46232E70"/>
    <w:rsid w:val="462C20A8"/>
    <w:rsid w:val="462F5D62"/>
    <w:rsid w:val="46436121"/>
    <w:rsid w:val="464542DE"/>
    <w:rsid w:val="464E3566"/>
    <w:rsid w:val="4653670A"/>
    <w:rsid w:val="465A01E8"/>
    <w:rsid w:val="465A520A"/>
    <w:rsid w:val="467C39C9"/>
    <w:rsid w:val="46916FFF"/>
    <w:rsid w:val="46967D7E"/>
    <w:rsid w:val="46995E29"/>
    <w:rsid w:val="46A608D0"/>
    <w:rsid w:val="46AD40E3"/>
    <w:rsid w:val="46B11256"/>
    <w:rsid w:val="46C66B32"/>
    <w:rsid w:val="46D144F3"/>
    <w:rsid w:val="46D2290E"/>
    <w:rsid w:val="46DB09AD"/>
    <w:rsid w:val="46E6252F"/>
    <w:rsid w:val="46FD79ED"/>
    <w:rsid w:val="4712301E"/>
    <w:rsid w:val="4717785B"/>
    <w:rsid w:val="473C453F"/>
    <w:rsid w:val="473E08C8"/>
    <w:rsid w:val="47471000"/>
    <w:rsid w:val="47513E2B"/>
    <w:rsid w:val="475C204E"/>
    <w:rsid w:val="47653F13"/>
    <w:rsid w:val="476625CA"/>
    <w:rsid w:val="476B5C26"/>
    <w:rsid w:val="47712BD5"/>
    <w:rsid w:val="47724AD9"/>
    <w:rsid w:val="47745885"/>
    <w:rsid w:val="47747773"/>
    <w:rsid w:val="477557F9"/>
    <w:rsid w:val="47791F01"/>
    <w:rsid w:val="477B02EC"/>
    <w:rsid w:val="477E53CE"/>
    <w:rsid w:val="477F360B"/>
    <w:rsid w:val="47876C52"/>
    <w:rsid w:val="47A11CC7"/>
    <w:rsid w:val="47AB5340"/>
    <w:rsid w:val="47C5155E"/>
    <w:rsid w:val="47C56F66"/>
    <w:rsid w:val="47CB5D32"/>
    <w:rsid w:val="47D35CB9"/>
    <w:rsid w:val="47D44777"/>
    <w:rsid w:val="47D61EFA"/>
    <w:rsid w:val="47DB75A1"/>
    <w:rsid w:val="47DE686D"/>
    <w:rsid w:val="47ED34DD"/>
    <w:rsid w:val="47EF2EB3"/>
    <w:rsid w:val="47EF4D16"/>
    <w:rsid w:val="48177A60"/>
    <w:rsid w:val="48267501"/>
    <w:rsid w:val="48274C8F"/>
    <w:rsid w:val="482C112A"/>
    <w:rsid w:val="483763C5"/>
    <w:rsid w:val="483E6485"/>
    <w:rsid w:val="4843594F"/>
    <w:rsid w:val="4845296F"/>
    <w:rsid w:val="4850425A"/>
    <w:rsid w:val="485C65A9"/>
    <w:rsid w:val="4864537B"/>
    <w:rsid w:val="486E6A00"/>
    <w:rsid w:val="487D4EF0"/>
    <w:rsid w:val="48825AF7"/>
    <w:rsid w:val="48AF284F"/>
    <w:rsid w:val="48B073F2"/>
    <w:rsid w:val="48B85E47"/>
    <w:rsid w:val="48C10FA5"/>
    <w:rsid w:val="48D15984"/>
    <w:rsid w:val="48DA53E0"/>
    <w:rsid w:val="48DC4BAF"/>
    <w:rsid w:val="48E42B6E"/>
    <w:rsid w:val="48E515AD"/>
    <w:rsid w:val="48F04C90"/>
    <w:rsid w:val="49017AA4"/>
    <w:rsid w:val="49076ED3"/>
    <w:rsid w:val="490D457A"/>
    <w:rsid w:val="492D1A64"/>
    <w:rsid w:val="492D1F58"/>
    <w:rsid w:val="49575612"/>
    <w:rsid w:val="49584A03"/>
    <w:rsid w:val="49665318"/>
    <w:rsid w:val="49771CF2"/>
    <w:rsid w:val="49781B93"/>
    <w:rsid w:val="49790019"/>
    <w:rsid w:val="497D77CE"/>
    <w:rsid w:val="49897DCC"/>
    <w:rsid w:val="498E7C32"/>
    <w:rsid w:val="498F32B4"/>
    <w:rsid w:val="49A22024"/>
    <w:rsid w:val="49A44CD1"/>
    <w:rsid w:val="49A460DD"/>
    <w:rsid w:val="49A625A8"/>
    <w:rsid w:val="49B568A0"/>
    <w:rsid w:val="49BD7F24"/>
    <w:rsid w:val="49D2118A"/>
    <w:rsid w:val="49E44A93"/>
    <w:rsid w:val="49E967FB"/>
    <w:rsid w:val="49FC2C89"/>
    <w:rsid w:val="4A0D3931"/>
    <w:rsid w:val="4A10128B"/>
    <w:rsid w:val="4A217F7D"/>
    <w:rsid w:val="4A2B2477"/>
    <w:rsid w:val="4A2F1C4D"/>
    <w:rsid w:val="4A3B49F7"/>
    <w:rsid w:val="4A537EBC"/>
    <w:rsid w:val="4A54405A"/>
    <w:rsid w:val="4A547DF1"/>
    <w:rsid w:val="4A680476"/>
    <w:rsid w:val="4A6F749C"/>
    <w:rsid w:val="4A7477BB"/>
    <w:rsid w:val="4A822E7F"/>
    <w:rsid w:val="4A9B3349"/>
    <w:rsid w:val="4A9D4DEF"/>
    <w:rsid w:val="4AAC432F"/>
    <w:rsid w:val="4AB10DA0"/>
    <w:rsid w:val="4AB23A41"/>
    <w:rsid w:val="4AC14145"/>
    <w:rsid w:val="4AD31174"/>
    <w:rsid w:val="4ADE0DBA"/>
    <w:rsid w:val="4AE17583"/>
    <w:rsid w:val="4AE67631"/>
    <w:rsid w:val="4AF0306E"/>
    <w:rsid w:val="4AF40C8C"/>
    <w:rsid w:val="4AF81AB7"/>
    <w:rsid w:val="4B0F3DE6"/>
    <w:rsid w:val="4B0F7696"/>
    <w:rsid w:val="4B1D4687"/>
    <w:rsid w:val="4B210078"/>
    <w:rsid w:val="4B3E5607"/>
    <w:rsid w:val="4B4004AA"/>
    <w:rsid w:val="4B4502B7"/>
    <w:rsid w:val="4B4973E6"/>
    <w:rsid w:val="4B4D0567"/>
    <w:rsid w:val="4B505009"/>
    <w:rsid w:val="4B61424F"/>
    <w:rsid w:val="4B620D7D"/>
    <w:rsid w:val="4B6C144F"/>
    <w:rsid w:val="4B710551"/>
    <w:rsid w:val="4B74085D"/>
    <w:rsid w:val="4B7A7E88"/>
    <w:rsid w:val="4B9C2ABE"/>
    <w:rsid w:val="4B9C7670"/>
    <w:rsid w:val="4BA3564E"/>
    <w:rsid w:val="4BA60A6D"/>
    <w:rsid w:val="4BB1460D"/>
    <w:rsid w:val="4BBE1D7E"/>
    <w:rsid w:val="4BC0573E"/>
    <w:rsid w:val="4BC43B5B"/>
    <w:rsid w:val="4BF47329"/>
    <w:rsid w:val="4C043151"/>
    <w:rsid w:val="4C075A4E"/>
    <w:rsid w:val="4C185762"/>
    <w:rsid w:val="4C1F1FC4"/>
    <w:rsid w:val="4C2351EE"/>
    <w:rsid w:val="4C3B48C2"/>
    <w:rsid w:val="4C41501E"/>
    <w:rsid w:val="4C4B4133"/>
    <w:rsid w:val="4C646734"/>
    <w:rsid w:val="4C6B34FD"/>
    <w:rsid w:val="4C7A5744"/>
    <w:rsid w:val="4C903C4B"/>
    <w:rsid w:val="4C9F0FA7"/>
    <w:rsid w:val="4CA768DE"/>
    <w:rsid w:val="4CB7213E"/>
    <w:rsid w:val="4CCF2651"/>
    <w:rsid w:val="4CD25501"/>
    <w:rsid w:val="4CF14C37"/>
    <w:rsid w:val="4CF16CA2"/>
    <w:rsid w:val="4CFF1F95"/>
    <w:rsid w:val="4D0B7D7F"/>
    <w:rsid w:val="4D1166A6"/>
    <w:rsid w:val="4D17047E"/>
    <w:rsid w:val="4D251179"/>
    <w:rsid w:val="4D2565EC"/>
    <w:rsid w:val="4D2F0EC2"/>
    <w:rsid w:val="4D401972"/>
    <w:rsid w:val="4D520DCE"/>
    <w:rsid w:val="4D5A434E"/>
    <w:rsid w:val="4D5F2D35"/>
    <w:rsid w:val="4D684DA1"/>
    <w:rsid w:val="4D697969"/>
    <w:rsid w:val="4D761E65"/>
    <w:rsid w:val="4D8650C6"/>
    <w:rsid w:val="4D91506D"/>
    <w:rsid w:val="4D9A47CB"/>
    <w:rsid w:val="4DC31516"/>
    <w:rsid w:val="4DCB35FA"/>
    <w:rsid w:val="4DD2649F"/>
    <w:rsid w:val="4DD34389"/>
    <w:rsid w:val="4DE420A5"/>
    <w:rsid w:val="4DEA1F1B"/>
    <w:rsid w:val="4DED20EF"/>
    <w:rsid w:val="4E0170B7"/>
    <w:rsid w:val="4E0739C7"/>
    <w:rsid w:val="4E100473"/>
    <w:rsid w:val="4E2763F3"/>
    <w:rsid w:val="4E2817A0"/>
    <w:rsid w:val="4E2B0126"/>
    <w:rsid w:val="4E2C785B"/>
    <w:rsid w:val="4E2D2E33"/>
    <w:rsid w:val="4E302552"/>
    <w:rsid w:val="4E31529A"/>
    <w:rsid w:val="4E3C68B3"/>
    <w:rsid w:val="4E3D117B"/>
    <w:rsid w:val="4E461C9A"/>
    <w:rsid w:val="4E494874"/>
    <w:rsid w:val="4E496468"/>
    <w:rsid w:val="4E5A45A8"/>
    <w:rsid w:val="4E6043C6"/>
    <w:rsid w:val="4E617BF4"/>
    <w:rsid w:val="4E6D057E"/>
    <w:rsid w:val="4E7258A6"/>
    <w:rsid w:val="4E736E9E"/>
    <w:rsid w:val="4E913980"/>
    <w:rsid w:val="4EA14B09"/>
    <w:rsid w:val="4EA241C4"/>
    <w:rsid w:val="4EB402D9"/>
    <w:rsid w:val="4EB5582C"/>
    <w:rsid w:val="4EB5593F"/>
    <w:rsid w:val="4EC15A64"/>
    <w:rsid w:val="4EC64299"/>
    <w:rsid w:val="4EE95D91"/>
    <w:rsid w:val="4EF474AD"/>
    <w:rsid w:val="4EF63225"/>
    <w:rsid w:val="4F0216AF"/>
    <w:rsid w:val="4F061AE2"/>
    <w:rsid w:val="4F230697"/>
    <w:rsid w:val="4F27117E"/>
    <w:rsid w:val="4F2A1177"/>
    <w:rsid w:val="4F321825"/>
    <w:rsid w:val="4F34219D"/>
    <w:rsid w:val="4F354313"/>
    <w:rsid w:val="4F385ECE"/>
    <w:rsid w:val="4F3B505F"/>
    <w:rsid w:val="4F471CD3"/>
    <w:rsid w:val="4F523D99"/>
    <w:rsid w:val="4F563159"/>
    <w:rsid w:val="4F601725"/>
    <w:rsid w:val="4F821601"/>
    <w:rsid w:val="4F86692C"/>
    <w:rsid w:val="4F902B7C"/>
    <w:rsid w:val="4F923736"/>
    <w:rsid w:val="4F94346B"/>
    <w:rsid w:val="4F962A10"/>
    <w:rsid w:val="4F9F47E6"/>
    <w:rsid w:val="4FA77762"/>
    <w:rsid w:val="4FAF2BF7"/>
    <w:rsid w:val="4FDB2BAA"/>
    <w:rsid w:val="4FE60D11"/>
    <w:rsid w:val="4FEA44DF"/>
    <w:rsid w:val="4FEB08B0"/>
    <w:rsid w:val="4FEE75FE"/>
    <w:rsid w:val="5008266F"/>
    <w:rsid w:val="500A6C00"/>
    <w:rsid w:val="500C3428"/>
    <w:rsid w:val="501F4D9E"/>
    <w:rsid w:val="50231C5D"/>
    <w:rsid w:val="502C2800"/>
    <w:rsid w:val="5035107F"/>
    <w:rsid w:val="503E7353"/>
    <w:rsid w:val="50444309"/>
    <w:rsid w:val="504C4D15"/>
    <w:rsid w:val="504F7F50"/>
    <w:rsid w:val="50630383"/>
    <w:rsid w:val="509B2F94"/>
    <w:rsid w:val="50A17842"/>
    <w:rsid w:val="50A5561B"/>
    <w:rsid w:val="50AD5C34"/>
    <w:rsid w:val="50AE7597"/>
    <w:rsid w:val="50C70EFE"/>
    <w:rsid w:val="50CA7DEA"/>
    <w:rsid w:val="50F05F8C"/>
    <w:rsid w:val="50FE54A4"/>
    <w:rsid w:val="51015112"/>
    <w:rsid w:val="510824CB"/>
    <w:rsid w:val="5119098E"/>
    <w:rsid w:val="51190C66"/>
    <w:rsid w:val="5119144D"/>
    <w:rsid w:val="51263697"/>
    <w:rsid w:val="5127118B"/>
    <w:rsid w:val="513813FD"/>
    <w:rsid w:val="5141363B"/>
    <w:rsid w:val="51465683"/>
    <w:rsid w:val="5184145A"/>
    <w:rsid w:val="51855F41"/>
    <w:rsid w:val="519D5CFF"/>
    <w:rsid w:val="51B055FB"/>
    <w:rsid w:val="51B178D7"/>
    <w:rsid w:val="51B27E1B"/>
    <w:rsid w:val="51B435EF"/>
    <w:rsid w:val="51BD629E"/>
    <w:rsid w:val="51DB6702"/>
    <w:rsid w:val="51E3596A"/>
    <w:rsid w:val="51E5372D"/>
    <w:rsid w:val="51EA21B2"/>
    <w:rsid w:val="51F15F22"/>
    <w:rsid w:val="51FB1F9A"/>
    <w:rsid w:val="51FD0D05"/>
    <w:rsid w:val="52063EC6"/>
    <w:rsid w:val="52150F92"/>
    <w:rsid w:val="52162D17"/>
    <w:rsid w:val="52267BCE"/>
    <w:rsid w:val="522F4025"/>
    <w:rsid w:val="523D10A1"/>
    <w:rsid w:val="52491CCB"/>
    <w:rsid w:val="5251560B"/>
    <w:rsid w:val="52581A93"/>
    <w:rsid w:val="52632FA3"/>
    <w:rsid w:val="526B217C"/>
    <w:rsid w:val="527F3C63"/>
    <w:rsid w:val="5285392A"/>
    <w:rsid w:val="52AF251B"/>
    <w:rsid w:val="52B22E7A"/>
    <w:rsid w:val="52B409A8"/>
    <w:rsid w:val="52B4142D"/>
    <w:rsid w:val="52B44ADF"/>
    <w:rsid w:val="52BA7400"/>
    <w:rsid w:val="52C06017"/>
    <w:rsid w:val="52C17D00"/>
    <w:rsid w:val="52C44E4E"/>
    <w:rsid w:val="52CB1DA8"/>
    <w:rsid w:val="52D82F87"/>
    <w:rsid w:val="52F47D3C"/>
    <w:rsid w:val="531A6C9E"/>
    <w:rsid w:val="53417B44"/>
    <w:rsid w:val="53661E99"/>
    <w:rsid w:val="536F6C64"/>
    <w:rsid w:val="53765D22"/>
    <w:rsid w:val="53A51893"/>
    <w:rsid w:val="53A6353C"/>
    <w:rsid w:val="53AF7DBC"/>
    <w:rsid w:val="53B02092"/>
    <w:rsid w:val="53B814BB"/>
    <w:rsid w:val="53BF4A50"/>
    <w:rsid w:val="53CB4330"/>
    <w:rsid w:val="53D1600F"/>
    <w:rsid w:val="53DF7D08"/>
    <w:rsid w:val="53E03DB4"/>
    <w:rsid w:val="53E421E6"/>
    <w:rsid w:val="53F27C89"/>
    <w:rsid w:val="53F764F6"/>
    <w:rsid w:val="54045B7C"/>
    <w:rsid w:val="54045EA7"/>
    <w:rsid w:val="54143765"/>
    <w:rsid w:val="54262151"/>
    <w:rsid w:val="54394370"/>
    <w:rsid w:val="54396F26"/>
    <w:rsid w:val="5445603F"/>
    <w:rsid w:val="544A6FB6"/>
    <w:rsid w:val="545E3D46"/>
    <w:rsid w:val="54695C17"/>
    <w:rsid w:val="54701A96"/>
    <w:rsid w:val="547A31AE"/>
    <w:rsid w:val="54830A9C"/>
    <w:rsid w:val="5490250F"/>
    <w:rsid w:val="54957BA3"/>
    <w:rsid w:val="54A83213"/>
    <w:rsid w:val="54AF7BEA"/>
    <w:rsid w:val="54BA25CA"/>
    <w:rsid w:val="54C8268A"/>
    <w:rsid w:val="54CA3FBC"/>
    <w:rsid w:val="54E51065"/>
    <w:rsid w:val="54EC0254"/>
    <w:rsid w:val="54F34851"/>
    <w:rsid w:val="54F81BA7"/>
    <w:rsid w:val="54FF51A2"/>
    <w:rsid w:val="55232EE2"/>
    <w:rsid w:val="554D1CC0"/>
    <w:rsid w:val="55584799"/>
    <w:rsid w:val="55796BF6"/>
    <w:rsid w:val="5587107B"/>
    <w:rsid w:val="55894511"/>
    <w:rsid w:val="55A42D09"/>
    <w:rsid w:val="55A95072"/>
    <w:rsid w:val="55AC4691"/>
    <w:rsid w:val="55B465AD"/>
    <w:rsid w:val="55BC6CB1"/>
    <w:rsid w:val="55CF37F2"/>
    <w:rsid w:val="55D60B74"/>
    <w:rsid w:val="55D73B96"/>
    <w:rsid w:val="55DF4CA0"/>
    <w:rsid w:val="55EA33B8"/>
    <w:rsid w:val="56115907"/>
    <w:rsid w:val="561E0188"/>
    <w:rsid w:val="561E5481"/>
    <w:rsid w:val="561F7040"/>
    <w:rsid w:val="562515B8"/>
    <w:rsid w:val="562B6224"/>
    <w:rsid w:val="563322B0"/>
    <w:rsid w:val="563769C7"/>
    <w:rsid w:val="5639627C"/>
    <w:rsid w:val="563C3154"/>
    <w:rsid w:val="564156CE"/>
    <w:rsid w:val="56617B1E"/>
    <w:rsid w:val="566B62A7"/>
    <w:rsid w:val="566F78A3"/>
    <w:rsid w:val="569110F3"/>
    <w:rsid w:val="569655C8"/>
    <w:rsid w:val="56C500AD"/>
    <w:rsid w:val="56C707EE"/>
    <w:rsid w:val="56D72E1C"/>
    <w:rsid w:val="56F203CA"/>
    <w:rsid w:val="5701161B"/>
    <w:rsid w:val="570125C6"/>
    <w:rsid w:val="570B7A8A"/>
    <w:rsid w:val="572E5489"/>
    <w:rsid w:val="5731731C"/>
    <w:rsid w:val="57446F78"/>
    <w:rsid w:val="574F0F92"/>
    <w:rsid w:val="575077D3"/>
    <w:rsid w:val="575D52D3"/>
    <w:rsid w:val="57812B99"/>
    <w:rsid w:val="578771D0"/>
    <w:rsid w:val="57895135"/>
    <w:rsid w:val="57922672"/>
    <w:rsid w:val="57932C14"/>
    <w:rsid w:val="57A46B6A"/>
    <w:rsid w:val="57A934B1"/>
    <w:rsid w:val="57B6554B"/>
    <w:rsid w:val="57DA073A"/>
    <w:rsid w:val="57EE4AE3"/>
    <w:rsid w:val="57F66044"/>
    <w:rsid w:val="58001ACE"/>
    <w:rsid w:val="58083400"/>
    <w:rsid w:val="580B611E"/>
    <w:rsid w:val="580C52E9"/>
    <w:rsid w:val="58125507"/>
    <w:rsid w:val="58142B34"/>
    <w:rsid w:val="582C6E81"/>
    <w:rsid w:val="583A2478"/>
    <w:rsid w:val="58445001"/>
    <w:rsid w:val="584978E0"/>
    <w:rsid w:val="584C32E7"/>
    <w:rsid w:val="584E5A23"/>
    <w:rsid w:val="585D68D3"/>
    <w:rsid w:val="587D5AAE"/>
    <w:rsid w:val="58840876"/>
    <w:rsid w:val="58853883"/>
    <w:rsid w:val="58896EB8"/>
    <w:rsid w:val="588B2C30"/>
    <w:rsid w:val="5890308D"/>
    <w:rsid w:val="58914E52"/>
    <w:rsid w:val="58954873"/>
    <w:rsid w:val="589C58B8"/>
    <w:rsid w:val="58A3622E"/>
    <w:rsid w:val="58B06324"/>
    <w:rsid w:val="58B319CA"/>
    <w:rsid w:val="58BA4748"/>
    <w:rsid w:val="58C02B71"/>
    <w:rsid w:val="58C8452E"/>
    <w:rsid w:val="58D00F8B"/>
    <w:rsid w:val="58E13B0C"/>
    <w:rsid w:val="58E64CDF"/>
    <w:rsid w:val="58EA213A"/>
    <w:rsid w:val="58FA6008"/>
    <w:rsid w:val="59091DA7"/>
    <w:rsid w:val="592457EB"/>
    <w:rsid w:val="592D785D"/>
    <w:rsid w:val="59305585"/>
    <w:rsid w:val="59373DCC"/>
    <w:rsid w:val="594E51E1"/>
    <w:rsid w:val="59513E7A"/>
    <w:rsid w:val="595E1B34"/>
    <w:rsid w:val="59617EB6"/>
    <w:rsid w:val="596727C4"/>
    <w:rsid w:val="59732478"/>
    <w:rsid w:val="5976782F"/>
    <w:rsid w:val="59790D7B"/>
    <w:rsid w:val="599A169C"/>
    <w:rsid w:val="599B21F6"/>
    <w:rsid w:val="59A31345"/>
    <w:rsid w:val="59A73760"/>
    <w:rsid w:val="59BE04E9"/>
    <w:rsid w:val="59D21ADA"/>
    <w:rsid w:val="59E24CE9"/>
    <w:rsid w:val="59E42330"/>
    <w:rsid w:val="59F43A50"/>
    <w:rsid w:val="59F62FB3"/>
    <w:rsid w:val="5A0458F4"/>
    <w:rsid w:val="5A0A0B0D"/>
    <w:rsid w:val="5A0A5583"/>
    <w:rsid w:val="5A2B2CC4"/>
    <w:rsid w:val="5A2F1CE1"/>
    <w:rsid w:val="5A3B6331"/>
    <w:rsid w:val="5A3C67E9"/>
    <w:rsid w:val="5A4C706E"/>
    <w:rsid w:val="5A52200E"/>
    <w:rsid w:val="5A691B01"/>
    <w:rsid w:val="5A702059"/>
    <w:rsid w:val="5A890319"/>
    <w:rsid w:val="5A8B067D"/>
    <w:rsid w:val="5A9E22D9"/>
    <w:rsid w:val="5AA7446F"/>
    <w:rsid w:val="5ABB37A8"/>
    <w:rsid w:val="5AC43474"/>
    <w:rsid w:val="5ACC4C63"/>
    <w:rsid w:val="5AD05C19"/>
    <w:rsid w:val="5ADE7090"/>
    <w:rsid w:val="5AE579B0"/>
    <w:rsid w:val="5AF01470"/>
    <w:rsid w:val="5AF05E7E"/>
    <w:rsid w:val="5AF54C25"/>
    <w:rsid w:val="5B0E6773"/>
    <w:rsid w:val="5B1D1F41"/>
    <w:rsid w:val="5B22667C"/>
    <w:rsid w:val="5B2627F8"/>
    <w:rsid w:val="5B2C4141"/>
    <w:rsid w:val="5B371434"/>
    <w:rsid w:val="5B3E47E9"/>
    <w:rsid w:val="5B410867"/>
    <w:rsid w:val="5B426D57"/>
    <w:rsid w:val="5B4A1168"/>
    <w:rsid w:val="5B6340F3"/>
    <w:rsid w:val="5B636B2B"/>
    <w:rsid w:val="5B7315EC"/>
    <w:rsid w:val="5B885B4D"/>
    <w:rsid w:val="5B8B54CB"/>
    <w:rsid w:val="5B9C0B85"/>
    <w:rsid w:val="5B9E0DAC"/>
    <w:rsid w:val="5BA30314"/>
    <w:rsid w:val="5BA65FD3"/>
    <w:rsid w:val="5BA721B8"/>
    <w:rsid w:val="5BAE0CF2"/>
    <w:rsid w:val="5BB36404"/>
    <w:rsid w:val="5BB42F26"/>
    <w:rsid w:val="5BB82150"/>
    <w:rsid w:val="5BCD7527"/>
    <w:rsid w:val="5BD32B83"/>
    <w:rsid w:val="5BDC1A95"/>
    <w:rsid w:val="5BED3107"/>
    <w:rsid w:val="5BFF3666"/>
    <w:rsid w:val="5C004B97"/>
    <w:rsid w:val="5C13761F"/>
    <w:rsid w:val="5C2202E6"/>
    <w:rsid w:val="5C270BB9"/>
    <w:rsid w:val="5C2C45B2"/>
    <w:rsid w:val="5C4325ED"/>
    <w:rsid w:val="5C5C47BE"/>
    <w:rsid w:val="5C68777E"/>
    <w:rsid w:val="5C6A73FE"/>
    <w:rsid w:val="5C89082F"/>
    <w:rsid w:val="5C8C341B"/>
    <w:rsid w:val="5C97530C"/>
    <w:rsid w:val="5CA95D7B"/>
    <w:rsid w:val="5CB72943"/>
    <w:rsid w:val="5CBA104B"/>
    <w:rsid w:val="5CBB6592"/>
    <w:rsid w:val="5CD07052"/>
    <w:rsid w:val="5CD3195D"/>
    <w:rsid w:val="5CE35199"/>
    <w:rsid w:val="5CE4156D"/>
    <w:rsid w:val="5CEB12C1"/>
    <w:rsid w:val="5CEB24DD"/>
    <w:rsid w:val="5CF045C0"/>
    <w:rsid w:val="5CF35004"/>
    <w:rsid w:val="5D0B0A0B"/>
    <w:rsid w:val="5D0E28DA"/>
    <w:rsid w:val="5D2174B2"/>
    <w:rsid w:val="5D2C6675"/>
    <w:rsid w:val="5D3F66DF"/>
    <w:rsid w:val="5D4066CF"/>
    <w:rsid w:val="5D4C2022"/>
    <w:rsid w:val="5D580E10"/>
    <w:rsid w:val="5D664657"/>
    <w:rsid w:val="5D721F98"/>
    <w:rsid w:val="5D78775B"/>
    <w:rsid w:val="5D881735"/>
    <w:rsid w:val="5DB54E22"/>
    <w:rsid w:val="5DB92FA1"/>
    <w:rsid w:val="5DC73F3D"/>
    <w:rsid w:val="5DCD6F43"/>
    <w:rsid w:val="5DD01F62"/>
    <w:rsid w:val="5E05603E"/>
    <w:rsid w:val="5E17392B"/>
    <w:rsid w:val="5E1B0E6B"/>
    <w:rsid w:val="5E207EB1"/>
    <w:rsid w:val="5E3358F6"/>
    <w:rsid w:val="5E3B6581"/>
    <w:rsid w:val="5E4334EB"/>
    <w:rsid w:val="5E5A52B0"/>
    <w:rsid w:val="5E64513F"/>
    <w:rsid w:val="5E853D91"/>
    <w:rsid w:val="5E8E52E7"/>
    <w:rsid w:val="5E955698"/>
    <w:rsid w:val="5E9C673C"/>
    <w:rsid w:val="5EAB0B3C"/>
    <w:rsid w:val="5EB25854"/>
    <w:rsid w:val="5EBD1378"/>
    <w:rsid w:val="5EC12BFD"/>
    <w:rsid w:val="5EC44EA4"/>
    <w:rsid w:val="5EC961BC"/>
    <w:rsid w:val="5ECC3FFB"/>
    <w:rsid w:val="5ECF04C2"/>
    <w:rsid w:val="5EDA7ED3"/>
    <w:rsid w:val="5EEA10A3"/>
    <w:rsid w:val="5EED1944"/>
    <w:rsid w:val="5EF97D75"/>
    <w:rsid w:val="5EFF7612"/>
    <w:rsid w:val="5F0454EA"/>
    <w:rsid w:val="5F1665C5"/>
    <w:rsid w:val="5F177F3D"/>
    <w:rsid w:val="5F1A3FBE"/>
    <w:rsid w:val="5F2142EE"/>
    <w:rsid w:val="5F214541"/>
    <w:rsid w:val="5F262B58"/>
    <w:rsid w:val="5F2E2070"/>
    <w:rsid w:val="5F506E90"/>
    <w:rsid w:val="5F593A88"/>
    <w:rsid w:val="5F67539C"/>
    <w:rsid w:val="5F755461"/>
    <w:rsid w:val="5F78492B"/>
    <w:rsid w:val="5F8C2351"/>
    <w:rsid w:val="5FA678BF"/>
    <w:rsid w:val="5FAD4286"/>
    <w:rsid w:val="5FB06DF4"/>
    <w:rsid w:val="5FC3046D"/>
    <w:rsid w:val="5FD17AC2"/>
    <w:rsid w:val="5FDB7E9D"/>
    <w:rsid w:val="5FDC4105"/>
    <w:rsid w:val="5FE32599"/>
    <w:rsid w:val="5FFA73F6"/>
    <w:rsid w:val="5FFE02B1"/>
    <w:rsid w:val="60056CEA"/>
    <w:rsid w:val="601C4469"/>
    <w:rsid w:val="60200EFF"/>
    <w:rsid w:val="60310561"/>
    <w:rsid w:val="604B79B7"/>
    <w:rsid w:val="605C645C"/>
    <w:rsid w:val="6065020A"/>
    <w:rsid w:val="60656131"/>
    <w:rsid w:val="606975F1"/>
    <w:rsid w:val="606A1F22"/>
    <w:rsid w:val="606E07CC"/>
    <w:rsid w:val="6073795D"/>
    <w:rsid w:val="6081311B"/>
    <w:rsid w:val="60815C95"/>
    <w:rsid w:val="608624D2"/>
    <w:rsid w:val="609416BC"/>
    <w:rsid w:val="60956D42"/>
    <w:rsid w:val="60962352"/>
    <w:rsid w:val="60986D62"/>
    <w:rsid w:val="609C6ED7"/>
    <w:rsid w:val="60B26D91"/>
    <w:rsid w:val="60CC294E"/>
    <w:rsid w:val="60DB3905"/>
    <w:rsid w:val="60E1154E"/>
    <w:rsid w:val="60F30371"/>
    <w:rsid w:val="60F56625"/>
    <w:rsid w:val="61132FC8"/>
    <w:rsid w:val="611A0188"/>
    <w:rsid w:val="611A38A2"/>
    <w:rsid w:val="612055EB"/>
    <w:rsid w:val="61227B04"/>
    <w:rsid w:val="612B58D3"/>
    <w:rsid w:val="614C54A4"/>
    <w:rsid w:val="61741F31"/>
    <w:rsid w:val="61765F35"/>
    <w:rsid w:val="61860FD4"/>
    <w:rsid w:val="618B5A4F"/>
    <w:rsid w:val="61972646"/>
    <w:rsid w:val="61B400CA"/>
    <w:rsid w:val="61B7687E"/>
    <w:rsid w:val="61C96577"/>
    <w:rsid w:val="61CC28F5"/>
    <w:rsid w:val="61D7726E"/>
    <w:rsid w:val="61D82A8C"/>
    <w:rsid w:val="61D94997"/>
    <w:rsid w:val="61E75569"/>
    <w:rsid w:val="61F2558E"/>
    <w:rsid w:val="61FA0441"/>
    <w:rsid w:val="62044E8D"/>
    <w:rsid w:val="621157B7"/>
    <w:rsid w:val="62146DEE"/>
    <w:rsid w:val="621719D8"/>
    <w:rsid w:val="622E4C35"/>
    <w:rsid w:val="622F79DB"/>
    <w:rsid w:val="62324A02"/>
    <w:rsid w:val="623601AE"/>
    <w:rsid w:val="623D7BB4"/>
    <w:rsid w:val="62432E1B"/>
    <w:rsid w:val="62495AE7"/>
    <w:rsid w:val="62517B50"/>
    <w:rsid w:val="62544980"/>
    <w:rsid w:val="626902EE"/>
    <w:rsid w:val="626B7EB3"/>
    <w:rsid w:val="626E69AD"/>
    <w:rsid w:val="62745FF6"/>
    <w:rsid w:val="627C6232"/>
    <w:rsid w:val="629A285C"/>
    <w:rsid w:val="62A93AB0"/>
    <w:rsid w:val="62B01936"/>
    <w:rsid w:val="62B5766A"/>
    <w:rsid w:val="62B843A4"/>
    <w:rsid w:val="62BA0E7B"/>
    <w:rsid w:val="62BC0750"/>
    <w:rsid w:val="62BC3405"/>
    <w:rsid w:val="62C90E8C"/>
    <w:rsid w:val="62E23D94"/>
    <w:rsid w:val="62E304B4"/>
    <w:rsid w:val="62E3257A"/>
    <w:rsid w:val="62EA60F2"/>
    <w:rsid w:val="6301327A"/>
    <w:rsid w:val="6309021D"/>
    <w:rsid w:val="630E12F2"/>
    <w:rsid w:val="631012BD"/>
    <w:rsid w:val="63153CF5"/>
    <w:rsid w:val="631C498C"/>
    <w:rsid w:val="631D5F5E"/>
    <w:rsid w:val="633921F2"/>
    <w:rsid w:val="633C6283"/>
    <w:rsid w:val="633F2F95"/>
    <w:rsid w:val="63631084"/>
    <w:rsid w:val="63724963"/>
    <w:rsid w:val="63807109"/>
    <w:rsid w:val="63863A60"/>
    <w:rsid w:val="63965320"/>
    <w:rsid w:val="639810E1"/>
    <w:rsid w:val="63BB1A8A"/>
    <w:rsid w:val="63CB2A7A"/>
    <w:rsid w:val="63E228BA"/>
    <w:rsid w:val="63E57192"/>
    <w:rsid w:val="63E82F88"/>
    <w:rsid w:val="63F37C1F"/>
    <w:rsid w:val="63F8439A"/>
    <w:rsid w:val="63F9210E"/>
    <w:rsid w:val="64004515"/>
    <w:rsid w:val="64093834"/>
    <w:rsid w:val="640A079D"/>
    <w:rsid w:val="640B7A6F"/>
    <w:rsid w:val="64151C78"/>
    <w:rsid w:val="641B2735"/>
    <w:rsid w:val="6420693D"/>
    <w:rsid w:val="64345C24"/>
    <w:rsid w:val="643B49D3"/>
    <w:rsid w:val="643E5399"/>
    <w:rsid w:val="644A3F96"/>
    <w:rsid w:val="64552A83"/>
    <w:rsid w:val="645818C3"/>
    <w:rsid w:val="645B2050"/>
    <w:rsid w:val="645F5E2C"/>
    <w:rsid w:val="646A1CEA"/>
    <w:rsid w:val="64761B1B"/>
    <w:rsid w:val="64842C7C"/>
    <w:rsid w:val="64917BEB"/>
    <w:rsid w:val="64926C41"/>
    <w:rsid w:val="64B72937"/>
    <w:rsid w:val="64C244A4"/>
    <w:rsid w:val="64C74A8D"/>
    <w:rsid w:val="64CC5017"/>
    <w:rsid w:val="64CE185D"/>
    <w:rsid w:val="64D802CB"/>
    <w:rsid w:val="64D874B6"/>
    <w:rsid w:val="64DA1CB3"/>
    <w:rsid w:val="64E26518"/>
    <w:rsid w:val="64E36A48"/>
    <w:rsid w:val="64EF1873"/>
    <w:rsid w:val="64F70ECB"/>
    <w:rsid w:val="64FB11FC"/>
    <w:rsid w:val="64FC347B"/>
    <w:rsid w:val="650B0595"/>
    <w:rsid w:val="6510796B"/>
    <w:rsid w:val="6516624C"/>
    <w:rsid w:val="65181B50"/>
    <w:rsid w:val="651E1D20"/>
    <w:rsid w:val="653B0B97"/>
    <w:rsid w:val="654B0334"/>
    <w:rsid w:val="656071F2"/>
    <w:rsid w:val="658323D1"/>
    <w:rsid w:val="65850A0A"/>
    <w:rsid w:val="65997E39"/>
    <w:rsid w:val="65AA1D01"/>
    <w:rsid w:val="65B06BFF"/>
    <w:rsid w:val="65B91899"/>
    <w:rsid w:val="65BC2721"/>
    <w:rsid w:val="65C5053F"/>
    <w:rsid w:val="65C85E94"/>
    <w:rsid w:val="65E4222C"/>
    <w:rsid w:val="65EC755F"/>
    <w:rsid w:val="66086A7B"/>
    <w:rsid w:val="66106389"/>
    <w:rsid w:val="66410123"/>
    <w:rsid w:val="664A4BEB"/>
    <w:rsid w:val="66677C4F"/>
    <w:rsid w:val="6668116C"/>
    <w:rsid w:val="66684C2A"/>
    <w:rsid w:val="666C3A00"/>
    <w:rsid w:val="666D3AFB"/>
    <w:rsid w:val="667F07FE"/>
    <w:rsid w:val="668006D9"/>
    <w:rsid w:val="669C24AC"/>
    <w:rsid w:val="66A2332B"/>
    <w:rsid w:val="66BB41BA"/>
    <w:rsid w:val="66D202F0"/>
    <w:rsid w:val="66D30817"/>
    <w:rsid w:val="66FA0915"/>
    <w:rsid w:val="66FF47D8"/>
    <w:rsid w:val="671E1113"/>
    <w:rsid w:val="67211486"/>
    <w:rsid w:val="6733774D"/>
    <w:rsid w:val="673C2122"/>
    <w:rsid w:val="6742092B"/>
    <w:rsid w:val="67426DD9"/>
    <w:rsid w:val="674460CA"/>
    <w:rsid w:val="674D1FC9"/>
    <w:rsid w:val="6754312C"/>
    <w:rsid w:val="675B75B4"/>
    <w:rsid w:val="67655C93"/>
    <w:rsid w:val="67812C73"/>
    <w:rsid w:val="67B1722C"/>
    <w:rsid w:val="67BD6B7E"/>
    <w:rsid w:val="67CC4B3A"/>
    <w:rsid w:val="67EA24FF"/>
    <w:rsid w:val="68073E3D"/>
    <w:rsid w:val="680741D5"/>
    <w:rsid w:val="68095D25"/>
    <w:rsid w:val="680D27A1"/>
    <w:rsid w:val="681A3FD0"/>
    <w:rsid w:val="68483E35"/>
    <w:rsid w:val="684F3E2D"/>
    <w:rsid w:val="685107F3"/>
    <w:rsid w:val="685667BD"/>
    <w:rsid w:val="687B5A73"/>
    <w:rsid w:val="68B04EEF"/>
    <w:rsid w:val="68B81713"/>
    <w:rsid w:val="68C311BE"/>
    <w:rsid w:val="68C412FF"/>
    <w:rsid w:val="68C606B6"/>
    <w:rsid w:val="68DF2DBE"/>
    <w:rsid w:val="68F80F00"/>
    <w:rsid w:val="6900107F"/>
    <w:rsid w:val="6904469B"/>
    <w:rsid w:val="69076D39"/>
    <w:rsid w:val="69117908"/>
    <w:rsid w:val="69151A6A"/>
    <w:rsid w:val="69243D13"/>
    <w:rsid w:val="69271B65"/>
    <w:rsid w:val="692E5437"/>
    <w:rsid w:val="69396D4E"/>
    <w:rsid w:val="69436D67"/>
    <w:rsid w:val="695C43BD"/>
    <w:rsid w:val="69665273"/>
    <w:rsid w:val="697309BD"/>
    <w:rsid w:val="69796799"/>
    <w:rsid w:val="69876FBD"/>
    <w:rsid w:val="69937445"/>
    <w:rsid w:val="699448B3"/>
    <w:rsid w:val="69AC1AC9"/>
    <w:rsid w:val="69BC1100"/>
    <w:rsid w:val="69BC3460"/>
    <w:rsid w:val="69BE3E7E"/>
    <w:rsid w:val="69CF36A5"/>
    <w:rsid w:val="69DD2F28"/>
    <w:rsid w:val="69DE7EEA"/>
    <w:rsid w:val="69EE07C7"/>
    <w:rsid w:val="69FB3DEF"/>
    <w:rsid w:val="69FC0C77"/>
    <w:rsid w:val="6A003E74"/>
    <w:rsid w:val="6A124E4C"/>
    <w:rsid w:val="6A220331"/>
    <w:rsid w:val="6A2B0508"/>
    <w:rsid w:val="6A3A2708"/>
    <w:rsid w:val="6A400A4A"/>
    <w:rsid w:val="6A445335"/>
    <w:rsid w:val="6A573F53"/>
    <w:rsid w:val="6A5C1F46"/>
    <w:rsid w:val="6A5F6E93"/>
    <w:rsid w:val="6A6322D5"/>
    <w:rsid w:val="6A6A6555"/>
    <w:rsid w:val="6A8C7562"/>
    <w:rsid w:val="6A8D4F78"/>
    <w:rsid w:val="6A96637D"/>
    <w:rsid w:val="6A9A20F3"/>
    <w:rsid w:val="6A9B5996"/>
    <w:rsid w:val="6AA25CF7"/>
    <w:rsid w:val="6AA3734A"/>
    <w:rsid w:val="6AA563A1"/>
    <w:rsid w:val="6AB80C11"/>
    <w:rsid w:val="6AC557A8"/>
    <w:rsid w:val="6AD82A0D"/>
    <w:rsid w:val="6AE8677A"/>
    <w:rsid w:val="6AEB769E"/>
    <w:rsid w:val="6AEE56D3"/>
    <w:rsid w:val="6AFC5ABE"/>
    <w:rsid w:val="6AFE35A3"/>
    <w:rsid w:val="6B07426E"/>
    <w:rsid w:val="6B0D15D1"/>
    <w:rsid w:val="6B1363C8"/>
    <w:rsid w:val="6B136CE2"/>
    <w:rsid w:val="6B1619BB"/>
    <w:rsid w:val="6B3F3CA6"/>
    <w:rsid w:val="6B436382"/>
    <w:rsid w:val="6B4B7C3F"/>
    <w:rsid w:val="6B5314E1"/>
    <w:rsid w:val="6B55532B"/>
    <w:rsid w:val="6B5F6815"/>
    <w:rsid w:val="6B6828C1"/>
    <w:rsid w:val="6B7537CF"/>
    <w:rsid w:val="6B80719E"/>
    <w:rsid w:val="6B8375C7"/>
    <w:rsid w:val="6B8626DB"/>
    <w:rsid w:val="6B8653E9"/>
    <w:rsid w:val="6B8C0D41"/>
    <w:rsid w:val="6BA5472F"/>
    <w:rsid w:val="6BAA519C"/>
    <w:rsid w:val="6BBA5E2E"/>
    <w:rsid w:val="6BBB4843"/>
    <w:rsid w:val="6BBC4350"/>
    <w:rsid w:val="6BE45F3D"/>
    <w:rsid w:val="6BF326EB"/>
    <w:rsid w:val="6C215B65"/>
    <w:rsid w:val="6C2801D8"/>
    <w:rsid w:val="6C2A78DA"/>
    <w:rsid w:val="6C3665F6"/>
    <w:rsid w:val="6C3C4443"/>
    <w:rsid w:val="6C4A7BCE"/>
    <w:rsid w:val="6C6C18A6"/>
    <w:rsid w:val="6C714B61"/>
    <w:rsid w:val="6C835D8A"/>
    <w:rsid w:val="6C94745F"/>
    <w:rsid w:val="6CAA3889"/>
    <w:rsid w:val="6CAC7144"/>
    <w:rsid w:val="6CB45AB8"/>
    <w:rsid w:val="6CB72EC5"/>
    <w:rsid w:val="6CC15468"/>
    <w:rsid w:val="6CCD425C"/>
    <w:rsid w:val="6CD26C28"/>
    <w:rsid w:val="6CD92F16"/>
    <w:rsid w:val="6CE541E6"/>
    <w:rsid w:val="6CE953DF"/>
    <w:rsid w:val="6CEA12EC"/>
    <w:rsid w:val="6D022F99"/>
    <w:rsid w:val="6D0A20C6"/>
    <w:rsid w:val="6D0B790F"/>
    <w:rsid w:val="6D361187"/>
    <w:rsid w:val="6D37138F"/>
    <w:rsid w:val="6D3A1463"/>
    <w:rsid w:val="6D3E2D3B"/>
    <w:rsid w:val="6D520C22"/>
    <w:rsid w:val="6D542761"/>
    <w:rsid w:val="6D5774E3"/>
    <w:rsid w:val="6D6171DE"/>
    <w:rsid w:val="6D6F091A"/>
    <w:rsid w:val="6D6F2D26"/>
    <w:rsid w:val="6D700B00"/>
    <w:rsid w:val="6D767F33"/>
    <w:rsid w:val="6D7B72BF"/>
    <w:rsid w:val="6D7C6FDD"/>
    <w:rsid w:val="6D7D5014"/>
    <w:rsid w:val="6D896416"/>
    <w:rsid w:val="6D9434F9"/>
    <w:rsid w:val="6D97139A"/>
    <w:rsid w:val="6DAB320E"/>
    <w:rsid w:val="6DAB6449"/>
    <w:rsid w:val="6DAD7656"/>
    <w:rsid w:val="6DB0354B"/>
    <w:rsid w:val="6DB66ADB"/>
    <w:rsid w:val="6DC20925"/>
    <w:rsid w:val="6DC24343"/>
    <w:rsid w:val="6DC9002B"/>
    <w:rsid w:val="6DCA046D"/>
    <w:rsid w:val="6DCC2B29"/>
    <w:rsid w:val="6DD529D8"/>
    <w:rsid w:val="6DE52316"/>
    <w:rsid w:val="6DFD6B8D"/>
    <w:rsid w:val="6E1C3134"/>
    <w:rsid w:val="6E225129"/>
    <w:rsid w:val="6E47503B"/>
    <w:rsid w:val="6E4F22C7"/>
    <w:rsid w:val="6E5C1950"/>
    <w:rsid w:val="6E654B79"/>
    <w:rsid w:val="6E766624"/>
    <w:rsid w:val="6E790F53"/>
    <w:rsid w:val="6E7C5EFD"/>
    <w:rsid w:val="6E914DB4"/>
    <w:rsid w:val="6E9523BE"/>
    <w:rsid w:val="6EA12A16"/>
    <w:rsid w:val="6EA74226"/>
    <w:rsid w:val="6EC57BC5"/>
    <w:rsid w:val="6ECD3B4B"/>
    <w:rsid w:val="6ECF1CEC"/>
    <w:rsid w:val="6ED22F0F"/>
    <w:rsid w:val="6EDA0016"/>
    <w:rsid w:val="6EE573EC"/>
    <w:rsid w:val="6EE844E0"/>
    <w:rsid w:val="6EE94C0E"/>
    <w:rsid w:val="6F10140F"/>
    <w:rsid w:val="6F10403A"/>
    <w:rsid w:val="6F1857AF"/>
    <w:rsid w:val="6F1A1181"/>
    <w:rsid w:val="6F1F39F4"/>
    <w:rsid w:val="6F2D6E23"/>
    <w:rsid w:val="6F2E0506"/>
    <w:rsid w:val="6F476778"/>
    <w:rsid w:val="6F4B0F13"/>
    <w:rsid w:val="6F741509"/>
    <w:rsid w:val="6F8E4769"/>
    <w:rsid w:val="6F8F3BBB"/>
    <w:rsid w:val="6F9E6CB2"/>
    <w:rsid w:val="6FA60544"/>
    <w:rsid w:val="6FA905B5"/>
    <w:rsid w:val="6FAE1AF7"/>
    <w:rsid w:val="6FCD5F62"/>
    <w:rsid w:val="6FE25F66"/>
    <w:rsid w:val="6FE61043"/>
    <w:rsid w:val="6FE87A9C"/>
    <w:rsid w:val="6FF8439C"/>
    <w:rsid w:val="700076B0"/>
    <w:rsid w:val="70052E70"/>
    <w:rsid w:val="7015358D"/>
    <w:rsid w:val="70274EB5"/>
    <w:rsid w:val="702754DC"/>
    <w:rsid w:val="702E0625"/>
    <w:rsid w:val="704E7ADB"/>
    <w:rsid w:val="704F5C1D"/>
    <w:rsid w:val="705B3A17"/>
    <w:rsid w:val="705D00FB"/>
    <w:rsid w:val="705F4DAC"/>
    <w:rsid w:val="705F7408"/>
    <w:rsid w:val="7068141E"/>
    <w:rsid w:val="70683EEC"/>
    <w:rsid w:val="706A53E7"/>
    <w:rsid w:val="706C1499"/>
    <w:rsid w:val="707A1AB0"/>
    <w:rsid w:val="707C3B5A"/>
    <w:rsid w:val="70834E24"/>
    <w:rsid w:val="70BC0BB2"/>
    <w:rsid w:val="70C741CA"/>
    <w:rsid w:val="70C930A8"/>
    <w:rsid w:val="70ED3FFC"/>
    <w:rsid w:val="71052D0B"/>
    <w:rsid w:val="711C059B"/>
    <w:rsid w:val="711E692F"/>
    <w:rsid w:val="712456C9"/>
    <w:rsid w:val="712A578C"/>
    <w:rsid w:val="71305B81"/>
    <w:rsid w:val="714D7D47"/>
    <w:rsid w:val="7150636D"/>
    <w:rsid w:val="71576498"/>
    <w:rsid w:val="715861FC"/>
    <w:rsid w:val="71691B5E"/>
    <w:rsid w:val="716E6729"/>
    <w:rsid w:val="717A5542"/>
    <w:rsid w:val="71860479"/>
    <w:rsid w:val="718B796A"/>
    <w:rsid w:val="719E2223"/>
    <w:rsid w:val="719E5BEC"/>
    <w:rsid w:val="71A1198F"/>
    <w:rsid w:val="71A413E8"/>
    <w:rsid w:val="71A60F81"/>
    <w:rsid w:val="71A7700A"/>
    <w:rsid w:val="71B71BF9"/>
    <w:rsid w:val="71B85F79"/>
    <w:rsid w:val="71C72C21"/>
    <w:rsid w:val="71C76D93"/>
    <w:rsid w:val="71C969FD"/>
    <w:rsid w:val="71DA265A"/>
    <w:rsid w:val="71EF03DC"/>
    <w:rsid w:val="71FC64C8"/>
    <w:rsid w:val="72064315"/>
    <w:rsid w:val="7209659F"/>
    <w:rsid w:val="721119BA"/>
    <w:rsid w:val="72224BF5"/>
    <w:rsid w:val="722831A1"/>
    <w:rsid w:val="722D1D02"/>
    <w:rsid w:val="722E4246"/>
    <w:rsid w:val="72330F17"/>
    <w:rsid w:val="723A4089"/>
    <w:rsid w:val="724458E4"/>
    <w:rsid w:val="72446832"/>
    <w:rsid w:val="7246538B"/>
    <w:rsid w:val="726D7A4D"/>
    <w:rsid w:val="726F0CC4"/>
    <w:rsid w:val="7285611B"/>
    <w:rsid w:val="72900805"/>
    <w:rsid w:val="72983DDB"/>
    <w:rsid w:val="72AD24A9"/>
    <w:rsid w:val="72C17C03"/>
    <w:rsid w:val="72C64D58"/>
    <w:rsid w:val="72D91810"/>
    <w:rsid w:val="72DA4A88"/>
    <w:rsid w:val="72DB610A"/>
    <w:rsid w:val="72EE56F8"/>
    <w:rsid w:val="72F10C27"/>
    <w:rsid w:val="731F2CD8"/>
    <w:rsid w:val="73200C10"/>
    <w:rsid w:val="732702D6"/>
    <w:rsid w:val="73370D9E"/>
    <w:rsid w:val="73456BEF"/>
    <w:rsid w:val="734E2139"/>
    <w:rsid w:val="73645045"/>
    <w:rsid w:val="737C5B3F"/>
    <w:rsid w:val="7380716F"/>
    <w:rsid w:val="73853787"/>
    <w:rsid w:val="73867A4F"/>
    <w:rsid w:val="739A1F95"/>
    <w:rsid w:val="739C5109"/>
    <w:rsid w:val="73AE1E80"/>
    <w:rsid w:val="73CB1AEB"/>
    <w:rsid w:val="73D05DF9"/>
    <w:rsid w:val="73D24787"/>
    <w:rsid w:val="73EC7141"/>
    <w:rsid w:val="73F27E1E"/>
    <w:rsid w:val="74055B5A"/>
    <w:rsid w:val="740A6CA7"/>
    <w:rsid w:val="740E06C2"/>
    <w:rsid w:val="74141560"/>
    <w:rsid w:val="741A0B46"/>
    <w:rsid w:val="741B2C62"/>
    <w:rsid w:val="74237FDE"/>
    <w:rsid w:val="742B441F"/>
    <w:rsid w:val="743A72ED"/>
    <w:rsid w:val="745325C0"/>
    <w:rsid w:val="749034E5"/>
    <w:rsid w:val="749D0F41"/>
    <w:rsid w:val="74B64290"/>
    <w:rsid w:val="74C15259"/>
    <w:rsid w:val="74E13B03"/>
    <w:rsid w:val="74EA0887"/>
    <w:rsid w:val="74EA10C8"/>
    <w:rsid w:val="74F17700"/>
    <w:rsid w:val="74F30861"/>
    <w:rsid w:val="75076AF3"/>
    <w:rsid w:val="750D1EDE"/>
    <w:rsid w:val="751333ED"/>
    <w:rsid w:val="75134376"/>
    <w:rsid w:val="751E346C"/>
    <w:rsid w:val="751E7EAC"/>
    <w:rsid w:val="752E20F6"/>
    <w:rsid w:val="75344145"/>
    <w:rsid w:val="753E7519"/>
    <w:rsid w:val="7548217D"/>
    <w:rsid w:val="755A29DD"/>
    <w:rsid w:val="755F3B1A"/>
    <w:rsid w:val="7574283A"/>
    <w:rsid w:val="757647B2"/>
    <w:rsid w:val="75850184"/>
    <w:rsid w:val="758727C9"/>
    <w:rsid w:val="7588599A"/>
    <w:rsid w:val="75894B04"/>
    <w:rsid w:val="758A5A4F"/>
    <w:rsid w:val="759B3F65"/>
    <w:rsid w:val="759E703A"/>
    <w:rsid w:val="75A61E54"/>
    <w:rsid w:val="75B55DC9"/>
    <w:rsid w:val="75B73335"/>
    <w:rsid w:val="75BF0FB7"/>
    <w:rsid w:val="75C07E22"/>
    <w:rsid w:val="75C47C07"/>
    <w:rsid w:val="75D147EA"/>
    <w:rsid w:val="75E9738D"/>
    <w:rsid w:val="75FD695E"/>
    <w:rsid w:val="75FE45B6"/>
    <w:rsid w:val="760017AF"/>
    <w:rsid w:val="760851A3"/>
    <w:rsid w:val="76091D0E"/>
    <w:rsid w:val="760D3775"/>
    <w:rsid w:val="76176FE0"/>
    <w:rsid w:val="76275CA3"/>
    <w:rsid w:val="763252F8"/>
    <w:rsid w:val="763B583E"/>
    <w:rsid w:val="765B039C"/>
    <w:rsid w:val="766566AA"/>
    <w:rsid w:val="766C1FEC"/>
    <w:rsid w:val="766C5ECF"/>
    <w:rsid w:val="76810097"/>
    <w:rsid w:val="76872F8C"/>
    <w:rsid w:val="768F558C"/>
    <w:rsid w:val="76956C7F"/>
    <w:rsid w:val="76B524DA"/>
    <w:rsid w:val="76B7655A"/>
    <w:rsid w:val="76B964E9"/>
    <w:rsid w:val="76C167A7"/>
    <w:rsid w:val="76C50B93"/>
    <w:rsid w:val="76C6717D"/>
    <w:rsid w:val="76C80900"/>
    <w:rsid w:val="76CA4E14"/>
    <w:rsid w:val="76CA60F5"/>
    <w:rsid w:val="76D24AAA"/>
    <w:rsid w:val="76DB3D11"/>
    <w:rsid w:val="76E47A21"/>
    <w:rsid w:val="76E60BB0"/>
    <w:rsid w:val="76EC01D5"/>
    <w:rsid w:val="76EF26DE"/>
    <w:rsid w:val="76EF38BC"/>
    <w:rsid w:val="76EF422D"/>
    <w:rsid w:val="76F27B4B"/>
    <w:rsid w:val="76FC2398"/>
    <w:rsid w:val="76FD6302"/>
    <w:rsid w:val="77023972"/>
    <w:rsid w:val="7708656B"/>
    <w:rsid w:val="770906E0"/>
    <w:rsid w:val="77116608"/>
    <w:rsid w:val="77293556"/>
    <w:rsid w:val="772A0639"/>
    <w:rsid w:val="772E72D2"/>
    <w:rsid w:val="773043BA"/>
    <w:rsid w:val="774D0068"/>
    <w:rsid w:val="774D3F80"/>
    <w:rsid w:val="77611433"/>
    <w:rsid w:val="77661424"/>
    <w:rsid w:val="776A3357"/>
    <w:rsid w:val="7776438D"/>
    <w:rsid w:val="77893F78"/>
    <w:rsid w:val="779416A9"/>
    <w:rsid w:val="77A1153E"/>
    <w:rsid w:val="77A93190"/>
    <w:rsid w:val="77AD4519"/>
    <w:rsid w:val="77BF01A8"/>
    <w:rsid w:val="77C778F2"/>
    <w:rsid w:val="77D04DBE"/>
    <w:rsid w:val="77D47CCE"/>
    <w:rsid w:val="77DB2BBB"/>
    <w:rsid w:val="77DF1386"/>
    <w:rsid w:val="77E20585"/>
    <w:rsid w:val="77E81F36"/>
    <w:rsid w:val="77ED4299"/>
    <w:rsid w:val="78034139"/>
    <w:rsid w:val="780359FE"/>
    <w:rsid w:val="780E1684"/>
    <w:rsid w:val="780E7EBC"/>
    <w:rsid w:val="7824525F"/>
    <w:rsid w:val="78264AD5"/>
    <w:rsid w:val="783C3CDB"/>
    <w:rsid w:val="783D7431"/>
    <w:rsid w:val="78427F90"/>
    <w:rsid w:val="78441006"/>
    <w:rsid w:val="7847398F"/>
    <w:rsid w:val="78504F63"/>
    <w:rsid w:val="785716C2"/>
    <w:rsid w:val="785726D7"/>
    <w:rsid w:val="785F0DCD"/>
    <w:rsid w:val="78767B3E"/>
    <w:rsid w:val="78887BCA"/>
    <w:rsid w:val="78930EF8"/>
    <w:rsid w:val="789A2B25"/>
    <w:rsid w:val="789A4D03"/>
    <w:rsid w:val="789E0306"/>
    <w:rsid w:val="78A4592F"/>
    <w:rsid w:val="78C00F71"/>
    <w:rsid w:val="78D814CF"/>
    <w:rsid w:val="78D92E3A"/>
    <w:rsid w:val="78DB4C45"/>
    <w:rsid w:val="78DF5548"/>
    <w:rsid w:val="78E46676"/>
    <w:rsid w:val="78E75809"/>
    <w:rsid w:val="78EA623D"/>
    <w:rsid w:val="78F80E61"/>
    <w:rsid w:val="79053481"/>
    <w:rsid w:val="7908393B"/>
    <w:rsid w:val="791E2149"/>
    <w:rsid w:val="792017D4"/>
    <w:rsid w:val="793C28C2"/>
    <w:rsid w:val="794211BC"/>
    <w:rsid w:val="794309B4"/>
    <w:rsid w:val="794B23E5"/>
    <w:rsid w:val="794C428B"/>
    <w:rsid w:val="7950018C"/>
    <w:rsid w:val="795036FE"/>
    <w:rsid w:val="7957359E"/>
    <w:rsid w:val="795A7184"/>
    <w:rsid w:val="79673FB9"/>
    <w:rsid w:val="796F4D31"/>
    <w:rsid w:val="797D5996"/>
    <w:rsid w:val="799D32EE"/>
    <w:rsid w:val="79BE00EA"/>
    <w:rsid w:val="79C268CC"/>
    <w:rsid w:val="79C540DA"/>
    <w:rsid w:val="7A1025B9"/>
    <w:rsid w:val="7A2869D3"/>
    <w:rsid w:val="7A550ECC"/>
    <w:rsid w:val="7A5769BE"/>
    <w:rsid w:val="7A60132A"/>
    <w:rsid w:val="7A6443E5"/>
    <w:rsid w:val="7A874641"/>
    <w:rsid w:val="7A9A5517"/>
    <w:rsid w:val="7A9F4645"/>
    <w:rsid w:val="7AAD0830"/>
    <w:rsid w:val="7ABB206A"/>
    <w:rsid w:val="7ABB2379"/>
    <w:rsid w:val="7AC049DF"/>
    <w:rsid w:val="7AC23924"/>
    <w:rsid w:val="7ACB0136"/>
    <w:rsid w:val="7AD66E3C"/>
    <w:rsid w:val="7AEE7364"/>
    <w:rsid w:val="7AF677C1"/>
    <w:rsid w:val="7B045EAC"/>
    <w:rsid w:val="7B047406"/>
    <w:rsid w:val="7B082AA6"/>
    <w:rsid w:val="7B396AA0"/>
    <w:rsid w:val="7B52466B"/>
    <w:rsid w:val="7B5F5667"/>
    <w:rsid w:val="7B73126E"/>
    <w:rsid w:val="7B8B6F59"/>
    <w:rsid w:val="7B97328E"/>
    <w:rsid w:val="7BA50105"/>
    <w:rsid w:val="7BA746D8"/>
    <w:rsid w:val="7BB76E2C"/>
    <w:rsid w:val="7BD47434"/>
    <w:rsid w:val="7BE40478"/>
    <w:rsid w:val="7BEA2E5D"/>
    <w:rsid w:val="7BF73B02"/>
    <w:rsid w:val="7BFB1FEE"/>
    <w:rsid w:val="7C1B2423"/>
    <w:rsid w:val="7C2700CB"/>
    <w:rsid w:val="7C2B4D0B"/>
    <w:rsid w:val="7C381B9D"/>
    <w:rsid w:val="7C3E7DD8"/>
    <w:rsid w:val="7C7117E2"/>
    <w:rsid w:val="7C934648"/>
    <w:rsid w:val="7C9F5951"/>
    <w:rsid w:val="7CB36614"/>
    <w:rsid w:val="7CC219CE"/>
    <w:rsid w:val="7CC55531"/>
    <w:rsid w:val="7CCC2606"/>
    <w:rsid w:val="7CE100C8"/>
    <w:rsid w:val="7D0114D9"/>
    <w:rsid w:val="7D063A54"/>
    <w:rsid w:val="7D0E7D7F"/>
    <w:rsid w:val="7D140895"/>
    <w:rsid w:val="7D197D7A"/>
    <w:rsid w:val="7D227AD7"/>
    <w:rsid w:val="7D2815EE"/>
    <w:rsid w:val="7D2871B6"/>
    <w:rsid w:val="7D360D62"/>
    <w:rsid w:val="7D3C23E7"/>
    <w:rsid w:val="7D4153BE"/>
    <w:rsid w:val="7D441E80"/>
    <w:rsid w:val="7D52574B"/>
    <w:rsid w:val="7D5E1E12"/>
    <w:rsid w:val="7D6B183A"/>
    <w:rsid w:val="7D775D70"/>
    <w:rsid w:val="7D8A2C07"/>
    <w:rsid w:val="7D8E6E00"/>
    <w:rsid w:val="7D912CC9"/>
    <w:rsid w:val="7D975672"/>
    <w:rsid w:val="7D9C7CA2"/>
    <w:rsid w:val="7DA0322D"/>
    <w:rsid w:val="7DA328F3"/>
    <w:rsid w:val="7DA4016C"/>
    <w:rsid w:val="7DC40532"/>
    <w:rsid w:val="7DCC559E"/>
    <w:rsid w:val="7DDF2F52"/>
    <w:rsid w:val="7E0E6F55"/>
    <w:rsid w:val="7E1150D6"/>
    <w:rsid w:val="7E222E2F"/>
    <w:rsid w:val="7E2D63B4"/>
    <w:rsid w:val="7E306245"/>
    <w:rsid w:val="7E372D8F"/>
    <w:rsid w:val="7E4F1854"/>
    <w:rsid w:val="7E52141E"/>
    <w:rsid w:val="7E53749D"/>
    <w:rsid w:val="7E69522B"/>
    <w:rsid w:val="7E8F3158"/>
    <w:rsid w:val="7E970A80"/>
    <w:rsid w:val="7EA321D2"/>
    <w:rsid w:val="7EA555BD"/>
    <w:rsid w:val="7ECF2FC7"/>
    <w:rsid w:val="7ED36A50"/>
    <w:rsid w:val="7EE24CC2"/>
    <w:rsid w:val="7F074E08"/>
    <w:rsid w:val="7F075EE5"/>
    <w:rsid w:val="7F092BDE"/>
    <w:rsid w:val="7F0B6F36"/>
    <w:rsid w:val="7F1E001A"/>
    <w:rsid w:val="7F3507A9"/>
    <w:rsid w:val="7F3C29DA"/>
    <w:rsid w:val="7F3E5A70"/>
    <w:rsid w:val="7F410AE8"/>
    <w:rsid w:val="7F4F2D8F"/>
    <w:rsid w:val="7F5B2AAD"/>
    <w:rsid w:val="7F5C6C6C"/>
    <w:rsid w:val="7F604641"/>
    <w:rsid w:val="7F656DBD"/>
    <w:rsid w:val="7F821D15"/>
    <w:rsid w:val="7F99283D"/>
    <w:rsid w:val="7F9B7E95"/>
    <w:rsid w:val="7FA91A6A"/>
    <w:rsid w:val="7FB76406"/>
    <w:rsid w:val="7FC41E94"/>
    <w:rsid w:val="7FC543E4"/>
    <w:rsid w:val="7FCF61D5"/>
    <w:rsid w:val="7FD026CC"/>
    <w:rsid w:val="7FDD6D64"/>
    <w:rsid w:val="7FF904DE"/>
    <w:rsid w:val="7FFE2A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qFormat="1" w:uiPriority="39"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qFormat="1"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0"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宋体" w:cs="Times New Roman"/>
      <w:sz w:val="21"/>
      <w:lang w:val="en-US" w:eastAsia="zh-CN" w:bidi="ar-SA"/>
    </w:rPr>
  </w:style>
  <w:style w:type="paragraph" w:styleId="4">
    <w:name w:val="heading 1"/>
    <w:basedOn w:val="1"/>
    <w:next w:val="1"/>
    <w:link w:val="47"/>
    <w:qFormat/>
    <w:uiPriority w:val="0"/>
    <w:pPr>
      <w:keepNext/>
      <w:keepLines/>
      <w:widowControl w:val="0"/>
      <w:tabs>
        <w:tab w:val="left" w:pos="840"/>
      </w:tabs>
      <w:adjustRightInd w:val="0"/>
      <w:snapToGrid w:val="0"/>
      <w:spacing w:before="100" w:beforeLines="100" w:after="100" w:afterLines="100" w:line="360" w:lineRule="auto"/>
      <w:jc w:val="center"/>
      <w:outlineLvl w:val="0"/>
    </w:pPr>
    <w:rPr>
      <w:rFonts w:ascii="宋体" w:hAnsi="宋体"/>
      <w:b/>
      <w:kern w:val="44"/>
      <w:sz w:val="36"/>
    </w:rPr>
  </w:style>
  <w:style w:type="paragraph" w:styleId="5">
    <w:name w:val="heading 2"/>
    <w:basedOn w:val="1"/>
    <w:next w:val="1"/>
    <w:link w:val="49"/>
    <w:qFormat/>
    <w:uiPriority w:val="0"/>
    <w:pPr>
      <w:keepNext/>
      <w:keepLines/>
      <w:spacing w:before="120" w:after="120" w:line="360" w:lineRule="auto"/>
      <w:outlineLvl w:val="1"/>
    </w:pPr>
    <w:rPr>
      <w:rFonts w:ascii="Cambria" w:hAnsi="Cambria" w:eastAsia="宋体"/>
      <w:b/>
      <w:bCs/>
      <w:sz w:val="24"/>
      <w:szCs w:val="32"/>
    </w:rPr>
  </w:style>
  <w:style w:type="paragraph" w:styleId="6">
    <w:name w:val="heading 3"/>
    <w:basedOn w:val="1"/>
    <w:next w:val="1"/>
    <w:link w:val="48"/>
    <w:qFormat/>
    <w:uiPriority w:val="0"/>
    <w:pPr>
      <w:keepNext/>
      <w:keepLines/>
      <w:spacing w:before="260" w:after="260" w:line="416" w:lineRule="auto"/>
      <w:outlineLvl w:val="2"/>
    </w:pPr>
    <w:rPr>
      <w:b/>
      <w:bCs/>
      <w:sz w:val="32"/>
      <w:szCs w:val="32"/>
    </w:rPr>
  </w:style>
  <w:style w:type="paragraph" w:styleId="7">
    <w:name w:val="heading 4"/>
    <w:basedOn w:val="1"/>
    <w:next w:val="1"/>
    <w:qFormat/>
    <w:uiPriority w:val="0"/>
    <w:pPr>
      <w:keepNext/>
      <w:keepLines/>
      <w:spacing w:before="280" w:after="290" w:line="372" w:lineRule="auto"/>
      <w:outlineLvl w:val="3"/>
    </w:pPr>
    <w:rPr>
      <w:rFonts w:ascii="Arial" w:hAnsi="Arial" w:eastAsia="黑体"/>
      <w:b/>
      <w:sz w:val="28"/>
    </w:rPr>
  </w:style>
  <w:style w:type="character" w:default="1" w:styleId="33">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customStyle="1" w:styleId="2">
    <w:name w:val="BodyText1I2"/>
    <w:basedOn w:val="3"/>
    <w:qFormat/>
    <w:uiPriority w:val="0"/>
    <w:pPr>
      <w:spacing w:after="120" w:line="240" w:lineRule="auto"/>
      <w:ind w:left="420" w:leftChars="200" w:firstLine="420"/>
    </w:pPr>
    <w:rPr>
      <w:rFonts w:ascii="Times New Roman" w:hAnsi="Times New Roman"/>
      <w:sz w:val="28"/>
    </w:rPr>
  </w:style>
  <w:style w:type="paragraph" w:customStyle="1" w:styleId="3">
    <w:name w:val="BodyTextIndent"/>
    <w:basedOn w:val="1"/>
    <w:qFormat/>
    <w:uiPriority w:val="0"/>
    <w:pPr>
      <w:spacing w:line="440" w:lineRule="atLeast"/>
      <w:ind w:firstLine="465" w:firstLineChars="200"/>
    </w:pPr>
    <w:rPr>
      <w:spacing w:val="12"/>
      <w:sz w:val="24"/>
      <w:szCs w:val="20"/>
    </w:rPr>
  </w:style>
  <w:style w:type="paragraph" w:styleId="8">
    <w:name w:val="List 3"/>
    <w:basedOn w:val="1"/>
    <w:qFormat/>
    <w:uiPriority w:val="0"/>
    <w:pPr>
      <w:widowControl w:val="0"/>
      <w:ind w:left="100" w:leftChars="400" w:hanging="200" w:hangingChars="200"/>
      <w:jc w:val="both"/>
    </w:pPr>
    <w:rPr>
      <w:kern w:val="2"/>
      <w:szCs w:val="24"/>
    </w:rPr>
  </w:style>
  <w:style w:type="paragraph" w:styleId="9">
    <w:name w:val="Normal Indent"/>
    <w:basedOn w:val="1"/>
    <w:next w:val="10"/>
    <w:link w:val="66"/>
    <w:qFormat/>
    <w:uiPriority w:val="0"/>
    <w:pPr>
      <w:ind w:firstLine="420"/>
    </w:pPr>
  </w:style>
  <w:style w:type="paragraph" w:styleId="10">
    <w:name w:val="Body Text Indent"/>
    <w:basedOn w:val="1"/>
    <w:qFormat/>
    <w:uiPriority w:val="0"/>
    <w:pPr>
      <w:spacing w:after="120"/>
      <w:ind w:left="420" w:leftChars="200"/>
    </w:pPr>
  </w:style>
  <w:style w:type="paragraph" w:styleId="11">
    <w:name w:val="Document Map"/>
    <w:basedOn w:val="1"/>
    <w:link w:val="55"/>
    <w:qFormat/>
    <w:uiPriority w:val="0"/>
    <w:rPr>
      <w:rFonts w:ascii="宋体"/>
      <w:sz w:val="18"/>
      <w:szCs w:val="18"/>
    </w:rPr>
  </w:style>
  <w:style w:type="paragraph" w:styleId="12">
    <w:name w:val="annotation text"/>
    <w:basedOn w:val="1"/>
    <w:link w:val="67"/>
    <w:qFormat/>
    <w:uiPriority w:val="0"/>
  </w:style>
  <w:style w:type="paragraph" w:styleId="13">
    <w:name w:val="Body Text"/>
    <w:basedOn w:val="1"/>
    <w:link w:val="65"/>
    <w:qFormat/>
    <w:uiPriority w:val="0"/>
    <w:pPr>
      <w:widowControl w:val="0"/>
      <w:spacing w:line="360" w:lineRule="auto"/>
      <w:jc w:val="both"/>
    </w:pPr>
    <w:rPr>
      <w:rFonts w:ascii="楷体_GB2312" w:eastAsia="楷体_GB2312"/>
      <w:kern w:val="2"/>
      <w:sz w:val="32"/>
    </w:rPr>
  </w:style>
  <w:style w:type="paragraph" w:styleId="14">
    <w:name w:val="toc 3"/>
    <w:basedOn w:val="1"/>
    <w:next w:val="1"/>
    <w:qFormat/>
    <w:uiPriority w:val="39"/>
    <w:pPr>
      <w:ind w:left="840" w:leftChars="400"/>
    </w:pPr>
  </w:style>
  <w:style w:type="paragraph" w:styleId="15">
    <w:name w:val="Plain Text"/>
    <w:basedOn w:val="1"/>
    <w:link w:val="61"/>
    <w:qFormat/>
    <w:uiPriority w:val="0"/>
    <w:pPr>
      <w:widowControl w:val="0"/>
      <w:jc w:val="both"/>
    </w:pPr>
    <w:rPr>
      <w:rFonts w:ascii="宋体" w:hAnsi="Courier New"/>
      <w:kern w:val="2"/>
    </w:rPr>
  </w:style>
  <w:style w:type="paragraph" w:styleId="16">
    <w:name w:val="Date"/>
    <w:basedOn w:val="1"/>
    <w:next w:val="1"/>
    <w:link w:val="60"/>
    <w:qFormat/>
    <w:uiPriority w:val="0"/>
    <w:pPr>
      <w:widowControl w:val="0"/>
      <w:jc w:val="both"/>
    </w:pPr>
    <w:rPr>
      <w:rFonts w:ascii="宋体"/>
      <w:sz w:val="24"/>
    </w:rPr>
  </w:style>
  <w:style w:type="paragraph" w:styleId="17">
    <w:name w:val="Balloon Text"/>
    <w:basedOn w:val="1"/>
    <w:link w:val="63"/>
    <w:qFormat/>
    <w:uiPriority w:val="0"/>
    <w:rPr>
      <w:sz w:val="18"/>
      <w:szCs w:val="18"/>
    </w:rPr>
  </w:style>
  <w:style w:type="paragraph" w:styleId="18">
    <w:name w:val="footer"/>
    <w:basedOn w:val="1"/>
    <w:link w:val="57"/>
    <w:qFormat/>
    <w:uiPriority w:val="99"/>
    <w:pPr>
      <w:tabs>
        <w:tab w:val="center" w:pos="4153"/>
        <w:tab w:val="right" w:pos="8306"/>
      </w:tabs>
      <w:snapToGrid w:val="0"/>
    </w:pPr>
    <w:rPr>
      <w:sz w:val="18"/>
    </w:rPr>
  </w:style>
  <w:style w:type="paragraph" w:styleId="19">
    <w:name w:val="header"/>
    <w:basedOn w:val="1"/>
    <w:link w:val="53"/>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qFormat/>
    <w:uiPriority w:val="39"/>
    <w:pPr>
      <w:tabs>
        <w:tab w:val="right" w:leader="middleDot" w:pos="8948"/>
      </w:tabs>
    </w:pPr>
    <w:rPr>
      <w:rFonts w:ascii="宋体" w:hAnsi="宋体"/>
      <w:b/>
      <w:bCs/>
      <w:caps/>
      <w:szCs w:val="21"/>
    </w:rPr>
  </w:style>
  <w:style w:type="paragraph" w:styleId="21">
    <w:name w:val="toc 6"/>
    <w:basedOn w:val="1"/>
    <w:next w:val="1"/>
    <w:unhideWhenUsed/>
    <w:qFormat/>
    <w:uiPriority w:val="39"/>
    <w:pPr>
      <w:ind w:left="1050"/>
      <w:jc w:val="left"/>
    </w:pPr>
    <w:rPr>
      <w:rFonts w:ascii="Times New Roman" w:hAnsi="Times New Roman" w:eastAsia="宋体" w:cs="Times New Roman"/>
      <w:sz w:val="18"/>
      <w:szCs w:val="18"/>
    </w:rPr>
  </w:style>
  <w:style w:type="paragraph" w:styleId="22">
    <w:name w:val="Body Text Indent 3"/>
    <w:basedOn w:val="1"/>
    <w:qFormat/>
    <w:uiPriority w:val="0"/>
    <w:pPr>
      <w:spacing w:after="120"/>
      <w:ind w:left="420" w:leftChars="200"/>
    </w:pPr>
    <w:rPr>
      <w:sz w:val="16"/>
      <w:szCs w:val="16"/>
    </w:rPr>
  </w:style>
  <w:style w:type="paragraph" w:styleId="23">
    <w:name w:val="table of figures"/>
    <w:basedOn w:val="1"/>
    <w:next w:val="1"/>
    <w:qFormat/>
    <w:uiPriority w:val="0"/>
    <w:pPr>
      <w:ind w:left="840" w:leftChars="200" w:hanging="420" w:hangingChars="200"/>
    </w:pPr>
  </w:style>
  <w:style w:type="paragraph" w:styleId="24">
    <w:name w:val="toc 2"/>
    <w:basedOn w:val="1"/>
    <w:next w:val="1"/>
    <w:qFormat/>
    <w:uiPriority w:val="39"/>
    <w:pPr>
      <w:tabs>
        <w:tab w:val="right" w:leader="middleDot" w:pos="8948"/>
      </w:tabs>
      <w:spacing w:before="60" w:after="60"/>
      <w:ind w:left="210"/>
    </w:pPr>
    <w:rPr>
      <w:smallCaps/>
    </w:rPr>
  </w:style>
  <w:style w:type="paragraph" w:styleId="25">
    <w:name w:val="Body Text 2"/>
    <w:basedOn w:val="1"/>
    <w:qFormat/>
    <w:uiPriority w:val="0"/>
    <w:pPr>
      <w:spacing w:after="120" w:line="480" w:lineRule="auto"/>
    </w:pPr>
  </w:style>
  <w:style w:type="paragraph" w:styleId="26">
    <w:name w:val="HTML Preformatted"/>
    <w:basedOn w:val="1"/>
    <w:link w:val="100"/>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hAnsi="宋体"/>
      <w:sz w:val="24"/>
    </w:rPr>
  </w:style>
  <w:style w:type="paragraph" w:styleId="27">
    <w:name w:val="Normal (Web)"/>
    <w:basedOn w:val="1"/>
    <w:qFormat/>
    <w:uiPriority w:val="0"/>
    <w:pPr>
      <w:spacing w:before="100" w:beforeAutospacing="1" w:after="100" w:afterAutospacing="1"/>
    </w:pPr>
    <w:rPr>
      <w:rFonts w:ascii="Arial Unicode MS" w:hAnsi="Arial Unicode MS" w:eastAsia="Times New Roman"/>
      <w:color w:val="000000"/>
      <w:sz w:val="24"/>
      <w:szCs w:val="24"/>
    </w:rPr>
  </w:style>
  <w:style w:type="paragraph" w:styleId="28">
    <w:name w:val="annotation subject"/>
    <w:basedOn w:val="12"/>
    <w:next w:val="12"/>
    <w:link w:val="54"/>
    <w:qFormat/>
    <w:uiPriority w:val="0"/>
    <w:rPr>
      <w:b/>
      <w:bCs/>
    </w:rPr>
  </w:style>
  <w:style w:type="paragraph" w:styleId="29">
    <w:name w:val="Body Text First Indent"/>
    <w:basedOn w:val="13"/>
    <w:next w:val="1"/>
    <w:qFormat/>
    <w:uiPriority w:val="0"/>
    <w:pPr>
      <w:spacing w:after="120"/>
      <w:ind w:firstLine="420" w:firstLineChars="100"/>
    </w:pPr>
    <w:rPr>
      <w:sz w:val="21"/>
    </w:rPr>
  </w:style>
  <w:style w:type="paragraph" w:styleId="30">
    <w:name w:val="Body Text First Indent 2"/>
    <w:basedOn w:val="10"/>
    <w:qFormat/>
    <w:uiPriority w:val="0"/>
    <w:pPr>
      <w:ind w:firstLine="420"/>
    </w:pPr>
    <w:rPr>
      <w:rFonts w:cs="宋体"/>
      <w:szCs w:val="21"/>
    </w:rPr>
  </w:style>
  <w:style w:type="table" w:styleId="32">
    <w:name w:val="Table Grid"/>
    <w:basedOn w:val="3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4">
    <w:name w:val="Strong"/>
    <w:basedOn w:val="33"/>
    <w:qFormat/>
    <w:uiPriority w:val="0"/>
    <w:rPr>
      <w:b/>
      <w:bCs/>
    </w:rPr>
  </w:style>
  <w:style w:type="character" w:styleId="35">
    <w:name w:val="page number"/>
    <w:basedOn w:val="33"/>
    <w:qFormat/>
    <w:uiPriority w:val="0"/>
  </w:style>
  <w:style w:type="character" w:styleId="36">
    <w:name w:val="FollowedHyperlink"/>
    <w:basedOn w:val="33"/>
    <w:qFormat/>
    <w:uiPriority w:val="0"/>
    <w:rPr>
      <w:color w:val="338DE6"/>
      <w:u w:val="none"/>
    </w:rPr>
  </w:style>
  <w:style w:type="character" w:styleId="37">
    <w:name w:val="Emphasis"/>
    <w:basedOn w:val="33"/>
    <w:qFormat/>
    <w:uiPriority w:val="0"/>
  </w:style>
  <w:style w:type="character" w:styleId="38">
    <w:name w:val="HTML Definition"/>
    <w:basedOn w:val="33"/>
    <w:qFormat/>
    <w:uiPriority w:val="0"/>
  </w:style>
  <w:style w:type="character" w:styleId="39">
    <w:name w:val="HTML Variable"/>
    <w:basedOn w:val="33"/>
    <w:qFormat/>
    <w:uiPriority w:val="0"/>
  </w:style>
  <w:style w:type="character" w:styleId="40">
    <w:name w:val="Hyperlink"/>
    <w:basedOn w:val="33"/>
    <w:qFormat/>
    <w:uiPriority w:val="99"/>
    <w:rPr>
      <w:color w:val="338DE6"/>
      <w:u w:val="none"/>
    </w:rPr>
  </w:style>
  <w:style w:type="character" w:styleId="41">
    <w:name w:val="HTML Code"/>
    <w:basedOn w:val="33"/>
    <w:qFormat/>
    <w:uiPriority w:val="0"/>
    <w:rPr>
      <w:rFonts w:hint="default" w:ascii="monospace" w:hAnsi="monospace" w:eastAsia="monospace" w:cs="monospace"/>
      <w:sz w:val="21"/>
      <w:szCs w:val="21"/>
    </w:rPr>
  </w:style>
  <w:style w:type="character" w:styleId="42">
    <w:name w:val="annotation reference"/>
    <w:qFormat/>
    <w:uiPriority w:val="0"/>
    <w:rPr>
      <w:sz w:val="21"/>
      <w:szCs w:val="21"/>
    </w:rPr>
  </w:style>
  <w:style w:type="character" w:styleId="43">
    <w:name w:val="HTML Cite"/>
    <w:basedOn w:val="33"/>
    <w:qFormat/>
    <w:uiPriority w:val="0"/>
  </w:style>
  <w:style w:type="character" w:styleId="44">
    <w:name w:val="HTML Keyboard"/>
    <w:basedOn w:val="33"/>
    <w:qFormat/>
    <w:uiPriority w:val="0"/>
    <w:rPr>
      <w:rFonts w:ascii="monospace" w:hAnsi="monospace" w:eastAsia="monospace" w:cs="monospace"/>
      <w:sz w:val="21"/>
      <w:szCs w:val="21"/>
    </w:rPr>
  </w:style>
  <w:style w:type="character" w:styleId="45">
    <w:name w:val="HTML Sample"/>
    <w:basedOn w:val="33"/>
    <w:qFormat/>
    <w:uiPriority w:val="0"/>
    <w:rPr>
      <w:rFonts w:hint="default" w:ascii="monospace" w:hAnsi="monospace" w:eastAsia="monospace" w:cs="monospace"/>
      <w:sz w:val="21"/>
      <w:szCs w:val="21"/>
    </w:rPr>
  </w:style>
  <w:style w:type="paragraph" w:customStyle="1" w:styleId="46">
    <w:name w:val="xl53"/>
    <w:basedOn w:val="1"/>
    <w:next w:val="1"/>
    <w:qFormat/>
    <w:uiPriority w:val="0"/>
    <w:pPr>
      <w:spacing w:before="280" w:after="280" w:line="100" w:lineRule="exact"/>
      <w:jc w:val="center"/>
    </w:pPr>
    <w:rPr>
      <w:b/>
      <w:sz w:val="20"/>
    </w:rPr>
  </w:style>
  <w:style w:type="character" w:customStyle="1" w:styleId="47">
    <w:name w:val="标题 1 Char"/>
    <w:link w:val="4"/>
    <w:qFormat/>
    <w:uiPriority w:val="0"/>
    <w:rPr>
      <w:rFonts w:ascii="宋体" w:hAnsi="宋体" w:eastAsia="宋体" w:cs="Times New Roman"/>
      <w:b/>
      <w:kern w:val="44"/>
      <w:sz w:val="36"/>
      <w:szCs w:val="20"/>
    </w:rPr>
  </w:style>
  <w:style w:type="character" w:customStyle="1" w:styleId="48">
    <w:name w:val="标题 3 Char"/>
    <w:link w:val="6"/>
    <w:qFormat/>
    <w:uiPriority w:val="0"/>
    <w:rPr>
      <w:rFonts w:ascii="Times New Roman" w:hAnsi="Times New Roman"/>
      <w:b/>
      <w:bCs/>
      <w:sz w:val="32"/>
      <w:szCs w:val="32"/>
    </w:rPr>
  </w:style>
  <w:style w:type="character" w:customStyle="1" w:styleId="49">
    <w:name w:val="标题 2 Char"/>
    <w:link w:val="5"/>
    <w:qFormat/>
    <w:uiPriority w:val="0"/>
    <w:rPr>
      <w:rFonts w:ascii="Cambria" w:hAnsi="Cambria" w:eastAsia="宋体" w:cs="Times New Roman"/>
      <w:b/>
      <w:bCs/>
      <w:sz w:val="24"/>
      <w:szCs w:val="32"/>
    </w:rPr>
  </w:style>
  <w:style w:type="paragraph" w:customStyle="1" w:styleId="50">
    <w:name w:val="正文2"/>
    <w:basedOn w:val="1"/>
    <w:qFormat/>
    <w:uiPriority w:val="0"/>
    <w:pPr>
      <w:widowControl w:val="0"/>
      <w:spacing w:before="156" w:line="360" w:lineRule="auto"/>
      <w:ind w:firstLine="510" w:firstLineChars="200"/>
      <w:jc w:val="both"/>
    </w:pPr>
    <w:rPr>
      <w:kern w:val="2"/>
      <w:szCs w:val="20"/>
    </w:rPr>
  </w:style>
  <w:style w:type="paragraph" w:customStyle="1" w:styleId="51">
    <w:name w:val="表格文字"/>
    <w:basedOn w:val="1"/>
    <w:next w:val="13"/>
    <w:qFormat/>
    <w:uiPriority w:val="0"/>
    <w:pPr>
      <w:adjustRightInd w:val="0"/>
      <w:spacing w:line="420" w:lineRule="atLeast"/>
      <w:textAlignment w:val="baseline"/>
    </w:pPr>
  </w:style>
  <w:style w:type="character" w:customStyle="1" w:styleId="52">
    <w:name w:val="Char Char9"/>
    <w:qFormat/>
    <w:uiPriority w:val="0"/>
    <w:rPr>
      <w:rFonts w:ascii="Times New Roman" w:hAnsi="Times New Roman"/>
      <w:b/>
      <w:bCs/>
      <w:sz w:val="32"/>
      <w:szCs w:val="32"/>
    </w:rPr>
  </w:style>
  <w:style w:type="character" w:customStyle="1" w:styleId="53">
    <w:name w:val="页眉 Char"/>
    <w:link w:val="19"/>
    <w:qFormat/>
    <w:uiPriority w:val="99"/>
    <w:rPr>
      <w:rFonts w:ascii="Times New Roman" w:hAnsi="Times New Roman" w:eastAsia="宋体" w:cs="Times New Roman"/>
      <w:kern w:val="0"/>
      <w:sz w:val="18"/>
      <w:szCs w:val="18"/>
    </w:rPr>
  </w:style>
  <w:style w:type="character" w:customStyle="1" w:styleId="54">
    <w:name w:val="批注主题 Char"/>
    <w:link w:val="28"/>
    <w:qFormat/>
    <w:uiPriority w:val="0"/>
    <w:rPr>
      <w:rFonts w:ascii="Times New Roman" w:hAnsi="Times New Roman"/>
      <w:b/>
      <w:bCs/>
      <w:sz w:val="21"/>
    </w:rPr>
  </w:style>
  <w:style w:type="character" w:customStyle="1" w:styleId="55">
    <w:name w:val="文档结构图 Char"/>
    <w:link w:val="11"/>
    <w:qFormat/>
    <w:uiPriority w:val="0"/>
    <w:rPr>
      <w:rFonts w:ascii="宋体" w:hAnsi="Times New Roman"/>
      <w:sz w:val="18"/>
      <w:szCs w:val="18"/>
    </w:rPr>
  </w:style>
  <w:style w:type="character" w:customStyle="1" w:styleId="56">
    <w:name w:val="引用 Char1"/>
    <w:basedOn w:val="33"/>
    <w:qFormat/>
    <w:uiPriority w:val="99"/>
    <w:rPr>
      <w:i/>
      <w:iCs/>
      <w:color w:val="000000"/>
      <w:sz w:val="21"/>
    </w:rPr>
  </w:style>
  <w:style w:type="character" w:customStyle="1" w:styleId="57">
    <w:name w:val="页脚 Char"/>
    <w:link w:val="18"/>
    <w:qFormat/>
    <w:uiPriority w:val="99"/>
    <w:rPr>
      <w:rFonts w:ascii="Times New Roman" w:hAnsi="Times New Roman" w:eastAsia="宋体" w:cs="Times New Roman"/>
      <w:kern w:val="0"/>
      <w:sz w:val="18"/>
      <w:szCs w:val="20"/>
    </w:rPr>
  </w:style>
  <w:style w:type="character" w:customStyle="1" w:styleId="58">
    <w:name w:val="grame"/>
    <w:qFormat/>
    <w:uiPriority w:val="0"/>
  </w:style>
  <w:style w:type="character" w:customStyle="1" w:styleId="59">
    <w:name w:val="fontborder"/>
    <w:basedOn w:val="33"/>
    <w:qFormat/>
    <w:uiPriority w:val="0"/>
    <w:rPr>
      <w:bdr w:val="single" w:color="000000" w:sz="6" w:space="0"/>
    </w:rPr>
  </w:style>
  <w:style w:type="character" w:customStyle="1" w:styleId="60">
    <w:name w:val="日期 Char"/>
    <w:link w:val="16"/>
    <w:qFormat/>
    <w:uiPriority w:val="0"/>
    <w:rPr>
      <w:rFonts w:ascii="宋体" w:hAnsi="Times New Roman"/>
      <w:sz w:val="24"/>
    </w:rPr>
  </w:style>
  <w:style w:type="character" w:customStyle="1" w:styleId="61">
    <w:name w:val="纯文本 Char"/>
    <w:link w:val="15"/>
    <w:qFormat/>
    <w:uiPriority w:val="0"/>
    <w:rPr>
      <w:rFonts w:ascii="宋体" w:hAnsi="Courier New" w:eastAsia="宋体"/>
      <w:kern w:val="2"/>
      <w:sz w:val="21"/>
      <w:lang w:val="en-US" w:eastAsia="zh-CN" w:bidi="ar-SA"/>
    </w:rPr>
  </w:style>
  <w:style w:type="character" w:customStyle="1" w:styleId="62">
    <w:name w:val="Char Char"/>
    <w:qFormat/>
    <w:uiPriority w:val="0"/>
    <w:rPr>
      <w:rFonts w:ascii="楷体_GB2312" w:hAnsi="Times New Roman" w:eastAsia="楷体_GB2312"/>
      <w:kern w:val="2"/>
      <w:sz w:val="32"/>
    </w:rPr>
  </w:style>
  <w:style w:type="character" w:customStyle="1" w:styleId="63">
    <w:name w:val="批注框文本 Char"/>
    <w:link w:val="17"/>
    <w:qFormat/>
    <w:uiPriority w:val="0"/>
    <w:rPr>
      <w:rFonts w:ascii="Times New Roman" w:hAnsi="Times New Roman"/>
      <w:sz w:val="18"/>
      <w:szCs w:val="18"/>
    </w:rPr>
  </w:style>
  <w:style w:type="character" w:customStyle="1" w:styleId="64">
    <w:name w:val="标书1 Char"/>
    <w:qFormat/>
    <w:uiPriority w:val="0"/>
    <w:rPr>
      <w:rFonts w:ascii="宋体" w:hAnsi="Times New Roman" w:eastAsia="宋体" w:cs="Times New Roman"/>
      <w:b/>
      <w:kern w:val="44"/>
      <w:sz w:val="24"/>
      <w:szCs w:val="20"/>
    </w:rPr>
  </w:style>
  <w:style w:type="character" w:customStyle="1" w:styleId="65">
    <w:name w:val="正文文本 Char"/>
    <w:link w:val="13"/>
    <w:qFormat/>
    <w:uiPriority w:val="0"/>
    <w:rPr>
      <w:rFonts w:ascii="楷体_GB2312" w:hAnsi="Times New Roman" w:eastAsia="楷体_GB2312"/>
      <w:kern w:val="2"/>
      <w:sz w:val="32"/>
    </w:rPr>
  </w:style>
  <w:style w:type="character" w:customStyle="1" w:styleId="66">
    <w:name w:val="正文缩进 Char"/>
    <w:link w:val="9"/>
    <w:qFormat/>
    <w:uiPriority w:val="0"/>
    <w:rPr>
      <w:rFonts w:ascii="Times New Roman" w:hAnsi="Times New Roman"/>
      <w:sz w:val="21"/>
    </w:rPr>
  </w:style>
  <w:style w:type="character" w:customStyle="1" w:styleId="67">
    <w:name w:val="批注文字 Char"/>
    <w:link w:val="12"/>
    <w:qFormat/>
    <w:uiPriority w:val="0"/>
    <w:rPr>
      <w:rFonts w:ascii="Times New Roman" w:hAnsi="Times New Roman"/>
      <w:sz w:val="21"/>
    </w:rPr>
  </w:style>
  <w:style w:type="character" w:customStyle="1" w:styleId="68">
    <w:name w:val="引用 Char"/>
    <w:link w:val="69"/>
    <w:qFormat/>
    <w:uiPriority w:val="0"/>
    <w:rPr>
      <w:i/>
      <w:iCs/>
      <w:color w:val="000000"/>
      <w:kern w:val="2"/>
      <w:sz w:val="21"/>
      <w:szCs w:val="22"/>
    </w:rPr>
  </w:style>
  <w:style w:type="paragraph" w:styleId="69">
    <w:name w:val="Quote"/>
    <w:basedOn w:val="1"/>
    <w:next w:val="1"/>
    <w:link w:val="68"/>
    <w:qFormat/>
    <w:uiPriority w:val="0"/>
    <w:pPr>
      <w:widowControl w:val="0"/>
      <w:jc w:val="both"/>
    </w:pPr>
    <w:rPr>
      <w:i/>
      <w:iCs/>
      <w:color w:val="000000"/>
      <w:kern w:val="2"/>
      <w:szCs w:val="22"/>
    </w:rPr>
  </w:style>
  <w:style w:type="character" w:customStyle="1" w:styleId="70">
    <w:name w:val="fontstrikethrough"/>
    <w:basedOn w:val="33"/>
    <w:qFormat/>
    <w:uiPriority w:val="0"/>
    <w:rPr>
      <w:strike/>
    </w:rPr>
  </w:style>
  <w:style w:type="paragraph" w:customStyle="1" w:styleId="71">
    <w:name w:val="样式 标题 2 + Times New Roman 四号 非加粗 段前: 5 磅 段后: 0 磅 行距: 固定值 20..."/>
    <w:basedOn w:val="5"/>
    <w:qFormat/>
    <w:uiPriority w:val="0"/>
    <w:pPr>
      <w:spacing w:before="100" w:after="0" w:line="400" w:lineRule="exact"/>
    </w:pPr>
    <w:rPr>
      <w:rFonts w:ascii="Times New Roman" w:hAnsi="Times New Roman" w:cs="宋体"/>
      <w:b w:val="0"/>
      <w:kern w:val="2"/>
      <w:sz w:val="28"/>
    </w:rPr>
  </w:style>
  <w:style w:type="paragraph" w:customStyle="1" w:styleId="72">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3">
    <w:name w:val="附件"/>
    <w:basedOn w:val="4"/>
    <w:qFormat/>
    <w:uiPriority w:val="0"/>
    <w:pPr>
      <w:keepNext w:val="0"/>
      <w:keepLines w:val="0"/>
      <w:pageBreakBefore/>
      <w:spacing w:beforeLines="100" w:afterLines="100" w:line="240" w:lineRule="auto"/>
      <w:jc w:val="center"/>
    </w:pPr>
    <w:rPr>
      <w:rFonts w:hAnsi="宋体"/>
      <w:sz w:val="28"/>
      <w:szCs w:val="36"/>
    </w:rPr>
  </w:style>
  <w:style w:type="paragraph" w:customStyle="1" w:styleId="74">
    <w:name w:val="Char Char Char Char Char Char Char"/>
    <w:basedOn w:val="1"/>
    <w:qFormat/>
    <w:uiPriority w:val="0"/>
    <w:pPr>
      <w:widowControl w:val="0"/>
      <w:jc w:val="both"/>
    </w:pPr>
    <w:rPr>
      <w:rFonts w:ascii="仿宋_GB2312" w:eastAsia="仿宋_GB2312"/>
      <w:b/>
      <w:kern w:val="2"/>
      <w:sz w:val="32"/>
      <w:szCs w:val="32"/>
    </w:rPr>
  </w:style>
  <w:style w:type="paragraph" w:customStyle="1" w:styleId="75">
    <w:name w:val="样式 标题 1 + 黑体 三号 非加粗 居中 段前: 6 磅 段后: 6 磅 行距: 固定值 20 磅"/>
    <w:basedOn w:val="4"/>
    <w:qFormat/>
    <w:uiPriority w:val="0"/>
    <w:pPr>
      <w:adjustRightInd/>
      <w:spacing w:before="120" w:after="120" w:line="400" w:lineRule="exact"/>
      <w:jc w:val="center"/>
    </w:pPr>
    <w:rPr>
      <w:rFonts w:ascii="黑体" w:hAnsi="黑体" w:eastAsia="黑体" w:cs="宋体"/>
      <w:b w:val="0"/>
      <w:sz w:val="32"/>
    </w:rPr>
  </w:style>
  <w:style w:type="paragraph" w:customStyle="1" w:styleId="76">
    <w:name w:val="p0"/>
    <w:basedOn w:val="1"/>
    <w:qFormat/>
    <w:uiPriority w:val="0"/>
    <w:pPr>
      <w:jc w:val="both"/>
    </w:pPr>
    <w:rPr>
      <w:rFonts w:ascii="Calibri" w:hAnsi="Calibri" w:cs="宋体"/>
      <w:szCs w:val="21"/>
    </w:rPr>
  </w:style>
  <w:style w:type="paragraph" w:customStyle="1" w:styleId="77">
    <w:name w:val="中等深浅网格 1 - 强调文字颜色 21"/>
    <w:basedOn w:val="1"/>
    <w:qFormat/>
    <w:uiPriority w:val="34"/>
    <w:pPr>
      <w:ind w:firstLine="420" w:firstLineChars="200"/>
    </w:pPr>
  </w:style>
  <w:style w:type="paragraph" w:customStyle="1" w:styleId="78">
    <w:name w:val="xl35"/>
    <w:basedOn w:val="1"/>
    <w:qFormat/>
    <w:uiPriority w:val="0"/>
    <w:pPr>
      <w:pBdr>
        <w:left w:val="single" w:color="auto" w:sz="4" w:space="0"/>
        <w:bottom w:val="single" w:color="auto" w:sz="4" w:space="0"/>
        <w:right w:val="single" w:color="auto" w:sz="4" w:space="0"/>
      </w:pBdr>
      <w:spacing w:before="100" w:beforeAutospacing="1" w:after="100" w:afterAutospacing="1"/>
      <w:jc w:val="both"/>
      <w:textAlignment w:val="center"/>
    </w:pPr>
    <w:rPr>
      <w:rFonts w:ascii="Arial Unicode MS" w:hAnsi="Arial Unicode MS" w:eastAsia="Arial Unicode MS"/>
      <w:sz w:val="24"/>
      <w:szCs w:val="24"/>
    </w:rPr>
  </w:style>
  <w:style w:type="paragraph" w:customStyle="1" w:styleId="79">
    <w:name w:val="_Style 4"/>
    <w:basedOn w:val="1"/>
    <w:qFormat/>
    <w:uiPriority w:val="0"/>
    <w:pPr>
      <w:ind w:firstLine="420" w:firstLineChars="200"/>
    </w:pPr>
  </w:style>
  <w:style w:type="paragraph" w:styleId="80">
    <w:name w:val="List Paragraph"/>
    <w:basedOn w:val="1"/>
    <w:qFormat/>
    <w:uiPriority w:val="34"/>
    <w:pPr>
      <w:ind w:firstLine="420" w:firstLineChars="200"/>
    </w:pPr>
  </w:style>
  <w:style w:type="paragraph" w:customStyle="1" w:styleId="81">
    <w:name w:val="彩色底纹 - 强调文字颜色 11"/>
    <w:unhideWhenUsed/>
    <w:qFormat/>
    <w:uiPriority w:val="71"/>
    <w:rPr>
      <w:rFonts w:ascii="Times New Roman" w:hAnsi="Times New Roman" w:eastAsia="宋体" w:cs="Times New Roman"/>
      <w:sz w:val="21"/>
      <w:lang w:val="en-US" w:eastAsia="zh-CN" w:bidi="ar-SA"/>
    </w:rPr>
  </w:style>
  <w:style w:type="paragraph" w:customStyle="1" w:styleId="82">
    <w:name w:val="表内文字"/>
    <w:basedOn w:val="1"/>
    <w:qFormat/>
    <w:uiPriority w:val="0"/>
    <w:pPr>
      <w:widowControl w:val="0"/>
      <w:spacing w:line="500" w:lineRule="atLeast"/>
      <w:jc w:val="center"/>
    </w:pPr>
    <w:rPr>
      <w:rFonts w:ascii="Arial" w:hAnsi="Arial" w:eastAsia="楷体_GB2312"/>
      <w:kern w:val="2"/>
      <w:sz w:val="28"/>
    </w:rPr>
  </w:style>
  <w:style w:type="paragraph" w:customStyle="1" w:styleId="83">
    <w:name w:val="Default"/>
    <w:qFormat/>
    <w:uiPriority w:val="0"/>
    <w:pPr>
      <w:widowControl w:val="0"/>
      <w:autoSpaceDE w:val="0"/>
      <w:autoSpaceDN w:val="0"/>
      <w:adjustRightInd w:val="0"/>
    </w:pPr>
    <w:rPr>
      <w:rFonts w:ascii="仿宋_x0002_.簆鱞.." w:hAnsi="Times New Roman" w:eastAsia="仿宋_x0002_.簆鱞.." w:cs="仿宋_x0002_.簆鱞.."/>
      <w:color w:val="000000"/>
      <w:sz w:val="24"/>
      <w:szCs w:val="24"/>
      <w:lang w:val="en-US" w:eastAsia="zh-CN" w:bidi="ar-SA"/>
    </w:rPr>
  </w:style>
  <w:style w:type="paragraph" w:customStyle="1" w:styleId="84">
    <w:name w:val="Char1"/>
    <w:basedOn w:val="1"/>
    <w:qFormat/>
    <w:uiPriority w:val="0"/>
  </w:style>
  <w:style w:type="paragraph" w:customStyle="1" w:styleId="85">
    <w:name w:val="List Paragraph1"/>
    <w:basedOn w:val="1"/>
    <w:qFormat/>
    <w:uiPriority w:val="0"/>
    <w:pPr>
      <w:widowControl w:val="0"/>
      <w:ind w:firstLine="420" w:firstLineChars="200"/>
      <w:jc w:val="both"/>
    </w:pPr>
    <w:rPr>
      <w:kern w:val="2"/>
      <w:szCs w:val="21"/>
    </w:rPr>
  </w:style>
  <w:style w:type="paragraph" w:customStyle="1" w:styleId="86">
    <w:name w:val="Blockquote"/>
    <w:basedOn w:val="1"/>
    <w:qFormat/>
    <w:uiPriority w:val="0"/>
    <w:pPr>
      <w:autoSpaceDE w:val="0"/>
      <w:autoSpaceDN w:val="0"/>
      <w:adjustRightInd w:val="0"/>
      <w:spacing w:before="100" w:after="100"/>
      <w:ind w:left="360" w:right="360"/>
    </w:pPr>
  </w:style>
  <w:style w:type="paragraph" w:customStyle="1" w:styleId="87">
    <w:name w:val="无间隔1"/>
    <w:qFormat/>
    <w:uiPriority w:val="1"/>
    <w:pPr>
      <w:adjustRightInd w:val="0"/>
      <w:snapToGrid w:val="0"/>
    </w:pPr>
    <w:rPr>
      <w:rFonts w:ascii="Tahoma" w:hAnsi="Tahoma" w:eastAsia="微软雅黑" w:cs="Times New Roman"/>
      <w:sz w:val="22"/>
      <w:szCs w:val="22"/>
      <w:lang w:val="en-US" w:eastAsia="zh-CN" w:bidi="ar-SA"/>
    </w:rPr>
  </w:style>
  <w:style w:type="paragraph" w:customStyle="1" w:styleId="88">
    <w:name w:val="样式 正文文本 2 + 段后: 0 磅 行距: 1.5 倍行距"/>
    <w:basedOn w:val="25"/>
    <w:qFormat/>
    <w:uiPriority w:val="0"/>
    <w:pPr>
      <w:spacing w:after="0" w:line="360" w:lineRule="auto"/>
      <w:ind w:firstLine="480" w:firstLineChars="200"/>
    </w:pPr>
  </w:style>
  <w:style w:type="paragraph" w:customStyle="1" w:styleId="89">
    <w:name w:val="样式 标题 3 + (中文) 黑体 小四 非加粗 段前: 7.8 磅 段后: 0 磅 行距: 固定值 20 磅"/>
    <w:basedOn w:val="6"/>
    <w:qFormat/>
    <w:uiPriority w:val="0"/>
    <w:pPr>
      <w:spacing w:before="0" w:after="0" w:line="400" w:lineRule="exact"/>
    </w:pPr>
    <w:rPr>
      <w:rFonts w:eastAsia="黑体" w:cs="宋体"/>
      <w:b w:val="0"/>
      <w:kern w:val="2"/>
      <w:sz w:val="24"/>
    </w:rPr>
  </w:style>
  <w:style w:type="paragraph" w:customStyle="1" w:styleId="90">
    <w:name w:val="Char Char Char Char Char Char Char Char Char Char Char Char Char Char"/>
    <w:basedOn w:val="1"/>
    <w:qFormat/>
    <w:uiPriority w:val="0"/>
    <w:pPr>
      <w:spacing w:after="160" w:line="240" w:lineRule="exact"/>
    </w:pPr>
    <w:rPr>
      <w:rFonts w:ascii="Verdana" w:hAnsi="Verdana" w:cs="宋体"/>
      <w:b/>
      <w:sz w:val="20"/>
      <w:lang w:eastAsia="en-US"/>
    </w:rPr>
  </w:style>
  <w:style w:type="paragraph" w:customStyle="1" w:styleId="91">
    <w:name w:val="_Style 1"/>
    <w:basedOn w:val="1"/>
    <w:qFormat/>
    <w:uiPriority w:val="34"/>
    <w:pPr>
      <w:ind w:firstLine="420" w:firstLineChars="200"/>
    </w:pPr>
  </w:style>
  <w:style w:type="paragraph" w:customStyle="1" w:styleId="92">
    <w:name w:val="Char Char Char"/>
    <w:basedOn w:val="1"/>
    <w:qFormat/>
    <w:uiPriority w:val="0"/>
    <w:pPr>
      <w:widowControl w:val="0"/>
      <w:jc w:val="both"/>
    </w:pPr>
    <w:rPr>
      <w:kern w:val="2"/>
    </w:rPr>
  </w:style>
  <w:style w:type="paragraph" w:customStyle="1" w:styleId="93">
    <w:name w:val="内文正文"/>
    <w:qFormat/>
    <w:uiPriority w:val="0"/>
    <w:pPr>
      <w:autoSpaceDE w:val="0"/>
      <w:autoSpaceDN w:val="0"/>
      <w:spacing w:line="400" w:lineRule="exact"/>
      <w:ind w:firstLine="200" w:firstLineChars="200"/>
      <w:jc w:val="both"/>
      <w:textAlignment w:val="bottom"/>
    </w:pPr>
    <w:rPr>
      <w:rFonts w:ascii="宋体" w:hAnsi="???|CS?o｡ﾀ?" w:eastAsia="宋体" w:cs="Times New Roman"/>
      <w:sz w:val="21"/>
      <w:szCs w:val="28"/>
      <w:lang w:val="en-US" w:eastAsia="zh-CN" w:bidi="ar-SA"/>
    </w:rPr>
  </w:style>
  <w:style w:type="paragraph" w:customStyle="1" w:styleId="94">
    <w:name w:val="reader-word-layer reader-word-s1-2"/>
    <w:basedOn w:val="1"/>
    <w:qFormat/>
    <w:uiPriority w:val="0"/>
    <w:pPr>
      <w:spacing w:before="100" w:beforeAutospacing="1" w:after="100" w:afterAutospacing="1"/>
    </w:pPr>
    <w:rPr>
      <w:rFonts w:ascii="宋体" w:hAnsi="宋体" w:cs="宋体"/>
      <w:sz w:val="24"/>
      <w:szCs w:val="24"/>
    </w:rPr>
  </w:style>
  <w:style w:type="paragraph" w:customStyle="1" w:styleId="95">
    <w:name w:val="Char Char7 Char"/>
    <w:basedOn w:val="1"/>
    <w:qFormat/>
    <w:uiPriority w:val="0"/>
    <w:pPr>
      <w:widowControl w:val="0"/>
      <w:tabs>
        <w:tab w:val="left" w:pos="425"/>
      </w:tabs>
      <w:ind w:left="420" w:leftChars="200" w:firstLine="270" w:firstLineChars="150"/>
      <w:jc w:val="both"/>
    </w:pPr>
    <w:rPr>
      <w:rFonts w:ascii="宋体" w:hAnsi="宋体" w:cs="Arial"/>
      <w:color w:val="5E5E5E"/>
      <w:szCs w:val="21"/>
    </w:rPr>
  </w:style>
  <w:style w:type="paragraph" w:customStyle="1" w:styleId="96">
    <w:name w:val="Char Char4"/>
    <w:basedOn w:val="1"/>
    <w:qFormat/>
    <w:uiPriority w:val="0"/>
    <w:pPr>
      <w:widowControl w:val="0"/>
      <w:jc w:val="both"/>
    </w:pPr>
    <w:rPr>
      <w:rFonts w:ascii="Tahoma" w:hAnsi="Tahoma"/>
      <w:kern w:val="2"/>
      <w:sz w:val="24"/>
    </w:rPr>
  </w:style>
  <w:style w:type="paragraph" w:customStyle="1" w:styleId="97">
    <w:name w:val="Char Char1 Char Char Char Char Char Char Char Char Char Char"/>
    <w:basedOn w:val="1"/>
    <w:qFormat/>
    <w:uiPriority w:val="0"/>
    <w:pPr>
      <w:widowControl w:val="0"/>
      <w:tabs>
        <w:tab w:val="left" w:pos="360"/>
      </w:tabs>
      <w:ind w:firstLine="420" w:firstLineChars="150"/>
      <w:jc w:val="both"/>
    </w:pPr>
    <w:rPr>
      <w:rFonts w:ascii="Arial" w:hAnsi="Arial" w:cs="Arial"/>
      <w:kern w:val="2"/>
      <w:sz w:val="20"/>
    </w:rPr>
  </w:style>
  <w:style w:type="paragraph" w:customStyle="1" w:styleId="98">
    <w:name w:val="xl55"/>
    <w:basedOn w:val="1"/>
    <w:qFormat/>
    <w:uiPriority w:val="0"/>
    <w:pPr>
      <w:spacing w:before="100" w:beforeAutospacing="1" w:after="100" w:afterAutospacing="1"/>
      <w:jc w:val="center"/>
      <w:textAlignment w:val="center"/>
    </w:pPr>
    <w:rPr>
      <w:rFonts w:ascii="Arial Unicode MS" w:hAnsi="Arial Unicode MS"/>
      <w:sz w:val="24"/>
      <w:szCs w:val="24"/>
    </w:rPr>
  </w:style>
  <w:style w:type="paragraph" w:customStyle="1" w:styleId="99">
    <w:name w:val="样式 标题 2节标题 1.1 + 段前: 1 行 段后: 0.5 行"/>
    <w:basedOn w:val="5"/>
    <w:qFormat/>
    <w:uiPriority w:val="0"/>
    <w:pPr>
      <w:spacing w:before="240" w:after="120"/>
      <w:jc w:val="center"/>
    </w:pPr>
    <w:rPr>
      <w:sz w:val="24"/>
    </w:rPr>
  </w:style>
  <w:style w:type="character" w:customStyle="1" w:styleId="100">
    <w:name w:val="HTML 预设格式 Char"/>
    <w:link w:val="26"/>
    <w:qFormat/>
    <w:uiPriority w:val="0"/>
    <w:rPr>
      <w:rFonts w:ascii="宋体" w:hAnsi="宋体"/>
      <w:kern w:val="0"/>
      <w:sz w:val="24"/>
    </w:rPr>
  </w:style>
  <w:style w:type="paragraph" w:customStyle="1" w:styleId="101">
    <w:name w:val="纯文本1"/>
    <w:basedOn w:val="50"/>
    <w:qFormat/>
    <w:uiPriority w:val="0"/>
    <w:rPr>
      <w:rFonts w:hint="eastAsia" w:ascii="宋体" w:hAnsi="Courier New"/>
      <w:kern w:val="2"/>
      <w:sz w:val="21"/>
      <w:szCs w:val="20"/>
    </w:rPr>
  </w:style>
  <w:style w:type="paragraph" w:customStyle="1" w:styleId="102">
    <w:name w:val="Table Paragraph"/>
    <w:basedOn w:val="1"/>
    <w:qFormat/>
    <w:uiPriority w:val="1"/>
    <w:rPr>
      <w:rFonts w:ascii="宋体" w:hAnsi="宋体" w:cs="宋体"/>
      <w:lang w:val="zh-CN" w:bidi="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microsoft.com/office/2006/relationships/keyMapCustomizations" Target="customization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4097"/>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raztb</Company>
  <Pages>91</Pages>
  <Words>16445</Words>
  <Characters>17879</Characters>
  <Lines>124</Lines>
  <Paragraphs>103</Paragraphs>
  <TotalTime>4</TotalTime>
  <ScaleCrop>false</ScaleCrop>
  <LinksUpToDate>false</LinksUpToDate>
  <CharactersWithSpaces>18012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2021-07-14T01:09:00Z</dcterms:created>
  <dc:creator>ccl</dc:creator>
  <cp:lastModifiedBy>南城雨落</cp:lastModifiedBy>
  <cp:lastPrinted>2025-05-27T09:23:00Z</cp:lastPrinted>
  <dcterms:modified xsi:type="dcterms:W3CDTF">2025-05-29T06:54:28Z</dcterms:modified>
  <dc:title>瑞安市公共资源交易中心</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项目编号">
    <vt:lpwstr>AAAAA</vt:lpwstr>
  </property>
  <property fmtid="{D5CDD505-2E9C-101B-9397-08002B2CF9AE}" pid="3" name="KSOProductBuildVer">
    <vt:lpwstr>2052-12.1.0.21171</vt:lpwstr>
  </property>
  <property fmtid="{D5CDD505-2E9C-101B-9397-08002B2CF9AE}" pid="4" name="ICV">
    <vt:lpwstr>09F7ABB70C3048C59CF1A64B01BA1BA6_13</vt:lpwstr>
  </property>
  <property fmtid="{D5CDD505-2E9C-101B-9397-08002B2CF9AE}" pid="5" name="KSOTemplateDocerSaveRecord">
    <vt:lpwstr>eyJoZGlkIjoiYzM3ZTM5NjkwNDk5ZDE1NGVlNjg0N2QzYzg2MzhiYTciLCJ1c2VySWQiOiIxMTIyMDc2MTkzIn0=</vt:lpwstr>
  </property>
</Properties>
</file>