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582BD">
      <w:pPr>
        <w:jc w:val="both"/>
        <w:rPr>
          <w:rFonts w:hint="eastAsia" w:ascii="宋体" w:hAnsi="宋体" w:eastAsia="宋体" w:cs="宋体"/>
          <w:color w:val="auto"/>
          <w:highlight w:val="none"/>
        </w:rPr>
      </w:pPr>
      <w:r>
        <w:rPr>
          <w:rFonts w:hint="eastAsia" w:ascii="宋体" w:hAnsi="宋体" w:eastAsia="宋体" w:cs="宋体"/>
          <w:b/>
          <w:color w:val="auto"/>
          <w:sz w:val="52"/>
          <w:szCs w:val="52"/>
          <w:highlight w:val="none"/>
        </w:rPr>
        <w:tab/>
      </w:r>
      <w:r>
        <w:rPr>
          <w:rFonts w:hint="eastAsia" w:ascii="宋体" w:hAnsi="宋体" w:eastAsia="宋体" w:cs="宋体"/>
          <w:b/>
          <w:color w:val="auto"/>
          <w:sz w:val="52"/>
          <w:szCs w:val="52"/>
          <w:highlight w:val="none"/>
        </w:rPr>
        <w:tab/>
      </w:r>
      <w:r>
        <w:rPr>
          <w:rFonts w:hint="eastAsia" w:ascii="宋体" w:hAnsi="宋体" w:eastAsia="宋体" w:cs="宋体"/>
          <w:b/>
          <w:color w:val="auto"/>
          <w:sz w:val="52"/>
          <w:szCs w:val="52"/>
          <w:highlight w:val="none"/>
        </w:rPr>
        <w:tab/>
      </w:r>
    </w:p>
    <w:p w14:paraId="28F3380F">
      <w:pPr>
        <w:pStyle w:val="20"/>
        <w:snapToGrid w:val="0"/>
        <w:spacing w:line="360" w:lineRule="auto"/>
        <w:ind w:firstLine="482"/>
        <w:jc w:val="center"/>
        <w:rPr>
          <w:rFonts w:hint="eastAsia" w:ascii="宋体" w:hAnsi="宋体" w:eastAsia="宋体" w:cs="宋体"/>
          <w:color w:val="auto"/>
          <w:highlight w:val="none"/>
          <w:lang w:eastAsia="zh-CN"/>
        </w:rPr>
      </w:pPr>
      <w:r>
        <w:rPr>
          <w:rFonts w:hint="eastAsia" w:ascii="宋体" w:hAnsi="宋体" w:cs="宋体"/>
          <w:b/>
          <w:color w:val="auto"/>
          <w:sz w:val="48"/>
          <w:szCs w:val="48"/>
          <w:highlight w:val="none"/>
          <w:lang w:val="en-US" w:eastAsia="zh-CN"/>
        </w:rPr>
        <w:t>2025年</w:t>
      </w:r>
      <w:r>
        <w:rPr>
          <w:rFonts w:hint="eastAsia" w:ascii="宋体" w:hAnsi="宋体" w:cs="宋体"/>
          <w:b/>
          <w:color w:val="auto"/>
          <w:sz w:val="48"/>
          <w:szCs w:val="48"/>
          <w:highlight w:val="none"/>
          <w:lang w:eastAsia="zh-CN"/>
        </w:rPr>
        <w:t>农作物病虫害统防统治与绿色防控融合发展项目</w:t>
      </w:r>
    </w:p>
    <w:p w14:paraId="1FD66CD3">
      <w:pPr>
        <w:rPr>
          <w:rFonts w:hint="eastAsia" w:ascii="宋体" w:hAnsi="宋体" w:eastAsia="宋体" w:cs="宋体"/>
          <w:color w:val="auto"/>
          <w:highlight w:val="none"/>
        </w:rPr>
      </w:pPr>
    </w:p>
    <w:p w14:paraId="56283210">
      <w:pPr>
        <w:rPr>
          <w:rFonts w:hint="eastAsia" w:ascii="宋体" w:hAnsi="宋体" w:eastAsia="宋体" w:cs="宋体"/>
          <w:color w:val="auto"/>
          <w:highlight w:val="none"/>
        </w:rPr>
      </w:pPr>
    </w:p>
    <w:p w14:paraId="63991C2B">
      <w:pPr>
        <w:pStyle w:val="12"/>
        <w:ind w:left="0" w:right="-408"/>
        <w:rPr>
          <w:rFonts w:hint="eastAsia" w:ascii="宋体" w:hAnsi="宋体" w:eastAsia="宋体" w:cs="宋体"/>
          <w:color w:val="auto"/>
          <w:highlight w:val="none"/>
        </w:rPr>
      </w:pPr>
    </w:p>
    <w:p w14:paraId="705742B9">
      <w:pPr>
        <w:spacing w:beforeLines="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公开招标采购文件</w:t>
      </w:r>
    </w:p>
    <w:p w14:paraId="224A1772">
      <w:pPr>
        <w:pStyle w:val="21"/>
        <w:ind w:left="0" w:leftChars="0" w:firstLine="0"/>
        <w:rPr>
          <w:rFonts w:hint="eastAsia" w:ascii="宋体" w:hAnsi="宋体" w:eastAsia="宋体" w:cs="宋体"/>
          <w:color w:val="auto"/>
          <w:highlight w:val="none"/>
        </w:rPr>
      </w:pPr>
    </w:p>
    <w:p w14:paraId="406B29E6">
      <w:pPr>
        <w:pStyle w:val="21"/>
        <w:ind w:left="680"/>
        <w:rPr>
          <w:rFonts w:hint="eastAsia" w:ascii="宋体" w:hAnsi="宋体" w:eastAsia="宋体" w:cs="宋体"/>
          <w:color w:val="auto"/>
          <w:sz w:val="30"/>
          <w:szCs w:val="72"/>
          <w:highlight w:val="none"/>
        </w:rPr>
      </w:pPr>
    </w:p>
    <w:p w14:paraId="70CC8D92">
      <w:pPr>
        <w:pStyle w:val="12"/>
        <w:ind w:right="-408"/>
        <w:rPr>
          <w:rFonts w:hint="eastAsia" w:ascii="宋体" w:hAnsi="宋体" w:eastAsia="宋体" w:cs="宋体"/>
          <w:color w:val="auto"/>
          <w:highlight w:val="none"/>
        </w:rPr>
      </w:pPr>
    </w:p>
    <w:p w14:paraId="72C0A5F8">
      <w:pPr>
        <w:snapToGrid w:val="0"/>
        <w:spacing w:line="480" w:lineRule="auto"/>
        <w:rPr>
          <w:rFonts w:hint="eastAsia" w:ascii="宋体" w:hAnsi="宋体" w:eastAsia="宋体" w:cs="宋体"/>
          <w:b/>
          <w:bCs/>
          <w:color w:val="auto"/>
          <w:w w:val="95"/>
          <w:sz w:val="30"/>
          <w:szCs w:val="30"/>
          <w:highlight w:val="none"/>
        </w:rPr>
      </w:pPr>
    </w:p>
    <w:p w14:paraId="40AF3828">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项目编号：</w:t>
      </w:r>
      <w:r>
        <w:rPr>
          <w:rFonts w:hint="eastAsia" w:hAnsi="宋体" w:cs="宋体"/>
          <w:b/>
          <w:bCs/>
          <w:color w:val="auto"/>
          <w:w w:val="95"/>
          <w:sz w:val="30"/>
          <w:szCs w:val="30"/>
          <w:highlight w:val="none"/>
          <w:lang w:eastAsia="zh-CN"/>
        </w:rPr>
        <w:t xml:space="preserve">TY2025-FW127-ZFCG127  </w:t>
      </w:r>
    </w:p>
    <w:p w14:paraId="0328107E">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采购单位：</w:t>
      </w:r>
      <w:r>
        <w:rPr>
          <w:rFonts w:hint="eastAsia" w:hAnsi="宋体" w:cs="宋体"/>
          <w:b/>
          <w:bCs/>
          <w:color w:val="auto"/>
          <w:w w:val="95"/>
          <w:sz w:val="30"/>
          <w:szCs w:val="30"/>
          <w:highlight w:val="none"/>
          <w:lang w:eastAsia="zh-CN"/>
        </w:rPr>
        <w:t>金华经济技术开发区乡村振兴部</w:t>
      </w:r>
    </w:p>
    <w:p w14:paraId="4674874F">
      <w:pPr>
        <w:snapToGrid w:val="0"/>
        <w:spacing w:line="480" w:lineRule="auto"/>
        <w:ind w:firstLine="572" w:firstLineChars="2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代理机构：金华市天盈招标代理有限公司</w:t>
      </w:r>
    </w:p>
    <w:p w14:paraId="13CBC569">
      <w:pPr>
        <w:snapToGrid w:val="0"/>
        <w:spacing w:line="48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监管单位：</w:t>
      </w:r>
      <w:r>
        <w:rPr>
          <w:rFonts w:hint="eastAsia" w:hAnsi="宋体" w:cs="宋体"/>
          <w:b/>
          <w:bCs/>
          <w:color w:val="auto"/>
          <w:w w:val="95"/>
          <w:sz w:val="30"/>
          <w:szCs w:val="30"/>
          <w:highlight w:val="none"/>
          <w:lang w:eastAsia="zh-CN"/>
        </w:rPr>
        <w:t>金华经济技术开发区管理委员会财政局</w:t>
      </w:r>
    </w:p>
    <w:p w14:paraId="6728F09B">
      <w:pPr>
        <w:snapToGrid w:val="0"/>
        <w:spacing w:line="480" w:lineRule="auto"/>
        <w:jc w:val="center"/>
        <w:rPr>
          <w:rFonts w:hint="eastAsia" w:ascii="宋体" w:hAnsi="宋体" w:eastAsia="宋体" w:cs="宋体"/>
          <w:color w:val="auto"/>
          <w:highlight w:val="none"/>
        </w:rPr>
      </w:pPr>
      <w:r>
        <w:rPr>
          <w:rFonts w:hint="eastAsia" w:ascii="宋体" w:hAnsi="宋体" w:eastAsia="宋体" w:cs="宋体"/>
          <w:b/>
          <w:bCs/>
          <w:color w:val="auto"/>
          <w:w w:val="95"/>
          <w:sz w:val="30"/>
          <w:szCs w:val="30"/>
          <w:highlight w:val="none"/>
        </w:rPr>
        <w:t xml:space="preserve">2 0 2 </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 xml:space="preserve"> 年 </w:t>
      </w:r>
      <w:r>
        <w:rPr>
          <w:rFonts w:hint="eastAsia" w:hAnsi="宋体" w:cs="宋体"/>
          <w:b/>
          <w:bCs/>
          <w:color w:val="auto"/>
          <w:w w:val="95"/>
          <w:sz w:val="30"/>
          <w:szCs w:val="30"/>
          <w:highlight w:val="none"/>
          <w:lang w:val="en-US" w:eastAsia="zh-CN"/>
        </w:rPr>
        <w:t xml:space="preserve">0 6 </w:t>
      </w:r>
      <w:r>
        <w:rPr>
          <w:rFonts w:hint="eastAsia" w:ascii="宋体" w:hAnsi="宋体" w:eastAsia="宋体" w:cs="宋体"/>
          <w:b/>
          <w:bCs/>
          <w:color w:val="auto"/>
          <w:w w:val="95"/>
          <w:sz w:val="30"/>
          <w:szCs w:val="30"/>
          <w:highlight w:val="none"/>
        </w:rPr>
        <w:t xml:space="preserve">月 </w:t>
      </w:r>
    </w:p>
    <w:p w14:paraId="6CFD95BB">
      <w:pPr>
        <w:pStyle w:val="11"/>
        <w:rPr>
          <w:rFonts w:hint="eastAsia" w:ascii="宋体" w:hAnsi="宋体" w:eastAsia="宋体" w:cs="宋体"/>
          <w:color w:val="auto"/>
          <w:highlight w:val="none"/>
        </w:rPr>
        <w:sectPr>
          <w:headerReference r:id="rId5" w:type="first"/>
          <w:headerReference r:id="rId3" w:type="default"/>
          <w:footerReference r:id="rId6" w:type="default"/>
          <w:headerReference r:id="rId4" w:type="even"/>
          <w:footerReference r:id="rId7" w:type="even"/>
          <w:pgSz w:w="11906" w:h="16838"/>
          <w:pgMar w:top="1440" w:right="1304" w:bottom="1440" w:left="1304" w:header="567" w:footer="567" w:gutter="0"/>
          <w:pgNumType w:fmt="decimal" w:start="0"/>
          <w:cols w:space="720" w:num="1"/>
          <w:titlePg/>
          <w:docGrid w:type="lines" w:linePitch="634" w:charSpace="0"/>
        </w:sectPr>
      </w:pPr>
    </w:p>
    <w:p w14:paraId="5F7DC30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highlight w:val="none"/>
        </w:rPr>
        <w:t>目        录</w:t>
      </w:r>
      <w:bookmarkStart w:id="0" w:name="_Toc237182500"/>
    </w:p>
    <w:p w14:paraId="3FFA145C">
      <w:pPr>
        <w:pStyle w:val="16"/>
        <w:tabs>
          <w:tab w:val="right" w:leader="dot" w:pos="9298"/>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TOC \o "1-3" \h \z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_Toc32477 </w:instrText>
      </w:r>
      <w:r>
        <w:rPr>
          <w:rFonts w:hint="eastAsia" w:ascii="宋体" w:hAnsi="宋体" w:eastAsia="宋体" w:cs="宋体"/>
          <w:bCs/>
          <w:color w:val="auto"/>
          <w:szCs w:val="24"/>
          <w:highlight w:val="none"/>
        </w:rPr>
        <w:fldChar w:fldCharType="separate"/>
      </w:r>
      <w:r>
        <w:rPr>
          <w:rFonts w:hint="eastAsia" w:ascii="宋体" w:hAnsi="宋体" w:eastAsia="宋体" w:cs="宋体"/>
          <w:color w:val="auto"/>
          <w:szCs w:val="30"/>
          <w:highlight w:val="none"/>
        </w:rPr>
        <w:t>第一章  公开招标采购公告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6A799311">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_Toc24909 </w:instrText>
      </w:r>
      <w:r>
        <w:rPr>
          <w:rFonts w:hint="eastAsia" w:ascii="宋体" w:hAnsi="宋体" w:eastAsia="宋体" w:cs="宋体"/>
          <w:bCs/>
          <w:color w:val="auto"/>
          <w:szCs w:val="24"/>
          <w:highlight w:val="none"/>
        </w:rPr>
        <w:fldChar w:fldCharType="separate"/>
      </w:r>
      <w:r>
        <w:rPr>
          <w:rFonts w:hint="eastAsia" w:ascii="宋体" w:hAnsi="宋体" w:eastAsia="宋体" w:cs="宋体"/>
          <w:color w:val="auto"/>
          <w:szCs w:val="30"/>
          <w:highlight w:val="none"/>
        </w:rPr>
        <w:t>第二章  招标需求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_Toc24909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6C793844">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_Toc5555 </w:instrText>
      </w:r>
      <w:r>
        <w:rPr>
          <w:rFonts w:hint="eastAsia" w:ascii="宋体" w:hAnsi="宋体" w:eastAsia="宋体" w:cs="宋体"/>
          <w:bCs/>
          <w:color w:val="auto"/>
          <w:szCs w:val="24"/>
          <w:highlight w:val="none"/>
        </w:rPr>
        <w:fldChar w:fldCharType="separate"/>
      </w:r>
      <w:r>
        <w:rPr>
          <w:rFonts w:hint="eastAsia" w:ascii="宋体" w:hAnsi="宋体" w:eastAsia="宋体" w:cs="宋体"/>
          <w:color w:val="auto"/>
          <w:szCs w:val="30"/>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46976590">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_Toc32403 </w:instrText>
      </w:r>
      <w:r>
        <w:rPr>
          <w:rFonts w:hint="eastAsia" w:ascii="宋体" w:hAnsi="宋体" w:eastAsia="宋体" w:cs="宋体"/>
          <w:bCs/>
          <w:color w:val="auto"/>
          <w:szCs w:val="24"/>
          <w:highlight w:val="none"/>
        </w:rPr>
        <w:fldChar w:fldCharType="separate"/>
      </w:r>
      <w:r>
        <w:rPr>
          <w:rFonts w:hint="eastAsia" w:ascii="宋体" w:hAnsi="宋体" w:eastAsia="宋体" w:cs="宋体"/>
          <w:color w:val="auto"/>
          <w:szCs w:val="30"/>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7CCC0030">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_Toc9773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30"/>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6DF34A66">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_Toc27491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30"/>
          <w:highlight w:val="none"/>
        </w:rPr>
        <w:t>第五章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66C53A51">
      <w:pPr>
        <w:pStyle w:val="16"/>
        <w:tabs>
          <w:tab w:val="right" w:leader="dot" w:pos="9298"/>
        </w:tabs>
        <w:rPr>
          <w:rFonts w:hint="eastAsia" w:ascii="宋体" w:hAnsi="宋体" w:eastAsia="宋体" w:cs="宋体"/>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_Toc32673 </w:instrText>
      </w:r>
      <w:r>
        <w:rPr>
          <w:rFonts w:hint="eastAsia" w:ascii="宋体" w:hAnsi="宋体" w:eastAsia="宋体" w:cs="宋体"/>
          <w:bCs/>
          <w:color w:val="auto"/>
          <w:szCs w:val="24"/>
          <w:highlight w:val="none"/>
        </w:rPr>
        <w:fldChar w:fldCharType="separate"/>
      </w:r>
      <w:r>
        <w:rPr>
          <w:rFonts w:hint="eastAsia" w:ascii="宋体" w:hAnsi="宋体" w:eastAsia="宋体" w:cs="宋体"/>
          <w:color w:val="auto"/>
          <w:szCs w:val="30"/>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bCs/>
          <w:color w:val="auto"/>
          <w:szCs w:val="24"/>
          <w:highlight w:val="none"/>
        </w:rPr>
        <w:fldChar w:fldCharType="end"/>
      </w:r>
    </w:p>
    <w:p w14:paraId="7F58B699">
      <w:pPr>
        <w:snapToGrid w:val="0"/>
        <w:spacing w:line="480" w:lineRule="auto"/>
        <w:ind w:firstLine="241" w:firstLineChars="1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4"/>
          <w:szCs w:val="24"/>
          <w:highlight w:val="none"/>
        </w:rPr>
        <w:fldChar w:fldCharType="end"/>
      </w:r>
    </w:p>
    <w:p w14:paraId="2EB03478">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1" w:name="_Toc24810"/>
      <w:r>
        <w:rPr>
          <w:rFonts w:hint="eastAsia" w:ascii="宋体" w:hAnsi="宋体" w:eastAsia="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1"/>
    </w:p>
    <w:p w14:paraId="5A025483">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2" w:name="_Toc8154"/>
      <w:r>
        <w:rPr>
          <w:rFonts w:hint="eastAsia" w:ascii="宋体" w:hAnsi="宋体" w:eastAsia="宋体" w:cs="宋体"/>
          <w:b/>
          <w:color w:val="auto"/>
          <w:sz w:val="21"/>
          <w:highlight w:val="none"/>
        </w:rPr>
        <w:t>举报电话：</w:t>
      </w:r>
      <w:bookmarkEnd w:id="2"/>
    </w:p>
    <w:p w14:paraId="23259BE5">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3" w:name="_Toc4935"/>
      <w:r>
        <w:rPr>
          <w:rFonts w:hint="eastAsia" w:ascii="宋体" w:hAnsi="宋体" w:eastAsia="宋体" w:cs="宋体"/>
          <w:b/>
          <w:color w:val="auto"/>
          <w:sz w:val="21"/>
          <w:highlight w:val="none"/>
        </w:rPr>
        <w:t>市扫黑办  0579-82495227</w:t>
      </w:r>
      <w:bookmarkEnd w:id="3"/>
    </w:p>
    <w:p w14:paraId="23F9FC14">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4" w:name="_Toc25651"/>
      <w:r>
        <w:rPr>
          <w:rFonts w:hint="eastAsia" w:ascii="宋体" w:hAnsi="宋体" w:eastAsia="宋体" w:cs="宋体"/>
          <w:b/>
          <w:color w:val="auto"/>
          <w:sz w:val="21"/>
          <w:highlight w:val="none"/>
        </w:rPr>
        <w:t>市公安局  110、0579-82512110</w:t>
      </w:r>
      <w:bookmarkEnd w:id="4"/>
    </w:p>
    <w:p w14:paraId="729794F3">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5" w:name="_Toc31744"/>
      <w:r>
        <w:rPr>
          <w:rFonts w:hint="eastAsia" w:ascii="宋体" w:hAnsi="宋体" w:eastAsia="宋体" w:cs="宋体"/>
          <w:b/>
          <w:color w:val="auto"/>
          <w:sz w:val="21"/>
          <w:highlight w:val="none"/>
        </w:rPr>
        <w:t>市检察院  0579-82537082</w:t>
      </w:r>
      <w:bookmarkEnd w:id="5"/>
    </w:p>
    <w:p w14:paraId="798012ED">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6" w:name="_Toc12378"/>
      <w:r>
        <w:rPr>
          <w:rFonts w:hint="eastAsia" w:ascii="宋体" w:hAnsi="宋体" w:eastAsia="宋体" w:cs="宋体"/>
          <w:b/>
          <w:color w:val="auto"/>
          <w:sz w:val="21"/>
          <w:highlight w:val="none"/>
        </w:rPr>
        <w:t>市 法 院  0579-82688725</w:t>
      </w:r>
      <w:bookmarkEnd w:id="6"/>
    </w:p>
    <w:p w14:paraId="1499F01D">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color w:val="auto"/>
          <w:sz w:val="21"/>
          <w:highlight w:val="none"/>
        </w:rPr>
      </w:pPr>
      <w:bookmarkStart w:id="7" w:name="_Toc3518"/>
      <w:r>
        <w:rPr>
          <w:rFonts w:hint="eastAsia" w:ascii="宋体" w:hAnsi="宋体" w:eastAsia="宋体" w:cs="宋体"/>
          <w:b/>
          <w:color w:val="auto"/>
          <w:sz w:val="21"/>
          <w:highlight w:val="none"/>
        </w:rPr>
        <w:t>市公共资源交易管理办公室  0579-82469285</w:t>
      </w:r>
      <w:bookmarkEnd w:id="7"/>
    </w:p>
    <w:p w14:paraId="3F47FE83">
      <w:pPr>
        <w:pStyle w:val="13"/>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hint="eastAsia" w:ascii="宋体" w:hAnsi="宋体" w:eastAsia="宋体" w:cs="宋体"/>
          <w:b/>
          <w:bCs/>
          <w:color w:val="auto"/>
          <w:sz w:val="21"/>
          <w:highlight w:val="none"/>
        </w:rPr>
      </w:pPr>
      <w:bookmarkStart w:id="8" w:name="_Toc32046"/>
      <w:r>
        <w:rPr>
          <w:rFonts w:hint="eastAsia" w:ascii="宋体" w:hAnsi="宋体" w:eastAsia="宋体" w:cs="宋体"/>
          <w:b/>
          <w:color w:val="auto"/>
          <w:sz w:val="21"/>
          <w:highlight w:val="none"/>
        </w:rPr>
        <w:t>市公共资源交易中心  0579-83187211</w:t>
      </w:r>
      <w:bookmarkEnd w:id="8"/>
    </w:p>
    <w:p w14:paraId="0C7AD1EE">
      <w:pPr>
        <w:spacing w:line="38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投标供应商不得向招标人、政府采购工作人员、评标专家行贿，违者一经查实，将列入政府采购黑名单！</w:t>
      </w:r>
    </w:p>
    <w:p w14:paraId="2757CE08">
      <w:pPr>
        <w:spacing w:line="380" w:lineRule="exact"/>
        <w:ind w:firstLine="422" w:firstLineChars="200"/>
        <w:jc w:val="both"/>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1.投标供应商须在政采云平台（http://zfcg.czt.zj.gov.cn/）进行免费注册，具体详见网站投标人注册要求，否则将可能无法上传投标文件。</w:t>
      </w:r>
    </w:p>
    <w:p w14:paraId="314B9E9D">
      <w:pPr>
        <w:spacing w:line="380" w:lineRule="exact"/>
        <w:ind w:firstLine="422" w:firstLineChars="200"/>
        <w:jc w:val="both"/>
        <w:rPr>
          <w:rFonts w:hint="eastAsia" w:ascii="宋体" w:hAnsi="宋体" w:eastAsia="宋体" w:cs="宋体"/>
          <w:b/>
          <w:bCs/>
          <w:color w:val="auto"/>
          <w:sz w:val="18"/>
          <w:szCs w:val="18"/>
          <w:highlight w:val="none"/>
        </w:rPr>
      </w:pPr>
      <w:r>
        <w:rPr>
          <w:rFonts w:hint="eastAsia" w:ascii="宋体" w:hAnsi="宋体" w:eastAsia="宋体" w:cs="宋体"/>
          <w:b/>
          <w:color w:val="auto"/>
          <w:sz w:val="21"/>
          <w:szCs w:val="21"/>
          <w:highlight w:val="none"/>
        </w:rPr>
        <w:t>（注：请认真阅读此招标文件，并按规定制作投标文件。）</w:t>
      </w:r>
      <w:bookmarkEnd w:id="0"/>
    </w:p>
    <w:p w14:paraId="20A223A6">
      <w:pPr>
        <w:pStyle w:val="3"/>
        <w:keepNext w:val="0"/>
        <w:spacing w:line="360" w:lineRule="auto"/>
        <w:jc w:val="center"/>
        <w:rPr>
          <w:rFonts w:hint="eastAsia" w:ascii="宋体" w:hAnsi="宋体" w:eastAsia="宋体" w:cs="宋体"/>
          <w:color w:val="auto"/>
          <w:sz w:val="30"/>
          <w:szCs w:val="30"/>
          <w:highlight w:val="none"/>
        </w:rPr>
        <w:sectPr>
          <w:footerReference r:id="rId9" w:type="first"/>
          <w:footerReference r:id="rId8" w:type="default"/>
          <w:pgSz w:w="11906" w:h="16838"/>
          <w:pgMar w:top="1440" w:right="1304" w:bottom="1440" w:left="1304" w:header="567" w:footer="567" w:gutter="0"/>
          <w:pgNumType w:fmt="decimal" w:start="1"/>
          <w:cols w:space="720" w:num="1"/>
          <w:titlePg/>
          <w:rtlGutter w:val="1"/>
          <w:docGrid w:type="lines" w:linePitch="634" w:charSpace="0"/>
        </w:sectPr>
      </w:pPr>
      <w:bookmarkStart w:id="9" w:name="_Toc184785918"/>
      <w:bookmarkStart w:id="10" w:name="_Toc205638623"/>
      <w:bookmarkStart w:id="11" w:name="_Toc237176505"/>
      <w:bookmarkStart w:id="12" w:name="_Toc217289129"/>
    </w:p>
    <w:p w14:paraId="2C45B78F">
      <w:pPr>
        <w:spacing w:line="360" w:lineRule="auto"/>
        <w:jc w:val="center"/>
        <w:rPr>
          <w:rFonts w:hint="eastAsia" w:ascii="宋体" w:hAnsi="宋体" w:eastAsia="宋体" w:cs="宋体"/>
          <w:color w:val="auto"/>
          <w:highlight w:val="none"/>
        </w:rPr>
      </w:pPr>
      <w:bookmarkStart w:id="13" w:name="_Toc29494"/>
    </w:p>
    <w:p w14:paraId="013E7D16">
      <w:pPr>
        <w:pStyle w:val="3"/>
        <w:keepNext w:val="0"/>
        <w:spacing w:line="360" w:lineRule="auto"/>
        <w:jc w:val="center"/>
        <w:rPr>
          <w:rFonts w:hint="eastAsia" w:ascii="宋体" w:hAnsi="宋体" w:eastAsia="宋体" w:cs="宋体"/>
          <w:color w:val="auto"/>
          <w:sz w:val="30"/>
          <w:szCs w:val="30"/>
          <w:highlight w:val="none"/>
        </w:rPr>
        <w:sectPr>
          <w:footerReference r:id="rId10" w:type="default"/>
          <w:type w:val="continuous"/>
          <w:pgSz w:w="11906" w:h="16838"/>
          <w:pgMar w:top="1440" w:right="1304" w:bottom="1440" w:left="1304" w:header="567" w:footer="1247" w:gutter="0"/>
          <w:pgNumType w:fmt="decimal"/>
          <w:cols w:space="0" w:num="1"/>
          <w:rtlGutter w:val="0"/>
          <w:docGrid w:type="lines" w:linePitch="634" w:charSpace="0"/>
        </w:sectPr>
      </w:pPr>
    </w:p>
    <w:p w14:paraId="6CE35A20">
      <w:pPr>
        <w:pStyle w:val="3"/>
        <w:keepNext w:val="0"/>
        <w:spacing w:line="360" w:lineRule="auto"/>
        <w:jc w:val="center"/>
        <w:rPr>
          <w:rFonts w:hint="eastAsia" w:ascii="宋体" w:hAnsi="宋体" w:eastAsia="宋体" w:cs="宋体"/>
          <w:color w:val="auto"/>
          <w:sz w:val="30"/>
          <w:szCs w:val="30"/>
          <w:highlight w:val="none"/>
        </w:rPr>
      </w:pPr>
      <w:bookmarkStart w:id="14" w:name="_Toc32477"/>
      <w:r>
        <w:rPr>
          <w:rFonts w:hint="eastAsia" w:ascii="宋体" w:hAnsi="宋体" w:eastAsia="宋体" w:cs="宋体"/>
          <w:color w:val="auto"/>
          <w:sz w:val="30"/>
          <w:szCs w:val="30"/>
          <w:highlight w:val="none"/>
        </w:rPr>
        <w:t>第一章  公开招标采购公告</w:t>
      </w:r>
      <w:bookmarkEnd w:id="13"/>
      <w:bookmarkEnd w:id="14"/>
    </w:p>
    <w:p w14:paraId="468CF350">
      <w:pPr>
        <w:pBdr>
          <w:top w:val="single" w:color="auto" w:sz="4" w:space="1"/>
          <w:left w:val="single" w:color="auto" w:sz="4" w:space="4"/>
          <w:bottom w:val="single" w:color="auto" w:sz="4" w:space="1"/>
          <w:right w:val="single" w:color="auto" w:sz="4" w:space="4"/>
        </w:pBd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FCFCE9C">
      <w:pPr>
        <w:pBdr>
          <w:top w:val="single" w:color="auto" w:sz="4" w:space="1"/>
          <w:left w:val="single" w:color="auto" w:sz="4" w:space="4"/>
          <w:bottom w:val="single" w:color="auto" w:sz="4" w:space="1"/>
          <w:right w:val="single" w:color="auto" w:sz="4" w:space="4"/>
        </w:pBdr>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2025年</w:t>
      </w:r>
      <w:r>
        <w:rPr>
          <w:rFonts w:hint="eastAsia" w:hAnsi="宋体" w:cs="宋体"/>
          <w:color w:val="auto"/>
          <w:sz w:val="21"/>
          <w:szCs w:val="21"/>
          <w:highlight w:val="none"/>
          <w:lang w:eastAsia="zh-CN"/>
        </w:rPr>
        <w:t>农作物病虫害统防统治与绿色防控融合发展项目</w:t>
      </w:r>
      <w:r>
        <w:rPr>
          <w:rFonts w:hint="eastAsia" w:ascii="宋体" w:hAnsi="宋体" w:eastAsia="宋体" w:cs="宋体"/>
          <w:color w:val="auto"/>
          <w:sz w:val="21"/>
          <w:szCs w:val="21"/>
          <w:highlight w:val="none"/>
        </w:rPr>
        <w:t>的潜在投标人应在浙江省“政采云”平台</w:t>
      </w:r>
      <w:r>
        <w:rPr>
          <w:rFonts w:hint="eastAsia" w:ascii="宋体" w:hAnsi="宋体" w:eastAsia="宋体" w:cs="宋体"/>
          <w:b/>
          <w:bCs/>
          <w:color w:val="auto"/>
          <w:sz w:val="21"/>
          <w:szCs w:val="21"/>
          <w:highlight w:val="none"/>
        </w:rPr>
        <w:t>获取招标文件</w:t>
      </w:r>
      <w:r>
        <w:rPr>
          <w:rFonts w:hint="eastAsia" w:ascii="宋体" w:hAnsi="宋体" w:eastAsia="宋体" w:cs="宋体"/>
          <w:color w:val="auto"/>
          <w:sz w:val="21"/>
          <w:szCs w:val="21"/>
          <w:highlight w:val="none"/>
        </w:rPr>
        <w:t>，并于</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07月17日09</w:t>
      </w:r>
      <w:r>
        <w:rPr>
          <w:rFonts w:hint="eastAsia" w:ascii="宋体" w:hAnsi="宋体" w:eastAsia="宋体" w:cs="宋体"/>
          <w:bCs/>
          <w:color w:val="auto"/>
          <w:sz w:val="21"/>
          <w:szCs w:val="21"/>
          <w:highlight w:val="none"/>
        </w:rPr>
        <w:t>点</w:t>
      </w:r>
      <w:r>
        <w:rPr>
          <w:rFonts w:hint="eastAsia"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分（北京时间）前上传投标文件</w:t>
      </w:r>
      <w:r>
        <w:rPr>
          <w:rFonts w:hint="eastAsia" w:ascii="宋体" w:hAnsi="宋体" w:eastAsia="宋体" w:cs="宋体"/>
          <w:color w:val="auto"/>
          <w:sz w:val="21"/>
          <w:szCs w:val="21"/>
          <w:highlight w:val="none"/>
        </w:rPr>
        <w:t>。</w:t>
      </w:r>
    </w:p>
    <w:p w14:paraId="6C14EBC5">
      <w:pPr>
        <w:tabs>
          <w:tab w:val="left" w:pos="1260"/>
        </w:tabs>
        <w:autoSpaceDE/>
        <w:autoSpaceDN/>
        <w:snapToGrid w:val="0"/>
        <w:spacing w:line="460" w:lineRule="exact"/>
        <w:ind w:firstLine="422" w:firstLineChars="200"/>
        <w:jc w:val="both"/>
        <w:rPr>
          <w:rFonts w:hint="eastAsia" w:ascii="宋体" w:hAnsi="宋体" w:eastAsia="宋体" w:cs="宋体"/>
          <w:b/>
          <w:color w:val="auto"/>
          <w:sz w:val="21"/>
          <w:szCs w:val="21"/>
          <w:highlight w:val="none"/>
        </w:rPr>
      </w:pPr>
      <w:bookmarkStart w:id="15" w:name="_Toc35393621"/>
      <w:bookmarkStart w:id="16" w:name="_Toc28359079"/>
      <w:bookmarkStart w:id="17" w:name="_Toc35393790"/>
      <w:bookmarkStart w:id="18" w:name="_Toc28359002"/>
      <w:bookmarkStart w:id="19" w:name="_Hlk24379207"/>
      <w:r>
        <w:rPr>
          <w:rFonts w:hint="eastAsia" w:ascii="宋体" w:hAnsi="宋体" w:eastAsia="宋体" w:cs="宋体"/>
          <w:b/>
          <w:color w:val="auto"/>
          <w:sz w:val="21"/>
          <w:szCs w:val="21"/>
          <w:highlight w:val="none"/>
        </w:rPr>
        <w:t>一、项目基本情况</w:t>
      </w:r>
      <w:bookmarkEnd w:id="15"/>
      <w:bookmarkEnd w:id="16"/>
      <w:bookmarkEnd w:id="17"/>
      <w:bookmarkEnd w:id="18"/>
    </w:p>
    <w:p w14:paraId="0C519D4D">
      <w:pPr>
        <w:tabs>
          <w:tab w:val="left" w:pos="1260"/>
        </w:tabs>
        <w:autoSpaceDE/>
        <w:autoSpaceDN/>
        <w:snapToGrid w:val="0"/>
        <w:spacing w:line="460" w:lineRule="exact"/>
        <w:ind w:firstLine="422" w:firstLineChars="20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hAnsi="宋体" w:cs="宋体"/>
          <w:bCs/>
          <w:color w:val="auto"/>
          <w:sz w:val="21"/>
          <w:szCs w:val="21"/>
          <w:highlight w:val="none"/>
          <w:lang w:eastAsia="zh-CN"/>
        </w:rPr>
        <w:t xml:space="preserve">TY2025-FW127-ZFCG127  </w:t>
      </w:r>
    </w:p>
    <w:p w14:paraId="4D1110B6">
      <w:pPr>
        <w:tabs>
          <w:tab w:val="left" w:pos="1260"/>
        </w:tabs>
        <w:autoSpaceDE/>
        <w:autoSpaceDN/>
        <w:snapToGrid w:val="0"/>
        <w:spacing w:line="460" w:lineRule="exact"/>
        <w:ind w:firstLine="422" w:firstLineChars="20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政府采购计划文号</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[2025]252号</w:t>
      </w:r>
    </w:p>
    <w:p w14:paraId="6430DC1F">
      <w:pPr>
        <w:tabs>
          <w:tab w:val="left" w:pos="1260"/>
        </w:tabs>
        <w:autoSpaceDE/>
        <w:autoSpaceDN/>
        <w:snapToGrid w:val="0"/>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采购组织类型：</w:t>
      </w:r>
      <w:r>
        <w:rPr>
          <w:rFonts w:hint="eastAsia" w:ascii="宋体" w:hAnsi="宋体" w:eastAsia="宋体" w:cs="宋体"/>
          <w:bCs/>
          <w:color w:val="auto"/>
          <w:sz w:val="21"/>
          <w:szCs w:val="21"/>
          <w:highlight w:val="none"/>
        </w:rPr>
        <w:t>分散采购委托代理</w:t>
      </w:r>
      <w:r>
        <w:rPr>
          <w:rFonts w:hint="eastAsia" w:ascii="宋体" w:hAnsi="宋体" w:eastAsia="宋体" w:cs="宋体"/>
          <w:bCs/>
          <w:color w:val="auto"/>
          <w:sz w:val="21"/>
          <w:szCs w:val="21"/>
          <w:highlight w:val="none"/>
        </w:rPr>
        <w:tab/>
      </w:r>
    </w:p>
    <w:p w14:paraId="6BD02915">
      <w:pPr>
        <w:tabs>
          <w:tab w:val="left" w:pos="1260"/>
        </w:tabs>
        <w:autoSpaceDE/>
        <w:autoSpaceDN/>
        <w:snapToGrid w:val="0"/>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招标方式：</w:t>
      </w:r>
      <w:r>
        <w:rPr>
          <w:rFonts w:hint="eastAsia" w:ascii="宋体" w:hAnsi="宋体" w:eastAsia="宋体" w:cs="宋体"/>
          <w:bCs/>
          <w:color w:val="auto"/>
          <w:sz w:val="21"/>
          <w:szCs w:val="21"/>
          <w:highlight w:val="none"/>
        </w:rPr>
        <w:t>公开招标</w:t>
      </w:r>
    </w:p>
    <w:p w14:paraId="3F616E4B">
      <w:pPr>
        <w:tabs>
          <w:tab w:val="left" w:pos="1260"/>
        </w:tabs>
        <w:autoSpaceDE/>
        <w:autoSpaceDN/>
        <w:snapToGrid w:val="0"/>
        <w:spacing w:line="460" w:lineRule="exact"/>
        <w:ind w:firstLine="42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bookmarkEnd w:id="19"/>
      <w:r>
        <w:rPr>
          <w:rFonts w:hint="eastAsia" w:hAnsi="宋体" w:cs="宋体"/>
          <w:b w:val="0"/>
          <w:bCs/>
          <w:color w:val="000000" w:themeColor="text1"/>
          <w:sz w:val="21"/>
          <w:szCs w:val="21"/>
          <w:highlight w:val="none"/>
          <w:lang w:val="en-US" w:eastAsia="zh-CN"/>
          <w14:textFill>
            <w14:solidFill>
              <w14:schemeClr w14:val="tx1"/>
            </w14:solidFill>
          </w14:textFill>
        </w:rPr>
        <w:t>2025年</w:t>
      </w:r>
      <w:r>
        <w:rPr>
          <w:rFonts w:hint="eastAsia" w:hAnsi="宋体" w:cs="宋体"/>
          <w:b w:val="0"/>
          <w:bCs/>
          <w:color w:val="000000" w:themeColor="text1"/>
          <w:sz w:val="21"/>
          <w:szCs w:val="21"/>
          <w:highlight w:val="none"/>
          <w:lang w:eastAsia="zh-CN"/>
          <w14:textFill>
            <w14:solidFill>
              <w14:schemeClr w14:val="tx1"/>
            </w14:solidFill>
          </w14:textFill>
        </w:rPr>
        <w:t>农作物病虫害统防</w:t>
      </w:r>
      <w:r>
        <w:rPr>
          <w:rFonts w:hint="eastAsia" w:hAnsi="宋体" w:cs="宋体"/>
          <w:color w:val="auto"/>
          <w:sz w:val="21"/>
          <w:szCs w:val="21"/>
          <w:highlight w:val="none"/>
          <w:lang w:eastAsia="zh-CN"/>
        </w:rPr>
        <w:t>统治与绿色防控融合发展项目</w:t>
      </w:r>
    </w:p>
    <w:p w14:paraId="3103AA79">
      <w:pPr>
        <w:tabs>
          <w:tab w:val="left" w:pos="1260"/>
        </w:tabs>
        <w:autoSpaceDE/>
        <w:autoSpaceDN/>
        <w:snapToGrid w:val="0"/>
        <w:spacing w:line="46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预算金额（人民币）：</w:t>
      </w:r>
      <w:r>
        <w:rPr>
          <w:rFonts w:hint="eastAsia" w:hAnsi="宋体" w:cs="宋体"/>
          <w:bCs/>
          <w:color w:val="auto"/>
          <w:sz w:val="21"/>
          <w:szCs w:val="21"/>
          <w:highlight w:val="none"/>
          <w:lang w:val="en-US" w:eastAsia="zh-CN"/>
        </w:rPr>
        <w:t xml:space="preserve">60万元 </w:t>
      </w:r>
    </w:p>
    <w:p w14:paraId="5FE0B180">
      <w:pPr>
        <w:tabs>
          <w:tab w:val="left" w:pos="1260"/>
        </w:tabs>
        <w:autoSpaceDE/>
        <w:autoSpaceDN/>
        <w:snapToGrid w:val="0"/>
        <w:spacing w:line="4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w:t>
      </w:r>
      <w:r>
        <w:rPr>
          <w:rFonts w:hint="eastAsia" w:hAnsi="宋体" w:cs="宋体"/>
          <w:b/>
          <w:color w:val="auto"/>
          <w:sz w:val="21"/>
          <w:szCs w:val="21"/>
          <w:highlight w:val="none"/>
          <w:lang w:val="en-US" w:eastAsia="zh-CN"/>
        </w:rPr>
        <w:t>人民币</w:t>
      </w:r>
      <w:r>
        <w:rPr>
          <w:rFonts w:hint="eastAsia" w:ascii="宋体" w:hAnsi="宋体" w:eastAsia="宋体" w:cs="宋体"/>
          <w:b/>
          <w:color w:val="auto"/>
          <w:sz w:val="21"/>
          <w:szCs w:val="21"/>
          <w:highlight w:val="none"/>
        </w:rPr>
        <w:t>）：</w:t>
      </w:r>
      <w:r>
        <w:rPr>
          <w:rFonts w:hint="eastAsia" w:hAnsi="宋体" w:cs="宋体"/>
          <w:bCs/>
          <w:color w:val="auto"/>
          <w:sz w:val="21"/>
          <w:szCs w:val="21"/>
          <w:highlight w:val="none"/>
          <w:lang w:val="en-US" w:eastAsia="zh-CN"/>
        </w:rPr>
        <w:t xml:space="preserve">60万元 </w:t>
      </w:r>
    </w:p>
    <w:p w14:paraId="6EC3CB67">
      <w:pPr>
        <w:tabs>
          <w:tab w:val="left" w:pos="1260"/>
        </w:tabs>
        <w:autoSpaceDE/>
        <w:autoSpaceDN/>
        <w:snapToGrid w:val="0"/>
        <w:spacing w:line="4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color w:val="auto"/>
          <w:sz w:val="21"/>
          <w:szCs w:val="21"/>
          <w:highlight w:val="none"/>
        </w:rPr>
        <w:t xml:space="preserve">： </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943"/>
        <w:gridCol w:w="3495"/>
        <w:gridCol w:w="849"/>
        <w:gridCol w:w="1921"/>
      </w:tblGrid>
      <w:tr w14:paraId="6D04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pct"/>
            <w:noWrap w:val="0"/>
            <w:vAlign w:val="center"/>
          </w:tcPr>
          <w:p w14:paraId="2D2C7A0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460" w:type="pct"/>
            <w:noWrap w:val="0"/>
            <w:vAlign w:val="center"/>
          </w:tcPr>
          <w:p w14:paraId="2FD664E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734" w:type="pct"/>
            <w:noWrap w:val="0"/>
            <w:vAlign w:val="center"/>
          </w:tcPr>
          <w:p w14:paraId="24D9163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主要技术指标要求</w:t>
            </w:r>
          </w:p>
        </w:tc>
        <w:tc>
          <w:tcPr>
            <w:tcW w:w="421" w:type="pct"/>
            <w:noWrap w:val="0"/>
            <w:vAlign w:val="center"/>
          </w:tcPr>
          <w:p w14:paraId="05E236D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选定家数</w:t>
            </w:r>
          </w:p>
        </w:tc>
        <w:tc>
          <w:tcPr>
            <w:tcW w:w="953" w:type="pct"/>
            <w:noWrap w:val="0"/>
            <w:vAlign w:val="center"/>
          </w:tcPr>
          <w:p w14:paraId="61D2DA0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000000" w:themeColor="text1"/>
                <w:sz w:val="21"/>
                <w:szCs w:val="21"/>
                <w:highlight w:val="none"/>
                <w14:textFill>
                  <w14:solidFill>
                    <w14:schemeClr w14:val="tx1"/>
                  </w14:solidFill>
                </w14:textFill>
              </w:rPr>
              <w:t>（人民币）</w:t>
            </w:r>
          </w:p>
        </w:tc>
      </w:tr>
      <w:tr w14:paraId="570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0" w:type="pct"/>
            <w:shd w:val="clear" w:color="auto" w:fill="FFFFFF"/>
            <w:noWrap w:val="0"/>
            <w:vAlign w:val="center"/>
          </w:tcPr>
          <w:p w14:paraId="1DE7021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60" w:type="pct"/>
            <w:noWrap w:val="0"/>
            <w:vAlign w:val="center"/>
          </w:tcPr>
          <w:p w14:paraId="1D08842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lang w:eastAsia="zh-CN"/>
              </w:rPr>
            </w:pPr>
            <w:r>
              <w:rPr>
                <w:rFonts w:hint="eastAsia" w:hAnsi="宋体" w:cs="宋体"/>
                <w:color w:val="auto"/>
                <w:sz w:val="21"/>
                <w:szCs w:val="21"/>
                <w:highlight w:val="none"/>
                <w:lang w:val="en-US" w:eastAsia="zh-CN"/>
              </w:rPr>
              <w:t>2025年</w:t>
            </w:r>
            <w:r>
              <w:rPr>
                <w:rFonts w:hint="eastAsia" w:ascii="宋体" w:hAnsi="宋体" w:eastAsia="宋体" w:cs="宋体"/>
                <w:color w:val="auto"/>
                <w:sz w:val="21"/>
                <w:szCs w:val="21"/>
                <w:highlight w:val="none"/>
                <w:lang w:eastAsia="zh-CN"/>
              </w:rPr>
              <w:t>农作物病虫害统防统治与绿色防控融合发展项目</w:t>
            </w:r>
          </w:p>
        </w:tc>
        <w:tc>
          <w:tcPr>
            <w:tcW w:w="1734" w:type="pct"/>
            <w:noWrap w:val="0"/>
            <w:vAlign w:val="center"/>
          </w:tcPr>
          <w:p w14:paraId="422F6C9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详细技术参数及要求将在</w:t>
            </w:r>
            <w:r>
              <w:rPr>
                <w:rFonts w:hint="eastAsia" w:ascii="宋体" w:hAnsi="宋体" w:eastAsia="宋体" w:cs="宋体"/>
                <w:color w:val="auto"/>
                <w:sz w:val="21"/>
                <w:szCs w:val="21"/>
                <w:lang w:eastAsia="zh-CN"/>
              </w:rPr>
              <w:t>第二章采购需求</w:t>
            </w:r>
            <w:r>
              <w:rPr>
                <w:rFonts w:hint="eastAsia" w:ascii="宋体" w:hAnsi="宋体" w:eastAsia="宋体" w:cs="宋体"/>
                <w:color w:val="auto"/>
                <w:sz w:val="21"/>
                <w:szCs w:val="21"/>
              </w:rPr>
              <w:t>中明确阐述。</w:t>
            </w:r>
          </w:p>
        </w:tc>
        <w:tc>
          <w:tcPr>
            <w:tcW w:w="421" w:type="pct"/>
            <w:noWrap w:val="0"/>
            <w:vAlign w:val="center"/>
          </w:tcPr>
          <w:p w14:paraId="3E5616C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家</w:t>
            </w:r>
          </w:p>
        </w:tc>
        <w:tc>
          <w:tcPr>
            <w:tcW w:w="953" w:type="pct"/>
            <w:noWrap w:val="0"/>
            <w:vAlign w:val="center"/>
          </w:tcPr>
          <w:p w14:paraId="26AE94B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 xml:space="preserve"> 万元</w:t>
            </w:r>
          </w:p>
        </w:tc>
      </w:tr>
    </w:tbl>
    <w:p w14:paraId="20427541">
      <w:pPr>
        <w:tabs>
          <w:tab w:val="left" w:pos="1260"/>
        </w:tabs>
        <w:autoSpaceDE/>
        <w:autoSpaceDN/>
        <w:snapToGrid w:val="0"/>
        <w:spacing w:line="4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合同履行期限：合同签订</w:t>
      </w:r>
      <w:r>
        <w:rPr>
          <w:rFonts w:hint="eastAsia" w:ascii="宋体" w:hAnsi="宋体" w:eastAsia="宋体" w:cs="宋体"/>
          <w:color w:val="auto"/>
          <w:sz w:val="21"/>
          <w:szCs w:val="21"/>
          <w:highlight w:val="none"/>
          <w:lang w:val="en-US" w:eastAsia="zh-CN"/>
        </w:rPr>
        <w:t>之日起至2025年10月30日止。</w:t>
      </w:r>
    </w:p>
    <w:p w14:paraId="4CD5B608">
      <w:pPr>
        <w:tabs>
          <w:tab w:val="left" w:pos="1260"/>
        </w:tabs>
        <w:autoSpaceDE/>
        <w:autoSpaceDN/>
        <w:adjustRightInd/>
        <w:snapToGrid w:val="0"/>
        <w:spacing w:line="5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w:t>
      </w:r>
      <w:r>
        <w:rPr>
          <w:rFonts w:hint="eastAsia" w:hAnsi="宋体" w:cs="宋体"/>
          <w:b/>
          <w:color w:val="000000" w:themeColor="text1"/>
          <w:sz w:val="21"/>
          <w:szCs w:val="21"/>
          <w:highlight w:val="none"/>
          <w:lang w:eastAsia="zh-CN"/>
          <w14:textFill>
            <w14:solidFill>
              <w14:schemeClr w14:val="tx1"/>
            </w14:solidFill>
          </w14:textFill>
        </w:rPr>
        <w:t>拒绝</w:t>
      </w:r>
      <w:r>
        <w:rPr>
          <w:rFonts w:hint="eastAsia" w:ascii="宋体" w:hAnsi="宋体" w:eastAsia="宋体" w:cs="宋体"/>
          <w:b/>
          <w:color w:val="000000" w:themeColor="text1"/>
          <w:sz w:val="21"/>
          <w:szCs w:val="21"/>
          <w:highlight w:val="none"/>
          <w14:textFill>
            <w14:solidFill>
              <w14:schemeClr w14:val="tx1"/>
            </w14:solidFill>
          </w14:textFill>
        </w:rPr>
        <w:t>接受联合体投标。</w:t>
      </w:r>
      <w:bookmarkStart w:id="20" w:name="_Toc28359003"/>
      <w:bookmarkStart w:id="21" w:name="_Toc28359080"/>
      <w:bookmarkStart w:id="22" w:name="_Toc35393622"/>
      <w:bookmarkStart w:id="23" w:name="_Toc35393791"/>
    </w:p>
    <w:p w14:paraId="05E1BE07">
      <w:pPr>
        <w:tabs>
          <w:tab w:val="left" w:pos="1260"/>
        </w:tabs>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bookmarkEnd w:id="20"/>
      <w:bookmarkEnd w:id="21"/>
      <w:bookmarkEnd w:id="22"/>
      <w:bookmarkEnd w:id="23"/>
    </w:p>
    <w:p w14:paraId="1CA9318E">
      <w:pPr>
        <w:spacing w:line="500" w:lineRule="exact"/>
        <w:ind w:firstLine="420" w:firstLineChars="200"/>
        <w:rPr>
          <w:rFonts w:hint="eastAsia" w:ascii="宋体" w:hAnsi="宋体" w:eastAsia="宋体" w:cs="宋体"/>
          <w:color w:val="FF0000"/>
          <w:sz w:val="21"/>
          <w:szCs w:val="21"/>
          <w:highlight w:val="none"/>
          <w:shd w:val="clear" w:color="auto" w:fill="FFFFFF"/>
        </w:rPr>
      </w:pPr>
      <w:bookmarkStart w:id="24" w:name="_Toc28359081"/>
      <w:bookmarkStart w:id="25" w:name="_Toc28359004"/>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color="auto" w:fill="FFFFFF"/>
        </w:rPr>
        <w:t>符合《中华人民共和国政府采购法》第二十二条供应商应当具备的条件，且未被“信用中国”（www.creditchina.gov.cn）、中国政府采购网（www.ccgp.gov.cn）列入失信被执行人、重大税收违法案件当事人名单、政府采购严重违法失信行为记录名单；</w:t>
      </w:r>
    </w:p>
    <w:p w14:paraId="4D0D4ABE">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2.落实政策：</w:t>
      </w:r>
    </w:p>
    <w:p w14:paraId="1DFCA70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（1）落实政府采购政策需满足的资格要求：</w:t>
      </w:r>
    </w:p>
    <w:p w14:paraId="229EA2C7">
      <w:pPr>
        <w:snapToGrid w:val="0"/>
        <w:spacing w:line="500" w:lineRule="exact"/>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无；</w:t>
      </w:r>
    </w:p>
    <w:p w14:paraId="682A6EF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sym w:font="Wingdings" w:char="F0FE"/>
      </w:r>
      <w:r>
        <w:rPr>
          <w:rFonts w:hint="eastAsia" w:ascii="宋体" w:hAnsi="宋体" w:eastAsia="宋体" w:cs="宋体"/>
          <w:color w:val="auto"/>
          <w:sz w:val="21"/>
          <w:szCs w:val="21"/>
          <w:highlight w:val="none"/>
        </w:rPr>
        <w:t>专门面向中小企业：</w:t>
      </w:r>
    </w:p>
    <w:p w14:paraId="3FAC51E7">
      <w:pPr>
        <w:spacing w:line="5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highlight w:val="none"/>
        </w:rPr>
        <w:sym w:font="Wingdings" w:char="F0A8"/>
      </w:r>
      <w:r>
        <w:rPr>
          <w:rFonts w:hint="eastAsia" w:ascii="宋体" w:hAnsi="宋体" w:eastAsia="宋体" w:cs="宋体"/>
          <w:color w:val="auto"/>
          <w:sz w:val="21"/>
          <w:szCs w:val="21"/>
          <w:highlight w:val="none"/>
        </w:rPr>
        <w:t>货物全部由符合政策要求的中小企业制造，提供中小企业声明函；</w:t>
      </w:r>
    </w:p>
    <w:p w14:paraId="09735A99">
      <w:pPr>
        <w:spacing w:line="500" w:lineRule="exact"/>
        <w:ind w:firstLine="840" w:firstLineChars="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☐货物全部由符合政策要求的小微企业制造</w:t>
      </w:r>
      <w:r>
        <w:rPr>
          <w:rFonts w:hint="eastAsia" w:ascii="宋体" w:hAnsi="宋体" w:eastAsia="宋体" w:cs="宋体"/>
          <w:color w:val="000000" w:themeColor="text1"/>
          <w:sz w:val="21"/>
          <w:szCs w:val="21"/>
          <w:highlight w:val="none"/>
          <w14:textFill>
            <w14:solidFill>
              <w14:schemeClr w14:val="tx1"/>
            </w14:solidFill>
          </w14:textFill>
        </w:rPr>
        <w:t>，提供中小企业声明函；</w:t>
      </w:r>
    </w:p>
    <w:p w14:paraId="7C5F55DA">
      <w:pPr>
        <w:spacing w:line="500" w:lineRule="exact"/>
        <w:ind w:firstLine="840" w:firstLineChars="4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sym w:font="Wingdings" w:char="F0A8"/>
      </w:r>
      <w:r>
        <w:rPr>
          <w:rFonts w:hint="eastAsia" w:ascii="宋体" w:hAnsi="宋体" w:eastAsia="宋体" w:cs="宋体"/>
          <w:color w:val="000000" w:themeColor="text1"/>
          <w:sz w:val="21"/>
          <w:szCs w:val="21"/>
          <w:highlight w:val="none"/>
          <w14:textFill>
            <w14:solidFill>
              <w14:schemeClr w14:val="tx1"/>
            </w14:solidFill>
          </w14:textFill>
        </w:rPr>
        <w:t>工程全部由符合政策要求的中小企业承接，提供中小企业声明函；</w:t>
      </w:r>
    </w:p>
    <w:p w14:paraId="0EFAF36C">
      <w:pPr>
        <w:spacing w:line="500" w:lineRule="exact"/>
        <w:ind w:firstLine="840" w:firstLineChars="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☐工程全部由符合政策要求的小微企业承接，提供中小企业声明函；</w:t>
      </w:r>
    </w:p>
    <w:p w14:paraId="4D2447E9">
      <w:pPr>
        <w:spacing w:line="500" w:lineRule="exact"/>
        <w:ind w:firstLine="840" w:firstLineChars="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sym w:font="Wingdings" w:char="F0FE"/>
      </w:r>
      <w:r>
        <w:rPr>
          <w:rFonts w:hint="eastAsia" w:ascii="宋体" w:hAnsi="宋体" w:eastAsia="宋体" w:cs="宋体"/>
          <w:color w:val="000000" w:themeColor="text1"/>
          <w:sz w:val="21"/>
          <w:szCs w:val="21"/>
          <w:highlight w:val="none"/>
          <w14:textFill>
            <w14:solidFill>
              <w14:schemeClr w14:val="tx1"/>
            </w14:solidFill>
          </w14:textFill>
        </w:rPr>
        <w:t>服务全部由符合政策要求的中小企业承接，提供中小企业声明函；</w:t>
      </w:r>
    </w:p>
    <w:p w14:paraId="2646D0BC">
      <w:pPr>
        <w:spacing w:line="500" w:lineRule="exact"/>
        <w:ind w:firstLine="840" w:firstLineChars="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☐服务全部由符合政策要求的小微企业承接，提供中小企业声明函；</w:t>
      </w:r>
    </w:p>
    <w:p w14:paraId="22816CBE">
      <w:pPr>
        <w:pStyle w:val="19"/>
        <w:adjustRightInd w:val="0"/>
        <w:snapToGrid w:val="0"/>
        <w:spacing w:before="0" w:beforeAutospacing="0" w:after="0" w:afterAutospacing="0" w:line="500" w:lineRule="exact"/>
        <w:ind w:firstLine="420" w:firstLineChars="200"/>
        <w:rPr>
          <w:rStyle w:val="24"/>
          <w:rFonts w:hint="eastAsia" w:ascii="宋体" w:hAnsi="宋体" w:eastAsia="宋体" w:cs="宋体"/>
          <w:bCs/>
          <w:color w:val="auto"/>
          <w:sz w:val="21"/>
          <w:szCs w:val="21"/>
          <w:highlight w:val="none"/>
          <w:shd w:val="clear" w:color="auto" w:fill="FFFFFF"/>
        </w:rPr>
      </w:pPr>
      <w:r>
        <w:rPr>
          <w:rFonts w:hint="eastAsia" w:ascii="宋体" w:hAnsi="宋体" w:eastAsia="宋体" w:cs="宋体"/>
          <w:color w:val="000000" w:themeColor="text1"/>
          <w:sz w:val="21"/>
          <w:szCs w:val="21"/>
          <w:highlight w:val="none"/>
          <w14:textFill>
            <w14:solidFill>
              <w14:schemeClr w14:val="tx1"/>
            </w14:solidFill>
          </w14:textFill>
        </w:rPr>
        <w:t>（2）采购项目需要落实的政府采购政策：执行节</w:t>
      </w:r>
      <w:r>
        <w:rPr>
          <w:rFonts w:hint="eastAsia" w:ascii="宋体" w:hAnsi="宋体" w:eastAsia="宋体" w:cs="宋体"/>
          <w:color w:val="auto"/>
          <w:sz w:val="21"/>
          <w:szCs w:val="21"/>
          <w:highlight w:val="none"/>
        </w:rPr>
        <w:t>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D68615C">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bookmarkEnd w:id="24"/>
      <w:bookmarkEnd w:id="25"/>
      <w:bookmarkStart w:id="26" w:name="_Toc35393627"/>
      <w:bookmarkStart w:id="27" w:name="_Toc35393796"/>
      <w:bookmarkStart w:id="28" w:name="_Toc28359008"/>
      <w:bookmarkStart w:id="29" w:name="_Toc28359085"/>
      <w:r>
        <w:rPr>
          <w:rFonts w:hint="eastAsia" w:ascii="宋体" w:hAnsi="宋体" w:eastAsia="宋体" w:cs="宋体"/>
          <w:color w:val="auto"/>
          <w:sz w:val="21"/>
          <w:szCs w:val="21"/>
          <w:highlight w:val="none"/>
          <w:shd w:val="clear" w:color="auto" w:fill="FFFFFF"/>
        </w:rPr>
        <w:t>无。</w:t>
      </w:r>
    </w:p>
    <w:p w14:paraId="4CEE846B">
      <w:pPr>
        <w:tabs>
          <w:tab w:val="left" w:pos="1260"/>
        </w:tabs>
        <w:autoSpaceDE/>
        <w:autoSpaceDN/>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4.公益一类事业单位不属于政府购买服务的承接主体，不得参与承接政府购买服务。</w:t>
      </w:r>
    </w:p>
    <w:p w14:paraId="2A27C6E7">
      <w:pPr>
        <w:autoSpaceDE/>
        <w:autoSpaceDN/>
        <w:adjustRightInd/>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14:paraId="477AA750">
      <w:pPr>
        <w:tabs>
          <w:tab w:val="left" w:pos="1260"/>
        </w:tabs>
        <w:snapToGrid w:val="0"/>
        <w:spacing w:line="500" w:lineRule="exact"/>
        <w:ind w:firstLine="420" w:firstLineChars="200"/>
        <w:jc w:val="both"/>
        <w:rPr>
          <w:rFonts w:hint="eastAsia" w:ascii="宋体" w:hAnsi="宋体" w:eastAsia="宋体" w:cs="宋体"/>
          <w:color w:val="auto"/>
          <w:sz w:val="21"/>
          <w:szCs w:val="21"/>
          <w:highlight w:val="none"/>
        </w:rPr>
      </w:pPr>
      <w:bookmarkStart w:id="30" w:name="_Toc28359007"/>
      <w:bookmarkStart w:id="31" w:name="_Toc35393794"/>
      <w:bookmarkStart w:id="32" w:name="_Toc28359084"/>
      <w:bookmarkStart w:id="33" w:name="_Toc35393625"/>
      <w:r>
        <w:rPr>
          <w:rFonts w:hint="eastAsia" w:ascii="宋体" w:hAnsi="宋体" w:eastAsia="宋体" w:cs="宋体"/>
          <w:color w:val="auto"/>
          <w:sz w:val="21"/>
          <w:szCs w:val="21"/>
          <w:highlight w:val="none"/>
          <w:shd w:val="clear" w:color="auto" w:fill="FFFFFF"/>
        </w:rPr>
        <w:t>1. 时间：</w:t>
      </w:r>
      <w:r>
        <w:rPr>
          <w:rFonts w:hint="eastAsia" w:ascii="宋体" w:hAnsi="宋体" w:eastAsia="宋体" w:cs="宋体"/>
          <w:color w:val="auto"/>
          <w:sz w:val="21"/>
          <w:szCs w:val="21"/>
          <w:highlight w:val="none"/>
        </w:rPr>
        <w:t>本项目公告发布之日</w:t>
      </w:r>
      <w:r>
        <w:rPr>
          <w:rFonts w:hint="eastAsia" w:ascii="宋体" w:hAnsi="宋体" w:eastAsia="宋体" w:cs="宋体"/>
          <w:color w:val="auto"/>
          <w:sz w:val="21"/>
          <w:szCs w:val="21"/>
          <w:highlight w:val="none"/>
          <w:shd w:val="clear" w:color="auto" w:fill="FFFFFF"/>
        </w:rPr>
        <w:t>至</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07</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17</w:t>
      </w:r>
      <w:r>
        <w:rPr>
          <w:rFonts w:hint="eastAsia" w:hAnsi="宋体" w:cs="宋体"/>
          <w:color w:val="auto"/>
          <w:sz w:val="21"/>
          <w:szCs w:val="21"/>
          <w:highlight w:val="none"/>
          <w:lang w:eastAsia="zh-CN"/>
        </w:rPr>
        <w:t>日</w:t>
      </w:r>
      <w:r>
        <w:rPr>
          <w:rFonts w:hint="eastAsia" w:ascii="宋体" w:hAnsi="宋体" w:eastAsia="宋体" w:cs="宋体"/>
          <w:color w:val="auto"/>
          <w:sz w:val="21"/>
          <w:szCs w:val="21"/>
          <w:highlight w:val="none"/>
          <w:shd w:val="clear" w:color="auto" w:fill="FFFFFF"/>
        </w:rPr>
        <w:t>（北京时间）</w:t>
      </w:r>
    </w:p>
    <w:p w14:paraId="42745620">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 招标文件获取地址（网址）：登录浙江省“政采云”平台（网址https://www.zcygov.cn）－－后台项目采购板块点击申请获取采购文件。</w:t>
      </w:r>
    </w:p>
    <w:p w14:paraId="7C9326EC">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3.获取采购文件方式：</w:t>
      </w:r>
    </w:p>
    <w:p w14:paraId="57200974">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供应商自行登录浙江省“政采云”平台（网址https://www.zcygov.cn）获取采购文件（供应商线上获取采购文件的流程：供应商登录浙江省“政采云”平台并进入【项目采购】应用模块，点击左侧菜单的【获取采购文件】，点击对应项目的【申请获取采购文件】按钮，填写获取采购文件申请信息后，点右下角【确定】按钮提交）。</w:t>
      </w:r>
    </w:p>
    <w:p w14:paraId="7BC8F628">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4.售价（元）：零元。</w:t>
      </w:r>
    </w:p>
    <w:p w14:paraId="3E7D014D">
      <w:pPr>
        <w:tabs>
          <w:tab w:val="left" w:pos="1260"/>
        </w:tabs>
        <w:autoSpaceDE/>
        <w:autoSpaceDN/>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7BF28027">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Style w:val="24"/>
          <w:rFonts w:hint="eastAsia" w:ascii="宋体" w:hAnsi="宋体" w:eastAsia="宋体" w:cs="宋体"/>
          <w:bCs/>
          <w:color w:val="auto"/>
          <w:sz w:val="21"/>
          <w:szCs w:val="21"/>
          <w:highlight w:val="none"/>
        </w:rPr>
        <w:t>浙江政府采购网上随公告发布的采购文件仅供阅览。</w:t>
      </w:r>
      <w:r>
        <w:rPr>
          <w:rFonts w:hint="eastAsia" w:ascii="宋体" w:hAnsi="宋体" w:eastAsia="宋体" w:cs="宋体"/>
          <w:color w:val="auto"/>
          <w:sz w:val="21"/>
          <w:szCs w:val="21"/>
          <w:highlight w:val="none"/>
        </w:rPr>
        <w:t>投标人应按上述方式报名获取采购文件；未按上述方式报名获取采购文件的，不得对采购文件提起质疑投诉且采购代理机构有权拒绝其投标。同时，请投标人在参加投标前随时关注项目可能的更正公告情况。</w:t>
      </w:r>
    </w:p>
    <w:p w14:paraId="50713BAF">
      <w:pPr>
        <w:tabs>
          <w:tab w:val="left" w:pos="1260"/>
        </w:tabs>
        <w:autoSpaceDE/>
        <w:autoSpaceDN/>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（2）采购代理机构将拒绝接受未按上述方式报名获取采购文件的投标人的投标文件。</w:t>
      </w:r>
    </w:p>
    <w:p w14:paraId="6F564556">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bookmarkStart w:id="34" w:name="_Toc28359005"/>
      <w:bookmarkStart w:id="35" w:name="_Toc28359082"/>
      <w:bookmarkStart w:id="36" w:name="_Toc35393624"/>
      <w:bookmarkStart w:id="37" w:name="_Toc35393793"/>
      <w:r>
        <w:rPr>
          <w:rFonts w:hint="eastAsia" w:ascii="宋体" w:hAnsi="宋体" w:eastAsia="宋体" w:cs="宋体"/>
          <w:b/>
          <w:color w:val="auto"/>
          <w:sz w:val="21"/>
          <w:szCs w:val="21"/>
          <w:highlight w:val="none"/>
        </w:rPr>
        <w:t>四、提交投标文件</w:t>
      </w:r>
      <w:bookmarkEnd w:id="34"/>
      <w:bookmarkEnd w:id="35"/>
      <w:r>
        <w:rPr>
          <w:rFonts w:hint="eastAsia" w:ascii="宋体" w:hAnsi="宋体" w:eastAsia="宋体" w:cs="宋体"/>
          <w:b/>
          <w:color w:val="auto"/>
          <w:sz w:val="21"/>
          <w:szCs w:val="21"/>
          <w:highlight w:val="none"/>
        </w:rPr>
        <w:t>截止时间、开标时间和地点</w:t>
      </w:r>
      <w:bookmarkEnd w:id="36"/>
      <w:bookmarkEnd w:id="37"/>
    </w:p>
    <w:p w14:paraId="2D3C900D">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07</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17</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：30时</w:t>
      </w:r>
      <w:r>
        <w:rPr>
          <w:rFonts w:hint="eastAsia" w:ascii="宋体" w:hAnsi="宋体" w:eastAsia="宋体" w:cs="宋体"/>
          <w:color w:val="auto"/>
          <w:sz w:val="21"/>
          <w:szCs w:val="21"/>
          <w:highlight w:val="none"/>
        </w:rPr>
        <w:t>（北京时间）</w:t>
      </w:r>
    </w:p>
    <w:p w14:paraId="07FAACFE">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w:t>
      </w:r>
      <w:r>
        <w:rPr>
          <w:rFonts w:hint="eastAsia" w:ascii="宋体" w:hAnsi="宋体" w:eastAsia="宋体" w:cs="宋体"/>
          <w:color w:val="auto"/>
          <w:sz w:val="21"/>
          <w:szCs w:val="21"/>
          <w:highlight w:val="none"/>
          <w:u w:val="single"/>
          <w:shd w:val="clear" w:color="auto" w:fill="FFFFFF"/>
        </w:rPr>
        <w:t>通过浙江政府采购网政府采购云平台实行在线投标响应。</w:t>
      </w:r>
    </w:p>
    <w:p w14:paraId="6D84FDAF">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07</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17</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：30时</w:t>
      </w:r>
      <w:r>
        <w:rPr>
          <w:rFonts w:hint="eastAsia" w:ascii="宋体" w:hAnsi="宋体" w:eastAsia="宋体" w:cs="宋体"/>
          <w:color w:val="auto"/>
          <w:sz w:val="21"/>
          <w:szCs w:val="21"/>
          <w:highlight w:val="none"/>
        </w:rPr>
        <w:t>（北京时间） </w:t>
      </w:r>
    </w:p>
    <w:p w14:paraId="6889DC20">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开标地点（网址）：</w:t>
      </w:r>
      <w:r>
        <w:rPr>
          <w:rFonts w:hint="eastAsia" w:ascii="宋体" w:hAnsi="宋体" w:eastAsia="宋体" w:cs="宋体"/>
          <w:color w:val="auto"/>
          <w:sz w:val="21"/>
          <w:szCs w:val="21"/>
          <w:highlight w:val="none"/>
          <w:u w:val="single"/>
        </w:rPr>
        <w:t>金华市双龙南街858号金华财富大厦（金华市行政服务中心新办事大厅4楼开标</w:t>
      </w:r>
      <w:r>
        <w:rPr>
          <w:rFonts w:hint="eastAsia" w:hAnsi="宋体" w:cs="宋体"/>
          <w:color w:val="auto"/>
          <w:sz w:val="21"/>
          <w:szCs w:val="21"/>
          <w:highlight w:val="none"/>
          <w:u w:val="single"/>
          <w:lang w:val="en-US" w:eastAsia="zh-CN"/>
        </w:rPr>
        <w:t>室</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shd w:val="clear" w:color="auto" w:fill="FFFFFF"/>
        </w:rPr>
        <w:t xml:space="preserve"> 通过浙江政府采购网政府采</w:t>
      </w:r>
      <w:r>
        <w:rPr>
          <w:rFonts w:hint="eastAsia" w:ascii="宋体" w:hAnsi="宋体" w:eastAsia="宋体" w:cs="宋体"/>
          <w:color w:val="auto"/>
          <w:sz w:val="21"/>
          <w:szCs w:val="21"/>
          <w:highlight w:val="none"/>
          <w:u w:val="single"/>
        </w:rPr>
        <w:t>购云平台在线开标，</w:t>
      </w:r>
      <w:r>
        <w:rPr>
          <w:rStyle w:val="24"/>
          <w:rFonts w:hint="eastAsia" w:ascii="宋体" w:hAnsi="宋体" w:eastAsia="宋体" w:cs="宋体"/>
          <w:b w:val="0"/>
          <w:bCs/>
          <w:color w:val="auto"/>
          <w:sz w:val="21"/>
          <w:szCs w:val="21"/>
          <w:highlight w:val="none"/>
          <w:u w:val="single"/>
        </w:rPr>
        <w:t>投标供应</w:t>
      </w:r>
      <w:r>
        <w:rPr>
          <w:rFonts w:hint="eastAsia" w:ascii="宋体" w:hAnsi="宋体" w:eastAsia="宋体" w:cs="宋体"/>
          <w:color w:val="auto"/>
          <w:sz w:val="21"/>
          <w:szCs w:val="21"/>
          <w:highlight w:val="none"/>
          <w:u w:val="single"/>
        </w:rPr>
        <w:t>商无须前往投标现场，但须准时在线参加，直至评审结束。开标截止时间后30分钟以内供应商登录“政采云”平台，用“项目采购－开标评标”功能进行解密投标文件。若供应商在规定时间内投标文件无法解密或解密失败（含未提交），则投标无效。</w:t>
      </w:r>
    </w:p>
    <w:p w14:paraId="65C384A0">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2D01060E">
      <w:pPr>
        <w:tabs>
          <w:tab w:val="left" w:pos="1260"/>
        </w:tabs>
        <w:autoSpaceDE/>
        <w:autoSpaceDN/>
        <w:adjustRightInd/>
        <w:snapToGrid w:val="0"/>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C1FB1AA">
      <w:pPr>
        <w:tabs>
          <w:tab w:val="left" w:pos="1260"/>
        </w:tabs>
        <w:autoSpaceDE/>
        <w:autoSpaceDN/>
        <w:adjustRightInd/>
        <w:snapToGrid w:val="0"/>
        <w:spacing w:line="5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六、公告地址：</w:t>
      </w:r>
      <w:r>
        <w:rPr>
          <w:rFonts w:hint="eastAsia" w:ascii="宋体" w:hAnsi="宋体" w:eastAsia="宋体" w:cs="宋体"/>
          <w:color w:val="auto"/>
          <w:sz w:val="21"/>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55A623AD">
      <w:pPr>
        <w:tabs>
          <w:tab w:val="left" w:pos="1260"/>
        </w:tabs>
        <w:autoSpaceDE/>
        <w:autoSpaceDN/>
        <w:adjustRightInd/>
        <w:snapToGrid w:val="0"/>
        <w:spacing w:line="4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七、其他补充事宜</w:t>
      </w:r>
    </w:p>
    <w:p w14:paraId="63C50D18">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CA26615">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B1FAC1">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招标人提出质疑，对其他内容的以书面形式向招标人和采购代理机构提出质疑。质疑供应商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1BE8B9E2">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4.其他事项：见招标文件。 </w:t>
      </w:r>
    </w:p>
    <w:p w14:paraId="07EE13F4">
      <w:pPr>
        <w:tabs>
          <w:tab w:val="left" w:pos="1260"/>
        </w:tabs>
        <w:wordWrap w:val="0"/>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14:paraId="32BC0B2E">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45A5CAD">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政府采购金融服务提示：</w:t>
      </w:r>
    </w:p>
    <w:p w14:paraId="65077AB9">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为扩大政府采购金融服务面，除政采云网上金融服务合作银行外，金华市范围增加线下合作银行两家，具体信息如下：</w:t>
      </w:r>
    </w:p>
    <w:p w14:paraId="5DC9381D">
      <w:pPr>
        <w:pStyle w:val="19"/>
        <w:spacing w:before="0" w:beforeAutospacing="0" w:after="0" w:afterAutospacing="0" w:line="540" w:lineRule="exact"/>
        <w:ind w:left="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金华银行文创支行 联系人： 姜峰 </w:t>
      </w:r>
    </w:p>
    <w:p w14:paraId="6BF5EA19">
      <w:pPr>
        <w:pStyle w:val="19"/>
        <w:spacing w:before="0" w:beforeAutospacing="0" w:after="0" w:afterAutospacing="0" w:line="540" w:lineRule="exact"/>
        <w:ind w:left="420" w:firstLine="1890" w:firstLineChars="9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联系电话：13905792828 </w:t>
      </w:r>
    </w:p>
    <w:p w14:paraId="7333E3F2">
      <w:pPr>
        <w:pStyle w:val="19"/>
        <w:spacing w:before="0" w:beforeAutospacing="0" w:after="0" w:afterAutospacing="0" w:line="540" w:lineRule="exact"/>
        <w:ind w:left="420" w:firstLine="2940" w:firstLineChars="1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0579-82479020</w:t>
      </w:r>
    </w:p>
    <w:p w14:paraId="6EFE3BAB">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浙商银行金华分行   联系人： 朱晨祥 </w:t>
      </w:r>
    </w:p>
    <w:p w14:paraId="3515167E">
      <w:pPr>
        <w:tabs>
          <w:tab w:val="left" w:pos="1260"/>
        </w:tabs>
        <w:autoSpaceDE/>
        <w:autoSpaceDN/>
        <w:adjustRightInd/>
        <w:spacing w:line="46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联系电话： 15857978811</w:t>
      </w:r>
    </w:p>
    <w:p w14:paraId="572983F9">
      <w:pPr>
        <w:pStyle w:val="19"/>
        <w:spacing w:before="0" w:beforeAutospacing="0" w:after="0" w:afterAutospacing="0" w:line="460" w:lineRule="exact"/>
        <w:ind w:firstLine="420" w:firstLineChars="200"/>
        <w:rPr>
          <w:rStyle w:val="24"/>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rPr>
        <w:t xml:space="preserve">                              0579-82999581</w:t>
      </w:r>
    </w:p>
    <w:p w14:paraId="4C037DB2">
      <w:pPr>
        <w:pStyle w:val="19"/>
        <w:spacing w:before="0" w:beforeAutospacing="0" w:after="0" w:afterAutospacing="0" w:line="460" w:lineRule="exact"/>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bCs/>
          <w:color w:val="auto"/>
          <w:sz w:val="21"/>
          <w:szCs w:val="21"/>
          <w:highlight w:val="none"/>
          <w:shd w:val="clear" w:color="auto" w:fill="FFFFFF"/>
        </w:rPr>
        <w:t>八、电子投标事项特别说明</w:t>
      </w:r>
    </w:p>
    <w:p w14:paraId="1B9BB9C3">
      <w:pPr>
        <w:pStyle w:val="19"/>
        <w:widowControl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6084F2D2">
      <w:pPr>
        <w:pStyle w:val="19"/>
        <w:widowControl w:val="0"/>
        <w:wordWrap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2.标前准备（CA驱动办理）：</w:t>
      </w:r>
      <w:r>
        <w:rPr>
          <w:rFonts w:hint="eastAsia" w:ascii="宋体" w:hAnsi="宋体" w:eastAsia="宋体" w:cs="宋体"/>
          <w:bCs/>
          <w:color w:val="auto"/>
          <w:sz w:val="21"/>
          <w:szCs w:val="21"/>
          <w:highlight w:val="none"/>
        </w:rPr>
        <w:t>投标人应在开标前完成CA数字证书办理。完成CA数字证书办理预计一周左右，建议各投标人抓紧时间办理。因未注册入库、未办理CA数字证书等原因造成无法投标或投标失败等后果由投标人自行承担。</w:t>
      </w:r>
    </w:p>
    <w:p w14:paraId="39308E22">
      <w:pPr>
        <w:pStyle w:val="19"/>
        <w:widowControl w:val="0"/>
        <w:wordWrap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3.投标人通过政采云平台“电子交易客户端”制作响应文件，电子投标工具请供应商自行前往浙江省政府采购网下载并安装。</w:t>
      </w:r>
    </w:p>
    <w:p w14:paraId="4A2934F2">
      <w:pPr>
        <w:pStyle w:val="19"/>
        <w:widowControl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4.投标人将加密的电子版响应文件于投标截止时间前上传到政采云系统中。</w:t>
      </w:r>
    </w:p>
    <w:p w14:paraId="43F12394">
      <w:pPr>
        <w:pStyle w:val="19"/>
        <w:widowControl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w:t>
      </w:r>
    </w:p>
    <w:p w14:paraId="4E757878">
      <w:pPr>
        <w:pStyle w:val="19"/>
        <w:widowControl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注：建议使用谷歌浏览器，使用其他浏览器可能发生无法解密等未知情况。</w:t>
      </w:r>
    </w:p>
    <w:p w14:paraId="3FE51FEF">
      <w:pPr>
        <w:pStyle w:val="19"/>
        <w:widowControl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bookmarkEnd w:id="30"/>
      <w:bookmarkEnd w:id="31"/>
      <w:bookmarkEnd w:id="32"/>
      <w:bookmarkEnd w:id="33"/>
    </w:p>
    <w:p w14:paraId="01D04DAC">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九、对本次招标提出询问，请按以下方式联系。</w:t>
      </w:r>
      <w:bookmarkEnd w:id="26"/>
      <w:bookmarkEnd w:id="27"/>
      <w:bookmarkEnd w:id="28"/>
      <w:bookmarkEnd w:id="29"/>
    </w:p>
    <w:p w14:paraId="650F32CF">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1.采购单位信息</w:t>
      </w:r>
    </w:p>
    <w:p w14:paraId="2B9789E0">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名 称：</w:t>
      </w:r>
      <w:r>
        <w:rPr>
          <w:rFonts w:hint="eastAsia" w:ascii="宋体" w:cs="宋体"/>
          <w:color w:val="auto"/>
          <w:sz w:val="21"/>
          <w:szCs w:val="21"/>
          <w:highlight w:val="none"/>
          <w:shd w:val="clear" w:color="auto" w:fill="FFFFFF"/>
          <w:lang w:eastAsia="zh-CN"/>
        </w:rPr>
        <w:t>金华经济技术开发区乡村振兴部</w:t>
      </w:r>
    </w:p>
    <w:p w14:paraId="61139779">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 址：</w:t>
      </w:r>
      <w:r>
        <w:rPr>
          <w:rFonts w:hint="eastAsia" w:ascii="宋体" w:hAnsi="宋体" w:eastAsia="宋体" w:cs="宋体"/>
          <w:color w:val="auto"/>
          <w:sz w:val="21"/>
          <w:szCs w:val="21"/>
          <w:highlight w:val="none"/>
          <w:shd w:val="clear" w:color="auto" w:fill="FFFFFF"/>
          <w:lang w:eastAsia="zh-CN"/>
        </w:rPr>
        <w:t>金华市婺城区汤溪镇</w:t>
      </w:r>
      <w:r>
        <w:rPr>
          <w:rFonts w:hint="eastAsia" w:ascii="宋体" w:hAnsi="宋体" w:eastAsia="宋体" w:cs="宋体"/>
          <w:color w:val="auto"/>
          <w:sz w:val="21"/>
          <w:szCs w:val="21"/>
          <w:highlight w:val="none"/>
          <w:shd w:val="clear" w:color="auto" w:fill="FFFFFF"/>
        </w:rPr>
        <w:t>金西大道900号</w:t>
      </w:r>
    </w:p>
    <w:p w14:paraId="3A6AC328">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项目联系人：</w:t>
      </w:r>
      <w:r>
        <w:rPr>
          <w:rFonts w:hint="eastAsia" w:ascii="宋体" w:cs="宋体"/>
          <w:color w:val="auto"/>
          <w:sz w:val="21"/>
          <w:szCs w:val="21"/>
          <w:highlight w:val="none"/>
          <w:shd w:val="clear" w:color="auto" w:fill="FFFFFF"/>
          <w:lang w:val="en-US" w:eastAsia="zh-CN"/>
        </w:rPr>
        <w:t xml:space="preserve"> 陈雯</w:t>
      </w:r>
    </w:p>
    <w:p w14:paraId="7F8093BB">
      <w:pPr>
        <w:pStyle w:val="19"/>
        <w:snapToGrid w:val="0"/>
        <w:spacing w:before="0" w:beforeAutospacing="0" w:after="0" w:afterAutospacing="0" w:line="500" w:lineRule="exact"/>
        <w:ind w:firstLine="420" w:firstLineChars="20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项目联系方式：0579-</w:t>
      </w:r>
      <w:r>
        <w:rPr>
          <w:rFonts w:hint="eastAsia" w:ascii="宋体" w:cs="宋体"/>
          <w:color w:val="auto"/>
          <w:sz w:val="21"/>
          <w:szCs w:val="21"/>
          <w:highlight w:val="none"/>
          <w:shd w:val="clear" w:color="auto" w:fill="FFFFFF"/>
          <w:lang w:val="en-US" w:eastAsia="zh-CN"/>
        </w:rPr>
        <w:t>89172503</w:t>
      </w:r>
    </w:p>
    <w:p w14:paraId="5D91FCB3">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质疑联系人：</w:t>
      </w:r>
      <w:r>
        <w:rPr>
          <w:rFonts w:hint="eastAsia" w:ascii="宋体" w:cs="宋体"/>
          <w:color w:val="auto"/>
          <w:sz w:val="21"/>
          <w:szCs w:val="21"/>
          <w:highlight w:val="none"/>
          <w:shd w:val="clear" w:color="auto" w:fill="FFFFFF"/>
          <w:lang w:val="en-US" w:eastAsia="zh-CN"/>
        </w:rPr>
        <w:t xml:space="preserve"> 胡文华</w:t>
      </w:r>
    </w:p>
    <w:p w14:paraId="2866FDD5">
      <w:pPr>
        <w:pStyle w:val="19"/>
        <w:snapToGrid w:val="0"/>
        <w:spacing w:before="0" w:beforeAutospacing="0" w:after="0" w:afterAutospacing="0" w:line="500" w:lineRule="exact"/>
        <w:ind w:firstLine="420" w:firstLineChars="20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质疑联系方式：0579-</w:t>
      </w:r>
      <w:r>
        <w:rPr>
          <w:rFonts w:hint="eastAsia" w:ascii="宋体" w:cs="宋体"/>
          <w:color w:val="auto"/>
          <w:sz w:val="21"/>
          <w:szCs w:val="21"/>
          <w:highlight w:val="none"/>
          <w:shd w:val="clear" w:color="auto" w:fill="FFFFFF"/>
          <w:lang w:val="en-US" w:eastAsia="zh-CN"/>
        </w:rPr>
        <w:t>82660507</w:t>
      </w:r>
    </w:p>
    <w:p w14:paraId="0940438B">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2.采购代理机构信息</w:t>
      </w:r>
    </w:p>
    <w:p w14:paraId="2B39F63A">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名称：金华市天盈招标代理有限公司 　　　　　　　　　　 </w:t>
      </w:r>
    </w:p>
    <w:p w14:paraId="34001DA1">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w:t>
      </w:r>
      <w:r>
        <w:rPr>
          <w:rFonts w:hint="eastAsia" w:hAnsi="宋体" w:cs="宋体"/>
          <w:sz w:val="21"/>
          <w:szCs w:val="21"/>
          <w:lang w:eastAsia="zh-CN"/>
        </w:rPr>
        <w:t>金华市婺城区城西街道建业东</w:t>
      </w:r>
      <w:r>
        <w:rPr>
          <w:rFonts w:hint="eastAsia" w:ascii="宋体" w:hAnsi="宋体" w:eastAsia="宋体" w:cs="宋体"/>
          <w:color w:val="auto"/>
          <w:sz w:val="21"/>
          <w:szCs w:val="21"/>
          <w:highlight w:val="none"/>
          <w:shd w:val="clear" w:color="auto" w:fill="FFFFFF"/>
          <w:lang w:eastAsia="zh-CN"/>
        </w:rPr>
        <w:t>路168号</w:t>
      </w:r>
      <w:r>
        <w:rPr>
          <w:rFonts w:hint="eastAsia" w:ascii="宋体" w:hAnsi="宋体" w:eastAsia="宋体" w:cs="宋体"/>
          <w:color w:val="auto"/>
          <w:sz w:val="21"/>
          <w:szCs w:val="21"/>
          <w:highlight w:val="none"/>
          <w:shd w:val="clear" w:color="auto" w:fill="FFFFFF"/>
        </w:rPr>
        <w:t xml:space="preserve"> </w:t>
      </w:r>
      <w:r>
        <w:rPr>
          <w:rFonts w:hint="eastAsia" w:asci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w:t>
      </w:r>
    </w:p>
    <w:p w14:paraId="23446D6F">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传真：0579-82460882   　</w:t>
      </w:r>
    </w:p>
    <w:p w14:paraId="2AEA7F66">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项目联系人（询问）：</w:t>
      </w:r>
      <w:r>
        <w:rPr>
          <w:rFonts w:hint="eastAsia" w:ascii="宋体" w:cs="宋体"/>
          <w:color w:val="auto"/>
          <w:sz w:val="21"/>
          <w:szCs w:val="21"/>
          <w:highlight w:val="none"/>
          <w:shd w:val="clear" w:color="auto" w:fill="FFFFFF"/>
          <w:lang w:eastAsia="zh-CN"/>
        </w:rPr>
        <w:t>于玲琍</w:t>
      </w:r>
      <w:r>
        <w:rPr>
          <w:rFonts w:hint="eastAsia" w:asci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w:t>
      </w:r>
    </w:p>
    <w:p w14:paraId="73B2D8B9">
      <w:pPr>
        <w:pStyle w:val="19"/>
        <w:snapToGrid w:val="0"/>
        <w:spacing w:before="0" w:beforeAutospacing="0" w:after="0" w:afterAutospacing="0" w:line="500" w:lineRule="exact"/>
        <w:ind w:firstLine="420" w:firstLineChars="200"/>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项目联系方式（询问）：0579-82</w:t>
      </w:r>
      <w:r>
        <w:rPr>
          <w:rFonts w:hint="eastAsia" w:ascii="宋体" w:cs="宋体"/>
          <w:color w:val="auto"/>
          <w:sz w:val="21"/>
          <w:szCs w:val="21"/>
          <w:highlight w:val="none"/>
          <w:shd w:val="clear" w:color="auto" w:fill="FFFFFF"/>
          <w:lang w:val="en-US" w:eastAsia="zh-CN"/>
        </w:rPr>
        <w:t>162067</w:t>
      </w:r>
    </w:p>
    <w:p w14:paraId="77076612">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质疑联系人（询问）：夏翰宇　   　　</w:t>
      </w:r>
    </w:p>
    <w:p w14:paraId="6236814B">
      <w:pPr>
        <w:pStyle w:val="19"/>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质疑联系方式（询问）：0579-82474058 </w:t>
      </w:r>
    </w:p>
    <w:p w14:paraId="36704819">
      <w:pPr>
        <w:tabs>
          <w:tab w:val="left" w:pos="1260"/>
        </w:tabs>
        <w:autoSpaceDE/>
        <w:autoSpaceDN/>
        <w:adjustRightInd/>
        <w:snapToGrid w:val="0"/>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3.同级政府采购监督管理部门</w:t>
      </w:r>
    </w:p>
    <w:p w14:paraId="2A1D2087">
      <w:pPr>
        <w:pStyle w:val="19"/>
        <w:widowControl w:val="0"/>
        <w:adjustRightInd w:val="0"/>
        <w:snapToGrid w:val="0"/>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名称：金华经济技术开发区管理委员会财政局</w:t>
      </w:r>
    </w:p>
    <w:p w14:paraId="4078D990">
      <w:pPr>
        <w:tabs>
          <w:tab w:val="left" w:pos="1260"/>
        </w:tabs>
        <w:autoSpaceDE/>
        <w:autoSpaceDN/>
        <w:snapToGrid w:val="0"/>
        <w:spacing w:line="5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地 址：金华市婺城区西关街道李渔路1755号  </w:t>
      </w:r>
    </w:p>
    <w:p w14:paraId="33C8CC20">
      <w:pPr>
        <w:pStyle w:val="19"/>
        <w:widowControl w:val="0"/>
        <w:adjustRightInd w:val="0"/>
        <w:snapToGrid w:val="0"/>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联系人 ：陈老师</w:t>
      </w:r>
    </w:p>
    <w:p w14:paraId="195974FF">
      <w:pPr>
        <w:pStyle w:val="19"/>
        <w:snapToGrid w:val="0"/>
        <w:spacing w:before="0" w:beforeAutospacing="0" w:after="0" w:afterAutospacing="0" w:line="5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联系电话：0579-89193093</w:t>
      </w:r>
    </w:p>
    <w:bookmarkEnd w:id="9"/>
    <w:bookmarkEnd w:id="10"/>
    <w:bookmarkEnd w:id="11"/>
    <w:bookmarkEnd w:id="12"/>
    <w:p w14:paraId="2B7D011B">
      <w:pPr>
        <w:pStyle w:val="3"/>
        <w:keepNext w:val="0"/>
        <w:snapToGrid w:val="0"/>
        <w:spacing w:line="5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38" w:name="_Toc29315"/>
      <w:bookmarkStart w:id="39" w:name="_Toc24909"/>
      <w:r>
        <w:rPr>
          <w:rFonts w:hint="eastAsia" w:ascii="宋体" w:hAnsi="宋体" w:eastAsia="宋体" w:cs="宋体"/>
          <w:color w:val="auto"/>
          <w:sz w:val="30"/>
          <w:szCs w:val="30"/>
          <w:highlight w:val="none"/>
        </w:rPr>
        <w:t>第二章  招标需求</w:t>
      </w:r>
      <w:bookmarkEnd w:id="38"/>
      <w:bookmarkEnd w:id="39"/>
    </w:p>
    <w:p w14:paraId="26DB6E66">
      <w:pPr>
        <w:keepNext w:val="0"/>
        <w:keepLines w:val="0"/>
        <w:pageBreakBefore w:val="0"/>
        <w:widowControl w:val="0"/>
        <w:kinsoku/>
        <w:wordWrap/>
        <w:overflowPunct/>
        <w:topLinePunct w:val="0"/>
        <w:autoSpaceDE w:val="0"/>
        <w:autoSpaceDN w:val="0"/>
        <w:bidi w:val="0"/>
        <w:adjustRightInd w:val="0"/>
        <w:snapToGrid/>
        <w:spacing w:line="50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、项目概述</w:t>
      </w:r>
    </w:p>
    <w:p w14:paraId="0D3D3E0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根据《浙江省植保检疫与农药管理总站关于印发《〈2025年浙江省植保检疫与农药管理工作要点〉的通知》(浙植〔2025〕8号)、《浙江省财政厅 浙江省农业农村厅关于提前下达2025年省农业农村现代化先行资金的通知》（浙财农〔2024〕82号）要求，坚持“预防为主、综合防治、分区治理、突出重点”的防控策略，开展主要农作物病虫害统防统治与绿色防控等工作。</w:t>
      </w:r>
    </w:p>
    <w:p w14:paraId="75032E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bidi="ar-SA"/>
        </w:rPr>
        <w:t>二、</w:t>
      </w:r>
      <w:r>
        <w:rPr>
          <w:rFonts w:hint="eastAsia" w:ascii="宋体" w:hAnsi="宋体" w:eastAsia="宋体" w:cs="宋体"/>
          <w:b/>
          <w:bCs/>
          <w:color w:val="auto"/>
          <w:sz w:val="21"/>
          <w:szCs w:val="21"/>
          <w:highlight w:val="none"/>
          <w:lang w:val="en-US" w:eastAsia="zh-CN"/>
        </w:rPr>
        <w:t>服务内容</w:t>
      </w:r>
    </w:p>
    <w:p w14:paraId="52CB365B">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2"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1.绿色防控：</w:t>
      </w:r>
      <w:r>
        <w:rPr>
          <w:rFonts w:hint="eastAsia" w:ascii="宋体" w:hAnsi="宋体" w:eastAsia="宋体" w:cs="宋体"/>
          <w:color w:val="auto"/>
          <w:sz w:val="21"/>
          <w:szCs w:val="21"/>
          <w:highlight w:val="none"/>
          <w:lang w:val="en-US" w:eastAsia="zh-CN" w:bidi="ar-SA"/>
        </w:rPr>
        <w:t>在汤溪寺平畈</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建设省级病虫害绿色防控示范区1个，面积1000亩。</w:t>
      </w:r>
      <w:r>
        <w:rPr>
          <w:rFonts w:hint="eastAsia" w:ascii="宋体" w:hAnsi="宋体" w:eastAsia="宋体" w:cs="宋体"/>
          <w:color w:val="000000" w:themeColor="text1"/>
          <w:sz w:val="21"/>
          <w:szCs w:val="21"/>
          <w:highlight w:val="none"/>
          <w14:textFill>
            <w14:solidFill>
              <w14:schemeClr w14:val="tx1"/>
            </w14:solidFill>
          </w14:textFill>
        </w:rPr>
        <w:t>推广</w:t>
      </w:r>
      <w:r>
        <w:rPr>
          <w:rFonts w:hint="eastAsia" w:ascii="宋体" w:hAnsi="宋体" w:eastAsia="宋体" w:cs="宋体"/>
          <w:color w:val="000000" w:themeColor="text1"/>
          <w:sz w:val="21"/>
          <w:szCs w:val="21"/>
          <w:highlight w:val="none"/>
          <w14:textFill>
            <w14:solidFill>
              <w14:schemeClr w14:val="tx1"/>
            </w14:solidFill>
          </w14:textFill>
          <w:woUserID w:val="1"/>
        </w:rPr>
        <w:t>示范</w:t>
      </w:r>
      <w:r>
        <w:rPr>
          <w:rFonts w:hint="eastAsia" w:ascii="宋体" w:hAnsi="宋体" w:eastAsia="宋体" w:cs="宋体"/>
          <w:color w:val="000000" w:themeColor="text1"/>
          <w:sz w:val="21"/>
          <w:szCs w:val="21"/>
          <w:highlight w:val="none"/>
          <w14:textFill>
            <w14:solidFill>
              <w14:schemeClr w14:val="tx1"/>
            </w14:solidFill>
          </w14:textFill>
        </w:rPr>
        <w:t>香根草种植，性诱、迷婚和食诱等绿色防控技术</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，设立1块绿色防控示范区示范牌和10块技术展示牌，开展水稻绿色防控技术培训，人数不少于50人次</w:t>
      </w:r>
      <w:r>
        <w:rPr>
          <w:rFonts w:hint="eastAsia" w:ascii="宋体" w:hAnsi="宋体" w:eastAsia="宋体" w:cs="宋体"/>
          <w:color w:val="auto"/>
          <w:sz w:val="21"/>
          <w:szCs w:val="21"/>
          <w:highlight w:val="none"/>
          <w:lang w:val="en-US" w:eastAsia="zh-CN" w:bidi="ar-SA"/>
        </w:rPr>
        <w:t>。（示范片资金约10万元）</w:t>
      </w:r>
    </w:p>
    <w:p w14:paraId="04C11CC6">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1.1工作目标</w:t>
      </w:r>
    </w:p>
    <w:p w14:paraId="2F296E9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建设浙江省省级绿色防控示范区为目标，推广生态调控、理化诱控、生物防治、环境兼容及生态友好的高效低风险农药等绿色防控技术手段，农药使用折百量控制在120g/亩以下。农田生态得到改善，经济、社会和生态效益明显。</w:t>
      </w:r>
    </w:p>
    <w:p w14:paraId="329638A7">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1.2工作要求</w:t>
      </w:r>
    </w:p>
    <w:p w14:paraId="238792F0">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（1）生态调控技术：播</w:t>
      </w:r>
      <w:r>
        <w:rPr>
          <w:rFonts w:hint="eastAsia" w:ascii="宋体" w:hAnsi="宋体" w:eastAsia="宋体" w:cs="宋体"/>
          <w:color w:val="auto"/>
          <w:sz w:val="21"/>
          <w:szCs w:val="21"/>
          <w:highlight w:val="none"/>
          <w:lang w:eastAsia="zh-CN" w:bidi="ar-SA"/>
          <w:woUserID w:val="1"/>
        </w:rPr>
        <w:t>种</w:t>
      </w:r>
      <w:r>
        <w:rPr>
          <w:rFonts w:hint="eastAsia" w:ascii="宋体" w:hAnsi="宋体" w:eastAsia="宋体" w:cs="宋体"/>
          <w:color w:val="auto"/>
          <w:sz w:val="21"/>
          <w:szCs w:val="21"/>
          <w:highlight w:val="none"/>
          <w:lang w:val="en-US" w:eastAsia="zh-CN" w:bidi="ar-SA"/>
        </w:rPr>
        <w:t>硫华菊</w:t>
      </w:r>
      <w:r>
        <w:rPr>
          <w:rFonts w:hint="eastAsia" w:ascii="宋体" w:hAnsi="宋体" w:eastAsia="宋体" w:cs="宋体"/>
          <w:color w:val="auto"/>
          <w:sz w:val="21"/>
          <w:szCs w:val="21"/>
          <w:highlight w:val="none"/>
          <w:lang w:eastAsia="zh-CN" w:bidi="ar-SA"/>
          <w:woUserID w:val="1"/>
        </w:rPr>
        <w:t>、黄秋葵等显花植物</w:t>
      </w:r>
      <w:r>
        <w:rPr>
          <w:rFonts w:hint="eastAsia" w:ascii="宋体" w:hAnsi="宋体" w:eastAsia="宋体" w:cs="宋体"/>
          <w:color w:val="auto"/>
          <w:sz w:val="21"/>
          <w:szCs w:val="21"/>
          <w:highlight w:val="none"/>
          <w:lang w:val="en-US" w:eastAsia="zh-CN" w:bidi="ar-SA"/>
        </w:rPr>
        <w:t>3000米以上，为天敌昆虫提供食料和栖境，保护和提高蜘蛛、寄生蜂等天敌的控害能力。</w:t>
      </w:r>
    </w:p>
    <w:p w14:paraId="1053DE1E">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（2）性诱技术示范：在二化螟成虫羽化始期开始，应用二化螟性信息素诱捕成虫。示范面积约400亩，平均每亩1套诱捕装置，每个诱捕器间距25米左右，采用外密内疏的布局方法。</w:t>
      </w:r>
    </w:p>
    <w:p w14:paraId="3089C3D5">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（3）食诱技术示范：应用花香诱芯诱捕水稻螟虫，示范面积约400亩，平均每亩1套诱捕装置，每个诱捕器间距25米左右，采用外密内疏的布局方法。</w:t>
      </w:r>
    </w:p>
    <w:p w14:paraId="02438A3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（4）二化螟迷婚技术：应用二化螟迷婚剂缓释技术，根据二化螟习性，定时定量释放二化螟迷婚剂干扰二化螟交配。示范面积约200亩，平均每5亩安插1个迷婚装置。</w:t>
      </w:r>
    </w:p>
    <w:p w14:paraId="0FF96E9D">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（5）寄生性天敌释放技术示范：在8、9月</w:t>
      </w:r>
      <w:r>
        <w:rPr>
          <w:rFonts w:hint="eastAsia" w:ascii="宋体" w:hAnsi="宋体" w:eastAsia="宋体" w:cs="宋体"/>
          <w:color w:val="auto"/>
          <w:sz w:val="21"/>
          <w:szCs w:val="21"/>
          <w:highlight w:val="none"/>
          <w:lang w:eastAsia="zh-CN" w:bidi="ar-SA"/>
          <w:woUserID w:val="1"/>
        </w:rPr>
        <w:t>二化螟羽化盛期</w:t>
      </w:r>
      <w:r>
        <w:rPr>
          <w:rFonts w:hint="eastAsia" w:ascii="宋体" w:hAnsi="宋体" w:eastAsia="宋体" w:cs="宋体"/>
          <w:color w:val="auto"/>
          <w:sz w:val="21"/>
          <w:szCs w:val="21"/>
          <w:highlight w:val="none"/>
          <w:lang w:val="en-US" w:eastAsia="zh-CN" w:bidi="ar-SA"/>
        </w:rPr>
        <w:t>各释放一次赤眼蜂，每亩每次释放10000头，控制水稻螟虫危害，示范面积300亩。</w:t>
      </w:r>
    </w:p>
    <w:p w14:paraId="5DE09D6A">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（6）捕食性天敌释放技术示范：在8</w:t>
      </w:r>
      <w:r>
        <w:rPr>
          <w:rFonts w:hint="eastAsia" w:ascii="宋体" w:hAnsi="宋体" w:eastAsia="宋体" w:cs="宋体"/>
          <w:color w:val="auto"/>
          <w:sz w:val="21"/>
          <w:szCs w:val="21"/>
          <w:highlight w:val="none"/>
          <w:lang w:eastAsia="zh-CN" w:bidi="ar-SA"/>
          <w:woUserID w:val="1"/>
        </w:rPr>
        <w:t>月</w:t>
      </w:r>
      <w:r>
        <w:rPr>
          <w:rFonts w:hint="eastAsia" w:ascii="宋体" w:hAnsi="宋体" w:eastAsia="宋体" w:cs="宋体"/>
          <w:color w:val="auto"/>
          <w:sz w:val="21"/>
          <w:szCs w:val="21"/>
          <w:highlight w:val="none"/>
          <w:lang w:val="en-US" w:eastAsia="zh-CN" w:bidi="ar-SA"/>
        </w:rPr>
        <w:t>释放2次中华淡翅蝽，每亩每次释放100头，捕食稻飞虱，示范面积100亩。</w:t>
      </w:r>
    </w:p>
    <w:p w14:paraId="17CA6D1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（7）营建害虫天敌库：在示范区稻田靠近田埂边移栽100米秕谷草，宽度20-30cm。</w:t>
      </w:r>
    </w:p>
    <w:p w14:paraId="5418E552">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（8）制作1块3*4米的绿色防控示范区示范牌和10块40*60cm的技术展示牌，组织开展一次水稻绿色防控技术培训或现场会，人数50人次以上。</w:t>
      </w:r>
    </w:p>
    <w:p w14:paraId="39905A3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2"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2.统防统治：</w:t>
      </w:r>
      <w:r>
        <w:rPr>
          <w:rFonts w:hint="eastAsia" w:ascii="宋体" w:hAnsi="宋体" w:eastAsia="宋体" w:cs="宋体"/>
          <w:color w:val="auto"/>
          <w:sz w:val="21"/>
          <w:szCs w:val="21"/>
          <w:highlight w:val="none"/>
          <w:lang w:val="en-US" w:eastAsia="zh-CN" w:bidi="ar-SA"/>
        </w:rPr>
        <w:t>开展水稻白叶枯病防治，采购药剂并通过无人机飞防等形式完成水稻等主要农作物统防统治面积约2万亩，并协助完成7.5万亩统防统治数字台账填报任务。（项目资金约50万元）</w:t>
      </w:r>
    </w:p>
    <w:p w14:paraId="2214DEF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2.1工作要求</w:t>
      </w:r>
    </w:p>
    <w:p w14:paraId="014231DF">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做好晚稻病虫害监测调查工作。</w:t>
      </w:r>
    </w:p>
    <w:p w14:paraId="1B7D716B">
      <w:pPr>
        <w:keepNext w:val="0"/>
        <w:keepLines w:val="0"/>
        <w:pageBreakBefore w:val="0"/>
        <w:widowControl w:val="0"/>
        <w:numPr>
          <w:ilvl w:val="0"/>
          <w:numId w:val="1"/>
        </w:numPr>
        <w:kinsoku/>
        <w:wordWrap/>
        <w:overflowPunct/>
        <w:topLinePunct w:val="0"/>
        <w:autoSpaceDE/>
        <w:autoSpaceDN/>
        <w:bidi w:val="0"/>
        <w:adjustRightInd/>
        <w:snapToGrid/>
        <w:spacing w:after="0" w:line="500" w:lineRule="exact"/>
        <w:ind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在连作晚稻破口前，开展白叶枯病</w:t>
      </w:r>
      <w:r>
        <w:rPr>
          <w:rFonts w:hint="eastAsia" w:ascii="宋体" w:hAnsi="宋体" w:eastAsia="宋体" w:cs="宋体"/>
          <w:color w:val="auto"/>
          <w:sz w:val="21"/>
          <w:szCs w:val="21"/>
          <w:highlight w:val="none"/>
          <w:lang w:eastAsia="zh-CN" w:bidi="ar-SA"/>
          <w:woUserID w:val="1"/>
        </w:rPr>
        <w:t>防治</w:t>
      </w:r>
      <w:r>
        <w:rPr>
          <w:rFonts w:hint="eastAsia" w:ascii="宋体" w:hAnsi="宋体" w:eastAsia="宋体" w:cs="宋体"/>
          <w:color w:val="auto"/>
          <w:sz w:val="21"/>
          <w:szCs w:val="21"/>
          <w:highlight w:val="none"/>
          <w:lang w:val="en-US" w:eastAsia="zh-CN" w:bidi="ar-SA"/>
        </w:rPr>
        <w:t>工作，选用40%噻唑锌根据实际每亩用药50ml及以上，特殊区域加大用量，并通过无人机飞防。</w:t>
      </w:r>
    </w:p>
    <w:p w14:paraId="5A206FA9">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422"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3.数据上报:</w:t>
      </w:r>
      <w:r>
        <w:rPr>
          <w:rFonts w:hint="eastAsia" w:ascii="宋体" w:hAnsi="宋体" w:eastAsia="宋体" w:cs="宋体"/>
          <w:color w:val="auto"/>
          <w:sz w:val="21"/>
          <w:szCs w:val="21"/>
          <w:highlight w:val="none"/>
          <w:lang w:val="en-US" w:eastAsia="zh-CN" w:bidi="ar-SA"/>
        </w:rPr>
        <w:t>协助采购人落实主要农作物统防统治数字化台账数据上报工作。</w:t>
      </w:r>
    </w:p>
    <w:p w14:paraId="5142085A">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宋体" w:hAnsi="宋体" w:eastAsia="宋体" w:cs="宋体"/>
          <w:b/>
          <w:color w:val="auto"/>
          <w:sz w:val="21"/>
          <w:szCs w:val="21"/>
          <w:highlight w:val="none"/>
        </w:rPr>
      </w:pPr>
      <w:r>
        <w:rPr>
          <w:rFonts w:hint="eastAsia" w:ascii="宋体" w:hAnsi="宋体" w:eastAsia="宋体" w:cs="宋体"/>
          <w:b/>
          <w:snapToGrid w:val="0"/>
          <w:color w:val="auto"/>
          <w:kern w:val="2"/>
          <w:sz w:val="21"/>
          <w:szCs w:val="21"/>
          <w:highlight w:val="none"/>
          <w:lang w:val="en-US" w:eastAsia="zh-CN"/>
        </w:rPr>
        <w:t>三</w:t>
      </w:r>
      <w:r>
        <w:rPr>
          <w:rFonts w:hint="eastAsia" w:ascii="宋体" w:hAnsi="宋体" w:eastAsia="宋体" w:cs="宋体"/>
          <w:b/>
          <w:snapToGrid w:val="0"/>
          <w:color w:val="auto"/>
          <w:kern w:val="2"/>
          <w:sz w:val="21"/>
          <w:szCs w:val="21"/>
          <w:highlight w:val="none"/>
        </w:rPr>
        <w:t>、</w:t>
      </w:r>
      <w:r>
        <w:rPr>
          <w:rFonts w:hint="eastAsia" w:ascii="宋体" w:hAnsi="宋体" w:eastAsia="宋体" w:cs="宋体"/>
          <w:b/>
          <w:color w:val="auto"/>
          <w:sz w:val="21"/>
          <w:szCs w:val="21"/>
          <w:highlight w:val="none"/>
        </w:rPr>
        <w:t>服务期限及地点</w:t>
      </w:r>
    </w:p>
    <w:p w14:paraId="02918983">
      <w:pPr>
        <w:keepNext w:val="0"/>
        <w:keepLines w:val="0"/>
        <w:pageBreakBefore w:val="0"/>
        <w:widowControl w:val="0"/>
        <w:kinsoku/>
        <w:wordWrap/>
        <w:overflowPunct/>
        <w:topLinePunct w:val="0"/>
        <w:autoSpaceDE w:val="0"/>
        <w:autoSpaceDN w:val="0"/>
        <w:bidi w:val="0"/>
        <w:adjustRightInd w:val="0"/>
        <w:spacing w:line="50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1.服务期限：合同签订</w:t>
      </w:r>
      <w:r>
        <w:rPr>
          <w:rFonts w:hint="eastAsia" w:ascii="宋体" w:hAnsi="宋体" w:eastAsia="宋体" w:cs="宋体"/>
          <w:color w:val="auto"/>
          <w:sz w:val="21"/>
          <w:szCs w:val="21"/>
          <w:highlight w:val="none"/>
          <w:lang w:val="en-US" w:eastAsia="zh-CN"/>
        </w:rPr>
        <w:t>之日起至2025年10月30日止。</w:t>
      </w:r>
    </w:p>
    <w:p w14:paraId="5868C84F">
      <w:pPr>
        <w:keepNext w:val="0"/>
        <w:keepLines w:val="0"/>
        <w:pageBreakBefore w:val="0"/>
        <w:widowControl w:val="0"/>
        <w:kinsoku/>
        <w:wordWrap/>
        <w:overflowPunct/>
        <w:topLinePunct w:val="0"/>
        <w:autoSpaceDE w:val="0"/>
        <w:autoSpaceDN w:val="0"/>
        <w:bidi w:val="0"/>
        <w:adjustRightInd/>
        <w:spacing w:before="0" w:after="0" w:line="500" w:lineRule="exact"/>
        <w:ind w:left="0" w:leftChars="0" w:right="0" w:firstLine="48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2.服务地点：由采购人指定。</w:t>
      </w:r>
    </w:p>
    <w:p w14:paraId="7799852D">
      <w:pPr>
        <w:keepNext w:val="0"/>
        <w:keepLines w:val="0"/>
        <w:pageBreakBefore w:val="0"/>
        <w:widowControl w:val="0"/>
        <w:kinsoku/>
        <w:wordWrap/>
        <w:overflowPunct/>
        <w:topLinePunct w:val="0"/>
        <w:autoSpaceDE w:val="0"/>
        <w:autoSpaceDN w:val="0"/>
        <w:bidi w:val="0"/>
        <w:adjustRightInd w:val="0"/>
        <w:spacing w:line="5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、项目实施要求</w:t>
      </w:r>
    </w:p>
    <w:p w14:paraId="4AB6692F">
      <w:pPr>
        <w:keepNext w:val="0"/>
        <w:keepLines w:val="0"/>
        <w:pageBreakBefore w:val="0"/>
        <w:widowControl w:val="0"/>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.中标人应</w:t>
      </w:r>
      <w:r>
        <w:rPr>
          <w:rFonts w:hint="eastAsia" w:ascii="宋体" w:hAnsi="宋体" w:eastAsia="宋体" w:cs="宋体"/>
          <w:color w:val="auto"/>
          <w:sz w:val="21"/>
          <w:szCs w:val="21"/>
          <w:highlight w:val="none"/>
          <w:lang w:val="en-US" w:eastAsia="zh-CN"/>
        </w:rPr>
        <w:t>严格</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照</w:t>
      </w:r>
      <w:r>
        <w:rPr>
          <w:rFonts w:hint="eastAsia" w:ascii="宋体" w:hAnsi="宋体" w:eastAsia="宋体" w:cs="宋体"/>
          <w:color w:val="auto"/>
          <w:sz w:val="21"/>
          <w:szCs w:val="21"/>
          <w:highlight w:val="none"/>
        </w:rPr>
        <w:t>国家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行业</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采购方要求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因地制宜、因时制宜地开展农作物病虫害统防统治与绿色防控等工作，保质保量地完成工作任务。</w:t>
      </w:r>
    </w:p>
    <w:p w14:paraId="524E057F">
      <w:pPr>
        <w:keepNext w:val="0"/>
        <w:keepLines w:val="0"/>
        <w:pageBreakBefore w:val="0"/>
        <w:widowControl w:val="0"/>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2.中标人所提供的</w:t>
      </w:r>
      <w:r>
        <w:rPr>
          <w:rFonts w:hint="eastAsia" w:ascii="宋体" w:hAnsi="宋体" w:eastAsia="宋体" w:cs="宋体"/>
          <w:color w:val="auto"/>
          <w:sz w:val="21"/>
          <w:szCs w:val="21"/>
          <w:highlight w:val="none"/>
          <w:lang w:val="en-US" w:eastAsia="zh-CN"/>
        </w:rPr>
        <w:t>绿色防控物资</w:t>
      </w:r>
      <w:r>
        <w:rPr>
          <w:rFonts w:hint="eastAsia" w:ascii="宋体" w:hAnsi="宋体" w:eastAsia="宋体" w:cs="宋体"/>
          <w:color w:val="auto"/>
          <w:sz w:val="21"/>
          <w:szCs w:val="21"/>
          <w:highlight w:val="none"/>
        </w:rPr>
        <w:t>必须是其投标文件中所载述的品牌或厂家的合格产品。</w:t>
      </w:r>
    </w:p>
    <w:p w14:paraId="074678F0">
      <w:pPr>
        <w:keepNext w:val="0"/>
        <w:keepLines w:val="0"/>
        <w:pageBreakBefore w:val="0"/>
        <w:widowControl w:val="0"/>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3.中标人</w:t>
      </w:r>
      <w:r>
        <w:rPr>
          <w:rFonts w:hint="eastAsia" w:ascii="宋体" w:hAnsi="宋体" w:eastAsia="宋体" w:cs="宋体"/>
          <w:color w:val="auto"/>
          <w:sz w:val="21"/>
          <w:szCs w:val="21"/>
          <w:highlight w:val="none"/>
          <w:lang w:val="en-US" w:eastAsia="zh-CN"/>
        </w:rPr>
        <w:t>服务过程中</w:t>
      </w:r>
      <w:r>
        <w:rPr>
          <w:rFonts w:hint="eastAsia" w:ascii="宋体" w:hAnsi="宋体" w:eastAsia="宋体" w:cs="宋体"/>
          <w:color w:val="auto"/>
          <w:sz w:val="21"/>
          <w:szCs w:val="21"/>
          <w:highlight w:val="none"/>
        </w:rPr>
        <w:t>应编制具体项目实施方案，科学组织项目实施；在项目实施过程中，</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人员应经过良好的技术培训，做到科学</w:t>
      </w:r>
      <w:r>
        <w:rPr>
          <w:rFonts w:hint="eastAsia" w:ascii="宋体" w:hAnsi="宋体" w:eastAsia="宋体" w:cs="宋体"/>
          <w:color w:val="auto"/>
          <w:sz w:val="21"/>
          <w:szCs w:val="21"/>
          <w:highlight w:val="none"/>
          <w:lang w:val="en-US" w:eastAsia="zh-CN"/>
        </w:rPr>
        <w:t>防治</w:t>
      </w:r>
      <w:r>
        <w:rPr>
          <w:rFonts w:hint="eastAsia" w:ascii="宋体" w:hAnsi="宋体" w:eastAsia="宋体" w:cs="宋体"/>
          <w:color w:val="auto"/>
          <w:sz w:val="21"/>
          <w:szCs w:val="21"/>
          <w:highlight w:val="none"/>
        </w:rPr>
        <w:t>，并编制项目实施工作台账，记录反映项目实施过程的相关照片；项目实施完成后，应编制项目实施工作总结，整理、汇总项目技术资料和其它相关材料。</w:t>
      </w:r>
    </w:p>
    <w:p w14:paraId="3E5F0A75">
      <w:pPr>
        <w:keepNext w:val="0"/>
        <w:keepLines w:val="0"/>
        <w:pageBreakBefore w:val="0"/>
        <w:widowControl w:val="0"/>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val="0"/>
          <w:bCs w:val="0"/>
          <w:color w:val="auto"/>
          <w:sz w:val="21"/>
          <w:szCs w:val="21"/>
          <w:highlight w:val="none"/>
        </w:rPr>
        <w:t>中标人在项目实施期间，应无条件接受采购人</w:t>
      </w:r>
      <w:r>
        <w:rPr>
          <w:rFonts w:hint="eastAsia" w:ascii="宋体" w:hAnsi="宋体" w:eastAsia="宋体" w:cs="宋体"/>
          <w:b w:val="0"/>
          <w:bCs w:val="0"/>
          <w:color w:val="auto"/>
          <w:sz w:val="21"/>
          <w:szCs w:val="21"/>
          <w:highlight w:val="none"/>
          <w:lang w:val="en-US" w:eastAsia="zh-CN"/>
        </w:rPr>
        <w:t>及其委派农业专家的监督、检查</w:t>
      </w:r>
      <w:r>
        <w:rPr>
          <w:rFonts w:hint="eastAsia" w:ascii="宋体" w:hAnsi="宋体" w:eastAsia="宋体" w:cs="宋体"/>
          <w:color w:val="auto"/>
          <w:sz w:val="21"/>
          <w:szCs w:val="21"/>
          <w:highlight w:val="none"/>
        </w:rPr>
        <w:t>。</w:t>
      </w:r>
    </w:p>
    <w:p w14:paraId="1BBC9A97">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.增值服务承诺：以上为最低服务承诺要求，投标人必须满足，在此基础上投标人可提供其他更多的服务承诺（如宣传培训技术人员及农户，即时供货等），并提供详细的服务计划书。</w:t>
      </w:r>
    </w:p>
    <w:p w14:paraId="6AF070E5">
      <w:pPr>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、项目验收</w:t>
      </w:r>
    </w:p>
    <w:p w14:paraId="772814B3">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本项目由采购方按实际完成情况组织验收（中标人必须在验收现场提供必要的技术支持）</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验收内容主要包括但不限于：（1）</w:t>
      </w:r>
      <w:r>
        <w:rPr>
          <w:rFonts w:hint="eastAsia" w:ascii="宋体" w:hAnsi="宋体" w:eastAsia="宋体" w:cs="宋体"/>
          <w:color w:val="auto"/>
          <w:sz w:val="21"/>
          <w:szCs w:val="21"/>
          <w:highlight w:val="none"/>
          <w:lang w:val="en-US" w:eastAsia="zh-CN"/>
        </w:rPr>
        <w:t>绿色防控物资</w:t>
      </w:r>
      <w:r>
        <w:rPr>
          <w:rFonts w:hint="eastAsia" w:ascii="宋体" w:hAnsi="宋体" w:eastAsia="宋体" w:cs="宋体"/>
          <w:bCs/>
          <w:color w:val="auto"/>
          <w:sz w:val="21"/>
          <w:szCs w:val="21"/>
          <w:highlight w:val="none"/>
        </w:rPr>
        <w:t>的产品质量是否符合国家标准；（2）听取中标人项目实施情况汇报（或项目实施总结报告），查阅实施方案、工作台账、照片等相关文件资料档案；（3）实地</w:t>
      </w:r>
      <w:r>
        <w:rPr>
          <w:rFonts w:hint="eastAsia" w:ascii="宋体" w:hAnsi="宋体" w:eastAsia="宋体" w:cs="宋体"/>
          <w:bCs/>
          <w:color w:val="auto"/>
          <w:sz w:val="21"/>
          <w:szCs w:val="21"/>
          <w:highlight w:val="none"/>
          <w:lang w:val="en-US" w:eastAsia="zh-CN"/>
        </w:rPr>
        <w:t>考察</w:t>
      </w:r>
      <w:r>
        <w:rPr>
          <w:rFonts w:hint="eastAsia" w:ascii="宋体" w:hAnsi="宋体" w:eastAsia="宋体" w:cs="宋体"/>
          <w:bCs/>
          <w:color w:val="auto"/>
          <w:sz w:val="21"/>
          <w:szCs w:val="21"/>
          <w:highlight w:val="none"/>
        </w:rPr>
        <w:t>项目实施后</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农作物病虫害防控</w:t>
      </w:r>
      <w:r>
        <w:rPr>
          <w:rFonts w:hint="eastAsia" w:ascii="宋体" w:hAnsi="宋体" w:eastAsia="宋体" w:cs="宋体"/>
          <w:bCs/>
          <w:color w:val="auto"/>
          <w:sz w:val="21"/>
          <w:szCs w:val="21"/>
          <w:highlight w:val="none"/>
          <w:lang w:val="en-US" w:eastAsia="zh-CN"/>
        </w:rPr>
        <w:t>效果</w:t>
      </w:r>
      <w:r>
        <w:rPr>
          <w:rFonts w:hint="eastAsia" w:ascii="宋体" w:hAnsi="宋体" w:eastAsia="宋体" w:cs="宋体"/>
          <w:bCs/>
          <w:color w:val="auto"/>
          <w:sz w:val="21"/>
          <w:szCs w:val="21"/>
          <w:highlight w:val="none"/>
        </w:rPr>
        <w:t>。</w:t>
      </w:r>
    </w:p>
    <w:p w14:paraId="688C0C7C">
      <w:pPr>
        <w:keepNext w:val="0"/>
        <w:keepLines w:val="0"/>
        <w:pageBreakBefore w:val="0"/>
        <w:widowControl w:val="0"/>
        <w:kinsoku/>
        <w:wordWrap/>
        <w:overflowPunct/>
        <w:topLinePunct w:val="0"/>
        <w:autoSpaceDE w:val="0"/>
        <w:autoSpaceDN w:val="0"/>
        <w:bidi w:val="0"/>
        <w:adjustRightInd w:val="0"/>
        <w:snapToGri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、付款方式</w:t>
      </w:r>
    </w:p>
    <w:p w14:paraId="3A51FF75">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1.合同生效且具备实施条件后7个工作日</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，采购人向中标人支付合同总金额的</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0%作为预付款；</w:t>
      </w:r>
    </w:p>
    <w:p w14:paraId="545AC35D">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2.项目完成验收通过后支付</w:t>
      </w:r>
      <w:r>
        <w:rPr>
          <w:rFonts w:hint="eastAsia" w:ascii="宋体" w:hAnsi="宋体" w:eastAsia="宋体" w:cs="宋体"/>
          <w:bCs/>
          <w:color w:val="auto"/>
          <w:sz w:val="21"/>
          <w:szCs w:val="21"/>
          <w:highlight w:val="none"/>
        </w:rPr>
        <w:t>合同总金额</w:t>
      </w:r>
      <w:r>
        <w:rPr>
          <w:rFonts w:hint="eastAsia" w:ascii="宋体" w:hAnsi="宋体" w:eastAsia="宋体" w:cs="宋体"/>
          <w:bCs/>
          <w:color w:val="auto"/>
          <w:sz w:val="21"/>
          <w:szCs w:val="21"/>
          <w:highlight w:val="none"/>
          <w:lang w:eastAsia="zh-CN"/>
        </w:rPr>
        <w:t>的</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0%。</w:t>
      </w:r>
    </w:p>
    <w:p w14:paraId="42C1DDC8">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备注：①中标</w:t>
      </w:r>
      <w:r>
        <w:rPr>
          <w:rFonts w:hint="eastAsia" w:hAnsi="宋体" w:cs="宋体"/>
          <w:bCs/>
          <w:color w:val="auto"/>
          <w:sz w:val="21"/>
          <w:szCs w:val="21"/>
          <w:highlight w:val="none"/>
          <w:lang w:eastAsia="zh-CN"/>
        </w:rPr>
        <w:t>人</w:t>
      </w:r>
      <w:bookmarkStart w:id="70" w:name="_GoBack"/>
      <w:bookmarkEnd w:id="70"/>
      <w:r>
        <w:rPr>
          <w:rFonts w:hint="eastAsia" w:ascii="宋体" w:hAnsi="宋体" w:eastAsia="宋体" w:cs="宋体"/>
          <w:bCs/>
          <w:color w:val="auto"/>
          <w:sz w:val="21"/>
          <w:szCs w:val="21"/>
          <w:highlight w:val="none"/>
        </w:rPr>
        <w:t>办理服务费结算时，须提供结算依据、合规</w:t>
      </w:r>
      <w:r>
        <w:rPr>
          <w:rFonts w:hint="eastAsia" w:ascii="宋体" w:hAnsi="宋体" w:eastAsia="宋体" w:cs="宋体"/>
          <w:bCs/>
          <w:color w:val="auto"/>
          <w:sz w:val="21"/>
          <w:szCs w:val="21"/>
          <w:highlight w:val="none"/>
          <w:lang w:eastAsia="zh-CN"/>
        </w:rPr>
        <w:t>的税务</w:t>
      </w:r>
      <w:r>
        <w:rPr>
          <w:rFonts w:hint="eastAsia" w:ascii="宋体" w:hAnsi="宋体" w:eastAsia="宋体" w:cs="宋体"/>
          <w:bCs/>
          <w:color w:val="auto"/>
          <w:sz w:val="21"/>
          <w:szCs w:val="21"/>
          <w:highlight w:val="none"/>
        </w:rPr>
        <w:t>发票等相关资料。</w:t>
      </w:r>
    </w:p>
    <w:p w14:paraId="7F7B3DBF">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②为支持和促进中小企业发展，进一步发挥政府采购政策功能，浙江省财政厅出台浙财采监〔2020〕3 号文件，企业若有购买保险/保函或者融资意向，可登录政采云平台融资服务（https://jinrong.zcygov.cn/），查看相应融资政策</w:t>
      </w:r>
      <w:r>
        <w:rPr>
          <w:rFonts w:hint="eastAsia" w:ascii="宋体" w:hAnsi="宋体" w:eastAsia="宋体" w:cs="宋体"/>
          <w:color w:val="auto"/>
          <w:sz w:val="21"/>
          <w:szCs w:val="21"/>
          <w:highlight w:val="none"/>
          <w:lang w:val="zh-CN"/>
        </w:rPr>
        <w:t>文件及各相关服务方案，咨询热线400-903-9583。</w:t>
      </w:r>
    </w:p>
    <w:p w14:paraId="15D14D4D">
      <w:pPr>
        <w:pStyle w:val="3"/>
        <w:keepNext w:val="0"/>
        <w:spacing w:line="5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40" w:name="_Toc5555"/>
      <w:bookmarkStart w:id="41" w:name="_Toc1310"/>
      <w:r>
        <w:rPr>
          <w:rFonts w:hint="eastAsia" w:ascii="宋体" w:hAnsi="宋体" w:eastAsia="宋体" w:cs="宋体"/>
          <w:color w:val="auto"/>
          <w:sz w:val="30"/>
          <w:szCs w:val="30"/>
          <w:highlight w:val="none"/>
        </w:rPr>
        <w:t>第三章  投标人须知</w:t>
      </w:r>
      <w:bookmarkEnd w:id="40"/>
      <w:bookmarkEnd w:id="41"/>
    </w:p>
    <w:p w14:paraId="26680F02">
      <w:pPr>
        <w:pStyle w:val="3"/>
        <w:spacing w:line="460" w:lineRule="exact"/>
        <w:jc w:val="center"/>
        <w:rPr>
          <w:rFonts w:hint="eastAsia" w:ascii="宋体" w:hAnsi="宋体" w:eastAsia="宋体" w:cs="宋体"/>
          <w:color w:val="auto"/>
          <w:sz w:val="30"/>
          <w:szCs w:val="30"/>
          <w:highlight w:val="none"/>
        </w:rPr>
      </w:pPr>
      <w:bookmarkStart w:id="42" w:name="_Toc15806"/>
      <w:bookmarkStart w:id="43" w:name="_Toc32403"/>
      <w:r>
        <w:rPr>
          <w:rFonts w:hint="eastAsia" w:ascii="宋体" w:hAnsi="宋体" w:eastAsia="宋体" w:cs="宋体"/>
          <w:color w:val="auto"/>
          <w:sz w:val="30"/>
          <w:szCs w:val="30"/>
          <w:highlight w:val="none"/>
        </w:rPr>
        <w:t>前附表</w:t>
      </w:r>
      <w:bookmarkEnd w:id="42"/>
      <w:bookmarkEnd w:id="43"/>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355"/>
        <w:gridCol w:w="6233"/>
      </w:tblGrid>
      <w:tr w14:paraId="477CC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88" w:type="dxa"/>
            <w:tcBorders>
              <w:top w:val="single" w:color="auto" w:sz="4" w:space="0"/>
              <w:bottom w:val="single" w:color="auto" w:sz="4" w:space="0"/>
              <w:right w:val="single" w:color="auto" w:sz="4" w:space="0"/>
            </w:tcBorders>
            <w:vAlign w:val="center"/>
          </w:tcPr>
          <w:p w14:paraId="4F6F7964">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88" w:type="dxa"/>
            <w:gridSpan w:val="2"/>
            <w:tcBorders>
              <w:top w:val="single" w:color="auto" w:sz="4" w:space="0"/>
              <w:left w:val="single" w:color="auto" w:sz="4" w:space="0"/>
              <w:bottom w:val="single" w:color="auto" w:sz="4" w:space="0"/>
            </w:tcBorders>
            <w:vAlign w:val="center"/>
          </w:tcPr>
          <w:p w14:paraId="36EF013F">
            <w:pPr>
              <w:snapToGrid w:val="0"/>
              <w:spacing w:line="46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14:paraId="15663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88" w:type="dxa"/>
            <w:tcBorders>
              <w:top w:val="single" w:color="auto" w:sz="4" w:space="0"/>
              <w:bottom w:val="single" w:color="auto" w:sz="4" w:space="0"/>
              <w:right w:val="single" w:color="auto" w:sz="4" w:space="0"/>
            </w:tcBorders>
            <w:vAlign w:val="center"/>
          </w:tcPr>
          <w:p w14:paraId="11A8A30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88" w:type="dxa"/>
            <w:gridSpan w:val="2"/>
            <w:tcBorders>
              <w:top w:val="single" w:color="auto" w:sz="4" w:space="0"/>
              <w:left w:val="single" w:color="auto" w:sz="4" w:space="0"/>
              <w:bottom w:val="single" w:color="auto" w:sz="4" w:space="0"/>
            </w:tcBorders>
            <w:vAlign w:val="center"/>
          </w:tcPr>
          <w:p w14:paraId="286EDDF8">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农作物病虫害统防统治与绿色防控融合发展项目</w:t>
            </w:r>
          </w:p>
        </w:tc>
      </w:tr>
      <w:tr w14:paraId="31AFF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bottom w:val="single" w:color="auto" w:sz="4" w:space="0"/>
              <w:right w:val="single" w:color="auto" w:sz="4" w:space="0"/>
            </w:tcBorders>
            <w:vAlign w:val="center"/>
          </w:tcPr>
          <w:p w14:paraId="397F7975">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88" w:type="dxa"/>
            <w:gridSpan w:val="2"/>
            <w:tcBorders>
              <w:top w:val="single" w:color="auto" w:sz="4" w:space="0"/>
              <w:left w:val="single" w:color="auto" w:sz="4" w:space="0"/>
              <w:bottom w:val="single" w:color="auto" w:sz="4" w:space="0"/>
            </w:tcBorders>
            <w:vAlign w:val="center"/>
          </w:tcPr>
          <w:p w14:paraId="6959F23C">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14:paraId="2B98BE9E">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1.本项目投标应以招标文件中约定</w:t>
            </w:r>
            <w:r>
              <w:rPr>
                <w:rFonts w:hint="eastAsia" w:hAnsi="宋体" w:cs="宋体"/>
                <w:b/>
                <w:bCs/>
                <w:color w:val="auto"/>
                <w:sz w:val="21"/>
                <w:szCs w:val="21"/>
                <w:highlight w:val="none"/>
                <w:lang w:eastAsia="zh-CN"/>
              </w:rPr>
              <w:t>的人民币进行</w:t>
            </w:r>
            <w:r>
              <w:rPr>
                <w:rFonts w:hint="eastAsia" w:ascii="宋体" w:hAnsi="宋体" w:eastAsia="宋体" w:cs="宋体"/>
                <w:b/>
                <w:bCs/>
                <w:color w:val="auto"/>
                <w:sz w:val="21"/>
                <w:szCs w:val="21"/>
                <w:highlight w:val="none"/>
              </w:rPr>
              <w:t>报价；</w:t>
            </w:r>
          </w:p>
          <w:p w14:paraId="7AE676D8">
            <w:pPr>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2.不论投标结果如何，投标人均应自行承担所有与投标有关的全部费用；</w:t>
            </w:r>
          </w:p>
          <w:p w14:paraId="4C710468">
            <w:pPr>
              <w:snapToGrid w:val="0"/>
              <w:spacing w:line="460" w:lineRule="exact"/>
              <w:rPr>
                <w:rFonts w:hint="eastAsia"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3.</w:t>
            </w:r>
            <w:r>
              <w:rPr>
                <w:rFonts w:hint="eastAsia" w:hAnsi="宋体" w:cs="Arial"/>
                <w:b/>
                <w:bCs/>
                <w:color w:val="auto"/>
                <w:sz w:val="21"/>
                <w:szCs w:val="21"/>
                <w:highlight w:val="none"/>
                <w:lang w:eastAsia="zh-CN"/>
              </w:rPr>
              <w:t>投标人</w:t>
            </w:r>
            <w:r>
              <w:rPr>
                <w:rFonts w:hint="eastAsia" w:hAnsi="宋体" w:cs="Arial"/>
                <w:b/>
                <w:bCs/>
                <w:color w:val="auto"/>
                <w:sz w:val="21"/>
                <w:szCs w:val="21"/>
                <w:highlight w:val="none"/>
              </w:rPr>
              <w:t>取得中标</w:t>
            </w:r>
            <w:r>
              <w:rPr>
                <w:rFonts w:hint="eastAsia" w:hAnsi="宋体" w:cs="Arial"/>
                <w:b/>
                <w:bCs/>
                <w:color w:val="auto"/>
                <w:sz w:val="21"/>
                <w:szCs w:val="21"/>
                <w:highlight w:val="none"/>
                <w:lang w:eastAsia="zh-CN"/>
              </w:rPr>
              <w:t>（成交）</w:t>
            </w:r>
            <w:r>
              <w:rPr>
                <w:rFonts w:hint="eastAsia" w:hAnsi="宋体" w:cs="Arial"/>
                <w:b/>
                <w:bCs/>
                <w:color w:val="auto"/>
                <w:sz w:val="21"/>
                <w:szCs w:val="21"/>
                <w:highlight w:val="none"/>
              </w:rPr>
              <w:t>资格后，</w:t>
            </w:r>
            <w:r>
              <w:rPr>
                <w:rFonts w:hAnsi="宋体" w:cs="Arial"/>
                <w:b/>
                <w:color w:val="auto"/>
                <w:sz w:val="21"/>
                <w:szCs w:val="21"/>
                <w:highlight w:val="none"/>
              </w:rPr>
              <w:t>须</w:t>
            </w:r>
            <w:r>
              <w:rPr>
                <w:rFonts w:hint="eastAsia" w:hAnsi="宋体" w:cs="Arial"/>
                <w:b/>
                <w:color w:val="auto"/>
                <w:sz w:val="21"/>
                <w:szCs w:val="21"/>
                <w:highlight w:val="none"/>
              </w:rPr>
              <w:t>参照</w:t>
            </w:r>
            <w:r>
              <w:rPr>
                <w:rFonts w:hAnsi="宋体" w:cs="Arial"/>
                <w:b/>
                <w:color w:val="auto"/>
                <w:sz w:val="21"/>
                <w:szCs w:val="21"/>
                <w:highlight w:val="none"/>
              </w:rPr>
              <w:t>原国家计委的计价格（2002）1980号《关于招标代理服务收费管理暂行办法的通知》文件规定</w:t>
            </w:r>
            <w:r>
              <w:rPr>
                <w:rFonts w:hint="eastAsia" w:hAnsi="宋体" w:cs="Arial"/>
                <w:b/>
                <w:color w:val="auto"/>
                <w:sz w:val="21"/>
                <w:szCs w:val="21"/>
                <w:highlight w:val="none"/>
              </w:rPr>
              <w:t>标准</w:t>
            </w:r>
            <w:r>
              <w:rPr>
                <w:rFonts w:hAnsi="宋体" w:cs="Arial"/>
                <w:b/>
                <w:color w:val="auto"/>
                <w:sz w:val="21"/>
                <w:szCs w:val="21"/>
                <w:highlight w:val="none"/>
              </w:rPr>
              <w:t>向招标代理机构支付</w:t>
            </w:r>
            <w:r>
              <w:rPr>
                <w:rFonts w:hint="eastAsia" w:hAnsi="宋体" w:cs="Arial"/>
                <w:b/>
                <w:color w:val="auto"/>
                <w:sz w:val="21"/>
                <w:szCs w:val="21"/>
                <w:highlight w:val="none"/>
                <w:lang w:eastAsia="zh-CN"/>
              </w:rPr>
              <w:t>中标金额</w:t>
            </w:r>
            <w:r>
              <w:rPr>
                <w:rFonts w:hint="eastAsia" w:hAnsi="宋体" w:cs="Arial"/>
                <w:b/>
                <w:color w:val="auto"/>
                <w:sz w:val="21"/>
                <w:szCs w:val="21"/>
                <w:highlight w:val="none"/>
              </w:rPr>
              <w:t>（100万元以内部分按</w:t>
            </w:r>
            <w:r>
              <w:rPr>
                <w:rFonts w:hint="eastAsia" w:hAnsi="宋体" w:cs="Arial"/>
                <w:b/>
                <w:color w:val="auto"/>
                <w:sz w:val="21"/>
                <w:szCs w:val="21"/>
                <w:highlight w:val="none"/>
                <w:lang w:val="en-US" w:eastAsia="zh-CN"/>
              </w:rPr>
              <w:t>0.9</w:t>
            </w:r>
            <w:r>
              <w:rPr>
                <w:rFonts w:hint="eastAsia" w:ascii="宋体" w:hAnsi="宋体" w:eastAsia="宋体" w:cs="Arial"/>
                <w:b/>
                <w:color w:val="auto"/>
                <w:sz w:val="21"/>
                <w:szCs w:val="21"/>
                <w:highlight w:val="none"/>
              </w:rPr>
              <w:t>%费率</w:t>
            </w:r>
            <w:r>
              <w:rPr>
                <w:rFonts w:hint="eastAsia" w:ascii="宋体" w:hAnsi="宋体" w:eastAsia="宋体" w:cs="Arial"/>
                <w:b/>
                <w:color w:val="auto"/>
                <w:sz w:val="21"/>
                <w:szCs w:val="21"/>
                <w:highlight w:val="none"/>
                <w:lang w:eastAsia="zh-CN"/>
              </w:rPr>
              <w:t>，</w:t>
            </w:r>
            <w:r>
              <w:rPr>
                <w:rFonts w:ascii="宋体" w:hAnsi="宋体" w:eastAsia="宋体" w:cs="Arial"/>
                <w:b/>
                <w:color w:val="auto"/>
                <w:sz w:val="21"/>
                <w:szCs w:val="21"/>
                <w:highlight w:val="none"/>
                <w:lang w:val="zh-CN"/>
              </w:rPr>
              <w:t>不足</w:t>
            </w:r>
            <w:r>
              <w:rPr>
                <w:rFonts w:hint="eastAsia" w:ascii="宋体" w:hAnsi="宋体" w:eastAsia="宋体" w:cs="Arial"/>
                <w:b/>
                <w:color w:val="auto"/>
                <w:sz w:val="21"/>
                <w:szCs w:val="21"/>
                <w:highlight w:val="none"/>
                <w:lang w:val="en-US" w:eastAsia="zh-CN"/>
              </w:rPr>
              <w:t>3000</w:t>
            </w:r>
            <w:r>
              <w:rPr>
                <w:rFonts w:ascii="宋体" w:hAnsi="宋体" w:eastAsia="宋体" w:cs="Arial"/>
                <w:b/>
                <w:color w:val="auto"/>
                <w:sz w:val="21"/>
                <w:szCs w:val="21"/>
                <w:highlight w:val="none"/>
                <w:lang w:val="zh-CN"/>
              </w:rPr>
              <w:t>元按</w:t>
            </w:r>
            <w:r>
              <w:rPr>
                <w:rFonts w:hint="eastAsia" w:ascii="宋体" w:hAnsi="宋体" w:eastAsia="宋体" w:cs="Arial"/>
                <w:b/>
                <w:color w:val="auto"/>
                <w:sz w:val="21"/>
                <w:szCs w:val="21"/>
                <w:highlight w:val="none"/>
                <w:lang w:val="en-US" w:eastAsia="zh-CN"/>
              </w:rPr>
              <w:t>3000</w:t>
            </w:r>
            <w:r>
              <w:rPr>
                <w:rFonts w:ascii="宋体" w:hAnsi="宋体" w:eastAsia="宋体" w:cs="Arial"/>
                <w:b/>
                <w:color w:val="auto"/>
                <w:sz w:val="21"/>
                <w:szCs w:val="21"/>
                <w:highlight w:val="none"/>
                <w:lang w:val="zh-CN"/>
              </w:rPr>
              <w:t>元计收</w:t>
            </w:r>
            <w:r>
              <w:rPr>
                <w:rFonts w:hint="eastAsia" w:ascii="宋体" w:hAnsi="宋体" w:eastAsia="宋体" w:cs="Arial"/>
                <w:b/>
                <w:color w:val="auto"/>
                <w:sz w:val="21"/>
                <w:szCs w:val="21"/>
                <w:highlight w:val="none"/>
              </w:rPr>
              <w:t>）</w:t>
            </w:r>
            <w:r>
              <w:rPr>
                <w:rFonts w:hint="eastAsia" w:hAnsi="宋体" w:cs="Arial"/>
                <w:b/>
                <w:color w:val="auto"/>
                <w:sz w:val="21"/>
                <w:szCs w:val="21"/>
                <w:highlight w:val="none"/>
              </w:rPr>
              <w:t>采购代理</w:t>
            </w:r>
            <w:r>
              <w:rPr>
                <w:rFonts w:hAnsi="宋体" w:cs="Arial"/>
                <w:b/>
                <w:color w:val="auto"/>
                <w:sz w:val="21"/>
                <w:szCs w:val="21"/>
                <w:highlight w:val="none"/>
              </w:rPr>
              <w:t>服务费</w:t>
            </w:r>
            <w:r>
              <w:rPr>
                <w:rFonts w:hint="eastAsia" w:hAnsi="宋体" w:cs="Arial"/>
                <w:b/>
                <w:color w:val="auto"/>
                <w:sz w:val="21"/>
                <w:szCs w:val="21"/>
                <w:highlight w:val="none"/>
              </w:rPr>
              <w:t>。</w:t>
            </w:r>
            <w:r>
              <w:rPr>
                <w:rFonts w:hint="eastAsia" w:hAnsi="宋体" w:cs="Arial"/>
                <w:b/>
                <w:color w:val="auto"/>
                <w:sz w:val="21"/>
                <w:szCs w:val="21"/>
                <w:highlight w:val="none"/>
                <w:lang w:eastAsia="zh-CN"/>
              </w:rPr>
              <w:t>中标人</w:t>
            </w:r>
            <w:r>
              <w:rPr>
                <w:rFonts w:hint="eastAsia" w:hAnsi="宋体" w:cs="宋体"/>
                <w:b/>
                <w:color w:val="auto"/>
                <w:sz w:val="21"/>
                <w:szCs w:val="21"/>
                <w:highlight w:val="none"/>
              </w:rPr>
              <w:t>在收到</w:t>
            </w:r>
            <w:r>
              <w:rPr>
                <w:rFonts w:hint="eastAsia" w:hAnsi="宋体" w:cs="宋体"/>
                <w:b/>
                <w:color w:val="auto"/>
                <w:sz w:val="21"/>
                <w:szCs w:val="21"/>
                <w:highlight w:val="none"/>
                <w:lang w:eastAsia="zh-CN"/>
              </w:rPr>
              <w:t>成交</w:t>
            </w:r>
            <w:r>
              <w:rPr>
                <w:rFonts w:hint="eastAsia" w:hAnsi="宋体" w:cs="宋体"/>
                <w:b/>
                <w:color w:val="auto"/>
                <w:sz w:val="21"/>
                <w:szCs w:val="21"/>
                <w:highlight w:val="none"/>
              </w:rPr>
              <w:t>通知书的同时向招标代理机构以银行转账等形式支付采购代理服务费。</w:t>
            </w:r>
            <w:r>
              <w:rPr>
                <w:rFonts w:hint="eastAsia" w:hAnsi="宋体" w:eastAsia="宋体" w:cs="宋体"/>
                <w:b/>
                <w:color w:val="auto"/>
                <w:sz w:val="21"/>
                <w:szCs w:val="21"/>
                <w:highlight w:val="none"/>
              </w:rPr>
              <w:t>户名：金华市天盈招标代理有限公司</w:t>
            </w:r>
            <w:r>
              <w:rPr>
                <w:rFonts w:hint="eastAsia" w:hAnsi="宋体" w:eastAsia="宋体" w:cs="宋体"/>
                <w:b/>
                <w:color w:val="auto"/>
                <w:sz w:val="21"/>
                <w:szCs w:val="21"/>
                <w:highlight w:val="none"/>
                <w:lang w:val="en-US" w:eastAsia="zh-CN"/>
              </w:rPr>
              <w:t xml:space="preserve">    </w:t>
            </w:r>
            <w:r>
              <w:rPr>
                <w:rFonts w:hint="eastAsia" w:hAnsi="宋体" w:eastAsia="宋体" w:cs="宋体"/>
                <w:b/>
                <w:color w:val="auto"/>
                <w:sz w:val="21"/>
                <w:szCs w:val="21"/>
                <w:highlight w:val="none"/>
              </w:rPr>
              <w:t>开户银行：</w:t>
            </w:r>
            <w:r>
              <w:rPr>
                <w:rFonts w:hint="eastAsia" w:hAnsi="宋体" w:eastAsia="宋体" w:cs="宋体"/>
                <w:b/>
                <w:color w:val="auto"/>
                <w:sz w:val="21"/>
                <w:szCs w:val="21"/>
                <w:highlight w:val="none"/>
                <w:lang w:eastAsia="zh-CN"/>
              </w:rPr>
              <w:t>杭州银行股份有限公司金华分行</w:t>
            </w:r>
            <w:r>
              <w:rPr>
                <w:rFonts w:hint="eastAsia"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行号：313338062027</w:t>
            </w:r>
          </w:p>
          <w:p w14:paraId="0A6C7178">
            <w:pPr>
              <w:snapToGrid w:val="0"/>
              <w:spacing w:line="460" w:lineRule="exact"/>
              <w:rPr>
                <w:rFonts w:hint="eastAsia" w:ascii="宋体" w:hAnsi="宋体" w:eastAsia="宋体" w:cs="宋体"/>
                <w:b/>
                <w:bCs/>
                <w:color w:val="auto"/>
                <w:sz w:val="21"/>
                <w:szCs w:val="21"/>
                <w:highlight w:val="none"/>
              </w:rPr>
            </w:pPr>
            <w:r>
              <w:rPr>
                <w:rFonts w:hint="eastAsia" w:hAnsi="宋体" w:eastAsia="宋体" w:cs="宋体"/>
                <w:b/>
                <w:color w:val="auto"/>
                <w:sz w:val="21"/>
                <w:szCs w:val="21"/>
                <w:highlight w:val="none"/>
              </w:rPr>
              <w:t>银行账号：3307041060000093980。</w:t>
            </w:r>
            <w:r>
              <w:rPr>
                <w:rFonts w:hint="eastAsia" w:ascii="宋体" w:hAnsi="宋体" w:eastAsia="宋体" w:cs="宋体"/>
                <w:b/>
                <w:color w:val="auto"/>
                <w:sz w:val="21"/>
                <w:szCs w:val="21"/>
                <w:highlight w:val="none"/>
              </w:rPr>
              <w:t>（汇款用途请注明“采购代理服务费”及项目编号）</w:t>
            </w:r>
          </w:p>
        </w:tc>
      </w:tr>
      <w:tr w14:paraId="0A02D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56BF78A7">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88" w:type="dxa"/>
            <w:gridSpan w:val="2"/>
            <w:tcBorders>
              <w:top w:val="single" w:color="auto" w:sz="4" w:space="0"/>
              <w:left w:val="single" w:color="auto" w:sz="4" w:space="0"/>
              <w:bottom w:val="single" w:color="auto" w:sz="4" w:space="0"/>
            </w:tcBorders>
            <w:vAlign w:val="center"/>
          </w:tcPr>
          <w:p w14:paraId="007D4BD9">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答疑与澄清：投标人如认为招标文件表述不清晰、存在歧视性、排他性或者其他违法内容的，应当自知道或者应知其权益受到损害之日起</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66068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56273C9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88" w:type="dxa"/>
            <w:gridSpan w:val="2"/>
            <w:tcBorders>
              <w:top w:val="single" w:color="auto" w:sz="4" w:space="0"/>
              <w:left w:val="single" w:color="auto" w:sz="4" w:space="0"/>
              <w:bottom w:val="single" w:color="auto" w:sz="4" w:space="0"/>
            </w:tcBorders>
            <w:vAlign w:val="center"/>
          </w:tcPr>
          <w:p w14:paraId="68CC4131">
            <w:pPr>
              <w:widowControl/>
              <w:snapToGrid w:val="0"/>
              <w:spacing w:line="4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政策落实：</w:t>
            </w:r>
          </w:p>
          <w:p w14:paraId="2EC5E92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1.扶持中小企业（监狱企业、残疾人福利性单位）：</w:t>
            </w:r>
          </w:p>
          <w:p w14:paraId="36C3A48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D216B0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（1）项目预算</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lang w:val="en-US" w:eastAsia="zh-CN"/>
              </w:rPr>
              <w:t xml:space="preserve">60万元 </w:t>
            </w:r>
          </w:p>
          <w:p w14:paraId="1EF29E1C">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（2）项目属性：</w:t>
            </w:r>
            <w:r>
              <w:rPr>
                <w:rFonts w:hint="eastAsia" w:ascii="宋体" w:hAnsi="宋体" w:eastAsia="宋体" w:cs="宋体"/>
                <w:color w:val="auto"/>
                <w:sz w:val="21"/>
                <w:szCs w:val="21"/>
                <w:highlight w:val="none"/>
                <w:u w:val="single"/>
              </w:rPr>
              <w:t xml:space="preserve"> ②    </w:t>
            </w:r>
            <w:r>
              <w:rPr>
                <w:rFonts w:hint="eastAsia" w:ascii="宋体" w:hAnsi="宋体" w:eastAsia="宋体" w:cs="宋体"/>
                <w:color w:val="auto"/>
                <w:sz w:val="21"/>
                <w:szCs w:val="21"/>
                <w:highlight w:val="none"/>
              </w:rPr>
              <w:t>（①货物类/②服务类/③工程类）</w:t>
            </w:r>
          </w:p>
          <w:p w14:paraId="640190B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（3）项目对应的中小企业划分标准所属行业</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（具体根据《中小企业划型标准规定》执行）</w:t>
            </w:r>
          </w:p>
          <w:p w14:paraId="1C620D81">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（4）本项目 </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（是/否）属于预留份额专门面向中小企业采购的项目。</w:t>
            </w:r>
          </w:p>
          <w:p w14:paraId="4B8AA4B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（5）上述第4项中确定为“是”的采购项目，预留份额通过（①）措施进行：</w:t>
            </w:r>
          </w:p>
          <w:p w14:paraId="1DC5877C">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①将采购项目整体或者设置采购包专门面向中小企业采购； </w:t>
            </w:r>
          </w:p>
          <w:p w14:paraId="4E7A52B2">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②要求供应商以联合体形式参加采购活动，且联合体中中小企业承担的部分达到</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 xml:space="preserve">比例）； </w:t>
            </w:r>
          </w:p>
          <w:p w14:paraId="2670D555">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③要求获得采购合同的供应商将采购项目中的</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比例）分包给一家或者多家中小企业。</w:t>
            </w:r>
          </w:p>
          <w:p w14:paraId="0D59AF0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（6）对于经主管预算单位统筹后未预留份额专门面向中小企业采购的采购项目，以及预留份额项目中的非预留部分采购包，对小微企业报价给予</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 xml:space="preserve"> 的扣除，用扣除后的价格参加评审。 </w:t>
            </w:r>
          </w:p>
          <w:p w14:paraId="3D55CCFA">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的扣除，用扣除后的价格参加评审。</w:t>
            </w:r>
          </w:p>
          <w:p w14:paraId="26C215B4">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注：专门面向中小企业采购的项目或者标项，不再执行价格评审优惠的扶持政策。</w:t>
            </w:r>
          </w:p>
          <w:p w14:paraId="58C35320">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2.节能产品、环境标志产品的强制采购政策</w:t>
            </w:r>
          </w:p>
          <w:p w14:paraId="67EDE944">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（注：本项目不适用。）</w:t>
            </w:r>
          </w:p>
          <w:p w14:paraId="0E7A4007">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3.节能产品、环境标志产品的优先采购政策</w:t>
            </w:r>
          </w:p>
          <w:p w14:paraId="460871BF">
            <w:pPr>
              <w:widowControl/>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（注：本项目不适用。）</w:t>
            </w:r>
          </w:p>
        </w:tc>
      </w:tr>
      <w:tr w14:paraId="79121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0400B34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88" w:type="dxa"/>
            <w:gridSpan w:val="2"/>
            <w:tcBorders>
              <w:top w:val="single" w:color="auto" w:sz="4" w:space="0"/>
              <w:left w:val="single" w:color="auto" w:sz="4" w:space="0"/>
              <w:bottom w:val="single" w:color="auto" w:sz="4" w:space="0"/>
            </w:tcBorders>
            <w:vAlign w:val="center"/>
          </w:tcPr>
          <w:p w14:paraId="327660A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信用查询：</w:t>
            </w:r>
          </w:p>
          <w:p w14:paraId="16683714">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4825A7D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（1）招标人或采购代理机构将对本项目供应商的信用记录进行查询。查询渠道为信用中国网站（www.creditchina.gov.cn）、中国政府采购网（www.ccgp.gov.cn）；</w:t>
            </w:r>
          </w:p>
          <w:p w14:paraId="32814192">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0000144F">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7C123E7C">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（4）使用规则：被列入失信被执行人、重大税收违法案件当事人名单、政府采购严重违法失信行为记录名单及其他不符合《中华人民共和国政府采购法》第二十二条规定条件的，其投标将被拒绝。</w:t>
            </w:r>
          </w:p>
        </w:tc>
      </w:tr>
      <w:tr w14:paraId="7A89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4648F51F">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55" w:type="dxa"/>
            <w:tcBorders>
              <w:top w:val="single" w:color="auto" w:sz="4" w:space="0"/>
              <w:left w:val="single" w:color="auto" w:sz="4" w:space="0"/>
              <w:bottom w:val="single" w:color="auto" w:sz="4" w:space="0"/>
              <w:right w:val="single" w:color="auto" w:sz="4" w:space="0"/>
            </w:tcBorders>
            <w:vAlign w:val="center"/>
          </w:tcPr>
          <w:p w14:paraId="2DD5ED7E">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本项目对应的中小企业划分标准所属行业</w:t>
            </w:r>
          </w:p>
        </w:tc>
        <w:tc>
          <w:tcPr>
            <w:tcW w:w="6233" w:type="dxa"/>
            <w:tcBorders>
              <w:top w:val="single" w:color="auto" w:sz="4" w:space="0"/>
              <w:left w:val="single" w:color="auto" w:sz="4" w:space="0"/>
              <w:bottom w:val="single" w:color="auto" w:sz="4" w:space="0"/>
            </w:tcBorders>
            <w:vAlign w:val="center"/>
          </w:tcPr>
          <w:p w14:paraId="14179D37">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根据《关于印发中小企业划型标准规定的通知》（工信部联企业〔2011〕300号），本项目</w:t>
            </w:r>
            <w:r>
              <w:rPr>
                <w:rFonts w:hint="eastAsia" w:ascii="宋体" w:hAnsi="宋体" w:eastAsia="宋体" w:cs="宋体"/>
                <w:snapToGrid w:val="0"/>
                <w:color w:val="auto"/>
                <w:sz w:val="21"/>
                <w:szCs w:val="21"/>
                <w:highlight w:val="none"/>
              </w:rPr>
              <w:t>对应的中小企业</w:t>
            </w:r>
            <w:r>
              <w:rPr>
                <w:rFonts w:hint="eastAsia" w:ascii="宋体" w:hAnsi="宋体" w:eastAsia="宋体" w:cs="宋体"/>
                <w:color w:val="auto"/>
                <w:sz w:val="21"/>
                <w:szCs w:val="21"/>
                <w:highlight w:val="none"/>
              </w:rPr>
              <w:t>按所属行业为</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eastAsia="zh-CN"/>
              </w:rPr>
              <w:t>其他未列明行业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tc>
      </w:tr>
      <w:tr w14:paraId="6770B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643455C5">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55" w:type="dxa"/>
            <w:tcBorders>
              <w:top w:val="single" w:color="auto" w:sz="4" w:space="0"/>
              <w:left w:val="single" w:color="auto" w:sz="4" w:space="0"/>
              <w:bottom w:val="single" w:color="auto" w:sz="4" w:space="0"/>
              <w:right w:val="single" w:color="auto" w:sz="4" w:space="0"/>
            </w:tcBorders>
            <w:vAlign w:val="center"/>
          </w:tcPr>
          <w:p w14:paraId="70525AAC">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节能产品</w:t>
            </w:r>
          </w:p>
        </w:tc>
        <w:tc>
          <w:tcPr>
            <w:tcW w:w="6233" w:type="dxa"/>
            <w:tcBorders>
              <w:top w:val="single" w:color="auto" w:sz="4" w:space="0"/>
              <w:left w:val="single" w:color="auto" w:sz="4" w:space="0"/>
              <w:bottom w:val="single" w:color="auto" w:sz="4" w:space="0"/>
            </w:tcBorders>
            <w:vAlign w:val="center"/>
          </w:tcPr>
          <w:p w14:paraId="407C991C">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 xml:space="preserve"> 强制采购节能产品</w:t>
            </w:r>
          </w:p>
          <w:p w14:paraId="7E82F419">
            <w:pPr>
              <w:pStyle w:val="47"/>
              <w:spacing w:line="460" w:lineRule="exact"/>
              <w:rPr>
                <w:rFonts w:hint="eastAsia" w:ascii="宋体" w:hAnsi="宋体" w:eastAsia="宋体" w:cs="宋体"/>
                <w:color w:val="auto"/>
                <w:kern w:val="2"/>
                <w:sz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1"/>
                <w:highlight w:val="none"/>
              </w:rPr>
              <w:t>优先采购节能产品</w:t>
            </w:r>
          </w:p>
          <w:p w14:paraId="71B6D792">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highlight w:val="none"/>
              </w:rPr>
              <w:sym w:font="Wingdings" w:char="F0FE"/>
            </w:r>
            <w:r>
              <w:rPr>
                <w:rFonts w:hint="eastAsia" w:ascii="宋体" w:hAnsi="宋体" w:eastAsia="宋体" w:cs="宋体"/>
                <w:color w:val="auto"/>
                <w:kern w:val="2"/>
                <w:sz w:val="21"/>
                <w:szCs w:val="21"/>
                <w:highlight w:val="none"/>
              </w:rPr>
              <w:t xml:space="preserve">  不适用</w:t>
            </w:r>
          </w:p>
        </w:tc>
      </w:tr>
      <w:tr w14:paraId="18B9D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734C0261">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55" w:type="dxa"/>
            <w:tcBorders>
              <w:top w:val="single" w:color="auto" w:sz="4" w:space="0"/>
              <w:left w:val="single" w:color="auto" w:sz="4" w:space="0"/>
              <w:bottom w:val="single" w:color="auto" w:sz="4" w:space="0"/>
              <w:right w:val="single" w:color="auto" w:sz="4" w:space="0"/>
            </w:tcBorders>
            <w:vAlign w:val="center"/>
          </w:tcPr>
          <w:p w14:paraId="687179BD">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环境标志产品</w:t>
            </w:r>
          </w:p>
        </w:tc>
        <w:tc>
          <w:tcPr>
            <w:tcW w:w="6233" w:type="dxa"/>
            <w:tcBorders>
              <w:top w:val="single" w:color="auto" w:sz="4" w:space="0"/>
              <w:left w:val="single" w:color="auto" w:sz="4" w:space="0"/>
              <w:bottom w:val="single" w:color="auto" w:sz="4" w:space="0"/>
            </w:tcBorders>
            <w:vAlign w:val="center"/>
          </w:tcPr>
          <w:p w14:paraId="2FD64FC6">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1"/>
                <w:szCs w:val="21"/>
                <w:highlight w:val="none"/>
              </w:rPr>
              <w:t xml:space="preserve"> 强制采购</w:t>
            </w:r>
            <w:r>
              <w:rPr>
                <w:rFonts w:hint="eastAsia" w:ascii="宋体" w:hAnsi="宋体" w:eastAsia="宋体" w:cs="宋体"/>
                <w:color w:val="auto"/>
                <w:kern w:val="2"/>
                <w:sz w:val="21"/>
                <w:highlight w:val="none"/>
              </w:rPr>
              <w:t>环境标志产品</w:t>
            </w:r>
          </w:p>
          <w:p w14:paraId="2263A794">
            <w:pPr>
              <w:pStyle w:val="47"/>
              <w:spacing w:line="460" w:lineRule="exact"/>
              <w:rPr>
                <w:rFonts w:hint="eastAsia" w:ascii="宋体" w:hAnsi="宋体" w:eastAsia="宋体" w:cs="宋体"/>
                <w:color w:val="auto"/>
                <w:kern w:val="2"/>
                <w:sz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1"/>
                <w:highlight w:val="none"/>
              </w:rPr>
              <w:t>优先采购环境标志产品</w:t>
            </w:r>
          </w:p>
          <w:p w14:paraId="59C3F01E">
            <w:pPr>
              <w:snapToGrid w:val="0"/>
              <w:spacing w:line="460" w:lineRule="exact"/>
              <w:rPr>
                <w:rFonts w:hint="eastAsia" w:ascii="宋体" w:hAnsi="宋体" w:eastAsia="宋体" w:cs="宋体"/>
                <w:color w:val="auto"/>
                <w:highlight w:val="none"/>
              </w:rPr>
            </w:pPr>
            <w:r>
              <w:rPr>
                <w:rFonts w:hint="eastAsia" w:ascii="宋体" w:hAnsi="宋体" w:eastAsia="宋体" w:cs="宋体"/>
                <w:color w:val="auto"/>
                <w:sz w:val="21"/>
                <w:highlight w:val="none"/>
              </w:rPr>
              <w:sym w:font="Wingdings" w:char="F0FE"/>
            </w:r>
            <w:r>
              <w:rPr>
                <w:rFonts w:hint="eastAsia" w:ascii="宋体" w:hAnsi="宋体" w:eastAsia="宋体" w:cs="宋体"/>
                <w:color w:val="auto"/>
                <w:sz w:val="21"/>
                <w:szCs w:val="21"/>
                <w:highlight w:val="none"/>
              </w:rPr>
              <w:t xml:space="preserve">  不适用</w:t>
            </w:r>
          </w:p>
        </w:tc>
      </w:tr>
      <w:tr w14:paraId="0A958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8" w:type="dxa"/>
            <w:tcBorders>
              <w:top w:val="single" w:color="auto" w:sz="4" w:space="0"/>
              <w:bottom w:val="single" w:color="auto" w:sz="4" w:space="0"/>
              <w:right w:val="single" w:color="auto" w:sz="4" w:space="0"/>
            </w:tcBorders>
            <w:vAlign w:val="center"/>
          </w:tcPr>
          <w:p w14:paraId="6AB18A43">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88" w:type="dxa"/>
            <w:gridSpan w:val="2"/>
            <w:tcBorders>
              <w:top w:val="single" w:color="auto" w:sz="4" w:space="0"/>
              <w:left w:val="single" w:color="auto" w:sz="4" w:space="0"/>
              <w:bottom w:val="single" w:color="auto" w:sz="4" w:space="0"/>
            </w:tcBorders>
            <w:vAlign w:val="center"/>
          </w:tcPr>
          <w:p w14:paraId="3FE8E1D9">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投标文件的递交：</w:t>
            </w:r>
          </w:p>
          <w:p w14:paraId="3E22367C">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本项目投标文件分</w:t>
            </w:r>
            <w:r>
              <w:rPr>
                <w:rFonts w:hint="eastAsia" w:ascii="宋体" w:hAnsi="宋体" w:eastAsia="宋体" w:cs="宋体"/>
                <w:b/>
                <w:color w:val="auto"/>
                <w:sz w:val="21"/>
                <w:szCs w:val="21"/>
                <w:highlight w:val="none"/>
              </w:rPr>
              <w:t>资格文件、商务技术文件</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报价文件</w:t>
            </w:r>
            <w:r>
              <w:rPr>
                <w:rFonts w:hint="eastAsia" w:ascii="宋体" w:hAnsi="宋体" w:eastAsia="宋体" w:cs="宋体"/>
                <w:bCs/>
                <w:color w:val="auto"/>
                <w:sz w:val="21"/>
                <w:szCs w:val="21"/>
                <w:highlight w:val="none"/>
              </w:rPr>
              <w:t xml:space="preserve"> 三部分。投标人应以以下方式递交投标文件：</w:t>
            </w:r>
          </w:p>
          <w:p w14:paraId="762DB7DB">
            <w:pPr>
              <w:pStyle w:val="21"/>
              <w:snapToGrid w:val="0"/>
              <w:spacing w:after="0" w:line="460" w:lineRule="exact"/>
              <w:ind w:left="0" w:leftChars="0" w:firstLine="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★1.本项目实行“网上</w:t>
            </w:r>
            <w:r>
              <w:rPr>
                <w:rFonts w:hint="eastAsia" w:ascii="宋体" w:hAnsi="宋体" w:eastAsia="宋体" w:cs="宋体"/>
                <w:snapToGrid w:val="0"/>
                <w:color w:val="auto"/>
                <w:sz w:val="22"/>
                <w:highlight w:val="none"/>
              </w:rPr>
              <w:t>电子</w:t>
            </w:r>
            <w:r>
              <w:rPr>
                <w:rFonts w:hint="eastAsia" w:ascii="宋体" w:hAnsi="宋体" w:eastAsia="宋体" w:cs="宋体"/>
                <w:bCs/>
                <w:color w:val="auto"/>
                <w:sz w:val="21"/>
                <w:szCs w:val="21"/>
                <w:highlight w:val="none"/>
              </w:rPr>
              <w:t>投标、电子评标”，投标人应于投标截止时间前在“政采云”（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bCs/>
                <w:color w:val="auto"/>
                <w:sz w:val="21"/>
                <w:szCs w:val="21"/>
                <w:highlight w:val="none"/>
              </w:rPr>
              <w:t>）上传输、递交电子版投标文件（包括资格文件、商务技术文件和报价文件）；</w:t>
            </w:r>
          </w:p>
          <w:p w14:paraId="2120DC19">
            <w:pPr>
              <w:snapToGrid w:val="0"/>
              <w:spacing w:line="460" w:lineRule="exact"/>
              <w:jc w:val="both"/>
              <w:textAlignment w:val="bottom"/>
              <w:rPr>
                <w:rFonts w:hint="eastAsia"/>
              </w:rPr>
            </w:pPr>
            <w:r>
              <w:rPr>
                <w:rFonts w:hint="eastAsia" w:ascii="宋体" w:hAnsi="宋体" w:eastAsia="宋体" w:cs="宋体"/>
                <w:bCs/>
                <w:color w:val="auto"/>
                <w:sz w:val="21"/>
                <w:szCs w:val="21"/>
                <w:highlight w:val="none"/>
              </w:rPr>
              <w:t>2.本招标文件所涉及的法定代表人或其授权代表签字或盖章的内容，如果投标人没有法定代表人电子签章，涉及法定代表人或其授权代表签字或盖章的内容，投标人可以线下签字或盖章后扫描上传。</w:t>
            </w:r>
          </w:p>
        </w:tc>
      </w:tr>
      <w:tr w14:paraId="2AC5C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46B9157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588" w:type="dxa"/>
            <w:gridSpan w:val="2"/>
            <w:tcBorders>
              <w:top w:val="single" w:color="auto" w:sz="4" w:space="0"/>
              <w:left w:val="single" w:color="auto" w:sz="4" w:space="0"/>
              <w:bottom w:val="single" w:color="auto" w:sz="4" w:space="0"/>
            </w:tcBorders>
            <w:vAlign w:val="center"/>
          </w:tcPr>
          <w:p w14:paraId="25F97977">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投标截止时间及地点：</w:t>
            </w:r>
          </w:p>
          <w:p w14:paraId="178437AE">
            <w:pPr>
              <w:snapToGrid w:val="0"/>
              <w:spacing w:line="4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供应商应当在投标截止时间前在“政采云”（电子交易平台）上自行上传加密的电子投标（响应）文件。投标截止时间后递交的电子投标（响应）文件，将被政采云平台拒收。</w:t>
            </w:r>
          </w:p>
        </w:tc>
      </w:tr>
      <w:tr w14:paraId="2C5C7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518FA9C6">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588" w:type="dxa"/>
            <w:gridSpan w:val="2"/>
            <w:tcBorders>
              <w:top w:val="single" w:color="auto" w:sz="4" w:space="0"/>
              <w:left w:val="single" w:color="auto" w:sz="4" w:space="0"/>
              <w:bottom w:val="single" w:color="auto" w:sz="4" w:space="0"/>
            </w:tcBorders>
            <w:vAlign w:val="center"/>
          </w:tcPr>
          <w:p w14:paraId="73B6E975">
            <w:pPr>
              <w:snapToGrid w:val="0"/>
              <w:spacing w:line="460" w:lineRule="exact"/>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07</w:t>
            </w:r>
            <w:r>
              <w:rPr>
                <w:rFonts w:hint="eastAsia" w:hAnsi="宋体" w:cs="宋体"/>
                <w:color w:val="auto"/>
                <w:sz w:val="21"/>
                <w:szCs w:val="21"/>
                <w:highlight w:val="none"/>
                <w:lang w:eastAsia="zh-CN"/>
              </w:rPr>
              <w:t>月</w:t>
            </w:r>
            <w:r>
              <w:rPr>
                <w:rFonts w:hint="eastAsia" w:hAnsi="宋体" w:cs="宋体"/>
                <w:color w:val="auto"/>
                <w:sz w:val="21"/>
                <w:szCs w:val="21"/>
                <w:highlight w:val="none"/>
                <w:lang w:val="en-US" w:eastAsia="zh-CN"/>
              </w:rPr>
              <w:t>17</w:t>
            </w:r>
            <w:r>
              <w:rPr>
                <w:rFonts w:hint="eastAsia" w:hAnsi="宋体" w:cs="宋体"/>
                <w:color w:val="auto"/>
                <w:sz w:val="21"/>
                <w:szCs w:val="21"/>
                <w:highlight w:val="none"/>
                <w:lang w:eastAsia="zh-CN"/>
              </w:rPr>
              <w:t>日</w:t>
            </w:r>
            <w:r>
              <w:rPr>
                <w:rFonts w:hint="eastAsia" w:hAnsi="宋体" w:cs="宋体"/>
                <w:color w:val="auto"/>
                <w:sz w:val="21"/>
                <w:szCs w:val="21"/>
                <w:highlight w:val="none"/>
                <w:lang w:val="en-US" w:eastAsia="zh-CN"/>
              </w:rPr>
              <w:t>09</w:t>
            </w:r>
            <w:r>
              <w:rPr>
                <w:rFonts w:hint="eastAsia" w:hAnsi="宋体" w:cs="宋体"/>
                <w:color w:val="auto"/>
                <w:sz w:val="21"/>
                <w:szCs w:val="21"/>
                <w:highlight w:val="none"/>
                <w:lang w:eastAsia="zh-CN"/>
              </w:rPr>
              <w:t>：30时</w:t>
            </w:r>
            <w:r>
              <w:rPr>
                <w:rFonts w:hint="eastAsia" w:ascii="宋体" w:hAnsi="宋体" w:eastAsia="宋体" w:cs="宋体"/>
                <w:color w:val="auto"/>
                <w:sz w:val="21"/>
                <w:szCs w:val="21"/>
                <w:highlight w:val="none"/>
              </w:rPr>
              <w:t>，金华市双龙南街858号金华财富大厦（金华市行政服务中心新办事大厅4楼开标</w:t>
            </w:r>
            <w:r>
              <w:rPr>
                <w:rFonts w:hint="eastAsia" w:hAnsi="宋体" w:cs="宋体"/>
                <w:color w:val="auto"/>
                <w:sz w:val="21"/>
                <w:szCs w:val="21"/>
                <w:highlight w:val="none"/>
                <w:lang w:val="en-US" w:eastAsia="zh-CN"/>
              </w:rPr>
              <w:t>室</w:t>
            </w:r>
            <w:r>
              <w:rPr>
                <w:rFonts w:hint="eastAsia" w:ascii="宋体" w:hAnsi="宋体" w:eastAsia="宋体" w:cs="宋体"/>
                <w:color w:val="auto"/>
                <w:sz w:val="21"/>
                <w:szCs w:val="21"/>
                <w:highlight w:val="none"/>
              </w:rPr>
              <w:t>）</w:t>
            </w:r>
          </w:p>
          <w:p w14:paraId="56E9F9B5">
            <w:pPr>
              <w:snapToGrid w:val="0"/>
              <w:spacing w:line="460" w:lineRule="exact"/>
              <w:jc w:val="both"/>
              <w:textAlignment w:val="bottom"/>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1AC7E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8" w:type="dxa"/>
            <w:tcBorders>
              <w:top w:val="single" w:color="auto" w:sz="4" w:space="0"/>
              <w:bottom w:val="single" w:color="auto" w:sz="4" w:space="0"/>
              <w:right w:val="single" w:color="auto" w:sz="4" w:space="0"/>
            </w:tcBorders>
            <w:vAlign w:val="center"/>
          </w:tcPr>
          <w:p w14:paraId="23428797">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88" w:type="dxa"/>
            <w:gridSpan w:val="2"/>
            <w:tcBorders>
              <w:top w:val="single" w:color="auto" w:sz="4" w:space="0"/>
              <w:left w:val="single" w:color="auto" w:sz="4" w:space="0"/>
              <w:bottom w:val="single" w:color="auto" w:sz="4" w:space="0"/>
            </w:tcBorders>
            <w:vAlign w:val="center"/>
          </w:tcPr>
          <w:p w14:paraId="52BD4161">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履约保证金的收取及退还： 无。</w:t>
            </w:r>
          </w:p>
        </w:tc>
      </w:tr>
      <w:tr w14:paraId="02B11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88" w:type="dxa"/>
            <w:tcBorders>
              <w:top w:val="single" w:color="auto" w:sz="4" w:space="0"/>
              <w:bottom w:val="single" w:color="auto" w:sz="4" w:space="0"/>
              <w:right w:val="single" w:color="auto" w:sz="4" w:space="0"/>
            </w:tcBorders>
            <w:vAlign w:val="center"/>
          </w:tcPr>
          <w:p w14:paraId="5D04FE48">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88" w:type="dxa"/>
            <w:gridSpan w:val="2"/>
            <w:tcBorders>
              <w:top w:val="single" w:color="auto" w:sz="4" w:space="0"/>
              <w:left w:val="single" w:color="auto" w:sz="4" w:space="0"/>
              <w:bottom w:val="single" w:color="auto" w:sz="4" w:space="0"/>
            </w:tcBorders>
            <w:vAlign w:val="center"/>
          </w:tcPr>
          <w:p w14:paraId="54168548">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评标办法：综合评分法。</w:t>
            </w:r>
          </w:p>
        </w:tc>
      </w:tr>
      <w:tr w14:paraId="133AB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88" w:type="dxa"/>
            <w:tcBorders>
              <w:top w:val="single" w:color="auto" w:sz="4" w:space="0"/>
              <w:bottom w:val="single" w:color="auto" w:sz="4" w:space="0"/>
              <w:right w:val="single" w:color="auto" w:sz="4" w:space="0"/>
            </w:tcBorders>
            <w:vAlign w:val="center"/>
          </w:tcPr>
          <w:p w14:paraId="14C2BA00">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88" w:type="dxa"/>
            <w:gridSpan w:val="2"/>
            <w:tcBorders>
              <w:top w:val="single" w:color="auto" w:sz="4" w:space="0"/>
              <w:left w:val="single" w:color="auto" w:sz="4" w:space="0"/>
              <w:bottom w:val="single" w:color="auto" w:sz="4" w:space="0"/>
            </w:tcBorders>
            <w:vAlign w:val="center"/>
          </w:tcPr>
          <w:p w14:paraId="69B38C8C">
            <w:pPr>
              <w:snapToGrid w:val="0"/>
              <w:spacing w:line="46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结果公示：结果公示于浙江政府采购网http://zfcg.czt.zj.gov.cn/ </w:t>
            </w:r>
          </w:p>
        </w:tc>
      </w:tr>
      <w:tr w14:paraId="5AE80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88" w:type="dxa"/>
            <w:tcBorders>
              <w:top w:val="single" w:color="auto" w:sz="4" w:space="0"/>
              <w:bottom w:val="single" w:color="auto" w:sz="4" w:space="0"/>
              <w:right w:val="single" w:color="auto" w:sz="4" w:space="0"/>
            </w:tcBorders>
            <w:vAlign w:val="center"/>
          </w:tcPr>
          <w:p w14:paraId="44D9FC99">
            <w:pPr>
              <w:snapToGrid w:val="0"/>
              <w:spacing w:line="4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588" w:type="dxa"/>
            <w:gridSpan w:val="2"/>
            <w:tcBorders>
              <w:top w:val="single" w:color="auto" w:sz="4" w:space="0"/>
              <w:left w:val="single" w:color="auto" w:sz="4" w:space="0"/>
              <w:bottom w:val="single" w:color="auto" w:sz="4" w:space="0"/>
            </w:tcBorders>
            <w:vAlign w:val="center"/>
          </w:tcPr>
          <w:p w14:paraId="6ABB5327">
            <w:pPr>
              <w:widowControl w:val="0"/>
              <w:snapToGrid w:val="0"/>
              <w:spacing w:line="460" w:lineRule="exact"/>
              <w:jc w:val="both"/>
              <w:textAlignment w:val="bottom"/>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资料核实及合同签订时间：</w:t>
            </w:r>
          </w:p>
          <w:p w14:paraId="1AA3B480">
            <w:pPr>
              <w:widowControl w:val="0"/>
              <w:snapToGrid w:val="0"/>
              <w:spacing w:line="460" w:lineRule="exact"/>
              <w:jc w:val="both"/>
              <w:textAlignment w:val="bottom"/>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1.资料核实：</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将</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对中标（成交）供应商在投标（响应）文件中涉及客观分评审内容的检测报告、认证证书等资料的真实性进行复核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中标（成交）供应商应</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在合同签订前</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及时</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提供相关</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检测报告、认证证书等资料</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的原件或</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查询网站</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网址</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给招标人（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进行</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真实性复核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p>
          <w:p w14:paraId="25916196">
            <w:pPr>
              <w:snapToGrid w:val="0"/>
              <w:spacing w:line="460" w:lineRule="exact"/>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签订合同时间：中标通知书发出后20日内。</w:t>
            </w:r>
          </w:p>
        </w:tc>
      </w:tr>
      <w:tr w14:paraId="63ADF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88" w:type="dxa"/>
            <w:tcBorders>
              <w:top w:val="single" w:color="auto" w:sz="4" w:space="0"/>
              <w:bottom w:val="single" w:color="auto" w:sz="4" w:space="0"/>
              <w:right w:val="single" w:color="auto" w:sz="4" w:space="0"/>
            </w:tcBorders>
            <w:vAlign w:val="center"/>
          </w:tcPr>
          <w:p w14:paraId="17D438B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88" w:type="dxa"/>
            <w:gridSpan w:val="2"/>
            <w:tcBorders>
              <w:top w:val="single" w:color="auto" w:sz="4" w:space="0"/>
              <w:left w:val="single" w:color="auto" w:sz="4" w:space="0"/>
              <w:bottom w:val="single" w:color="auto" w:sz="4" w:space="0"/>
            </w:tcBorders>
            <w:vAlign w:val="center"/>
          </w:tcPr>
          <w:p w14:paraId="28C8396A">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14:paraId="7FAC4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88" w:type="dxa"/>
            <w:tcBorders>
              <w:top w:val="single" w:color="auto" w:sz="4" w:space="0"/>
              <w:bottom w:val="single" w:color="auto" w:sz="4" w:space="0"/>
              <w:right w:val="single" w:color="auto" w:sz="4" w:space="0"/>
            </w:tcBorders>
            <w:vAlign w:val="center"/>
          </w:tcPr>
          <w:p w14:paraId="3C63D1CF">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588" w:type="dxa"/>
            <w:gridSpan w:val="2"/>
            <w:tcBorders>
              <w:top w:val="single" w:color="auto" w:sz="4" w:space="0"/>
              <w:left w:val="single" w:color="auto" w:sz="4" w:space="0"/>
              <w:bottom w:val="single" w:color="auto" w:sz="4" w:space="0"/>
            </w:tcBorders>
            <w:vAlign w:val="center"/>
          </w:tcPr>
          <w:p w14:paraId="4E688EFF">
            <w:pPr>
              <w:snapToGrid w:val="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解释：本招标文件的解释权属于招标采购单位。</w:t>
            </w:r>
          </w:p>
        </w:tc>
      </w:tr>
    </w:tbl>
    <w:p w14:paraId="16F67F16">
      <w:pPr>
        <w:autoSpaceDE/>
        <w:autoSpaceDN/>
        <w:adjustRightInd/>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一、总则</w:t>
      </w:r>
    </w:p>
    <w:p w14:paraId="74B04C1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（一）适用范围</w:t>
      </w:r>
    </w:p>
    <w:p w14:paraId="3A8E05A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hAnsi="宋体" w:cs="宋体"/>
          <w:color w:val="auto"/>
          <w:sz w:val="21"/>
          <w:szCs w:val="21"/>
          <w:highlight w:val="none"/>
          <w:lang w:val="en-US" w:eastAsia="zh-CN"/>
        </w:rPr>
        <w:t>2025年</w:t>
      </w:r>
      <w:r>
        <w:rPr>
          <w:rFonts w:hint="eastAsia" w:hAnsi="宋体" w:cs="宋体"/>
          <w:color w:val="auto"/>
          <w:sz w:val="21"/>
          <w:szCs w:val="21"/>
          <w:highlight w:val="none"/>
          <w:lang w:eastAsia="zh-CN"/>
        </w:rPr>
        <w:t>农作物病虫害统防统治与绿色防控融合发展项目</w:t>
      </w:r>
      <w:r>
        <w:rPr>
          <w:rFonts w:hint="eastAsia" w:ascii="宋体" w:hAnsi="宋体" w:eastAsia="宋体" w:cs="宋体"/>
          <w:color w:val="auto"/>
          <w:sz w:val="21"/>
          <w:szCs w:val="21"/>
          <w:highlight w:val="none"/>
        </w:rPr>
        <w:t>的招标、投标、评标、定标、合同履约、付款等行为（法律、法规另有规定的，从其规定）。</w:t>
      </w:r>
    </w:p>
    <w:p w14:paraId="2175F66A">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25FBF1F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1.招标采购单位系指组织本次招标的代理机构和招标人（“采购单位”“采购人”）。</w:t>
      </w:r>
    </w:p>
    <w:p w14:paraId="43CB476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2.“投标人”（又称 “供应商”）系指向招标人提交投标文件的单位或个人。</w:t>
      </w:r>
    </w:p>
    <w:p w14:paraId="15AE456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 系指中标人受</w:t>
      </w:r>
      <w:r>
        <w:rPr>
          <w:rFonts w:hint="eastAsia" w:hAnsi="宋体" w:cs="宋体"/>
          <w:color w:val="auto"/>
          <w:sz w:val="21"/>
          <w:szCs w:val="21"/>
          <w:highlight w:val="none"/>
          <w:lang w:eastAsia="zh-CN"/>
        </w:rPr>
        <w:t>金华经济技术开发区乡村振兴部</w:t>
      </w:r>
      <w:r>
        <w:rPr>
          <w:rFonts w:hint="eastAsia" w:ascii="宋体" w:hAnsi="宋体" w:eastAsia="宋体" w:cs="宋体"/>
          <w:color w:val="auto"/>
          <w:sz w:val="21"/>
          <w:szCs w:val="21"/>
          <w:highlight w:val="none"/>
        </w:rPr>
        <w:t>委托提供</w:t>
      </w:r>
      <w:r>
        <w:rPr>
          <w:rFonts w:hint="eastAsia" w:hAnsi="宋体" w:cs="宋体"/>
          <w:color w:val="auto"/>
          <w:sz w:val="21"/>
          <w:szCs w:val="21"/>
          <w:highlight w:val="none"/>
          <w:lang w:eastAsia="zh-CN"/>
        </w:rPr>
        <w:t>与本项目相关的</w:t>
      </w:r>
      <w:r>
        <w:rPr>
          <w:rFonts w:hint="eastAsia" w:ascii="宋体" w:hAnsi="宋体" w:eastAsia="宋体" w:cs="宋体"/>
          <w:color w:val="auto"/>
          <w:sz w:val="21"/>
          <w:szCs w:val="21"/>
          <w:highlight w:val="none"/>
        </w:rPr>
        <w:t>服务。</w:t>
      </w:r>
    </w:p>
    <w:p w14:paraId="0DAB3BE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4.“项目”系指投标人按招标文件规定向招标人提供的专业服务。</w:t>
      </w:r>
    </w:p>
    <w:p w14:paraId="04D05B6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5.“书面形式”包括信函、传真、电报等。</w:t>
      </w:r>
    </w:p>
    <w:p w14:paraId="7E19DC4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”系指实质性要求指标，“</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”系指重要性指标条款。</w:t>
      </w:r>
    </w:p>
    <w:p w14:paraId="1E1D061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（三）招标方式</w:t>
      </w:r>
    </w:p>
    <w:p w14:paraId="728F60B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14:paraId="201CA217">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（四）投标委托</w:t>
      </w:r>
    </w:p>
    <w:p w14:paraId="044E1DB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如投标人代表不是法定代表人，须有法定代表人出具的授权委托书。</w:t>
      </w:r>
    </w:p>
    <w:p w14:paraId="12E16A16">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p>
    <w:p w14:paraId="2EEEB6A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不论投标结果如何，投标人均应自行承担所有与投标有关的全部费用（招标文件有相反规定除外）。</w:t>
      </w:r>
      <w:r>
        <w:rPr>
          <w:rFonts w:hint="eastAsia" w:ascii="宋体" w:hAnsi="宋体" w:eastAsia="宋体" w:cs="宋体"/>
          <w:b/>
          <w:bCs/>
          <w:color w:val="auto"/>
          <w:sz w:val="21"/>
          <w:szCs w:val="21"/>
          <w:highlight w:val="none"/>
        </w:rPr>
        <w:t>中标、成交供应商放弃中标、成交资格导致重新采购的，应当承担支付代理费和专家评审费等费用在内的赔偿责任。</w:t>
      </w:r>
    </w:p>
    <w:p w14:paraId="3B8EF14E">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（六）勘察现场</w:t>
      </w:r>
    </w:p>
    <w:p w14:paraId="7064FC1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可进行现场考察，以获取有关投标、签署合同和其他所需的资料。不组织集中考察，由各投标人自行安排，但必须在开标5天前进行。投标人在考察过程中发生的各类事件和所发生的各项费用，均由投标人自行承担，招标人和代理机构概不负责。</w:t>
      </w:r>
    </w:p>
    <w:p w14:paraId="3174967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2.招标人向投标人提供的有关现场的数据和资料，是招标人现有的能被投标人利用的资料，招标方对投标人据此做出的任何推论、理解和结论不负责任。</w:t>
      </w:r>
    </w:p>
    <w:p w14:paraId="7EBF4D84">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（七）知识产权</w:t>
      </w:r>
    </w:p>
    <w:p w14:paraId="791B286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保证，招标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招标人损失的，投标人须承担全部赔偿责任。</w:t>
      </w:r>
    </w:p>
    <w:p w14:paraId="0AEEBBE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2.所有投标文件不论中标与否均不退还。</w:t>
      </w:r>
    </w:p>
    <w:p w14:paraId="52D6FB9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招标过程中，本项目由招标人提供的所有基础资料（包括文字、图纸、电子数据）的版权均受法律保护，投标人应按国家要求做好所有基础资料的保密工作，除为本项目本身使用外，不作其他用途，任何未经招标人同意的修改、拷贝、传播、公开发布等行为都将承担由此引起的一切经济、法律责任。</w:t>
      </w:r>
    </w:p>
    <w:p w14:paraId="7BCADA05">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（八）联合体投标</w:t>
      </w:r>
    </w:p>
    <w:p w14:paraId="10F03BD9">
      <w:pPr>
        <w:pStyle w:val="21"/>
        <w:adjustRightInd w:val="0"/>
        <w:snapToGrid w:val="0"/>
        <w:spacing w:after="0" w:line="520" w:lineRule="exact"/>
        <w:ind w:left="0" w:leftChars="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拒绝联合体形式投标</w:t>
      </w:r>
      <w:r>
        <w:rPr>
          <w:rFonts w:hint="eastAsia" w:ascii="宋体" w:hAnsi="宋体" w:eastAsia="宋体" w:cs="宋体"/>
          <w:color w:val="auto"/>
          <w:kern w:val="0"/>
          <w:sz w:val="21"/>
          <w:szCs w:val="21"/>
          <w:highlight w:val="none"/>
        </w:rPr>
        <w:t>。</w:t>
      </w:r>
    </w:p>
    <w:p w14:paraId="4F84916A">
      <w:pPr>
        <w:autoSpaceDE/>
        <w:autoSpaceDN/>
        <w:adjustRightInd/>
        <w:spacing w:line="500" w:lineRule="exact"/>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（九）转包与分包</w:t>
      </w:r>
    </w:p>
    <w:p w14:paraId="577ACD53">
      <w:pPr>
        <w:autoSpaceDE/>
        <w:autoSpaceDN/>
        <w:adjustRightInd/>
        <w:spacing w:line="5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1.转包：本项目不允许转包。</w:t>
      </w:r>
    </w:p>
    <w:p w14:paraId="61B89B03">
      <w:pPr>
        <w:autoSpaceDE/>
        <w:autoSpaceDN/>
        <w:adjustRightInd/>
        <w:spacing w:line="5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2.分包：本项目不允许</w:t>
      </w:r>
      <w:r>
        <w:rPr>
          <w:rFonts w:hint="eastAsia" w:hAnsi="宋体" w:cs="宋体"/>
          <w:color w:val="000000" w:themeColor="text1"/>
          <w:sz w:val="21"/>
          <w:szCs w:val="21"/>
          <w:highlight w:val="none"/>
          <w:lang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包。</w:t>
      </w:r>
    </w:p>
    <w:p w14:paraId="53BA675A">
      <w:pPr>
        <w:autoSpaceDE/>
        <w:autoSpaceDN/>
        <w:adjustRightInd/>
        <w:spacing w:line="500" w:lineRule="exact"/>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（十）特别说明</w:t>
      </w:r>
    </w:p>
    <w:p w14:paraId="3F42072C">
      <w:pPr>
        <w:autoSpaceDE/>
        <w:autoSpaceDN/>
        <w:adjustRightInd/>
        <w:spacing w:line="500" w:lineRule="exact"/>
        <w:ind w:firstLine="420" w:firstLineChars="200"/>
        <w:jc w:val="both"/>
        <w:rPr>
          <w:rFonts w:hint="eastAsia" w:ascii="宋体" w:hAnsi="宋体" w:eastAsia="宋体" w:cs="宋体"/>
          <w:b/>
          <w:color w:val="auto"/>
          <w:sz w:val="21"/>
          <w:highlight w:val="none"/>
        </w:rPr>
      </w:pPr>
      <w:r>
        <w:rPr>
          <w:rFonts w:hint="eastAsia" w:ascii="宋体" w:hAnsi="宋体" w:eastAsia="宋体" w:cs="宋体"/>
          <w:bCs/>
          <w:color w:val="000000" w:themeColor="text1"/>
          <w:sz w:val="21"/>
          <w:szCs w:val="21"/>
          <w:highlight w:val="none"/>
          <w14:textFill>
            <w14:solidFill>
              <w14:schemeClr w14:val="tx1"/>
            </w14:solidFill>
          </w14:textFill>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w:t>
      </w:r>
      <w:r>
        <w:rPr>
          <w:rFonts w:hint="eastAsia" w:ascii="宋体" w:hAnsi="宋体" w:eastAsia="宋体" w:cs="宋体"/>
          <w:bCs/>
          <w:color w:val="auto"/>
          <w:sz w:val="21"/>
          <w:szCs w:val="21"/>
          <w:highlight w:val="none"/>
        </w:rPr>
        <w:t>理。</w:t>
      </w:r>
    </w:p>
    <w:p w14:paraId="635529DA">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highlight w:val="none"/>
        </w:rPr>
        <w:t>2.</w:t>
      </w:r>
      <w:r>
        <w:rPr>
          <w:rFonts w:hint="eastAsia" w:ascii="宋体" w:hAnsi="宋体" w:eastAsia="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1806EE9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3.投标人投标所使用的资格、信誉、荣誉、业绩与企业认证必须为本法人所拥有。投标人投标所使用的采购项目实施人员必须为本法人员工（或必须为本法人正式员工）。</w:t>
      </w:r>
    </w:p>
    <w:p w14:paraId="3513EF9B">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4.投标人应仔细阅读招标文件的所</w:t>
      </w:r>
      <w:r>
        <w:rPr>
          <w:rFonts w:hint="eastAsia" w:ascii="宋体" w:hAnsi="宋体" w:eastAsia="宋体" w:cs="宋体"/>
          <w:color w:val="000000" w:themeColor="text1"/>
          <w:sz w:val="21"/>
          <w:szCs w:val="21"/>
          <w:highlight w:val="none"/>
          <w14:textFill>
            <w14:solidFill>
              <w14:schemeClr w14:val="tx1"/>
            </w14:solidFill>
          </w14:textFill>
        </w:rPr>
        <w:t>有内容，按照招标文件的要求提交投标文件。投标人必须对投标文件所提供的全部资料的真实性承担法律责任，并无条件接受采购代理机构、招标人等对其中任何资料进行核实的要求。</w:t>
      </w:r>
      <w:r>
        <w:rPr>
          <w:rFonts w:hint="eastAsia" w:ascii="宋体" w:hAnsi="宋体" w:cs="宋体"/>
          <w:color w:val="000000" w:themeColor="text1"/>
          <w:sz w:val="21"/>
          <w:szCs w:val="21"/>
          <w:highlight w:val="none"/>
          <w:lang w:val="en-US" w:eastAsia="zh-CN"/>
          <w14:textFill>
            <w14:solidFill>
              <w14:schemeClr w14:val="tx1"/>
            </w14:solidFill>
          </w14:textFill>
        </w:rPr>
        <w:t>需要特别说明的是，</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将</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对中标（成交）供应商在投标（响应）文件中涉及客观分评审内容的检测报告、认证证书等资料的真实性进行复核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中标（成交）供应商应</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在合同签订前</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及时</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提供相关</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检测报告、认证证书等资料</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的原件或</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查询网站</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网址</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给招标人（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进行</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真实性复核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p>
    <w:p w14:paraId="0199D89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5.投标人在投标活动中提供任何虚假材料，其投标无效，并报监管部门查处。中标后发现的，中标人须依照法律规定赔偿招标人，且民事赔偿并不免除违法投标人的行政与刑事责任。</w:t>
      </w:r>
    </w:p>
    <w:p w14:paraId="20A9677E">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（十一）质疑和投诉</w:t>
      </w:r>
    </w:p>
    <w:p w14:paraId="600B75B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00D47DD7">
      <w:pPr>
        <w:autoSpaceDE/>
        <w:autoSpaceDN/>
        <w:adjustRightInd/>
        <w:spacing w:line="500" w:lineRule="exact"/>
        <w:ind w:firstLine="420" w:firstLineChars="200"/>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ascii="宋体" w:hAnsi="宋体" w:eastAsia="宋体" w:cs="宋体"/>
          <w:bCs/>
          <w:color w:val="auto"/>
          <w:sz w:val="21"/>
          <w:szCs w:val="21"/>
          <w:highlight w:val="none"/>
        </w:rPr>
        <w:t>质疑函范本、投诉书范本请到浙江政府采购网下载专区下载。</w:t>
      </w:r>
    </w:p>
    <w:p w14:paraId="42B2BA4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投标人须在法定质疑期内一次性提出针对同一采购程序环节的质疑。未按上述要求提供的质疑函，采购代理机构有权不予受理。</w:t>
      </w:r>
    </w:p>
    <w:p w14:paraId="55E4FA3F">
      <w:pPr>
        <w:autoSpaceDE/>
        <w:autoSpaceDN/>
        <w:adjustRightInd/>
        <w:snapToGrid w:val="0"/>
        <w:spacing w:line="50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4049F38A">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（一）招标文件的构成。本招标文件由以下部分组成：</w:t>
      </w:r>
    </w:p>
    <w:p w14:paraId="0991BBA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14:paraId="24C5486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14:paraId="3D41E42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5FBB0B3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14:paraId="598E80B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14:paraId="77D4FFCF">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1BFA44A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7.本项目招标文件的澄清、答复、修改、补充的内容（如有）</w:t>
      </w:r>
    </w:p>
    <w:p w14:paraId="739CA3E8">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14:paraId="365FE2C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218934DA">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招标人、采购代理机构不保证所有已完成报名的投标人都符合资格要求。</w:t>
      </w:r>
    </w:p>
    <w:p w14:paraId="0D25594A">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（三）招标文件的澄清与修改</w:t>
      </w:r>
    </w:p>
    <w:p w14:paraId="6E27EFF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34BFD47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0CB20E3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2BE540D6">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4.招标文件的澄清、答复、修改或补充都应该通过本代理机构以法定形式发布，招标人非通过本机构，不得擅自澄清、答复、修改或补充招标文件。</w:t>
      </w:r>
    </w:p>
    <w:p w14:paraId="6228CFD2">
      <w:pPr>
        <w:autoSpaceDE/>
        <w:autoSpaceDN/>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5FA9ABDA">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0D31C637">
      <w:pPr>
        <w:tabs>
          <w:tab w:val="left" w:pos="6955"/>
        </w:tabs>
        <w:snapToGrid w:val="0"/>
        <w:spacing w:line="500" w:lineRule="exact"/>
        <w:ind w:firstLine="422" w:firstLineChars="200"/>
        <w:rPr>
          <w:rFonts w:hint="eastAsia" w:ascii="宋体" w:hAnsi="宋体" w:eastAsia="宋体" w:cs="宋体"/>
          <w:b/>
          <w:color w:val="auto"/>
          <w:sz w:val="21"/>
          <w:szCs w:val="21"/>
          <w:highlight w:val="none"/>
        </w:rPr>
      </w:pPr>
      <w:bookmarkStart w:id="44" w:name="_Toc7355"/>
      <w:r>
        <w:rPr>
          <w:rFonts w:hint="eastAsia" w:ascii="宋体" w:hAnsi="宋体" w:eastAsia="宋体" w:cs="宋体"/>
          <w:b/>
          <w:color w:val="auto"/>
          <w:sz w:val="21"/>
          <w:szCs w:val="21"/>
          <w:highlight w:val="none"/>
        </w:rPr>
        <w:t>（一）投标文件的形式</w:t>
      </w:r>
      <w:bookmarkEnd w:id="44"/>
      <w:r>
        <w:rPr>
          <w:rFonts w:hint="eastAsia" w:ascii="宋体" w:hAnsi="宋体" w:eastAsia="宋体" w:cs="宋体"/>
          <w:b/>
          <w:color w:val="auto"/>
          <w:sz w:val="21"/>
          <w:szCs w:val="21"/>
          <w:highlight w:val="none"/>
        </w:rPr>
        <w:tab/>
      </w:r>
    </w:p>
    <w:p w14:paraId="5D28DB0A">
      <w:pPr>
        <w:snapToGrid w:val="0"/>
        <w:spacing w:line="500" w:lineRule="exact"/>
        <w:ind w:firstLine="422" w:firstLineChars="200"/>
        <w:rPr>
          <w:rFonts w:hint="eastAsia" w:ascii="宋体" w:hAnsi="宋体" w:eastAsia="宋体" w:cs="宋体"/>
          <w:b/>
          <w:color w:val="auto"/>
          <w:sz w:val="21"/>
          <w:szCs w:val="21"/>
          <w:highlight w:val="none"/>
        </w:rPr>
      </w:pPr>
      <w:bookmarkStart w:id="45" w:name="_Toc5786"/>
      <w:r>
        <w:rPr>
          <w:rFonts w:hint="eastAsia" w:ascii="宋体" w:hAnsi="宋体" w:eastAsia="宋体" w:cs="宋体"/>
          <w:b/>
          <w:color w:val="auto"/>
          <w:sz w:val="21"/>
          <w:szCs w:val="21"/>
          <w:highlight w:val="none"/>
        </w:rPr>
        <w:t>1.投标文件为电子投标文件。</w:t>
      </w:r>
      <w:bookmarkEnd w:id="45"/>
    </w:p>
    <w:p w14:paraId="249299B8">
      <w:pPr>
        <w:wordWrap w:val="0"/>
        <w:topLinePunct/>
        <w:autoSpaceDE/>
        <w:autoSpaceDN/>
        <w:snapToGrid w:val="0"/>
        <w:spacing w:line="500" w:lineRule="exact"/>
        <w:ind w:firstLine="422" w:firstLineChars="200"/>
        <w:rPr>
          <w:rFonts w:hint="eastAsia" w:ascii="宋体" w:hAnsi="宋体" w:eastAsia="宋体" w:cs="宋体"/>
          <w:b/>
          <w:color w:val="auto"/>
          <w:sz w:val="21"/>
          <w:szCs w:val="21"/>
          <w:highlight w:val="none"/>
        </w:rPr>
      </w:pPr>
      <w:bookmarkStart w:id="46" w:name="_Toc4137"/>
      <w:r>
        <w:rPr>
          <w:rFonts w:hint="eastAsia" w:ascii="宋体" w:hAnsi="宋体" w:eastAsia="宋体" w:cs="宋体"/>
          <w:b/>
          <w:color w:val="auto"/>
          <w:sz w:val="21"/>
          <w:szCs w:val="21"/>
          <w:highlight w:val="none"/>
        </w:rPr>
        <w:t>1.1电子投标文件：电子投标文件按政采云平台供应商项目采购－电子交易操作指南（</w:t>
      </w:r>
      <w:r>
        <w:rPr>
          <w:rFonts w:hint="eastAsia" w:ascii="宋体" w:hAnsi="宋体" w:eastAsia="宋体" w:cs="宋体"/>
          <w:color w:val="auto"/>
          <w:sz w:val="21"/>
          <w:szCs w:val="21"/>
          <w:highlight w:val="none"/>
          <w:shd w:val="clear" w:color="auto" w:fill="FFFFFF"/>
        </w:rPr>
        <w:t>https://edu.zcygov.cn/luban/e-biding?utm=a0004.2ef5001f.0001.0109.da8b35e0da8611e98d8937b7ef8a3544</w:t>
      </w:r>
      <w:r>
        <w:rPr>
          <w:rFonts w:hint="eastAsia" w:ascii="宋体" w:hAnsi="宋体" w:eastAsia="宋体" w:cs="宋体"/>
          <w:b/>
          <w:color w:val="auto"/>
          <w:sz w:val="21"/>
          <w:szCs w:val="21"/>
          <w:highlight w:val="none"/>
        </w:rPr>
        <w:t>）及本招标文件要求制作、加密并递交；</w:t>
      </w:r>
      <w:bookmarkEnd w:id="46"/>
    </w:p>
    <w:p w14:paraId="04059265">
      <w:pPr>
        <w:snapToGrid w:val="0"/>
        <w:spacing w:line="500" w:lineRule="exact"/>
        <w:ind w:firstLine="422" w:firstLineChars="200"/>
        <w:rPr>
          <w:rFonts w:hint="eastAsia" w:ascii="宋体" w:hAnsi="宋体" w:eastAsia="宋体" w:cs="宋体"/>
          <w:b/>
          <w:color w:val="auto"/>
          <w:sz w:val="21"/>
          <w:szCs w:val="21"/>
          <w:highlight w:val="none"/>
        </w:rPr>
      </w:pPr>
      <w:bookmarkStart w:id="47" w:name="_Toc10988"/>
      <w:r>
        <w:rPr>
          <w:rFonts w:hint="eastAsia" w:ascii="宋体" w:hAnsi="宋体" w:eastAsia="宋体" w:cs="宋体"/>
          <w:b/>
          <w:color w:val="auto"/>
          <w:sz w:val="21"/>
          <w:szCs w:val="21"/>
          <w:highlight w:val="none"/>
        </w:rPr>
        <w:t>（二）投标文件的组成</w:t>
      </w:r>
      <w:bookmarkEnd w:id="47"/>
    </w:p>
    <w:p w14:paraId="2E4E3D8D">
      <w:pPr>
        <w:snapToGrid w:val="0"/>
        <w:spacing w:line="500" w:lineRule="exact"/>
        <w:ind w:firstLine="420" w:firstLineChars="200"/>
        <w:rPr>
          <w:rFonts w:hint="eastAsia" w:ascii="宋体" w:hAnsi="宋体" w:eastAsia="宋体" w:cs="宋体"/>
          <w:color w:val="auto"/>
          <w:sz w:val="21"/>
          <w:szCs w:val="21"/>
          <w:highlight w:val="none"/>
        </w:rPr>
      </w:pPr>
      <w:bookmarkStart w:id="48" w:name="_Toc19841"/>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投标文件（电子投标文件）由资格文件、商务技术文件和报价文件三部分组成。本项目投标报价的信息只允许出现在“报价文件”中，不得出现在资格文件、商务技术文件中。</w:t>
      </w:r>
      <w:bookmarkEnd w:id="48"/>
    </w:p>
    <w:p w14:paraId="2E544F2F">
      <w:pPr>
        <w:snapToGrid w:val="0"/>
        <w:spacing w:line="500" w:lineRule="exact"/>
        <w:ind w:firstLine="422" w:firstLineChars="200"/>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1.资格文件部分</w:t>
      </w:r>
    </w:p>
    <w:p w14:paraId="7E4927A8">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（1）投标人有效期内的营业执照副本扫描件或复印件；</w:t>
      </w:r>
    </w:p>
    <w:p w14:paraId="21AE4060">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（2）符合参加政府采购活动应当具备的一般条件的承诺函（格式见附件）；</w:t>
      </w:r>
    </w:p>
    <w:p w14:paraId="392CE0F3">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（3）落实政府采购政策需满足的资格要求（格式见附件）；</w:t>
      </w:r>
    </w:p>
    <w:p w14:paraId="12BBEA2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（4）本项目的特定资格要求（格式见附件）。</w:t>
      </w:r>
    </w:p>
    <w:p w14:paraId="642C107E">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商务技术文件</w:t>
      </w:r>
    </w:p>
    <w:p w14:paraId="19B9797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（1）投标人技术商务标自评得分汇总表；（格式内容参照技术商务评分表，格式见附件）；</w:t>
      </w:r>
    </w:p>
    <w:p w14:paraId="28D71BF1">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（2）投标人法定代表人身份证明、</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（格式见附件，如法定代表人本人参加的，则仅须提供法定代表人身份证明及法定代表人身份证复印件）；</w:t>
      </w:r>
    </w:p>
    <w:p w14:paraId="08C7FBF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（3）投标人情况表（格式见附件）；</w:t>
      </w:r>
    </w:p>
    <w:p w14:paraId="6D6E5D2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（4）投标人类似案例成功的业绩（格式见附件）；</w:t>
      </w:r>
    </w:p>
    <w:p w14:paraId="755E328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eastAsia="zh-CN"/>
        </w:rPr>
        <w:t>项目</w:t>
      </w:r>
      <w:r>
        <w:rPr>
          <w:rFonts w:hint="eastAsia" w:ascii="宋体" w:hAnsi="宋体" w:eastAsia="宋体" w:cs="宋体"/>
          <w:color w:val="auto"/>
          <w:sz w:val="21"/>
          <w:szCs w:val="21"/>
          <w:highlight w:val="none"/>
        </w:rPr>
        <w:t>人员</w:t>
      </w:r>
      <w:r>
        <w:rPr>
          <w:rFonts w:hint="eastAsia" w:hAnsi="宋体" w:cs="宋体"/>
          <w:color w:val="auto"/>
          <w:sz w:val="21"/>
          <w:szCs w:val="21"/>
          <w:highlight w:val="none"/>
          <w:lang w:eastAsia="zh-CN"/>
        </w:rPr>
        <w:t>情况</w:t>
      </w:r>
      <w:r>
        <w:rPr>
          <w:rFonts w:hint="eastAsia" w:ascii="宋体" w:hAnsi="宋体" w:eastAsia="宋体" w:cs="宋体"/>
          <w:color w:val="auto"/>
          <w:sz w:val="21"/>
          <w:szCs w:val="21"/>
          <w:highlight w:val="none"/>
        </w:rPr>
        <w:t>（格式见附件）；</w:t>
      </w:r>
    </w:p>
    <w:p w14:paraId="59B7FE78">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相关的认证证书、设备情况；</w:t>
      </w:r>
    </w:p>
    <w:p w14:paraId="6F1E92AD">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）服务要求响应表（格式见附件）；</w:t>
      </w:r>
    </w:p>
    <w:p w14:paraId="299D8BD0">
      <w:pPr>
        <w:snapToGrid w:val="0"/>
        <w:spacing w:line="500" w:lineRule="exact"/>
        <w:ind w:firstLine="420" w:firstLineChars="200"/>
        <w:rPr>
          <w:rFonts w:hint="eastAsia" w:hAnsi="宋体" w:cs="宋体"/>
          <w:bCs w:val="0"/>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）项目背景理解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难点分析</w:t>
      </w:r>
      <w:r>
        <w:rPr>
          <w:rFonts w:hint="eastAsia" w:hAnsi="宋体" w:cs="宋体"/>
          <w:bCs w:val="0"/>
          <w:sz w:val="21"/>
          <w:szCs w:val="21"/>
          <w:highlight w:val="none"/>
          <w:lang w:val="en-US" w:eastAsia="zh-CN"/>
        </w:rPr>
        <w:t>；</w:t>
      </w:r>
    </w:p>
    <w:p w14:paraId="7C85BDB8">
      <w:pPr>
        <w:snapToGrid w:val="0"/>
        <w:spacing w:line="500" w:lineRule="exact"/>
        <w:ind w:firstLine="420" w:firstLineChars="200"/>
        <w:rPr>
          <w:rFonts w:hint="eastAsia" w:hAnsi="宋体" w:cs="宋体"/>
          <w:bCs w:val="0"/>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）技术方案</w:t>
      </w:r>
      <w:r>
        <w:rPr>
          <w:rFonts w:hint="eastAsia" w:hAnsi="宋体" w:cs="宋体"/>
          <w:bCs w:val="0"/>
          <w:sz w:val="21"/>
          <w:szCs w:val="21"/>
          <w:highlight w:val="none"/>
          <w:lang w:val="en-US" w:eastAsia="zh-CN"/>
        </w:rPr>
        <w:t>；</w:t>
      </w:r>
    </w:p>
    <w:p w14:paraId="5CDA469E">
      <w:pPr>
        <w:numPr>
          <w:ilvl w:val="255"/>
          <w:numId w:val="0"/>
        </w:numP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本地化服务、</w:t>
      </w:r>
      <w:r>
        <w:rPr>
          <w:rFonts w:hint="eastAsia" w:ascii="宋体" w:hAnsi="宋体" w:eastAsia="宋体" w:cs="宋体"/>
          <w:b w:val="0"/>
          <w:bCs w:val="0"/>
          <w:color w:val="auto"/>
          <w:sz w:val="21"/>
          <w:szCs w:val="21"/>
        </w:rPr>
        <w:t>服务响应</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培训方案；</w:t>
      </w:r>
    </w:p>
    <w:p w14:paraId="233823C5">
      <w:pPr>
        <w:numPr>
          <w:ilvl w:val="255"/>
          <w:numId w:val="0"/>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）评分规则中涉及的所需提供的资料、投标人需要说明的其他文件和说明。</w:t>
      </w:r>
    </w:p>
    <w:p w14:paraId="3814BBC7">
      <w:pPr>
        <w:autoSpaceDE/>
        <w:autoSpaceDN/>
        <w:adjustRightInd/>
        <w:spacing w:line="5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中不得含有报价的信息，否则按投标无效处理。</w:t>
      </w:r>
    </w:p>
    <w:p w14:paraId="3A6A474B">
      <w:pPr>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w:t>
      </w:r>
    </w:p>
    <w:p w14:paraId="29E8F1E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（1）投标函（格式见附件）；</w:t>
      </w:r>
    </w:p>
    <w:p w14:paraId="520B786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（2）开标（报价）一览表（格式见附件）；</w:t>
      </w:r>
    </w:p>
    <w:p w14:paraId="56D22DD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26D01148">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（三）投标文件的语言及计量</w:t>
      </w:r>
    </w:p>
    <w:p w14:paraId="7DCE6A0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70C9FCE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18ED4CC3">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（四）投标报价</w:t>
      </w:r>
    </w:p>
    <w:p w14:paraId="46EF2EC8">
      <w:pPr>
        <w:autoSpaceDE/>
        <w:autoSpaceDN/>
        <w:adjustRightIn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1.投标报价应按招标文件中相关附表格式填写。</w:t>
      </w:r>
    </w:p>
    <w:p w14:paraId="06872890">
      <w:pPr>
        <w:autoSpaceDE/>
        <w:autoSpaceDN/>
        <w:adjustRightIn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.本次招标项目设有最高限价</w:t>
      </w:r>
      <w:r>
        <w:rPr>
          <w:rFonts w:hint="eastAsia" w:ascii="宋体" w:hAnsi="宋体" w:eastAsia="宋体" w:cs="宋体"/>
          <w:bCs/>
          <w:color w:val="auto"/>
          <w:sz w:val="21"/>
          <w:szCs w:val="21"/>
          <w:highlight w:val="none"/>
          <w:lang w:eastAsia="zh-CN"/>
        </w:rPr>
        <w:t>（人民币）：</w:t>
      </w:r>
      <w:r>
        <w:rPr>
          <w:rFonts w:hint="eastAsia" w:ascii="宋体" w:hAnsi="宋体" w:eastAsia="宋体" w:cs="宋体"/>
          <w:bCs/>
          <w:color w:val="auto"/>
          <w:sz w:val="21"/>
          <w:szCs w:val="21"/>
          <w:highlight w:val="none"/>
          <w:lang w:val="en-US" w:eastAsia="zh-CN"/>
        </w:rPr>
        <w:t>60万元</w:t>
      </w:r>
      <w:r>
        <w:rPr>
          <w:rFonts w:hint="eastAsia" w:ascii="宋体" w:hAnsi="宋体" w:eastAsia="宋体" w:cs="宋体"/>
          <w:bCs/>
          <w:color w:val="auto"/>
          <w:sz w:val="21"/>
          <w:szCs w:val="21"/>
          <w:highlight w:val="none"/>
        </w:rPr>
        <w:t>，超过最高限价的投标作无效标处理。</w:t>
      </w:r>
    </w:p>
    <w:p w14:paraId="3E01CCB0">
      <w:pPr>
        <w:autoSpaceDE/>
        <w:autoSpaceDN/>
        <w:adjustRightInd/>
        <w:spacing w:line="5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.各投标人应根据招标文件要求，结合本项目实际情况和自身的综合实力、市场行情、本项目具体特点和技术要求，进行投标报价。投标人在报价时应充分考虑以下内容（包含但不限于）：</w:t>
      </w:r>
      <w:r>
        <w:rPr>
          <w:rFonts w:hint="eastAsia" w:ascii="宋体" w:hAnsi="宋体" w:eastAsia="宋体" w:cs="宋体"/>
          <w:bCs/>
          <w:color w:val="auto"/>
          <w:sz w:val="21"/>
          <w:szCs w:val="21"/>
          <w:highlight w:val="none"/>
          <w:lang w:val="en-US" w:eastAsia="zh-CN"/>
        </w:rPr>
        <w:t>人员工资、直接调查费用、间</w:t>
      </w:r>
      <w:r>
        <w:rPr>
          <w:rFonts w:hint="eastAsia" w:hAnsi="宋体" w:cs="宋体"/>
          <w:bCs/>
          <w:color w:val="auto"/>
          <w:sz w:val="21"/>
          <w:szCs w:val="21"/>
          <w:highlight w:val="none"/>
          <w:lang w:val="en-US" w:eastAsia="zh-CN"/>
        </w:rPr>
        <w:t>接费用（调查人员的交通费、差旅费、食宿费、办公用品等）、管理费、</w:t>
      </w:r>
      <w:r>
        <w:rPr>
          <w:rFonts w:hint="eastAsia" w:ascii="宋体" w:hAnsi="宋体" w:eastAsia="宋体" w:cs="宋体"/>
          <w:bCs/>
          <w:color w:val="auto"/>
          <w:sz w:val="21"/>
          <w:szCs w:val="21"/>
          <w:highlight w:val="none"/>
        </w:rPr>
        <w:t>合理利润，风险费，辅助工作，税金，政策性文件规定及合同包含的所有风险及责任等各项应有费用。结算时由中标人开具正式发票。除政策性文件规定以外，投标人所报价格在合同实施期间不因市场变化因素而变动。</w:t>
      </w:r>
    </w:p>
    <w:p w14:paraId="6622C500">
      <w:pPr>
        <w:widowControl/>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投标文件只允许有一个报价，有选择的或有条件的报价将不予接受。</w:t>
      </w:r>
    </w:p>
    <w:p w14:paraId="4179DDD8">
      <w:pPr>
        <w:autoSpaceDE/>
        <w:autoSpaceDN/>
        <w:snapToGrid w:val="0"/>
        <w:spacing w:line="500" w:lineRule="exact"/>
        <w:ind w:firstLine="420" w:firstLineChars="200"/>
        <w:rPr>
          <w:rFonts w:hint="eastAsia" w:hAnsi="宋体" w:eastAsia="宋体" w:cs="宋体"/>
          <w:bCs/>
          <w:color w:val="000000"/>
          <w:sz w:val="21"/>
          <w:szCs w:val="21"/>
          <w:highlight w:val="none"/>
        </w:rPr>
      </w:pPr>
      <w:r>
        <w:rPr>
          <w:rFonts w:hint="eastAsia" w:hAnsi="宋体" w:cs="宋体"/>
          <w:bCs/>
          <w:color w:val="000000"/>
          <w:sz w:val="21"/>
          <w:szCs w:val="21"/>
          <w:highlight w:val="none"/>
          <w:lang w:val="en-US" w:eastAsia="zh-CN"/>
        </w:rPr>
        <w:t>5</w:t>
      </w:r>
      <w:r>
        <w:rPr>
          <w:rFonts w:hint="eastAsia" w:hAnsi="宋体" w:eastAsia="宋体" w:cs="宋体"/>
          <w:bCs/>
          <w:color w:val="000000"/>
          <w:sz w:val="21"/>
          <w:szCs w:val="21"/>
          <w:highlight w:val="none"/>
        </w:rPr>
        <w:t>.投标人不得进行影响服务质量或者诚信履约的恶意报价。投标人在项目评审前准备好报价核算、报价明细、报价说明等材料，以备评审专家核查</w:t>
      </w:r>
      <w:r>
        <w:rPr>
          <w:rFonts w:hint="eastAsia" w:hAnsi="宋体" w:eastAsia="宋体" w:cs="宋体"/>
          <w:bCs/>
          <w:color w:val="000000" w:themeColor="text1"/>
          <w:sz w:val="21"/>
          <w:szCs w:val="21"/>
          <w:highlight w:val="none"/>
          <w:u w:val="none"/>
          <w14:textFill>
            <w14:solidFill>
              <w14:schemeClr w14:val="tx1"/>
            </w14:solidFill>
          </w14:textFill>
        </w:rPr>
        <w:t>。本项目约定，投标人报价低于最高限价50%的，应当在报价文件中详细阐述不影响服务质量或者诚信履约的具体原因。</w:t>
      </w:r>
    </w:p>
    <w:p w14:paraId="3E860679">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（五）投标文件的有效期</w:t>
      </w:r>
    </w:p>
    <w:p w14:paraId="2EFAFDE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1.自投标截止日起90天投标文件应保持有效。有效期不足的投标文件将被拒绝。</w:t>
      </w:r>
    </w:p>
    <w:p w14:paraId="57BFFB5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14:paraId="2EC8E323">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3.投标人可拒绝接受延期要求。同意延长有效期的，不能以此为由修改投标文件。</w:t>
      </w:r>
    </w:p>
    <w:p w14:paraId="68495566">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4.中标人的投标文件自开标之日起至合同履行完毕止均应保持有效。</w:t>
      </w:r>
    </w:p>
    <w:p w14:paraId="1455045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（六）投标文件的签署和份数</w:t>
      </w:r>
    </w:p>
    <w:p w14:paraId="04A86560">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szCs w:val="24"/>
          <w:highlight w:val="none"/>
        </w:rPr>
        <w:t>1.</w:t>
      </w:r>
      <w:r>
        <w:rPr>
          <w:rFonts w:hint="eastAsia" w:ascii="宋体" w:hAnsi="宋体" w:eastAsia="宋体" w:cs="宋体"/>
          <w:color w:val="auto"/>
          <w:sz w:val="21"/>
          <w:highlight w:val="none"/>
        </w:rPr>
        <w:t>电子投标文件部分：</w:t>
      </w:r>
    </w:p>
    <w:p w14:paraId="5D2B272A">
      <w:pPr>
        <w:widowControl/>
        <w:snapToGrid w:val="0"/>
        <w:spacing w:line="50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投标人应根据“政采云供应商项目采购－电子交易操作指南”及本招标文件规定的格式和顺序编制电子投标文件并进行关联定位。</w:t>
      </w:r>
    </w:p>
    <w:p w14:paraId="1A854F87">
      <w:pPr>
        <w:widowControl/>
        <w:autoSpaceDE/>
        <w:autoSpaceDN/>
        <w:adjustRightInd/>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2.投标文件的盖章：投标文件中所涉及的加盖公章均可采用CA电子签章，或投标单位可以线下盖章后扫描上传。</w:t>
      </w:r>
    </w:p>
    <w:p w14:paraId="3B136DA6">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4B0DC666">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14:paraId="44846BFA">
      <w:pPr>
        <w:widowControl/>
        <w:autoSpaceDE/>
        <w:autoSpaceDN/>
        <w:adjustRightInd/>
        <w:snapToGrid w:val="0"/>
        <w:spacing w:line="500" w:lineRule="exact"/>
        <w:ind w:firstLine="42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1.投标人应当在投标截止时间前在“政采云”（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b/>
          <w:bCs/>
          <w:color w:val="auto"/>
          <w:sz w:val="21"/>
          <w:szCs w:val="21"/>
          <w:highlight w:val="none"/>
        </w:rPr>
        <w:t>）上自行上传加密的电子投标文件。</w:t>
      </w:r>
    </w:p>
    <w:p w14:paraId="7204D737">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2.投标人未在“政采云”（</w:t>
      </w:r>
      <w:r>
        <w:rPr>
          <w:rFonts w:hint="eastAsia" w:ascii="宋体" w:hAnsi="宋体" w:eastAsia="宋体" w:cs="宋体"/>
          <w:color w:val="auto"/>
          <w:sz w:val="21"/>
          <w:szCs w:val="21"/>
          <w:highlight w:val="none"/>
          <w:shd w:val="clear" w:color="auto" w:fill="FFFFFF"/>
        </w:rPr>
        <w:t xml:space="preserve"> 电子交易客户端</w:t>
      </w:r>
      <w:r>
        <w:rPr>
          <w:rFonts w:hint="eastAsia" w:ascii="宋体" w:hAnsi="宋体" w:eastAsia="宋体" w:cs="宋体"/>
          <w:color w:val="auto"/>
          <w:sz w:val="21"/>
          <w:szCs w:val="21"/>
          <w:highlight w:val="none"/>
        </w:rPr>
        <w:t>）上自行上传加密的电子投标文件的，投标无效。</w:t>
      </w:r>
    </w:p>
    <w:p w14:paraId="2E8A3F9D">
      <w:pPr>
        <w:autoSpaceDE/>
        <w:autoSpaceDN/>
        <w:adjustRightInd/>
        <w:spacing w:line="5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A03867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4.截止开标时间，政采云（</w:t>
      </w:r>
      <w:r>
        <w:rPr>
          <w:rFonts w:hint="eastAsia" w:ascii="宋体" w:hAnsi="宋体" w:eastAsia="宋体" w:cs="宋体"/>
          <w:color w:val="auto"/>
          <w:sz w:val="21"/>
          <w:szCs w:val="21"/>
          <w:highlight w:val="none"/>
          <w:shd w:val="clear" w:color="auto" w:fill="FFFFFF"/>
        </w:rPr>
        <w:t>电子交易客户端</w:t>
      </w:r>
      <w:r>
        <w:rPr>
          <w:rFonts w:hint="eastAsia" w:ascii="宋体" w:hAnsi="宋体" w:eastAsia="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668BCECD">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（八）投标无效的情形</w:t>
      </w:r>
    </w:p>
    <w:p w14:paraId="6CCE5542">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CB7254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1.在符合性审查和商务评审时，如发现下列情形之一的，投标文件将被视为无效：</w:t>
      </w:r>
    </w:p>
    <w:p w14:paraId="1C8FD0C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（1）资格证明文件不全的，或者不符合招标文件标明的资格要求的；</w:t>
      </w:r>
    </w:p>
    <w:p w14:paraId="6561F53E">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（2）投标文件无投标人的法定代表人（或其授权代表）签字（或盖章），或未提供法定代表人授权委托书的；</w:t>
      </w:r>
    </w:p>
    <w:p w14:paraId="38C7C67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（3）投标代表人未能出具身份证明或与法定代表人授权委托人身份不符的；</w:t>
      </w:r>
    </w:p>
    <w:p w14:paraId="6894E2EC">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（4）投标文件格式不规范、项目不齐全或者内容虚假的；</w:t>
      </w:r>
    </w:p>
    <w:p w14:paraId="2EAE90D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2E084AA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highlight w:val="none"/>
        </w:rPr>
        <w:t>投标有效期、服务期限（服务时限）、付款方式等商务条款不能满足招标文件要求的</w:t>
      </w:r>
      <w:r>
        <w:rPr>
          <w:rFonts w:hint="eastAsia" w:ascii="宋体" w:hAnsi="宋体" w:eastAsia="宋体" w:cs="宋体"/>
          <w:color w:val="auto"/>
          <w:sz w:val="21"/>
          <w:szCs w:val="21"/>
          <w:highlight w:val="none"/>
        </w:rPr>
        <w:t>；</w:t>
      </w:r>
    </w:p>
    <w:p w14:paraId="54224F3B">
      <w:pPr>
        <w:widowControl/>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（7）电子投标文件解密失败的；</w:t>
      </w:r>
    </w:p>
    <w:p w14:paraId="628522A3">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）同一IP地址上传投标、响应文件；</w:t>
      </w:r>
    </w:p>
    <w:p w14:paraId="041EC6B4">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）未实质性响应招标文件要求或者投标文件有招标方不能接受的附加条件的。</w:t>
      </w:r>
    </w:p>
    <w:p w14:paraId="59ABEE0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2.在技术评审时，如发现下列情形之一的，投标文件将被视为无效：</w:t>
      </w:r>
    </w:p>
    <w:p w14:paraId="4F401DA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（1）不符合法律法规和招标文件中规定的其他实质性要求的（评标委员会一致认定）的；</w:t>
      </w:r>
    </w:p>
    <w:p w14:paraId="48EB2EA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（2）明显不符合招标文件服务要求、服务质量标准，或者与招标文件中标“★”的服务要求项目发生实质性偏离的；</w:t>
      </w:r>
    </w:p>
    <w:p w14:paraId="06299E6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（3）允许偏离的技术、性能指标或者辅助功能项目发生负偏离达20项（含）以上的；</w:t>
      </w:r>
    </w:p>
    <w:p w14:paraId="2080D824">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（4）投标技术方案不明确，存在一个或一个以上备选（替代）投标方案的；</w:t>
      </w:r>
    </w:p>
    <w:p w14:paraId="2640A89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（5）与其他参加本次投标供应商的投标文件（技术文件）的文字表述内容相同连续20行以上或者差错相同2处以上的。</w:t>
      </w:r>
    </w:p>
    <w:p w14:paraId="1ECD91F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3.在报价评审时，如发现下列情形之一的，投标文件将被视为无效：</w:t>
      </w:r>
    </w:p>
    <w:p w14:paraId="09FB1F0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（1）未采用人民币报价或者未按照招标文件标明的币种报价的；</w:t>
      </w:r>
    </w:p>
    <w:p w14:paraId="5E857B18">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（2）投标人的投标报价超过最高限价的；</w:t>
      </w:r>
    </w:p>
    <w:p w14:paraId="0D68693B">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评标委员会一致认为将获得中标候选资格的投标人报价或某些分项报价明显不合理，有降低质量、不能诚信履约的可能，且该投标人未在规定期限内作出解释，或所作解释不合理，经评标委员会取得一致意见后，确定该投标无效的；</w:t>
      </w:r>
    </w:p>
    <w:p w14:paraId="4E9B6D2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w:t>
      </w:r>
      <w:r>
        <w:rPr>
          <w:rFonts w:hint="eastAsia" w:hAnsi="宋体" w:cs="宋体"/>
          <w:color w:val="auto"/>
          <w:sz w:val="21"/>
          <w:highlight w:val="none"/>
          <w:lang w:val="en-US" w:eastAsia="zh-CN"/>
        </w:rPr>
        <w:t>4</w:t>
      </w:r>
      <w:r>
        <w:rPr>
          <w:rFonts w:hint="eastAsia" w:ascii="宋体" w:hAnsi="宋体" w:eastAsia="宋体" w:cs="宋体"/>
          <w:color w:val="auto"/>
          <w:sz w:val="21"/>
          <w:highlight w:val="none"/>
        </w:rPr>
        <w:t>）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536AA03C">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highlight w:val="none"/>
        </w:rPr>
        <w:t>有下列情形之一的，视为投标人串通投标，其投标无效：</w:t>
      </w:r>
    </w:p>
    <w:p w14:paraId="1672C589">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（1）不同投标人的投标文件由同一单位或者个人编制（同一IP地址上传投标、响应文件）；</w:t>
      </w:r>
    </w:p>
    <w:p w14:paraId="2596A42A">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（2）不同投标人委托同一单位或者个人办理投标事宜；</w:t>
      </w:r>
    </w:p>
    <w:p w14:paraId="59C656F0">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（3）不同投标人的投标文件载明的项目管理成员或者联系人员为同一人；</w:t>
      </w:r>
    </w:p>
    <w:p w14:paraId="2F1C7606">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（4）不同投标人的投标文件异常一致或者投标报价呈规律性差异；</w:t>
      </w:r>
    </w:p>
    <w:p w14:paraId="26DE73A9">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（5）不同投标人的投标文件相互混装；</w:t>
      </w:r>
    </w:p>
    <w:p w14:paraId="21E9A075">
      <w:pPr>
        <w:autoSpaceDE/>
        <w:autoSpaceDN/>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（6）不同投标人的投标保证金从同一单位或者个人的账户转出。</w:t>
      </w:r>
    </w:p>
    <w:p w14:paraId="64F7DB5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5.被拒绝的投标文件为无效投标文件。</w:t>
      </w:r>
    </w:p>
    <w:p w14:paraId="1680CC62">
      <w:pPr>
        <w:autoSpaceDE/>
        <w:autoSpaceDN/>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32CEFC1F">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1.开标会由采购代理机构主持，宣布开标会议开始；</w:t>
      </w:r>
    </w:p>
    <w:p w14:paraId="277B469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2.在开标后投标供应商登录“政采云”平台，用“项目采购－开标评标”功能进行解密投标文件。</w:t>
      </w:r>
    </w:p>
    <w:p w14:paraId="0850F5B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若投标供应商在规定时间内无法解密或解密失败的，视为投标文件撤回。</w:t>
      </w:r>
    </w:p>
    <w:p w14:paraId="32125BB3">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3BAB2F16">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40363BA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5.资信商务技术文件评审结果在线公布后，在线开启报价文件，并由评标委员会进行报价评审。</w:t>
      </w:r>
      <w:r>
        <w:rPr>
          <w:rFonts w:hint="eastAsia" w:ascii="宋体" w:hAnsi="宋体" w:eastAsia="宋体" w:cs="宋体"/>
          <w:color w:val="auto"/>
          <w:sz w:val="21"/>
          <w:highlight w:val="none"/>
        </w:rPr>
        <w:t>投标供应商在线制作</w:t>
      </w:r>
      <w:r>
        <w:rPr>
          <w:rFonts w:hint="eastAsia" w:ascii="宋体" w:hAnsi="宋体" w:eastAsia="宋体" w:cs="宋体"/>
          <w:b w:val="0"/>
          <w:bCs w:val="0"/>
          <w:color w:val="auto"/>
          <w:sz w:val="21"/>
          <w:highlight w:val="none"/>
        </w:rPr>
        <w:t>投标</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highlight w:val="none"/>
        </w:rPr>
        <w:t>文件中填写的金额与解密后“电子加密投标</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highlight w:val="none"/>
        </w:rPr>
        <w:t>文件”中填写的金额不一致时，以解密后“电子加密投标</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highlight w:val="none"/>
        </w:rPr>
        <w:t>文件”中填</w:t>
      </w:r>
      <w:r>
        <w:rPr>
          <w:rFonts w:hint="eastAsia" w:ascii="宋体" w:hAnsi="宋体" w:eastAsia="宋体" w:cs="宋体"/>
          <w:color w:val="auto"/>
          <w:sz w:val="21"/>
          <w:highlight w:val="none"/>
        </w:rPr>
        <w:t>写的金额为准，投标供应商拒绝接受此规定的，按无效标处理。</w:t>
      </w:r>
    </w:p>
    <w:p w14:paraId="2FD7C72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综合评审结果在线公布各投标人得分汇总，并在线提交（宣布）中标候选人。</w:t>
      </w:r>
    </w:p>
    <w:p w14:paraId="4BA667DA">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评审结束后，代理机构宣布开标结束，并公布采购结果。</w:t>
      </w:r>
    </w:p>
    <w:p w14:paraId="7821903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注：政采云公司如对电子化开标及评审程序有调整的，按调整后的程序操作。</w:t>
      </w:r>
    </w:p>
    <w:p w14:paraId="18724FE7">
      <w:pPr>
        <w:autoSpaceDE/>
        <w:autoSpaceDN/>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五、评标</w:t>
      </w:r>
    </w:p>
    <w:p w14:paraId="06F5FF3A">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（一）组建评标委员会</w:t>
      </w:r>
    </w:p>
    <w:p w14:paraId="6374A5B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14C1E9D6">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（二）评标的方式</w:t>
      </w:r>
    </w:p>
    <w:p w14:paraId="56EDD57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14:paraId="608C1D0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（三）评标程序</w:t>
      </w:r>
    </w:p>
    <w:p w14:paraId="6C2A034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1.形式审查</w:t>
      </w:r>
    </w:p>
    <w:p w14:paraId="5DCCCE7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招标人代表和代理机构工作人员协助评标委员会对投标人的资格和投标文件的完整性、合法性等进行审查。</w:t>
      </w:r>
    </w:p>
    <w:p w14:paraId="048413E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2.实质审查与比较</w:t>
      </w:r>
    </w:p>
    <w:p w14:paraId="5B3CB6FF">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（1）评标委员会审查投标文件的实质性内容是否符合招标文件的实质性要求。</w:t>
      </w:r>
    </w:p>
    <w:p w14:paraId="2D26EAF4">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220A498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7987E98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（3）各投标人的技术商务得分为所有评委的有效评分的算术平均数，由指定专人进行计算复核。</w:t>
      </w:r>
    </w:p>
    <w:p w14:paraId="09C0675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（4）代理机构工作人员协助评标委员会根据本项目的评分标准计算各投标人的投标报价得分。</w:t>
      </w:r>
    </w:p>
    <w:p w14:paraId="0F8E142F">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4E81315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（四）澄清问题的形式</w:t>
      </w:r>
    </w:p>
    <w:p w14:paraId="1DA7777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6C7C800">
      <w:pPr>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在线开评标进行时，供应商法定代表人或其授权代表需自行关注平台提示信息，期间如有发出“询标/澄清函”等相关线上函件时，因供应商自身原因逾期/错过回复时间，由此造成的后果由供应商自行承担。</w:t>
      </w:r>
    </w:p>
    <w:p w14:paraId="04619A8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（五）错误修正</w:t>
      </w:r>
    </w:p>
    <w:p w14:paraId="6C846ED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14:paraId="35C0AD0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.投标文件的大写金额和小写金额不一致的，以大写金额为准；</w:t>
      </w:r>
    </w:p>
    <w:p w14:paraId="53C474CB">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对不同文字文本投标文件的解释发生异议的，以中文文本为准。</w:t>
      </w:r>
    </w:p>
    <w:p w14:paraId="2DC4053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C291E9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（六）评标原则和评标办法</w:t>
      </w:r>
    </w:p>
    <w:p w14:paraId="5DEA6BC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B7CFA0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2.评标办法。具体评标内容及评分标准等详见《第四章：评标办法及评分标准》。</w:t>
      </w:r>
    </w:p>
    <w:p w14:paraId="32DBA05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（七）评标过程的监控</w:t>
      </w:r>
    </w:p>
    <w:p w14:paraId="62F5BBC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14:paraId="49AACD36">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（八）中止电子交易活动的情形</w:t>
      </w:r>
    </w:p>
    <w:p w14:paraId="70A1E42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采购过程中出现以下情形，导致电子交易平台无法正常运行，或者无法保证电子交易的公平、公正和安全时，中止电子交易活动：</w:t>
      </w:r>
    </w:p>
    <w:p w14:paraId="4137EE54">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7648FC12">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7AC86CB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273AA43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755725F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3675355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出现前款规定情形，不影响采购公平、公正性的，采购组织机构可以待上述情形消除后继续组织电子交易活动；影响或可能影响采购公平、公正性的，应当重新采购。</w:t>
      </w:r>
    </w:p>
    <w:p w14:paraId="1A0E84C5">
      <w:pPr>
        <w:autoSpaceDE/>
        <w:autoSpaceDN/>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p>
    <w:p w14:paraId="0C78A25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（一）确定中标人。本项目由招标人（或招标人事先授权评标委员会）确定中标人。</w:t>
      </w:r>
    </w:p>
    <w:p w14:paraId="4E8921A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1.采购代理机构在评标结束后2个工作日内将评标报告交招标人确认。</w:t>
      </w:r>
    </w:p>
    <w:p w14:paraId="68D28CF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12B59F4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3.中标结果公示期：1个工作日。</w:t>
      </w:r>
    </w:p>
    <w:p w14:paraId="3BDF176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4.中标结果公示的同时采购代理机构以书面形式发出《中标通知书》。</w:t>
      </w:r>
    </w:p>
    <w:p w14:paraId="10D6FCF9">
      <w:pPr>
        <w:autoSpaceDE/>
        <w:autoSpaceDN/>
        <w:snapToGrid w:val="0"/>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七、合同授予</w:t>
      </w:r>
    </w:p>
    <w:p w14:paraId="370431C9">
      <w:pPr>
        <w:pStyle w:val="8"/>
        <w:autoSpaceDE/>
        <w:autoSpaceDN/>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1.合同的签订</w:t>
      </w:r>
    </w:p>
    <w:p w14:paraId="4A4FAA83">
      <w:pPr>
        <w:widowControl w:val="0"/>
        <w:adjustRightInd w:val="0"/>
        <w:snapToGrid w:val="0"/>
        <w:spacing w:line="500" w:lineRule="exact"/>
        <w:ind w:firstLine="420" w:firstLineChars="20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根据《浙江省财政厅关于进一步规范政府采购秩序促进公平竞争的通知》（浙财采监〔2025〕2号）及政策解读相关要求，在评审结束后、合同签订前，</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将</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对中标（成交）供应商在投标（响应）文件中涉及客观分评审内容的检测报告、认证证书等资料的真实性进行复核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中标（成交）供应商应</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在合同签订前</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及时</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提供相关</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检测报告、认证证书等资料</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的原件或</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查询网站</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网址</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给招标人（</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采购人</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、采购代理机构</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进行</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真实性复核</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p>
    <w:p w14:paraId="4E05CA15">
      <w:pPr>
        <w:widowControl w:val="0"/>
        <w:adjustRightInd w:val="0"/>
        <w:snapToGrid w:val="0"/>
        <w:spacing w:line="5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招标人与中标人应当在《中标通知书》发出之日起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日内签订合同。同时，采购代理机构对合同内容进行审查，如发现与采购结果和投标承诺内容不一致的，应予以纠正。</w:t>
      </w:r>
    </w:p>
    <w:p w14:paraId="7812DA42">
      <w:pPr>
        <w:widowControl w:val="0"/>
        <w:adjustRightInd w:val="0"/>
        <w:snapToGrid w:val="0"/>
        <w:spacing w:line="5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招标文件、中标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color w:val="000000" w:themeColor="text1"/>
          <w:sz w:val="21"/>
          <w:szCs w:val="21"/>
          <w:highlight w:val="none"/>
          <w14:textFill>
            <w14:solidFill>
              <w14:schemeClr w14:val="tx1"/>
            </w14:solidFill>
          </w14:textFill>
        </w:rPr>
        <w:t>的投标文件、招标过程中供应商作出的承诺及其澄清文件、中标通知书等，均为合同的组成部分。</w:t>
      </w:r>
    </w:p>
    <w:p w14:paraId="36826707">
      <w:pPr>
        <w:widowControl w:val="0"/>
        <w:adjustRightInd w:val="0"/>
        <w:snapToGrid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中标人拖延、拒</w:t>
      </w:r>
      <w:r>
        <w:rPr>
          <w:rFonts w:hint="eastAsia" w:ascii="宋体" w:hAnsi="宋体" w:cs="宋体"/>
          <w:color w:val="000000" w:themeColor="text1"/>
          <w:sz w:val="21"/>
          <w:szCs w:val="21"/>
          <w:highlight w:val="none"/>
          <w:lang w:val="en-US" w:eastAsia="zh-CN"/>
          <w14:textFill>
            <w14:solidFill>
              <w14:schemeClr w14:val="tx1"/>
            </w14:solidFill>
          </w14:textFill>
        </w:rPr>
        <w:t>绝提供资料进行真实性符合复核，或</w:t>
      </w:r>
      <w:r>
        <w:rPr>
          <w:rFonts w:hint="eastAsia" w:ascii="宋体" w:hAnsi="宋体" w:eastAsia="宋体" w:cs="宋体"/>
          <w:color w:val="000000" w:themeColor="text1"/>
          <w:sz w:val="21"/>
          <w:szCs w:val="21"/>
          <w:highlight w:val="none"/>
          <w14:textFill>
            <w14:solidFill>
              <w14:schemeClr w14:val="tx1"/>
            </w14:solidFill>
          </w14:textFill>
        </w:rPr>
        <w:t>拖延、拒签合同的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将取消中标资格</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并没收投标保证金</w:t>
      </w:r>
      <w:r>
        <w:rPr>
          <w:rFonts w:hint="eastAsia" w:ascii="宋体" w:hAnsi="宋体" w:cs="宋体"/>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color w:val="000000" w:themeColor="text1"/>
          <w:sz w:val="21"/>
          <w:szCs w:val="21"/>
          <w:highlight w:val="none"/>
          <w14:textFill>
            <w14:solidFill>
              <w14:schemeClr w14:val="tx1"/>
            </w14:solidFill>
          </w14:textFill>
        </w:rPr>
        <w:t>。在此情况下，招标单位和采购代理机构可将中标权授予</w:t>
      </w:r>
      <w:r>
        <w:rPr>
          <w:rFonts w:hint="eastAsia" w:ascii="宋体" w:hAnsi="宋体" w:eastAsia="宋体" w:cs="宋体"/>
          <w:color w:val="auto"/>
          <w:sz w:val="21"/>
          <w:szCs w:val="21"/>
          <w:highlight w:val="none"/>
        </w:rPr>
        <w:t>招标小组提供的后一名候选人或重新招标，对受影响的供应商不承担任何责任。</w:t>
      </w:r>
    </w:p>
    <w:p w14:paraId="6FF633BF">
      <w:pPr>
        <w:pStyle w:val="48"/>
        <w:adjustRightInd w:val="0"/>
        <w:snapToGrid w:val="0"/>
        <w:spacing w:line="5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cs="宋体"/>
          <w:color w:val="auto"/>
          <w:sz w:val="21"/>
          <w:szCs w:val="21"/>
          <w:highlight w:val="none"/>
          <w:lang w:val="en-US" w:eastAsia="zh-CN"/>
        </w:rPr>
        <w:t>1.5中标或</w:t>
      </w:r>
      <w:r>
        <w:rPr>
          <w:rFonts w:hint="eastAsia" w:ascii="宋体" w:hAnsi="宋体" w:eastAsia="宋体" w:cs="宋体"/>
          <w:color w:val="auto"/>
          <w:kern w:val="0"/>
          <w:szCs w:val="21"/>
          <w:highlight w:val="none"/>
          <w:lang w:val="zh-CN"/>
        </w:rPr>
        <w:t>成交人按规定的日期、时间、地点，由法定代表人或其授权代表与招标人代表签订合同。</w:t>
      </w:r>
    </w:p>
    <w:p w14:paraId="30DD654B">
      <w:pPr>
        <w:pStyle w:val="48"/>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如签订合同并生效后，供应商无故拒绝或延期，除按照合同条款处理外，列入不良行为记录一次，并给予通报。</w:t>
      </w:r>
    </w:p>
    <w:p w14:paraId="0C5D940A">
      <w:pPr>
        <w:pStyle w:val="48"/>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成交人拒绝与招标人签订合同的，招标人可以按照评审报告推荐的中标或者成交候选人名单排序，确定下一候选人为</w:t>
      </w:r>
      <w:r>
        <w:rPr>
          <w:rFonts w:hint="eastAsia" w:ascii="宋体" w:hAnsi="宋体" w:cs="宋体"/>
          <w:color w:val="auto"/>
          <w:szCs w:val="21"/>
          <w:highlight w:val="none"/>
          <w:lang w:eastAsia="zh-CN"/>
        </w:rPr>
        <w:t>中标或</w:t>
      </w:r>
      <w:r>
        <w:rPr>
          <w:rFonts w:hint="eastAsia" w:ascii="宋体" w:hAnsi="宋体" w:eastAsia="宋体" w:cs="宋体"/>
          <w:color w:val="auto"/>
          <w:szCs w:val="21"/>
          <w:highlight w:val="none"/>
        </w:rPr>
        <w:t>成交人，也可以重新开展政府采购活动。</w:t>
      </w:r>
    </w:p>
    <w:p w14:paraId="263D808D">
      <w:pPr>
        <w:pStyle w:val="48"/>
        <w:adjustRightInd w:val="0"/>
        <w:snapToGrid w:val="0"/>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采购合同由招标人与</w:t>
      </w:r>
      <w:r>
        <w:rPr>
          <w:rFonts w:hint="eastAsia" w:ascii="宋体" w:hAnsi="宋体" w:cs="宋体"/>
          <w:color w:val="auto"/>
          <w:szCs w:val="21"/>
          <w:highlight w:val="none"/>
          <w:lang w:eastAsia="zh-CN"/>
        </w:rPr>
        <w:t>中标或</w:t>
      </w:r>
      <w:r>
        <w:rPr>
          <w:rFonts w:hint="eastAsia" w:ascii="宋体" w:hAnsi="宋体" w:eastAsia="宋体" w:cs="宋体"/>
          <w:color w:val="auto"/>
          <w:szCs w:val="21"/>
          <w:highlight w:val="none"/>
        </w:rPr>
        <w:t>成交人根据采购文件、磋商响应文件等内容通过政府采购电子交易平台在线签订，自动备案。</w:t>
      </w:r>
    </w:p>
    <w:p w14:paraId="2A6F79FE">
      <w:pPr>
        <w:pStyle w:val="48"/>
        <w:adjustRightInd w:val="0"/>
        <w:snapToGrid w:val="0"/>
        <w:spacing w:line="50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政府采购货物和服务项目不得收取质量保证金。政府采购工程以及与工程建设有关的货物、服务，采用招标方式采购的，按国家和省有关规定执行。</w:t>
      </w:r>
    </w:p>
    <w:p w14:paraId="5BAD46E7">
      <w:pPr>
        <w:pStyle w:val="8"/>
        <w:autoSpaceDE/>
        <w:autoSpaceDN/>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2.履约保证金（本项目无须缴纳履约保证金）</w:t>
      </w:r>
    </w:p>
    <w:p w14:paraId="2BBE0427">
      <w:pPr>
        <w:pStyle w:val="19"/>
        <w:adjustRightInd w:val="0"/>
        <w:snapToGrid w:val="0"/>
        <w:spacing w:before="0" w:beforeAutospacing="0" w:after="0" w:afterAutospacing="0"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2.1 </w:t>
      </w:r>
      <w:r>
        <w:rPr>
          <w:rFonts w:hint="eastAsia" w:ascii="宋体" w:hAnsi="宋体" w:eastAsia="宋体" w:cs="宋体"/>
          <w:b/>
          <w:bCs/>
          <w:color w:val="auto"/>
          <w:sz w:val="21"/>
          <w:szCs w:val="21"/>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2F505B7F">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w:t>
      </w:r>
    </w:p>
    <w:p w14:paraId="5928C0AF">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25059F">
      <w:pPr>
        <w:autoSpaceDE/>
        <w:autoSpaceDN/>
        <w:adjustRightInd/>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签订合同后，如中标人不按双方合同约定履约，则没收其全部履约保证金，履约保证金不足以赔偿损失的，按实际损失赔偿。</w:t>
      </w:r>
    </w:p>
    <w:p w14:paraId="7C19D473">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3.预付款</w:t>
      </w:r>
    </w:p>
    <w:p w14:paraId="64463C92">
      <w:pPr>
        <w:tabs>
          <w:tab w:val="left" w:pos="0"/>
        </w:tabs>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宋体" w:hAnsi="宋体" w:eastAsia="宋体" w:cs="宋体"/>
          <w:b/>
          <w:bCs/>
          <w:color w:val="auto"/>
          <w:sz w:val="21"/>
          <w:szCs w:val="21"/>
          <w:highlight w:val="none"/>
        </w:rPr>
        <w:t>人工投入为主</w:t>
      </w:r>
      <w:r>
        <w:rPr>
          <w:rFonts w:hint="eastAsia" w:ascii="宋体" w:hAnsi="宋体" w:eastAsia="宋体" w:cs="宋体"/>
          <w:color w:val="auto"/>
          <w:sz w:val="21"/>
          <w:szCs w:val="21"/>
          <w:highlight w:val="none"/>
        </w:rPr>
        <w:t>的，可适当降低预付款比例，但不得低于</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bCs/>
          <w:color w:val="auto"/>
          <w:sz w:val="21"/>
          <w:szCs w:val="21"/>
          <w:highlight w:val="none"/>
        </w:rPr>
        <w:t>7个工作日内</w:t>
      </w:r>
      <w:r>
        <w:rPr>
          <w:rFonts w:hint="eastAsia" w:ascii="宋体" w:hAnsi="宋体" w:eastAsia="宋体" w:cs="宋体"/>
          <w:color w:val="auto"/>
          <w:sz w:val="21"/>
          <w:szCs w:val="21"/>
          <w:highlight w:val="none"/>
        </w:rPr>
        <w:t>支付。政府采购工程以及与工程建设有关的货物、服务，采用招标方式采购的，预付款从其相关规定。</w:t>
      </w:r>
    </w:p>
    <w:p w14:paraId="2A3F84A9">
      <w:pPr>
        <w:keepNext w:val="0"/>
        <w:keepLines w:val="0"/>
        <w:pageBreakBefore w:val="0"/>
        <w:kinsoku/>
        <w:wordWrap/>
        <w:overflowPunct/>
        <w:topLinePunct w:val="0"/>
        <w:bidi w:val="0"/>
        <w:snapToGrid/>
        <w:spacing w:line="50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具体预付款的约定详见</w:t>
      </w:r>
      <w:r>
        <w:rPr>
          <w:rFonts w:hint="eastAsia" w:ascii="宋体" w:hAnsi="宋体" w:eastAsia="宋体" w:cs="宋体"/>
          <w:color w:val="auto"/>
          <w:sz w:val="21"/>
          <w:szCs w:val="21"/>
          <w:highlight w:val="none"/>
        </w:rPr>
        <w:t>本招标文件“第二章 招标需求”中的“</w:t>
      </w:r>
      <w:r>
        <w:rPr>
          <w:rFonts w:hint="eastAsia" w:ascii="宋体" w:hAnsi="宋体" w:eastAsia="宋体" w:cs="宋体"/>
          <w:b/>
          <w:sz w:val="21"/>
          <w:szCs w:val="21"/>
          <w:lang w:eastAsia="zh-CN"/>
        </w:rPr>
        <w:t>六</w:t>
      </w:r>
      <w:r>
        <w:rPr>
          <w:rFonts w:hint="eastAsia" w:ascii="宋体" w:hAnsi="宋体" w:eastAsia="宋体" w:cs="宋体"/>
          <w:b/>
          <w:sz w:val="21"/>
          <w:szCs w:val="21"/>
        </w:rPr>
        <w:t>、</w:t>
      </w:r>
      <w:r>
        <w:rPr>
          <w:rFonts w:hint="eastAsia" w:hAnsi="宋体" w:cs="宋体"/>
          <w:b/>
          <w:sz w:val="21"/>
          <w:szCs w:val="21"/>
          <w:lang w:eastAsia="zh-CN"/>
        </w:rPr>
        <w:t>付款方式</w:t>
      </w:r>
      <w:r>
        <w:rPr>
          <w:rFonts w:hint="eastAsia" w:ascii="宋体" w:hAnsi="宋体" w:eastAsia="宋体" w:cs="宋体"/>
          <w:color w:val="auto"/>
          <w:sz w:val="21"/>
          <w:szCs w:val="21"/>
          <w:highlight w:val="none"/>
        </w:rPr>
        <w:t>”。</w:t>
      </w:r>
    </w:p>
    <w:p w14:paraId="36C87C72">
      <w:pPr>
        <w:pStyle w:val="8"/>
        <w:autoSpaceDE/>
        <w:autoSpaceDN/>
        <w:adjustRightInd w:val="0"/>
        <w:snapToGrid w:val="0"/>
        <w:spacing w:line="5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4.资金支付</w:t>
      </w:r>
    </w:p>
    <w:p w14:paraId="0EDE51DA">
      <w:pPr>
        <w:pStyle w:val="8"/>
        <w:adjustRightInd w:val="0"/>
        <w:snapToGrid w:val="0"/>
        <w:spacing w:line="500" w:lineRule="exac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采购单位应当及时</w:t>
      </w:r>
      <w:r>
        <w:rPr>
          <w:rFonts w:hint="eastAsia" w:ascii="宋体" w:hAnsi="宋体" w:eastAsia="宋体" w:cs="宋体"/>
          <w:color w:val="auto"/>
          <w:sz w:val="21"/>
          <w:szCs w:val="21"/>
          <w:highlight w:val="none"/>
        </w:rPr>
        <w:t>组织项目资金支付，</w:t>
      </w:r>
      <w:r>
        <w:rPr>
          <w:rFonts w:hint="eastAsia" w:ascii="宋体" w:hAnsi="宋体" w:eastAsia="宋体" w:cs="宋体"/>
          <w:b/>
          <w:bCs/>
          <w:color w:val="auto"/>
          <w:sz w:val="21"/>
          <w:szCs w:val="21"/>
          <w:highlight w:val="none"/>
        </w:rPr>
        <w:t>不得以政府部门审计作为支付供应商款项的条件。</w:t>
      </w:r>
      <w:r>
        <w:rPr>
          <w:rFonts w:hint="eastAsia" w:ascii="宋体" w:hAnsi="宋体" w:eastAsia="宋体" w:cs="宋体"/>
          <w:color w:val="auto"/>
          <w:sz w:val="21"/>
          <w:szCs w:val="21"/>
          <w:highlight w:val="none"/>
        </w:rPr>
        <w:t>采购单位对于满足合同约定支付条件的，</w:t>
      </w:r>
      <w:r>
        <w:rPr>
          <w:rFonts w:hint="eastAsia" w:ascii="宋体" w:hAnsi="宋体" w:eastAsia="宋体" w:cs="宋体"/>
          <w:b/>
          <w:bCs/>
          <w:color w:val="auto"/>
          <w:sz w:val="21"/>
          <w:szCs w:val="21"/>
          <w:highlight w:val="none"/>
        </w:rPr>
        <w:t>自收到发票后7个工作日内</w:t>
      </w:r>
      <w:r>
        <w:rPr>
          <w:rFonts w:hint="eastAsia" w:ascii="宋体" w:hAnsi="宋体" w:eastAsia="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721ACEC4">
      <w:pPr>
        <w:keepNext w:val="0"/>
        <w:keepLines w:val="0"/>
        <w:pageBreakBefore w:val="0"/>
        <w:kinsoku/>
        <w:wordWrap/>
        <w:overflowPunct/>
        <w:topLinePunct w:val="0"/>
        <w:bidi w:val="0"/>
        <w:snapToGrid/>
        <w:spacing w:line="500" w:lineRule="exact"/>
        <w:ind w:firstLine="482"/>
        <w:rPr>
          <w:rFonts w:hint="eastAsia" w:ascii="宋体" w:hAnsi="宋体" w:eastAsia="宋体" w:cs="宋体"/>
          <w:color w:val="auto"/>
          <w:sz w:val="21"/>
          <w:szCs w:val="21"/>
          <w:highlight w:val="none"/>
        </w:rPr>
      </w:pPr>
      <w:bookmarkStart w:id="49" w:name="_Toc97649962"/>
      <w:r>
        <w:rPr>
          <w:rFonts w:hint="eastAsia" w:ascii="宋体" w:hAnsi="宋体" w:eastAsia="宋体" w:cs="宋体"/>
          <w:color w:val="auto"/>
          <w:sz w:val="21"/>
          <w:szCs w:val="21"/>
          <w:highlight w:val="none"/>
        </w:rPr>
        <w:t>本项</w:t>
      </w:r>
      <w:r>
        <w:rPr>
          <w:rFonts w:hint="eastAsia" w:hAnsi="宋体" w:cs="宋体"/>
          <w:color w:val="auto"/>
          <w:sz w:val="21"/>
          <w:szCs w:val="21"/>
          <w:highlight w:val="none"/>
          <w:lang w:val="en-US" w:eastAsia="zh-CN"/>
        </w:rPr>
        <w:t>目</w:t>
      </w:r>
      <w:r>
        <w:rPr>
          <w:rFonts w:hint="eastAsia" w:ascii="宋体" w:hAnsi="宋体" w:eastAsia="宋体" w:cs="宋体"/>
          <w:color w:val="auto"/>
          <w:sz w:val="21"/>
          <w:szCs w:val="21"/>
          <w:highlight w:val="none"/>
        </w:rPr>
        <w:t>的资金支付按本招标文件“第二章 招标需求”中的“</w:t>
      </w:r>
      <w:r>
        <w:rPr>
          <w:rFonts w:hint="eastAsia" w:ascii="宋体" w:hAnsi="宋体" w:eastAsia="宋体" w:cs="宋体"/>
          <w:b/>
          <w:sz w:val="21"/>
          <w:szCs w:val="21"/>
          <w:lang w:eastAsia="zh-CN"/>
        </w:rPr>
        <w:t>六</w:t>
      </w:r>
      <w:r>
        <w:rPr>
          <w:rFonts w:hint="eastAsia" w:ascii="宋体" w:hAnsi="宋体" w:eastAsia="宋体" w:cs="宋体"/>
          <w:b/>
          <w:sz w:val="21"/>
          <w:szCs w:val="21"/>
        </w:rPr>
        <w:t>、</w:t>
      </w:r>
      <w:r>
        <w:rPr>
          <w:rFonts w:hint="eastAsia" w:hAnsi="宋体" w:cs="宋体"/>
          <w:b/>
          <w:sz w:val="21"/>
          <w:szCs w:val="21"/>
          <w:lang w:eastAsia="zh-CN"/>
        </w:rPr>
        <w:t>付款方式</w:t>
      </w:r>
      <w:r>
        <w:rPr>
          <w:rFonts w:hint="eastAsia" w:ascii="宋体" w:hAnsi="宋体" w:eastAsia="宋体" w:cs="宋体"/>
          <w:color w:val="auto"/>
          <w:sz w:val="21"/>
          <w:szCs w:val="21"/>
          <w:highlight w:val="none"/>
        </w:rPr>
        <w:t>”执行并在合同中进行约定。</w:t>
      </w:r>
    </w:p>
    <w:p w14:paraId="71AB52F5">
      <w:pPr>
        <w:autoSpaceDE/>
        <w:autoSpaceDN/>
        <w:snapToGrid w:val="0"/>
        <w:spacing w:line="5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w:t>
      </w:r>
      <w:bookmarkEnd w:id="49"/>
      <w:r>
        <w:rPr>
          <w:rFonts w:hint="eastAsia" w:ascii="宋体" w:hAnsi="宋体" w:eastAsia="宋体" w:cs="宋体"/>
          <w:b/>
          <w:color w:val="auto"/>
          <w:sz w:val="21"/>
          <w:szCs w:val="21"/>
          <w:highlight w:val="none"/>
        </w:rPr>
        <w:t>本项目招标在</w:t>
      </w:r>
      <w:r>
        <w:rPr>
          <w:rFonts w:hint="eastAsia" w:hAnsi="宋体" w:cs="宋体"/>
          <w:b/>
          <w:color w:val="auto"/>
          <w:sz w:val="21"/>
          <w:szCs w:val="21"/>
          <w:highlight w:val="none"/>
          <w:lang w:eastAsia="zh-CN"/>
        </w:rPr>
        <w:t>金华经济技术开发区管理委员会财政局</w:t>
      </w:r>
      <w:r>
        <w:rPr>
          <w:rFonts w:hint="eastAsia" w:ascii="宋体" w:hAnsi="宋体" w:eastAsia="宋体" w:cs="宋体"/>
          <w:b/>
          <w:color w:val="auto"/>
          <w:sz w:val="21"/>
          <w:szCs w:val="21"/>
          <w:highlight w:val="none"/>
        </w:rPr>
        <w:t>监督下进行。</w:t>
      </w:r>
    </w:p>
    <w:p w14:paraId="12169CD4">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九、电子投标特别提醒</w:t>
      </w:r>
    </w:p>
    <w:p w14:paraId="665D3DEB">
      <w:pPr>
        <w:widowControl/>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1.请所有投标人在政采云系统准时参加线上开标活动，并且要求法定代表人或授权委托人全程在线。</w:t>
      </w:r>
    </w:p>
    <w:p w14:paraId="76DB3C8F">
      <w:pPr>
        <w:widowControl/>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2.投标截止时间后，代理机构将线上开启解密，投标人需及时用CA锁在线解密，解密时间一般为半小时（</w:t>
      </w:r>
      <w:r>
        <w:rPr>
          <w:rFonts w:hint="eastAsia" w:ascii="宋体" w:hAnsi="宋体" w:eastAsia="宋体" w:cs="宋体"/>
          <w:color w:val="auto"/>
          <w:sz w:val="21"/>
          <w:szCs w:val="21"/>
          <w:highlight w:val="none"/>
        </w:rPr>
        <w:t>解密时限由财政部门设置</w:t>
      </w:r>
      <w:r>
        <w:rPr>
          <w:rFonts w:hint="eastAsia" w:ascii="宋体" w:hAnsi="宋体" w:eastAsia="宋体" w:cs="宋体"/>
          <w:color w:val="auto"/>
          <w:sz w:val="21"/>
          <w:highlight w:val="none"/>
        </w:rPr>
        <w:t>），逾期解密，投标人自行承担风险。</w:t>
      </w:r>
    </w:p>
    <w:p w14:paraId="612CCCCA">
      <w:pPr>
        <w:widowControl/>
        <w:snapToGrid w:val="0"/>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3.解密响应文件的CA锁必须跟制作响应文件的CA锁为同一个，否则将导致解密失败。</w:t>
      </w:r>
    </w:p>
    <w:p w14:paraId="60FCD684">
      <w:pPr>
        <w:snapToGrid w:val="0"/>
        <w:spacing w:line="500" w:lineRule="exact"/>
        <w:ind w:firstLine="420" w:firstLineChars="200"/>
        <w:rPr>
          <w:rFonts w:hint="eastAsia" w:ascii="宋体" w:hAnsi="宋体" w:eastAsia="宋体" w:cs="宋体"/>
          <w:color w:val="auto"/>
          <w:sz w:val="21"/>
          <w:highlight w:val="none"/>
        </w:rPr>
      </w:pPr>
      <w:bookmarkStart w:id="50" w:name="_Toc12694"/>
      <w:r>
        <w:rPr>
          <w:rFonts w:hint="eastAsia" w:ascii="宋体" w:hAnsi="宋体" w:eastAsia="宋体" w:cs="宋体"/>
          <w:color w:val="auto"/>
          <w:sz w:val="21"/>
          <w:highlight w:val="none"/>
        </w:rPr>
        <w:t>4.请务必确保投标文件制作客户端为最新版本，旧版本可能导致投标文件解密失败。</w:t>
      </w:r>
      <w:bookmarkEnd w:id="50"/>
    </w:p>
    <w:p w14:paraId="0528BE4B">
      <w:pPr>
        <w:snapToGrid w:val="0"/>
        <w:spacing w:line="500" w:lineRule="exact"/>
        <w:ind w:firstLine="420"/>
        <w:jc w:val="center"/>
        <w:outlineLvl w:val="0"/>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br w:type="page"/>
      </w:r>
      <w:bookmarkStart w:id="51" w:name="_Toc9773"/>
      <w:bookmarkStart w:id="52" w:name="_Toc29832"/>
      <w:r>
        <w:rPr>
          <w:rFonts w:hint="eastAsia" w:ascii="宋体" w:hAnsi="宋体" w:eastAsia="宋体" w:cs="宋体"/>
          <w:b/>
          <w:bCs/>
          <w:color w:val="auto"/>
          <w:sz w:val="30"/>
          <w:szCs w:val="30"/>
          <w:highlight w:val="none"/>
        </w:rPr>
        <w:t>第四章 评标办法及评分标准</w:t>
      </w:r>
      <w:bookmarkEnd w:id="51"/>
      <w:bookmarkEnd w:id="52"/>
    </w:p>
    <w:p w14:paraId="5747327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为公正、公平、科学地选择中标人，根据《中华人民共和国政府采购法》等有关法律法规的规定，并结合本项目的实际，制定本办法。</w:t>
      </w:r>
    </w:p>
    <w:p w14:paraId="1046603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本办法仅适用本项目的评标。</w:t>
      </w:r>
    </w:p>
    <w:p w14:paraId="56C06CE1">
      <w:pPr>
        <w:pStyle w:val="19"/>
        <w:adjustRightInd w:val="0"/>
        <w:snapToGrid w:val="0"/>
        <w:spacing w:before="0" w:beforeAutospacing="0" w:after="0" w:afterAutospacing="0"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一、评审纪律和要求</w:t>
      </w:r>
    </w:p>
    <w:p w14:paraId="30BCC35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1.评审专家必须公平、公正评审，遵纪守法，客观、廉洁地履行职责。</w:t>
      </w:r>
    </w:p>
    <w:p w14:paraId="70D356A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2.评审专家在评审开始前，应关闭并上交随身携带的各种通信工具。</w:t>
      </w:r>
    </w:p>
    <w:p w14:paraId="5BEBC38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3.评审专家在评审过程中，未经许可不得中途离开评审现场，不得迟到早退。</w:t>
      </w:r>
    </w:p>
    <w:p w14:paraId="0E279215">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4.评审专家和工作人员不得透露评审过程中的讨论情况和评审结果。</w:t>
      </w:r>
    </w:p>
    <w:p w14:paraId="2AC5676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ascii="宋体" w:hAnsi="宋体" w:eastAsia="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ascii="宋体" w:hAnsi="宋体" w:eastAsia="宋体" w:cs="宋体"/>
          <w:color w:val="auto"/>
          <w:sz w:val="21"/>
          <w:szCs w:val="21"/>
          <w:highlight w:val="none"/>
        </w:rPr>
        <w:t>。</w:t>
      </w:r>
    </w:p>
    <w:p w14:paraId="23A1B8B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6.招标人、采购代理机构不得向评审委员会的评审专家作倾向性、误导性的解释或者说明。</w:t>
      </w:r>
    </w:p>
    <w:p w14:paraId="57AA0CA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ascii="宋体" w:hAnsi="宋体" w:eastAsia="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ascii="宋体" w:hAnsi="宋体" w:eastAsia="宋体" w:cs="宋体"/>
          <w:color w:val="auto"/>
          <w:sz w:val="21"/>
          <w:szCs w:val="21"/>
          <w:highlight w:val="none"/>
        </w:rPr>
        <w:t>。</w:t>
      </w:r>
    </w:p>
    <w:p w14:paraId="6C83B75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8.评审专家在评审过程中不得将自己的观点强加给其他评审专家，评审专家应自主发表见解，对评审意见承担个人责任。</w:t>
      </w:r>
    </w:p>
    <w:p w14:paraId="13FFA67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b/>
          <w:bCs/>
          <w:color w:val="auto"/>
          <w:sz w:val="21"/>
          <w:szCs w:val="21"/>
          <w:highlight w:val="none"/>
        </w:rPr>
        <w:t>评审结束后，评审委员会应向采购代理机构提交项目评审报告。评审报告是招标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ascii="宋体" w:hAnsi="宋体" w:eastAsia="宋体" w:cs="宋体"/>
          <w:color w:val="auto"/>
          <w:sz w:val="21"/>
          <w:szCs w:val="21"/>
          <w:highlight w:val="none"/>
        </w:rPr>
        <w:t>。</w:t>
      </w:r>
    </w:p>
    <w:p w14:paraId="6393FED1">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2D4FA54D">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11.评审专家应当遵守评审工作纪律，不得泄露评审文件、评审情况和评审中获悉的商业秘密。</w:t>
      </w:r>
    </w:p>
    <w:p w14:paraId="430F922C">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评审委员会在评审过程中发现投标人有行贿、提供虚假材料或者串通等违法行为的，应当及时向财政部门报告。</w:t>
      </w:r>
    </w:p>
    <w:p w14:paraId="514CDB47">
      <w:pPr>
        <w:autoSpaceDE/>
        <w:autoSpaceDN/>
        <w:snapToGrid w:val="0"/>
        <w:spacing w:line="5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12.招标文件内容违反国家有关强制性规定的，评审委员会应当停止评审并向采购代理机构说明情况。</w:t>
      </w:r>
    </w:p>
    <w:p w14:paraId="56232CC1">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13.评审专家应当配合采购代理机构答复投标人提出的质疑。</w:t>
      </w:r>
    </w:p>
    <w:p w14:paraId="4E32D5F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14.评审专家应当配合财政部门的投诉处理工作。</w:t>
      </w:r>
    </w:p>
    <w:p w14:paraId="6951EE6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15.评审专家有如下行为之一的，责令改正，给予警告，可以并处一千元以下的罚款：</w:t>
      </w:r>
    </w:p>
    <w:p w14:paraId="57B50BB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①明知应当回避而未主动回避的；</w:t>
      </w:r>
    </w:p>
    <w:p w14:paraId="2D870B4A">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②在得知自己为评审专家身份后至评审结束前时段内私下接触投标人的</w:t>
      </w:r>
      <w:r>
        <w:rPr>
          <w:rFonts w:hint="eastAsia" w:ascii="宋体" w:hAnsi="宋体" w:eastAsia="宋体" w:cs="宋体"/>
          <w:color w:val="auto"/>
          <w:sz w:val="21"/>
          <w:szCs w:val="21"/>
          <w:highlight w:val="none"/>
        </w:rPr>
        <w:t>；</w:t>
      </w:r>
    </w:p>
    <w:p w14:paraId="066EE8B7">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③在评审过程中擅离职守，影响评审程序正常进行的；</w:t>
      </w:r>
    </w:p>
    <w:p w14:paraId="0B90F36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④在评审过程有明显不合理或者不正当倾向性的；</w:t>
      </w:r>
    </w:p>
    <w:p w14:paraId="6E5108ED">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⑤未按招标文件规定的评审方法和标准进行评审的。</w:t>
      </w:r>
    </w:p>
    <w:p w14:paraId="22C514C0">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⑥上述①至⑤行为影响中标结果的，中标结果无效。</w:t>
      </w:r>
    </w:p>
    <w:p w14:paraId="052746C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044A2129">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政府采购评审专家与投标人存在利害关系未回避的，处2万元以上5万元以下的罚款，禁止其参加政府采购评审活动。</w:t>
      </w:r>
    </w:p>
    <w:p w14:paraId="0538177C">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政府采购评审专家收受招标人、采购代理机构、投标人贿赂或者获取其他不正当利益，构成犯罪的，依法追究刑事责任；尚不构成犯罪的，处2万元以上5万元以下的罚款，禁止其参加政府采购评审活动。</w:t>
      </w:r>
    </w:p>
    <w:p w14:paraId="7C5430B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政府采购评审专家有上述违法行为的，其评审意见无效，不得获取评审费；有违法所得的，没收违法所得；给他人造成损失的，依法承担民事责任。</w:t>
      </w:r>
    </w:p>
    <w:p w14:paraId="2E279960">
      <w:pPr>
        <w:pStyle w:val="19"/>
        <w:adjustRightInd w:val="0"/>
        <w:snapToGrid w:val="0"/>
        <w:spacing w:before="0" w:beforeAutospacing="0" w:after="0" w:afterAutospacing="0"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二、评标定标时对政府采购政策的落实要求</w:t>
      </w:r>
    </w:p>
    <w:p w14:paraId="03779A7D">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1.采购项目需要落实的政府采购政策</w:t>
      </w:r>
    </w:p>
    <w:p w14:paraId="16E057BC">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原则上采购本国生产的货物、工程和服务，不允许采购进口产品。除非招标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招标人、采购机构不会对其加以限制，仍将按照公平竞争原则实施采购）。</w:t>
      </w:r>
    </w:p>
    <w:p w14:paraId="3C4B9E1C">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支持绿色发展</w:t>
      </w:r>
    </w:p>
    <w:p w14:paraId="66E4EDCE">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招标人拟采购的产品属于品目清单范围的，招标人及其委托的采购代理机构将依据国家确定的认证机构出具的、处于有效期之内的节能产品、环境标志产品认证证书，对获得证书的产品实施政府优先采购或强制采购。供应商须按采购文件要求提供相关产品认证证书。▲招标人拟采购的产品属于政府强制采购的节能产品品目清单范围的，供应商未按采购文件要求提供国家确定的认证机构出具的、处于有效期之内的节能产品认证证书的，投标无效。</w:t>
      </w:r>
    </w:p>
    <w:p w14:paraId="5BCFCA49">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BCCCAF2">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1.3支持中小企业发展</w:t>
      </w:r>
    </w:p>
    <w:p w14:paraId="58C5047B">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36202B51">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4819B92">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1.3.2在政府采购活动中，供应商提供的货物、工程或者服务符合下列情形的，享受中小企业扶持政策；</w:t>
      </w:r>
    </w:p>
    <w:p w14:paraId="6D46A21E">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1.3.2.1在货物采购项目中，货物由中小企业制造，即货物由中小企业生产且使用该中小企业商号或者注册商标；</w:t>
      </w:r>
    </w:p>
    <w:p w14:paraId="6734E674">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1.3.2.2在工程采购项目中，工程由中小企业承建，即工程施工单位为中小企业；</w:t>
      </w:r>
    </w:p>
    <w:p w14:paraId="0913EC96">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1.3.2.3在服务采购项目中，服务由中小企业承接，即提供服务的人员为中小企业依照《中华人民共和国劳动合同法》订立劳动合同的从业人员。</w:t>
      </w:r>
    </w:p>
    <w:p w14:paraId="2B9AE0C6">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14:paraId="28D17CEB">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6CF3E572">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29CDAC46">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1.3.4符合《关于促进残疾人就业政府采购政策的通知》（财库〔2017〕141号）规定的条件并提供《残疾人福利性单位声明函》（附件1）的残疾人福利性单位视同小型、微型企业。</w:t>
      </w:r>
    </w:p>
    <w:p w14:paraId="41F1EB2D">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A1CB70">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E2BD7CC">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1.3.7中小企业享受扶持政策获得政府采购合同的，小微企业不得将合同分包给大中型企业，中型企业不得将合同分包给大型企业。</w:t>
      </w:r>
    </w:p>
    <w:p w14:paraId="7FEFB72E">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1.4支持创新发展</w:t>
      </w:r>
    </w:p>
    <w:p w14:paraId="087AC1F0">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招标人优先采购被认定为首台套产品和“制造精品”的自主创新产品。</w:t>
      </w:r>
    </w:p>
    <w:p w14:paraId="002A3910">
      <w:pPr>
        <w:pStyle w:val="19"/>
        <w:adjustRightInd w:val="0"/>
        <w:snapToGrid w:val="0"/>
        <w:spacing w:before="0" w:beforeAutospacing="0" w:after="0" w:afterAutospacing="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b/>
          <w:bCs/>
          <w:color w:val="auto"/>
          <w:sz w:val="21"/>
          <w:szCs w:val="21"/>
          <w:highlight w:val="none"/>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color w:val="auto"/>
          <w:sz w:val="21"/>
          <w:szCs w:val="21"/>
          <w:highlight w:val="none"/>
        </w:rPr>
        <w:t>。</w:t>
      </w:r>
    </w:p>
    <w:p w14:paraId="5662539C">
      <w:pPr>
        <w:autoSpaceDE/>
        <w:autoSpaceDN/>
        <w:adjustRightInd/>
        <w:spacing w:line="500" w:lineRule="exact"/>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09EC6879">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三、总则</w:t>
      </w:r>
    </w:p>
    <w:p w14:paraId="2D56090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本次评标采用综合评分法，总分为100分，其中价格分</w:t>
      </w:r>
      <w:r>
        <w:rPr>
          <w:rFonts w:hint="eastAsia"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分、技术商务分</w:t>
      </w:r>
      <w:r>
        <w:rPr>
          <w:rFonts w:hint="eastAsia"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分等二部分。合格投标人的评标得分为各项目汇总得分，中标候选资格按评标得分由高到低顺序排列；得分相同的，按投标报价由低到高顺序排列；汇总得分及报价均相同的，按“</w:t>
      </w:r>
      <w:r>
        <w:rPr>
          <w:rFonts w:hint="eastAsia" w:ascii="宋体" w:hAnsi="宋体" w:eastAsia="宋体" w:cs="宋体"/>
          <w:color w:val="000000"/>
          <w:sz w:val="21"/>
          <w:szCs w:val="21"/>
        </w:rPr>
        <w:t>项目实施方案</w:t>
      </w:r>
      <w:r>
        <w:rPr>
          <w:rFonts w:hint="eastAsia" w:ascii="宋体" w:hAnsi="宋体" w:eastAsia="宋体" w:cs="宋体"/>
          <w:color w:val="auto"/>
          <w:sz w:val="21"/>
          <w:szCs w:val="21"/>
          <w:highlight w:val="none"/>
        </w:rPr>
        <w:t>”得分由高到低顺序排列。排名第一的投标人为中标候选人，排名第二的投标人为候补中标候选人……其他投标人中标候选资格依此类推。评分过程中采用四舍五入法，并保留小数2位。</w:t>
      </w:r>
    </w:p>
    <w:p w14:paraId="39BCE204">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投标人评标综合得分=价格分+技术商务分。</w:t>
      </w:r>
    </w:p>
    <w:p w14:paraId="53D1B2E4">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技术商务分=（评审小组所有成员评分合计数）/（评审小组组成人员数）</w:t>
      </w:r>
    </w:p>
    <w:p w14:paraId="13F01730">
      <w:pPr>
        <w:autoSpaceDE/>
        <w:autoSpaceDN/>
        <w:adjustRightInd/>
        <w:spacing w:line="5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四、评标内容及标准</w:t>
      </w:r>
    </w:p>
    <w:p w14:paraId="6D668D2C">
      <w:pPr>
        <w:autoSpaceDE/>
        <w:autoSpaceDN/>
        <w:adjustRightInd/>
        <w:spacing w:line="500" w:lineRule="exact"/>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（一）价格分（</w:t>
      </w:r>
      <w:r>
        <w:rPr>
          <w:rFonts w:hint="eastAsia" w:hAnsi="宋体" w:cs="宋体"/>
          <w:b/>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color w:val="000000" w:themeColor="text1"/>
          <w:sz w:val="21"/>
          <w:szCs w:val="21"/>
          <w:highlight w:val="none"/>
          <w14:textFill>
            <w14:solidFill>
              <w14:schemeClr w14:val="tx1"/>
            </w14:solidFill>
          </w14:textFill>
        </w:rPr>
        <w:t>分）</w:t>
      </w:r>
    </w:p>
    <w:p w14:paraId="72B5AAE8">
      <w:pPr>
        <w:autoSpaceDE/>
        <w:autoSpaceDN/>
        <w:adjustRightInd/>
        <w:spacing w:line="500" w:lineRule="exact"/>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1.价格分采用低价优先法计算，即：以满足招标文件要求且投标价格最低价者</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即：报价</w:t>
      </w:r>
      <w:r>
        <w:rPr>
          <w:rFonts w:hint="eastAsia" w:ascii="宋体" w:hAnsi="宋体" w:eastAsia="宋体" w:cs="宋体"/>
          <w:color w:val="000000" w:themeColor="text1"/>
          <w:sz w:val="21"/>
          <w:szCs w:val="21"/>
          <w:highlight w:val="none"/>
          <w14:textFill>
            <w14:solidFill>
              <w14:schemeClr w14:val="tx1"/>
            </w14:solidFill>
          </w14:textFill>
        </w:rPr>
        <w:t>“折扣”数值</w:t>
      </w:r>
      <w:r>
        <w:rPr>
          <w:rFonts w:hint="eastAsia" w:hAnsi="宋体" w:cs="宋体"/>
          <w:color w:val="000000" w:themeColor="text1"/>
          <w:sz w:val="21"/>
          <w:szCs w:val="21"/>
          <w:highlight w:val="none"/>
          <w:lang w:val="en-US" w:eastAsia="zh-CN"/>
          <w14:textFill>
            <w14:solidFill>
              <w14:schemeClr w14:val="tx1"/>
            </w14:solidFill>
          </w14:textFill>
        </w:rPr>
        <w:t>最小者</w:t>
      </w:r>
      <w:r>
        <w:rPr>
          <w:rFonts w:hint="eastAsia"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的投标报价定为评标基准价，其价格分为满分。其他投标人的价格分统一按照下列公式计算：</w:t>
      </w:r>
    </w:p>
    <w:p w14:paraId="0706CA55">
      <w:pPr>
        <w:pStyle w:val="11"/>
        <w:snapToGrid w:val="0"/>
        <w:spacing w:line="5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其他投标人的价格分=（评标基准价/投标人投标报价）×</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%×100</w:t>
      </w:r>
    </w:p>
    <w:p w14:paraId="32781C4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价格评审过程中，评标委员会认为投标人的报价明显低于其他通过符合性审查投标人的报价</w:t>
      </w:r>
      <w:r>
        <w:rPr>
          <w:rFonts w:hint="eastAsia" w:hAnsi="宋体" w:cs="宋体"/>
          <w:color w:val="auto"/>
          <w:sz w:val="21"/>
          <w:szCs w:val="21"/>
          <w:highlight w:val="none"/>
          <w:lang w:val="en-US" w:eastAsia="zh-CN"/>
        </w:rPr>
        <w:t>且</w:t>
      </w:r>
      <w:r>
        <w:rPr>
          <w:rFonts w:hint="eastAsia" w:ascii="宋体" w:hAnsi="宋体" w:eastAsia="宋体" w:cs="宋体"/>
          <w:b/>
          <w:bCs/>
          <w:color w:val="auto"/>
          <w:sz w:val="21"/>
          <w:szCs w:val="21"/>
          <w:highlight w:val="none"/>
          <w:u w:val="none"/>
          <w:lang w:val="en-US" w:eastAsia="zh-CN"/>
        </w:rPr>
        <w:t>报价低于项目</w:t>
      </w:r>
      <w:r>
        <w:rPr>
          <w:rFonts w:hint="eastAsia" w:hAnsi="宋体" w:cs="宋体"/>
          <w:b/>
          <w:bCs/>
          <w:color w:val="auto"/>
          <w:sz w:val="21"/>
          <w:szCs w:val="21"/>
          <w:highlight w:val="none"/>
          <w:u w:val="none"/>
          <w:lang w:val="en-US" w:eastAsia="zh-CN"/>
        </w:rPr>
        <w:t>最高单价限价</w:t>
      </w:r>
      <w:r>
        <w:rPr>
          <w:rFonts w:hint="eastAsia" w:ascii="宋体" w:hAnsi="宋体" w:eastAsia="宋体" w:cs="宋体"/>
          <w:b/>
          <w:bCs/>
          <w:color w:val="auto"/>
          <w:sz w:val="21"/>
          <w:szCs w:val="21"/>
          <w:highlight w:val="none"/>
          <w:u w:val="none"/>
          <w:lang w:val="en-US" w:eastAsia="zh-CN"/>
        </w:rPr>
        <w:t>50%时</w:t>
      </w:r>
      <w:r>
        <w:rPr>
          <w:rFonts w:hint="eastAsia" w:ascii="宋体" w:hAnsi="宋体" w:eastAsia="宋体" w:cs="宋体"/>
          <w:color w:val="auto"/>
          <w:sz w:val="21"/>
          <w:szCs w:val="21"/>
          <w:highlight w:val="none"/>
        </w:rPr>
        <w:t>，有可能影响</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或者不能诚信履约的，应当要求其在评标现场合理的时间内提供书面说明</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none"/>
          <w:lang w:val="en-US" w:eastAsia="zh-CN"/>
        </w:rPr>
        <w:t>以详细阐述不影响产品服务质量或者诚信履约的具体原因</w:t>
      </w:r>
      <w:r>
        <w:rPr>
          <w:rFonts w:hint="eastAsia" w:ascii="宋体" w:hAnsi="宋体" w:eastAsia="宋体" w:cs="宋体"/>
          <w:color w:val="auto"/>
          <w:sz w:val="21"/>
          <w:szCs w:val="21"/>
          <w:highlight w:val="none"/>
        </w:rPr>
        <w:t>，必要时提交相关证明材料；投标人不能证明其报价合理性的，评标委员会应当将其作为无效投标处理。在有效投标人数满足法定人数的前提下，评标委员会依次确定满足招标文件要求且投标价格最低的有效投标报价为评标基准价。</w:t>
      </w:r>
    </w:p>
    <w:p w14:paraId="7E11C37E">
      <w:pPr>
        <w:numPr>
          <w:ilvl w:val="0"/>
          <w:numId w:val="0"/>
        </w:numPr>
        <w:autoSpaceDE/>
        <w:autoSpaceDN/>
        <w:adjustRightInd/>
        <w:spacing w:line="500" w:lineRule="exact"/>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投标人的投标报价超过招标人设定的上限价（最高限价</w:t>
      </w:r>
      <w:r>
        <w:rPr>
          <w:rFonts w:hint="eastAsia" w:hAnsi="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val="en-US" w:eastAsia="zh-CN"/>
          <w14:textFill>
            <w14:solidFill>
              <w14:schemeClr w14:val="tx1"/>
            </w14:solidFill>
          </w14:textFill>
        </w:rPr>
        <w:t>60万元</w:t>
      </w:r>
      <w:r>
        <w:rPr>
          <w:rFonts w:hint="eastAsia" w:ascii="宋体" w:hAnsi="宋体" w:eastAsia="宋体" w:cs="宋体"/>
          <w:b/>
          <w:color w:val="000000" w:themeColor="text1"/>
          <w:sz w:val="21"/>
          <w:szCs w:val="21"/>
          <w:highlight w:val="none"/>
          <w14:textFill>
            <w14:solidFill>
              <w14:schemeClr w14:val="tx1"/>
            </w14:solidFill>
          </w14:textFill>
        </w:rPr>
        <w:t>），按投标无效处理。</w:t>
      </w:r>
    </w:p>
    <w:p w14:paraId="7BB4132C">
      <w:pPr>
        <w:autoSpaceDE/>
        <w:autoSpaceDN/>
        <w:adjustRightInd/>
        <w:spacing w:line="500" w:lineRule="exact"/>
        <w:ind w:firstLine="422" w:firstLineChars="200"/>
        <w:jc w:val="both"/>
        <w:textAlignment w:val="auto"/>
        <w:rPr>
          <w:rFonts w:hint="eastAsia" w:hAnsi="宋体" w:eastAsia="宋体" w:cs="宋体"/>
          <w:b/>
          <w:color w:val="000000"/>
          <w:sz w:val="21"/>
          <w:szCs w:val="21"/>
          <w:highlight w:val="none"/>
        </w:rPr>
      </w:pPr>
      <w:r>
        <w:rPr>
          <w:rFonts w:hint="eastAsia" w:hAnsi="宋体" w:eastAsia="宋体" w:cs="宋体"/>
          <w:b/>
          <w:color w:val="000000"/>
          <w:sz w:val="21"/>
          <w:szCs w:val="21"/>
          <w:highlight w:val="none"/>
          <w:lang w:val="en-US" w:eastAsia="zh-CN"/>
        </w:rPr>
        <w:t>3</w:t>
      </w:r>
      <w:r>
        <w:rPr>
          <w:rFonts w:hint="eastAsia" w:hAnsi="宋体" w:eastAsia="宋体" w:cs="宋体"/>
          <w:b/>
          <w:color w:val="000000"/>
          <w:sz w:val="21"/>
          <w:szCs w:val="21"/>
          <w:highlight w:val="none"/>
        </w:rPr>
        <w:t>.本项目为专门面向中小企业采购的项目，不再执行价格评审优惠的扶持政策。</w:t>
      </w:r>
    </w:p>
    <w:p w14:paraId="4ADEF6C4">
      <w:pPr>
        <w:numPr>
          <w:ilvl w:val="0"/>
          <w:numId w:val="2"/>
        </w:numPr>
        <w:autoSpaceDE/>
        <w:autoSpaceDN/>
        <w:adjustRightInd/>
        <w:snapToGrid w:val="0"/>
        <w:spacing w:line="500" w:lineRule="exact"/>
        <w:ind w:firstLine="422" w:firstLineChars="20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技术商务分（</w:t>
      </w:r>
      <w:r>
        <w:rPr>
          <w:rFonts w:hint="eastAsia" w:hAnsi="宋体" w:cs="宋体"/>
          <w:b/>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b/>
          <w:color w:val="000000" w:themeColor="text1"/>
          <w:sz w:val="21"/>
          <w:szCs w:val="21"/>
          <w:highlight w:val="none"/>
          <w14:textFill>
            <w14:solidFill>
              <w14:schemeClr w14:val="tx1"/>
            </w14:solidFill>
          </w14:textFill>
        </w:rPr>
        <w:t>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379"/>
        <w:gridCol w:w="7065"/>
        <w:gridCol w:w="849"/>
      </w:tblGrid>
      <w:tr w14:paraId="6204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94" w:type="dxa"/>
            <w:tcBorders>
              <w:top w:val="single" w:color="auto" w:sz="4" w:space="0"/>
              <w:left w:val="single" w:color="auto" w:sz="4" w:space="0"/>
              <w:bottom w:val="single" w:color="auto" w:sz="4" w:space="0"/>
              <w:right w:val="single" w:color="auto" w:sz="4" w:space="0"/>
            </w:tcBorders>
            <w:noWrap w:val="0"/>
            <w:vAlign w:val="center"/>
          </w:tcPr>
          <w:p w14:paraId="260046A6">
            <w:pPr>
              <w:keepNext w:val="0"/>
              <w:keepLines w:val="0"/>
              <w:pageBreakBefore w:val="0"/>
              <w:widowControl w:val="0"/>
              <w:numPr>
                <w:ilvl w:val="0"/>
                <w:numId w:val="0"/>
              </w:numPr>
              <w:shd w:val="clear" w:color="auto" w:fill="FFFFFF"/>
              <w:kinsoku/>
              <w:wordWrap/>
              <w:overflowPunct/>
              <w:topLinePunct w:val="0"/>
              <w:autoSpaceDE w:val="0"/>
              <w:autoSpaceDN w:val="0"/>
              <w:bidi w:val="0"/>
              <w:adjustRightInd w:val="0"/>
              <w:snapToGrid/>
              <w:spacing w:line="460" w:lineRule="exact"/>
              <w:ind w:left="0" w:leftChars="0" w:right="0" w:rightChars="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23F9DC90">
            <w:pPr>
              <w:keepNext w:val="0"/>
              <w:keepLines w:val="0"/>
              <w:pageBreakBefore w:val="0"/>
              <w:widowControl w:val="0"/>
              <w:shd w:val="clear" w:color="auto" w:fill="FFFFFF"/>
              <w:kinsoku/>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分项内容</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2A7644B7">
            <w:pPr>
              <w:keepNext w:val="0"/>
              <w:keepLines w:val="0"/>
              <w:pageBreakBefore w:val="0"/>
              <w:widowControl w:val="0"/>
              <w:shd w:val="clear" w:color="auto" w:fill="FFFFFF"/>
              <w:kinsoku/>
              <w:wordWrap/>
              <w:overflowPunct/>
              <w:topLinePunct w:val="0"/>
              <w:autoSpaceDE w:val="0"/>
              <w:autoSpaceDN w:val="0"/>
              <w:bidi w:val="0"/>
              <w:adjustRightInd w:val="0"/>
              <w:snapToGrid/>
              <w:spacing w:line="460" w:lineRule="exact"/>
              <w:ind w:left="0" w:leftChars="0" w:right="0" w:rightChars="0" w:firstLine="482"/>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评分</w:t>
            </w:r>
            <w:r>
              <w:rPr>
                <w:rFonts w:hint="eastAsia" w:ascii="宋体" w:hAnsi="宋体" w:eastAsia="宋体" w:cs="宋体"/>
                <w:b/>
                <w:bCs/>
                <w:color w:val="auto"/>
                <w:kern w:val="0"/>
                <w:sz w:val="21"/>
                <w:szCs w:val="21"/>
                <w:highlight w:val="none"/>
                <w:lang w:val="en-US" w:eastAsia="zh-CN"/>
              </w:rPr>
              <w:t>细则</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58922F2">
            <w:pPr>
              <w:keepNext w:val="0"/>
              <w:keepLines w:val="0"/>
              <w:pageBreakBefore w:val="0"/>
              <w:widowControl w:val="0"/>
              <w:shd w:val="clear" w:color="auto" w:fill="FFFFFF"/>
              <w:kinsoku/>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分值</w:t>
            </w:r>
            <w:r>
              <w:rPr>
                <w:rFonts w:hint="eastAsia" w:ascii="宋体" w:hAnsi="宋体" w:eastAsia="宋体" w:cs="宋体"/>
                <w:b/>
                <w:bCs/>
                <w:color w:val="auto"/>
                <w:kern w:val="0"/>
                <w:sz w:val="21"/>
                <w:szCs w:val="21"/>
                <w:highlight w:val="none"/>
                <w:lang w:eastAsia="zh-CN"/>
              </w:rPr>
              <w:t>（分）</w:t>
            </w:r>
          </w:p>
        </w:tc>
      </w:tr>
      <w:tr w14:paraId="6A63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4" w:type="dxa"/>
            <w:tcBorders>
              <w:top w:val="single" w:color="auto" w:sz="4" w:space="0"/>
              <w:left w:val="single" w:color="auto" w:sz="4" w:space="0"/>
              <w:right w:val="single" w:color="auto" w:sz="4" w:space="0"/>
            </w:tcBorders>
            <w:noWrap w:val="0"/>
            <w:vAlign w:val="center"/>
          </w:tcPr>
          <w:p w14:paraId="7E1393DC">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79" w:type="dxa"/>
            <w:tcBorders>
              <w:top w:val="single" w:color="auto" w:sz="4" w:space="0"/>
              <w:left w:val="single" w:color="auto" w:sz="4" w:space="0"/>
              <w:right w:val="single" w:color="auto" w:sz="4" w:space="0"/>
            </w:tcBorders>
            <w:noWrap w:val="0"/>
            <w:vAlign w:val="center"/>
          </w:tcPr>
          <w:p w14:paraId="2C30EA87">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65" w:type="dxa"/>
            <w:tcBorders>
              <w:top w:val="single" w:color="auto" w:sz="4" w:space="0"/>
              <w:left w:val="single" w:color="auto" w:sz="4" w:space="0"/>
              <w:right w:val="single" w:color="auto" w:sz="4" w:space="0"/>
            </w:tcBorders>
            <w:noWrap w:val="0"/>
            <w:vAlign w:val="center"/>
          </w:tcPr>
          <w:p w14:paraId="4F0B081B">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以</w:t>
            </w:r>
            <w:r>
              <w:rPr>
                <w:rFonts w:hint="eastAsia" w:ascii="宋体" w:hAnsi="宋体" w:eastAsia="宋体" w:cs="宋体"/>
                <w:bCs/>
                <w:color w:val="auto"/>
                <w:sz w:val="21"/>
                <w:szCs w:val="21"/>
                <w:highlight w:val="none"/>
              </w:rPr>
              <w:t>合同签订时间</w:t>
            </w:r>
            <w:r>
              <w:rPr>
                <w:rFonts w:hint="eastAsia" w:ascii="宋体" w:hAnsi="宋体" w:eastAsia="宋体" w:cs="宋体"/>
                <w:bCs/>
                <w:color w:val="auto"/>
                <w:sz w:val="21"/>
                <w:szCs w:val="21"/>
                <w:highlight w:val="none"/>
                <w:lang w:val="en-US" w:eastAsia="zh-CN"/>
              </w:rPr>
              <w:t>为准</w:t>
            </w:r>
            <w:r>
              <w:rPr>
                <w:rFonts w:hint="eastAsia" w:ascii="宋体" w:hAnsi="宋体" w:eastAsia="宋体" w:cs="宋体"/>
                <w:bCs/>
                <w:color w:val="auto"/>
                <w:sz w:val="21"/>
                <w:szCs w:val="21"/>
                <w:highlight w:val="none"/>
              </w:rPr>
              <w:t>）的同类项目业绩</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每提供1个同类项目合同得0.5分，最高得1分。投标人</w:t>
            </w:r>
            <w:r>
              <w:rPr>
                <w:rFonts w:hint="eastAsia" w:ascii="宋体" w:hAnsi="宋体" w:eastAsia="宋体" w:cs="宋体"/>
                <w:color w:val="auto"/>
                <w:kern w:val="0"/>
                <w:sz w:val="21"/>
                <w:szCs w:val="21"/>
                <w:highlight w:val="none"/>
                <w:lang w:bidi="ar"/>
              </w:rPr>
              <w:t>未提供合同复印件、或提供的合同复印件字迹模糊无法辨识的、该笔业绩均不予计分。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29F5F708">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r>
      <w:tr w14:paraId="4DB1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94" w:type="dxa"/>
            <w:vMerge w:val="restart"/>
            <w:tcBorders>
              <w:left w:val="single" w:color="auto" w:sz="4" w:space="0"/>
              <w:right w:val="single" w:color="auto" w:sz="4" w:space="0"/>
            </w:tcBorders>
            <w:noWrap w:val="0"/>
            <w:vAlign w:val="center"/>
          </w:tcPr>
          <w:p w14:paraId="5C5AC348">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79" w:type="dxa"/>
            <w:vMerge w:val="restart"/>
            <w:tcBorders>
              <w:left w:val="single" w:color="auto" w:sz="4" w:space="0"/>
              <w:right w:val="single" w:color="auto" w:sz="4" w:space="0"/>
            </w:tcBorders>
            <w:noWrap w:val="0"/>
            <w:vAlign w:val="center"/>
          </w:tcPr>
          <w:p w14:paraId="5DAC8DAE">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情况</w:t>
            </w:r>
          </w:p>
          <w:p w14:paraId="2E02C8B4">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7065" w:type="dxa"/>
            <w:tcBorders>
              <w:top w:val="single" w:color="auto" w:sz="4" w:space="0"/>
              <w:left w:val="single" w:color="auto" w:sz="4" w:space="0"/>
              <w:right w:val="single" w:color="auto" w:sz="4" w:space="0"/>
            </w:tcBorders>
            <w:noWrap w:val="0"/>
            <w:vAlign w:val="center"/>
          </w:tcPr>
          <w:p w14:paraId="5EEDC57A">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投标人具有有效的质量管理体系认证、环境管理体系认证、职业健康安全管理体系认证证书，提供有效证书复印件，每个认证得1分，最高得3分。</w:t>
            </w:r>
          </w:p>
        </w:tc>
        <w:tc>
          <w:tcPr>
            <w:tcW w:w="849" w:type="dxa"/>
            <w:tcBorders>
              <w:top w:val="single" w:color="auto" w:sz="4" w:space="0"/>
              <w:left w:val="single" w:color="auto" w:sz="4" w:space="0"/>
              <w:right w:val="single" w:color="auto" w:sz="4" w:space="0"/>
            </w:tcBorders>
            <w:noWrap w:val="0"/>
            <w:vAlign w:val="center"/>
          </w:tcPr>
          <w:p w14:paraId="7F036DF6">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r>
      <w:tr w14:paraId="137E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continue"/>
            <w:tcBorders>
              <w:left w:val="single" w:color="auto" w:sz="4" w:space="0"/>
              <w:right w:val="single" w:color="auto" w:sz="4" w:space="0"/>
            </w:tcBorders>
            <w:noWrap w:val="0"/>
            <w:vAlign w:val="center"/>
          </w:tcPr>
          <w:p w14:paraId="5BC909E3">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569819D1">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B208DAD">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的防治（技术）有通过省级及以上评（鉴）定，并推广的，得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219D978">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eastAsia="zh-CN"/>
              </w:rPr>
              <w:t>农作物病虫害绿色防控</w:t>
            </w:r>
            <w:r>
              <w:rPr>
                <w:rFonts w:hint="eastAsia" w:ascii="宋体" w:hAnsi="宋体" w:eastAsia="宋体" w:cs="宋体"/>
                <w:color w:val="auto"/>
                <w:sz w:val="21"/>
                <w:szCs w:val="21"/>
                <w:highlight w:val="none"/>
                <w:lang w:val="en-US" w:eastAsia="zh-CN"/>
              </w:rPr>
              <w:t>相关的</w:t>
            </w:r>
            <w:r>
              <w:rPr>
                <w:rFonts w:hint="eastAsia" w:ascii="宋体" w:hAnsi="宋体" w:eastAsia="宋体" w:cs="宋体"/>
                <w:color w:val="auto"/>
                <w:sz w:val="21"/>
                <w:szCs w:val="21"/>
                <w:highlight w:val="none"/>
              </w:rPr>
              <w:t>省级示范项目的，得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1D5C973">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（以上二项提供</w:t>
            </w:r>
            <w:r>
              <w:rPr>
                <w:rFonts w:hint="eastAsia" w:ascii="宋体" w:hAnsi="宋体" w:eastAsia="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复印件，未提供的不得分）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7538F9A7">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r>
      <w:tr w14:paraId="7108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continue"/>
            <w:tcBorders>
              <w:left w:val="single" w:color="auto" w:sz="4" w:space="0"/>
              <w:right w:val="single" w:color="auto" w:sz="4" w:space="0"/>
            </w:tcBorders>
            <w:noWrap w:val="0"/>
            <w:vAlign w:val="center"/>
          </w:tcPr>
          <w:p w14:paraId="2F16EC10">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21314714">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4A54D86">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拟投入本项目的</w:t>
            </w:r>
            <w:r>
              <w:rPr>
                <w:rFonts w:hint="eastAsia" w:ascii="宋体" w:hAnsi="宋体" w:eastAsia="宋体" w:cs="宋体"/>
                <w:b w:val="0"/>
                <w:bCs w:val="0"/>
                <w:color w:val="auto"/>
                <w:sz w:val="21"/>
                <w:szCs w:val="21"/>
                <w:highlight w:val="none"/>
                <w:lang w:val="en-US" w:eastAsia="zh-CN"/>
              </w:rPr>
              <w:t>设备情况（包括但不仅限于：</w:t>
            </w:r>
            <w:r>
              <w:rPr>
                <w:rFonts w:hint="eastAsia" w:ascii="宋体" w:hAnsi="宋体" w:eastAsia="宋体" w:cs="宋体"/>
                <w:b w:val="0"/>
                <w:bCs w:val="0"/>
                <w:color w:val="auto"/>
                <w:sz w:val="21"/>
                <w:szCs w:val="21"/>
                <w:highlight w:val="none"/>
              </w:rPr>
              <w:t>核载在0.4吨以上</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rPr>
              <w:t>专用汽车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无人机、诱捕器、</w:t>
            </w:r>
            <w:r>
              <w:rPr>
                <w:rFonts w:hint="eastAsia" w:ascii="宋体" w:hAnsi="宋体" w:eastAsia="宋体" w:cs="宋体"/>
                <w:b w:val="0"/>
                <w:bCs w:val="0"/>
                <w:color w:val="auto"/>
                <w:sz w:val="21"/>
                <w:szCs w:val="21"/>
                <w:highlight w:val="none"/>
              </w:rPr>
              <w:t>喷洒设备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根据提供的数量、规格型号、先进程度、多样性、实用性打分。本项最高得5分，每项不足扣1分，扣完为止。</w:t>
            </w:r>
            <w:r>
              <w:rPr>
                <w:rFonts w:hint="eastAsia" w:ascii="宋体" w:hAnsi="宋体" w:eastAsia="宋体" w:cs="宋体"/>
                <w:b w:val="0"/>
                <w:bCs w:val="0"/>
                <w:color w:val="auto"/>
                <w:sz w:val="21"/>
                <w:szCs w:val="21"/>
                <w:highlight w:val="none"/>
              </w:rPr>
              <w:t>（需提供</w:t>
            </w:r>
            <w:r>
              <w:rPr>
                <w:rFonts w:hint="eastAsia" w:ascii="宋体" w:hAnsi="宋体" w:eastAsia="宋体" w:cs="宋体"/>
                <w:b w:val="0"/>
                <w:bCs w:val="0"/>
                <w:color w:val="auto"/>
                <w:sz w:val="21"/>
                <w:szCs w:val="21"/>
                <w:highlight w:val="none"/>
                <w:lang w:val="en-US" w:eastAsia="zh-CN"/>
              </w:rPr>
              <w:t>汽车持有人为投标人的</w:t>
            </w:r>
            <w:r>
              <w:rPr>
                <w:rFonts w:hint="eastAsia" w:ascii="宋体" w:hAnsi="宋体" w:eastAsia="宋体" w:cs="宋体"/>
                <w:b w:val="0"/>
                <w:bCs w:val="0"/>
                <w:color w:val="auto"/>
                <w:sz w:val="21"/>
                <w:szCs w:val="21"/>
                <w:highlight w:val="none"/>
              </w:rPr>
              <w:t>行驶证复印件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设备发票</w:t>
            </w:r>
            <w:r>
              <w:rPr>
                <w:rFonts w:hint="eastAsia" w:ascii="宋体" w:hAnsi="宋体" w:eastAsia="宋体" w:cs="宋体"/>
                <w:b w:val="0"/>
                <w:bCs w:val="0"/>
                <w:color w:val="auto"/>
                <w:sz w:val="21"/>
                <w:szCs w:val="21"/>
                <w:highlight w:val="none"/>
              </w:rPr>
              <w:t>，不提供不得分。）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101FEF20">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r>
      <w:tr w14:paraId="1FD1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restart"/>
            <w:tcBorders>
              <w:left w:val="single" w:color="auto" w:sz="4" w:space="0"/>
              <w:right w:val="single" w:color="auto" w:sz="4" w:space="0"/>
            </w:tcBorders>
            <w:noWrap w:val="0"/>
            <w:vAlign w:val="center"/>
          </w:tcPr>
          <w:p w14:paraId="14C2FDB2">
            <w:pPr>
              <w:keepNext w:val="0"/>
              <w:keepLines w:val="0"/>
              <w:pageBreakBefore w:val="0"/>
              <w:widowControl w:val="0"/>
              <w:numPr>
                <w:ilvl w:val="0"/>
                <w:numId w:val="0"/>
              </w:numPr>
              <w:shd w:val="clear" w:color="auto" w:fill="FFFFFF"/>
              <w:wordWrap/>
              <w:overflowPunct/>
              <w:topLinePunct w:val="0"/>
              <w:autoSpaceDE w:val="0"/>
              <w:autoSpaceDN w:val="0"/>
              <w:bidi w:val="0"/>
              <w:adjustRightInd w:val="0"/>
              <w:snapToGrid/>
              <w:spacing w:line="460" w:lineRule="exact"/>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p>
        </w:tc>
        <w:tc>
          <w:tcPr>
            <w:tcW w:w="1379" w:type="dxa"/>
            <w:vMerge w:val="restart"/>
            <w:tcBorders>
              <w:left w:val="single" w:color="auto" w:sz="4" w:space="0"/>
              <w:right w:val="single" w:color="auto" w:sz="4" w:space="0"/>
            </w:tcBorders>
            <w:noWrap w:val="0"/>
            <w:vAlign w:val="center"/>
          </w:tcPr>
          <w:p w14:paraId="4C89BDD8">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项目人员情况</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2F7E377D">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拟投入本项目的项目负责人具有</w:t>
            </w:r>
            <w:r>
              <w:rPr>
                <w:rFonts w:hint="eastAsia" w:ascii="宋体" w:hAnsi="宋体" w:eastAsia="宋体" w:cs="宋体"/>
                <w:color w:val="auto"/>
                <w:sz w:val="21"/>
                <w:szCs w:val="21"/>
                <w:highlight w:val="none"/>
                <w:lang w:val="en-US" w:eastAsia="zh-CN"/>
              </w:rPr>
              <w:t>相关行业</w:t>
            </w:r>
            <w:r>
              <w:rPr>
                <w:rFonts w:hint="eastAsia" w:ascii="宋体" w:hAnsi="宋体" w:eastAsia="宋体" w:cs="宋体"/>
                <w:color w:val="auto"/>
                <w:sz w:val="21"/>
                <w:szCs w:val="21"/>
                <w:highlight w:val="none"/>
              </w:rPr>
              <w:t>中级及以上职称的得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分，具有初级职称的得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73F80493">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r>
      <w:tr w14:paraId="3FEE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continue"/>
            <w:tcBorders>
              <w:left w:val="single" w:color="auto" w:sz="4" w:space="0"/>
              <w:right w:val="single" w:color="auto" w:sz="4" w:space="0"/>
            </w:tcBorders>
            <w:noWrap w:val="0"/>
            <w:vAlign w:val="center"/>
          </w:tcPr>
          <w:p w14:paraId="1A3BE250">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4A033FE7">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065" w:type="dxa"/>
            <w:tcBorders>
              <w:top w:val="single" w:color="auto" w:sz="4" w:space="0"/>
              <w:left w:val="single" w:color="auto" w:sz="4" w:space="0"/>
              <w:bottom w:val="single" w:color="auto" w:sz="4" w:space="0"/>
              <w:right w:val="single" w:color="auto" w:sz="4" w:space="0"/>
            </w:tcBorders>
            <w:noWrap w:val="0"/>
            <w:vAlign w:val="center"/>
          </w:tcPr>
          <w:p w14:paraId="2A280118">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拟投入本项目的项目组成员10人（含）以上的得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人（含）的得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人（含）的得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分，4人以下的不得分</w:t>
            </w:r>
            <w:r>
              <w:rPr>
                <w:rFonts w:hint="eastAsia" w:ascii="宋体" w:hAnsi="宋体" w:eastAsia="宋体" w:cs="宋体"/>
                <w:color w:val="auto"/>
                <w:sz w:val="21"/>
                <w:szCs w:val="21"/>
                <w:highlight w:val="none"/>
                <w:lang w:eastAsia="zh-CN"/>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474F557">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r>
      <w:tr w14:paraId="273E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continue"/>
            <w:tcBorders>
              <w:left w:val="single" w:color="auto" w:sz="4" w:space="0"/>
              <w:right w:val="single" w:color="auto" w:sz="4" w:space="0"/>
            </w:tcBorders>
            <w:noWrap w:val="0"/>
            <w:vAlign w:val="center"/>
          </w:tcPr>
          <w:p w14:paraId="22645DA3">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56D093CC">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065" w:type="dxa"/>
            <w:tcBorders>
              <w:top w:val="single" w:color="auto" w:sz="4" w:space="0"/>
              <w:left w:val="single" w:color="auto" w:sz="4" w:space="0"/>
              <w:bottom w:val="single" w:color="auto" w:sz="4" w:space="0"/>
              <w:right w:val="single" w:color="auto" w:sz="4" w:space="0"/>
            </w:tcBorders>
            <w:noWrap w:val="0"/>
            <w:vAlign w:val="center"/>
          </w:tcPr>
          <w:p w14:paraId="4E25BE34">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项目组人员在</w:t>
            </w:r>
            <w:r>
              <w:rPr>
                <w:rFonts w:hint="eastAsia" w:ascii="宋体" w:hAnsi="宋体" w:eastAsia="宋体" w:cs="宋体"/>
                <w:color w:val="auto"/>
                <w:sz w:val="21"/>
                <w:szCs w:val="21"/>
                <w:highlight w:val="none"/>
                <w:lang w:val="en-US" w:eastAsia="zh-CN"/>
              </w:rPr>
              <w:t>相关行业</w:t>
            </w:r>
            <w:r>
              <w:rPr>
                <w:rFonts w:hint="eastAsia" w:ascii="宋体" w:hAnsi="宋体" w:eastAsia="宋体" w:cs="宋体"/>
                <w:color w:val="auto"/>
                <w:sz w:val="21"/>
                <w:szCs w:val="21"/>
                <w:highlight w:val="none"/>
              </w:rPr>
              <w:t>国家级技能大赛获奖的</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得3分，省级技能大赛获奖的</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得2分，市级技能大赛获奖的</w:t>
            </w:r>
            <w:r>
              <w:rPr>
                <w:rFonts w:hint="eastAsia" w:ascii="宋体" w:hAnsi="宋体" w:eastAsia="宋体" w:cs="宋体"/>
                <w:color w:val="auto"/>
                <w:sz w:val="21"/>
                <w:szCs w:val="21"/>
                <w:highlight w:val="none"/>
                <w:lang w:val="en-US" w:eastAsia="zh-CN"/>
              </w:rPr>
              <w:t>每人</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最高得8分。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141A25D2">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r>
      <w:tr w14:paraId="1AAC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94" w:type="dxa"/>
            <w:vMerge w:val="continue"/>
            <w:tcBorders>
              <w:left w:val="single" w:color="auto" w:sz="4" w:space="0"/>
              <w:right w:val="single" w:color="auto" w:sz="4" w:space="0"/>
            </w:tcBorders>
            <w:noWrap w:val="0"/>
            <w:vAlign w:val="center"/>
          </w:tcPr>
          <w:p w14:paraId="4C0080B8">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56AC8C40">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065" w:type="dxa"/>
            <w:tcBorders>
              <w:top w:val="single" w:color="auto" w:sz="4" w:space="0"/>
              <w:left w:val="single" w:color="auto" w:sz="4" w:space="0"/>
              <w:bottom w:val="single" w:color="auto" w:sz="4" w:space="0"/>
              <w:right w:val="single" w:color="auto" w:sz="4" w:space="0"/>
            </w:tcBorders>
            <w:noWrap w:val="0"/>
            <w:vAlign w:val="center"/>
          </w:tcPr>
          <w:p w14:paraId="76BF047C">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具有植保无人机系统初级操作合格证人员5人及以上的得2分，2-4人的得1分，2人以下不得分。</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2E26E891">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r>
      <w:tr w14:paraId="64AF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vMerge w:val="continue"/>
            <w:tcBorders>
              <w:left w:val="single" w:color="auto" w:sz="4" w:space="0"/>
              <w:right w:val="single" w:color="auto" w:sz="4" w:space="0"/>
            </w:tcBorders>
            <w:noWrap w:val="0"/>
            <w:vAlign w:val="center"/>
          </w:tcPr>
          <w:p w14:paraId="1AE77806">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firstLineChars="0"/>
              <w:jc w:val="center"/>
              <w:textAlignment w:val="auto"/>
              <w:rPr>
                <w:rFonts w:hint="eastAsia" w:ascii="宋体" w:hAnsi="宋体" w:eastAsia="宋体" w:cs="宋体"/>
                <w:color w:val="auto"/>
                <w:kern w:val="0"/>
                <w:sz w:val="21"/>
                <w:szCs w:val="21"/>
                <w:highlight w:val="none"/>
              </w:rPr>
            </w:pPr>
          </w:p>
        </w:tc>
        <w:tc>
          <w:tcPr>
            <w:tcW w:w="1379" w:type="dxa"/>
            <w:vMerge w:val="continue"/>
            <w:tcBorders>
              <w:left w:val="single" w:color="auto" w:sz="4" w:space="0"/>
              <w:right w:val="single" w:color="auto" w:sz="4" w:space="0"/>
            </w:tcBorders>
            <w:noWrap w:val="0"/>
            <w:vAlign w:val="center"/>
          </w:tcPr>
          <w:p w14:paraId="329C2155">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480"/>
              <w:jc w:val="center"/>
              <w:textAlignment w:val="auto"/>
              <w:rPr>
                <w:rFonts w:hint="eastAsia" w:ascii="宋体" w:hAnsi="宋体" w:eastAsia="宋体" w:cs="宋体"/>
                <w:color w:val="auto"/>
                <w:kern w:val="0"/>
                <w:sz w:val="21"/>
                <w:szCs w:val="21"/>
                <w:highlight w:val="none"/>
              </w:rPr>
            </w:pPr>
          </w:p>
        </w:tc>
        <w:tc>
          <w:tcPr>
            <w:tcW w:w="7914" w:type="dxa"/>
            <w:gridSpan w:val="2"/>
            <w:tcBorders>
              <w:top w:val="single" w:color="auto" w:sz="4" w:space="0"/>
              <w:left w:val="single" w:color="auto" w:sz="4" w:space="0"/>
              <w:bottom w:val="single" w:color="auto" w:sz="4" w:space="0"/>
              <w:right w:val="single" w:color="auto" w:sz="4" w:space="0"/>
            </w:tcBorders>
            <w:noWrap w:val="0"/>
            <w:vAlign w:val="center"/>
          </w:tcPr>
          <w:p w14:paraId="2199CB8D">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以上评分须提供相关资质证书复印件、获奖证明材料、植保无人机系统初级操作人员的操作合格证书及近半年内任意一个月投标人为其缴纳的社保证明材料，未提供的不得分。</w:t>
            </w:r>
          </w:p>
        </w:tc>
      </w:tr>
      <w:tr w14:paraId="150B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94" w:type="dxa"/>
            <w:tcBorders>
              <w:top w:val="nil"/>
              <w:left w:val="single" w:color="000000" w:sz="4" w:space="0"/>
              <w:bottom w:val="single" w:color="000000" w:sz="4" w:space="0"/>
              <w:right w:val="single" w:color="000000" w:sz="4" w:space="0"/>
            </w:tcBorders>
            <w:shd w:val="clear" w:color="auto" w:fill="auto"/>
            <w:noWrap w:val="0"/>
            <w:vAlign w:val="center"/>
          </w:tcPr>
          <w:p w14:paraId="33CA35A9">
            <w:pPr>
              <w:keepNext w:val="0"/>
              <w:keepLines w:val="0"/>
              <w:pageBreakBefore w:val="0"/>
              <w:widowControl w:val="0"/>
              <w:numPr>
                <w:ilvl w:val="0"/>
                <w:numId w:val="0"/>
              </w:numPr>
              <w:wordWrap/>
              <w:overflowPunct/>
              <w:topLinePunct w:val="0"/>
              <w:autoSpaceDE w:val="0"/>
              <w:autoSpaceDN w:val="0"/>
              <w:bidi w:val="0"/>
              <w:adjustRightInd w:val="0"/>
              <w:snapToGrid/>
              <w:spacing w:line="46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79" w:type="dxa"/>
            <w:tcBorders>
              <w:top w:val="nil"/>
              <w:left w:val="single" w:color="000000" w:sz="4" w:space="0"/>
              <w:bottom w:val="single" w:color="000000" w:sz="4" w:space="0"/>
              <w:right w:val="single" w:color="000000" w:sz="4" w:space="0"/>
            </w:tcBorders>
            <w:shd w:val="clear" w:color="auto" w:fill="auto"/>
            <w:noWrap w:val="0"/>
            <w:vAlign w:val="center"/>
          </w:tcPr>
          <w:p w14:paraId="05B34AA7">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项目背景理解</w:t>
            </w:r>
          </w:p>
        </w:tc>
        <w:tc>
          <w:tcPr>
            <w:tcW w:w="7065" w:type="dxa"/>
            <w:tcBorders>
              <w:top w:val="nil"/>
              <w:left w:val="single" w:color="000000" w:sz="4" w:space="0"/>
              <w:bottom w:val="single" w:color="000000" w:sz="4" w:space="0"/>
              <w:right w:val="single" w:color="000000" w:sz="4" w:space="0"/>
            </w:tcBorders>
            <w:shd w:val="clear" w:color="auto" w:fill="FFFFFF"/>
            <w:noWrap w:val="0"/>
            <w:vAlign w:val="top"/>
          </w:tcPr>
          <w:p w14:paraId="625BF493">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投标人对本项目背景的解读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有不合理或欠缺的每处扣1分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tc>
        <w:tc>
          <w:tcPr>
            <w:tcW w:w="849" w:type="dxa"/>
            <w:tcBorders>
              <w:top w:val="nil"/>
              <w:left w:val="single" w:color="000000" w:sz="4" w:space="0"/>
              <w:bottom w:val="single" w:color="000000" w:sz="4" w:space="0"/>
              <w:right w:val="single" w:color="000000" w:sz="4" w:space="0"/>
            </w:tcBorders>
            <w:noWrap w:val="0"/>
            <w:vAlign w:val="center"/>
          </w:tcPr>
          <w:p w14:paraId="464B8178">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682D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4" w:type="dxa"/>
            <w:tcBorders>
              <w:top w:val="single" w:color="000000" w:sz="4" w:space="0"/>
            </w:tcBorders>
            <w:noWrap w:val="0"/>
            <w:vAlign w:val="center"/>
          </w:tcPr>
          <w:p w14:paraId="108126D8">
            <w:pPr>
              <w:keepNext w:val="0"/>
              <w:keepLines w:val="0"/>
              <w:pageBreakBefore w:val="0"/>
              <w:widowControl w:val="0"/>
              <w:numPr>
                <w:ilvl w:val="0"/>
                <w:numId w:val="0"/>
              </w:numPr>
              <w:wordWrap/>
              <w:overflowPunct/>
              <w:topLinePunct w:val="0"/>
              <w:autoSpaceDE w:val="0"/>
              <w:autoSpaceDN w:val="0"/>
              <w:bidi w:val="0"/>
              <w:adjustRightInd w:val="0"/>
              <w:snapToGrid/>
              <w:spacing w:line="46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79" w:type="dxa"/>
            <w:tcBorders>
              <w:top w:val="single" w:color="000000" w:sz="4" w:space="0"/>
            </w:tcBorders>
            <w:noWrap w:val="0"/>
            <w:vAlign w:val="center"/>
          </w:tcPr>
          <w:p w14:paraId="461180DC">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难点分析</w:t>
            </w:r>
          </w:p>
        </w:tc>
        <w:tc>
          <w:tcPr>
            <w:tcW w:w="7065" w:type="dxa"/>
            <w:tcBorders>
              <w:top w:val="single" w:color="000000" w:sz="4" w:space="0"/>
            </w:tcBorders>
            <w:noWrap w:val="0"/>
            <w:vAlign w:val="center"/>
          </w:tcPr>
          <w:p w14:paraId="29FB280D">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rPr>
              <w:t>的重难点进行剖析，根据投标文件体现的内容，理解是否正确，是否具有针对性，进行评分，</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分，有不合理或欠缺的每处扣1分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tc>
        <w:tc>
          <w:tcPr>
            <w:tcW w:w="849" w:type="dxa"/>
            <w:tcBorders>
              <w:top w:val="single" w:color="000000" w:sz="4" w:space="0"/>
            </w:tcBorders>
            <w:noWrap w:val="0"/>
            <w:vAlign w:val="center"/>
          </w:tcPr>
          <w:p w14:paraId="03D63CD9">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r>
      <w:tr w14:paraId="45E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restart"/>
            <w:noWrap w:val="0"/>
            <w:vAlign w:val="center"/>
          </w:tcPr>
          <w:p w14:paraId="07E2EBD5">
            <w:pPr>
              <w:keepNext w:val="0"/>
              <w:keepLines w:val="0"/>
              <w:pageBreakBefore w:val="0"/>
              <w:widowControl/>
              <w:numPr>
                <w:ilvl w:val="0"/>
                <w:numId w:val="0"/>
              </w:numPr>
              <w:wordWrap/>
              <w:overflowPunct/>
              <w:topLinePunct w:val="0"/>
              <w:autoSpaceDE w:val="0"/>
              <w:autoSpaceDN w:val="0"/>
              <w:bidi w:val="0"/>
              <w:adjustRightInd w:val="0"/>
              <w:snapToGrid/>
              <w:spacing w:line="46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79" w:type="dxa"/>
            <w:vMerge w:val="restart"/>
            <w:noWrap w:val="0"/>
            <w:vAlign w:val="center"/>
          </w:tcPr>
          <w:p w14:paraId="15419575">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w:t>
            </w:r>
          </w:p>
        </w:tc>
        <w:tc>
          <w:tcPr>
            <w:tcW w:w="7065" w:type="dxa"/>
            <w:noWrap w:val="0"/>
            <w:vAlign w:val="center"/>
          </w:tcPr>
          <w:p w14:paraId="0AC374AE">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bCs/>
                <w:color w:val="auto"/>
                <w:kern w:val="28"/>
                <w:sz w:val="21"/>
                <w:szCs w:val="21"/>
              </w:rPr>
            </w:pPr>
            <w:r>
              <w:rPr>
                <w:rFonts w:hint="eastAsia" w:ascii="宋体" w:hAnsi="宋体" w:eastAsia="宋体" w:cs="宋体"/>
                <w:bCs/>
                <w:color w:val="auto"/>
                <w:kern w:val="28"/>
                <w:sz w:val="21"/>
                <w:szCs w:val="21"/>
              </w:rPr>
              <w:t>根据投标人提供</w:t>
            </w:r>
            <w:r>
              <w:rPr>
                <w:rFonts w:hint="eastAsia" w:ascii="宋体" w:hAnsi="宋体" w:eastAsia="宋体" w:cs="宋体"/>
                <w:b w:val="0"/>
                <w:bCs/>
                <w:color w:val="auto"/>
                <w:kern w:val="28"/>
                <w:sz w:val="21"/>
                <w:szCs w:val="21"/>
              </w:rPr>
              <w:t>的</w:t>
            </w:r>
            <w:r>
              <w:rPr>
                <w:rFonts w:hint="eastAsia" w:ascii="宋体" w:hAnsi="宋体" w:eastAsia="宋体" w:cs="宋体"/>
                <w:b w:val="0"/>
                <w:bCs/>
                <w:color w:val="auto"/>
                <w:sz w:val="21"/>
                <w:szCs w:val="21"/>
                <w:highlight w:val="none"/>
                <w:lang w:val="en-US" w:eastAsia="zh-CN"/>
              </w:rPr>
              <w:t>防控</w:t>
            </w:r>
            <w:r>
              <w:rPr>
                <w:rFonts w:hint="eastAsia" w:ascii="宋体" w:hAnsi="宋体" w:eastAsia="宋体" w:cs="宋体"/>
                <w:b w:val="0"/>
                <w:bCs/>
                <w:color w:val="auto"/>
                <w:kern w:val="28"/>
                <w:sz w:val="21"/>
                <w:szCs w:val="21"/>
              </w:rPr>
              <w:t>服务进度保证方案（包括</w:t>
            </w:r>
            <w:r>
              <w:rPr>
                <w:rFonts w:hint="eastAsia" w:ascii="宋体" w:hAnsi="宋体" w:eastAsia="宋体" w:cs="宋体"/>
                <w:b w:val="0"/>
                <w:bCs/>
                <w:color w:val="auto"/>
                <w:sz w:val="21"/>
                <w:szCs w:val="21"/>
                <w:highlight w:val="none"/>
                <w:lang w:val="en-US" w:eastAsia="zh-CN"/>
              </w:rPr>
              <w:t>统防统治</w:t>
            </w:r>
            <w:r>
              <w:rPr>
                <w:rFonts w:hint="eastAsia" w:ascii="宋体" w:hAnsi="宋体" w:eastAsia="宋体" w:cs="宋体"/>
                <w:bCs/>
                <w:color w:val="auto"/>
                <w:kern w:val="28"/>
                <w:sz w:val="21"/>
                <w:szCs w:val="21"/>
              </w:rPr>
              <w:t>服务开展流程时间表等进度计划、进度保证措施）是否详细明确、切实可行进行综合评价。</w:t>
            </w:r>
          </w:p>
          <w:p w14:paraId="034A9AF9">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rPr>
              <w:t>进度计划分布合理，时间节点把控明确，保证措施针对性及可行性强的得6分；进度计划分布较合理，时间节点把控较明确，保证措施具有一定针对性及可行性的得4分；方案内容粗略，提出的进度计划或保证措施不明确，针对性或可行性较弱的得2分；方案未提供或不符合项目的不得分。</w:t>
            </w:r>
          </w:p>
        </w:tc>
        <w:tc>
          <w:tcPr>
            <w:tcW w:w="849" w:type="dxa"/>
            <w:noWrap w:val="0"/>
            <w:vAlign w:val="center"/>
          </w:tcPr>
          <w:p w14:paraId="45B7BE74">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r>
      <w:tr w14:paraId="1C5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continue"/>
            <w:noWrap w:val="0"/>
            <w:vAlign w:val="center"/>
          </w:tcPr>
          <w:p w14:paraId="199468E3">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firstLineChars="0"/>
              <w:jc w:val="center"/>
              <w:textAlignment w:val="auto"/>
              <w:rPr>
                <w:rFonts w:hint="eastAsia" w:ascii="宋体" w:hAnsi="宋体" w:eastAsia="宋体" w:cs="宋体"/>
                <w:color w:val="auto"/>
                <w:sz w:val="21"/>
                <w:szCs w:val="21"/>
                <w:highlight w:val="none"/>
                <w:lang w:val="en-US" w:eastAsia="zh-CN"/>
              </w:rPr>
            </w:pPr>
          </w:p>
        </w:tc>
        <w:tc>
          <w:tcPr>
            <w:tcW w:w="1379" w:type="dxa"/>
            <w:vMerge w:val="continue"/>
            <w:noWrap w:val="0"/>
            <w:vAlign w:val="center"/>
          </w:tcPr>
          <w:p w14:paraId="665E522D">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p>
        </w:tc>
        <w:tc>
          <w:tcPr>
            <w:tcW w:w="7065" w:type="dxa"/>
            <w:noWrap w:val="0"/>
            <w:vAlign w:val="center"/>
          </w:tcPr>
          <w:p w14:paraId="078639EE">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bCs/>
                <w:color w:val="auto"/>
                <w:kern w:val="28"/>
                <w:sz w:val="21"/>
                <w:szCs w:val="21"/>
              </w:rPr>
            </w:pPr>
            <w:r>
              <w:rPr>
                <w:rFonts w:hint="eastAsia" w:ascii="宋体" w:hAnsi="宋体" w:eastAsia="宋体" w:cs="宋体"/>
                <w:bCs/>
                <w:color w:val="auto"/>
                <w:kern w:val="28"/>
                <w:sz w:val="21"/>
                <w:szCs w:val="21"/>
              </w:rPr>
              <w:t>根据投标人提供的</w:t>
            </w:r>
            <w:r>
              <w:rPr>
                <w:rFonts w:hint="eastAsia" w:ascii="宋体" w:hAnsi="宋体" w:eastAsia="宋体" w:cs="宋体"/>
                <w:b w:val="0"/>
                <w:bCs/>
                <w:color w:val="auto"/>
                <w:kern w:val="28"/>
                <w:sz w:val="21"/>
                <w:szCs w:val="21"/>
                <w:lang w:val="en-US" w:eastAsia="zh-CN"/>
              </w:rPr>
              <w:t>防控</w:t>
            </w:r>
            <w:r>
              <w:rPr>
                <w:rFonts w:hint="eastAsia" w:ascii="宋体" w:hAnsi="宋体" w:eastAsia="宋体" w:cs="宋体"/>
                <w:b w:val="0"/>
                <w:bCs/>
                <w:color w:val="auto"/>
                <w:kern w:val="28"/>
                <w:sz w:val="21"/>
                <w:szCs w:val="21"/>
              </w:rPr>
              <w:t>服务质量保障方案</w:t>
            </w:r>
            <w:r>
              <w:rPr>
                <w:rFonts w:hint="eastAsia" w:ascii="宋体" w:hAnsi="宋体" w:eastAsia="宋体" w:cs="宋体"/>
                <w:bCs/>
                <w:color w:val="auto"/>
                <w:kern w:val="28"/>
                <w:sz w:val="21"/>
                <w:szCs w:val="21"/>
              </w:rPr>
              <w:t>（包括质量目标、质量监督保障管理机制等措施）是否详细明确、合理可行进行综合评价。</w:t>
            </w:r>
          </w:p>
          <w:p w14:paraId="33E52847">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rPr>
              <w:t>质量目标明确，措施可行，能够保障防控服务质量目标实现的得6分；质量目标较明确，措施较为可行，较能够保障防控服务质量目标实现的得4分；质量保障方案较粗略，质量目标、措施等内容不够明确，针对性及可行性较弱的得2分；方案未提供或不符合项目的不得分。</w:t>
            </w:r>
          </w:p>
        </w:tc>
        <w:tc>
          <w:tcPr>
            <w:tcW w:w="849" w:type="dxa"/>
            <w:noWrap w:val="0"/>
            <w:vAlign w:val="center"/>
          </w:tcPr>
          <w:p w14:paraId="20F35689">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74B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continue"/>
            <w:noWrap w:val="0"/>
            <w:vAlign w:val="center"/>
          </w:tcPr>
          <w:p w14:paraId="53A2A782">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firstLineChars="0"/>
              <w:jc w:val="center"/>
              <w:textAlignment w:val="auto"/>
              <w:rPr>
                <w:rFonts w:hint="eastAsia" w:ascii="宋体" w:hAnsi="宋体" w:eastAsia="宋体" w:cs="宋体"/>
                <w:color w:val="auto"/>
                <w:sz w:val="21"/>
                <w:szCs w:val="21"/>
                <w:highlight w:val="none"/>
                <w:lang w:val="en-US" w:eastAsia="zh-CN"/>
              </w:rPr>
            </w:pPr>
          </w:p>
        </w:tc>
        <w:tc>
          <w:tcPr>
            <w:tcW w:w="1379" w:type="dxa"/>
            <w:vMerge w:val="continue"/>
            <w:noWrap w:val="0"/>
            <w:vAlign w:val="center"/>
          </w:tcPr>
          <w:p w14:paraId="20820918">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p>
        </w:tc>
        <w:tc>
          <w:tcPr>
            <w:tcW w:w="7065" w:type="dxa"/>
            <w:noWrap w:val="0"/>
            <w:vAlign w:val="center"/>
          </w:tcPr>
          <w:p w14:paraId="4243E6C6">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bCs/>
                <w:color w:val="auto"/>
                <w:kern w:val="28"/>
                <w:sz w:val="21"/>
                <w:szCs w:val="21"/>
              </w:rPr>
            </w:pPr>
            <w:r>
              <w:rPr>
                <w:rFonts w:hint="eastAsia" w:ascii="宋体" w:hAnsi="宋体" w:eastAsia="宋体" w:cs="宋体"/>
                <w:bCs/>
                <w:color w:val="auto"/>
                <w:kern w:val="28"/>
                <w:sz w:val="21"/>
                <w:szCs w:val="21"/>
              </w:rPr>
              <w:t>根据投标人提供</w:t>
            </w:r>
            <w:r>
              <w:rPr>
                <w:rFonts w:hint="eastAsia" w:ascii="宋体" w:hAnsi="宋体" w:eastAsia="宋体" w:cs="宋体"/>
                <w:b w:val="0"/>
                <w:bCs/>
                <w:color w:val="auto"/>
                <w:kern w:val="28"/>
                <w:sz w:val="21"/>
                <w:szCs w:val="21"/>
              </w:rPr>
              <w:t>对</w:t>
            </w:r>
            <w:r>
              <w:rPr>
                <w:rFonts w:hint="eastAsia" w:ascii="宋体" w:hAnsi="宋体" w:eastAsia="宋体" w:cs="宋体"/>
                <w:b w:val="0"/>
                <w:bCs/>
                <w:color w:val="auto"/>
                <w:kern w:val="28"/>
                <w:sz w:val="21"/>
                <w:szCs w:val="21"/>
                <w:lang w:val="en-US" w:eastAsia="zh-CN"/>
              </w:rPr>
              <w:t>防控</w:t>
            </w:r>
            <w:r>
              <w:rPr>
                <w:rFonts w:hint="eastAsia" w:ascii="宋体" w:hAnsi="宋体" w:eastAsia="宋体" w:cs="宋体"/>
                <w:b w:val="0"/>
                <w:bCs/>
                <w:color w:val="auto"/>
                <w:kern w:val="28"/>
                <w:sz w:val="21"/>
                <w:szCs w:val="21"/>
              </w:rPr>
              <w:t>服务台账采取的项目管理措施的</w:t>
            </w:r>
            <w:r>
              <w:rPr>
                <w:rFonts w:hint="eastAsia" w:ascii="宋体" w:hAnsi="宋体" w:eastAsia="宋体" w:cs="宋体"/>
                <w:bCs/>
                <w:color w:val="auto"/>
                <w:kern w:val="28"/>
                <w:sz w:val="21"/>
                <w:szCs w:val="21"/>
              </w:rPr>
              <w:t>合理性、有效性进行综合评价。</w:t>
            </w:r>
          </w:p>
          <w:p w14:paraId="0363C8F3">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rPr>
              <w:t>措施内容全面、合理，可实施性强的得6分；措施内容存在欠缺但基本合理，具有一定可实施性的得4分；措施内容过于粗略，层次不清晰、可实施性较弱的得2分；未提出措施阐述或措施不符合项目的不得分。</w:t>
            </w:r>
          </w:p>
        </w:tc>
        <w:tc>
          <w:tcPr>
            <w:tcW w:w="849" w:type="dxa"/>
            <w:noWrap w:val="0"/>
            <w:vAlign w:val="center"/>
          </w:tcPr>
          <w:p w14:paraId="752D485D">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56B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continue"/>
            <w:noWrap w:val="0"/>
            <w:vAlign w:val="center"/>
          </w:tcPr>
          <w:p w14:paraId="5104691C">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firstLineChars="0"/>
              <w:jc w:val="center"/>
              <w:textAlignment w:val="auto"/>
              <w:rPr>
                <w:rFonts w:hint="eastAsia" w:ascii="宋体" w:hAnsi="宋体" w:eastAsia="宋体" w:cs="宋体"/>
                <w:color w:val="auto"/>
                <w:sz w:val="21"/>
                <w:szCs w:val="21"/>
                <w:highlight w:val="none"/>
                <w:lang w:val="en-US" w:eastAsia="zh-CN"/>
              </w:rPr>
            </w:pPr>
          </w:p>
        </w:tc>
        <w:tc>
          <w:tcPr>
            <w:tcW w:w="1379" w:type="dxa"/>
            <w:vMerge w:val="continue"/>
            <w:noWrap w:val="0"/>
            <w:vAlign w:val="center"/>
          </w:tcPr>
          <w:p w14:paraId="4AFAF598">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p>
        </w:tc>
        <w:tc>
          <w:tcPr>
            <w:tcW w:w="7065" w:type="dxa"/>
            <w:noWrap w:val="0"/>
            <w:vAlign w:val="top"/>
          </w:tcPr>
          <w:p w14:paraId="7BDF5D7D">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val="0"/>
                <w:bCs w:val="0"/>
                <w:color w:val="auto"/>
                <w:sz w:val="21"/>
                <w:szCs w:val="21"/>
                <w:highlight w:val="none"/>
                <w:u w:val="none"/>
                <w:lang w:val="en-US" w:eastAsia="zh-CN"/>
              </w:rPr>
              <w:t>绿色防控物资</w:t>
            </w:r>
            <w:r>
              <w:rPr>
                <w:rFonts w:hint="eastAsia" w:ascii="宋体" w:hAnsi="宋体" w:eastAsia="宋体" w:cs="宋体"/>
                <w:b w:val="0"/>
                <w:bCs w:val="0"/>
                <w:color w:val="auto"/>
                <w:sz w:val="21"/>
                <w:szCs w:val="21"/>
                <w:highlight w:val="none"/>
                <w:u w:val="none"/>
              </w:rPr>
              <w:t>是否</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采购人实际招标需求，是否统筹考虑了本项目总体目标的实现，进行评分，</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分，有不合理或欠缺的每处扣1分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p>
        </w:tc>
        <w:tc>
          <w:tcPr>
            <w:tcW w:w="849" w:type="dxa"/>
            <w:noWrap w:val="0"/>
            <w:vAlign w:val="center"/>
          </w:tcPr>
          <w:p w14:paraId="6DC3B5B9">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597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4" w:type="dxa"/>
            <w:vMerge w:val="continue"/>
            <w:noWrap w:val="0"/>
            <w:vAlign w:val="center"/>
          </w:tcPr>
          <w:p w14:paraId="63804FCA">
            <w:pPr>
              <w:keepNext w:val="0"/>
              <w:keepLines w:val="0"/>
              <w:pageBreakBefore w:val="0"/>
              <w:widowControl/>
              <w:wordWrap/>
              <w:overflowPunct/>
              <w:topLinePunct w:val="0"/>
              <w:autoSpaceDE/>
              <w:autoSpaceDN/>
              <w:bidi w:val="0"/>
              <w:adjustRightInd/>
              <w:snapToGrid/>
              <w:spacing w:line="460" w:lineRule="exact"/>
              <w:ind w:left="0" w:leftChars="0" w:right="0" w:rightChars="0" w:firstLineChars="0"/>
              <w:textAlignment w:val="auto"/>
              <w:rPr>
                <w:rFonts w:hint="eastAsia" w:ascii="宋体" w:hAnsi="宋体" w:eastAsia="宋体" w:cs="宋体"/>
                <w:color w:val="auto"/>
                <w:sz w:val="21"/>
                <w:szCs w:val="21"/>
                <w:highlight w:val="none"/>
              </w:rPr>
            </w:pPr>
          </w:p>
        </w:tc>
        <w:tc>
          <w:tcPr>
            <w:tcW w:w="1379" w:type="dxa"/>
            <w:vMerge w:val="continue"/>
            <w:noWrap w:val="0"/>
            <w:vAlign w:val="center"/>
          </w:tcPr>
          <w:p w14:paraId="09ACCBE2">
            <w:pPr>
              <w:keepNext w:val="0"/>
              <w:keepLines w:val="0"/>
              <w:pageBreakBefore w:val="0"/>
              <w:widowControl/>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color w:val="auto"/>
                <w:sz w:val="21"/>
                <w:szCs w:val="21"/>
                <w:highlight w:val="none"/>
              </w:rPr>
            </w:pPr>
          </w:p>
        </w:tc>
        <w:tc>
          <w:tcPr>
            <w:tcW w:w="7065" w:type="dxa"/>
            <w:noWrap w:val="0"/>
            <w:vAlign w:val="center"/>
          </w:tcPr>
          <w:p w14:paraId="0DE88D56">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投标人提出的有助于项目实施相应措施建议，根据投标文件体现的内容进行评分，</w:t>
            </w:r>
            <w:r>
              <w:rPr>
                <w:rFonts w:hint="eastAsia" w:ascii="宋体" w:hAnsi="宋体" w:eastAsia="宋体" w:cs="宋体"/>
                <w:color w:val="auto"/>
                <w:sz w:val="21"/>
                <w:szCs w:val="21"/>
                <w:highlight w:val="none"/>
                <w:lang w:val="en-US" w:eastAsia="zh-CN"/>
              </w:rPr>
              <w:t>每条有效建议得1分，</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49" w:type="dxa"/>
            <w:noWrap w:val="0"/>
            <w:vAlign w:val="center"/>
          </w:tcPr>
          <w:p w14:paraId="6920130B">
            <w:pPr>
              <w:keepNext w:val="0"/>
              <w:keepLines w:val="0"/>
              <w:pageBreakBefore w:val="0"/>
              <w:widowControl/>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r>
      <w:tr w14:paraId="05B6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4" w:type="dxa"/>
            <w:noWrap w:val="0"/>
            <w:vAlign w:val="center"/>
          </w:tcPr>
          <w:p w14:paraId="1538C196">
            <w:pPr>
              <w:keepNext w:val="0"/>
              <w:keepLines w:val="0"/>
              <w:pageBreakBefore w:val="0"/>
              <w:widowControl/>
              <w:numPr>
                <w:ilvl w:val="0"/>
                <w:numId w:val="0"/>
              </w:numPr>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379" w:type="dxa"/>
            <w:noWrap w:val="0"/>
            <w:vAlign w:val="center"/>
          </w:tcPr>
          <w:p w14:paraId="5C90C61E">
            <w:pPr>
              <w:keepNext w:val="0"/>
              <w:keepLines w:val="0"/>
              <w:pageBreakBefore w:val="0"/>
              <w:widowControl/>
              <w:wordWrap/>
              <w:overflowPunct/>
              <w:topLinePunct w:val="0"/>
              <w:autoSpaceDE/>
              <w:autoSpaceDN/>
              <w:bidi w:val="0"/>
              <w:adjustRightInd/>
              <w:snapToGrid/>
              <w:spacing w:line="46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本地化服务</w:t>
            </w:r>
          </w:p>
        </w:tc>
        <w:tc>
          <w:tcPr>
            <w:tcW w:w="7065" w:type="dxa"/>
            <w:noWrap w:val="0"/>
            <w:vAlign w:val="center"/>
          </w:tcPr>
          <w:p w14:paraId="0CA2639A">
            <w:pPr>
              <w:keepNext w:val="0"/>
              <w:keepLines w:val="0"/>
              <w:pageBreakBefore w:val="0"/>
              <w:wordWrap/>
              <w:overflowPunct/>
              <w:topLinePunct w:val="0"/>
              <w:bidi w:val="0"/>
              <w:snapToGrid/>
              <w:spacing w:line="46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lang w:val="en-US" w:bidi="ar-SA"/>
              </w:rPr>
              <w:t>本项目投标截止时间前，投标人已在</w:t>
            </w:r>
            <w:r>
              <w:rPr>
                <w:rFonts w:hint="eastAsia" w:ascii="宋体" w:hAnsi="宋体" w:eastAsia="宋体" w:cs="宋体"/>
                <w:bCs/>
                <w:color w:val="auto"/>
                <w:kern w:val="28"/>
                <w:sz w:val="21"/>
                <w:szCs w:val="21"/>
                <w:lang w:val="en-US" w:eastAsia="zh-CN" w:bidi="ar-SA"/>
              </w:rPr>
              <w:t>开发区</w:t>
            </w:r>
            <w:r>
              <w:rPr>
                <w:rFonts w:hint="eastAsia" w:ascii="宋体" w:hAnsi="宋体" w:eastAsia="宋体" w:cs="宋体"/>
                <w:bCs/>
                <w:color w:val="auto"/>
                <w:kern w:val="28"/>
                <w:sz w:val="21"/>
                <w:szCs w:val="21"/>
                <w:lang w:val="en-US" w:bidi="ar-SA"/>
              </w:rPr>
              <w:t>范围内设有本地化服务机构</w:t>
            </w:r>
            <w:r>
              <w:rPr>
                <w:rFonts w:hint="eastAsia" w:ascii="宋体" w:hAnsi="宋体" w:eastAsia="宋体" w:cs="宋体"/>
                <w:bCs/>
                <w:color w:val="auto"/>
                <w:kern w:val="28"/>
                <w:sz w:val="21"/>
                <w:szCs w:val="21"/>
                <w:lang w:val="en-US" w:eastAsia="zh-CN" w:bidi="ar-SA"/>
              </w:rPr>
              <w:t>或承诺</w:t>
            </w:r>
            <w:r>
              <w:rPr>
                <w:rFonts w:hint="eastAsia" w:ascii="宋体" w:hAnsi="宋体" w:eastAsia="宋体" w:cs="宋体"/>
                <w:bCs/>
                <w:color w:val="auto"/>
                <w:kern w:val="28"/>
                <w:sz w:val="21"/>
                <w:szCs w:val="21"/>
                <w:lang w:val="en-US" w:bidi="ar-SA"/>
              </w:rPr>
              <w:t>中标后（自中标通知书发出之日起计）15日内在</w:t>
            </w:r>
            <w:r>
              <w:rPr>
                <w:rFonts w:hint="eastAsia" w:ascii="宋体" w:hAnsi="宋体" w:eastAsia="宋体" w:cs="宋体"/>
                <w:bCs/>
                <w:color w:val="auto"/>
                <w:kern w:val="28"/>
                <w:sz w:val="21"/>
                <w:szCs w:val="21"/>
                <w:lang w:val="en-US" w:eastAsia="zh-CN" w:bidi="ar-SA"/>
              </w:rPr>
              <w:t>开发区</w:t>
            </w:r>
            <w:r>
              <w:rPr>
                <w:rFonts w:hint="eastAsia" w:ascii="宋体" w:hAnsi="宋体" w:eastAsia="宋体" w:cs="宋体"/>
                <w:bCs/>
                <w:color w:val="auto"/>
                <w:kern w:val="28"/>
                <w:sz w:val="21"/>
                <w:szCs w:val="21"/>
                <w:lang w:val="en-US" w:bidi="ar-SA"/>
              </w:rPr>
              <w:t>范围内设立本地化服务机构</w:t>
            </w:r>
            <w:r>
              <w:rPr>
                <w:rFonts w:hint="eastAsia" w:ascii="宋体" w:hAnsi="宋体" w:eastAsia="宋体" w:cs="宋体"/>
                <w:bCs/>
                <w:color w:val="auto"/>
                <w:kern w:val="28"/>
                <w:sz w:val="21"/>
                <w:szCs w:val="21"/>
                <w:lang w:val="en-US" w:eastAsia="zh-CN" w:bidi="ar-SA"/>
              </w:rPr>
              <w:t>的得3分</w:t>
            </w:r>
            <w:r>
              <w:rPr>
                <w:rFonts w:hint="eastAsia" w:ascii="宋体" w:hAnsi="宋体" w:eastAsia="宋体" w:cs="宋体"/>
                <w:color w:val="auto"/>
                <w:sz w:val="21"/>
                <w:szCs w:val="21"/>
                <w:lang w:val="zh-CN"/>
              </w:rPr>
              <w:t>。</w:t>
            </w:r>
          </w:p>
        </w:tc>
        <w:tc>
          <w:tcPr>
            <w:tcW w:w="849" w:type="dxa"/>
            <w:noWrap w:val="0"/>
            <w:vAlign w:val="center"/>
          </w:tcPr>
          <w:p w14:paraId="1B7CDCCC">
            <w:pPr>
              <w:keepNext w:val="0"/>
              <w:keepLines w:val="0"/>
              <w:pageBreakBefore w:val="0"/>
              <w:wordWrap/>
              <w:overflowPunct/>
              <w:topLinePunct w:val="0"/>
              <w:bidi w:val="0"/>
              <w:snapToGrid/>
              <w:spacing w:line="4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rPr>
              <w:t>3</w:t>
            </w:r>
          </w:p>
        </w:tc>
      </w:tr>
      <w:tr w14:paraId="066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4" w:type="dxa"/>
            <w:noWrap w:val="0"/>
            <w:vAlign w:val="center"/>
          </w:tcPr>
          <w:p w14:paraId="5B100D97">
            <w:pPr>
              <w:keepNext w:val="0"/>
              <w:keepLines w:val="0"/>
              <w:pageBreakBefore w:val="0"/>
              <w:widowControl/>
              <w:numPr>
                <w:ilvl w:val="0"/>
                <w:numId w:val="0"/>
              </w:numPr>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379" w:type="dxa"/>
            <w:noWrap w:val="0"/>
            <w:vAlign w:val="center"/>
          </w:tcPr>
          <w:p w14:paraId="1184AFB1">
            <w:pPr>
              <w:pStyle w:val="13"/>
              <w:keepNext w:val="0"/>
              <w:keepLines w:val="0"/>
              <w:pageBreakBefore w:val="0"/>
              <w:wordWrap/>
              <w:overflowPunct/>
              <w:topLinePunct w:val="0"/>
              <w:bidi w:val="0"/>
              <w:snapToGrid/>
              <w:spacing w:after="0" w:line="4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rPr>
              <w:t>服务响应</w:t>
            </w:r>
          </w:p>
        </w:tc>
        <w:tc>
          <w:tcPr>
            <w:tcW w:w="7065" w:type="dxa"/>
            <w:noWrap w:val="0"/>
            <w:vAlign w:val="center"/>
          </w:tcPr>
          <w:p w14:paraId="6ABA6809">
            <w:pPr>
              <w:pStyle w:val="13"/>
              <w:keepNext w:val="0"/>
              <w:keepLines w:val="0"/>
              <w:pageBreakBefore w:val="0"/>
              <w:wordWrap/>
              <w:overflowPunct/>
              <w:topLinePunct w:val="0"/>
              <w:bidi w:val="0"/>
              <w:snapToGrid/>
              <w:spacing w:after="0" w:line="460" w:lineRule="exact"/>
              <w:ind w:left="0" w:leftChars="0" w:right="0" w:rightChars="0"/>
              <w:jc w:val="left"/>
              <w:textAlignment w:val="auto"/>
              <w:rPr>
                <w:rFonts w:hint="eastAsia" w:ascii="宋体" w:hAnsi="宋体" w:eastAsia="宋体" w:cs="宋体"/>
                <w:b w:val="0"/>
                <w:bCs w:val="0"/>
                <w:color w:val="auto"/>
                <w:kern w:val="28"/>
                <w:sz w:val="21"/>
                <w:szCs w:val="21"/>
              </w:rPr>
            </w:pPr>
            <w:r>
              <w:rPr>
                <w:rFonts w:hint="eastAsia" w:ascii="宋体" w:hAnsi="宋体" w:eastAsia="宋体" w:cs="宋体"/>
                <w:b w:val="0"/>
                <w:bCs w:val="0"/>
                <w:color w:val="auto"/>
                <w:sz w:val="21"/>
                <w:szCs w:val="21"/>
              </w:rPr>
              <w:t>投标人服务响应时间，1小时响应，半小时解决问题的得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分；2小时响应，1小时解决问题的得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分；3个小时响应，2小时解决问题的得1分；其他的不得分。（须提供承诺书，格式内容自拟，内容经评审委员会认可方可得分）</w:t>
            </w:r>
          </w:p>
        </w:tc>
        <w:tc>
          <w:tcPr>
            <w:tcW w:w="849" w:type="dxa"/>
            <w:noWrap w:val="0"/>
            <w:vAlign w:val="center"/>
          </w:tcPr>
          <w:p w14:paraId="24572D20">
            <w:pPr>
              <w:pStyle w:val="13"/>
              <w:keepNext w:val="0"/>
              <w:keepLines w:val="0"/>
              <w:pageBreakBefore w:val="0"/>
              <w:wordWrap/>
              <w:overflowPunct/>
              <w:topLinePunct w:val="0"/>
              <w:bidi w:val="0"/>
              <w:snapToGrid/>
              <w:spacing w:after="0" w:line="460" w:lineRule="exact"/>
              <w:ind w:left="0" w:leftChars="0" w:right="0" w:right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0"/>
                <w:sz w:val="21"/>
                <w:szCs w:val="21"/>
                <w:lang w:val="en-US" w:eastAsia="zh-CN"/>
              </w:rPr>
              <w:t>5</w:t>
            </w:r>
          </w:p>
        </w:tc>
      </w:tr>
      <w:tr w14:paraId="2231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94" w:type="dxa"/>
            <w:noWrap w:val="0"/>
            <w:vAlign w:val="center"/>
          </w:tcPr>
          <w:p w14:paraId="38F3C8B2">
            <w:pPr>
              <w:keepNext w:val="0"/>
              <w:keepLines w:val="0"/>
              <w:pageBreakBefore w:val="0"/>
              <w:widowControl/>
              <w:numPr>
                <w:ilvl w:val="0"/>
                <w:numId w:val="0"/>
              </w:numPr>
              <w:wordWrap/>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379" w:type="dxa"/>
            <w:noWrap w:val="0"/>
            <w:vAlign w:val="center"/>
          </w:tcPr>
          <w:p w14:paraId="6511567D">
            <w:pPr>
              <w:pStyle w:val="13"/>
              <w:keepNext w:val="0"/>
              <w:keepLines w:val="0"/>
              <w:pageBreakBefore w:val="0"/>
              <w:wordWrap/>
              <w:overflowPunct/>
              <w:topLinePunct w:val="0"/>
              <w:bidi w:val="0"/>
              <w:snapToGrid/>
              <w:spacing w:after="0" w:line="460" w:lineRule="exact"/>
              <w:ind w:left="0" w:leftChars="0" w:right="0" w:right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培训方案</w:t>
            </w:r>
          </w:p>
        </w:tc>
        <w:tc>
          <w:tcPr>
            <w:tcW w:w="7065" w:type="dxa"/>
            <w:noWrap w:val="0"/>
            <w:vAlign w:val="center"/>
          </w:tcPr>
          <w:p w14:paraId="765E4E7A">
            <w:pPr>
              <w:pStyle w:val="13"/>
              <w:keepNext w:val="0"/>
              <w:keepLines w:val="0"/>
              <w:pageBreakBefore w:val="0"/>
              <w:wordWrap/>
              <w:overflowPunct/>
              <w:topLinePunct w:val="0"/>
              <w:bidi w:val="0"/>
              <w:snapToGrid/>
              <w:spacing w:after="0" w:line="460" w:lineRule="exact"/>
              <w:ind w:left="0" w:leftChars="0" w:right="0" w:rightChars="0"/>
              <w:jc w:val="left"/>
              <w:textAlignment w:val="auto"/>
              <w:rPr>
                <w:rFonts w:hint="eastAsia" w:ascii="宋体" w:hAnsi="宋体" w:eastAsia="宋体" w:cs="宋体"/>
                <w:b w:val="0"/>
                <w:bCs w:val="0"/>
                <w:color w:val="auto"/>
                <w:sz w:val="21"/>
                <w:szCs w:val="21"/>
                <w:lang w:val="en-US"/>
              </w:rPr>
            </w:pPr>
            <w:r>
              <w:rPr>
                <w:rFonts w:hint="eastAsia" w:ascii="宋体" w:hAnsi="宋体" w:eastAsia="宋体" w:cs="宋体"/>
                <w:color w:val="auto"/>
                <w:sz w:val="21"/>
                <w:szCs w:val="21"/>
                <w:highlight w:val="none"/>
                <w:lang w:val="en-US" w:eastAsia="zh-CN"/>
              </w:rPr>
              <w:t>根据投标人针对本项目制定的培训方案进行评价,培训方案应至少包括①培训时间、地点；②培训的主要内容(至少包含使用及日常维护内容)；③培训讲师的资历；④预期培训效果。本项满分4分，每项不足扣1分，扣完为止。</w:t>
            </w:r>
          </w:p>
        </w:tc>
        <w:tc>
          <w:tcPr>
            <w:tcW w:w="849" w:type="dxa"/>
            <w:noWrap w:val="0"/>
            <w:vAlign w:val="center"/>
          </w:tcPr>
          <w:p w14:paraId="10905EBA">
            <w:pPr>
              <w:pStyle w:val="13"/>
              <w:keepNext w:val="0"/>
              <w:keepLines w:val="0"/>
              <w:pageBreakBefore w:val="0"/>
              <w:wordWrap/>
              <w:overflowPunct/>
              <w:topLinePunct w:val="0"/>
              <w:bidi w:val="0"/>
              <w:snapToGrid/>
              <w:spacing w:after="0" w:line="460" w:lineRule="exact"/>
              <w:ind w:left="0" w:leftChars="0" w:right="0" w:right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w:t>
            </w:r>
          </w:p>
        </w:tc>
      </w:tr>
      <w:tr w14:paraId="6BC5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4" w:type="dxa"/>
            <w:tcBorders>
              <w:left w:val="single" w:color="auto" w:sz="4" w:space="0"/>
              <w:right w:val="single" w:color="auto" w:sz="4" w:space="0"/>
            </w:tcBorders>
            <w:noWrap w:val="0"/>
            <w:vAlign w:val="center"/>
          </w:tcPr>
          <w:p w14:paraId="5B3B5C5D">
            <w:pPr>
              <w:keepNext w:val="0"/>
              <w:keepLines w:val="0"/>
              <w:pageBreakBefore w:val="0"/>
              <w:widowControl w:val="0"/>
              <w:numPr>
                <w:ilvl w:val="0"/>
                <w:numId w:val="0"/>
              </w:numPr>
              <w:shd w:val="clear" w:color="auto" w:fill="FFFFFF"/>
              <w:wordWrap/>
              <w:overflowPunct/>
              <w:topLinePunct w:val="0"/>
              <w:autoSpaceDE w:val="0"/>
              <w:autoSpaceDN w:val="0"/>
              <w:bidi w:val="0"/>
              <w:adjustRightInd w:val="0"/>
              <w:snapToGrid/>
              <w:spacing w:line="460" w:lineRule="exact"/>
              <w:ind w:right="0" w:right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10</w:t>
            </w:r>
          </w:p>
        </w:tc>
        <w:tc>
          <w:tcPr>
            <w:tcW w:w="1379" w:type="dxa"/>
            <w:tcBorders>
              <w:left w:val="single" w:color="auto" w:sz="4" w:space="0"/>
              <w:right w:val="single" w:color="auto" w:sz="4" w:space="0"/>
            </w:tcBorders>
            <w:noWrap w:val="0"/>
            <w:vAlign w:val="center"/>
          </w:tcPr>
          <w:p w14:paraId="1501262B">
            <w:pPr>
              <w:keepNext w:val="0"/>
              <w:keepLines w:val="0"/>
              <w:pageBreakBefore w:val="0"/>
              <w:widowControl w:val="0"/>
              <w:shd w:val="clear" w:color="auto" w:fill="FFFFFF"/>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政策分</w:t>
            </w:r>
          </w:p>
        </w:tc>
        <w:tc>
          <w:tcPr>
            <w:tcW w:w="7065" w:type="dxa"/>
            <w:tcBorders>
              <w:top w:val="single" w:color="auto" w:sz="4" w:space="0"/>
              <w:left w:val="single" w:color="auto" w:sz="4" w:space="0"/>
              <w:bottom w:val="single" w:color="auto" w:sz="4" w:space="0"/>
              <w:right w:val="single" w:color="auto" w:sz="4" w:space="0"/>
            </w:tcBorders>
            <w:noWrap w:val="0"/>
            <w:vAlign w:val="center"/>
          </w:tcPr>
          <w:p w14:paraId="6A56A9E0">
            <w:pPr>
              <w:keepNext w:val="0"/>
              <w:keepLines w:val="0"/>
              <w:pageBreakBefore w:val="0"/>
              <w:widowControl w:val="0"/>
              <w:wordWrap/>
              <w:overflowPunct/>
              <w:topLinePunct w:val="0"/>
              <w:autoSpaceDE w:val="0"/>
              <w:autoSpaceDN w:val="0"/>
              <w:bidi w:val="0"/>
              <w:adjustRightInd w:val="0"/>
              <w:snapToGrid/>
              <w:spacing w:line="460" w:lineRule="exact"/>
              <w:ind w:left="0" w:leftChars="0" w:right="0" w:rightChars="0" w:firstLine="0" w:firstLineChars="0"/>
              <w:jc w:val="left"/>
              <w:textAlignment w:val="auto"/>
              <w:rPr>
                <w:rFonts w:hint="eastAsia" w:ascii="宋体" w:hAnsi="宋体" w:eastAsia="宋体" w:cs="宋体"/>
                <w:color w:val="auto"/>
                <w:sz w:val="21"/>
                <w:szCs w:val="21"/>
                <w:highlight w:val="none"/>
              </w:rPr>
            </w:pPr>
            <w:r>
              <w:rPr>
                <w:rFonts w:hint="eastAsia" w:hAnsi="宋体" w:cs="宋体"/>
                <w:color w:val="000000" w:themeColor="text1"/>
                <w:sz w:val="21"/>
                <w:szCs w:val="21"/>
                <w:highlight w:val="none"/>
                <w14:textFill>
                  <w14:solidFill>
                    <w14:schemeClr w14:val="tx1"/>
                  </w14:solidFill>
                </w14:textFill>
              </w:rPr>
              <w:t>投标人符合《政府采购货物和服务招标投标管理办法》第五条规定，属“节约能源、保护环境、扶持不发达地区和少数民族地区等”政府采购政策扶持对象的，提供相关证明材料和政策依据，每符合一项得0.5分，最高可得2分；未提供相关证明材料的不得分。（提供相关证明材料和政策依据备查）</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19662633">
            <w:pPr>
              <w:keepNext w:val="0"/>
              <w:keepLines w:val="0"/>
              <w:pageBreakBefore w:val="0"/>
              <w:widowControl w:val="0"/>
              <w:kinsoku w:val="0"/>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p>
        </w:tc>
      </w:tr>
      <w:tr w14:paraId="430E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38" w:type="dxa"/>
            <w:gridSpan w:val="3"/>
            <w:tcBorders>
              <w:left w:val="single" w:color="auto" w:sz="4" w:space="0"/>
              <w:right w:val="single" w:color="auto" w:sz="4" w:space="0"/>
            </w:tcBorders>
            <w:noWrap w:val="0"/>
            <w:vAlign w:val="center"/>
          </w:tcPr>
          <w:p w14:paraId="77379034">
            <w:pPr>
              <w:keepNext w:val="0"/>
              <w:keepLines w:val="0"/>
              <w:pageBreakBefore w:val="0"/>
              <w:widowControl w:val="0"/>
              <w:numPr>
                <w:ilvl w:val="0"/>
                <w:numId w:val="0"/>
              </w:numPr>
              <w:wordWrap/>
              <w:overflowPunct/>
              <w:topLinePunct w:val="0"/>
              <w:autoSpaceDE w:val="0"/>
              <w:autoSpaceDN w:val="0"/>
              <w:bidi w:val="0"/>
              <w:adjustRightInd w:val="0"/>
              <w:snapToGrid/>
              <w:spacing w:line="460" w:lineRule="exact"/>
              <w:ind w:right="0" w:rightChars="0"/>
              <w:jc w:val="righ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合计</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57E045C">
            <w:pPr>
              <w:keepNext w:val="0"/>
              <w:keepLines w:val="0"/>
              <w:pageBreakBefore w:val="0"/>
              <w:widowControl w:val="0"/>
              <w:kinsoku w:val="0"/>
              <w:wordWrap/>
              <w:overflowPunct/>
              <w:topLinePunct w:val="0"/>
              <w:autoSpaceDE w:val="0"/>
              <w:autoSpaceDN w:val="0"/>
              <w:bidi w:val="0"/>
              <w:adjustRightInd w:val="0"/>
              <w:snapToGrid/>
              <w:spacing w:line="4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w:t>
            </w:r>
          </w:p>
        </w:tc>
      </w:tr>
    </w:tbl>
    <w:p w14:paraId="5BB7FA71">
      <w:pPr>
        <w:rPr>
          <w:rFonts w:hint="eastAsia"/>
        </w:rPr>
      </w:pPr>
    </w:p>
    <w:p w14:paraId="0F846A3E">
      <w:pPr>
        <w:autoSpaceDE/>
        <w:autoSpaceDN/>
        <w:snapToGrid w:val="0"/>
        <w:spacing w:line="50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（三）技术商务分的计算</w:t>
      </w:r>
    </w:p>
    <w:p w14:paraId="4D768082">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技术商务分按照评标委员会成员的独立评分结果汇总数后的算术平均分计算，计算公式为：</w:t>
      </w:r>
    </w:p>
    <w:p w14:paraId="59B5404E">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技术商务分=（评标委员会所有成员评分合计数）/（评标委员会组成人员数）</w:t>
      </w:r>
    </w:p>
    <w:p w14:paraId="1EACEBCD">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（四）定标原则</w:t>
      </w:r>
    </w:p>
    <w:p w14:paraId="1004C0DE">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1.严格按照招标文件规定“综合评分法，得分最高者中标”的原则定标，法律法规或国家政策（包括上文“二、评标定标时对政府采购政策的落实要求”）另有规定的从其规定。</w:t>
      </w:r>
    </w:p>
    <w:p w14:paraId="7492361F">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2.经预中标结果公示期满无异议，中标候选人即成为中标人。</w:t>
      </w:r>
    </w:p>
    <w:p w14:paraId="3D2368DF">
      <w:pPr>
        <w:autoSpaceDE/>
        <w:autoSpaceDN/>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（五）保密及其他注意事项</w:t>
      </w:r>
    </w:p>
    <w:p w14:paraId="4FB0A805">
      <w:pPr>
        <w:autoSpaceDE/>
        <w:autoSpaceDN/>
        <w:snapToGrid w:val="0"/>
        <w:spacing w:line="5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1.评标是招标过程中的重要环节，评标工作在评委会成员内独立进行。评标委员会将遵照评标原则，公正、公平、客观地对待所有投标人。</w:t>
      </w:r>
    </w:p>
    <w:p w14:paraId="3EE2C371">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2.在开标、评标期间，投标人不得向评委询问评标情况，不得进行旨在影响评标结果的活动。</w:t>
      </w:r>
    </w:p>
    <w:p w14:paraId="1E6C6A18">
      <w:pPr>
        <w:tabs>
          <w:tab w:val="left" w:pos="0"/>
        </w:tabs>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60E94CB0">
      <w:pPr>
        <w:autoSpaceDE/>
        <w:autoSpaceDN/>
        <w:adjustRightInd/>
        <w:spacing w:line="500" w:lineRule="exact"/>
        <w:ind w:firstLine="422" w:firstLineChars="200"/>
        <w:jc w:val="both"/>
        <w:rPr>
          <w:rFonts w:hint="eastAsia" w:ascii="宋体" w:hAnsi="宋体" w:eastAsia="宋体" w:cs="宋体"/>
          <w:b/>
          <w:color w:val="auto"/>
          <w:kern w:val="2"/>
          <w:sz w:val="21"/>
          <w:szCs w:val="21"/>
          <w:highlight w:val="none"/>
        </w:rPr>
      </w:pPr>
    </w:p>
    <w:p w14:paraId="77863BFC">
      <w:pPr>
        <w:autoSpaceDE/>
        <w:autoSpaceDN/>
        <w:adjustRightInd/>
        <w:rPr>
          <w:rFonts w:hint="eastAsia" w:ascii="宋体" w:hAnsi="宋体" w:eastAsia="宋体" w:cs="宋体"/>
          <w:b/>
          <w:color w:val="auto"/>
          <w:kern w:val="2"/>
          <w:sz w:val="28"/>
          <w:szCs w:val="28"/>
          <w:highlight w:val="none"/>
        </w:rPr>
      </w:pPr>
    </w:p>
    <w:p w14:paraId="45FE0F6B">
      <w:pPr>
        <w:autoSpaceDE/>
        <w:autoSpaceDN/>
        <w:adjustRightInd/>
        <w:jc w:val="center"/>
        <w:outlineLvl w:val="0"/>
        <w:rPr>
          <w:rFonts w:hint="eastAsia" w:ascii="宋体" w:hAnsi="宋体" w:eastAsia="宋体" w:cs="宋体"/>
          <w:color w:val="FF0000"/>
          <w:sz w:val="30"/>
          <w:szCs w:val="30"/>
          <w:highlight w:val="none"/>
        </w:rPr>
      </w:pPr>
      <w:r>
        <w:rPr>
          <w:rFonts w:hint="eastAsia" w:ascii="宋体" w:hAnsi="宋体" w:eastAsia="宋体" w:cs="宋体"/>
          <w:b/>
          <w:color w:val="auto"/>
          <w:kern w:val="2"/>
          <w:sz w:val="28"/>
          <w:szCs w:val="28"/>
          <w:highlight w:val="none"/>
        </w:rPr>
        <w:br w:type="page"/>
      </w:r>
      <w:bookmarkStart w:id="53" w:name="_Toc9744"/>
      <w:bookmarkStart w:id="54" w:name="_Toc27491"/>
      <w:r>
        <w:rPr>
          <w:rFonts w:hint="eastAsia" w:ascii="宋体" w:hAnsi="宋体" w:eastAsia="宋体" w:cs="宋体"/>
          <w:b/>
          <w:bCs/>
          <w:color w:val="000000" w:themeColor="text1"/>
          <w:sz w:val="30"/>
          <w:szCs w:val="30"/>
          <w:highlight w:val="none"/>
          <w14:textFill>
            <w14:solidFill>
              <w14:schemeClr w14:val="tx1"/>
            </w14:solidFill>
          </w14:textFill>
        </w:rPr>
        <w:t>第五章  合同文本</w:t>
      </w:r>
      <w:bookmarkEnd w:id="53"/>
      <w:bookmarkEnd w:id="54"/>
    </w:p>
    <w:p w14:paraId="1CAE215D">
      <w:pPr>
        <w:pStyle w:val="13"/>
        <w:snapToGrid w:val="0"/>
        <w:spacing w:beforeLines="0" w:afterLines="0" w:line="360" w:lineRule="auto"/>
        <w:rPr>
          <w:rFonts w:ascii="Times New Roman" w:hAnsi="Times New Roman"/>
          <w:color w:val="FF0000"/>
          <w:sz w:val="21"/>
          <w:szCs w:val="21"/>
        </w:rPr>
      </w:pPr>
      <w:bookmarkStart w:id="55" w:name="_Toc5953"/>
      <w:bookmarkStart w:id="56" w:name="_Toc12701"/>
      <w:bookmarkStart w:id="57" w:name="_Toc31765"/>
      <w:bookmarkStart w:id="58" w:name="_Toc17629"/>
    </w:p>
    <w:p w14:paraId="22D613B9">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u w:val="singl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甲方：</w:t>
      </w:r>
      <w:r>
        <w:rPr>
          <w:rFonts w:hint="eastAsia" w:ascii="宋体" w:hAnsi="宋体" w:cs="宋体"/>
          <w:b/>
          <w:bCs/>
          <w:color w:val="000000" w:themeColor="text1"/>
          <w:sz w:val="21"/>
          <w:szCs w:val="21"/>
          <w:u w:val="single"/>
          <w:lang w:eastAsia="zh-CN"/>
          <w14:textFill>
            <w14:solidFill>
              <w14:schemeClr w14:val="tx1"/>
            </w14:solidFill>
          </w14:textFill>
        </w:rPr>
        <w:t>金华经济技术开发区乡村振兴部</w:t>
      </w:r>
      <w:r>
        <w:rPr>
          <w:rFonts w:hint="eastAsia" w:ascii="宋体" w:hAnsi="宋体" w:eastAsia="宋体" w:cs="宋体"/>
          <w:b/>
          <w:bCs/>
          <w:color w:val="000000" w:themeColor="text1"/>
          <w:sz w:val="21"/>
          <w:szCs w:val="21"/>
          <w:u w:val="single"/>
          <w14:textFill>
            <w14:solidFill>
              <w14:schemeClr w14:val="tx1"/>
            </w14:solidFill>
          </w14:textFill>
        </w:rPr>
        <w:t xml:space="preserve"> </w:t>
      </w:r>
    </w:p>
    <w:p w14:paraId="36F49F98">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w:t>
      </w:r>
    </w:p>
    <w:p w14:paraId="3725A6DC">
      <w:pPr>
        <w:keepNext w:val="0"/>
        <w:keepLines w:val="0"/>
        <w:pageBreakBefore w:val="0"/>
        <w:kinsoku/>
        <w:wordWrap/>
        <w:overflowPunct/>
        <w:topLinePunct w:val="0"/>
        <w:autoSpaceDE w:val="0"/>
        <w:autoSpaceDN w:val="0"/>
        <w:bidi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甲、乙双方根据</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hAnsi="宋体" w:cs="宋体"/>
          <w:color w:val="000000" w:themeColor="text1"/>
          <w:sz w:val="21"/>
          <w:szCs w:val="21"/>
          <w:u w:val="single"/>
          <w:lang w:eastAsia="zh-CN"/>
          <w14:textFill>
            <w14:solidFill>
              <w14:schemeClr w14:val="tx1"/>
            </w14:solidFill>
          </w14:textFill>
        </w:rPr>
        <w:t>项目</w:t>
      </w:r>
      <w:r>
        <w:rPr>
          <w:rFonts w:hint="eastAsia" w:ascii="宋体" w:hAnsi="宋体" w:eastAsia="宋体" w:cs="宋体"/>
          <w:color w:val="000000" w:themeColor="text1"/>
          <w:sz w:val="21"/>
          <w:szCs w:val="21"/>
          <w:u w:val="single"/>
          <w:lang w:eastAsia="zh-CN"/>
          <w14:textFill>
            <w14:solidFill>
              <w14:schemeClr w14:val="tx1"/>
            </w14:solidFill>
          </w14:textFill>
        </w:rPr>
        <w:t>（项目编号：</w:t>
      </w:r>
      <w:r>
        <w:rPr>
          <w:rFonts w:hint="eastAsia" w:ascii="宋体" w:hAnsi="宋体" w:eastAsia="宋体" w:cs="宋体"/>
          <w:color w:val="000000" w:themeColor="text1"/>
          <w:sz w:val="21"/>
          <w:szCs w:val="21"/>
          <w:u w:val="singl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margin">
                  <wp:posOffset>1417955</wp:posOffset>
                </wp:positionH>
                <wp:positionV relativeFrom="margin">
                  <wp:posOffset>4239895</wp:posOffset>
                </wp:positionV>
                <wp:extent cx="6771005" cy="687070"/>
                <wp:effectExtent l="3042285" t="0" r="0" b="0"/>
                <wp:wrapNone/>
                <wp:docPr id="5" name="WordAr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rot="-2700000">
                          <a:off x="0" y="0"/>
                          <a:ext cx="6771005" cy="687070"/>
                        </a:xfrm>
                        <a:prstGeom prst="rect">
                          <a:avLst/>
                        </a:prstGeom>
                        <a:noFill/>
                        <a:ln>
                          <a:noFill/>
                        </a:ln>
                      </wps:spPr>
                      <wps:txbx>
                        <w:txbxContent>
                          <w:p w14:paraId="3497EF56"/>
                        </w:txbxContent>
                      </wps:txbx>
                      <wps:bodyPr upright="1"/>
                    </wps:wsp>
                  </a:graphicData>
                </a:graphic>
              </wp:anchor>
            </w:drawing>
          </mc:Choice>
          <mc:Fallback>
            <w:pict>
              <v:shape id="WordArt 1" o:spid="_x0000_s1026" o:spt="202" type="#_x0000_t202" style="position:absolute;left:0pt;margin-left:111.65pt;margin-top:333.85pt;height:54.1pt;width:533.15pt;mso-position-horizontal-relative:margin;mso-position-vertical-relative:margin;rotation:-2949120f;z-index:-251655168;mso-width-relative:page;mso-height-relative:page;" filled="f" stroked="f" coordsize="21600,21600" o:gfxdata="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i44stwAAAAMAQAADwAAAAAAAAABACAAAAAiAAAAZHJzL2Rv&#10;d25yZXYueG1sUEsBAhQAFAAAAAgAh07iQEQ4MxfEAQAAlgMAAA4AAAAAAAAAAQAgAAAAKwEAAGRy&#10;cy9lMm9Eb2MueG1sUEsFBgAAAAAGAAYAWQEAAGEFAAAAAA==&#10;">
                <v:fill on="f" focussize="0,0"/>
                <v:stroke on="f"/>
                <v:imagedata o:title=""/>
                <o:lock v:ext="edit" text="t" aspectratio="t"/>
                <v:textbox>
                  <w:txbxContent>
                    <w:p w14:paraId="3497EF56"/>
                  </w:txbxContent>
                </v:textbox>
              </v:shape>
            </w:pict>
          </mc:Fallback>
        </mc:AlternateContent>
      </w:r>
      <w:r>
        <w:rPr>
          <w:rFonts w:hint="eastAsia" w:hAnsi="宋体" w:cs="宋体"/>
          <w:color w:val="000000" w:themeColor="text1"/>
          <w:sz w:val="21"/>
          <w:szCs w:val="21"/>
          <w:u w:val="single"/>
          <w:lang w:eastAsia="zh-CN"/>
          <w14:textFill>
            <w14:solidFill>
              <w14:schemeClr w14:val="tx1"/>
            </w14:solidFill>
          </w14:textFill>
        </w:rPr>
        <w:t>TY2025-FW127-ZFCG127</w:t>
      </w:r>
      <w:r>
        <w:rPr>
          <w:rFonts w:hint="eastAsia" w:ascii="宋体" w:hAnsi="宋体" w:eastAsia="宋体" w:cs="宋体"/>
          <w:color w:val="000000" w:themeColor="text1"/>
          <w:sz w:val="21"/>
          <w:szCs w:val="21"/>
          <w:u w:val="single"/>
          <w:lang w:eastAsia="zh-CN"/>
          <w14:textFill>
            <w14:solidFill>
              <w14:schemeClr w14:val="tx1"/>
            </w14:solidFill>
          </w14:textFill>
        </w:rPr>
        <w:t>）</w:t>
      </w:r>
      <w:r>
        <w:rPr>
          <w:rFonts w:hint="eastAsia" w:ascii="宋体" w:hAnsi="宋体" w:eastAsia="宋体" w:cs="宋体"/>
          <w:color w:val="000000" w:themeColor="text1"/>
          <w:sz w:val="21"/>
          <w:szCs w:val="21"/>
          <w:u w:val="none"/>
          <w:lang w:eastAsia="zh-CN"/>
          <w14:textFill>
            <w14:solidFill>
              <w14:schemeClr w14:val="tx1"/>
            </w14:solidFill>
          </w14:textFill>
        </w:rPr>
        <w:t>公开招标采购</w:t>
      </w:r>
      <w:r>
        <w:rPr>
          <w:rFonts w:hint="eastAsia" w:ascii="宋体" w:hAnsi="宋体" w:eastAsia="宋体" w:cs="宋体"/>
          <w:color w:val="000000" w:themeColor="text1"/>
          <w:sz w:val="21"/>
          <w:szCs w:val="21"/>
          <w14:textFill>
            <w14:solidFill>
              <w14:schemeClr w14:val="tx1"/>
            </w14:solidFill>
          </w14:textFill>
        </w:rPr>
        <w:t>的结果，签署本合同。</w:t>
      </w:r>
    </w:p>
    <w:p w14:paraId="3BA3D644">
      <w:pPr>
        <w:keepNext w:val="0"/>
        <w:keepLines w:val="0"/>
        <w:pageBreakBefore w:val="0"/>
        <w:widowControl w:val="0"/>
        <w:kinsoku/>
        <w:wordWrap/>
        <w:overflowPunct/>
        <w:topLinePunct w:val="0"/>
        <w:bidi w:val="0"/>
        <w:snapToGrid/>
        <w:spacing w:line="500" w:lineRule="exact"/>
        <w:ind w:firstLine="472" w:firstLineChars="224"/>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一、合同标的：</w:t>
      </w:r>
    </w:p>
    <w:p w14:paraId="441BB657">
      <w:pPr>
        <w:keepNext w:val="0"/>
        <w:keepLines w:val="0"/>
        <w:pageBreakBefore w:val="0"/>
        <w:widowControl w:val="0"/>
        <w:kinsoku/>
        <w:wordWrap/>
        <w:overflowPunct/>
        <w:topLinePunct w:val="0"/>
        <w:bidi w:val="0"/>
        <w:snapToGrid/>
        <w:spacing w:line="500" w:lineRule="exact"/>
        <w:ind w:firstLine="470" w:firstLineChars="22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1.服务名称：……</w:t>
      </w:r>
    </w:p>
    <w:p w14:paraId="6F2A04A8">
      <w:pPr>
        <w:keepNext w:val="0"/>
        <w:keepLines w:val="0"/>
        <w:pageBreakBefore w:val="0"/>
        <w:widowControl w:val="0"/>
        <w:kinsoku/>
        <w:wordWrap/>
        <w:overflowPunct/>
        <w:topLinePunct w:val="0"/>
        <w:bidi w:val="0"/>
        <w:snapToGrid/>
        <w:spacing w:line="500" w:lineRule="exact"/>
        <w:ind w:firstLine="470" w:firstLineChars="22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2.服务内容：……</w:t>
      </w:r>
    </w:p>
    <w:p w14:paraId="6F1A4697">
      <w:pPr>
        <w:keepNext w:val="0"/>
        <w:keepLines w:val="0"/>
        <w:pageBreakBefore w:val="0"/>
        <w:widowControl w:val="0"/>
        <w:kinsoku/>
        <w:wordWrap/>
        <w:overflowPunct/>
        <w:topLinePunct w:val="0"/>
        <w:bidi w:val="0"/>
        <w:snapToGrid/>
        <w:spacing w:line="500" w:lineRule="exact"/>
        <w:ind w:firstLine="470" w:firstLineChars="22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3.技术标准：……</w:t>
      </w:r>
    </w:p>
    <w:p w14:paraId="6FE3A3A8">
      <w:pPr>
        <w:keepNext w:val="0"/>
        <w:keepLines w:val="0"/>
        <w:pageBreakBefore w:val="0"/>
        <w:widowControl w:val="0"/>
        <w:kinsoku/>
        <w:wordWrap/>
        <w:overflowPunct/>
        <w:topLinePunct w:val="0"/>
        <w:bidi w:val="0"/>
        <w:snapToGrid/>
        <w:spacing w:line="500" w:lineRule="exact"/>
        <w:ind w:firstLine="472" w:firstLineChars="224"/>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二、合同金额：</w:t>
      </w:r>
    </w:p>
    <w:p w14:paraId="0213056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本合同总</w:t>
      </w:r>
      <w:r>
        <w:rPr>
          <w:rFonts w:hint="eastAsia" w:ascii="宋体" w:hAnsi="宋体" w:eastAsia="宋体" w:cs="宋体"/>
          <w:color w:val="auto"/>
          <w:sz w:val="21"/>
          <w:szCs w:val="21"/>
          <w:lang w:eastAsia="zh-CN"/>
        </w:rPr>
        <w:t>金额</w:t>
      </w:r>
      <w:r>
        <w:rPr>
          <w:rFonts w:hint="eastAsia" w:ascii="宋体" w:hAnsi="宋体" w:eastAsia="宋体" w:cs="宋体"/>
          <w:color w:val="auto"/>
          <w:sz w:val="21"/>
          <w:szCs w:val="21"/>
        </w:rPr>
        <w:t>（含税）为：￥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元整）。</w:t>
      </w:r>
    </w:p>
    <w:p w14:paraId="7962E647">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分项价格（若有，可附清单）：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CE7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600C840">
            <w:pPr>
              <w:pStyle w:val="47"/>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402" w:type="dxa"/>
            <w:noWrap w:val="0"/>
            <w:vAlign w:val="center"/>
          </w:tcPr>
          <w:p w14:paraId="0D120C38">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分项名称</w:t>
            </w:r>
          </w:p>
        </w:tc>
        <w:tc>
          <w:tcPr>
            <w:tcW w:w="2552" w:type="dxa"/>
            <w:noWrap w:val="0"/>
            <w:vAlign w:val="center"/>
          </w:tcPr>
          <w:p w14:paraId="30AC9B39">
            <w:pPr>
              <w:pStyle w:val="47"/>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分项价格</w:t>
            </w:r>
          </w:p>
        </w:tc>
      </w:tr>
      <w:tr w14:paraId="6F11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4C9F9F6">
            <w:pPr>
              <w:pStyle w:val="47"/>
              <w:keepNext w:val="0"/>
              <w:keepLines w:val="0"/>
              <w:pageBreakBefore w:val="0"/>
              <w:widowControl w:val="0"/>
              <w:kinsoku/>
              <w:wordWrap/>
              <w:overflowPunct/>
              <w:topLinePunct w:val="0"/>
              <w:bidi w:val="0"/>
              <w:snapToGrid/>
              <w:spacing w:line="500" w:lineRule="exact"/>
              <w:ind w:left="0" w:leftChars="-100" w:hanging="340" w:firstLineChars="0"/>
              <w:jc w:val="center"/>
              <w:textAlignment w:val="auto"/>
              <w:rPr>
                <w:rFonts w:hint="eastAsia" w:ascii="宋体" w:hAnsi="宋体" w:eastAsia="宋体" w:cs="宋体"/>
                <w:color w:val="auto"/>
                <w:sz w:val="21"/>
                <w:szCs w:val="21"/>
              </w:rPr>
            </w:pPr>
          </w:p>
        </w:tc>
        <w:tc>
          <w:tcPr>
            <w:tcW w:w="3402" w:type="dxa"/>
            <w:noWrap w:val="0"/>
            <w:vAlign w:val="center"/>
          </w:tcPr>
          <w:p w14:paraId="4D2AC8F3">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2552" w:type="dxa"/>
            <w:noWrap w:val="0"/>
            <w:vAlign w:val="center"/>
          </w:tcPr>
          <w:p w14:paraId="77098706">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r>
      <w:tr w14:paraId="691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1C7343">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3402" w:type="dxa"/>
            <w:noWrap w:val="0"/>
            <w:vAlign w:val="center"/>
          </w:tcPr>
          <w:p w14:paraId="280E2CBA">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2552" w:type="dxa"/>
            <w:noWrap w:val="0"/>
            <w:vAlign w:val="center"/>
          </w:tcPr>
          <w:p w14:paraId="75E72C0A">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r>
      <w:tr w14:paraId="6DD7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5D8E5BF">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3402" w:type="dxa"/>
            <w:noWrap w:val="0"/>
            <w:vAlign w:val="center"/>
          </w:tcPr>
          <w:p w14:paraId="0B63AC6C">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2552" w:type="dxa"/>
            <w:noWrap w:val="0"/>
            <w:vAlign w:val="center"/>
          </w:tcPr>
          <w:p w14:paraId="628EB79A">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r>
      <w:tr w14:paraId="10B6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0B4592">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3402" w:type="dxa"/>
            <w:noWrap w:val="0"/>
            <w:vAlign w:val="center"/>
          </w:tcPr>
          <w:p w14:paraId="6D280FE0">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c>
          <w:tcPr>
            <w:tcW w:w="2552" w:type="dxa"/>
            <w:noWrap w:val="0"/>
            <w:vAlign w:val="center"/>
          </w:tcPr>
          <w:p w14:paraId="37DB1DD2">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r>
      <w:tr w14:paraId="6191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265A8C1">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2552" w:type="dxa"/>
            <w:noWrap w:val="0"/>
            <w:vAlign w:val="center"/>
          </w:tcPr>
          <w:p w14:paraId="35322D14">
            <w:pPr>
              <w:pStyle w:val="47"/>
              <w:keepNext w:val="0"/>
              <w:keepLines w:val="0"/>
              <w:pageBreakBefore w:val="0"/>
              <w:widowControl w:val="0"/>
              <w:kinsoku/>
              <w:wordWrap/>
              <w:overflowPunct/>
              <w:topLinePunct w:val="0"/>
              <w:bidi w:val="0"/>
              <w:snapToGrid/>
              <w:spacing w:line="500" w:lineRule="exact"/>
              <w:ind w:firstLine="200"/>
              <w:jc w:val="center"/>
              <w:textAlignment w:val="auto"/>
              <w:rPr>
                <w:rFonts w:hint="eastAsia" w:ascii="宋体" w:hAnsi="宋体" w:eastAsia="宋体" w:cs="宋体"/>
                <w:color w:val="auto"/>
                <w:sz w:val="21"/>
                <w:szCs w:val="21"/>
              </w:rPr>
            </w:pPr>
          </w:p>
        </w:tc>
      </w:tr>
    </w:tbl>
    <w:p w14:paraId="6B50CE11">
      <w:pPr>
        <w:keepNext w:val="0"/>
        <w:keepLines w:val="0"/>
        <w:pageBreakBefore w:val="0"/>
        <w:widowControl w:val="0"/>
        <w:kinsoku/>
        <w:wordWrap/>
        <w:overflowPunct/>
        <w:topLinePunct w:val="0"/>
        <w:bidi w:val="0"/>
        <w:snapToGrid/>
        <w:spacing w:line="500" w:lineRule="exact"/>
        <w:ind w:firstLine="420" w:firstLineChars="200"/>
        <w:textAlignment w:val="auto"/>
        <w:outlineLvl w:val="0"/>
        <w:rPr>
          <w:rFonts w:hint="eastAsia" w:ascii="宋体" w:hAnsi="宋体" w:eastAsia="宋体" w:cs="宋体"/>
          <w:b/>
          <w:color w:val="auto"/>
          <w:sz w:val="21"/>
          <w:szCs w:val="21"/>
        </w:rPr>
      </w:pPr>
      <w:r>
        <w:rPr>
          <w:rFonts w:hint="eastAsia" w:ascii="宋体" w:hAnsi="宋体" w:eastAsia="宋体" w:cs="宋体"/>
          <w:color w:val="auto"/>
          <w:sz w:val="21"/>
          <w:szCs w:val="21"/>
        </w:rPr>
        <w:t>三、</w:t>
      </w:r>
      <w:r>
        <w:rPr>
          <w:rFonts w:hint="eastAsia" w:ascii="宋体" w:hAnsi="宋体" w:eastAsia="宋体" w:cs="宋体"/>
          <w:b/>
          <w:color w:val="auto"/>
          <w:sz w:val="21"/>
          <w:szCs w:val="21"/>
        </w:rPr>
        <w:t>履行期限、地点和方式</w:t>
      </w:r>
    </w:p>
    <w:p w14:paraId="38D4EED5">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1.服务交付（实施）的时间（期限）：</w:t>
      </w:r>
    </w:p>
    <w:p w14:paraId="14B5AFA3">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2.服务交付（实施）的地点（地域范围）：</w:t>
      </w:r>
    </w:p>
    <w:p w14:paraId="7E83FD3E">
      <w:pPr>
        <w:keepNext w:val="0"/>
        <w:keepLines w:val="0"/>
        <w:pageBreakBefore w:val="0"/>
        <w:widowControl w:val="0"/>
        <w:kinsoku/>
        <w:wordWrap/>
        <w:overflowPunct/>
        <w:topLinePunct w:val="0"/>
        <w:bidi w:val="0"/>
        <w:snapToGrid/>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3.服务交付（实施）的方式：</w:t>
      </w:r>
    </w:p>
    <w:p w14:paraId="145E9E5A">
      <w:pPr>
        <w:keepNext w:val="0"/>
        <w:keepLines w:val="0"/>
        <w:pageBreakBefore w:val="0"/>
        <w:kinsoku/>
        <w:wordWrap/>
        <w:overflowPunct/>
        <w:topLinePunct w:val="0"/>
        <w:autoSpaceDE w:val="0"/>
        <w:autoSpaceDN w:val="0"/>
        <w:bidi w:val="0"/>
        <w:spacing w:line="500" w:lineRule="exact"/>
        <w:ind w:left="0" w:leftChars="0" w:right="0" w:rightChars="0"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hAnsi="宋体" w:cs="宋体"/>
          <w:b/>
          <w:color w:val="000000" w:themeColor="text1"/>
          <w:sz w:val="21"/>
          <w:szCs w:val="21"/>
          <w:lang w:eastAsia="zh-CN"/>
          <w14:textFill>
            <w14:solidFill>
              <w14:schemeClr w14:val="tx1"/>
            </w14:solidFill>
          </w14:textFill>
        </w:rPr>
        <w:t>四</w:t>
      </w:r>
      <w:r>
        <w:rPr>
          <w:rFonts w:hint="eastAsia" w:ascii="宋体" w:hAnsi="宋体" w:eastAsia="宋体" w:cs="宋体"/>
          <w:b/>
          <w:color w:val="000000" w:themeColor="text1"/>
          <w:sz w:val="21"/>
          <w:szCs w:val="21"/>
          <w14:textFill>
            <w14:solidFill>
              <w14:schemeClr w14:val="tx1"/>
            </w14:solidFill>
          </w14:textFill>
        </w:rPr>
        <w:t>、验收</w:t>
      </w:r>
    </w:p>
    <w:p w14:paraId="54992B39">
      <w:pPr>
        <w:keepNext w:val="0"/>
        <w:keepLines w:val="0"/>
        <w:pageBreakBefore w:val="0"/>
        <w:widowControl/>
        <w:kinsoku/>
        <w:wordWrap/>
        <w:overflowPunct/>
        <w:topLinePunct w:val="0"/>
        <w:autoSpaceDE w:val="0"/>
        <w:autoSpaceDN w:val="0"/>
        <w:bidi w:val="0"/>
        <w:spacing w:line="500" w:lineRule="exact"/>
        <w:ind w:left="0" w:leftChars="0" w:right="0" w:rightChars="0"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本项目由甲方对实际完成情况进行验收。</w:t>
      </w:r>
    </w:p>
    <w:p w14:paraId="3D9A4B73">
      <w:pPr>
        <w:keepNext w:val="0"/>
        <w:keepLines w:val="0"/>
        <w:pageBreakBefore w:val="0"/>
        <w:kinsoku/>
        <w:wordWrap/>
        <w:overflowPunct/>
        <w:topLinePunct w:val="0"/>
        <w:autoSpaceDE w:val="0"/>
        <w:autoSpaceDN w:val="0"/>
        <w:bidi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lang w:eastAsia="zh-CN"/>
          <w14:textFill>
            <w14:solidFill>
              <w14:schemeClr w14:val="tx1"/>
            </w14:solidFill>
          </w14:textFill>
        </w:rPr>
        <w:t>五</w:t>
      </w:r>
      <w:r>
        <w:rPr>
          <w:rFonts w:hint="eastAsia" w:ascii="宋体" w:hAnsi="宋体" w:eastAsia="宋体" w:cs="宋体"/>
          <w:b/>
          <w:bCs/>
          <w:color w:val="000000" w:themeColor="text1"/>
          <w:sz w:val="21"/>
          <w:szCs w:val="21"/>
          <w14:textFill>
            <w14:solidFill>
              <w14:schemeClr w14:val="tx1"/>
            </w14:solidFill>
          </w14:textFill>
        </w:rPr>
        <w:t>、售后服务：</w:t>
      </w:r>
    </w:p>
    <w:p w14:paraId="50ABCC2C">
      <w:pPr>
        <w:keepNext w:val="0"/>
        <w:keepLines w:val="0"/>
        <w:pageBreakBefore w:val="0"/>
        <w:kinsoku/>
        <w:wordWrap/>
        <w:overflowPunct/>
        <w:topLinePunct w:val="0"/>
        <w:autoSpaceDE w:val="0"/>
        <w:autoSpaceDN w:val="0"/>
        <w:bidi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根据乙方投标文件中的承诺执行。</w:t>
      </w:r>
    </w:p>
    <w:p w14:paraId="0FC7A4C0">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六</w:t>
      </w:r>
      <w:r>
        <w:rPr>
          <w:rFonts w:hint="eastAsia" w:ascii="宋体" w:hAnsi="宋体" w:eastAsia="宋体" w:cs="宋体"/>
          <w:b/>
          <w:bCs/>
          <w:color w:val="000000" w:themeColor="text1"/>
          <w:sz w:val="21"/>
          <w:szCs w:val="21"/>
          <w14:textFill>
            <w14:solidFill>
              <w14:schemeClr w14:val="tx1"/>
            </w14:solidFill>
          </w14:textFill>
        </w:rPr>
        <w:t>、税费</w:t>
      </w:r>
    </w:p>
    <w:p w14:paraId="12F22647">
      <w:pPr>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本合同执行中相关的一切税费均由乙方负担。</w:t>
      </w:r>
    </w:p>
    <w:p w14:paraId="153E4C27">
      <w:pPr>
        <w:keepNext w:val="0"/>
        <w:keepLines w:val="0"/>
        <w:pageBreakBefore w:val="0"/>
        <w:widowControl w:val="0"/>
        <w:kinsoku/>
        <w:wordWrap/>
        <w:overflowPunct/>
        <w:topLinePunct w:val="0"/>
        <w:autoSpaceDE w:val="0"/>
        <w:autoSpaceDN w:val="0"/>
        <w:bidi w:val="0"/>
        <w:adjustRightInd w:val="0"/>
        <w:snapToGrid/>
        <w:spacing w:line="500" w:lineRule="exact"/>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eastAsia="zh-CN"/>
        </w:rPr>
        <w:t>七</w:t>
      </w:r>
      <w:r>
        <w:rPr>
          <w:rFonts w:hint="eastAsia" w:ascii="宋体" w:hAnsi="宋体" w:eastAsia="宋体" w:cs="宋体"/>
          <w:b/>
          <w:color w:val="auto"/>
          <w:sz w:val="21"/>
          <w:szCs w:val="21"/>
          <w:highlight w:val="none"/>
        </w:rPr>
        <w:t>、付款方式</w:t>
      </w:r>
    </w:p>
    <w:p w14:paraId="243A9213">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1.合同生效且具备实施条件后7个工作日</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向</w:t>
      </w:r>
      <w:r>
        <w:rPr>
          <w:rFonts w:hint="eastAsia"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支付合同总金额的</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0%作为预付款；</w:t>
      </w:r>
    </w:p>
    <w:p w14:paraId="19340D7A">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2.项目完成验收通过后支付</w:t>
      </w:r>
      <w:r>
        <w:rPr>
          <w:rFonts w:hint="eastAsia" w:ascii="宋体" w:hAnsi="宋体" w:eastAsia="宋体" w:cs="宋体"/>
          <w:bCs/>
          <w:color w:val="auto"/>
          <w:sz w:val="21"/>
          <w:szCs w:val="21"/>
          <w:highlight w:val="none"/>
        </w:rPr>
        <w:t>合同总金额</w:t>
      </w:r>
      <w:r>
        <w:rPr>
          <w:rFonts w:hint="eastAsia" w:ascii="宋体" w:hAnsi="宋体" w:eastAsia="宋体" w:cs="宋体"/>
          <w:bCs/>
          <w:color w:val="auto"/>
          <w:sz w:val="21"/>
          <w:szCs w:val="21"/>
          <w:highlight w:val="none"/>
          <w:lang w:eastAsia="zh-CN"/>
        </w:rPr>
        <w:t>的</w:t>
      </w:r>
      <w:r>
        <w:rPr>
          <w:rFonts w:hint="eastAsia"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0%。</w:t>
      </w:r>
    </w:p>
    <w:p w14:paraId="3AF233FA">
      <w:pPr>
        <w:keepNext w:val="0"/>
        <w:keepLines w:val="0"/>
        <w:pageBreakBefore w:val="0"/>
        <w:widowControl w:val="0"/>
        <w:shd w:val="clear" w:color="auto" w:fill="FFFFFF"/>
        <w:kinsoku/>
        <w:wordWrap/>
        <w:overflowPunct/>
        <w:topLinePunct w:val="0"/>
        <w:autoSpaceDE w:val="0"/>
        <w:autoSpaceDN w:val="0"/>
        <w:bidi w:val="0"/>
        <w:adjustRightInd w:val="0"/>
        <w:spacing w:line="5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r>
        <w:rPr>
          <w:rFonts w:hint="eastAsia"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办理服务费结算时，须提供结算依据、合规</w:t>
      </w:r>
      <w:r>
        <w:rPr>
          <w:rFonts w:hint="eastAsia" w:ascii="宋体" w:hAnsi="宋体" w:eastAsia="宋体" w:cs="宋体"/>
          <w:bCs/>
          <w:color w:val="auto"/>
          <w:sz w:val="21"/>
          <w:szCs w:val="21"/>
          <w:highlight w:val="none"/>
          <w:lang w:eastAsia="zh-CN"/>
        </w:rPr>
        <w:t>的税务</w:t>
      </w:r>
      <w:r>
        <w:rPr>
          <w:rFonts w:hint="eastAsia" w:ascii="宋体" w:hAnsi="宋体" w:eastAsia="宋体" w:cs="宋体"/>
          <w:bCs/>
          <w:color w:val="auto"/>
          <w:sz w:val="21"/>
          <w:szCs w:val="21"/>
          <w:highlight w:val="none"/>
        </w:rPr>
        <w:t>发票等相关资料。</w:t>
      </w:r>
    </w:p>
    <w:p w14:paraId="3D41E8B9">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八</w:t>
      </w:r>
      <w:r>
        <w:rPr>
          <w:rFonts w:hint="eastAsia" w:ascii="宋体" w:hAnsi="宋体" w:eastAsia="宋体" w:cs="宋体"/>
          <w:b/>
          <w:bCs/>
          <w:color w:val="000000" w:themeColor="text1"/>
          <w:sz w:val="21"/>
          <w:szCs w:val="21"/>
          <w14:textFill>
            <w14:solidFill>
              <w14:schemeClr w14:val="tx1"/>
            </w14:solidFill>
          </w14:textFill>
        </w:rPr>
        <w:t>、违约责任</w:t>
      </w:r>
    </w:p>
    <w:p w14:paraId="5696DA5F">
      <w:pPr>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1．违反本合同约定，造成本合同不能履行或不能完全履行，由违约方承担违约责任，违约方应按</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赔偿对方经济损失。</w:t>
      </w:r>
    </w:p>
    <w:p w14:paraId="6B024AAD">
      <w:pPr>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乙方未按采购方要求的时间提供服务的，乙方应按逾期中标总额每日千分之六向甲方支付违约金，由甲方从待付合同款中扣除。逾期超过约定日期10个工作日不能履行服务的，甲方可解除本合同。乙方因逾期履行服务或因其他违约行为导致甲方解除合同的，乙方应向甲方支付合同总值5%的违约金，如造成甲方损失超过违约金的，超出部分由乙方继续承担赔偿责任。</w:t>
      </w:r>
    </w:p>
    <w:p w14:paraId="2AF73260">
      <w:pPr>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3．乙方达不到项目要求，乙方应负责根据合同及甲方的要求采取相应的处理措施，并承担由此发生的一切损失和费用，整改延误的时间不作为整个项目工期延期的理由。</w:t>
      </w:r>
    </w:p>
    <w:p w14:paraId="39B258CE">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九</w:t>
      </w:r>
      <w:r>
        <w:rPr>
          <w:rFonts w:hint="eastAsia" w:ascii="宋体" w:hAnsi="宋体" w:eastAsia="宋体" w:cs="宋体"/>
          <w:b/>
          <w:bCs/>
          <w:color w:val="000000" w:themeColor="text1"/>
          <w:sz w:val="21"/>
          <w:szCs w:val="21"/>
          <w14:textFill>
            <w14:solidFill>
              <w14:schemeClr w14:val="tx1"/>
            </w14:solidFill>
          </w14:textFill>
        </w:rPr>
        <w:t>、不可抗力事件处理</w:t>
      </w:r>
    </w:p>
    <w:p w14:paraId="635FF300">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在合同有效期内，任何一方因不可抗力事件导致不能履行合同，则合同履行期可延长，其延长期与不可抗力影响期相同。</w:t>
      </w:r>
    </w:p>
    <w:p w14:paraId="56A974D3">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不可抗力事件发生后，应立即通知对方，并寄送有关权威机构出具的证明。</w:t>
      </w:r>
    </w:p>
    <w:p w14:paraId="068F5CAA">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3.不可抗力事件延续60天以上，双方应通过友好协商，确定是否继续履行合同。</w:t>
      </w:r>
    </w:p>
    <w:p w14:paraId="615CFD8A">
      <w:pPr>
        <w:pStyle w:val="13"/>
        <w:keepNext w:val="0"/>
        <w:keepLines w:val="0"/>
        <w:pageBreakBefore w:val="0"/>
        <w:kinsoku/>
        <w:wordWrap/>
        <w:overflowPunct/>
        <w:topLinePunct w:val="0"/>
        <w:autoSpaceDE w:val="0"/>
        <w:autoSpaceDN w:val="0"/>
        <w:bidi w:val="0"/>
        <w:spacing w:line="500" w:lineRule="exact"/>
        <w:ind w:left="0" w:leftChars="0" w:right="0" w:rightChars="0" w:firstLine="422" w:firstLineChars="20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eastAsia="zh-CN"/>
          <w14:textFill>
            <w14:solidFill>
              <w14:schemeClr w14:val="tx1"/>
            </w14:solidFill>
          </w14:textFill>
        </w:rPr>
        <w:t>十</w:t>
      </w:r>
      <w:r>
        <w:rPr>
          <w:rFonts w:hint="eastAsia" w:ascii="宋体" w:hAnsi="宋体" w:eastAsia="宋体" w:cs="宋体"/>
          <w:b/>
          <w:bCs/>
          <w:color w:val="000000" w:themeColor="text1"/>
          <w:sz w:val="21"/>
          <w:szCs w:val="21"/>
          <w14:textFill>
            <w14:solidFill>
              <w14:schemeClr w14:val="tx1"/>
            </w14:solidFill>
          </w14:textFill>
        </w:rPr>
        <w:t>、安全责任</w:t>
      </w:r>
    </w:p>
    <w:p w14:paraId="27BED2E4">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在采购及合同执行过程中，供应商应承担由于其行为所造成的人身伤害、财产损失或损坏的责任，无论何种原因所造成，甲方均不负责。</w:t>
      </w:r>
    </w:p>
    <w:p w14:paraId="338F719E">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w:t>
      </w:r>
      <w:r>
        <w:rPr>
          <w:rFonts w:hint="eastAsia" w:ascii="宋体" w:hAnsi="宋体" w:cs="宋体"/>
          <w:b/>
          <w:bCs/>
          <w:color w:val="000000" w:themeColor="text1"/>
          <w:sz w:val="21"/>
          <w:szCs w:val="21"/>
          <w:lang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、争议的解决</w:t>
      </w:r>
    </w:p>
    <w:p w14:paraId="4DDE7346">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双方在执行合同中所发生的一切争议，应通过协商解决。如协商不成，可向甲方所在地法院起诉。</w:t>
      </w:r>
    </w:p>
    <w:p w14:paraId="154DA43F">
      <w:pPr>
        <w:pStyle w:val="13"/>
        <w:keepNext w:val="0"/>
        <w:keepLines w:val="0"/>
        <w:pageBreakBefore w:val="0"/>
        <w:kinsoku/>
        <w:wordWrap/>
        <w:overflowPunct/>
        <w:topLinePunct w:val="0"/>
        <w:autoSpaceDE w:val="0"/>
        <w:autoSpaceDN w:val="0"/>
        <w:bidi w:val="0"/>
        <w:snapToGrid w:val="0"/>
        <w:spacing w:line="500" w:lineRule="exact"/>
        <w:ind w:left="0" w:leftChars="0" w:right="0" w:rightChars="0"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w:t>
      </w:r>
      <w:r>
        <w:rPr>
          <w:rFonts w:hint="eastAsia" w:ascii="宋体" w:hAnsi="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14:textFill>
            <w14:solidFill>
              <w14:schemeClr w14:val="tx1"/>
            </w14:solidFill>
          </w14:textFill>
        </w:rPr>
        <w:t>、合同生效及其它</w:t>
      </w:r>
    </w:p>
    <w:p w14:paraId="4B2E897B">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合同经双方法定代表人或授权代表签字并加盖单位公章后生效。</w:t>
      </w:r>
    </w:p>
    <w:p w14:paraId="6FF6C424">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2.下述文件是构成合同不可分割的部分，应一并阅读和理解。</w:t>
      </w:r>
    </w:p>
    <w:p w14:paraId="63F2D322">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（1）本合同协议书；</w:t>
      </w:r>
    </w:p>
    <w:p w14:paraId="3E982F4F">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（2）成交通知书；</w:t>
      </w:r>
    </w:p>
    <w:p w14:paraId="057A7C91">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（3）招标文件及附件；</w:t>
      </w:r>
    </w:p>
    <w:p w14:paraId="651ADB5C">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（4）投标文件及附件。</w:t>
      </w:r>
    </w:p>
    <w:p w14:paraId="44001A9E">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合同执行中涉及采购资金和采购内容修改或补充的，须经财政部门审批，并签书面补充协议报政府采购监督管理部门备案，方可</w:t>
      </w:r>
      <w:r>
        <w:rPr>
          <w:rFonts w:hint="eastAsia" w:ascii="宋体" w:hAnsi="宋体" w:eastAsia="宋体" w:cs="宋体"/>
          <w:b w:val="0"/>
          <w:bCs w:val="0"/>
          <w:color w:val="000000" w:themeColor="text1"/>
          <w:sz w:val="21"/>
          <w:szCs w:val="21"/>
          <w14:textFill>
            <w14:solidFill>
              <w14:schemeClr w14:val="tx1"/>
            </w14:solidFill>
          </w14:textFill>
        </w:rPr>
        <w:t>作为主合同不可分割的一部分。</w:t>
      </w:r>
    </w:p>
    <w:p w14:paraId="1F316F58">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4.本合同未尽事宜，遵照《民法典》有关条文执行。</w:t>
      </w:r>
    </w:p>
    <w:p w14:paraId="240DCBDD">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5.本合同正本一式</w:t>
      </w:r>
      <w:r>
        <w:rPr>
          <w:rFonts w:hint="eastAsia" w:ascii="宋体" w:hAnsi="宋体" w:eastAsia="宋体" w:cs="宋体"/>
          <w:b w:val="0"/>
          <w:bCs w:val="0"/>
          <w:color w:val="000000" w:themeColor="text1"/>
          <w:sz w:val="21"/>
          <w:szCs w:val="21"/>
          <w:lang w:eastAsia="zh-CN"/>
          <w14:textFill>
            <w14:solidFill>
              <w14:schemeClr w14:val="tx1"/>
            </w14:solidFill>
          </w14:textFill>
        </w:rPr>
        <w:t>陆</w:t>
      </w:r>
      <w:r>
        <w:rPr>
          <w:rFonts w:hint="eastAsia" w:ascii="宋体" w:hAnsi="宋体" w:eastAsia="宋体" w:cs="宋体"/>
          <w:b w:val="0"/>
          <w:bCs w:val="0"/>
          <w:color w:val="000000" w:themeColor="text1"/>
          <w:sz w:val="21"/>
          <w:szCs w:val="21"/>
          <w14:textFill>
            <w14:solidFill>
              <w14:schemeClr w14:val="tx1"/>
            </w14:solidFill>
          </w14:textFill>
        </w:rPr>
        <w:t>份，具有同等法律效力，甲乙双方各执两份</w:t>
      </w:r>
      <w:r>
        <w:rPr>
          <w:rFonts w:hint="eastAsia" w:ascii="宋体" w:hAnsi="宋体" w:eastAsia="宋体" w:cs="宋体"/>
          <w:b w:val="0"/>
          <w:bCs w:val="0"/>
          <w:color w:val="000000" w:themeColor="text1"/>
          <w:sz w:val="21"/>
          <w:szCs w:val="21"/>
          <w:lang w:eastAsia="zh-CN"/>
          <w14:textFill>
            <w14:solidFill>
              <w14:schemeClr w14:val="tx1"/>
            </w14:solidFill>
          </w14:textFill>
        </w:rPr>
        <w:t>，代理机构两份备案</w:t>
      </w:r>
      <w:r>
        <w:rPr>
          <w:rFonts w:hint="eastAsia" w:ascii="宋体" w:hAnsi="宋体" w:eastAsia="宋体" w:cs="宋体"/>
          <w:b w:val="0"/>
          <w:bCs w:val="0"/>
          <w:color w:val="000000" w:themeColor="text1"/>
          <w:sz w:val="21"/>
          <w:szCs w:val="21"/>
          <w14:textFill>
            <w14:solidFill>
              <w14:schemeClr w14:val="tx1"/>
            </w14:solidFill>
          </w14:textFill>
        </w:rPr>
        <w:t>。</w:t>
      </w:r>
    </w:p>
    <w:p w14:paraId="012C12D0">
      <w:pPr>
        <w:pStyle w:val="13"/>
        <w:keepNext w:val="0"/>
        <w:keepLines w:val="0"/>
        <w:pageBreakBefore w:val="0"/>
        <w:kinsoku/>
        <w:wordWrap/>
        <w:overflowPunct/>
        <w:topLinePunct w:val="0"/>
        <w:autoSpaceDE w:val="0"/>
        <w:autoSpaceDN w:val="0"/>
        <w:bidi w:val="0"/>
        <w:spacing w:line="500" w:lineRule="exact"/>
        <w:ind w:left="0" w:leftChars="0" w:right="0" w:rightChars="0"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本合同有效期限：       年  月  日至       年  月  日止。自签订之日起生效。</w:t>
      </w:r>
    </w:p>
    <w:tbl>
      <w:tblPr>
        <w:tblStyle w:val="22"/>
        <w:tblW w:w="0" w:type="auto"/>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240"/>
        <w:gridCol w:w="3060"/>
      </w:tblGrid>
      <w:tr w14:paraId="2864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3420" w:type="dxa"/>
            <w:tcBorders>
              <w:top w:val="single" w:color="auto" w:sz="4" w:space="0"/>
              <w:left w:val="single" w:color="auto" w:sz="4" w:space="0"/>
              <w:right w:val="single" w:color="auto" w:sz="4" w:space="0"/>
            </w:tcBorders>
            <w:noWrap w:val="0"/>
            <w:vAlign w:val="top"/>
          </w:tcPr>
          <w:p w14:paraId="1603B21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甲（采购）方</w:t>
            </w:r>
          </w:p>
          <w:p w14:paraId="40E0C677">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b/>
                <w:bCs/>
                <w:color w:val="000000" w:themeColor="text1"/>
                <w:sz w:val="21"/>
                <w:szCs w:val="21"/>
                <w14:textFill>
                  <w14:solidFill>
                    <w14:schemeClr w14:val="tx1"/>
                  </w14:solidFill>
                </w14:textFill>
              </w:rPr>
            </w:pPr>
          </w:p>
          <w:p w14:paraId="22287013">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单位名称（章）：</w:t>
            </w:r>
          </w:p>
          <w:p w14:paraId="062E7092">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2D1E9D41">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w:t>
            </w:r>
          </w:p>
          <w:p w14:paraId="3137D96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甲方代表（签章）：</w:t>
            </w:r>
          </w:p>
          <w:p w14:paraId="624FA34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p>
          <w:p w14:paraId="400FC95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p w14:paraId="295669A1">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账</w:t>
            </w:r>
            <w:r>
              <w:rPr>
                <w:rFonts w:hint="eastAsia" w:ascii="宋体" w:hAnsi="宋体" w:eastAsia="宋体" w:cs="宋体"/>
                <w:color w:val="000000" w:themeColor="text1"/>
                <w:sz w:val="21"/>
                <w:szCs w:val="21"/>
                <w14:textFill>
                  <w14:solidFill>
                    <w14:schemeClr w14:val="tx1"/>
                  </w14:solidFill>
                </w14:textFill>
              </w:rPr>
              <w:t xml:space="preserve"> 号：</w:t>
            </w:r>
          </w:p>
          <w:p w14:paraId="77F1322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p w14:paraId="7535B027">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签字日期： </w:t>
            </w:r>
          </w:p>
        </w:tc>
        <w:tc>
          <w:tcPr>
            <w:tcW w:w="3240" w:type="dxa"/>
            <w:tcBorders>
              <w:top w:val="single" w:color="auto" w:sz="4" w:space="0"/>
              <w:left w:val="single" w:color="auto" w:sz="4" w:space="0"/>
              <w:right w:val="single" w:color="auto" w:sz="4" w:space="0"/>
            </w:tcBorders>
            <w:noWrap w:val="0"/>
            <w:vAlign w:val="top"/>
          </w:tcPr>
          <w:p w14:paraId="61AED495">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乙（供货）方</w:t>
            </w:r>
          </w:p>
          <w:p w14:paraId="6365576C">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b/>
                <w:bCs/>
                <w:color w:val="000000" w:themeColor="text1"/>
                <w:sz w:val="21"/>
                <w:szCs w:val="21"/>
                <w14:textFill>
                  <w14:solidFill>
                    <w14:schemeClr w14:val="tx1"/>
                  </w14:solidFill>
                </w14:textFill>
              </w:rPr>
            </w:pPr>
          </w:p>
          <w:p w14:paraId="3D10EDE1">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单位名称（章）：</w:t>
            </w:r>
          </w:p>
          <w:p w14:paraId="39A38EE5">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68ADDB7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w:t>
            </w:r>
          </w:p>
          <w:p w14:paraId="7D144BEB">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76FD5E4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委托代理人：</w:t>
            </w:r>
          </w:p>
          <w:p w14:paraId="5B3C008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p>
          <w:p w14:paraId="79A9235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p w14:paraId="5513331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2" w:firstLineChars="68"/>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账</w:t>
            </w:r>
            <w:r>
              <w:rPr>
                <w:rFonts w:hint="eastAsia" w:ascii="宋体" w:hAnsi="宋体" w:eastAsia="宋体" w:cs="宋体"/>
                <w:color w:val="000000" w:themeColor="text1"/>
                <w:sz w:val="21"/>
                <w:szCs w:val="21"/>
                <w14:textFill>
                  <w14:solidFill>
                    <w14:schemeClr w14:val="tx1"/>
                  </w14:solidFill>
                </w14:textFill>
              </w:rPr>
              <w:t xml:space="preserve"> 号：</w:t>
            </w:r>
          </w:p>
          <w:p w14:paraId="25D0D394">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28" w:firstLineChars="6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邮政编码：</w:t>
            </w:r>
          </w:p>
          <w:p w14:paraId="3C11871B">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28" w:firstLineChars="6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签字日期： </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0C5DFFE0">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083A6A68">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2B34270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5D5699E7">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470" w:firstLineChars="700"/>
              <w:textAlignment w:val="auto"/>
              <w:rPr>
                <w:rFonts w:hint="eastAsia" w:ascii="宋体" w:hAnsi="宋体" w:eastAsia="宋体" w:cs="宋体"/>
                <w:color w:val="000000" w:themeColor="text1"/>
                <w:sz w:val="21"/>
                <w:szCs w:val="21"/>
                <w14:textFill>
                  <w14:solidFill>
                    <w14:schemeClr w14:val="tx1"/>
                  </w14:solidFill>
                </w14:textFill>
              </w:rPr>
            </w:pPr>
          </w:p>
          <w:p w14:paraId="3C96693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68C45A89">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7869D5F5">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textAlignment w:val="auto"/>
              <w:rPr>
                <w:rFonts w:hint="eastAsia" w:ascii="宋体" w:hAnsi="宋体" w:eastAsia="宋体" w:cs="宋体"/>
                <w:color w:val="000000" w:themeColor="text1"/>
                <w:sz w:val="21"/>
                <w:szCs w:val="21"/>
                <w14:textFill>
                  <w14:solidFill>
                    <w14:schemeClr w14:val="tx1"/>
                  </w14:solidFill>
                </w14:textFill>
              </w:rPr>
            </w:pPr>
          </w:p>
          <w:p w14:paraId="218FF1DC">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1050" w:firstLineChars="500"/>
              <w:textAlignment w:val="auto"/>
              <w:rPr>
                <w:rFonts w:hint="eastAsia" w:ascii="宋体" w:hAnsi="宋体" w:eastAsia="宋体" w:cs="宋体"/>
                <w:color w:val="000000" w:themeColor="text1"/>
                <w:sz w:val="21"/>
                <w:szCs w:val="21"/>
                <w14:textFill>
                  <w14:solidFill>
                    <w14:schemeClr w14:val="tx1"/>
                  </w14:solidFill>
                </w14:textFill>
              </w:rPr>
            </w:pPr>
          </w:p>
          <w:p w14:paraId="74A6036E">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840"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b w:val="0"/>
                <w:bCs w:val="0"/>
                <w:color w:val="000000" w:themeColor="text1"/>
                <w:sz w:val="21"/>
                <w:szCs w:val="21"/>
                <w:lang w:eastAsia="zh-CN"/>
                <w14:textFill>
                  <w14:solidFill>
                    <w14:schemeClr w14:val="tx1"/>
                  </w14:solidFill>
                </w14:textFill>
              </w:rPr>
              <w:t>代理机构代理</w:t>
            </w:r>
            <w:r>
              <w:rPr>
                <w:rFonts w:hint="eastAsia" w:ascii="宋体" w:hAnsi="宋体" w:eastAsia="宋体" w:cs="宋体"/>
                <w:b w:val="0"/>
                <w:bCs w:val="0"/>
                <w:color w:val="000000" w:themeColor="text1"/>
                <w:sz w:val="21"/>
                <w:szCs w:val="21"/>
                <w14:textFill>
                  <w14:solidFill>
                    <w14:schemeClr w14:val="tx1"/>
                  </w14:solidFill>
                </w14:textFill>
              </w:rPr>
              <w:t>（盖章）</w:t>
            </w:r>
            <w:r>
              <w:rPr>
                <w:rFonts w:hint="eastAsia" w:ascii="宋体" w:hAnsi="宋体" w:eastAsia="宋体" w:cs="宋体"/>
                <w:color w:val="000000" w:themeColor="text1"/>
                <w:sz w:val="21"/>
                <w:szCs w:val="21"/>
                <w14:textFill>
                  <w14:solidFill>
                    <w14:schemeClr w14:val="tx1"/>
                  </w14:solidFill>
                </w14:textFill>
              </w:rPr>
              <w:t>：</w:t>
            </w:r>
          </w:p>
          <w:p w14:paraId="28C70A35">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840" w:firstLineChars="4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  月  日</w:t>
            </w:r>
          </w:p>
        </w:tc>
      </w:tr>
    </w:tbl>
    <w:p w14:paraId="6E076677">
      <w:pPr>
        <w:rPr>
          <w:color w:val="FF0000"/>
        </w:rPr>
      </w:pPr>
    </w:p>
    <w:p w14:paraId="665951E5">
      <w:pPr>
        <w:pStyle w:val="3"/>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Cs w:val="21"/>
          <w:highlight w:val="none"/>
        </w:rPr>
        <w:br w:type="page"/>
      </w:r>
      <w:bookmarkEnd w:id="55"/>
      <w:bookmarkEnd w:id="56"/>
      <w:bookmarkEnd w:id="57"/>
      <w:bookmarkEnd w:id="58"/>
      <w:bookmarkStart w:id="59" w:name="_Toc32673"/>
      <w:bookmarkStart w:id="60" w:name="_Toc2707"/>
      <w:r>
        <w:rPr>
          <w:rFonts w:hint="eastAsia" w:ascii="宋体" w:hAnsi="宋体" w:eastAsia="宋体" w:cs="宋体"/>
          <w:color w:val="auto"/>
          <w:sz w:val="30"/>
          <w:szCs w:val="30"/>
          <w:highlight w:val="none"/>
        </w:rPr>
        <w:t>第六章　投标文件格式</w:t>
      </w:r>
      <w:bookmarkEnd w:id="59"/>
      <w:bookmarkEnd w:id="60"/>
    </w:p>
    <w:p w14:paraId="1BD4FA27">
      <w:pPr>
        <w:snapToGrid w:val="0"/>
        <w:spacing w:beforeLines="50" w:after="50"/>
        <w:jc w:val="center"/>
        <w:rPr>
          <w:rFonts w:hint="eastAsia" w:ascii="宋体" w:hAnsi="宋体" w:eastAsia="宋体" w:cs="宋体"/>
          <w:color w:val="auto"/>
          <w:sz w:val="24"/>
          <w:highlight w:val="none"/>
        </w:rPr>
      </w:pPr>
      <w:bookmarkStart w:id="61" w:name="_Toc351559947"/>
      <w:r>
        <w:rPr>
          <w:rFonts w:hint="eastAsia" w:ascii="宋体" w:hAnsi="宋体" w:eastAsia="宋体" w:cs="宋体"/>
          <w:color w:val="auto"/>
          <w:sz w:val="24"/>
          <w:highlight w:val="none"/>
        </w:rPr>
        <w:t>一、投标文件外层包装封面格式</w:t>
      </w:r>
      <w:bookmarkEnd w:id="61"/>
    </w:p>
    <w:p w14:paraId="107AC1B7">
      <w:pPr>
        <w:snapToGrid w:val="0"/>
        <w:spacing w:beforeLines="50" w:after="50"/>
        <w:ind w:firstLine="600" w:firstLineChars="250"/>
        <w:rPr>
          <w:rFonts w:hint="eastAsia" w:ascii="宋体" w:hAnsi="宋体" w:eastAsia="宋体" w:cs="宋体"/>
          <w:color w:val="auto"/>
          <w:sz w:val="24"/>
          <w:highlight w:val="none"/>
        </w:rPr>
      </w:pPr>
    </w:p>
    <w:p w14:paraId="366E155B">
      <w:pPr>
        <w:snapToGrid w:val="0"/>
        <w:spacing w:beforeLines="50" w:after="50"/>
        <w:ind w:firstLine="600" w:firstLineChars="250"/>
        <w:rPr>
          <w:rFonts w:hint="eastAsia" w:ascii="宋体" w:hAnsi="宋体" w:eastAsia="宋体" w:cs="宋体"/>
          <w:color w:val="auto"/>
          <w:sz w:val="24"/>
          <w:highlight w:val="none"/>
        </w:rPr>
      </w:pPr>
    </w:p>
    <w:p w14:paraId="19357044">
      <w:pPr>
        <w:snapToGrid w:val="0"/>
        <w:spacing w:beforeLines="50" w:after="50"/>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所有投标文件的外包装封面格式：（可选用）</w:t>
      </w:r>
    </w:p>
    <w:p w14:paraId="35653B96">
      <w:pPr>
        <w:snapToGrid w:val="0"/>
        <w:spacing w:beforeLines="50" w:after="50"/>
        <w:rPr>
          <w:rFonts w:hint="eastAsia" w:ascii="宋体" w:hAnsi="宋体" w:eastAsia="宋体" w:cs="宋体"/>
          <w:color w:val="auto"/>
          <w:sz w:val="24"/>
          <w:szCs w:val="24"/>
          <w:highlight w:val="none"/>
        </w:rPr>
      </w:pPr>
    </w:p>
    <w:p w14:paraId="27366444">
      <w:pPr>
        <w:snapToGrid w:val="0"/>
        <w:spacing w:beforeLines="50" w:after="50"/>
        <w:jc w:val="center"/>
        <w:rPr>
          <w:rFonts w:hint="eastAsia" w:ascii="宋体" w:hAnsi="宋体" w:eastAsia="宋体" w:cs="宋体"/>
          <w:color w:val="auto"/>
          <w:sz w:val="24"/>
          <w:szCs w:val="24"/>
          <w:highlight w:val="none"/>
        </w:rPr>
      </w:pPr>
    </w:p>
    <w:p w14:paraId="68960880">
      <w:pPr>
        <w:snapToGrid w:val="0"/>
        <w:spacing w:beforeLines="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w:t>
      </w:r>
    </w:p>
    <w:p w14:paraId="135499D8">
      <w:pPr>
        <w:snapToGrid w:val="0"/>
        <w:spacing w:beforeLines="50" w:after="50"/>
        <w:rPr>
          <w:rFonts w:hint="eastAsia" w:ascii="宋体" w:hAnsi="宋体" w:eastAsia="宋体" w:cs="宋体"/>
          <w:color w:val="auto"/>
          <w:sz w:val="24"/>
          <w:szCs w:val="24"/>
          <w:highlight w:val="none"/>
        </w:rPr>
      </w:pPr>
    </w:p>
    <w:p w14:paraId="16F00644">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38BFFC3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661922EE">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投标文件名称：资格文件、商务技术文件、报价文件</w:t>
      </w:r>
    </w:p>
    <w:p w14:paraId="7001468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1C0EBBA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14:paraId="2386D236">
      <w:pPr>
        <w:snapToGrid w:val="0"/>
        <w:spacing w:beforeLines="50" w:after="50"/>
        <w:ind w:firstLine="4080" w:firstLineChars="1700"/>
        <w:rPr>
          <w:rFonts w:hint="eastAsia" w:ascii="宋体" w:hAnsi="宋体" w:eastAsia="宋体" w:cs="宋体"/>
          <w:color w:val="auto"/>
          <w:sz w:val="24"/>
          <w:szCs w:val="24"/>
          <w:highlight w:val="none"/>
        </w:rPr>
      </w:pPr>
    </w:p>
    <w:p w14:paraId="7DEB8571">
      <w:pPr>
        <w:snapToGrid w:val="0"/>
        <w:spacing w:beforeLines="50" w:after="50"/>
        <w:ind w:firstLine="6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49B8D67">
      <w:pPr>
        <w:widowControl/>
        <w:snapToGrid w:val="0"/>
        <w:spacing w:before="120" w:after="50"/>
        <w:rPr>
          <w:rFonts w:hint="eastAsia" w:ascii="宋体" w:hAnsi="宋体" w:eastAsia="宋体" w:cs="宋体"/>
          <w:b/>
          <w:color w:val="auto"/>
          <w:sz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highlight w:val="none"/>
        </w:rPr>
        <w:t>（一）资格文件</w:t>
      </w:r>
    </w:p>
    <w:p w14:paraId="27D7071F">
      <w:pPr>
        <w:autoSpaceDE/>
        <w:autoSpaceDN/>
        <w:adjustRightInd/>
        <w:spacing w:line="460" w:lineRule="exact"/>
        <w:ind w:firstLine="48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4"/>
          <w:highlight w:val="none"/>
        </w:rPr>
        <w:t xml:space="preserve"> 资格文件目录</w:t>
      </w:r>
    </w:p>
    <w:p w14:paraId="0A254D33">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（1）投标人有效期内的营业执照副本扫描件或复印件；</w:t>
      </w:r>
    </w:p>
    <w:p w14:paraId="74EF4BF4">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（2）符合参加政府采购活动应当具备的一般条件的承诺函（格式见附件）；</w:t>
      </w:r>
    </w:p>
    <w:p w14:paraId="47692013">
      <w:pPr>
        <w:widowControl/>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（3）落实政府采购政策需满足的资格要求（格式见附件）；</w:t>
      </w:r>
    </w:p>
    <w:p w14:paraId="70FAAE98">
      <w:pPr>
        <w:autoSpaceDE/>
        <w:autoSpaceDN/>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（4）本项目的特定资格要求（格式见附件）。</w:t>
      </w:r>
    </w:p>
    <w:p w14:paraId="717DF3FD">
      <w:pPr>
        <w:autoSpaceDE/>
        <w:autoSpaceDN/>
        <w:adjustRightInd/>
        <w:snapToGrid w:val="0"/>
        <w:spacing w:line="500" w:lineRule="exact"/>
        <w:ind w:firstLine="420" w:firstLineChars="200"/>
        <w:rPr>
          <w:rFonts w:hint="eastAsia" w:ascii="宋体" w:hAnsi="宋体" w:eastAsia="宋体" w:cs="宋体"/>
          <w:color w:val="auto"/>
          <w:sz w:val="21"/>
          <w:szCs w:val="21"/>
          <w:highlight w:val="none"/>
        </w:rPr>
      </w:pPr>
    </w:p>
    <w:p w14:paraId="07DEBD40">
      <w:pPr>
        <w:autoSpaceDE/>
        <w:autoSpaceDN/>
        <w:adjustRightInd/>
        <w:spacing w:line="500" w:lineRule="exact"/>
        <w:ind w:firstLine="480" w:firstLineChars="200"/>
        <w:jc w:val="center"/>
        <w:rPr>
          <w:rFonts w:hint="eastAsia" w:ascii="宋体" w:hAnsi="宋体" w:eastAsia="宋体" w:cs="宋体"/>
          <w:bCs/>
          <w:color w:val="auto"/>
          <w:sz w:val="21"/>
          <w:szCs w:val="21"/>
          <w:highlight w:val="none"/>
        </w:rPr>
      </w:pPr>
      <w:r>
        <w:rPr>
          <w:rFonts w:hint="eastAsia" w:ascii="宋体" w:hAnsi="宋体" w:eastAsia="宋体" w:cs="宋体"/>
          <w:color w:val="auto"/>
          <w:sz w:val="24"/>
          <w:szCs w:val="24"/>
          <w:highlight w:val="none"/>
        </w:rPr>
        <w:br w:type="page"/>
      </w:r>
      <w:bookmarkStart w:id="62" w:name="_Toc31016"/>
      <w:r>
        <w:rPr>
          <w:rFonts w:hint="eastAsia" w:ascii="宋体" w:hAnsi="宋体" w:eastAsia="宋体" w:cs="宋体"/>
          <w:bCs/>
          <w:color w:val="auto"/>
          <w:sz w:val="21"/>
          <w:szCs w:val="21"/>
          <w:highlight w:val="none"/>
        </w:rPr>
        <w:t>1.投标人有效期内的营业执照副本扫描件或复印件；</w:t>
      </w:r>
      <w:bookmarkEnd w:id="62"/>
    </w:p>
    <w:p w14:paraId="1387EC02">
      <w:pPr>
        <w:spacing w:line="500" w:lineRule="exact"/>
        <w:ind w:firstLine="480"/>
        <w:jc w:val="center"/>
        <w:rPr>
          <w:rFonts w:hint="eastAsia" w:ascii="宋体" w:hAnsi="宋体" w:eastAsia="宋体" w:cs="宋体"/>
          <w:b/>
          <w:color w:val="auto"/>
          <w:sz w:val="21"/>
          <w:szCs w:val="21"/>
          <w:highlight w:val="none"/>
        </w:rPr>
      </w:pPr>
    </w:p>
    <w:p w14:paraId="7A62D8E3">
      <w:pPr>
        <w:snapToGrid w:val="0"/>
        <w:spacing w:line="360" w:lineRule="auto"/>
        <w:ind w:right="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2.符合参加政府采购活动应当具备的一般条件的承诺函</w:t>
      </w:r>
    </w:p>
    <w:p w14:paraId="09D6FF9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（招标人）、（采购代理机构）：</w:t>
      </w:r>
    </w:p>
    <w:p w14:paraId="1CB779EC">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】政府采购活动，郑重承诺：</w:t>
      </w:r>
    </w:p>
    <w:p w14:paraId="0F3A267D">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3B3E2F66">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07A85F4E">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181EDD3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B089F8F">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29F7000B">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49ACEB78">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2376B4F0">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w:t>
      </w:r>
    </w:p>
    <w:p w14:paraId="3326A635">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3FC6864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520890BC">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59E20F89">
      <w:pPr>
        <w:snapToGrid w:val="0"/>
        <w:spacing w:line="500" w:lineRule="exact"/>
        <w:ind w:firstLine="2940" w:firstLineChars="1400"/>
        <w:rPr>
          <w:rFonts w:hint="eastAsia" w:ascii="宋体" w:hAnsi="宋体" w:eastAsia="宋体" w:cs="宋体"/>
          <w:color w:val="auto"/>
          <w:sz w:val="21"/>
          <w:szCs w:val="21"/>
          <w:highlight w:val="none"/>
          <w:lang w:val="zh-CN"/>
        </w:rPr>
      </w:pPr>
    </w:p>
    <w:p w14:paraId="23864E17">
      <w:pPr>
        <w:snapToGrid w:val="0"/>
        <w:spacing w:line="500" w:lineRule="exact"/>
        <w:ind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zh-CN"/>
        </w:rPr>
        <w:t>：</w:t>
      </w:r>
    </w:p>
    <w:p w14:paraId="1813261F">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613DEA32">
      <w:pPr>
        <w:rPr>
          <w:rFonts w:hint="eastAsia" w:ascii="宋体" w:hAnsi="宋体" w:eastAsia="宋体" w:cs="宋体"/>
          <w:color w:val="auto"/>
          <w:sz w:val="21"/>
          <w:szCs w:val="21"/>
          <w:highlight w:val="none"/>
        </w:rPr>
      </w:pPr>
    </w:p>
    <w:p w14:paraId="586CBAEB">
      <w:pPr>
        <w:spacing w:line="500" w:lineRule="exact"/>
        <w:rPr>
          <w:rFonts w:hint="eastAsia" w:ascii="宋体" w:hAnsi="宋体" w:eastAsia="宋体" w:cs="宋体"/>
          <w:b/>
          <w:color w:val="auto"/>
          <w:sz w:val="21"/>
          <w:szCs w:val="21"/>
          <w:highlight w:val="none"/>
        </w:rPr>
      </w:pPr>
    </w:p>
    <w:p w14:paraId="5B500C34">
      <w:pPr>
        <w:snapToGrid w:val="0"/>
        <w:spacing w:line="360" w:lineRule="auto"/>
        <w:ind w:right="480"/>
        <w:jc w:val="center"/>
        <w:rPr>
          <w:rFonts w:hint="eastAsia" w:ascii="宋体" w:hAnsi="宋体" w:eastAsia="宋体" w:cs="宋体"/>
          <w:b/>
          <w:color w:val="auto"/>
          <w:sz w:val="21"/>
          <w:szCs w:val="21"/>
          <w:highlight w:val="none"/>
        </w:rPr>
      </w:pPr>
    </w:p>
    <w:p w14:paraId="36CA60BF">
      <w:pPr>
        <w:snapToGrid w:val="0"/>
        <w:spacing w:line="360" w:lineRule="auto"/>
        <w:ind w:right="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3.落实政府采购政策需满足的资格要求</w:t>
      </w:r>
    </w:p>
    <w:p w14:paraId="2B3C0C75">
      <w:pPr>
        <w:spacing w:line="50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ascii="宋体" w:hAnsi="宋体" w:eastAsia="宋体" w:cs="宋体"/>
          <w:color w:val="auto"/>
          <w:sz w:val="21"/>
          <w:szCs w:val="21"/>
          <w:highlight w:val="none"/>
        </w:rPr>
        <w:t>。</w:t>
      </w:r>
    </w:p>
    <w:p w14:paraId="634067E1">
      <w:pPr>
        <w:shd w:val="clear" w:color="auto" w:fill="auto"/>
        <w:spacing w:line="500" w:lineRule="exact"/>
        <w:jc w:val="center"/>
        <w:outlineLvl w:val="4"/>
        <w:rPr>
          <w:rFonts w:hint="eastAsia" w:hAnsi="宋体" w:cs="宋体"/>
          <w:color w:val="auto"/>
          <w:sz w:val="24"/>
          <w:szCs w:val="24"/>
          <w:highlight w:val="none"/>
          <w:lang w:bidi="ar"/>
        </w:rPr>
      </w:pPr>
      <w:r>
        <w:rPr>
          <w:rFonts w:hint="eastAsia" w:hAnsi="宋体" w:cs="宋体"/>
          <w:color w:val="auto"/>
          <w:sz w:val="24"/>
          <w:szCs w:val="24"/>
          <w:highlight w:val="none"/>
          <w:lang w:bidi="ar"/>
        </w:rPr>
        <w:t>（1）中小企业声明函（</w:t>
      </w:r>
      <w:r>
        <w:rPr>
          <w:rFonts w:hint="eastAsia" w:hAnsi="宋体" w:cs="宋体"/>
          <w:color w:val="auto"/>
          <w:sz w:val="21"/>
          <w:szCs w:val="21"/>
          <w:highlight w:val="none"/>
        </w:rPr>
        <w:t>工程、服务</w:t>
      </w:r>
      <w:r>
        <w:rPr>
          <w:rFonts w:hint="eastAsia" w:hAnsi="宋体" w:cs="宋体"/>
          <w:color w:val="auto"/>
          <w:sz w:val="24"/>
          <w:szCs w:val="24"/>
          <w:highlight w:val="none"/>
          <w:lang w:bidi="ar"/>
        </w:rPr>
        <w:t>）</w:t>
      </w:r>
    </w:p>
    <w:p w14:paraId="7574B12C">
      <w:pPr>
        <w:pStyle w:val="21"/>
        <w:shd w:val="clear" w:color="auto" w:fill="auto"/>
        <w:adjustRightInd w:val="0"/>
        <w:snapToGrid w:val="0"/>
        <w:spacing w:after="0" w:line="500" w:lineRule="exact"/>
        <w:ind w:left="0" w:leftChars="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 xml:space="preserve">             （采购单位）</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 ：</w:t>
      </w:r>
    </w:p>
    <w:tbl>
      <w:tblPr>
        <w:tblStyle w:val="22"/>
        <w:tblW w:w="4994" w:type="pct"/>
        <w:jc w:val="center"/>
        <w:tblLayout w:type="autofit"/>
        <w:tblCellMar>
          <w:top w:w="0" w:type="dxa"/>
          <w:left w:w="108" w:type="dxa"/>
          <w:bottom w:w="0" w:type="dxa"/>
          <w:right w:w="108" w:type="dxa"/>
        </w:tblCellMar>
      </w:tblPr>
      <w:tblGrid>
        <w:gridCol w:w="635"/>
        <w:gridCol w:w="1442"/>
        <w:gridCol w:w="1442"/>
        <w:gridCol w:w="1172"/>
        <w:gridCol w:w="1116"/>
        <w:gridCol w:w="1128"/>
        <w:gridCol w:w="1118"/>
        <w:gridCol w:w="2011"/>
      </w:tblGrid>
      <w:tr w14:paraId="58A98067">
        <w:trPr>
          <w:trHeight w:val="1360"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6A7A95B6">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lang w:bidi="ar"/>
              </w:rPr>
              <w:t>序号</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83BF874">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lang w:bidi="ar"/>
              </w:rPr>
              <w:t>标的名称</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3CBC8227">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lang w:bidi="ar"/>
              </w:rPr>
              <w:t>采购文件中明确的所属行业</w:t>
            </w:r>
          </w:p>
        </w:tc>
        <w:tc>
          <w:tcPr>
            <w:tcW w:w="582" w:type="pct"/>
            <w:tcBorders>
              <w:top w:val="single" w:color="000000" w:sz="4" w:space="0"/>
              <w:left w:val="single" w:color="000000" w:sz="4" w:space="0"/>
              <w:bottom w:val="single" w:color="000000" w:sz="4" w:space="0"/>
              <w:right w:val="single" w:color="auto" w:sz="4" w:space="0"/>
            </w:tcBorders>
            <w:noWrap w:val="0"/>
            <w:vAlign w:val="center"/>
          </w:tcPr>
          <w:p w14:paraId="30399329">
            <w:pPr>
              <w:widowControl/>
              <w:shd w:val="clear" w:color="auto" w:fill="auto"/>
              <w:snapToGrid w:val="0"/>
              <w:jc w:val="center"/>
              <w:textAlignment w:val="center"/>
              <w:rPr>
                <w:rFonts w:hAnsi="宋体" w:cs="宋体"/>
                <w:color w:val="auto"/>
                <w:sz w:val="20"/>
                <w:highlight w:val="none"/>
              </w:rPr>
            </w:pPr>
            <w:r>
              <w:rPr>
                <w:rFonts w:hint="eastAsia" w:hAnsi="宋体" w:cs="宋体"/>
                <w:color w:val="auto"/>
                <w:sz w:val="21"/>
                <w:szCs w:val="21"/>
                <w:highlight w:val="none"/>
              </w:rPr>
              <w:t>承建（承接）企业为</w:t>
            </w:r>
          </w:p>
        </w:tc>
        <w:tc>
          <w:tcPr>
            <w:tcW w:w="554" w:type="pct"/>
            <w:tcBorders>
              <w:top w:val="single" w:color="000000" w:sz="4" w:space="0"/>
              <w:left w:val="single" w:color="auto" w:sz="4" w:space="0"/>
              <w:right w:val="single" w:color="auto" w:sz="4" w:space="0"/>
            </w:tcBorders>
            <w:noWrap w:val="0"/>
            <w:vAlign w:val="center"/>
          </w:tcPr>
          <w:p w14:paraId="15CC482F">
            <w:pPr>
              <w:widowControl/>
              <w:shd w:val="clear" w:color="auto" w:fill="auto"/>
              <w:snapToGrid w:val="0"/>
              <w:jc w:val="center"/>
              <w:textAlignment w:val="center"/>
              <w:rPr>
                <w:rFonts w:hint="eastAsia" w:hAnsi="宋体" w:cs="宋体"/>
                <w:color w:val="auto"/>
                <w:sz w:val="20"/>
                <w:highlight w:val="none"/>
                <w:lang w:bidi="ar"/>
              </w:rPr>
            </w:pPr>
            <w:r>
              <w:rPr>
                <w:rFonts w:hint="eastAsia" w:hAnsi="宋体" w:cs="宋体"/>
                <w:color w:val="auto"/>
                <w:sz w:val="20"/>
                <w:highlight w:val="none"/>
                <w:lang w:bidi="ar"/>
              </w:rPr>
              <w:t>从业人员</w:t>
            </w:r>
          </w:p>
          <w:p w14:paraId="2B7BFA89">
            <w:pPr>
              <w:widowControl/>
              <w:shd w:val="clear" w:color="auto" w:fill="auto"/>
              <w:snapToGrid w:val="0"/>
              <w:jc w:val="center"/>
              <w:textAlignment w:val="center"/>
              <w:rPr>
                <w:rFonts w:hint="eastAsia" w:hAnsi="宋体" w:cs="宋体"/>
                <w:color w:val="auto"/>
                <w:sz w:val="20"/>
                <w:highlight w:val="none"/>
              </w:rPr>
            </w:pPr>
            <w:r>
              <w:rPr>
                <w:rFonts w:hint="eastAsia" w:hAnsi="宋体" w:cs="宋体"/>
                <w:color w:val="auto"/>
                <w:sz w:val="20"/>
                <w:highlight w:val="none"/>
                <w:lang w:bidi="ar"/>
              </w:rPr>
              <w:t>（人）</w:t>
            </w:r>
          </w:p>
        </w:tc>
        <w:tc>
          <w:tcPr>
            <w:tcW w:w="560" w:type="pct"/>
            <w:tcBorders>
              <w:top w:val="single" w:color="000000" w:sz="4" w:space="0"/>
              <w:left w:val="single" w:color="auto" w:sz="4" w:space="0"/>
              <w:right w:val="single" w:color="auto" w:sz="4" w:space="0"/>
            </w:tcBorders>
            <w:noWrap w:val="0"/>
            <w:vAlign w:val="center"/>
          </w:tcPr>
          <w:p w14:paraId="2DCB67F4">
            <w:pPr>
              <w:widowControl/>
              <w:shd w:val="clear" w:color="auto" w:fill="auto"/>
              <w:snapToGrid w:val="0"/>
              <w:jc w:val="center"/>
              <w:textAlignment w:val="center"/>
              <w:rPr>
                <w:rFonts w:hint="eastAsia" w:hAnsi="宋体" w:cs="宋体"/>
                <w:color w:val="auto"/>
                <w:sz w:val="20"/>
                <w:highlight w:val="none"/>
                <w:lang w:bidi="ar"/>
              </w:rPr>
            </w:pPr>
            <w:r>
              <w:rPr>
                <w:rFonts w:hint="eastAsia" w:hAnsi="宋体" w:cs="宋体"/>
                <w:color w:val="auto"/>
                <w:sz w:val="20"/>
                <w:highlight w:val="none"/>
                <w:lang w:bidi="ar"/>
              </w:rPr>
              <w:t>营业收入</w:t>
            </w:r>
          </w:p>
          <w:p w14:paraId="1595B730">
            <w:pPr>
              <w:widowControl/>
              <w:shd w:val="clear" w:color="auto" w:fill="auto"/>
              <w:snapToGrid w:val="0"/>
              <w:jc w:val="center"/>
              <w:textAlignment w:val="center"/>
              <w:rPr>
                <w:rFonts w:hint="eastAsia" w:hAnsi="宋体" w:cs="宋体"/>
                <w:color w:val="auto"/>
                <w:sz w:val="20"/>
                <w:highlight w:val="none"/>
              </w:rPr>
            </w:pPr>
            <w:r>
              <w:rPr>
                <w:rFonts w:hint="eastAsia" w:hAnsi="宋体" w:cs="宋体"/>
                <w:color w:val="auto"/>
                <w:sz w:val="20"/>
                <w:highlight w:val="none"/>
                <w:lang w:bidi="ar"/>
              </w:rPr>
              <w:t>（万元）</w:t>
            </w:r>
          </w:p>
        </w:tc>
        <w:tc>
          <w:tcPr>
            <w:tcW w:w="555" w:type="pct"/>
            <w:tcBorders>
              <w:top w:val="single" w:color="000000" w:sz="4" w:space="0"/>
              <w:left w:val="single" w:color="auto" w:sz="4" w:space="0"/>
              <w:right w:val="single" w:color="auto" w:sz="4" w:space="0"/>
            </w:tcBorders>
            <w:noWrap w:val="0"/>
            <w:vAlign w:val="center"/>
          </w:tcPr>
          <w:p w14:paraId="068AB804">
            <w:pPr>
              <w:widowControl/>
              <w:shd w:val="clear" w:color="auto" w:fill="auto"/>
              <w:snapToGrid w:val="0"/>
              <w:jc w:val="center"/>
              <w:textAlignment w:val="center"/>
              <w:rPr>
                <w:rFonts w:hint="eastAsia" w:hAnsi="宋体" w:cs="宋体"/>
                <w:color w:val="auto"/>
                <w:sz w:val="20"/>
                <w:highlight w:val="none"/>
                <w:lang w:bidi="ar"/>
              </w:rPr>
            </w:pPr>
            <w:r>
              <w:rPr>
                <w:rFonts w:hint="eastAsia" w:hAnsi="宋体" w:cs="宋体"/>
                <w:color w:val="auto"/>
                <w:sz w:val="20"/>
                <w:highlight w:val="none"/>
                <w:lang w:bidi="ar"/>
              </w:rPr>
              <w:t>资产总额</w:t>
            </w:r>
          </w:p>
          <w:p w14:paraId="3960B41B">
            <w:pPr>
              <w:widowControl/>
              <w:shd w:val="clear" w:color="auto" w:fill="auto"/>
              <w:snapToGrid w:val="0"/>
              <w:jc w:val="center"/>
              <w:textAlignment w:val="center"/>
              <w:rPr>
                <w:rFonts w:hint="eastAsia" w:hAnsi="宋体" w:cs="宋体"/>
                <w:color w:val="auto"/>
                <w:sz w:val="20"/>
                <w:highlight w:val="none"/>
              </w:rPr>
            </w:pPr>
            <w:r>
              <w:rPr>
                <w:rFonts w:hint="eastAsia" w:hAnsi="宋体" w:cs="宋体"/>
                <w:color w:val="auto"/>
                <w:sz w:val="20"/>
                <w:highlight w:val="none"/>
                <w:lang w:bidi="ar"/>
              </w:rPr>
              <w:t>（万元）</w:t>
            </w:r>
          </w:p>
        </w:tc>
        <w:tc>
          <w:tcPr>
            <w:tcW w:w="998" w:type="pct"/>
            <w:tcBorders>
              <w:top w:val="single" w:color="000000" w:sz="4" w:space="0"/>
              <w:left w:val="single" w:color="auto" w:sz="4" w:space="0"/>
              <w:right w:val="single" w:color="000000" w:sz="4" w:space="0"/>
            </w:tcBorders>
            <w:noWrap w:val="0"/>
            <w:vAlign w:val="center"/>
          </w:tcPr>
          <w:p w14:paraId="2E18858A">
            <w:pPr>
              <w:widowControl/>
              <w:shd w:val="clear" w:color="auto" w:fill="auto"/>
              <w:snapToGrid w:val="0"/>
              <w:jc w:val="center"/>
              <w:textAlignment w:val="center"/>
              <w:rPr>
                <w:rFonts w:hint="eastAsia" w:hAnsi="宋体" w:cs="宋体"/>
                <w:color w:val="auto"/>
                <w:sz w:val="20"/>
                <w:highlight w:val="none"/>
              </w:rPr>
            </w:pPr>
            <w:r>
              <w:rPr>
                <w:rFonts w:hint="eastAsia" w:hAnsi="宋体" w:cs="宋体"/>
                <w:color w:val="auto"/>
                <w:sz w:val="20"/>
                <w:highlight w:val="none"/>
                <w:lang w:bidi="ar"/>
              </w:rPr>
              <w:t>所属企业类型（填写：中型企业（或）小型企业（或）微型企业）</w:t>
            </w:r>
          </w:p>
        </w:tc>
      </w:tr>
      <w:tr w14:paraId="522912CC">
        <w:tblPrEx>
          <w:tblCellMar>
            <w:top w:w="0" w:type="dxa"/>
            <w:left w:w="108" w:type="dxa"/>
            <w:bottom w:w="0" w:type="dxa"/>
            <w:right w:w="108" w:type="dxa"/>
          </w:tblCellMar>
        </w:tblPrEx>
        <w:trPr>
          <w:trHeight w:val="624"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5BFECF78">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lang w:bidi="ar"/>
              </w:rPr>
              <w:t>1</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287790E7">
            <w:pPr>
              <w:widowControl/>
              <w:shd w:val="clear" w:color="auto" w:fill="auto"/>
              <w:snapToGrid w:val="0"/>
              <w:spacing w:line="460" w:lineRule="exact"/>
              <w:jc w:val="center"/>
              <w:textAlignment w:val="center"/>
              <w:rPr>
                <w:rFonts w:hint="eastAsia" w:hAnsi="宋体" w:cs="宋体"/>
                <w:color w:val="auto"/>
                <w:sz w:val="20"/>
                <w:highlight w:val="none"/>
              </w:rPr>
            </w:pP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91AA83">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rPr>
              <w:t>其他未列明行业</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14:paraId="7259BCD0">
            <w:pPr>
              <w:shd w:val="clear" w:color="auto" w:fill="auto"/>
              <w:snapToGrid w:val="0"/>
              <w:spacing w:line="460" w:lineRule="exact"/>
              <w:rPr>
                <w:rFonts w:hint="eastAsia" w:hAnsi="宋体" w:cs="宋体"/>
                <w:color w:val="auto"/>
                <w:sz w:val="20"/>
                <w:highlight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E240E45">
            <w:pPr>
              <w:shd w:val="clear" w:color="auto" w:fill="auto"/>
              <w:snapToGrid w:val="0"/>
              <w:spacing w:line="460" w:lineRule="exact"/>
              <w:rPr>
                <w:rFonts w:hint="eastAsia" w:hAnsi="宋体" w:cs="宋体"/>
                <w:color w:val="auto"/>
                <w:sz w:val="20"/>
                <w:highlight w:val="none"/>
              </w:rPr>
            </w:pP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0335446">
            <w:pPr>
              <w:shd w:val="clear" w:color="auto" w:fill="auto"/>
              <w:snapToGrid w:val="0"/>
              <w:spacing w:line="460" w:lineRule="exact"/>
              <w:rPr>
                <w:rFonts w:hint="eastAsia" w:hAnsi="宋体" w:cs="宋体"/>
                <w:color w:val="auto"/>
                <w:sz w:val="20"/>
                <w:highlight w:val="none"/>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581EE956">
            <w:pPr>
              <w:shd w:val="clear" w:color="auto" w:fill="auto"/>
              <w:snapToGrid w:val="0"/>
              <w:spacing w:line="460" w:lineRule="exact"/>
              <w:rPr>
                <w:rFonts w:hint="eastAsia" w:hAnsi="宋体" w:cs="宋体"/>
                <w:color w:val="auto"/>
                <w:sz w:val="20"/>
                <w:highlight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14:paraId="290D7267">
            <w:pPr>
              <w:shd w:val="clear" w:color="auto" w:fill="auto"/>
              <w:snapToGrid w:val="0"/>
              <w:spacing w:line="460" w:lineRule="exact"/>
              <w:rPr>
                <w:rFonts w:hint="eastAsia" w:hAnsi="宋体" w:cs="宋体"/>
                <w:color w:val="auto"/>
                <w:sz w:val="20"/>
                <w:highlight w:val="none"/>
              </w:rPr>
            </w:pPr>
          </w:p>
        </w:tc>
      </w:tr>
      <w:tr w14:paraId="53366361">
        <w:tblPrEx>
          <w:tblCellMar>
            <w:top w:w="0" w:type="dxa"/>
            <w:left w:w="108" w:type="dxa"/>
            <w:bottom w:w="0" w:type="dxa"/>
            <w:right w:w="108" w:type="dxa"/>
          </w:tblCellMar>
        </w:tblPrEx>
        <w:trPr>
          <w:trHeight w:val="646" w:hRule="atLeast"/>
          <w:jc w:val="center"/>
        </w:trPr>
        <w:tc>
          <w:tcPr>
            <w:tcW w:w="315" w:type="pct"/>
            <w:tcBorders>
              <w:top w:val="single" w:color="000000" w:sz="4" w:space="0"/>
              <w:left w:val="single" w:color="000000" w:sz="4" w:space="0"/>
              <w:bottom w:val="single" w:color="000000" w:sz="4" w:space="0"/>
              <w:right w:val="single" w:color="000000" w:sz="4" w:space="0"/>
            </w:tcBorders>
            <w:noWrap w:val="0"/>
            <w:vAlign w:val="center"/>
          </w:tcPr>
          <w:p w14:paraId="0F607687">
            <w:pPr>
              <w:widowControl/>
              <w:shd w:val="clear" w:color="auto" w:fill="auto"/>
              <w:snapToGrid w:val="0"/>
              <w:spacing w:line="460" w:lineRule="exact"/>
              <w:jc w:val="center"/>
              <w:textAlignment w:val="center"/>
              <w:rPr>
                <w:rFonts w:hint="eastAsia" w:hAnsi="宋体" w:cs="宋体"/>
                <w:color w:val="auto"/>
                <w:sz w:val="20"/>
                <w:highlight w:val="none"/>
              </w:rPr>
            </w:pPr>
            <w:r>
              <w:rPr>
                <w:rFonts w:hint="eastAsia" w:hAnsi="宋体" w:cs="宋体"/>
                <w:color w:val="auto"/>
                <w:sz w:val="20"/>
                <w:highlight w:val="none"/>
              </w:rPr>
              <w:t>2</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E714FD7">
            <w:pPr>
              <w:widowControl/>
              <w:shd w:val="clear" w:color="auto" w:fill="auto"/>
              <w:snapToGrid w:val="0"/>
              <w:spacing w:line="460" w:lineRule="exact"/>
              <w:jc w:val="center"/>
              <w:textAlignment w:val="center"/>
              <w:rPr>
                <w:rFonts w:hint="eastAsia" w:hAnsi="宋体" w:cs="宋体"/>
                <w:color w:val="auto"/>
                <w:sz w:val="20"/>
                <w:highlight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C597DF">
            <w:pPr>
              <w:shd w:val="clear" w:color="auto" w:fill="auto"/>
              <w:snapToGrid w:val="0"/>
              <w:spacing w:line="460" w:lineRule="exact"/>
              <w:rPr>
                <w:rFonts w:hint="eastAsia" w:hAnsi="宋体" w:cs="宋体"/>
                <w:color w:val="auto"/>
                <w:sz w:val="20"/>
                <w:highlight w:val="none"/>
              </w:rPr>
            </w:pPr>
          </w:p>
        </w:tc>
        <w:tc>
          <w:tcPr>
            <w:tcW w:w="582" w:type="pct"/>
            <w:tcBorders>
              <w:top w:val="single" w:color="000000" w:sz="4" w:space="0"/>
              <w:left w:val="single" w:color="000000" w:sz="4" w:space="0"/>
              <w:bottom w:val="single" w:color="000000" w:sz="4" w:space="0"/>
              <w:right w:val="single" w:color="000000" w:sz="4" w:space="0"/>
            </w:tcBorders>
            <w:noWrap w:val="0"/>
            <w:vAlign w:val="center"/>
          </w:tcPr>
          <w:p w14:paraId="4E705E48">
            <w:pPr>
              <w:shd w:val="clear" w:color="auto" w:fill="auto"/>
              <w:snapToGrid w:val="0"/>
              <w:spacing w:line="460" w:lineRule="exact"/>
              <w:rPr>
                <w:rFonts w:hint="eastAsia" w:hAnsi="宋体" w:cs="宋体"/>
                <w:color w:val="auto"/>
                <w:sz w:val="20"/>
                <w:highlight w:val="none"/>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192655A3">
            <w:pPr>
              <w:shd w:val="clear" w:color="auto" w:fill="auto"/>
              <w:snapToGrid w:val="0"/>
              <w:spacing w:line="460" w:lineRule="exact"/>
              <w:rPr>
                <w:rFonts w:hint="eastAsia" w:hAnsi="宋体" w:cs="宋体"/>
                <w:color w:val="auto"/>
                <w:sz w:val="20"/>
                <w:highlight w:val="none"/>
              </w:rPr>
            </w:pP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6D121886">
            <w:pPr>
              <w:shd w:val="clear" w:color="auto" w:fill="auto"/>
              <w:snapToGrid w:val="0"/>
              <w:spacing w:line="460" w:lineRule="exact"/>
              <w:rPr>
                <w:rFonts w:hint="eastAsia" w:hAnsi="宋体" w:cs="宋体"/>
                <w:color w:val="auto"/>
                <w:sz w:val="20"/>
                <w:highlight w:val="none"/>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63309123">
            <w:pPr>
              <w:shd w:val="clear" w:color="auto" w:fill="auto"/>
              <w:snapToGrid w:val="0"/>
              <w:spacing w:line="460" w:lineRule="exact"/>
              <w:rPr>
                <w:rFonts w:hint="eastAsia" w:hAnsi="宋体" w:cs="宋体"/>
                <w:color w:val="auto"/>
                <w:sz w:val="20"/>
                <w:highlight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14:paraId="2A4AFFD5">
            <w:pPr>
              <w:shd w:val="clear" w:color="auto" w:fill="auto"/>
              <w:snapToGrid w:val="0"/>
              <w:spacing w:line="460" w:lineRule="exact"/>
              <w:rPr>
                <w:rFonts w:hint="eastAsia" w:hAnsi="宋体" w:cs="宋体"/>
                <w:color w:val="auto"/>
                <w:sz w:val="20"/>
                <w:highlight w:val="none"/>
              </w:rPr>
            </w:pPr>
          </w:p>
        </w:tc>
      </w:tr>
    </w:tbl>
    <w:p w14:paraId="40181BAC">
      <w:pPr>
        <w:pStyle w:val="21"/>
        <w:shd w:val="clear" w:color="auto" w:fill="auto"/>
        <w:spacing w:after="0" w:line="500" w:lineRule="exact"/>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以上企业，不属于大企业的分支机构，不存在控股股东为大企业的情形，也不存在与大企业的负责人为同一人的情形。 </w:t>
      </w:r>
    </w:p>
    <w:p w14:paraId="4160DF0B">
      <w:pPr>
        <w:pStyle w:val="21"/>
        <w:shd w:val="clear" w:color="auto" w:fill="auto"/>
        <w:spacing w:after="0" w:line="500" w:lineRule="exact"/>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本企业对上述声明内容的真实性负责。如有虚假，将依法承担相应责任。 </w:t>
      </w:r>
    </w:p>
    <w:p w14:paraId="5392DD9E">
      <w:pPr>
        <w:pStyle w:val="21"/>
        <w:shd w:val="clear" w:color="auto" w:fill="auto"/>
        <w:spacing w:line="500" w:lineRule="exact"/>
        <w:ind w:left="0" w:leftChars="0"/>
        <w:rPr>
          <w:rFonts w:hint="eastAsia" w:ascii="宋体" w:hAnsi="宋体" w:cs="宋体"/>
          <w:color w:val="auto"/>
          <w:sz w:val="21"/>
          <w:szCs w:val="21"/>
          <w:highlight w:val="none"/>
        </w:rPr>
      </w:pPr>
    </w:p>
    <w:p w14:paraId="70B0ED28">
      <w:pPr>
        <w:pStyle w:val="21"/>
        <w:shd w:val="clear" w:color="auto" w:fill="auto"/>
        <w:spacing w:line="500" w:lineRule="exact"/>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企业名称（盖章）： </w:t>
      </w:r>
    </w:p>
    <w:p w14:paraId="42084B69">
      <w:pPr>
        <w:pStyle w:val="21"/>
        <w:shd w:val="clear" w:color="auto" w:fill="auto"/>
        <w:spacing w:line="500" w:lineRule="exact"/>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 期： </w:t>
      </w:r>
    </w:p>
    <w:p w14:paraId="41855C52">
      <w:pPr>
        <w:shd w:val="clear" w:color="auto" w:fill="auto"/>
        <w:snapToGrid w:val="0"/>
        <w:spacing w:line="460" w:lineRule="exact"/>
        <w:rPr>
          <w:rFonts w:hint="eastAsia"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14:paraId="56024CD7">
      <w:pPr>
        <w:shd w:val="clear" w:color="auto" w:fill="auto"/>
        <w:snapToGrid w:val="0"/>
        <w:spacing w:line="460" w:lineRule="exact"/>
        <w:ind w:firstLine="420" w:firstLineChars="200"/>
        <w:rPr>
          <w:rFonts w:hint="eastAsia" w:hAnsi="宋体" w:cs="宋体"/>
          <w:color w:val="auto"/>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int="eastAsia" w:hAnsi="宋体" w:cs="宋体"/>
          <w:color w:val="auto"/>
          <w:sz w:val="21"/>
          <w:szCs w:val="21"/>
          <w:highlight w:val="none"/>
          <w:u w:val="single"/>
        </w:rPr>
        <w:t>其他未列明行业</w:t>
      </w:r>
      <w:r>
        <w:rPr>
          <w:rFonts w:hint="eastAsia" w:hAnsi="宋体" w:cs="宋体"/>
          <w:color w:val="auto"/>
          <w:kern w:val="2"/>
          <w:sz w:val="21"/>
          <w:szCs w:val="21"/>
          <w:highlight w:val="none"/>
        </w:rPr>
        <w:t>”</w:t>
      </w:r>
      <w:r>
        <w:rPr>
          <w:rFonts w:hint="eastAsia" w:hAnsi="宋体" w:cs="宋体"/>
          <w:color w:val="auto"/>
          <w:sz w:val="21"/>
          <w:szCs w:val="21"/>
          <w:highlight w:val="none"/>
        </w:rPr>
        <w:t>，划型标准对应表如下：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12"/>
        <w:gridCol w:w="2245"/>
        <w:gridCol w:w="2275"/>
        <w:gridCol w:w="2088"/>
      </w:tblGrid>
      <w:tr w14:paraId="5829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6BFFC66B">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b/>
                <w:bCs/>
                <w:color w:val="auto"/>
                <w:sz w:val="21"/>
                <w:szCs w:val="21"/>
                <w:highlight w:val="none"/>
              </w:rPr>
              <w:t>大、中、小、微企业划型标准对照表</w:t>
            </w:r>
          </w:p>
          <w:p w14:paraId="2AAF242D">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所属行业：</w:t>
            </w:r>
            <w:r>
              <w:rPr>
                <w:rFonts w:hint="eastAsia" w:hAnsi="宋体" w:cs="宋体"/>
                <w:color w:val="auto"/>
                <w:sz w:val="21"/>
                <w:szCs w:val="21"/>
                <w:highlight w:val="none"/>
                <w:u w:val="single"/>
              </w:rPr>
              <w:t>其他未列明行业</w:t>
            </w:r>
          </w:p>
        </w:tc>
      </w:tr>
      <w:tr w14:paraId="2E88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noWrap w:val="0"/>
            <w:vAlign w:val="center"/>
          </w:tcPr>
          <w:p w14:paraId="060BD6B5">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序号</w:t>
            </w:r>
          </w:p>
        </w:tc>
        <w:tc>
          <w:tcPr>
            <w:tcW w:w="1048" w:type="pct"/>
            <w:noWrap w:val="0"/>
            <w:vAlign w:val="center"/>
          </w:tcPr>
          <w:p w14:paraId="2D8DAA8E">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从业人员X</w:t>
            </w:r>
          </w:p>
          <w:p w14:paraId="478786B2">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（人）</w:t>
            </w:r>
          </w:p>
        </w:tc>
        <w:tc>
          <w:tcPr>
            <w:tcW w:w="1114" w:type="pct"/>
            <w:noWrap w:val="0"/>
            <w:vAlign w:val="center"/>
          </w:tcPr>
          <w:p w14:paraId="2E539370">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营业收入Y</w:t>
            </w:r>
          </w:p>
          <w:p w14:paraId="342777E1">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（万元）</w:t>
            </w:r>
          </w:p>
        </w:tc>
        <w:tc>
          <w:tcPr>
            <w:tcW w:w="1129" w:type="pct"/>
            <w:noWrap w:val="0"/>
            <w:vAlign w:val="center"/>
          </w:tcPr>
          <w:p w14:paraId="7B315CD2">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lang w:bidi="ar"/>
              </w:rPr>
            </w:pPr>
            <w:r>
              <w:rPr>
                <w:rFonts w:hint="eastAsia" w:hAnsi="宋体" w:cs="宋体"/>
                <w:color w:val="auto"/>
                <w:sz w:val="21"/>
                <w:szCs w:val="21"/>
                <w:highlight w:val="none"/>
                <w:lang w:bidi="ar"/>
              </w:rPr>
              <w:t>资产总额Z</w:t>
            </w:r>
          </w:p>
          <w:p w14:paraId="2FEAB1AC">
            <w:pPr>
              <w:widowControl/>
              <w:shd w:val="clear" w:color="auto" w:fill="auto"/>
              <w:autoSpaceDE/>
              <w:autoSpaceDN/>
              <w:snapToGrid w:val="0"/>
              <w:spacing w:line="460" w:lineRule="exact"/>
              <w:jc w:val="center"/>
              <w:textAlignment w:val="center"/>
              <w:rPr>
                <w:rFonts w:hint="eastAsia" w:hAnsi="宋体" w:cs="宋体"/>
                <w:color w:val="auto"/>
                <w:sz w:val="21"/>
                <w:szCs w:val="21"/>
                <w:highlight w:val="none"/>
              </w:rPr>
            </w:pPr>
            <w:r>
              <w:rPr>
                <w:rFonts w:hint="eastAsia" w:hAnsi="宋体" w:cs="宋体"/>
                <w:color w:val="auto"/>
                <w:sz w:val="21"/>
                <w:szCs w:val="21"/>
                <w:highlight w:val="none"/>
                <w:lang w:bidi="ar"/>
              </w:rPr>
              <w:t>（万元）</w:t>
            </w:r>
          </w:p>
        </w:tc>
        <w:tc>
          <w:tcPr>
            <w:tcW w:w="1033" w:type="pct"/>
            <w:noWrap w:val="0"/>
            <w:vAlign w:val="center"/>
          </w:tcPr>
          <w:p w14:paraId="20094C67">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对应企业类型</w:t>
            </w:r>
          </w:p>
        </w:tc>
      </w:tr>
      <w:tr w14:paraId="3780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noWrap w:val="0"/>
            <w:vAlign w:val="center"/>
          </w:tcPr>
          <w:p w14:paraId="56A389AE">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w:t>
            </w:r>
          </w:p>
        </w:tc>
        <w:tc>
          <w:tcPr>
            <w:tcW w:w="1048" w:type="pct"/>
            <w:noWrap w:val="0"/>
            <w:vAlign w:val="center"/>
          </w:tcPr>
          <w:p w14:paraId="15E4FFB7">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X ＜10</w:t>
            </w:r>
          </w:p>
        </w:tc>
        <w:tc>
          <w:tcPr>
            <w:tcW w:w="1114" w:type="pct"/>
            <w:noWrap w:val="0"/>
            <w:vAlign w:val="center"/>
          </w:tcPr>
          <w:p w14:paraId="3B002307">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129" w:type="pct"/>
            <w:noWrap w:val="0"/>
            <w:vAlign w:val="center"/>
          </w:tcPr>
          <w:p w14:paraId="5C88EB4D">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033" w:type="pct"/>
            <w:noWrap w:val="0"/>
            <w:vAlign w:val="center"/>
          </w:tcPr>
          <w:p w14:paraId="2E1878B6">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微型</w:t>
            </w:r>
          </w:p>
        </w:tc>
      </w:tr>
      <w:tr w14:paraId="5390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noWrap w:val="0"/>
            <w:vAlign w:val="center"/>
          </w:tcPr>
          <w:p w14:paraId="13CB9FF4">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2</w:t>
            </w:r>
          </w:p>
        </w:tc>
        <w:tc>
          <w:tcPr>
            <w:tcW w:w="1048" w:type="pct"/>
            <w:noWrap w:val="0"/>
            <w:vAlign w:val="center"/>
          </w:tcPr>
          <w:p w14:paraId="5AF339A3">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10≤ X ＜100</w:t>
            </w:r>
          </w:p>
        </w:tc>
        <w:tc>
          <w:tcPr>
            <w:tcW w:w="1114" w:type="pct"/>
            <w:noWrap w:val="0"/>
            <w:vAlign w:val="center"/>
          </w:tcPr>
          <w:p w14:paraId="07C4CCBD">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129" w:type="pct"/>
            <w:noWrap w:val="0"/>
            <w:vAlign w:val="center"/>
          </w:tcPr>
          <w:p w14:paraId="226C1A60">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033" w:type="pct"/>
            <w:noWrap w:val="0"/>
            <w:vAlign w:val="center"/>
          </w:tcPr>
          <w:p w14:paraId="7AED632F">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小型</w:t>
            </w:r>
          </w:p>
        </w:tc>
      </w:tr>
      <w:tr w14:paraId="1530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noWrap w:val="0"/>
            <w:vAlign w:val="center"/>
          </w:tcPr>
          <w:p w14:paraId="1809705E">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3</w:t>
            </w:r>
          </w:p>
        </w:tc>
        <w:tc>
          <w:tcPr>
            <w:tcW w:w="1048" w:type="pct"/>
            <w:noWrap w:val="0"/>
            <w:vAlign w:val="center"/>
          </w:tcPr>
          <w:p w14:paraId="3CA4A5C2">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100≤ X ＜300</w:t>
            </w:r>
          </w:p>
        </w:tc>
        <w:tc>
          <w:tcPr>
            <w:tcW w:w="1114" w:type="pct"/>
            <w:noWrap w:val="0"/>
            <w:vAlign w:val="center"/>
          </w:tcPr>
          <w:p w14:paraId="1338361A">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129" w:type="pct"/>
            <w:noWrap w:val="0"/>
            <w:vAlign w:val="center"/>
          </w:tcPr>
          <w:p w14:paraId="064AB177">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033" w:type="pct"/>
            <w:noWrap w:val="0"/>
            <w:vAlign w:val="center"/>
          </w:tcPr>
          <w:p w14:paraId="7396147B">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中型</w:t>
            </w:r>
          </w:p>
        </w:tc>
      </w:tr>
      <w:tr w14:paraId="41E0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noWrap w:val="0"/>
            <w:vAlign w:val="center"/>
          </w:tcPr>
          <w:p w14:paraId="1961A64E">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4</w:t>
            </w:r>
          </w:p>
        </w:tc>
        <w:tc>
          <w:tcPr>
            <w:tcW w:w="1048" w:type="pct"/>
            <w:noWrap w:val="0"/>
            <w:vAlign w:val="center"/>
          </w:tcPr>
          <w:p w14:paraId="5B1B778C">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X ≥300</w:t>
            </w:r>
          </w:p>
        </w:tc>
        <w:tc>
          <w:tcPr>
            <w:tcW w:w="1114" w:type="pct"/>
            <w:noWrap w:val="0"/>
            <w:vAlign w:val="center"/>
          </w:tcPr>
          <w:p w14:paraId="622B5D61">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129" w:type="pct"/>
            <w:noWrap w:val="0"/>
            <w:vAlign w:val="center"/>
          </w:tcPr>
          <w:p w14:paraId="75CC58DB">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不限</w:t>
            </w:r>
          </w:p>
        </w:tc>
        <w:tc>
          <w:tcPr>
            <w:tcW w:w="1033" w:type="pct"/>
            <w:noWrap w:val="0"/>
            <w:vAlign w:val="center"/>
          </w:tcPr>
          <w:p w14:paraId="4896F8FE">
            <w:pPr>
              <w:shd w:val="clear" w:color="auto" w:fill="auto"/>
              <w:autoSpaceDE/>
              <w:autoSpaceDN/>
              <w:snapToGrid w:val="0"/>
              <w:spacing w:line="460" w:lineRule="exact"/>
              <w:jc w:val="center"/>
              <w:textAlignment w:val="baseline"/>
              <w:rPr>
                <w:rFonts w:hint="eastAsia" w:hAnsi="宋体" w:cs="宋体"/>
                <w:color w:val="auto"/>
                <w:sz w:val="21"/>
                <w:szCs w:val="21"/>
                <w:highlight w:val="none"/>
              </w:rPr>
            </w:pPr>
            <w:r>
              <w:rPr>
                <w:rFonts w:hint="eastAsia" w:hAnsi="宋体" w:cs="宋体"/>
                <w:color w:val="auto"/>
                <w:sz w:val="21"/>
                <w:szCs w:val="21"/>
                <w:highlight w:val="none"/>
              </w:rPr>
              <w:t>大型</w:t>
            </w:r>
          </w:p>
        </w:tc>
      </w:tr>
      <w:tr w14:paraId="4C1D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6F16C4E4">
            <w:pPr>
              <w:shd w:val="clear" w:color="auto" w:fill="auto"/>
              <w:autoSpaceDE/>
              <w:autoSpaceDN/>
              <w:snapToGrid w:val="0"/>
              <w:spacing w:line="460" w:lineRule="exact"/>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其他未列明行业。从业人员300人以下的为中小微型企业。</w:t>
            </w:r>
          </w:p>
          <w:p w14:paraId="0EC620DD">
            <w:pPr>
              <w:shd w:val="clear" w:color="auto" w:fill="auto"/>
              <w:autoSpaceDE/>
              <w:autoSpaceDN/>
              <w:snapToGrid w:val="0"/>
              <w:spacing w:line="460" w:lineRule="exact"/>
              <w:ind w:firstLine="1050" w:firstLineChars="5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其中，从业人员100人及以上的为中型企业；</w:t>
            </w:r>
          </w:p>
          <w:p w14:paraId="019EEE73">
            <w:pPr>
              <w:shd w:val="clear" w:color="auto" w:fill="auto"/>
              <w:autoSpaceDE/>
              <w:autoSpaceDN/>
              <w:snapToGrid w:val="0"/>
              <w:spacing w:line="460" w:lineRule="exact"/>
              <w:ind w:firstLine="1680" w:firstLineChars="8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从业人员10人及以上的为小型企业；</w:t>
            </w:r>
          </w:p>
          <w:p w14:paraId="257CAE62">
            <w:pPr>
              <w:shd w:val="clear" w:color="auto" w:fill="auto"/>
              <w:autoSpaceDE/>
              <w:autoSpaceDN/>
              <w:snapToGrid w:val="0"/>
              <w:spacing w:line="460" w:lineRule="exact"/>
              <w:ind w:firstLine="1680" w:firstLineChars="800"/>
              <w:jc w:val="both"/>
              <w:textAlignment w:val="baseline"/>
              <w:rPr>
                <w:rFonts w:hint="eastAsia" w:hAnsi="宋体" w:cs="宋体"/>
                <w:color w:val="auto"/>
                <w:sz w:val="21"/>
                <w:szCs w:val="21"/>
                <w:highlight w:val="none"/>
              </w:rPr>
            </w:pPr>
            <w:r>
              <w:rPr>
                <w:rFonts w:hint="eastAsia" w:hAnsi="宋体" w:cs="宋体"/>
                <w:color w:val="auto"/>
                <w:sz w:val="21"/>
                <w:szCs w:val="21"/>
                <w:highlight w:val="none"/>
              </w:rPr>
              <w:t>从业人员10人以下的为微型企业。</w:t>
            </w:r>
          </w:p>
        </w:tc>
      </w:tr>
    </w:tbl>
    <w:p w14:paraId="6F9060C7">
      <w:pPr>
        <w:widowControl/>
        <w:autoSpaceDE/>
        <w:autoSpaceDN/>
        <w:spacing w:before="100" w:beforeAutospacing="1" w:after="100" w:afterAutospacing="1" w:line="432" w:lineRule="atLeast"/>
        <w:ind w:left="0" w:leftChars="0"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07394E44">
      <w:pPr>
        <w:spacing w:line="500" w:lineRule="exact"/>
        <w:jc w:val="center"/>
        <w:rPr>
          <w:rFonts w:hint="eastAsia" w:ascii="宋体" w:hAnsi="宋体" w:eastAsia="宋体" w:cs="宋体"/>
          <w:color w:val="auto"/>
          <w:sz w:val="21"/>
          <w:szCs w:val="21"/>
          <w:highlight w:val="none"/>
        </w:rPr>
      </w:pPr>
    </w:p>
    <w:p w14:paraId="7FAF97D5">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（2）残疾人福利性单位声明函</w:t>
      </w:r>
    </w:p>
    <w:p w14:paraId="76A0F716">
      <w:pPr>
        <w:pStyle w:val="49"/>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8EC66C">
      <w:pPr>
        <w:pStyle w:val="49"/>
        <w:spacing w:line="500" w:lineRule="exact"/>
        <w:ind w:firstLine="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31E56B6B">
      <w:pPr>
        <w:pStyle w:val="49"/>
        <w:spacing w:line="500" w:lineRule="exact"/>
        <w:rPr>
          <w:rFonts w:hint="eastAsia" w:ascii="宋体" w:hAnsi="宋体" w:eastAsia="宋体" w:cs="宋体"/>
          <w:color w:val="auto"/>
          <w:spacing w:val="6"/>
          <w:szCs w:val="21"/>
          <w:highlight w:val="none"/>
        </w:rPr>
      </w:pPr>
    </w:p>
    <w:p w14:paraId="6AA46821">
      <w:pPr>
        <w:pStyle w:val="49"/>
        <w:spacing w:line="500" w:lineRule="exact"/>
        <w:ind w:firstLine="600"/>
        <w:jc w:val="center"/>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 xml:space="preserve">               </w:t>
      </w:r>
      <w:r>
        <w:rPr>
          <w:rFonts w:hint="eastAsia" w:ascii="宋体" w:hAnsi="宋体" w:eastAsia="宋体" w:cs="宋体"/>
          <w:color w:val="auto"/>
          <w:szCs w:val="21"/>
          <w:highlight w:val="none"/>
        </w:rPr>
        <w:t>单位名称（盖章）：</w:t>
      </w:r>
    </w:p>
    <w:p w14:paraId="6FF11770">
      <w:pPr>
        <w:pStyle w:val="49"/>
        <w:spacing w:line="500" w:lineRule="exact"/>
        <w:ind w:firstLine="6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p>
    <w:p w14:paraId="0975688D">
      <w:pPr>
        <w:pStyle w:val="49"/>
        <w:spacing w:line="500" w:lineRule="exact"/>
        <w:ind w:firstLine="600"/>
        <w:jc w:val="center"/>
        <w:rPr>
          <w:rFonts w:hint="eastAsia" w:ascii="宋体" w:hAnsi="宋体" w:eastAsia="宋体" w:cs="宋体"/>
          <w:color w:val="auto"/>
          <w:szCs w:val="21"/>
          <w:highlight w:val="none"/>
        </w:rPr>
      </w:pPr>
    </w:p>
    <w:p w14:paraId="0368CED1">
      <w:pPr>
        <w:pStyle w:val="49"/>
        <w:spacing w:line="500" w:lineRule="exact"/>
        <w:ind w:firstLine="600"/>
        <w:jc w:val="center"/>
        <w:rPr>
          <w:rFonts w:hint="eastAsia" w:ascii="宋体" w:hAnsi="宋体" w:eastAsia="宋体" w:cs="宋体"/>
          <w:color w:val="auto"/>
          <w:szCs w:val="21"/>
          <w:highlight w:val="none"/>
        </w:rPr>
      </w:pPr>
    </w:p>
    <w:p w14:paraId="47C5E947">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（3）监狱企业证明文件</w:t>
      </w:r>
    </w:p>
    <w:p w14:paraId="2117E2F5">
      <w:pPr>
        <w:pStyle w:val="49"/>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p>
    <w:p w14:paraId="6BA570E3">
      <w:pPr>
        <w:tabs>
          <w:tab w:val="left" w:pos="1485"/>
        </w:tabs>
        <w:spacing w:line="500" w:lineRule="exact"/>
        <w:rPr>
          <w:rFonts w:hint="eastAsia" w:ascii="宋体" w:hAnsi="宋体" w:eastAsia="宋体" w:cs="宋体"/>
          <w:color w:val="auto"/>
          <w:sz w:val="21"/>
          <w:szCs w:val="21"/>
          <w:highlight w:val="none"/>
        </w:rPr>
      </w:pPr>
    </w:p>
    <w:p w14:paraId="481D448F">
      <w:pPr>
        <w:widowControl/>
        <w:spacing w:line="500" w:lineRule="exact"/>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4.本项目的特定资格要求</w:t>
      </w:r>
    </w:p>
    <w:p w14:paraId="0DF784E1">
      <w:pPr>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（根据招标公告本项目的特定资格要求提供相应的材料；未要求的，无需提供，填“无”）</w:t>
      </w:r>
    </w:p>
    <w:p w14:paraId="0B5ABA7E">
      <w:pPr>
        <w:snapToGrid w:val="0"/>
        <w:ind w:firstLine="480" w:firstLineChars="200"/>
        <w:rPr>
          <w:rFonts w:hint="eastAsia" w:ascii="宋体" w:hAnsi="宋体" w:eastAsia="宋体" w:cs="宋体"/>
          <w:color w:val="auto"/>
          <w:sz w:val="24"/>
          <w:highlight w:val="none"/>
        </w:rPr>
      </w:pPr>
    </w:p>
    <w:p w14:paraId="6D21629A">
      <w:pPr>
        <w:snapToGrid w:val="0"/>
        <w:spacing w:line="500" w:lineRule="exact"/>
        <w:ind w:firstLine="420"/>
        <w:rPr>
          <w:rFonts w:hint="eastAsia" w:ascii="宋体" w:hAnsi="宋体" w:eastAsia="宋体" w:cs="宋体"/>
          <w:b/>
          <w:bCs/>
          <w:color w:val="auto"/>
          <w:sz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4"/>
          <w:highlight w:val="none"/>
        </w:rPr>
        <w:t>（二）商务技术文件</w:t>
      </w:r>
    </w:p>
    <w:p w14:paraId="357E3448">
      <w:pPr>
        <w:autoSpaceDE/>
        <w:autoSpaceDN/>
        <w:adjustRightInd/>
        <w:spacing w:line="500" w:lineRule="exact"/>
        <w:ind w:firstLine="48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4"/>
          <w:highlight w:val="none"/>
        </w:rPr>
        <w:t>商务技术文件目录</w:t>
      </w:r>
    </w:p>
    <w:p w14:paraId="6832AA6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（1）投标人技术商务标自评得分汇总表；（格式内容参照技术商务评分表，格式见附件）；</w:t>
      </w:r>
    </w:p>
    <w:p w14:paraId="5737CA88">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（2）投标人法定代表人身份证明、</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szCs w:val="21"/>
          <w:highlight w:val="none"/>
        </w:rPr>
        <w:t>（格式见附件，如法定代表人本人参加的，则仅须提供法定代表人身份证明及法定代表人身份证复印件）；</w:t>
      </w:r>
    </w:p>
    <w:p w14:paraId="070629A5">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（3）投标人情况表（格式见附件）；</w:t>
      </w:r>
    </w:p>
    <w:p w14:paraId="2C70B28D">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（4）投标人类似案例成功的业绩（格式见附件）；</w:t>
      </w:r>
    </w:p>
    <w:p w14:paraId="238A970A">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eastAsia="zh-CN"/>
        </w:rPr>
        <w:t>项目</w:t>
      </w:r>
      <w:r>
        <w:rPr>
          <w:rFonts w:hint="eastAsia" w:ascii="宋体" w:hAnsi="宋体" w:eastAsia="宋体" w:cs="宋体"/>
          <w:color w:val="auto"/>
          <w:sz w:val="21"/>
          <w:szCs w:val="21"/>
          <w:highlight w:val="none"/>
        </w:rPr>
        <w:t>人员</w:t>
      </w:r>
      <w:r>
        <w:rPr>
          <w:rFonts w:hint="eastAsia" w:hAnsi="宋体" w:cs="宋体"/>
          <w:color w:val="auto"/>
          <w:sz w:val="21"/>
          <w:szCs w:val="21"/>
          <w:highlight w:val="none"/>
          <w:lang w:eastAsia="zh-CN"/>
        </w:rPr>
        <w:t>情况</w:t>
      </w:r>
      <w:r>
        <w:rPr>
          <w:rFonts w:hint="eastAsia" w:ascii="宋体" w:hAnsi="宋体" w:eastAsia="宋体" w:cs="宋体"/>
          <w:color w:val="auto"/>
          <w:sz w:val="21"/>
          <w:szCs w:val="21"/>
          <w:highlight w:val="none"/>
        </w:rPr>
        <w:t>（格式见附件）；</w:t>
      </w:r>
    </w:p>
    <w:p w14:paraId="6CA511D8">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相关的认证证书、设备情况；</w:t>
      </w:r>
    </w:p>
    <w:p w14:paraId="77460030">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）服务要求响应表（格式见附件）；</w:t>
      </w:r>
    </w:p>
    <w:p w14:paraId="0FB51D64">
      <w:pPr>
        <w:snapToGrid w:val="0"/>
        <w:spacing w:line="500" w:lineRule="exact"/>
        <w:ind w:firstLine="420" w:firstLineChars="200"/>
        <w:rPr>
          <w:rFonts w:hint="eastAsia" w:hAnsi="宋体" w:cs="宋体"/>
          <w:bCs w:val="0"/>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）项目背景理解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w:t>
      </w:r>
      <w:r>
        <w:rPr>
          <w:rFonts w:hint="eastAsia" w:ascii="宋体" w:hAnsi="宋体" w:eastAsia="宋体" w:cs="宋体"/>
          <w:color w:val="auto"/>
          <w:sz w:val="21"/>
          <w:szCs w:val="21"/>
          <w:highlight w:val="none"/>
          <w:lang w:val="en-US" w:eastAsia="zh-CN"/>
        </w:rPr>
        <w:t>点、</w:t>
      </w:r>
      <w:r>
        <w:rPr>
          <w:rFonts w:hint="eastAsia" w:ascii="宋体" w:hAnsi="宋体" w:eastAsia="宋体" w:cs="宋体"/>
          <w:color w:val="auto"/>
          <w:sz w:val="21"/>
          <w:szCs w:val="21"/>
          <w:highlight w:val="none"/>
        </w:rPr>
        <w:t>难点分析</w:t>
      </w:r>
      <w:r>
        <w:rPr>
          <w:rFonts w:hint="eastAsia" w:hAnsi="宋体" w:cs="宋体"/>
          <w:bCs w:val="0"/>
          <w:sz w:val="21"/>
          <w:szCs w:val="21"/>
          <w:highlight w:val="none"/>
          <w:lang w:val="en-US" w:eastAsia="zh-CN"/>
        </w:rPr>
        <w:t>；</w:t>
      </w:r>
    </w:p>
    <w:p w14:paraId="3C3D4348">
      <w:pPr>
        <w:snapToGrid w:val="0"/>
        <w:spacing w:line="500" w:lineRule="exact"/>
        <w:ind w:firstLine="420" w:firstLineChars="200"/>
        <w:rPr>
          <w:rFonts w:hint="eastAsia" w:hAnsi="宋体" w:cs="宋体"/>
          <w:bCs w:val="0"/>
          <w:sz w:val="21"/>
          <w:szCs w:val="21"/>
          <w:highlight w:val="none"/>
          <w:lang w:val="en-US"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）技术方案</w:t>
      </w:r>
      <w:r>
        <w:rPr>
          <w:rFonts w:hint="eastAsia" w:hAnsi="宋体" w:cs="宋体"/>
          <w:bCs w:val="0"/>
          <w:sz w:val="21"/>
          <w:szCs w:val="21"/>
          <w:highlight w:val="none"/>
          <w:lang w:val="en-US" w:eastAsia="zh-CN"/>
        </w:rPr>
        <w:t>；</w:t>
      </w:r>
    </w:p>
    <w:p w14:paraId="3AA22C58">
      <w:pPr>
        <w:numPr>
          <w:ilvl w:val="255"/>
          <w:numId w:val="0"/>
        </w:numPr>
        <w:spacing w:line="5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本地化服务、</w:t>
      </w:r>
      <w:r>
        <w:rPr>
          <w:rFonts w:hint="eastAsia" w:ascii="宋体" w:hAnsi="宋体" w:eastAsia="宋体" w:cs="宋体"/>
          <w:b w:val="0"/>
          <w:bCs w:val="0"/>
          <w:color w:val="auto"/>
          <w:sz w:val="21"/>
          <w:szCs w:val="21"/>
        </w:rPr>
        <w:t>服务响应</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培训方案；</w:t>
      </w:r>
    </w:p>
    <w:p w14:paraId="4330AFD5">
      <w:pPr>
        <w:numPr>
          <w:ilvl w:val="255"/>
          <w:numId w:val="0"/>
        </w:num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11</w:t>
      </w:r>
      <w:r>
        <w:rPr>
          <w:rFonts w:hint="eastAsia" w:ascii="宋体" w:hAnsi="宋体" w:eastAsia="宋体" w:cs="宋体"/>
          <w:color w:val="auto"/>
          <w:sz w:val="21"/>
          <w:szCs w:val="21"/>
          <w:highlight w:val="none"/>
        </w:rPr>
        <w:t>）评分规则中涉及的所需提供的资料、投标人需要说明的其他文件和说明。</w:t>
      </w:r>
    </w:p>
    <w:p w14:paraId="182688BC">
      <w:pPr>
        <w:autoSpaceDE/>
        <w:autoSpaceDN/>
        <w:adjustRightInd/>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注：</w:t>
      </w: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中不得含有报价的信息，否则按投标无效处理。</w:t>
      </w:r>
    </w:p>
    <w:p w14:paraId="540C7C93">
      <w:pPr>
        <w:autoSpaceDE/>
        <w:autoSpaceDN/>
        <w:adjustRightInd/>
        <w:spacing w:line="500" w:lineRule="exact"/>
        <w:ind w:firstLine="420" w:firstLineChars="200"/>
        <w:rPr>
          <w:rFonts w:hint="eastAsia" w:ascii="宋体" w:hAnsi="宋体" w:eastAsia="宋体" w:cs="宋体"/>
          <w:color w:val="auto"/>
          <w:sz w:val="21"/>
          <w:szCs w:val="21"/>
          <w:highlight w:val="none"/>
        </w:rPr>
      </w:pPr>
    </w:p>
    <w:p w14:paraId="662753C8">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3305F65A">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1C6AEEC0">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64F99E13">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p>
    <w:p w14:paraId="7CC8496C">
      <w:pPr>
        <w:pStyle w:val="21"/>
        <w:rPr>
          <w:rFonts w:hint="eastAsia" w:ascii="宋体" w:hAnsi="宋体" w:eastAsia="宋体" w:cs="宋体"/>
          <w:color w:val="auto"/>
          <w:sz w:val="21"/>
          <w:szCs w:val="21"/>
          <w:highlight w:val="none"/>
        </w:rPr>
      </w:pPr>
    </w:p>
    <w:p w14:paraId="7553E677">
      <w:pPr>
        <w:rPr>
          <w:rFonts w:hint="eastAsia" w:ascii="宋体" w:hAnsi="宋体" w:eastAsia="宋体" w:cs="宋体"/>
          <w:color w:val="auto"/>
          <w:sz w:val="21"/>
          <w:szCs w:val="21"/>
          <w:highlight w:val="none"/>
        </w:rPr>
      </w:pPr>
    </w:p>
    <w:p w14:paraId="486AB45E">
      <w:pPr>
        <w:pStyle w:val="21"/>
        <w:rPr>
          <w:rFonts w:hint="eastAsia" w:ascii="宋体" w:hAnsi="宋体" w:eastAsia="宋体" w:cs="宋体"/>
          <w:color w:val="auto"/>
          <w:sz w:val="21"/>
          <w:szCs w:val="21"/>
          <w:highlight w:val="none"/>
        </w:rPr>
      </w:pPr>
    </w:p>
    <w:p w14:paraId="50402707">
      <w:pPr>
        <w:rPr>
          <w:rFonts w:hint="eastAsia" w:ascii="宋体" w:hAnsi="宋体" w:eastAsia="宋体" w:cs="宋体"/>
          <w:color w:val="auto"/>
          <w:sz w:val="21"/>
          <w:szCs w:val="21"/>
          <w:highlight w:val="none"/>
        </w:rPr>
      </w:pPr>
    </w:p>
    <w:p w14:paraId="3E0BCD25">
      <w:pPr>
        <w:pStyle w:val="21"/>
        <w:rPr>
          <w:rFonts w:hint="eastAsia" w:ascii="宋体" w:hAnsi="宋体" w:eastAsia="宋体" w:cs="宋体"/>
          <w:color w:val="auto"/>
          <w:sz w:val="21"/>
          <w:szCs w:val="21"/>
          <w:highlight w:val="none"/>
        </w:rPr>
      </w:pPr>
    </w:p>
    <w:p w14:paraId="28773BD3">
      <w:pPr>
        <w:rPr>
          <w:rFonts w:hint="eastAsia" w:ascii="宋体" w:hAnsi="宋体" w:eastAsia="宋体" w:cs="宋体"/>
          <w:color w:val="auto"/>
          <w:sz w:val="21"/>
          <w:szCs w:val="21"/>
          <w:highlight w:val="none"/>
        </w:rPr>
      </w:pPr>
    </w:p>
    <w:p w14:paraId="2A380833">
      <w:pPr>
        <w:pStyle w:val="21"/>
        <w:rPr>
          <w:rFonts w:hint="eastAsia"/>
        </w:rPr>
      </w:pPr>
    </w:p>
    <w:p w14:paraId="4A47D94D">
      <w:pPr>
        <w:snapToGrid w:val="0"/>
        <w:spacing w:before="50" w:after="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1.供应商技术商务标自评得分汇总表（格式参照技术商务评分表，需标注对应页码）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85"/>
        <w:gridCol w:w="2190"/>
        <w:gridCol w:w="766"/>
        <w:gridCol w:w="1110"/>
        <w:gridCol w:w="1937"/>
      </w:tblGrid>
      <w:tr w14:paraId="374B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50F3FEA3">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5" w:type="dxa"/>
            <w:vAlign w:val="center"/>
          </w:tcPr>
          <w:p w14:paraId="37BEB15E">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90" w:type="dxa"/>
            <w:vAlign w:val="center"/>
          </w:tcPr>
          <w:p w14:paraId="08EAC03F">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评标要点及说明</w:t>
            </w:r>
          </w:p>
        </w:tc>
        <w:tc>
          <w:tcPr>
            <w:tcW w:w="766" w:type="dxa"/>
            <w:vAlign w:val="center"/>
          </w:tcPr>
          <w:p w14:paraId="1F2229B2">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110" w:type="dxa"/>
            <w:vAlign w:val="center"/>
          </w:tcPr>
          <w:p w14:paraId="4EC3917E">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自评分</w:t>
            </w:r>
          </w:p>
        </w:tc>
        <w:tc>
          <w:tcPr>
            <w:tcW w:w="1937" w:type="dxa"/>
            <w:vAlign w:val="center"/>
          </w:tcPr>
          <w:p w14:paraId="13E20195">
            <w:pPr>
              <w:widowControl/>
              <w:autoSpaceDE/>
              <w:autoSpaceDN/>
              <w:adjustRightInd/>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投标文件响应页码</w:t>
            </w:r>
          </w:p>
        </w:tc>
      </w:tr>
      <w:tr w14:paraId="240F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6" w:type="dxa"/>
            <w:vAlign w:val="center"/>
          </w:tcPr>
          <w:p w14:paraId="75624087">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c>
          <w:tcPr>
            <w:tcW w:w="1485" w:type="dxa"/>
            <w:vAlign w:val="center"/>
          </w:tcPr>
          <w:p w14:paraId="7D8AE1C1">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c>
          <w:tcPr>
            <w:tcW w:w="2190" w:type="dxa"/>
            <w:vAlign w:val="center"/>
          </w:tcPr>
          <w:p w14:paraId="6E0EDE3A">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c>
          <w:tcPr>
            <w:tcW w:w="766" w:type="dxa"/>
            <w:vAlign w:val="center"/>
          </w:tcPr>
          <w:p w14:paraId="03C369CA">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c>
          <w:tcPr>
            <w:tcW w:w="1110" w:type="dxa"/>
            <w:vAlign w:val="center"/>
          </w:tcPr>
          <w:p w14:paraId="0CC8D1C0">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c>
          <w:tcPr>
            <w:tcW w:w="1937" w:type="dxa"/>
            <w:vAlign w:val="center"/>
          </w:tcPr>
          <w:p w14:paraId="19B1EE6A">
            <w:pPr>
              <w:widowControl/>
              <w:autoSpaceDE/>
              <w:autoSpaceDN/>
              <w:adjustRightInd/>
              <w:snapToGrid w:val="0"/>
              <w:spacing w:line="460" w:lineRule="exact"/>
              <w:jc w:val="center"/>
              <w:rPr>
                <w:rFonts w:hint="eastAsia" w:ascii="宋体" w:hAnsi="宋体" w:eastAsia="宋体" w:cs="宋体"/>
                <w:color w:val="auto"/>
                <w:sz w:val="21"/>
                <w:szCs w:val="21"/>
                <w:highlight w:val="none"/>
              </w:rPr>
            </w:pPr>
          </w:p>
        </w:tc>
      </w:tr>
    </w:tbl>
    <w:p w14:paraId="441344AF">
      <w:pPr>
        <w:snapToGrid w:val="0"/>
        <w:spacing w:before="50" w:after="50"/>
        <w:rPr>
          <w:rFonts w:hint="eastAsia" w:ascii="宋体" w:hAnsi="宋体" w:eastAsia="宋体" w:cs="宋体"/>
          <w:color w:val="auto"/>
          <w:sz w:val="24"/>
          <w:highlight w:val="none"/>
        </w:rPr>
      </w:pPr>
    </w:p>
    <w:p w14:paraId="20833B41">
      <w:pPr>
        <w:spacing w:line="500" w:lineRule="exact"/>
        <w:ind w:firstLine="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2.投标人法定代表人身份证明、</w:t>
      </w:r>
      <w:r>
        <w:rPr>
          <w:rFonts w:hint="eastAsia" w:ascii="宋体" w:hAnsi="宋体" w:eastAsia="宋体" w:cs="宋体"/>
          <w:b/>
          <w:color w:val="auto"/>
          <w:sz w:val="21"/>
          <w:highlight w:val="none"/>
        </w:rPr>
        <w:t>法定代表人授权委托书</w:t>
      </w:r>
    </w:p>
    <w:p w14:paraId="1BD08293">
      <w:pPr>
        <w:spacing w:line="500" w:lineRule="exact"/>
        <w:ind w:firstLine="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14:paraId="2A23CBDE">
      <w:pPr>
        <w:spacing w:line="500" w:lineRule="exact"/>
        <w:ind w:firstLine="480"/>
        <w:jc w:val="both"/>
        <w:rPr>
          <w:rFonts w:hint="eastAsia" w:ascii="宋体" w:hAnsi="宋体" w:eastAsia="宋体" w:cs="宋体"/>
          <w:color w:val="auto"/>
          <w:sz w:val="21"/>
          <w:szCs w:val="21"/>
          <w:highlight w:val="none"/>
        </w:rPr>
      </w:pPr>
    </w:p>
    <w:p w14:paraId="01DA5E22">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（招标采购单位名称）：</w:t>
      </w:r>
    </w:p>
    <w:p w14:paraId="598651F9">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项目的投标活动，并代表我方全权办理针对上述项目的投标、开标、评标、签约等具体事务和签署相关文件。</w:t>
      </w:r>
    </w:p>
    <w:p w14:paraId="3A68592F">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04FC477C">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在撤销授权的书面通知以前，本授权书一直有效。</w:t>
      </w:r>
      <w:r>
        <w:rPr>
          <w:rFonts w:hint="eastAsia" w:ascii="宋体" w:hAnsi="宋体" w:eastAsia="宋体" w:cs="宋体"/>
          <w:color w:val="auto"/>
          <w:sz w:val="21"/>
          <w:szCs w:val="21"/>
          <w:highlight w:val="none"/>
        </w:rPr>
        <w:t>被授权人在授权书有效期内签署的所有文件不因授权的撤销而失效。</w:t>
      </w:r>
    </w:p>
    <w:p w14:paraId="35ABF6FE">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5EC04399">
      <w:pPr>
        <w:spacing w:line="500" w:lineRule="exact"/>
        <w:ind w:firstLine="480"/>
        <w:jc w:val="both"/>
        <w:rPr>
          <w:rFonts w:hint="eastAsia" w:ascii="宋体" w:hAnsi="宋体" w:eastAsia="宋体" w:cs="宋体"/>
          <w:color w:val="auto"/>
          <w:sz w:val="21"/>
          <w:szCs w:val="21"/>
          <w:highlight w:val="none"/>
        </w:rPr>
      </w:pPr>
    </w:p>
    <w:p w14:paraId="017D2A57">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被授权人（签字或盖章）：                法定代表人（签字或盖章）：          </w:t>
      </w:r>
    </w:p>
    <w:p w14:paraId="582D0360">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职务：           </w:t>
      </w:r>
    </w:p>
    <w:p w14:paraId="19A11311">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被授权人身份证号码：                              </w:t>
      </w:r>
    </w:p>
    <w:p w14:paraId="7A13EDC1">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公章：</w:t>
      </w:r>
    </w:p>
    <w:p w14:paraId="4A834DA8">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6496B64E">
      <w:pPr>
        <w:spacing w:line="500" w:lineRule="exact"/>
        <w:ind w:firstLine="2520" w:firstLineChars="1200"/>
        <w:jc w:val="both"/>
        <w:rPr>
          <w:rFonts w:hint="eastAsia" w:ascii="宋体" w:hAnsi="宋体" w:eastAsia="宋体" w:cs="宋体"/>
          <w:color w:val="auto"/>
          <w:sz w:val="21"/>
          <w:szCs w:val="21"/>
          <w:highlight w:val="none"/>
          <w:u w:val="single"/>
        </w:rPr>
      </w:pPr>
    </w:p>
    <w:p w14:paraId="63ADBF69">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法定代表人身份证（正反面）复印件：</w:t>
      </w:r>
    </w:p>
    <w:p w14:paraId="7AAB2751">
      <w:pPr>
        <w:spacing w:line="500" w:lineRule="exact"/>
        <w:ind w:firstLine="480"/>
        <w:jc w:val="both"/>
        <w:rPr>
          <w:rFonts w:hint="eastAsia" w:ascii="宋体" w:hAnsi="宋体" w:eastAsia="宋体" w:cs="宋体"/>
          <w:color w:val="auto"/>
          <w:sz w:val="21"/>
          <w:szCs w:val="21"/>
          <w:highlight w:val="none"/>
        </w:rPr>
      </w:pPr>
    </w:p>
    <w:p w14:paraId="5FD0AB97">
      <w:pPr>
        <w:spacing w:line="500" w:lineRule="exact"/>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授权代表身份证（正反面）复印件：</w:t>
      </w:r>
    </w:p>
    <w:p w14:paraId="349736EE">
      <w:pPr>
        <w:spacing w:line="500" w:lineRule="exact"/>
        <w:jc w:val="both"/>
        <w:rPr>
          <w:rFonts w:hint="eastAsia" w:ascii="宋体" w:hAnsi="宋体" w:eastAsia="宋体" w:cs="宋体"/>
          <w:color w:val="auto"/>
          <w:sz w:val="21"/>
          <w:szCs w:val="21"/>
          <w:highlight w:val="none"/>
          <w:u w:val="single"/>
        </w:rPr>
      </w:pPr>
    </w:p>
    <w:p w14:paraId="3C9BB25B">
      <w:pPr>
        <w:pStyle w:val="13"/>
        <w:spacing w:line="500" w:lineRule="exact"/>
        <w:rPr>
          <w:rFonts w:hint="eastAsia" w:ascii="宋体" w:hAnsi="宋体" w:eastAsia="宋体" w:cs="宋体"/>
          <w:color w:val="auto"/>
          <w:sz w:val="21"/>
          <w:highlight w:val="none"/>
          <w:u w:val="single"/>
        </w:rPr>
      </w:pPr>
    </w:p>
    <w:p w14:paraId="148596AB">
      <w:pPr>
        <w:widowControl/>
        <w:autoSpaceDE/>
        <w:autoSpaceDN/>
        <w:adjustRightInd/>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21"/>
          <w:szCs w:val="21"/>
          <w:highlight w:val="none"/>
        </w:rPr>
        <w:t>法定代表人身份证明</w:t>
      </w:r>
    </w:p>
    <w:p w14:paraId="7F8CBCAC">
      <w:pPr>
        <w:widowControl/>
        <w:autoSpaceDE/>
        <w:autoSpaceDN/>
        <w:adjustRightInd/>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（采购单位、代理机构）：</w:t>
      </w:r>
    </w:p>
    <w:p w14:paraId="076CBDBD">
      <w:pPr>
        <w:widowControl/>
        <w:autoSpaceDE/>
        <w:autoSpaceDN/>
        <w:adjustRightInd/>
        <w:snapToGrid w:val="0"/>
        <w:spacing w:line="480" w:lineRule="auto"/>
        <w:ind w:firstLine="1920" w:firstLineChars="800"/>
        <w:rPr>
          <w:rFonts w:hint="eastAsia" w:ascii="宋体" w:hAnsi="宋体" w:eastAsia="宋体" w:cs="宋体"/>
          <w:color w:val="auto"/>
          <w:sz w:val="24"/>
          <w:szCs w:val="24"/>
          <w:highlight w:val="none"/>
        </w:rPr>
      </w:pPr>
    </w:p>
    <w:p w14:paraId="7CC69C4B">
      <w:pPr>
        <w:widowControl/>
        <w:autoSpaceDE/>
        <w:autoSpaceDN/>
        <w:adjustRightInd/>
        <w:snapToGrid w:val="0"/>
        <w:spacing w:line="480" w:lineRule="auto"/>
        <w:ind w:left="956" w:leftChars="14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（投标单位全称）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416C2AD9">
      <w:pPr>
        <w:widowControl/>
        <w:autoSpaceDE/>
        <w:autoSpaceDN/>
        <w:adjustRightInd/>
        <w:snapToGrid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CA82071">
      <w:pPr>
        <w:widowControl/>
        <w:autoSpaceDE/>
        <w:autoSpaceDN/>
        <w:adjustRightInd/>
        <w:snapToGrid w:val="0"/>
        <w:spacing w:line="480" w:lineRule="auto"/>
        <w:rPr>
          <w:rFonts w:hint="eastAsia" w:ascii="宋体" w:hAnsi="宋体" w:eastAsia="宋体" w:cs="宋体"/>
          <w:color w:val="auto"/>
          <w:sz w:val="24"/>
          <w:szCs w:val="24"/>
          <w:highlight w:val="none"/>
        </w:rPr>
      </w:pPr>
    </w:p>
    <w:p w14:paraId="7BAF8EC8">
      <w:pPr>
        <w:widowControl/>
        <w:autoSpaceDE/>
        <w:autoSpaceDN/>
        <w:adjustRightInd/>
        <w:snapToGri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4FB9792">
      <w:pPr>
        <w:widowControl/>
        <w:autoSpaceDE/>
        <w:autoSpaceDN/>
        <w:adjustRightInd/>
        <w:snapToGrid w:val="0"/>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subscript"/>
        </w:rPr>
        <w:t>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（单位公章）</w:t>
      </w:r>
    </w:p>
    <w:p w14:paraId="1318FE27">
      <w:pPr>
        <w:widowControl/>
        <w:autoSpaceDE/>
        <w:autoSpaceDN/>
        <w:adjustRightInd/>
        <w:snapToGrid w:val="0"/>
        <w:spacing w:line="480" w:lineRule="auto"/>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AC485F">
      <w:pPr>
        <w:pStyle w:val="21"/>
        <w:autoSpaceDE/>
        <w:autoSpaceDN/>
        <w:snapToGrid w:val="0"/>
        <w:spacing w:after="0" w:line="480" w:lineRule="auto"/>
        <w:ind w:left="0" w:leftChars="0" w:firstLine="0"/>
        <w:rPr>
          <w:rFonts w:hint="eastAsia" w:ascii="宋体" w:hAnsi="宋体" w:eastAsia="宋体" w:cs="宋体"/>
          <w:color w:val="auto"/>
          <w:highlight w:val="none"/>
        </w:rPr>
      </w:pPr>
    </w:p>
    <w:p w14:paraId="69F0D0C2">
      <w:pPr>
        <w:pStyle w:val="21"/>
        <w:ind w:left="0" w:leftChars="0" w:firstLine="0"/>
        <w:rPr>
          <w:rFonts w:hint="eastAsia" w:ascii="宋体" w:hAnsi="宋体" w:eastAsia="宋体" w:cs="宋体"/>
          <w:color w:val="auto"/>
          <w:highlight w:val="none"/>
        </w:rPr>
      </w:pPr>
    </w:p>
    <w:p w14:paraId="20CFDACE">
      <w:pPr>
        <w:pStyle w:val="21"/>
        <w:ind w:left="0" w:leftChars="0" w:firstLine="0"/>
        <w:rPr>
          <w:rFonts w:hint="eastAsia" w:ascii="宋体" w:hAnsi="宋体" w:eastAsia="宋体" w:cs="宋体"/>
          <w:color w:val="auto"/>
          <w:highlight w:val="none"/>
        </w:rPr>
      </w:pPr>
    </w:p>
    <w:p w14:paraId="4A61680D">
      <w:pPr>
        <w:widowControl/>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法定代表人身份证（正反面）：</w:t>
      </w:r>
    </w:p>
    <w:p w14:paraId="7D8919C5">
      <w:pPr>
        <w:snapToGrid w:val="0"/>
        <w:spacing w:before="50" w:after="50"/>
        <w:jc w:val="center"/>
        <w:rPr>
          <w:rFonts w:hint="eastAsia" w:ascii="宋体" w:hAnsi="宋体" w:eastAsia="宋体" w:cs="宋体"/>
          <w:b/>
          <w:color w:val="auto"/>
          <w:sz w:val="24"/>
          <w:szCs w:val="22"/>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4"/>
          <w:szCs w:val="22"/>
          <w:highlight w:val="none"/>
        </w:rPr>
        <w:t>3.投标人情况表</w:t>
      </w:r>
    </w:p>
    <w:tbl>
      <w:tblPr>
        <w:tblStyle w:val="22"/>
        <w:tblW w:w="0" w:type="auto"/>
        <w:jc w:val="center"/>
        <w:tblLayout w:type="fixed"/>
        <w:tblCellMar>
          <w:top w:w="0" w:type="dxa"/>
          <w:left w:w="108" w:type="dxa"/>
          <w:bottom w:w="0" w:type="dxa"/>
          <w:right w:w="108" w:type="dxa"/>
        </w:tblCellMar>
      </w:tblPr>
      <w:tblGrid>
        <w:gridCol w:w="1980"/>
        <w:gridCol w:w="3443"/>
        <w:gridCol w:w="877"/>
        <w:gridCol w:w="650"/>
        <w:gridCol w:w="2500"/>
      </w:tblGrid>
      <w:tr w14:paraId="27DB6293">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ED1682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14:paraId="1E5BCD93">
            <w:pPr>
              <w:snapToGrid w:val="0"/>
              <w:spacing w:line="360" w:lineRule="auto"/>
              <w:rPr>
                <w:rFonts w:hint="eastAsia" w:ascii="宋体" w:hAnsi="宋体" w:eastAsia="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14:paraId="2674B23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14:paraId="7DED489A">
            <w:pPr>
              <w:snapToGrid w:val="0"/>
              <w:spacing w:line="360" w:lineRule="auto"/>
              <w:rPr>
                <w:rFonts w:hint="eastAsia" w:ascii="宋体" w:hAnsi="宋体" w:eastAsia="宋体" w:cs="宋体"/>
                <w:color w:val="auto"/>
                <w:sz w:val="21"/>
                <w:szCs w:val="21"/>
                <w:highlight w:val="none"/>
              </w:rPr>
            </w:pPr>
          </w:p>
        </w:tc>
      </w:tr>
      <w:tr w14:paraId="7545F483">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3ED7DA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3A328051">
            <w:pPr>
              <w:snapToGrid w:val="0"/>
              <w:spacing w:line="360" w:lineRule="auto"/>
              <w:rPr>
                <w:rFonts w:hint="eastAsia" w:ascii="宋体" w:hAnsi="宋体" w:eastAsia="宋体" w:cs="宋体"/>
                <w:color w:val="auto"/>
                <w:sz w:val="21"/>
                <w:szCs w:val="21"/>
                <w:highlight w:val="none"/>
              </w:rPr>
            </w:pPr>
          </w:p>
        </w:tc>
      </w:tr>
      <w:tr w14:paraId="21FC8A45">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1CCC76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24918604">
            <w:pPr>
              <w:snapToGrid w:val="0"/>
              <w:spacing w:line="360" w:lineRule="auto"/>
              <w:rPr>
                <w:rFonts w:hint="eastAsia" w:ascii="宋体" w:hAnsi="宋体" w:eastAsia="宋体" w:cs="宋体"/>
                <w:color w:val="auto"/>
                <w:sz w:val="21"/>
                <w:szCs w:val="21"/>
                <w:highlight w:val="none"/>
              </w:rPr>
            </w:pPr>
          </w:p>
        </w:tc>
      </w:tr>
      <w:tr w14:paraId="1053C629">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069C6C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543411E6">
            <w:pPr>
              <w:snapToGrid w:val="0"/>
              <w:spacing w:line="360" w:lineRule="auto"/>
              <w:rPr>
                <w:rFonts w:hint="eastAsia" w:ascii="宋体" w:hAnsi="宋体" w:eastAsia="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14:paraId="4EA7FF2D">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固定资产净值：    （万元）</w:t>
            </w:r>
          </w:p>
        </w:tc>
      </w:tr>
      <w:tr w14:paraId="7CE40C87">
        <w:tblPrEx>
          <w:tblCellMar>
            <w:top w:w="0" w:type="dxa"/>
            <w:left w:w="108" w:type="dxa"/>
            <w:bottom w:w="0" w:type="dxa"/>
            <w:right w:w="108" w:type="dxa"/>
          </w:tblCellMar>
        </w:tblPrEx>
        <w:trPr>
          <w:cantSplit/>
          <w:trHeight w:val="141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501AA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096AB6B5">
            <w:pPr>
              <w:snapToGrid w:val="0"/>
              <w:spacing w:line="360" w:lineRule="auto"/>
              <w:rPr>
                <w:rFonts w:hint="eastAsia" w:ascii="宋体" w:hAnsi="宋体" w:eastAsia="宋体" w:cs="宋体"/>
                <w:color w:val="auto"/>
                <w:sz w:val="21"/>
                <w:szCs w:val="21"/>
                <w:highlight w:val="none"/>
              </w:rPr>
            </w:pPr>
          </w:p>
        </w:tc>
      </w:tr>
      <w:tr w14:paraId="7D96B82B">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568273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621F1AD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姓名：          职务：           职称：</w:t>
            </w:r>
          </w:p>
        </w:tc>
      </w:tr>
      <w:tr w14:paraId="12A81858">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BC7A0C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6D99DE3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姓名：          职务：           职称： </w:t>
            </w:r>
          </w:p>
        </w:tc>
      </w:tr>
      <w:tr w14:paraId="64A1E468">
        <w:tblPrEx>
          <w:tblCellMar>
            <w:top w:w="0" w:type="dxa"/>
            <w:left w:w="108" w:type="dxa"/>
            <w:bottom w:w="0" w:type="dxa"/>
            <w:right w:w="108" w:type="dxa"/>
          </w:tblCellMar>
        </w:tblPrEx>
        <w:trPr>
          <w:cantSplit/>
          <w:trHeight w:val="63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2FFE4D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14:paraId="3E5F7478">
            <w:pPr>
              <w:snapToGrid w:val="0"/>
              <w:spacing w:line="360" w:lineRule="auto"/>
              <w:rPr>
                <w:rFonts w:hint="eastAsia" w:ascii="宋体" w:hAnsi="宋体" w:eastAsia="宋体" w:cs="宋体"/>
                <w:color w:val="auto"/>
                <w:sz w:val="21"/>
                <w:szCs w:val="21"/>
                <w:highlight w:val="none"/>
              </w:rPr>
            </w:pPr>
          </w:p>
        </w:tc>
      </w:tr>
      <w:tr w14:paraId="57DDF213">
        <w:tblPrEx>
          <w:tblCellMar>
            <w:top w:w="0" w:type="dxa"/>
            <w:left w:w="108" w:type="dxa"/>
            <w:bottom w:w="0" w:type="dxa"/>
            <w:right w:w="108" w:type="dxa"/>
          </w:tblCellMar>
        </w:tblPrEx>
        <w:trPr>
          <w:cantSplit/>
          <w:trHeight w:val="109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E2A284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投标人在企业注册地以外设立分支机构的情况</w:t>
            </w:r>
          </w:p>
        </w:tc>
        <w:tc>
          <w:tcPr>
            <w:tcW w:w="7470" w:type="dxa"/>
            <w:gridSpan w:val="4"/>
            <w:tcBorders>
              <w:top w:val="single" w:color="auto" w:sz="4" w:space="0"/>
              <w:left w:val="nil"/>
              <w:bottom w:val="single" w:color="auto" w:sz="4" w:space="0"/>
              <w:right w:val="single" w:color="auto" w:sz="4" w:space="0"/>
            </w:tcBorders>
            <w:vAlign w:val="center"/>
          </w:tcPr>
          <w:p w14:paraId="60B122A8">
            <w:pPr>
              <w:snapToGrid w:val="0"/>
              <w:spacing w:line="360" w:lineRule="auto"/>
              <w:rPr>
                <w:rFonts w:hint="eastAsia" w:ascii="宋体" w:hAnsi="宋体" w:eastAsia="宋体" w:cs="宋体"/>
                <w:color w:val="auto"/>
                <w:sz w:val="21"/>
                <w:szCs w:val="21"/>
                <w:highlight w:val="none"/>
              </w:rPr>
            </w:pPr>
          </w:p>
        </w:tc>
      </w:tr>
      <w:tr w14:paraId="03D15055">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6A46A1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14:paraId="1B248368">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邮编：           电话：</w:t>
            </w:r>
          </w:p>
          <w:p w14:paraId="726C2B6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w:t>
            </w:r>
          </w:p>
        </w:tc>
      </w:tr>
      <w:tr w14:paraId="678B42F9">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65C29D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14:paraId="787211E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p w14:paraId="36EE8BD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468FE8B4">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C0B18E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  司组  织</w:t>
            </w:r>
          </w:p>
          <w:p w14:paraId="319583B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vAlign w:val="center"/>
          </w:tcPr>
          <w:p w14:paraId="49BB379D">
            <w:pPr>
              <w:snapToGrid w:val="0"/>
              <w:spacing w:line="360" w:lineRule="auto"/>
              <w:jc w:val="center"/>
              <w:rPr>
                <w:rFonts w:hint="eastAsia" w:ascii="宋体" w:hAnsi="宋体" w:eastAsia="宋体" w:cs="宋体"/>
                <w:color w:val="auto"/>
                <w:sz w:val="21"/>
                <w:szCs w:val="21"/>
                <w:highlight w:val="none"/>
              </w:rPr>
            </w:pPr>
          </w:p>
        </w:tc>
      </w:tr>
    </w:tbl>
    <w:p w14:paraId="76FF6CD4">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464B5067">
      <w:pPr>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5D07D4D6">
      <w:pPr>
        <w:pStyle w:val="13"/>
        <w:snapToGrid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日期：  年  月   日</w:t>
      </w:r>
    </w:p>
    <w:p w14:paraId="3C165C74">
      <w:pPr>
        <w:snapToGrid w:val="0"/>
        <w:spacing w:before="50" w:after="50"/>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4</w:t>
      </w:r>
      <w:r>
        <w:rPr>
          <w:rFonts w:hint="eastAsia" w:ascii="宋体" w:hAnsi="宋体" w:eastAsia="宋体" w:cs="宋体"/>
          <w:b/>
          <w:bCs/>
          <w:color w:val="auto"/>
          <w:sz w:val="24"/>
          <w:szCs w:val="24"/>
          <w:highlight w:val="none"/>
        </w:rPr>
        <w:t>.投标人类似案例成功的业绩</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445B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vAlign w:val="center"/>
          </w:tcPr>
          <w:p w14:paraId="0FB6FCA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3" w:type="dxa"/>
            <w:vAlign w:val="center"/>
          </w:tcPr>
          <w:p w14:paraId="573DB5C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2324" w:type="dxa"/>
            <w:vAlign w:val="center"/>
          </w:tcPr>
          <w:p w14:paraId="6967BB5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概 况</w:t>
            </w:r>
          </w:p>
        </w:tc>
        <w:tc>
          <w:tcPr>
            <w:tcW w:w="1548" w:type="dxa"/>
            <w:vAlign w:val="center"/>
          </w:tcPr>
          <w:p w14:paraId="33A7A4B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起讫时间</w:t>
            </w:r>
          </w:p>
        </w:tc>
        <w:tc>
          <w:tcPr>
            <w:tcW w:w="1200" w:type="dxa"/>
            <w:vAlign w:val="center"/>
          </w:tcPr>
          <w:p w14:paraId="1E2B9D7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479" w:type="dxa"/>
            <w:vAlign w:val="center"/>
          </w:tcPr>
          <w:p w14:paraId="3EEFDA7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CEA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2B6D17A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77370DB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566CD668">
            <w:pPr>
              <w:widowControl/>
              <w:snapToGrid w:val="0"/>
              <w:jc w:val="center"/>
              <w:rPr>
                <w:rFonts w:hint="eastAsia" w:ascii="宋体" w:hAnsi="宋体" w:eastAsia="宋体" w:cs="宋体"/>
                <w:color w:val="auto"/>
                <w:sz w:val="24"/>
                <w:szCs w:val="24"/>
                <w:highlight w:val="none"/>
              </w:rPr>
            </w:pPr>
          </w:p>
        </w:tc>
        <w:tc>
          <w:tcPr>
            <w:tcW w:w="1548" w:type="dxa"/>
            <w:vAlign w:val="center"/>
          </w:tcPr>
          <w:p w14:paraId="05ACF0F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3D65B3E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49A7FEB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D3D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107415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5C675C3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1123512F">
            <w:pPr>
              <w:widowControl/>
              <w:snapToGrid w:val="0"/>
              <w:jc w:val="center"/>
              <w:rPr>
                <w:rFonts w:hint="eastAsia" w:ascii="宋体" w:hAnsi="宋体" w:eastAsia="宋体" w:cs="宋体"/>
                <w:color w:val="auto"/>
                <w:sz w:val="24"/>
                <w:szCs w:val="24"/>
                <w:highlight w:val="none"/>
              </w:rPr>
            </w:pPr>
          </w:p>
        </w:tc>
        <w:tc>
          <w:tcPr>
            <w:tcW w:w="1548" w:type="dxa"/>
            <w:vAlign w:val="center"/>
          </w:tcPr>
          <w:p w14:paraId="3BF5F981">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25CDF9E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4EF4446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D31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99FDE1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530FF99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49B92487">
            <w:pPr>
              <w:widowControl/>
              <w:snapToGrid w:val="0"/>
              <w:jc w:val="center"/>
              <w:rPr>
                <w:rFonts w:hint="eastAsia" w:ascii="宋体" w:hAnsi="宋体" w:eastAsia="宋体" w:cs="宋体"/>
                <w:color w:val="auto"/>
                <w:sz w:val="24"/>
                <w:szCs w:val="24"/>
                <w:highlight w:val="none"/>
              </w:rPr>
            </w:pPr>
          </w:p>
        </w:tc>
        <w:tc>
          <w:tcPr>
            <w:tcW w:w="1548" w:type="dxa"/>
            <w:vAlign w:val="center"/>
          </w:tcPr>
          <w:p w14:paraId="15DA8C5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68657F22">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430D6DE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6E5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72AE0C1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378043B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100BCE87">
            <w:pPr>
              <w:widowControl/>
              <w:snapToGrid w:val="0"/>
              <w:jc w:val="center"/>
              <w:rPr>
                <w:rFonts w:hint="eastAsia" w:ascii="宋体" w:hAnsi="宋体" w:eastAsia="宋体" w:cs="宋体"/>
                <w:color w:val="auto"/>
                <w:sz w:val="24"/>
                <w:szCs w:val="24"/>
                <w:highlight w:val="none"/>
              </w:rPr>
            </w:pPr>
          </w:p>
        </w:tc>
        <w:tc>
          <w:tcPr>
            <w:tcW w:w="1548" w:type="dxa"/>
            <w:vAlign w:val="center"/>
          </w:tcPr>
          <w:p w14:paraId="1D2ACE89">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1B6637B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15AD5809">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6A9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3DA6F40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6D6F815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6AC7BA52">
            <w:pPr>
              <w:widowControl/>
              <w:snapToGrid w:val="0"/>
              <w:jc w:val="center"/>
              <w:rPr>
                <w:rFonts w:hint="eastAsia" w:ascii="宋体" w:hAnsi="宋体" w:eastAsia="宋体" w:cs="宋体"/>
                <w:color w:val="auto"/>
                <w:sz w:val="24"/>
                <w:szCs w:val="24"/>
                <w:highlight w:val="none"/>
              </w:rPr>
            </w:pPr>
          </w:p>
        </w:tc>
        <w:tc>
          <w:tcPr>
            <w:tcW w:w="1548" w:type="dxa"/>
            <w:vAlign w:val="center"/>
          </w:tcPr>
          <w:p w14:paraId="5A5587A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77ADABC1">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7D6B94B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D9E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4F672E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115C1291">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4343DEC2">
            <w:pPr>
              <w:widowControl/>
              <w:snapToGrid w:val="0"/>
              <w:jc w:val="center"/>
              <w:rPr>
                <w:rFonts w:hint="eastAsia" w:ascii="宋体" w:hAnsi="宋体" w:eastAsia="宋体" w:cs="宋体"/>
                <w:color w:val="auto"/>
                <w:sz w:val="24"/>
                <w:szCs w:val="24"/>
                <w:highlight w:val="none"/>
              </w:rPr>
            </w:pPr>
          </w:p>
        </w:tc>
        <w:tc>
          <w:tcPr>
            <w:tcW w:w="1548" w:type="dxa"/>
            <w:vAlign w:val="center"/>
          </w:tcPr>
          <w:p w14:paraId="3954E354">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44874E7D">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45EB1F8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25F9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675FD56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2B2FDB1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55DBE45C">
            <w:pPr>
              <w:widowControl/>
              <w:snapToGrid w:val="0"/>
              <w:jc w:val="center"/>
              <w:rPr>
                <w:rFonts w:hint="eastAsia" w:ascii="宋体" w:hAnsi="宋体" w:eastAsia="宋体" w:cs="宋体"/>
                <w:color w:val="auto"/>
                <w:sz w:val="24"/>
                <w:szCs w:val="24"/>
                <w:highlight w:val="none"/>
              </w:rPr>
            </w:pPr>
          </w:p>
        </w:tc>
        <w:tc>
          <w:tcPr>
            <w:tcW w:w="1548" w:type="dxa"/>
            <w:vAlign w:val="center"/>
          </w:tcPr>
          <w:p w14:paraId="659B4F3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33512D0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79E21D8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575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AF8765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1D46F617">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76BD3C5C">
            <w:pPr>
              <w:widowControl/>
              <w:snapToGrid w:val="0"/>
              <w:jc w:val="center"/>
              <w:rPr>
                <w:rFonts w:hint="eastAsia" w:ascii="宋体" w:hAnsi="宋体" w:eastAsia="宋体" w:cs="宋体"/>
                <w:color w:val="auto"/>
                <w:sz w:val="24"/>
                <w:szCs w:val="24"/>
                <w:highlight w:val="none"/>
              </w:rPr>
            </w:pPr>
          </w:p>
        </w:tc>
        <w:tc>
          <w:tcPr>
            <w:tcW w:w="1548" w:type="dxa"/>
            <w:vAlign w:val="center"/>
          </w:tcPr>
          <w:p w14:paraId="1DD3AE4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3415BCC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63F4BE7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4C6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vAlign w:val="center"/>
          </w:tcPr>
          <w:p w14:paraId="0B67E47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3" w:type="dxa"/>
            <w:vAlign w:val="center"/>
          </w:tcPr>
          <w:p w14:paraId="53931AE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4" w:type="dxa"/>
          </w:tcPr>
          <w:p w14:paraId="19053207">
            <w:pPr>
              <w:widowControl/>
              <w:snapToGrid w:val="0"/>
              <w:jc w:val="center"/>
              <w:rPr>
                <w:rFonts w:hint="eastAsia" w:ascii="宋体" w:hAnsi="宋体" w:eastAsia="宋体" w:cs="宋体"/>
                <w:color w:val="auto"/>
                <w:sz w:val="24"/>
                <w:szCs w:val="24"/>
                <w:highlight w:val="none"/>
              </w:rPr>
            </w:pPr>
          </w:p>
        </w:tc>
        <w:tc>
          <w:tcPr>
            <w:tcW w:w="1548" w:type="dxa"/>
            <w:vAlign w:val="center"/>
          </w:tcPr>
          <w:p w14:paraId="23120F2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200" w:type="dxa"/>
            <w:vAlign w:val="center"/>
          </w:tcPr>
          <w:p w14:paraId="1433C88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79" w:type="dxa"/>
            <w:vAlign w:val="center"/>
          </w:tcPr>
          <w:p w14:paraId="5D0C6BFC">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30AE36E7">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68503800">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全称（加盖公章）：                     </w:t>
      </w:r>
    </w:p>
    <w:p w14:paraId="6687A435">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2C797F4B">
      <w:pPr>
        <w:jc w:val="center"/>
        <w:rPr>
          <w:rFonts w:hint="eastAsia" w:ascii="宋体" w:hAnsi="宋体" w:eastAsia="宋体" w:cs="宋体"/>
          <w:b/>
          <w:color w:val="auto"/>
          <w:sz w:val="21"/>
          <w:szCs w:val="21"/>
          <w:highlight w:val="none"/>
        </w:rPr>
      </w:pPr>
      <w:bookmarkStart w:id="63" w:name="_Toc296075064"/>
      <w:bookmarkStart w:id="64" w:name="_Toc295910890"/>
      <w:bookmarkStart w:id="65" w:name="_Toc354841327"/>
      <w:bookmarkStart w:id="66" w:name="_Toc295737642"/>
      <w:bookmarkStart w:id="67" w:name="_Toc296074353"/>
    </w:p>
    <w:p w14:paraId="63D525CA">
      <w:pPr>
        <w:jc w:val="center"/>
        <w:rPr>
          <w:rFonts w:hint="eastAsia" w:ascii="宋体" w:hAnsi="宋体" w:eastAsia="宋体" w:cs="宋体"/>
          <w:b/>
          <w:color w:val="auto"/>
          <w:sz w:val="21"/>
          <w:szCs w:val="21"/>
          <w:highlight w:val="none"/>
        </w:rPr>
      </w:pPr>
    </w:p>
    <w:p w14:paraId="49738201">
      <w:pPr>
        <w:jc w:val="center"/>
        <w:rPr>
          <w:rFonts w:hint="eastAsia" w:ascii="宋体" w:hAnsi="宋体" w:eastAsia="宋体" w:cs="宋体"/>
          <w:b/>
          <w:color w:val="auto"/>
          <w:sz w:val="21"/>
          <w:szCs w:val="21"/>
          <w:highlight w:val="none"/>
        </w:rPr>
      </w:pPr>
    </w:p>
    <w:p w14:paraId="6F482081">
      <w:pPr>
        <w:jc w:val="center"/>
        <w:rPr>
          <w:rFonts w:hint="eastAsia" w:ascii="宋体" w:hAnsi="宋体" w:eastAsia="宋体" w:cs="宋体"/>
          <w:b/>
          <w:color w:val="auto"/>
          <w:sz w:val="21"/>
          <w:szCs w:val="21"/>
          <w:highlight w:val="none"/>
        </w:rPr>
      </w:pPr>
    </w:p>
    <w:p w14:paraId="39DCD7C8">
      <w:pPr>
        <w:jc w:val="center"/>
        <w:rPr>
          <w:rFonts w:hint="eastAsia" w:ascii="宋体" w:hAnsi="宋体" w:eastAsia="宋体" w:cs="宋体"/>
          <w:b/>
          <w:color w:val="auto"/>
          <w:sz w:val="21"/>
          <w:szCs w:val="21"/>
          <w:highlight w:val="none"/>
        </w:rPr>
      </w:pPr>
    </w:p>
    <w:p w14:paraId="7F7036ED">
      <w:pPr>
        <w:jc w:val="center"/>
        <w:rPr>
          <w:rFonts w:hint="eastAsia" w:ascii="宋体" w:hAnsi="宋体" w:eastAsia="宋体" w:cs="宋体"/>
          <w:b/>
          <w:color w:val="auto"/>
          <w:sz w:val="21"/>
          <w:szCs w:val="21"/>
          <w:highlight w:val="none"/>
        </w:rPr>
      </w:pPr>
    </w:p>
    <w:p w14:paraId="3F9C4593">
      <w:pPr>
        <w:jc w:val="center"/>
        <w:rPr>
          <w:rFonts w:hint="eastAsia" w:ascii="宋体" w:hAnsi="宋体" w:eastAsia="宋体" w:cs="宋体"/>
          <w:b/>
          <w:color w:val="auto"/>
          <w:sz w:val="21"/>
          <w:szCs w:val="21"/>
          <w:highlight w:val="none"/>
        </w:rPr>
      </w:pPr>
    </w:p>
    <w:p w14:paraId="2F51F0FD">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4"/>
          <w:szCs w:val="22"/>
          <w:highlight w:val="none"/>
        </w:rPr>
        <w:t>5.</w:t>
      </w:r>
      <w:r>
        <w:rPr>
          <w:rFonts w:hint="eastAsia" w:hAnsi="宋体" w:cs="宋体"/>
          <w:b/>
          <w:color w:val="auto"/>
          <w:sz w:val="24"/>
          <w:szCs w:val="22"/>
          <w:highlight w:val="none"/>
          <w:lang w:eastAsia="zh-CN"/>
        </w:rPr>
        <w:t>项目人员情况</w:t>
      </w:r>
      <w:r>
        <w:rPr>
          <w:rFonts w:hint="eastAsia" w:ascii="宋体" w:hAnsi="宋体" w:eastAsia="宋体" w:cs="宋体"/>
          <w:b/>
          <w:color w:val="auto"/>
          <w:sz w:val="24"/>
          <w:szCs w:val="22"/>
          <w:highlight w:val="none"/>
        </w:rPr>
        <w:t>表</w:t>
      </w:r>
      <w:bookmarkEnd w:id="63"/>
      <w:bookmarkEnd w:id="64"/>
      <w:bookmarkEnd w:id="65"/>
      <w:bookmarkEnd w:id="66"/>
      <w:bookmarkEnd w:id="67"/>
      <w:r>
        <w:rPr>
          <w:rFonts w:hint="eastAsia" w:ascii="宋体" w:hAnsi="宋体" w:eastAsia="宋体" w:cs="宋体"/>
          <w:color w:val="auto"/>
          <w:sz w:val="21"/>
          <w:szCs w:val="21"/>
          <w:highlight w:val="none"/>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837"/>
        <w:gridCol w:w="709"/>
        <w:gridCol w:w="709"/>
        <w:gridCol w:w="1417"/>
        <w:gridCol w:w="1276"/>
        <w:gridCol w:w="2218"/>
      </w:tblGrid>
      <w:tr w14:paraId="1E44B2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tcBorders>
              <w:top w:val="single" w:color="auto" w:sz="4" w:space="0"/>
            </w:tcBorders>
            <w:vAlign w:val="center"/>
          </w:tcPr>
          <w:p w14:paraId="49F3544A">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837" w:type="dxa"/>
            <w:tcBorders>
              <w:top w:val="single" w:color="auto" w:sz="4" w:space="0"/>
            </w:tcBorders>
            <w:vAlign w:val="center"/>
          </w:tcPr>
          <w:p w14:paraId="0A148538">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本项目主要工作</w:t>
            </w:r>
          </w:p>
        </w:tc>
        <w:tc>
          <w:tcPr>
            <w:tcW w:w="709" w:type="dxa"/>
            <w:tcBorders>
              <w:top w:val="single" w:color="auto" w:sz="4" w:space="0"/>
            </w:tcBorders>
            <w:vAlign w:val="center"/>
          </w:tcPr>
          <w:p w14:paraId="4DAEEE3A">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年龄</w:t>
            </w:r>
          </w:p>
        </w:tc>
        <w:tc>
          <w:tcPr>
            <w:tcW w:w="709" w:type="dxa"/>
            <w:tcBorders>
              <w:top w:val="single" w:color="auto" w:sz="4" w:space="0"/>
            </w:tcBorders>
            <w:vAlign w:val="center"/>
          </w:tcPr>
          <w:p w14:paraId="1949A35B">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性别</w:t>
            </w:r>
          </w:p>
        </w:tc>
        <w:tc>
          <w:tcPr>
            <w:tcW w:w="1417" w:type="dxa"/>
            <w:tcBorders>
              <w:top w:val="single" w:color="auto" w:sz="4" w:space="0"/>
            </w:tcBorders>
            <w:vAlign w:val="center"/>
          </w:tcPr>
          <w:p w14:paraId="5A8E29A0">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职称/职务</w:t>
            </w:r>
          </w:p>
        </w:tc>
        <w:tc>
          <w:tcPr>
            <w:tcW w:w="1276" w:type="dxa"/>
            <w:tcBorders>
              <w:top w:val="single" w:color="auto" w:sz="4" w:space="0"/>
            </w:tcBorders>
            <w:vAlign w:val="center"/>
          </w:tcPr>
          <w:p w14:paraId="4C22F327">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专业/年限</w:t>
            </w:r>
          </w:p>
        </w:tc>
        <w:tc>
          <w:tcPr>
            <w:tcW w:w="2218" w:type="dxa"/>
            <w:tcBorders>
              <w:top w:val="single" w:color="auto" w:sz="4" w:space="0"/>
            </w:tcBorders>
            <w:vAlign w:val="center"/>
          </w:tcPr>
          <w:p w14:paraId="06A6B023">
            <w:pPr>
              <w:snapToGrid w:val="0"/>
              <w:spacing w:line="4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r>
      <w:tr w14:paraId="3D3E5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3208C776">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E7B7BE7">
            <w:pPr>
              <w:snapToGrid w:val="0"/>
              <w:spacing w:line="460" w:lineRule="exact"/>
              <w:jc w:val="center"/>
              <w:rPr>
                <w:rFonts w:hint="eastAsia" w:ascii="宋体" w:hAnsi="宋体" w:eastAsia="宋体" w:cs="宋体"/>
                <w:bCs/>
                <w:color w:val="auto"/>
                <w:sz w:val="21"/>
                <w:szCs w:val="21"/>
                <w:highlight w:val="none"/>
              </w:rPr>
            </w:pPr>
          </w:p>
        </w:tc>
        <w:tc>
          <w:tcPr>
            <w:tcW w:w="709" w:type="dxa"/>
            <w:vAlign w:val="center"/>
          </w:tcPr>
          <w:p w14:paraId="4F1BCB24">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6684D716">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68B97E25">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59A8A290">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7CFCB66F">
            <w:pPr>
              <w:snapToGrid w:val="0"/>
              <w:spacing w:line="460" w:lineRule="exact"/>
              <w:rPr>
                <w:rFonts w:hint="eastAsia" w:ascii="宋体" w:hAnsi="宋体" w:eastAsia="宋体" w:cs="宋体"/>
                <w:color w:val="auto"/>
                <w:sz w:val="21"/>
                <w:szCs w:val="21"/>
                <w:highlight w:val="none"/>
              </w:rPr>
            </w:pPr>
          </w:p>
        </w:tc>
      </w:tr>
      <w:tr w14:paraId="66C20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48BA4B9B">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61D03DF">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7D7008B0">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7462E58">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3D502941">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7DEBFE7E">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5EA79430">
            <w:pPr>
              <w:snapToGrid w:val="0"/>
              <w:spacing w:line="460" w:lineRule="exact"/>
              <w:rPr>
                <w:rFonts w:hint="eastAsia" w:ascii="宋体" w:hAnsi="宋体" w:eastAsia="宋体" w:cs="宋体"/>
                <w:color w:val="auto"/>
                <w:sz w:val="21"/>
                <w:szCs w:val="21"/>
                <w:highlight w:val="none"/>
              </w:rPr>
            </w:pPr>
          </w:p>
        </w:tc>
      </w:tr>
      <w:tr w14:paraId="7402CB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327C0514">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0A09285">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246F14B7">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753BBC86">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738ED720">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2FFC09E9">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78354075">
            <w:pPr>
              <w:snapToGrid w:val="0"/>
              <w:spacing w:line="460" w:lineRule="exact"/>
              <w:rPr>
                <w:rFonts w:hint="eastAsia" w:ascii="宋体" w:hAnsi="宋体" w:eastAsia="宋体" w:cs="宋体"/>
                <w:color w:val="auto"/>
                <w:sz w:val="21"/>
                <w:szCs w:val="21"/>
                <w:highlight w:val="none"/>
              </w:rPr>
            </w:pPr>
          </w:p>
        </w:tc>
      </w:tr>
      <w:tr w14:paraId="2E7BA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13DE6FF">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029B1988">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36FAF2D3">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C17AA8D">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53D6370F">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57B57A31">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0F04F70C">
            <w:pPr>
              <w:snapToGrid w:val="0"/>
              <w:spacing w:line="460" w:lineRule="exact"/>
              <w:rPr>
                <w:rFonts w:hint="eastAsia" w:ascii="宋体" w:hAnsi="宋体" w:eastAsia="宋体" w:cs="宋体"/>
                <w:color w:val="auto"/>
                <w:sz w:val="21"/>
                <w:szCs w:val="21"/>
                <w:highlight w:val="none"/>
              </w:rPr>
            </w:pPr>
          </w:p>
        </w:tc>
      </w:tr>
      <w:tr w14:paraId="1849C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26CE71F">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439B7C8">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CA191D5">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0421C26">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5679E6D7">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2B971B36">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4E8A6084">
            <w:pPr>
              <w:snapToGrid w:val="0"/>
              <w:spacing w:line="460" w:lineRule="exact"/>
              <w:rPr>
                <w:rFonts w:hint="eastAsia" w:ascii="宋体" w:hAnsi="宋体" w:eastAsia="宋体" w:cs="宋体"/>
                <w:color w:val="auto"/>
                <w:sz w:val="21"/>
                <w:szCs w:val="21"/>
                <w:highlight w:val="none"/>
              </w:rPr>
            </w:pPr>
          </w:p>
        </w:tc>
      </w:tr>
      <w:tr w14:paraId="5ED7C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E44076E">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3DC681CD">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1EF215D0">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7C264A1F">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68E7B2F4">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36BE0A05">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792C45DA">
            <w:pPr>
              <w:snapToGrid w:val="0"/>
              <w:spacing w:line="460" w:lineRule="exact"/>
              <w:rPr>
                <w:rFonts w:hint="eastAsia" w:ascii="宋体" w:hAnsi="宋体" w:eastAsia="宋体" w:cs="宋体"/>
                <w:color w:val="auto"/>
                <w:sz w:val="21"/>
                <w:szCs w:val="21"/>
                <w:highlight w:val="none"/>
              </w:rPr>
            </w:pPr>
          </w:p>
        </w:tc>
      </w:tr>
      <w:tr w14:paraId="47555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4A9E660">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2F4D1F3">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2F878176">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76A4D26A">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2424C4ED">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4613C143">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2A6CECDF">
            <w:pPr>
              <w:snapToGrid w:val="0"/>
              <w:spacing w:line="460" w:lineRule="exact"/>
              <w:rPr>
                <w:rFonts w:hint="eastAsia" w:ascii="宋体" w:hAnsi="宋体" w:eastAsia="宋体" w:cs="宋体"/>
                <w:color w:val="auto"/>
                <w:sz w:val="21"/>
                <w:szCs w:val="21"/>
                <w:highlight w:val="none"/>
              </w:rPr>
            </w:pPr>
          </w:p>
        </w:tc>
      </w:tr>
      <w:tr w14:paraId="091557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20AF6907">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620A54CD">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C6068E3">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35CFBFEE">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5050C9F5">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33A4DA85">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77D4EE04">
            <w:pPr>
              <w:snapToGrid w:val="0"/>
              <w:spacing w:line="460" w:lineRule="exact"/>
              <w:rPr>
                <w:rFonts w:hint="eastAsia" w:ascii="宋体" w:hAnsi="宋体" w:eastAsia="宋体" w:cs="宋体"/>
                <w:color w:val="auto"/>
                <w:sz w:val="21"/>
                <w:szCs w:val="21"/>
                <w:highlight w:val="none"/>
              </w:rPr>
            </w:pPr>
          </w:p>
        </w:tc>
      </w:tr>
      <w:tr w14:paraId="1B547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3482829">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531B8B0F">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23C088BF">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415AA594">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09AA5800">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102FA270">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54294D49">
            <w:pPr>
              <w:snapToGrid w:val="0"/>
              <w:spacing w:line="460" w:lineRule="exact"/>
              <w:rPr>
                <w:rFonts w:hint="eastAsia" w:ascii="宋体" w:hAnsi="宋体" w:eastAsia="宋体" w:cs="宋体"/>
                <w:color w:val="auto"/>
                <w:sz w:val="21"/>
                <w:szCs w:val="21"/>
                <w:highlight w:val="none"/>
              </w:rPr>
            </w:pPr>
          </w:p>
        </w:tc>
      </w:tr>
      <w:tr w14:paraId="7F7A4B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577C8582">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473C2777">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76988BCD">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176B8EA2">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3AFECE2C">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43AA3508">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2FE27ED8">
            <w:pPr>
              <w:snapToGrid w:val="0"/>
              <w:spacing w:line="460" w:lineRule="exact"/>
              <w:rPr>
                <w:rFonts w:hint="eastAsia" w:ascii="宋体" w:hAnsi="宋体" w:eastAsia="宋体" w:cs="宋体"/>
                <w:color w:val="auto"/>
                <w:sz w:val="21"/>
                <w:szCs w:val="21"/>
                <w:highlight w:val="none"/>
              </w:rPr>
            </w:pPr>
          </w:p>
        </w:tc>
      </w:tr>
      <w:tr w14:paraId="30E54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010E9EE1">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38983084">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323D194F">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503E3CCE">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4797D25A">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698FBF40">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5A97064C">
            <w:pPr>
              <w:snapToGrid w:val="0"/>
              <w:spacing w:line="460" w:lineRule="exact"/>
              <w:rPr>
                <w:rFonts w:hint="eastAsia" w:ascii="宋体" w:hAnsi="宋体" w:eastAsia="宋体" w:cs="宋体"/>
                <w:color w:val="auto"/>
                <w:sz w:val="21"/>
                <w:szCs w:val="21"/>
                <w:highlight w:val="none"/>
              </w:rPr>
            </w:pPr>
          </w:p>
        </w:tc>
      </w:tr>
      <w:tr w14:paraId="539E25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vAlign w:val="center"/>
          </w:tcPr>
          <w:p w14:paraId="38588548">
            <w:pPr>
              <w:snapToGrid w:val="0"/>
              <w:spacing w:line="460" w:lineRule="exact"/>
              <w:rPr>
                <w:rFonts w:hint="eastAsia" w:ascii="宋体" w:hAnsi="宋体" w:eastAsia="宋体" w:cs="宋体"/>
                <w:color w:val="auto"/>
                <w:sz w:val="21"/>
                <w:szCs w:val="21"/>
                <w:highlight w:val="none"/>
              </w:rPr>
            </w:pPr>
          </w:p>
        </w:tc>
        <w:tc>
          <w:tcPr>
            <w:tcW w:w="1837" w:type="dxa"/>
            <w:vAlign w:val="center"/>
          </w:tcPr>
          <w:p w14:paraId="5A436976">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6DB4962B">
            <w:pPr>
              <w:snapToGrid w:val="0"/>
              <w:spacing w:line="460" w:lineRule="exact"/>
              <w:rPr>
                <w:rFonts w:hint="eastAsia" w:ascii="宋体" w:hAnsi="宋体" w:eastAsia="宋体" w:cs="宋体"/>
                <w:color w:val="auto"/>
                <w:sz w:val="21"/>
                <w:szCs w:val="21"/>
                <w:highlight w:val="none"/>
              </w:rPr>
            </w:pPr>
          </w:p>
        </w:tc>
        <w:tc>
          <w:tcPr>
            <w:tcW w:w="709" w:type="dxa"/>
            <w:vAlign w:val="center"/>
          </w:tcPr>
          <w:p w14:paraId="0337AD09">
            <w:pPr>
              <w:snapToGrid w:val="0"/>
              <w:spacing w:line="460" w:lineRule="exact"/>
              <w:rPr>
                <w:rFonts w:hint="eastAsia" w:ascii="宋体" w:hAnsi="宋体" w:eastAsia="宋体" w:cs="宋体"/>
                <w:color w:val="auto"/>
                <w:sz w:val="21"/>
                <w:szCs w:val="21"/>
                <w:highlight w:val="none"/>
              </w:rPr>
            </w:pPr>
          </w:p>
        </w:tc>
        <w:tc>
          <w:tcPr>
            <w:tcW w:w="1417" w:type="dxa"/>
            <w:vAlign w:val="center"/>
          </w:tcPr>
          <w:p w14:paraId="6B4DBBDD">
            <w:pPr>
              <w:snapToGrid w:val="0"/>
              <w:spacing w:line="460" w:lineRule="exact"/>
              <w:rPr>
                <w:rFonts w:hint="eastAsia" w:ascii="宋体" w:hAnsi="宋体" w:eastAsia="宋体" w:cs="宋体"/>
                <w:color w:val="auto"/>
                <w:sz w:val="21"/>
                <w:szCs w:val="21"/>
                <w:highlight w:val="none"/>
              </w:rPr>
            </w:pPr>
          </w:p>
        </w:tc>
        <w:tc>
          <w:tcPr>
            <w:tcW w:w="1276" w:type="dxa"/>
            <w:vAlign w:val="center"/>
          </w:tcPr>
          <w:p w14:paraId="046EB6E4">
            <w:pPr>
              <w:snapToGrid w:val="0"/>
              <w:spacing w:line="460" w:lineRule="exact"/>
              <w:rPr>
                <w:rFonts w:hint="eastAsia" w:ascii="宋体" w:hAnsi="宋体" w:eastAsia="宋体" w:cs="宋体"/>
                <w:color w:val="auto"/>
                <w:sz w:val="21"/>
                <w:szCs w:val="21"/>
                <w:highlight w:val="none"/>
              </w:rPr>
            </w:pPr>
          </w:p>
        </w:tc>
        <w:tc>
          <w:tcPr>
            <w:tcW w:w="2218" w:type="dxa"/>
            <w:vAlign w:val="center"/>
          </w:tcPr>
          <w:p w14:paraId="28AF258C">
            <w:pPr>
              <w:snapToGrid w:val="0"/>
              <w:spacing w:line="460" w:lineRule="exact"/>
              <w:rPr>
                <w:rFonts w:hint="eastAsia" w:ascii="宋体" w:hAnsi="宋体" w:eastAsia="宋体" w:cs="宋体"/>
                <w:color w:val="auto"/>
                <w:sz w:val="21"/>
                <w:szCs w:val="21"/>
                <w:highlight w:val="none"/>
              </w:rPr>
            </w:pPr>
          </w:p>
        </w:tc>
      </w:tr>
      <w:tr w14:paraId="549DD6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40" w:type="dxa"/>
            <w:tcBorders>
              <w:bottom w:val="single" w:color="auto" w:sz="4" w:space="0"/>
            </w:tcBorders>
            <w:vAlign w:val="center"/>
          </w:tcPr>
          <w:p w14:paraId="5469E559">
            <w:pPr>
              <w:snapToGrid w:val="0"/>
              <w:spacing w:line="460" w:lineRule="exact"/>
              <w:rPr>
                <w:rFonts w:hint="eastAsia" w:ascii="宋体" w:hAnsi="宋体" w:eastAsia="宋体" w:cs="宋体"/>
                <w:color w:val="auto"/>
                <w:sz w:val="21"/>
                <w:szCs w:val="21"/>
                <w:highlight w:val="none"/>
              </w:rPr>
            </w:pPr>
          </w:p>
        </w:tc>
        <w:tc>
          <w:tcPr>
            <w:tcW w:w="1837" w:type="dxa"/>
            <w:tcBorders>
              <w:bottom w:val="single" w:color="auto" w:sz="4" w:space="0"/>
            </w:tcBorders>
            <w:vAlign w:val="center"/>
          </w:tcPr>
          <w:p w14:paraId="72BD1F3E">
            <w:pPr>
              <w:snapToGrid w:val="0"/>
              <w:spacing w:line="460" w:lineRule="exact"/>
              <w:rPr>
                <w:rFonts w:hint="eastAsia" w:ascii="宋体" w:hAnsi="宋体" w:eastAsia="宋体" w:cs="宋体"/>
                <w:color w:val="auto"/>
                <w:sz w:val="21"/>
                <w:szCs w:val="21"/>
                <w:highlight w:val="none"/>
              </w:rPr>
            </w:pPr>
          </w:p>
        </w:tc>
        <w:tc>
          <w:tcPr>
            <w:tcW w:w="709" w:type="dxa"/>
            <w:tcBorders>
              <w:bottom w:val="single" w:color="auto" w:sz="4" w:space="0"/>
            </w:tcBorders>
            <w:vAlign w:val="center"/>
          </w:tcPr>
          <w:p w14:paraId="083AEACC">
            <w:pPr>
              <w:snapToGrid w:val="0"/>
              <w:spacing w:line="460" w:lineRule="exact"/>
              <w:rPr>
                <w:rFonts w:hint="eastAsia" w:ascii="宋体" w:hAnsi="宋体" w:eastAsia="宋体" w:cs="宋体"/>
                <w:color w:val="auto"/>
                <w:sz w:val="21"/>
                <w:szCs w:val="21"/>
                <w:highlight w:val="none"/>
              </w:rPr>
            </w:pPr>
          </w:p>
        </w:tc>
        <w:tc>
          <w:tcPr>
            <w:tcW w:w="709" w:type="dxa"/>
            <w:tcBorders>
              <w:bottom w:val="single" w:color="auto" w:sz="4" w:space="0"/>
            </w:tcBorders>
            <w:vAlign w:val="center"/>
          </w:tcPr>
          <w:p w14:paraId="293D046B">
            <w:pPr>
              <w:snapToGrid w:val="0"/>
              <w:spacing w:line="460" w:lineRule="exact"/>
              <w:rPr>
                <w:rFonts w:hint="eastAsia" w:ascii="宋体" w:hAnsi="宋体" w:eastAsia="宋体" w:cs="宋体"/>
                <w:color w:val="auto"/>
                <w:sz w:val="21"/>
                <w:szCs w:val="21"/>
                <w:highlight w:val="none"/>
              </w:rPr>
            </w:pPr>
          </w:p>
        </w:tc>
        <w:tc>
          <w:tcPr>
            <w:tcW w:w="1417" w:type="dxa"/>
            <w:tcBorders>
              <w:bottom w:val="single" w:color="auto" w:sz="4" w:space="0"/>
            </w:tcBorders>
            <w:vAlign w:val="center"/>
          </w:tcPr>
          <w:p w14:paraId="19758EB0">
            <w:pPr>
              <w:snapToGrid w:val="0"/>
              <w:spacing w:line="460" w:lineRule="exact"/>
              <w:rPr>
                <w:rFonts w:hint="eastAsia" w:ascii="宋体" w:hAnsi="宋体" w:eastAsia="宋体" w:cs="宋体"/>
                <w:color w:val="auto"/>
                <w:sz w:val="21"/>
                <w:szCs w:val="21"/>
                <w:highlight w:val="none"/>
              </w:rPr>
            </w:pPr>
          </w:p>
        </w:tc>
        <w:tc>
          <w:tcPr>
            <w:tcW w:w="1276" w:type="dxa"/>
            <w:tcBorders>
              <w:bottom w:val="single" w:color="auto" w:sz="4" w:space="0"/>
            </w:tcBorders>
            <w:vAlign w:val="center"/>
          </w:tcPr>
          <w:p w14:paraId="61DA681E">
            <w:pPr>
              <w:snapToGrid w:val="0"/>
              <w:spacing w:line="460" w:lineRule="exact"/>
              <w:rPr>
                <w:rFonts w:hint="eastAsia" w:ascii="宋体" w:hAnsi="宋体" w:eastAsia="宋体" w:cs="宋体"/>
                <w:color w:val="auto"/>
                <w:sz w:val="21"/>
                <w:szCs w:val="21"/>
                <w:highlight w:val="none"/>
              </w:rPr>
            </w:pPr>
          </w:p>
        </w:tc>
        <w:tc>
          <w:tcPr>
            <w:tcW w:w="2218" w:type="dxa"/>
            <w:tcBorders>
              <w:bottom w:val="single" w:color="auto" w:sz="4" w:space="0"/>
            </w:tcBorders>
            <w:vAlign w:val="center"/>
          </w:tcPr>
          <w:p w14:paraId="652DCDEE">
            <w:pPr>
              <w:snapToGrid w:val="0"/>
              <w:spacing w:line="460" w:lineRule="exact"/>
              <w:rPr>
                <w:rFonts w:hint="eastAsia" w:ascii="宋体" w:hAnsi="宋体" w:eastAsia="宋体" w:cs="宋体"/>
                <w:color w:val="auto"/>
                <w:sz w:val="21"/>
                <w:szCs w:val="21"/>
                <w:highlight w:val="none"/>
              </w:rPr>
            </w:pPr>
          </w:p>
        </w:tc>
      </w:tr>
    </w:tbl>
    <w:p w14:paraId="69DADA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  1.此表在不改变表式的情况下，可自行制作。</w:t>
      </w:r>
    </w:p>
    <w:p w14:paraId="030D26F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2.提供相关专业人员的资格执业证书复印件并加盖公章。</w:t>
      </w:r>
    </w:p>
    <w:p w14:paraId="29181069">
      <w:pPr>
        <w:spacing w:line="500" w:lineRule="exact"/>
        <w:ind w:firstLine="420" w:firstLineChars="200"/>
        <w:rPr>
          <w:rFonts w:hint="eastAsia" w:ascii="宋体" w:hAnsi="宋体" w:eastAsia="宋体" w:cs="宋体"/>
          <w:color w:val="auto"/>
          <w:sz w:val="21"/>
          <w:szCs w:val="21"/>
          <w:highlight w:val="none"/>
        </w:rPr>
      </w:pPr>
    </w:p>
    <w:p w14:paraId="6F94B993">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79A40D74">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2D083EBC">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BE101F5">
      <w:pPr>
        <w:rPr>
          <w:rFonts w:hint="eastAsia" w:ascii="宋体" w:hAnsi="宋体" w:eastAsia="宋体" w:cs="宋体"/>
          <w:color w:val="auto"/>
          <w:sz w:val="21"/>
          <w:szCs w:val="21"/>
          <w:highlight w:val="none"/>
        </w:rPr>
      </w:pPr>
    </w:p>
    <w:p w14:paraId="48B2FD22">
      <w:pPr>
        <w:jc w:val="center"/>
        <w:rPr>
          <w:rFonts w:hint="eastAsia" w:ascii="宋体" w:hAnsi="宋体" w:eastAsia="宋体" w:cs="宋体"/>
          <w:b/>
          <w:bCs/>
          <w:color w:val="auto"/>
          <w:sz w:val="24"/>
          <w:szCs w:val="24"/>
          <w:highlight w:val="none"/>
        </w:rPr>
      </w:pPr>
    </w:p>
    <w:p w14:paraId="0763AD85">
      <w:pPr>
        <w:jc w:val="center"/>
        <w:rPr>
          <w:rFonts w:hint="eastAsia" w:ascii="宋体" w:hAnsi="宋体" w:eastAsia="宋体" w:cs="宋体"/>
          <w:b/>
          <w:bCs/>
          <w:color w:val="auto"/>
          <w:sz w:val="24"/>
          <w:szCs w:val="24"/>
          <w:highlight w:val="none"/>
        </w:rPr>
      </w:pPr>
    </w:p>
    <w:p w14:paraId="2B0F41A7">
      <w:pPr>
        <w:jc w:val="center"/>
        <w:rPr>
          <w:rFonts w:hint="eastAsia" w:ascii="宋体" w:hAnsi="宋体" w:eastAsia="宋体" w:cs="宋体"/>
          <w:b/>
          <w:bCs/>
          <w:color w:val="auto"/>
          <w:sz w:val="24"/>
          <w:szCs w:val="24"/>
          <w:highlight w:val="none"/>
        </w:rPr>
      </w:pPr>
    </w:p>
    <w:p w14:paraId="215D09C0">
      <w:pPr>
        <w:jc w:val="center"/>
        <w:rPr>
          <w:rFonts w:hint="eastAsia" w:ascii="宋体" w:hAnsi="宋体" w:eastAsia="宋体" w:cs="宋体"/>
          <w:b/>
          <w:bCs/>
          <w:color w:val="auto"/>
          <w:sz w:val="24"/>
          <w:szCs w:val="24"/>
          <w:highlight w:val="none"/>
        </w:rPr>
      </w:pPr>
    </w:p>
    <w:p w14:paraId="78963A56">
      <w:pPr>
        <w:adjustRightInd w:val="0"/>
        <w:snapToGrid w:val="0"/>
        <w:spacing w:before="100" w:beforeAutospacing="1" w:after="100" w:afterAutospacing="1"/>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拟投入本项目的设备明细表</w:t>
      </w:r>
    </w:p>
    <w:tbl>
      <w:tblPr>
        <w:tblStyle w:val="22"/>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44"/>
        <w:gridCol w:w="2835"/>
        <w:gridCol w:w="1353"/>
        <w:gridCol w:w="1353"/>
      </w:tblGrid>
      <w:tr w14:paraId="40B5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7333D82">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5765E4E">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F14A2E9">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65AFDFF">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D2C2ED7">
            <w:pPr>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000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576A5BE">
            <w:pPr>
              <w:adjustRightInd w:val="0"/>
              <w:snapToGrid w:val="0"/>
              <w:spacing w:line="360" w:lineRule="auto"/>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F5C3BFD">
            <w:pPr>
              <w:adjustRightInd w:val="0"/>
              <w:snapToGrid w:val="0"/>
              <w:spacing w:line="360" w:lineRule="auto"/>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799A28">
            <w:pPr>
              <w:adjustRightInd w:val="0"/>
              <w:snapToGrid w:val="0"/>
              <w:spacing w:line="360" w:lineRule="auto"/>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B51E701">
            <w:pPr>
              <w:adjustRightInd w:val="0"/>
              <w:snapToGrid w:val="0"/>
              <w:spacing w:line="360" w:lineRule="auto"/>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D1D5BC1">
            <w:pPr>
              <w:adjustRightInd w:val="0"/>
              <w:snapToGrid w:val="0"/>
              <w:spacing w:line="360" w:lineRule="auto"/>
              <w:rPr>
                <w:rFonts w:hint="eastAsia" w:ascii="宋体" w:hAnsi="宋体" w:eastAsia="宋体" w:cs="宋体"/>
                <w:color w:val="auto"/>
                <w:sz w:val="21"/>
                <w:szCs w:val="21"/>
              </w:rPr>
            </w:pPr>
          </w:p>
        </w:tc>
      </w:tr>
      <w:tr w14:paraId="3B02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26547D4">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6013240">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5AFD79">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A82C7C1">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258D230">
            <w:pPr>
              <w:spacing w:before="100" w:beforeAutospacing="1" w:after="100" w:afterAutospacing="1"/>
              <w:rPr>
                <w:rFonts w:hint="eastAsia" w:ascii="宋体" w:hAnsi="宋体" w:eastAsia="宋体" w:cs="宋体"/>
                <w:color w:val="auto"/>
                <w:sz w:val="21"/>
                <w:szCs w:val="21"/>
              </w:rPr>
            </w:pPr>
          </w:p>
        </w:tc>
      </w:tr>
      <w:tr w14:paraId="10EB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56BBB0B">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164C690">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2F409C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FD6784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4C25027">
            <w:pPr>
              <w:spacing w:before="100" w:beforeAutospacing="1" w:after="100" w:afterAutospacing="1"/>
              <w:rPr>
                <w:rFonts w:hint="eastAsia" w:ascii="宋体" w:hAnsi="宋体" w:eastAsia="宋体" w:cs="宋体"/>
                <w:color w:val="auto"/>
                <w:sz w:val="21"/>
                <w:szCs w:val="21"/>
              </w:rPr>
            </w:pPr>
          </w:p>
        </w:tc>
      </w:tr>
      <w:tr w14:paraId="70A1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F686443">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1E0184A">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3DF5D6">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2BD1BC1">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8D76A66">
            <w:pPr>
              <w:spacing w:before="100" w:beforeAutospacing="1" w:after="100" w:afterAutospacing="1"/>
              <w:rPr>
                <w:rFonts w:hint="eastAsia" w:ascii="宋体" w:hAnsi="宋体" w:eastAsia="宋体" w:cs="宋体"/>
                <w:color w:val="auto"/>
                <w:sz w:val="21"/>
                <w:szCs w:val="21"/>
              </w:rPr>
            </w:pPr>
          </w:p>
        </w:tc>
      </w:tr>
      <w:tr w14:paraId="7249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3D10972">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4958D0A">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967AB82">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EE2E7FD">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690061F">
            <w:pPr>
              <w:spacing w:before="100" w:beforeAutospacing="1" w:after="100" w:afterAutospacing="1"/>
              <w:rPr>
                <w:rFonts w:hint="eastAsia" w:ascii="宋体" w:hAnsi="宋体" w:eastAsia="宋体" w:cs="宋体"/>
                <w:color w:val="auto"/>
                <w:sz w:val="21"/>
                <w:szCs w:val="21"/>
              </w:rPr>
            </w:pPr>
          </w:p>
        </w:tc>
      </w:tr>
      <w:tr w14:paraId="42A3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71EBC5A">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8C538E">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DCD75CC">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85B3EE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103B0D3">
            <w:pPr>
              <w:spacing w:before="100" w:beforeAutospacing="1" w:after="100" w:afterAutospacing="1"/>
              <w:rPr>
                <w:rFonts w:hint="eastAsia" w:ascii="宋体" w:hAnsi="宋体" w:eastAsia="宋体" w:cs="宋体"/>
                <w:color w:val="auto"/>
                <w:sz w:val="21"/>
                <w:szCs w:val="21"/>
              </w:rPr>
            </w:pPr>
          </w:p>
        </w:tc>
      </w:tr>
      <w:tr w14:paraId="1A97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25C649D">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60F271D">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86A130">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3AA3B8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6081FA4">
            <w:pPr>
              <w:spacing w:before="100" w:beforeAutospacing="1" w:after="100" w:afterAutospacing="1"/>
              <w:rPr>
                <w:rFonts w:hint="eastAsia" w:ascii="宋体" w:hAnsi="宋体" w:eastAsia="宋体" w:cs="宋体"/>
                <w:color w:val="auto"/>
                <w:sz w:val="21"/>
                <w:szCs w:val="21"/>
              </w:rPr>
            </w:pPr>
          </w:p>
        </w:tc>
      </w:tr>
      <w:tr w14:paraId="6094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D2053CF">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991AD3">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499F950">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1129ED37">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8653A06">
            <w:pPr>
              <w:spacing w:before="100" w:beforeAutospacing="1" w:after="100" w:afterAutospacing="1"/>
              <w:rPr>
                <w:rFonts w:hint="eastAsia" w:ascii="宋体" w:hAnsi="宋体" w:eastAsia="宋体" w:cs="宋体"/>
                <w:color w:val="auto"/>
                <w:sz w:val="21"/>
                <w:szCs w:val="21"/>
              </w:rPr>
            </w:pPr>
          </w:p>
        </w:tc>
      </w:tr>
      <w:tr w14:paraId="657A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397B247">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993A85">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7835E53">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384503D">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52ABD15">
            <w:pPr>
              <w:spacing w:before="100" w:beforeAutospacing="1" w:after="100" w:afterAutospacing="1"/>
              <w:rPr>
                <w:rFonts w:hint="eastAsia" w:ascii="宋体" w:hAnsi="宋体" w:eastAsia="宋体" w:cs="宋体"/>
                <w:color w:val="auto"/>
                <w:sz w:val="21"/>
                <w:szCs w:val="21"/>
              </w:rPr>
            </w:pPr>
          </w:p>
        </w:tc>
      </w:tr>
      <w:tr w14:paraId="424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C096088">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77AEC">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33ED3C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04AADD9">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2DB21A6">
            <w:pPr>
              <w:spacing w:before="100" w:beforeAutospacing="1" w:after="100" w:afterAutospacing="1"/>
              <w:rPr>
                <w:rFonts w:hint="eastAsia" w:ascii="宋体" w:hAnsi="宋体" w:eastAsia="宋体" w:cs="宋体"/>
                <w:color w:val="auto"/>
                <w:sz w:val="21"/>
                <w:szCs w:val="21"/>
              </w:rPr>
            </w:pPr>
          </w:p>
        </w:tc>
      </w:tr>
      <w:tr w14:paraId="68D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4038636">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745583C">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53CA1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6773161">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6EDA4FF4">
            <w:pPr>
              <w:spacing w:before="100" w:beforeAutospacing="1" w:after="100" w:afterAutospacing="1"/>
              <w:rPr>
                <w:rFonts w:hint="eastAsia" w:ascii="宋体" w:hAnsi="宋体" w:eastAsia="宋体" w:cs="宋体"/>
                <w:color w:val="auto"/>
                <w:sz w:val="21"/>
                <w:szCs w:val="21"/>
              </w:rPr>
            </w:pPr>
          </w:p>
        </w:tc>
      </w:tr>
      <w:tr w14:paraId="0058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6716AD8">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14BA3A1">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D99A89A">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9195F0A">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EAE6110">
            <w:pPr>
              <w:spacing w:before="100" w:beforeAutospacing="1" w:after="100" w:afterAutospacing="1"/>
              <w:rPr>
                <w:rFonts w:hint="eastAsia" w:ascii="宋体" w:hAnsi="宋体" w:eastAsia="宋体" w:cs="宋体"/>
                <w:color w:val="auto"/>
                <w:sz w:val="21"/>
                <w:szCs w:val="21"/>
              </w:rPr>
            </w:pPr>
          </w:p>
        </w:tc>
      </w:tr>
      <w:tr w14:paraId="41A1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9B61ACD">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53EA051">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6E481CA">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ED154D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BB78FFA">
            <w:pPr>
              <w:spacing w:before="100" w:beforeAutospacing="1" w:after="100" w:afterAutospacing="1"/>
              <w:rPr>
                <w:rFonts w:hint="eastAsia" w:ascii="宋体" w:hAnsi="宋体" w:eastAsia="宋体" w:cs="宋体"/>
                <w:color w:val="auto"/>
                <w:sz w:val="21"/>
                <w:szCs w:val="21"/>
              </w:rPr>
            </w:pPr>
          </w:p>
        </w:tc>
      </w:tr>
      <w:tr w14:paraId="2DE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6E34911">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DB6528F">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0F7A120">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FBAB551">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7563ED3C">
            <w:pPr>
              <w:spacing w:before="100" w:beforeAutospacing="1" w:after="100" w:afterAutospacing="1"/>
              <w:rPr>
                <w:rFonts w:hint="eastAsia" w:ascii="宋体" w:hAnsi="宋体" w:eastAsia="宋体" w:cs="宋体"/>
                <w:color w:val="auto"/>
                <w:sz w:val="21"/>
                <w:szCs w:val="21"/>
              </w:rPr>
            </w:pPr>
          </w:p>
        </w:tc>
      </w:tr>
      <w:tr w14:paraId="391A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7CDD868">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B82F491">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328413F">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C12AC1F">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3820811">
            <w:pPr>
              <w:spacing w:before="100" w:beforeAutospacing="1" w:after="100" w:afterAutospacing="1"/>
              <w:rPr>
                <w:rFonts w:hint="eastAsia" w:ascii="宋体" w:hAnsi="宋体" w:eastAsia="宋体" w:cs="宋体"/>
                <w:color w:val="auto"/>
                <w:sz w:val="21"/>
                <w:szCs w:val="21"/>
              </w:rPr>
            </w:pPr>
          </w:p>
        </w:tc>
      </w:tr>
      <w:tr w14:paraId="48DD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3240432">
            <w:pPr>
              <w:spacing w:before="100" w:beforeAutospacing="1" w:after="100" w:afterAutospacing="1"/>
              <w:rPr>
                <w:rFonts w:hint="eastAsia" w:ascii="宋体" w:hAnsi="宋体" w:eastAsia="宋体" w:cs="宋体"/>
                <w:color w:val="auto"/>
                <w:sz w:val="21"/>
                <w:szCs w:val="21"/>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95C07C">
            <w:pPr>
              <w:spacing w:before="100" w:beforeAutospacing="1" w:after="100" w:afterAutospacing="1"/>
              <w:rPr>
                <w:rFonts w:hint="eastAsia" w:ascii="宋体" w:hAnsi="宋体" w:eastAsia="宋体" w:cs="宋体"/>
                <w:color w:val="auto"/>
                <w:sz w:val="21"/>
                <w:szCs w:val="21"/>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1428329">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A9BB3C8">
            <w:pPr>
              <w:spacing w:before="100" w:beforeAutospacing="1" w:after="100" w:afterAutospacing="1"/>
              <w:rPr>
                <w:rFonts w:hint="eastAsia" w:ascii="宋体" w:hAnsi="宋体" w:eastAsia="宋体" w:cs="宋体"/>
                <w:color w:val="auto"/>
                <w:sz w:val="21"/>
                <w:szCs w:val="21"/>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14:paraId="09FE3286">
            <w:pPr>
              <w:spacing w:before="100" w:beforeAutospacing="1" w:after="100" w:afterAutospacing="1"/>
              <w:rPr>
                <w:rFonts w:hint="eastAsia" w:ascii="宋体" w:hAnsi="宋体" w:eastAsia="宋体" w:cs="宋体"/>
                <w:color w:val="auto"/>
                <w:sz w:val="21"/>
                <w:szCs w:val="21"/>
              </w:rPr>
            </w:pPr>
          </w:p>
        </w:tc>
      </w:tr>
    </w:tbl>
    <w:p w14:paraId="12EC8D34">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备注：数量可为预估数量。</w:t>
      </w:r>
    </w:p>
    <w:p w14:paraId="05037696">
      <w:pPr>
        <w:adjustRightInd w:val="0"/>
        <w:snapToGrid w:val="0"/>
        <w:spacing w:line="360" w:lineRule="auto"/>
        <w:ind w:firstLine="630" w:firstLineChars="300"/>
        <w:rPr>
          <w:rFonts w:hint="eastAsia" w:ascii="宋体" w:hAnsi="宋体" w:eastAsia="宋体" w:cs="宋体"/>
          <w:color w:val="auto"/>
          <w:sz w:val="21"/>
          <w:szCs w:val="21"/>
        </w:rPr>
      </w:pPr>
    </w:p>
    <w:p w14:paraId="3BA3BE0F">
      <w:pPr>
        <w:adjustRightInd w:val="0"/>
        <w:snapToGrid w:val="0"/>
        <w:spacing w:line="360" w:lineRule="auto"/>
        <w:ind w:firstLine="630" w:firstLineChars="300"/>
        <w:rPr>
          <w:rFonts w:hint="eastAsia" w:ascii="宋体" w:hAnsi="宋体" w:eastAsia="宋体" w:cs="宋体"/>
          <w:color w:val="auto"/>
          <w:sz w:val="21"/>
          <w:szCs w:val="21"/>
        </w:rPr>
      </w:pPr>
    </w:p>
    <w:p w14:paraId="32D111C2">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6DD9E2A0">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683ED418">
      <w:pPr>
        <w:autoSpaceDE/>
        <w:autoSpaceDN/>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B65B20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.服务要求响应表</w:t>
      </w:r>
    </w:p>
    <w:tbl>
      <w:tblPr>
        <w:tblStyle w:val="22"/>
        <w:tblW w:w="9938" w:type="dxa"/>
        <w:jc w:val="center"/>
        <w:tblLayout w:type="fixed"/>
        <w:tblCellMar>
          <w:top w:w="0" w:type="dxa"/>
          <w:left w:w="0" w:type="dxa"/>
          <w:bottom w:w="0" w:type="dxa"/>
          <w:right w:w="0" w:type="dxa"/>
        </w:tblCellMar>
      </w:tblPr>
      <w:tblGrid>
        <w:gridCol w:w="648"/>
        <w:gridCol w:w="1477"/>
        <w:gridCol w:w="2311"/>
        <w:gridCol w:w="2778"/>
        <w:gridCol w:w="1393"/>
        <w:gridCol w:w="1331"/>
      </w:tblGrid>
      <w:tr w14:paraId="2A6D6C6A">
        <w:tblPrEx>
          <w:tblCellMar>
            <w:top w:w="0" w:type="dxa"/>
            <w:left w:w="0" w:type="dxa"/>
            <w:bottom w:w="0" w:type="dxa"/>
            <w:right w:w="0" w:type="dxa"/>
          </w:tblCellMar>
        </w:tblPrEx>
        <w:trPr>
          <w:trHeight w:val="724" w:hRule="atLeast"/>
          <w:jc w:val="center"/>
        </w:trPr>
        <w:tc>
          <w:tcPr>
            <w:tcW w:w="648" w:type="dxa"/>
            <w:tcBorders>
              <w:top w:val="single" w:color="000000" w:sz="6" w:space="0"/>
              <w:left w:val="single" w:color="000000" w:sz="6" w:space="0"/>
              <w:bottom w:val="single" w:color="000000" w:sz="6" w:space="0"/>
              <w:right w:val="single" w:color="000000" w:sz="6" w:space="0"/>
            </w:tcBorders>
            <w:vAlign w:val="center"/>
          </w:tcPr>
          <w:p w14:paraId="44C220D7">
            <w:pPr>
              <w:pStyle w:val="51"/>
              <w:snapToGrid w:val="0"/>
              <w:spacing w:line="460" w:lineRule="exact"/>
              <w:jc w:val="center"/>
              <w:rPr>
                <w:rStyle w:val="46"/>
                <w:rFonts w:hint="eastAsia" w:ascii="宋体" w:hAnsi="宋体" w:eastAsia="宋体" w:cs="宋体"/>
                <w:b/>
                <w:color w:val="auto"/>
                <w:sz w:val="21"/>
                <w:szCs w:val="21"/>
                <w:highlight w:val="none"/>
              </w:rPr>
            </w:pPr>
            <w:bookmarkStart w:id="68" w:name="_Hlk113443080"/>
            <w:r>
              <w:rPr>
                <w:rStyle w:val="46"/>
                <w:rFonts w:hint="eastAsia" w:ascii="宋体" w:hAnsi="宋体" w:eastAsia="宋体" w:cs="宋体"/>
                <w:b/>
                <w:color w:val="auto"/>
                <w:sz w:val="21"/>
                <w:szCs w:val="21"/>
                <w:highlight w:val="none"/>
              </w:rPr>
              <w:t>序号</w:t>
            </w:r>
          </w:p>
        </w:tc>
        <w:tc>
          <w:tcPr>
            <w:tcW w:w="1477" w:type="dxa"/>
            <w:tcBorders>
              <w:top w:val="single" w:color="000000" w:sz="6" w:space="0"/>
              <w:left w:val="single" w:color="000000" w:sz="6" w:space="0"/>
              <w:bottom w:val="single" w:color="000000" w:sz="6" w:space="0"/>
              <w:right w:val="single" w:color="000000" w:sz="6" w:space="0"/>
            </w:tcBorders>
            <w:vAlign w:val="center"/>
          </w:tcPr>
          <w:p w14:paraId="6D8CE447">
            <w:pPr>
              <w:pStyle w:val="51"/>
              <w:snapToGrid w:val="0"/>
              <w:spacing w:line="460" w:lineRule="exact"/>
              <w:jc w:val="center"/>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采购内容</w:t>
            </w:r>
          </w:p>
        </w:tc>
        <w:tc>
          <w:tcPr>
            <w:tcW w:w="2311" w:type="dxa"/>
            <w:tcBorders>
              <w:top w:val="single" w:color="000000" w:sz="6" w:space="0"/>
              <w:left w:val="single" w:color="000000" w:sz="6" w:space="0"/>
              <w:bottom w:val="single" w:color="000000" w:sz="6" w:space="0"/>
              <w:right w:val="single" w:color="000000" w:sz="6" w:space="0"/>
            </w:tcBorders>
            <w:vAlign w:val="center"/>
          </w:tcPr>
          <w:p w14:paraId="3268CC04">
            <w:pPr>
              <w:pStyle w:val="51"/>
              <w:snapToGrid w:val="0"/>
              <w:spacing w:line="460" w:lineRule="exact"/>
              <w:jc w:val="center"/>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招标文件的技术规范和服务要求</w:t>
            </w:r>
          </w:p>
        </w:tc>
        <w:tc>
          <w:tcPr>
            <w:tcW w:w="2778" w:type="dxa"/>
            <w:tcBorders>
              <w:top w:val="single" w:color="000000" w:sz="6" w:space="0"/>
              <w:left w:val="single" w:color="000000" w:sz="6" w:space="0"/>
              <w:bottom w:val="single" w:color="000000" w:sz="6" w:space="0"/>
              <w:right w:val="single" w:color="000000" w:sz="6" w:space="0"/>
            </w:tcBorders>
            <w:vAlign w:val="center"/>
          </w:tcPr>
          <w:p w14:paraId="189663EE">
            <w:pPr>
              <w:pStyle w:val="51"/>
              <w:snapToGrid w:val="0"/>
              <w:spacing w:line="460" w:lineRule="exact"/>
              <w:jc w:val="center"/>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投标文件的响应情况</w:t>
            </w:r>
          </w:p>
        </w:tc>
        <w:tc>
          <w:tcPr>
            <w:tcW w:w="1393" w:type="dxa"/>
            <w:tcBorders>
              <w:top w:val="single" w:color="000000" w:sz="6" w:space="0"/>
              <w:left w:val="single" w:color="000000" w:sz="4" w:space="0"/>
              <w:bottom w:val="single" w:color="000000" w:sz="6" w:space="0"/>
              <w:right w:val="single" w:color="000000" w:sz="6" w:space="0"/>
            </w:tcBorders>
            <w:vAlign w:val="center"/>
          </w:tcPr>
          <w:p w14:paraId="22CF161A">
            <w:pPr>
              <w:pStyle w:val="51"/>
              <w:snapToGrid w:val="0"/>
              <w:spacing w:line="460" w:lineRule="exact"/>
              <w:jc w:val="center"/>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偏离情况</w:t>
            </w:r>
          </w:p>
        </w:tc>
        <w:tc>
          <w:tcPr>
            <w:tcW w:w="1331" w:type="dxa"/>
            <w:tcBorders>
              <w:top w:val="single" w:color="000000" w:sz="6" w:space="0"/>
              <w:left w:val="single" w:color="000000" w:sz="4" w:space="0"/>
              <w:bottom w:val="single" w:color="000000" w:sz="6" w:space="0"/>
              <w:right w:val="single" w:color="000000" w:sz="6" w:space="0"/>
            </w:tcBorders>
            <w:vAlign w:val="center"/>
          </w:tcPr>
          <w:p w14:paraId="58188222">
            <w:pPr>
              <w:pStyle w:val="51"/>
              <w:snapToGrid w:val="0"/>
              <w:spacing w:line="460" w:lineRule="exact"/>
              <w:jc w:val="center"/>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备注</w:t>
            </w:r>
          </w:p>
        </w:tc>
      </w:tr>
      <w:tr w14:paraId="56884E94">
        <w:tblPrEx>
          <w:tblCellMar>
            <w:top w:w="0" w:type="dxa"/>
            <w:left w:w="0" w:type="dxa"/>
            <w:bottom w:w="0" w:type="dxa"/>
            <w:right w:w="0" w:type="dxa"/>
          </w:tblCellMar>
        </w:tblPrEx>
        <w:trPr>
          <w:trHeight w:val="54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7CDC4865">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25C1F06D">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45A4291B">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35497551">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23F5FE10">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08CC6D58">
            <w:pPr>
              <w:pStyle w:val="51"/>
              <w:snapToGrid w:val="0"/>
              <w:spacing w:line="460" w:lineRule="exact"/>
              <w:rPr>
                <w:rStyle w:val="46"/>
                <w:rFonts w:hint="eastAsia" w:ascii="宋体" w:hAnsi="宋体" w:eastAsia="宋体" w:cs="宋体"/>
                <w:b/>
                <w:color w:val="auto"/>
                <w:sz w:val="21"/>
                <w:szCs w:val="21"/>
                <w:highlight w:val="none"/>
              </w:rPr>
            </w:pPr>
          </w:p>
        </w:tc>
      </w:tr>
      <w:tr w14:paraId="03FD1A1F">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5899A96C">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4E34FA3B">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761E41FE">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079008F9">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4DF62D1E">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7CE0515E">
            <w:pPr>
              <w:pStyle w:val="51"/>
              <w:snapToGrid w:val="0"/>
              <w:spacing w:line="460" w:lineRule="exact"/>
              <w:rPr>
                <w:rStyle w:val="46"/>
                <w:rFonts w:hint="eastAsia" w:ascii="宋体" w:hAnsi="宋体" w:eastAsia="宋体" w:cs="宋体"/>
                <w:b/>
                <w:color w:val="auto"/>
                <w:sz w:val="21"/>
                <w:szCs w:val="21"/>
                <w:highlight w:val="none"/>
              </w:rPr>
            </w:pPr>
          </w:p>
        </w:tc>
      </w:tr>
      <w:tr w14:paraId="2A082DAB">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03A6A28D">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5333851C">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05CDBB56">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78A28604">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0BFB88E3">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52CA384D">
            <w:pPr>
              <w:pStyle w:val="51"/>
              <w:snapToGrid w:val="0"/>
              <w:spacing w:line="460" w:lineRule="exact"/>
              <w:rPr>
                <w:rStyle w:val="46"/>
                <w:rFonts w:hint="eastAsia" w:ascii="宋体" w:hAnsi="宋体" w:eastAsia="宋体" w:cs="宋体"/>
                <w:b/>
                <w:color w:val="auto"/>
                <w:sz w:val="21"/>
                <w:szCs w:val="21"/>
                <w:highlight w:val="none"/>
              </w:rPr>
            </w:pPr>
          </w:p>
        </w:tc>
      </w:tr>
      <w:tr w14:paraId="638F56C6">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7C5DD49C">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60D51C54">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3316D87B">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38DA7F08">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65448932">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52EA45A9">
            <w:pPr>
              <w:pStyle w:val="51"/>
              <w:snapToGrid w:val="0"/>
              <w:spacing w:line="460" w:lineRule="exact"/>
              <w:rPr>
                <w:rStyle w:val="46"/>
                <w:rFonts w:hint="eastAsia" w:ascii="宋体" w:hAnsi="宋体" w:eastAsia="宋体" w:cs="宋体"/>
                <w:b/>
                <w:color w:val="auto"/>
                <w:sz w:val="21"/>
                <w:szCs w:val="21"/>
                <w:highlight w:val="none"/>
              </w:rPr>
            </w:pPr>
          </w:p>
        </w:tc>
      </w:tr>
      <w:tr w14:paraId="5B89FB11">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6EE8F2FD">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6840A0F9">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1E80836B">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7FC0DAC7">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2AC9ED1C">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3BEF7F8A">
            <w:pPr>
              <w:pStyle w:val="51"/>
              <w:snapToGrid w:val="0"/>
              <w:spacing w:line="460" w:lineRule="exact"/>
              <w:rPr>
                <w:rStyle w:val="46"/>
                <w:rFonts w:hint="eastAsia" w:ascii="宋体" w:hAnsi="宋体" w:eastAsia="宋体" w:cs="宋体"/>
                <w:b/>
                <w:color w:val="auto"/>
                <w:sz w:val="21"/>
                <w:szCs w:val="21"/>
                <w:highlight w:val="none"/>
              </w:rPr>
            </w:pPr>
          </w:p>
        </w:tc>
      </w:tr>
      <w:tr w14:paraId="0C650013">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30387290">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6738495A">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1B656B75">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290C720C">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23AAB2FD">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79AE8AEB">
            <w:pPr>
              <w:pStyle w:val="51"/>
              <w:snapToGrid w:val="0"/>
              <w:spacing w:line="460" w:lineRule="exact"/>
              <w:rPr>
                <w:rStyle w:val="46"/>
                <w:rFonts w:hint="eastAsia" w:ascii="宋体" w:hAnsi="宋体" w:eastAsia="宋体" w:cs="宋体"/>
                <w:b/>
                <w:color w:val="auto"/>
                <w:sz w:val="21"/>
                <w:szCs w:val="21"/>
                <w:highlight w:val="none"/>
              </w:rPr>
            </w:pPr>
          </w:p>
        </w:tc>
      </w:tr>
      <w:tr w14:paraId="4ADBF660">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53A3CFFF">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0C237642">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18AB6E87">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1E1EFDC1">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3C169A0D">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7D4E4B93">
            <w:pPr>
              <w:pStyle w:val="51"/>
              <w:snapToGrid w:val="0"/>
              <w:spacing w:line="460" w:lineRule="exact"/>
              <w:rPr>
                <w:rStyle w:val="46"/>
                <w:rFonts w:hint="eastAsia" w:ascii="宋体" w:hAnsi="宋体" w:eastAsia="宋体" w:cs="宋体"/>
                <w:b/>
                <w:color w:val="auto"/>
                <w:sz w:val="21"/>
                <w:szCs w:val="21"/>
                <w:highlight w:val="none"/>
              </w:rPr>
            </w:pPr>
          </w:p>
        </w:tc>
      </w:tr>
      <w:tr w14:paraId="17B9D16D">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0F38A295">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2E29A514">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40D6E837">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5E86D40A">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1FB83BE3">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254FA652">
            <w:pPr>
              <w:pStyle w:val="51"/>
              <w:snapToGrid w:val="0"/>
              <w:spacing w:line="460" w:lineRule="exact"/>
              <w:rPr>
                <w:rStyle w:val="46"/>
                <w:rFonts w:hint="eastAsia" w:ascii="宋体" w:hAnsi="宋体" w:eastAsia="宋体" w:cs="宋体"/>
                <w:b/>
                <w:color w:val="auto"/>
                <w:sz w:val="21"/>
                <w:szCs w:val="21"/>
                <w:highlight w:val="none"/>
              </w:rPr>
            </w:pPr>
          </w:p>
        </w:tc>
      </w:tr>
      <w:tr w14:paraId="166BAF14">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2961F680">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48AD922C">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76C790CB">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2C22F741">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58961B3D">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2245845C">
            <w:pPr>
              <w:pStyle w:val="51"/>
              <w:snapToGrid w:val="0"/>
              <w:spacing w:line="460" w:lineRule="exact"/>
              <w:rPr>
                <w:rStyle w:val="46"/>
                <w:rFonts w:hint="eastAsia" w:ascii="宋体" w:hAnsi="宋体" w:eastAsia="宋体" w:cs="宋体"/>
                <w:b/>
                <w:color w:val="auto"/>
                <w:sz w:val="21"/>
                <w:szCs w:val="21"/>
                <w:highlight w:val="none"/>
              </w:rPr>
            </w:pPr>
          </w:p>
        </w:tc>
      </w:tr>
      <w:tr w14:paraId="3EF8CA40">
        <w:tblPrEx>
          <w:tblCellMar>
            <w:top w:w="0" w:type="dxa"/>
            <w:left w:w="0" w:type="dxa"/>
            <w:bottom w:w="0" w:type="dxa"/>
            <w:right w:w="0" w:type="dxa"/>
          </w:tblCellMar>
        </w:tblPrEx>
        <w:trPr>
          <w:trHeight w:val="599" w:hRule="atLeast"/>
          <w:jc w:val="center"/>
        </w:trPr>
        <w:tc>
          <w:tcPr>
            <w:tcW w:w="648" w:type="dxa"/>
            <w:tcBorders>
              <w:top w:val="single" w:color="000000" w:sz="6" w:space="0"/>
              <w:left w:val="single" w:color="000000" w:sz="6" w:space="0"/>
              <w:bottom w:val="single" w:color="000000" w:sz="6" w:space="0"/>
              <w:right w:val="single" w:color="000000" w:sz="6" w:space="0"/>
            </w:tcBorders>
          </w:tcPr>
          <w:p w14:paraId="3283C620">
            <w:pPr>
              <w:pStyle w:val="51"/>
              <w:snapToGrid w:val="0"/>
              <w:spacing w:line="460" w:lineRule="exact"/>
              <w:rPr>
                <w:rStyle w:val="46"/>
                <w:rFonts w:hint="eastAsia" w:ascii="宋体" w:hAnsi="宋体" w:eastAsia="宋体" w:cs="宋体"/>
                <w:b/>
                <w:color w:val="auto"/>
                <w:sz w:val="2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Pr>
          <w:p w14:paraId="648F7BB4">
            <w:pPr>
              <w:pStyle w:val="51"/>
              <w:snapToGrid w:val="0"/>
              <w:spacing w:line="460" w:lineRule="exact"/>
              <w:rPr>
                <w:rStyle w:val="46"/>
                <w:rFonts w:hint="eastAsia" w:ascii="宋体" w:hAnsi="宋体" w:eastAsia="宋体" w:cs="宋体"/>
                <w:b/>
                <w:color w:val="auto"/>
                <w:sz w:val="2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vAlign w:val="center"/>
          </w:tcPr>
          <w:p w14:paraId="31E9F85B">
            <w:pPr>
              <w:pStyle w:val="51"/>
              <w:snapToGrid w:val="0"/>
              <w:spacing w:line="460" w:lineRule="exact"/>
              <w:rPr>
                <w:rStyle w:val="46"/>
                <w:rFonts w:hint="eastAsia" w:ascii="宋体" w:hAnsi="宋体" w:eastAsia="宋体" w:cs="宋体"/>
                <w:b/>
                <w:color w:val="auto"/>
                <w:sz w:val="2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Pr>
          <w:p w14:paraId="51A6A7F7">
            <w:pPr>
              <w:pStyle w:val="51"/>
              <w:snapToGrid w:val="0"/>
              <w:spacing w:line="460" w:lineRule="exact"/>
              <w:rPr>
                <w:rStyle w:val="46"/>
                <w:rFonts w:hint="eastAsia" w:ascii="宋体" w:hAnsi="宋体" w:eastAsia="宋体" w:cs="宋体"/>
                <w:b/>
                <w:color w:val="auto"/>
                <w:sz w:val="2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Pr>
          <w:p w14:paraId="0EA4436C">
            <w:pPr>
              <w:pStyle w:val="51"/>
              <w:snapToGrid w:val="0"/>
              <w:spacing w:line="460" w:lineRule="exact"/>
              <w:rPr>
                <w:rStyle w:val="46"/>
                <w:rFonts w:hint="eastAsia" w:ascii="宋体" w:hAnsi="宋体" w:eastAsia="宋体" w:cs="宋体"/>
                <w:b/>
                <w:color w:val="auto"/>
                <w:sz w:val="2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Pr>
          <w:p w14:paraId="4A73C38A">
            <w:pPr>
              <w:pStyle w:val="51"/>
              <w:snapToGrid w:val="0"/>
              <w:spacing w:line="460" w:lineRule="exact"/>
              <w:rPr>
                <w:rStyle w:val="46"/>
                <w:rFonts w:hint="eastAsia" w:ascii="宋体" w:hAnsi="宋体" w:eastAsia="宋体" w:cs="宋体"/>
                <w:b/>
                <w:color w:val="auto"/>
                <w:sz w:val="21"/>
                <w:szCs w:val="21"/>
                <w:highlight w:val="none"/>
              </w:rPr>
            </w:pPr>
          </w:p>
        </w:tc>
      </w:tr>
      <w:bookmarkEnd w:id="68"/>
    </w:tbl>
    <w:p w14:paraId="616A85ED">
      <w:pPr>
        <w:pStyle w:val="51"/>
        <w:snapToGrid w:val="0"/>
        <w:spacing w:line="500" w:lineRule="exact"/>
        <w:ind w:firstLine="422" w:firstLineChars="200"/>
        <w:rPr>
          <w:rStyle w:val="46"/>
          <w:rFonts w:hint="eastAsia" w:ascii="宋体" w:hAnsi="宋体" w:eastAsia="宋体" w:cs="宋体"/>
          <w:b/>
          <w:color w:val="auto"/>
          <w:sz w:val="21"/>
          <w:szCs w:val="21"/>
          <w:highlight w:val="none"/>
        </w:rPr>
      </w:pPr>
      <w:bookmarkStart w:id="69" w:name="_Hlk113443123"/>
      <w:r>
        <w:rPr>
          <w:rStyle w:val="46"/>
          <w:rFonts w:hint="eastAsia" w:ascii="宋体" w:hAnsi="宋体" w:eastAsia="宋体" w:cs="宋体"/>
          <w:b/>
          <w:color w:val="auto"/>
          <w:sz w:val="21"/>
          <w:szCs w:val="21"/>
          <w:highlight w:val="none"/>
        </w:rPr>
        <w:t>注：</w:t>
      </w:r>
    </w:p>
    <w:p w14:paraId="342516BA">
      <w:pPr>
        <w:pStyle w:val="51"/>
        <w:snapToGrid w:val="0"/>
        <w:spacing w:line="500" w:lineRule="exact"/>
        <w:ind w:firstLine="422" w:firstLineChars="200"/>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1.对招标采购文件 第二章  招标需求中 的所有要求进行逐条响应。</w:t>
      </w:r>
      <w:r>
        <w:rPr>
          <w:rStyle w:val="46"/>
          <w:rFonts w:hint="eastAsia" w:ascii="宋体" w:hAnsi="宋体" w:eastAsia="宋体" w:cs="宋体"/>
          <w:b/>
          <w:color w:val="auto"/>
          <w:sz w:val="21"/>
          <w:szCs w:val="21"/>
          <w:highlight w:val="none"/>
        </w:rPr>
        <w:br w:type="textWrapping"/>
      </w:r>
      <w:r>
        <w:rPr>
          <w:rStyle w:val="46"/>
          <w:rFonts w:hint="eastAsia" w:ascii="宋体" w:hAnsi="宋体" w:eastAsia="宋体" w:cs="宋体"/>
          <w:b/>
          <w:color w:val="auto"/>
          <w:sz w:val="21"/>
          <w:szCs w:val="21"/>
          <w:highlight w:val="none"/>
        </w:rPr>
        <w:t xml:space="preserve">    2.供应商应根据招标文件的技术规范和服务要求在“偏离情况”栏注明“正偏离”“负偏离”或“无偏离”；</w:t>
      </w:r>
    </w:p>
    <w:p w14:paraId="4400959F">
      <w:pPr>
        <w:pStyle w:val="52"/>
        <w:snapToGrid w:val="0"/>
        <w:spacing w:line="500" w:lineRule="exact"/>
        <w:ind w:firstLine="422" w:firstLineChars="200"/>
        <w:rPr>
          <w:rStyle w:val="46"/>
          <w:rFonts w:hint="eastAsia" w:ascii="宋体" w:hAnsi="宋体" w:eastAsia="宋体" w:cs="宋体"/>
          <w:b/>
          <w:color w:val="auto"/>
          <w:sz w:val="21"/>
          <w:szCs w:val="21"/>
          <w:highlight w:val="none"/>
        </w:rPr>
      </w:pPr>
      <w:r>
        <w:rPr>
          <w:rStyle w:val="46"/>
          <w:rFonts w:hint="eastAsia" w:ascii="宋体" w:hAnsi="宋体" w:eastAsia="宋体" w:cs="宋体"/>
          <w:b/>
          <w:color w:val="auto"/>
          <w:sz w:val="21"/>
          <w:szCs w:val="21"/>
          <w:highlight w:val="none"/>
        </w:rPr>
        <w:t>3.如有负偏离，应按实写明负偏离情况。否则视为完全满足采购需求指标，并作为今后服务要求。</w:t>
      </w:r>
    </w:p>
    <w:p w14:paraId="59B3AA59">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7A0C56B1">
      <w:pPr>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投标人全称（加盖公章）：                               </w:t>
      </w:r>
    </w:p>
    <w:p w14:paraId="65E9BBD7">
      <w:pPr>
        <w:snapToGrid w:val="0"/>
        <w:spacing w:line="5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bookmarkEnd w:id="69"/>
    <w:p w14:paraId="6E7ADCE6">
      <w:pPr>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FA8F002">
      <w:pPr>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66705B7F">
      <w:pPr>
        <w:numPr>
          <w:ilvl w:val="0"/>
          <w:numId w:val="3"/>
        </w:numPr>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报价文件部分</w:t>
      </w:r>
    </w:p>
    <w:p w14:paraId="31DCE3F9">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（1）投标函（格式见附件）；</w:t>
      </w:r>
    </w:p>
    <w:p w14:paraId="76E3EDA1">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（2）开标（报价）一览表（格式见附件）；</w:t>
      </w:r>
    </w:p>
    <w:p w14:paraId="028BD42F">
      <w:pPr>
        <w:autoSpaceDE/>
        <w:autoSpaceDN/>
        <w:adjustRightInd/>
        <w:spacing w:line="5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07C33BA3">
      <w:pPr>
        <w:pStyle w:val="21"/>
        <w:ind w:left="0" w:leftChars="0" w:firstLine="0"/>
        <w:rPr>
          <w:rFonts w:hint="eastAsia" w:ascii="宋体" w:hAnsi="宋体" w:eastAsia="宋体" w:cs="宋体"/>
          <w:b/>
          <w:bCs/>
          <w:color w:val="auto"/>
          <w:sz w:val="24"/>
          <w:highlight w:val="none"/>
        </w:rPr>
      </w:pPr>
    </w:p>
    <w:p w14:paraId="65FDA131">
      <w:pPr>
        <w:pStyle w:val="21"/>
        <w:ind w:left="0" w:leftChars="0" w:firstLine="0"/>
        <w:rPr>
          <w:rFonts w:hint="eastAsia" w:ascii="宋体" w:hAnsi="宋体" w:eastAsia="宋体" w:cs="宋体"/>
          <w:b/>
          <w:bCs/>
          <w:color w:val="auto"/>
          <w:sz w:val="24"/>
          <w:highlight w:val="none"/>
        </w:rPr>
      </w:pPr>
    </w:p>
    <w:p w14:paraId="2B091DE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EF60BEA">
      <w:pPr>
        <w:snapToGrid w:val="0"/>
        <w:spacing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w:t>
      </w:r>
    </w:p>
    <w:p w14:paraId="530EA27D">
      <w:pPr>
        <w:snapToGrid w:val="0"/>
        <w:spacing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投标函</w:t>
      </w:r>
    </w:p>
    <w:p w14:paraId="7FB4B16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致：_________（招标采购单位名称）：</w:t>
      </w:r>
    </w:p>
    <w:p w14:paraId="4278D57A">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项目的招标公告/投标邀请书</w:t>
      </w:r>
    </w:p>
    <w:p w14:paraId="467F86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（项目编号：_______），签字</w:t>
      </w:r>
      <w:r>
        <w:rPr>
          <w:rFonts w:hint="eastAsia" w:ascii="宋体" w:hAnsi="宋体" w:eastAsia="宋体" w:cs="宋体"/>
          <w:color w:val="auto"/>
          <w:sz w:val="24"/>
          <w:szCs w:val="22"/>
          <w:highlight w:val="none"/>
        </w:rPr>
        <w:t>代表_______（全名）经正式授权并代表投标人_________（投标人名称）提交</w:t>
      </w:r>
      <w:r>
        <w:rPr>
          <w:rFonts w:hint="eastAsia" w:ascii="宋体" w:hAnsi="宋体" w:eastAsia="宋体" w:cs="宋体"/>
          <w:color w:val="auto"/>
          <w:sz w:val="24"/>
          <w:highlight w:val="none"/>
        </w:rPr>
        <w:t>文件。</w:t>
      </w:r>
    </w:p>
    <w:p w14:paraId="6CA52D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45808F7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1.我方自愿按照招标文件规定的各项要求向招标人提供专业服务。</w:t>
      </w:r>
    </w:p>
    <w:p w14:paraId="0E0598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18A427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3.我方在投标之前已经与贵方进行了充分的沟通，完全理解并接受招标文件的各项规定和要求，对招标文件的合理性、合法性不再有异议。</w:t>
      </w:r>
    </w:p>
    <w:p w14:paraId="27D97DA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4.本投标有效期自开标截止日起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日。</w:t>
      </w:r>
    </w:p>
    <w:p w14:paraId="7D07CC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5.如中标，本投标文件至本项目合同履行完毕止均保持有效，本投标人将按“招标文件”及政府采购法律、法规的规定履行合同责任和义务。</w:t>
      </w:r>
    </w:p>
    <w:p w14:paraId="375715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6.投标人同意按照贵方要求提供与投标有关的一切数据或资料。</w:t>
      </w:r>
    </w:p>
    <w:p w14:paraId="0F2682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7.与本投标有关的一切正式往来信函请寄：</w:t>
      </w:r>
    </w:p>
    <w:p w14:paraId="077A25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地址：_______________邮编：__________电话：______________</w:t>
      </w:r>
    </w:p>
    <w:p w14:paraId="6CB5D2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传真：______________投标人代表姓名___________职务：_____________</w:t>
      </w:r>
    </w:p>
    <w:p w14:paraId="4BF369B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投标人名称（公章）：___________________</w:t>
      </w:r>
    </w:p>
    <w:p w14:paraId="617DAE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开户银行：___________________银行账号：___________________</w:t>
      </w:r>
    </w:p>
    <w:p w14:paraId="751D941D">
      <w:pPr>
        <w:snapToGrid w:val="0"/>
        <w:spacing w:line="360" w:lineRule="auto"/>
        <w:rPr>
          <w:rFonts w:hint="eastAsia" w:ascii="宋体" w:hAnsi="宋体" w:eastAsia="宋体" w:cs="宋体"/>
          <w:color w:val="auto"/>
          <w:sz w:val="30"/>
          <w:highlight w:val="none"/>
        </w:rPr>
      </w:pPr>
      <w:r>
        <w:rPr>
          <w:rFonts w:hint="eastAsia" w:ascii="宋体" w:hAnsi="宋体" w:eastAsia="宋体" w:cs="宋体"/>
          <w:color w:val="auto"/>
          <w:sz w:val="24"/>
          <w:highlight w:val="none"/>
        </w:rPr>
        <w:t>法定代表人或授权代表（签字或盖章）：___________日期：_____年___月___日</w:t>
      </w:r>
    </w:p>
    <w:p w14:paraId="5B5DF9C6">
      <w:pPr>
        <w:pStyle w:val="13"/>
        <w:snapToGrid w:val="0"/>
        <w:spacing w:before="295" w:after="295"/>
        <w:rPr>
          <w:rFonts w:hint="eastAsia" w:ascii="宋体" w:hAnsi="宋体" w:eastAsia="宋体" w:cs="宋体"/>
          <w:color w:val="auto"/>
          <w:highlight w:val="none"/>
        </w:rPr>
      </w:pPr>
    </w:p>
    <w:p w14:paraId="43B56CE1">
      <w:pPr>
        <w:pStyle w:val="13"/>
        <w:snapToGrid w:val="0"/>
        <w:spacing w:before="295" w:after="295"/>
        <w:rPr>
          <w:rFonts w:hint="eastAsia" w:ascii="宋体" w:hAnsi="宋体" w:eastAsia="宋体" w:cs="宋体"/>
          <w:color w:val="auto"/>
          <w:highlight w:val="none"/>
        </w:rPr>
      </w:pPr>
    </w:p>
    <w:p w14:paraId="6615DB8D">
      <w:pPr>
        <w:pStyle w:val="13"/>
        <w:snapToGrid w:val="0"/>
        <w:spacing w:before="295" w:after="2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r>
        <w:rPr>
          <w:rFonts w:hint="eastAsia" w:ascii="宋体" w:hAnsi="宋体" w:eastAsia="宋体" w:cs="宋体"/>
          <w:b/>
          <w:color w:val="auto"/>
          <w:sz w:val="24"/>
          <w:highlight w:val="none"/>
        </w:rPr>
        <w:t>2.开标（报价）一览表</w:t>
      </w:r>
    </w:p>
    <w:p w14:paraId="635AAE8A">
      <w:pPr>
        <w:pStyle w:val="13"/>
        <w:spacing w:line="360" w:lineRule="auto"/>
        <w:ind w:firstLine="3614" w:firstLineChars="1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开标（报价）一览表</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7"/>
        <w:gridCol w:w="6888"/>
      </w:tblGrid>
      <w:tr w14:paraId="7A43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2097" w:type="dxa"/>
            <w:vAlign w:val="center"/>
          </w:tcPr>
          <w:p w14:paraId="3CF6F05F">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6888" w:type="dxa"/>
            <w:vAlign w:val="center"/>
          </w:tcPr>
          <w:p w14:paraId="469C34E3">
            <w:pPr>
              <w:snapToGrid w:val="0"/>
              <w:spacing w:line="460" w:lineRule="exact"/>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项目编号：TY2025-FW127-ZFCG127</w:t>
            </w:r>
          </w:p>
        </w:tc>
      </w:tr>
      <w:tr w14:paraId="73DF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2097" w:type="dxa"/>
            <w:vAlign w:val="center"/>
          </w:tcPr>
          <w:p w14:paraId="6F78A307">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888" w:type="dxa"/>
            <w:vAlign w:val="center"/>
          </w:tcPr>
          <w:p w14:paraId="508FED81">
            <w:pPr>
              <w:snapToGrid w:val="0"/>
              <w:spacing w:line="460" w:lineRule="exact"/>
              <w:jc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农作物病虫害统防统治与绿色防控融合发展项目</w:t>
            </w:r>
          </w:p>
        </w:tc>
      </w:tr>
      <w:tr w14:paraId="77B26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097" w:type="dxa"/>
            <w:vAlign w:val="center"/>
          </w:tcPr>
          <w:p w14:paraId="6C0EC1CC">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1248D7B4">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人民币</w:t>
            </w:r>
            <w:r>
              <w:rPr>
                <w:rFonts w:hint="eastAsia" w:ascii="宋体" w:hAnsi="宋体" w:eastAsia="宋体" w:cs="宋体"/>
                <w:color w:val="auto"/>
                <w:sz w:val="21"/>
                <w:szCs w:val="21"/>
                <w:highlight w:val="none"/>
              </w:rPr>
              <w:t>）</w:t>
            </w:r>
          </w:p>
        </w:tc>
        <w:tc>
          <w:tcPr>
            <w:tcW w:w="6888" w:type="dxa"/>
            <w:vAlign w:val="center"/>
          </w:tcPr>
          <w:p w14:paraId="3254D0F8">
            <w:pPr>
              <w:snapToGrid w:val="0"/>
              <w:spacing w:line="460" w:lineRule="exact"/>
              <w:ind w:firstLine="211" w:firstLineChars="100"/>
              <w:jc w:val="both"/>
              <w:rPr>
                <w:rFonts w:hint="default"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rPr>
              <w:t>小写：</w:t>
            </w:r>
            <w:r>
              <w:rPr>
                <w:rFonts w:hint="eastAsia" w:hAnsi="宋体" w:cs="宋体"/>
                <w:b/>
                <w:color w:val="auto"/>
                <w:sz w:val="21"/>
                <w:szCs w:val="21"/>
                <w:highlight w:val="none"/>
                <w:u w:val="single"/>
                <w:lang w:val="en-US" w:eastAsia="zh-CN"/>
              </w:rPr>
              <w:t xml:space="preserve">                </w:t>
            </w:r>
            <w:r>
              <w:rPr>
                <w:rFonts w:hint="eastAsia" w:hAnsi="宋体" w:cs="宋体"/>
                <w:b/>
                <w:color w:val="auto"/>
                <w:sz w:val="21"/>
                <w:szCs w:val="21"/>
                <w:highlight w:val="none"/>
                <w:u w:val="none"/>
                <w:lang w:val="en-US" w:eastAsia="zh-CN"/>
              </w:rPr>
              <w:t>元；</w:t>
            </w:r>
          </w:p>
          <w:p w14:paraId="6145ACE8">
            <w:pPr>
              <w:snapToGrid w:val="0"/>
              <w:spacing w:line="460" w:lineRule="exact"/>
              <w:ind w:firstLine="211" w:firstLineChars="100"/>
              <w:jc w:val="both"/>
              <w:rPr>
                <w:rFonts w:hint="default" w:ascii="宋体" w:hAnsi="宋体" w:eastAsia="宋体" w:cs="宋体"/>
                <w:color w:val="auto"/>
                <w:sz w:val="21"/>
                <w:szCs w:val="21"/>
                <w:highlight w:val="none"/>
                <w:u w:val="none"/>
                <w:lang w:val="en-US" w:eastAsia="zh-CN"/>
              </w:rPr>
            </w:pPr>
            <w:r>
              <w:rPr>
                <w:rFonts w:hint="eastAsia" w:ascii="宋体" w:hAnsi="宋体" w:eastAsia="宋体" w:cs="宋体"/>
                <w:b/>
                <w:color w:val="auto"/>
                <w:sz w:val="21"/>
                <w:szCs w:val="21"/>
                <w:highlight w:val="none"/>
              </w:rPr>
              <w:t>大写：</w:t>
            </w:r>
            <w:r>
              <w:rPr>
                <w:rFonts w:hint="eastAsia" w:hAnsi="宋体" w:cs="宋体"/>
                <w:b/>
                <w:color w:val="auto"/>
                <w:sz w:val="21"/>
                <w:szCs w:val="21"/>
                <w:highlight w:val="none"/>
                <w:lang w:val="en-US" w:eastAsia="zh-CN"/>
              </w:rPr>
              <w:t xml:space="preserve"> </w:t>
            </w:r>
            <w:r>
              <w:rPr>
                <w:rFonts w:hint="eastAsia" w:hAnsi="宋体" w:cs="宋体"/>
                <w:b/>
                <w:color w:val="auto"/>
                <w:sz w:val="21"/>
                <w:szCs w:val="21"/>
                <w:highlight w:val="none"/>
                <w:u w:val="single"/>
                <w:lang w:val="en-US" w:eastAsia="zh-CN"/>
              </w:rPr>
              <w:t xml:space="preserve">               </w:t>
            </w:r>
            <w:r>
              <w:rPr>
                <w:rFonts w:hint="eastAsia" w:hAnsi="宋体" w:cs="宋体"/>
                <w:b/>
                <w:color w:val="auto"/>
                <w:sz w:val="21"/>
                <w:szCs w:val="21"/>
                <w:highlight w:val="none"/>
                <w:u w:val="none"/>
                <w:lang w:val="en-US" w:eastAsia="zh-CN"/>
              </w:rPr>
              <w:t>元。</w:t>
            </w:r>
          </w:p>
        </w:tc>
      </w:tr>
      <w:tr w14:paraId="45A2B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097" w:type="dxa"/>
            <w:vAlign w:val="center"/>
          </w:tcPr>
          <w:p w14:paraId="5A619ECE">
            <w:pPr>
              <w:snapToGrid w:val="0"/>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报价说明</w:t>
            </w:r>
          </w:p>
        </w:tc>
        <w:tc>
          <w:tcPr>
            <w:tcW w:w="6888" w:type="dxa"/>
            <w:vAlign w:val="center"/>
          </w:tcPr>
          <w:p w14:paraId="14351BE5">
            <w:pPr>
              <w:widowControl/>
              <w:snapToGrid w:val="0"/>
              <w:spacing w:line="460" w:lineRule="exact"/>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进行报价。</w:t>
            </w:r>
          </w:p>
        </w:tc>
      </w:tr>
    </w:tbl>
    <w:p w14:paraId="4498F495">
      <w:pPr>
        <w:snapToGrid w:val="0"/>
        <w:spacing w:before="50" w:after="50"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注：1.报价一经涂改，应在涂改处加盖单位公章或者由法定代表人或授权委托人签字或盖章，否则其投标作无效标处理。</w:t>
      </w:r>
    </w:p>
    <w:p w14:paraId="272121AD">
      <w:pPr>
        <w:snapToGrid w:val="0"/>
        <w:spacing w:before="50" w:after="50"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000000"/>
          <w:sz w:val="21"/>
          <w:szCs w:val="21"/>
          <w:highlight w:val="none"/>
          <w:lang w:val="en-US" w:eastAsia="zh-CN"/>
        </w:rPr>
        <w:t>2.投标人不得进行影响服务质量或者诚信履约的恶意报价。</w:t>
      </w:r>
      <w:r>
        <w:rPr>
          <w:rFonts w:hint="eastAsia" w:ascii="宋体" w:hAnsi="宋体" w:eastAsia="宋体" w:cs="宋体"/>
          <w:b/>
          <w:bCs/>
          <w:color w:val="000000"/>
          <w:sz w:val="21"/>
          <w:szCs w:val="21"/>
          <w:highlight w:val="none"/>
          <w:u w:val="none"/>
          <w:lang w:val="en-US" w:eastAsia="zh-CN"/>
        </w:rPr>
        <w:t>投标人报价低于</w:t>
      </w:r>
      <w:r>
        <w:rPr>
          <w:rFonts w:hint="eastAsia" w:ascii="宋体" w:hAnsi="宋体" w:eastAsia="宋体" w:cs="宋体"/>
          <w:b/>
          <w:bCs/>
          <w:color w:val="auto"/>
          <w:sz w:val="21"/>
          <w:szCs w:val="21"/>
          <w:highlight w:val="none"/>
          <w:u w:val="none"/>
          <w:lang w:val="en-US" w:eastAsia="zh-CN"/>
        </w:rPr>
        <w:t>项目</w:t>
      </w:r>
      <w:r>
        <w:rPr>
          <w:rFonts w:hint="eastAsia" w:hAnsi="宋体" w:cs="宋体"/>
          <w:b/>
          <w:bCs/>
          <w:color w:val="auto"/>
          <w:sz w:val="21"/>
          <w:szCs w:val="21"/>
          <w:highlight w:val="none"/>
          <w:u w:val="none"/>
          <w:lang w:val="en-US" w:eastAsia="zh-CN"/>
        </w:rPr>
        <w:t>最高单价限价</w:t>
      </w:r>
      <w:r>
        <w:rPr>
          <w:rFonts w:hint="eastAsia" w:ascii="宋体" w:hAnsi="宋体" w:eastAsia="宋体" w:cs="宋体"/>
          <w:b/>
          <w:bCs/>
          <w:color w:val="000000"/>
          <w:sz w:val="21"/>
          <w:szCs w:val="21"/>
          <w:highlight w:val="none"/>
          <w:u w:val="none"/>
          <w:lang w:val="en-US" w:eastAsia="zh-CN"/>
        </w:rPr>
        <w:t>50%的，应当详细阐述不影响服务质量或者诚信履约的具体原因如下：</w:t>
      </w:r>
      <w:r>
        <w:rPr>
          <w:rFonts w:hint="eastAsia" w:hAnsi="宋体" w:eastAsia="宋体" w:cs="宋体"/>
          <w:color w:val="000000"/>
          <w:sz w:val="21"/>
          <w:szCs w:val="21"/>
          <w:highlight w:val="none"/>
          <w:u w:val="single"/>
          <w:lang w:val="en-US" w:eastAsia="zh-CN"/>
        </w:rPr>
        <w:t xml:space="preserve">          。</w:t>
      </w:r>
    </w:p>
    <w:p w14:paraId="0494DBCF">
      <w:pPr>
        <w:snapToGrid w:val="0"/>
        <w:spacing w:before="50" w:after="50" w:line="460" w:lineRule="exact"/>
        <w:ind w:left="-99" w:leftChars="-29" w:right="-1323" w:rightChars="-38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法定代表人或授权代表（签字或盖章）：</w:t>
      </w:r>
    </w:p>
    <w:p w14:paraId="22C7C361">
      <w:pPr>
        <w:snapToGrid w:val="0"/>
        <w:spacing w:before="50" w:after="50" w:line="460" w:lineRule="exact"/>
        <w:ind w:left="-99" w:leftChars="-29" w:right="-1323" w:rightChars="-38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59D4B21F">
      <w:pPr>
        <w:snapToGrid w:val="0"/>
        <w:spacing w:before="50" w:after="50" w:line="460" w:lineRule="exact"/>
        <w:ind w:left="-99" w:leftChars="-29" w:right="-1323" w:rightChars="-38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FFE6AE8">
      <w:pPr>
        <w:snapToGrid w:val="0"/>
        <w:spacing w:beforeLines="50" w:after="50"/>
        <w:rPr>
          <w:rFonts w:hint="eastAsia" w:ascii="宋体" w:hAnsi="宋体" w:eastAsia="宋体" w:cs="宋体"/>
          <w:bCs/>
          <w:color w:val="auto"/>
          <w:sz w:val="24"/>
          <w:highlight w:val="none"/>
        </w:rPr>
      </w:pPr>
    </w:p>
    <w:p w14:paraId="42836807">
      <w:pPr>
        <w:pStyle w:val="13"/>
        <w:snapToGrid w:val="0"/>
        <w:spacing w:before="295" w:after="295"/>
        <w:rPr>
          <w:rFonts w:hint="eastAsia" w:ascii="宋体" w:hAnsi="宋体" w:eastAsia="宋体" w:cs="宋体"/>
          <w:color w:val="auto"/>
          <w:highlight w:val="none"/>
        </w:rPr>
      </w:pPr>
    </w:p>
    <w:p w14:paraId="7AEAD460">
      <w:pPr>
        <w:autoSpaceDE/>
        <w:autoSpaceDN/>
        <w:adjustRightInd/>
        <w:rPr>
          <w:rFonts w:hint="eastAsia" w:ascii="宋体" w:hAnsi="宋体" w:eastAsia="宋体" w:cs="宋体"/>
          <w:b/>
          <w:color w:val="auto"/>
          <w:sz w:val="24"/>
          <w:highlight w:val="none"/>
        </w:rPr>
      </w:pPr>
    </w:p>
    <w:p w14:paraId="79828B5D">
      <w:pPr>
        <w:autoSpaceDE/>
        <w:autoSpaceDN/>
        <w:adjustRightInd/>
        <w:rPr>
          <w:rFonts w:hint="eastAsia" w:ascii="宋体" w:hAnsi="宋体" w:eastAsia="宋体" w:cs="宋体"/>
          <w:color w:val="auto"/>
          <w:highlight w:val="none"/>
        </w:rPr>
      </w:pPr>
    </w:p>
    <w:sectPr>
      <w:footerReference r:id="rId11" w:type="default"/>
      <w:pgSz w:w="11906" w:h="16838"/>
      <w:pgMar w:top="1440" w:right="742" w:bottom="1440" w:left="1304" w:header="567" w:footer="1134" w:gutter="0"/>
      <w:pgNumType w:fmt="decimal" w:start="1"/>
      <w:cols w:space="0" w:num="1"/>
      <w:rtlGutter w:val="0"/>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504020202030204"/>
    <w:charset w:val="00"/>
    <w:family w:val="swiss"/>
    <w:pitch w:val="default"/>
    <w:sig w:usb0="00000000" w:usb1="00000000" w:usb2="00000000" w:usb3="00000000" w:csb0="0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B42B">
    <w:pPr>
      <w:pStyle w:val="14"/>
      <w:ind w:right="360"/>
      <w:rPr>
        <w:rStyle w:val="25"/>
      </w:rPr>
    </w:pPr>
  </w:p>
  <w:p w14:paraId="5CB5AE0F">
    <w:pPr>
      <w:pStyle w:val="14"/>
      <w:framePr w:wrap="around" w:vAnchor="text" w:hAnchor="page" w:x="15730" w:y="74"/>
      <w:ind w:right="360"/>
      <w:rPr>
        <w:rStyle w:val="25"/>
      </w:rPr>
    </w:pPr>
  </w:p>
  <w:p w14:paraId="36C08B5C">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6588">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34</w:t>
    </w:r>
    <w:r>
      <w:rPr>
        <w:rStyle w:val="25"/>
      </w:rPr>
      <w:fldChar w:fldCharType="end"/>
    </w:r>
  </w:p>
  <w:p w14:paraId="53AB96B1">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874F">
    <w:pPr>
      <w:pStyle w:val="14"/>
      <w:ind w:right="360"/>
      <w:rPr>
        <w:rStyle w:val="25"/>
      </w:rPr>
    </w:pPr>
  </w:p>
  <w:p w14:paraId="64FFD983">
    <w:pPr>
      <w:pStyle w:val="14"/>
      <w:framePr w:wrap="around" w:vAnchor="text" w:hAnchor="page" w:x="15730" w:y="74"/>
      <w:ind w:right="360"/>
      <w:rPr>
        <w:rStyle w:val="25"/>
      </w:rPr>
    </w:pPr>
  </w:p>
  <w:p w14:paraId="6D552BA8">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90B7B">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BC5F">
    <w:pPr>
      <w:pStyle w:val="14"/>
      <w:ind w:right="360"/>
      <w:rPr>
        <w:rStyle w:val="25"/>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3C5D98">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14:paraId="2E3C5D98">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5B40D8B9">
    <w:pPr>
      <w:pStyle w:val="14"/>
      <w:framePr w:wrap="around" w:vAnchor="text" w:hAnchor="page" w:x="15730" w:y="74"/>
      <w:ind w:right="360"/>
      <w:rPr>
        <w:rStyle w:val="2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D359">
    <w:pPr>
      <w:pStyle w:val="14"/>
      <w:ind w:right="360"/>
      <w:rPr>
        <w:rStyle w:val="25"/>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915A7">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aMH8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8mjB/LAQAAnAMAAA4AAAAAAAAAAQAgAAAAHgEAAGRycy9lMm9E&#10;b2MueG1sUEsFBgAAAAAGAAYAWQEAAFsFAAAAAA==&#10;">
              <v:fill on="f" focussize="0,0"/>
              <v:stroke on="f"/>
              <v:imagedata o:title=""/>
              <o:lock v:ext="edit" aspectratio="f"/>
              <v:textbox inset="0mm,0mm,0mm,0mm" style="mso-fit-shape-to-text:t;">
                <w:txbxContent>
                  <w:p w14:paraId="072915A7">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6853BC9B">
    <w:pPr>
      <w:pStyle w:val="14"/>
      <w:framePr w:wrap="around" w:vAnchor="text" w:hAnchor="page" w:x="15730" w:y="74"/>
      <w:ind w:right="360"/>
      <w:rPr>
        <w:rStyle w:val="2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12FDA">
    <w:pPr>
      <w:pStyle w:val="15"/>
      <w:pBdr>
        <w:bottom w:val="single" w:color="auto" w:sz="6" w:space="0"/>
      </w:pBdr>
      <w:rPr>
        <w:rFonts w:ascii="宋体" w:cs="宋体"/>
      </w:rPr>
    </w:pPr>
    <w:r>
      <w:rPr>
        <w:rFonts w:hint="eastAsia" w:ascii="宋体" w:hAnsi="宋体" w:cs="宋体"/>
      </w:rPr>
      <w:t>金华市天盈招标代理有限公司</w:t>
    </w:r>
  </w:p>
  <w:p w14:paraId="54BE1F16">
    <w:pPr>
      <w:pStyle w:val="15"/>
      <w:pBdr>
        <w:bottom w:val="single" w:color="auto" w:sz="6" w:space="0"/>
      </w:pBdr>
      <w:rPr>
        <w:rFonts w:hint="eastAsia" w:eastAsia="宋体"/>
        <w:lang w:eastAsia="zh-CN"/>
      </w:rPr>
    </w:pPr>
    <w:r>
      <w:rPr>
        <w:sz w:val="18"/>
      </w:rPr>
      <w:pict>
        <v:shape id="PowerPlusWaterMarkObject16228" o:spid="_x0000_s4099" o:spt="136" type="#_x0000_t136" style="position:absolute;left:0pt;height:47.3pt;width:539.9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19660f" focussize="0,0"/>
          <v:stroke on="f"/>
          <v:imagedata o:title=""/>
          <o:lock v:ext="edit" aspectratio="t"/>
          <v:textpath on="t" fitshape="t" fitpath="t" trim="t" xscale="f" string="金华市天盈招标代理有限公司" style="font-family:宋体;font-size:36pt;v-same-letter-heights:f;v-text-align:center;"/>
        </v:shape>
      </w:pict>
    </w:r>
    <w:r>
      <w:rPr>
        <w:rFonts w:hint="eastAsia" w:ascii="宋体" w:hAnsi="宋体" w:cs="宋体"/>
      </w:rPr>
      <w:t>项目编号：</w:t>
    </w: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71005" cy="687070"/>
              <wp:effectExtent l="3042285" t="0" r="0" b="0"/>
              <wp:wrapNone/>
              <wp:docPr id="1" name="WordAr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rot="-2700000">
                        <a:off x="0" y="0"/>
                        <a:ext cx="6771005" cy="687070"/>
                      </a:xfrm>
                      <a:prstGeom prst="rect">
                        <a:avLst/>
                      </a:prstGeom>
                      <a:noFill/>
                      <a:ln>
                        <a:noFill/>
                      </a:ln>
                    </wps:spPr>
                    <wps:bodyPr upright="1"/>
                  </wps:wsp>
                </a:graphicData>
              </a:graphic>
            </wp:anchor>
          </w:drawing>
        </mc:Choice>
        <mc:Fallback>
          <w:pict>
            <v:shape id="WordArt 1" o:spid="_x0000_s1026" o:spt="202" type="#_x0000_t202" style="position:absolute;left:0pt;height:54.1pt;width:533.15pt;mso-position-horizontal:center;mso-position-horizontal-relative:margin;mso-position-vertical:center;mso-position-vertical-relative:margin;rotation:-2949120f;z-index:-251657216;mso-width-relative:page;mso-height-relative:page;" filled="f" stroked="f" coordsize="21600,21600" o:gfxdata="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XrIC1gAAAAYBAAAPAAAAAAAAAAEAIAAAACIAAABkcnMvZG93bnJldi54bWxQSwEC&#10;FAAUAAAACACHTuJArjgRlL0BAACLAwAADgAAAAAAAAABACAAAAAlAQAAZHJzL2Uyb0RvYy54bWxQ&#10;SwUGAAAAAAYABgBZAQAAVAUAAAAA&#10;">
              <v:fill on="f" focussize="0,0"/>
              <v:stroke on="f"/>
              <v:imagedata o:title=""/>
              <o:lock v:ext="edit" text="t" aspectratio="t"/>
            </v:shape>
          </w:pict>
        </mc:Fallback>
      </mc:AlternateContent>
    </w:r>
    <w:r>
      <w:rPr>
        <w:rFonts w:hint="eastAsia" w:ascii="宋体" w:hAnsi="宋体" w:cs="宋体"/>
        <w:lang w:eastAsia="zh-CN"/>
      </w:rPr>
      <w:t xml:space="preserve">TY2025-FW127-ZFCG127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B44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9396">
    <w:pPr>
      <w:pStyle w:val="15"/>
      <w:pBdr>
        <w:bottom w:val="single" w:color="auto" w:sz="6" w:space="0"/>
      </w:pBdr>
      <w:rPr>
        <w:rFonts w:ascii="宋体" w:cs="宋体"/>
      </w:rPr>
    </w:pPr>
    <w:r>
      <w:rPr>
        <w:rFonts w:hint="eastAsia" w:ascii="宋体" w:hAnsi="宋体" w:cs="宋体"/>
      </w:rPr>
      <w:t>金华市天盈招标代理有限公司</w:t>
    </w:r>
  </w:p>
  <w:p w14:paraId="7DD60EDA">
    <w:pPr>
      <w:pStyle w:val="15"/>
      <w:pBdr>
        <w:bottom w:val="single" w:color="auto" w:sz="6" w:space="0"/>
      </w:pBdr>
      <w:rPr>
        <w:rFonts w:hint="default" w:ascii="宋体" w:eastAsia="宋体" w:cs="宋体"/>
        <w:lang w:val="en-US" w:eastAsia="zh-CN"/>
      </w:rPr>
    </w:pPr>
    <w:r>
      <w:rPr>
        <w:sz w:val="18"/>
      </w:rPr>
      <w:pict>
        <v:shape id="_x0000_s4100" o:spid="_x0000_s4100" o:spt="136" type="#_x0000_t136" style="position:absolute;left:0pt;height:47.3pt;width:539.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19660f" focussize="0,0"/>
          <v:stroke on="f"/>
          <v:imagedata o:title=""/>
          <o:lock v:ext="edit" aspectratio="t"/>
          <v:textpath on="t" fitshape="t" fitpath="t" trim="t" xscale="f" string="金华市天盈招标代理有限公司" style="font-family:宋体;font-size:36pt;v-same-letter-heights:f;v-text-align:center;"/>
        </v:shape>
      </w:pict>
    </w:r>
    <w:r>
      <w:rPr>
        <w:rFonts w:hint="eastAsia" w:ascii="宋体" w:hAnsi="宋体" w:cs="宋体"/>
      </w:rPr>
      <w:t>项目编号：</w:t>
    </w:r>
    <w:r>
      <w:rPr>
        <w:rFonts w:hint="eastAsia" w:ascii="宋体" w:hAnsi="宋体" w:cs="宋体"/>
        <w:lang w:eastAsia="zh-CN"/>
      </w:rPr>
      <w:t xml:space="preserve">TY2025-FW127-ZFCG127 </w:t>
    </w:r>
    <w:r>
      <w:rPr>
        <w:rFonts w:hint="eastAsia" w:ascii="宋体" w:hAnsi="宋体" w:cs="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BD9C6"/>
    <w:multiLevelType w:val="singleLevel"/>
    <w:tmpl w:val="8C4BD9C6"/>
    <w:lvl w:ilvl="0" w:tentative="0">
      <w:start w:val="1"/>
      <w:numFmt w:val="decimal"/>
      <w:suff w:val="nothing"/>
      <w:lvlText w:val="（%1）"/>
      <w:lvlJc w:val="left"/>
    </w:lvl>
  </w:abstractNum>
  <w:abstractNum w:abstractNumId="1">
    <w:nsid w:val="F849EECC"/>
    <w:multiLevelType w:val="singleLevel"/>
    <w:tmpl w:val="F849EECC"/>
    <w:lvl w:ilvl="0" w:tentative="0">
      <w:start w:val="2"/>
      <w:numFmt w:val="chineseCounting"/>
      <w:suff w:val="nothing"/>
      <w:lvlText w:val="（%1）"/>
      <w:lvlJc w:val="left"/>
      <w:rPr>
        <w:rFonts w:hint="eastAsia" w:cs="Times New Roman"/>
      </w:rPr>
    </w:lvl>
  </w:abstractNum>
  <w:abstractNum w:abstractNumId="2">
    <w:nsid w:val="2232E123"/>
    <w:multiLevelType w:val="singleLevel"/>
    <w:tmpl w:val="2232E123"/>
    <w:lvl w:ilvl="0" w:tentative="0">
      <w:start w:val="3"/>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GFiMzBmMTY4OGQwNWIzOTBkZWZlMTg4NTliMjAifQ=="/>
  </w:docVars>
  <w:rsids>
    <w:rsidRoot w:val="2F314C28"/>
    <w:rsid w:val="0004507A"/>
    <w:rsid w:val="00046718"/>
    <w:rsid w:val="001269EB"/>
    <w:rsid w:val="001605D5"/>
    <w:rsid w:val="00274963"/>
    <w:rsid w:val="002A3004"/>
    <w:rsid w:val="003B0370"/>
    <w:rsid w:val="003C6D6C"/>
    <w:rsid w:val="00406C47"/>
    <w:rsid w:val="00437826"/>
    <w:rsid w:val="0045463B"/>
    <w:rsid w:val="00510626"/>
    <w:rsid w:val="005110E4"/>
    <w:rsid w:val="005E20D6"/>
    <w:rsid w:val="005F4271"/>
    <w:rsid w:val="00710DA2"/>
    <w:rsid w:val="00725B85"/>
    <w:rsid w:val="00763ECA"/>
    <w:rsid w:val="007D22F1"/>
    <w:rsid w:val="008D334F"/>
    <w:rsid w:val="0093222A"/>
    <w:rsid w:val="0098388D"/>
    <w:rsid w:val="009C60DE"/>
    <w:rsid w:val="00A1735A"/>
    <w:rsid w:val="00A927B7"/>
    <w:rsid w:val="00E17A82"/>
    <w:rsid w:val="00E6062A"/>
    <w:rsid w:val="00EA57FE"/>
    <w:rsid w:val="00FA4B5F"/>
    <w:rsid w:val="00FB12D2"/>
    <w:rsid w:val="0196238F"/>
    <w:rsid w:val="01A9480E"/>
    <w:rsid w:val="02506AA6"/>
    <w:rsid w:val="036730D0"/>
    <w:rsid w:val="03DB54BE"/>
    <w:rsid w:val="044568BC"/>
    <w:rsid w:val="047E0D6A"/>
    <w:rsid w:val="055350D7"/>
    <w:rsid w:val="05FF456B"/>
    <w:rsid w:val="066C4C03"/>
    <w:rsid w:val="06D01FD2"/>
    <w:rsid w:val="08B07511"/>
    <w:rsid w:val="09605357"/>
    <w:rsid w:val="09C11668"/>
    <w:rsid w:val="0A136321"/>
    <w:rsid w:val="0A770419"/>
    <w:rsid w:val="0A91287C"/>
    <w:rsid w:val="0B5502C1"/>
    <w:rsid w:val="0B7137DF"/>
    <w:rsid w:val="0BD91B6F"/>
    <w:rsid w:val="0BE27A57"/>
    <w:rsid w:val="0C2B70C0"/>
    <w:rsid w:val="0C7B6544"/>
    <w:rsid w:val="0D240982"/>
    <w:rsid w:val="0D42312F"/>
    <w:rsid w:val="0D4D0C3B"/>
    <w:rsid w:val="0D820785"/>
    <w:rsid w:val="0DDE4FD5"/>
    <w:rsid w:val="0E0556F4"/>
    <w:rsid w:val="0F3A0931"/>
    <w:rsid w:val="0FBF0553"/>
    <w:rsid w:val="0FF02095"/>
    <w:rsid w:val="0FFB6AD0"/>
    <w:rsid w:val="1096009C"/>
    <w:rsid w:val="11330EF7"/>
    <w:rsid w:val="11593F8E"/>
    <w:rsid w:val="118C3605"/>
    <w:rsid w:val="124318AA"/>
    <w:rsid w:val="12AB476D"/>
    <w:rsid w:val="12D801A7"/>
    <w:rsid w:val="12F173EC"/>
    <w:rsid w:val="132711CC"/>
    <w:rsid w:val="132B35A8"/>
    <w:rsid w:val="15F60203"/>
    <w:rsid w:val="16BD5885"/>
    <w:rsid w:val="17655C42"/>
    <w:rsid w:val="17774E92"/>
    <w:rsid w:val="17C07C2B"/>
    <w:rsid w:val="182D084F"/>
    <w:rsid w:val="187456ED"/>
    <w:rsid w:val="19DE7032"/>
    <w:rsid w:val="1AA657DD"/>
    <w:rsid w:val="1B3663C1"/>
    <w:rsid w:val="1BC33A5C"/>
    <w:rsid w:val="1C1B7C71"/>
    <w:rsid w:val="1DC50F76"/>
    <w:rsid w:val="1DEA490D"/>
    <w:rsid w:val="1E090006"/>
    <w:rsid w:val="1E29215B"/>
    <w:rsid w:val="1E435010"/>
    <w:rsid w:val="1E443DE2"/>
    <w:rsid w:val="1E8C6387"/>
    <w:rsid w:val="1EAE1DE4"/>
    <w:rsid w:val="1EF16C78"/>
    <w:rsid w:val="20404CA7"/>
    <w:rsid w:val="205F69AD"/>
    <w:rsid w:val="20A82287"/>
    <w:rsid w:val="20C64D1E"/>
    <w:rsid w:val="20D113B3"/>
    <w:rsid w:val="21260D15"/>
    <w:rsid w:val="21C73B02"/>
    <w:rsid w:val="24120EBE"/>
    <w:rsid w:val="241528E5"/>
    <w:rsid w:val="246F4171"/>
    <w:rsid w:val="2472601F"/>
    <w:rsid w:val="24F16001"/>
    <w:rsid w:val="25422F24"/>
    <w:rsid w:val="25853B30"/>
    <w:rsid w:val="25A868C1"/>
    <w:rsid w:val="26A1499A"/>
    <w:rsid w:val="26D7485F"/>
    <w:rsid w:val="2718725D"/>
    <w:rsid w:val="2762689D"/>
    <w:rsid w:val="27651E6B"/>
    <w:rsid w:val="283C7F62"/>
    <w:rsid w:val="28B766F6"/>
    <w:rsid w:val="28C816F0"/>
    <w:rsid w:val="28D608BD"/>
    <w:rsid w:val="28D63020"/>
    <w:rsid w:val="291A0C42"/>
    <w:rsid w:val="296323DA"/>
    <w:rsid w:val="296879F1"/>
    <w:rsid w:val="2B15649E"/>
    <w:rsid w:val="2B3A232A"/>
    <w:rsid w:val="2BA979B1"/>
    <w:rsid w:val="2BC52ED8"/>
    <w:rsid w:val="2C2F3578"/>
    <w:rsid w:val="2C8E446A"/>
    <w:rsid w:val="2CB216AE"/>
    <w:rsid w:val="2CBD25A7"/>
    <w:rsid w:val="2CCB2770"/>
    <w:rsid w:val="2D24726F"/>
    <w:rsid w:val="2D255469"/>
    <w:rsid w:val="2D3D715C"/>
    <w:rsid w:val="2D5F14CC"/>
    <w:rsid w:val="2DB11966"/>
    <w:rsid w:val="2DFE454A"/>
    <w:rsid w:val="2E043F42"/>
    <w:rsid w:val="2E9266F5"/>
    <w:rsid w:val="2EA245EF"/>
    <w:rsid w:val="2EAB0EDC"/>
    <w:rsid w:val="2F314C28"/>
    <w:rsid w:val="30E72FB2"/>
    <w:rsid w:val="314134CB"/>
    <w:rsid w:val="31A0054E"/>
    <w:rsid w:val="32180206"/>
    <w:rsid w:val="323B24A2"/>
    <w:rsid w:val="344620C9"/>
    <w:rsid w:val="34914E36"/>
    <w:rsid w:val="35A374C1"/>
    <w:rsid w:val="36033316"/>
    <w:rsid w:val="36552258"/>
    <w:rsid w:val="36E67DCA"/>
    <w:rsid w:val="3751482E"/>
    <w:rsid w:val="37562AD3"/>
    <w:rsid w:val="37595008"/>
    <w:rsid w:val="375D2B5F"/>
    <w:rsid w:val="376304B5"/>
    <w:rsid w:val="379775F6"/>
    <w:rsid w:val="381A1924"/>
    <w:rsid w:val="38F6326A"/>
    <w:rsid w:val="392576AC"/>
    <w:rsid w:val="3A557B1D"/>
    <w:rsid w:val="3AD43138"/>
    <w:rsid w:val="3B293484"/>
    <w:rsid w:val="3CE30E59"/>
    <w:rsid w:val="3D342937"/>
    <w:rsid w:val="3E304B29"/>
    <w:rsid w:val="3E570308"/>
    <w:rsid w:val="3EF346EC"/>
    <w:rsid w:val="3F0D13ED"/>
    <w:rsid w:val="40475B63"/>
    <w:rsid w:val="405D6EC7"/>
    <w:rsid w:val="405E5EC1"/>
    <w:rsid w:val="40CF439B"/>
    <w:rsid w:val="40D774DE"/>
    <w:rsid w:val="41013204"/>
    <w:rsid w:val="410731A3"/>
    <w:rsid w:val="412206CB"/>
    <w:rsid w:val="42131368"/>
    <w:rsid w:val="4242354E"/>
    <w:rsid w:val="42FC1CFC"/>
    <w:rsid w:val="443F10FC"/>
    <w:rsid w:val="444A7310"/>
    <w:rsid w:val="445E173C"/>
    <w:rsid w:val="44C80470"/>
    <w:rsid w:val="44ED0EAA"/>
    <w:rsid w:val="452603F9"/>
    <w:rsid w:val="45914218"/>
    <w:rsid w:val="46430BED"/>
    <w:rsid w:val="477C0DDF"/>
    <w:rsid w:val="484713ED"/>
    <w:rsid w:val="48801927"/>
    <w:rsid w:val="48952158"/>
    <w:rsid w:val="49235EEE"/>
    <w:rsid w:val="49245BF1"/>
    <w:rsid w:val="49573384"/>
    <w:rsid w:val="49C600F0"/>
    <w:rsid w:val="49DE277D"/>
    <w:rsid w:val="4AE0041E"/>
    <w:rsid w:val="4B8F7614"/>
    <w:rsid w:val="4C1B2397"/>
    <w:rsid w:val="4C4C05CE"/>
    <w:rsid w:val="4C892CA6"/>
    <w:rsid w:val="4CE659BF"/>
    <w:rsid w:val="4D025C37"/>
    <w:rsid w:val="4D286AB6"/>
    <w:rsid w:val="4DE80A04"/>
    <w:rsid w:val="4E5B59CD"/>
    <w:rsid w:val="4E5D1AA6"/>
    <w:rsid w:val="4E836448"/>
    <w:rsid w:val="4EC462AD"/>
    <w:rsid w:val="4F6C3FA5"/>
    <w:rsid w:val="4FC203ED"/>
    <w:rsid w:val="5045694F"/>
    <w:rsid w:val="50823AA3"/>
    <w:rsid w:val="511638C3"/>
    <w:rsid w:val="520D73CF"/>
    <w:rsid w:val="52450CA5"/>
    <w:rsid w:val="52552958"/>
    <w:rsid w:val="52970A52"/>
    <w:rsid w:val="52A03BD4"/>
    <w:rsid w:val="52FF58D0"/>
    <w:rsid w:val="531159C8"/>
    <w:rsid w:val="533F163E"/>
    <w:rsid w:val="53D670BE"/>
    <w:rsid w:val="55C94ECA"/>
    <w:rsid w:val="56C13637"/>
    <w:rsid w:val="56F974BE"/>
    <w:rsid w:val="57360D56"/>
    <w:rsid w:val="575A15AB"/>
    <w:rsid w:val="57792C45"/>
    <w:rsid w:val="57A7652A"/>
    <w:rsid w:val="57C10738"/>
    <w:rsid w:val="57FD73D2"/>
    <w:rsid w:val="58105B2A"/>
    <w:rsid w:val="581877EE"/>
    <w:rsid w:val="594054A3"/>
    <w:rsid w:val="5A97282E"/>
    <w:rsid w:val="5AB53F94"/>
    <w:rsid w:val="5AF36F90"/>
    <w:rsid w:val="5AFF81E3"/>
    <w:rsid w:val="5C221376"/>
    <w:rsid w:val="5DD45079"/>
    <w:rsid w:val="5E363E56"/>
    <w:rsid w:val="5E5B0B43"/>
    <w:rsid w:val="5F301C37"/>
    <w:rsid w:val="5F6F4B2B"/>
    <w:rsid w:val="5F76279E"/>
    <w:rsid w:val="5F975D31"/>
    <w:rsid w:val="5FFB422D"/>
    <w:rsid w:val="60275961"/>
    <w:rsid w:val="603875F1"/>
    <w:rsid w:val="61961A3C"/>
    <w:rsid w:val="61963666"/>
    <w:rsid w:val="62790922"/>
    <w:rsid w:val="628B71B0"/>
    <w:rsid w:val="63376B6D"/>
    <w:rsid w:val="64B11C70"/>
    <w:rsid w:val="658D5F34"/>
    <w:rsid w:val="665274A1"/>
    <w:rsid w:val="6714212E"/>
    <w:rsid w:val="67890C82"/>
    <w:rsid w:val="67DD439B"/>
    <w:rsid w:val="68264209"/>
    <w:rsid w:val="68456DDE"/>
    <w:rsid w:val="68B07ABD"/>
    <w:rsid w:val="68FB242E"/>
    <w:rsid w:val="69A4446A"/>
    <w:rsid w:val="6A5E5D0F"/>
    <w:rsid w:val="6A925C21"/>
    <w:rsid w:val="6BBB661A"/>
    <w:rsid w:val="6BBE4C73"/>
    <w:rsid w:val="6C307C64"/>
    <w:rsid w:val="6CAC6EB4"/>
    <w:rsid w:val="6CB22A29"/>
    <w:rsid w:val="6CB454D9"/>
    <w:rsid w:val="6D29119E"/>
    <w:rsid w:val="6DA558AE"/>
    <w:rsid w:val="6E70000E"/>
    <w:rsid w:val="6E9F4203"/>
    <w:rsid w:val="6F4162E7"/>
    <w:rsid w:val="6FBD5AA9"/>
    <w:rsid w:val="70396783"/>
    <w:rsid w:val="705E1CD5"/>
    <w:rsid w:val="708C5DEA"/>
    <w:rsid w:val="70A30AC2"/>
    <w:rsid w:val="70FE417A"/>
    <w:rsid w:val="71AC7D92"/>
    <w:rsid w:val="71EF68EF"/>
    <w:rsid w:val="72007D93"/>
    <w:rsid w:val="72575AC4"/>
    <w:rsid w:val="72824A8C"/>
    <w:rsid w:val="73005D9D"/>
    <w:rsid w:val="73100AD4"/>
    <w:rsid w:val="73190C09"/>
    <w:rsid w:val="74187EB6"/>
    <w:rsid w:val="74AD5734"/>
    <w:rsid w:val="74B03566"/>
    <w:rsid w:val="74BE2833"/>
    <w:rsid w:val="752E0B23"/>
    <w:rsid w:val="76062B23"/>
    <w:rsid w:val="76B47B49"/>
    <w:rsid w:val="77207817"/>
    <w:rsid w:val="774162ED"/>
    <w:rsid w:val="77A7097E"/>
    <w:rsid w:val="77A74027"/>
    <w:rsid w:val="781D130D"/>
    <w:rsid w:val="788C364F"/>
    <w:rsid w:val="7BE23A4E"/>
    <w:rsid w:val="7C2B3EFC"/>
    <w:rsid w:val="7C7575D0"/>
    <w:rsid w:val="7C7F3FAA"/>
    <w:rsid w:val="7CAF4890"/>
    <w:rsid w:val="7D3F7120"/>
    <w:rsid w:val="7D9B3BB4"/>
    <w:rsid w:val="7E3179F9"/>
    <w:rsid w:val="7E655C65"/>
    <w:rsid w:val="7EBD4017"/>
    <w:rsid w:val="7F005876"/>
    <w:rsid w:val="7F1E26A5"/>
    <w:rsid w:val="7FD178C3"/>
    <w:rsid w:val="97BFB710"/>
    <w:rsid w:val="DD6F6D58"/>
    <w:rsid w:val="DEBF91FE"/>
    <w:rsid w:val="E6DFB366"/>
    <w:rsid w:val="FF5F7349"/>
    <w:rsid w:val="FF9CBCA3"/>
    <w:rsid w:val="FFA73E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34"/>
      <w:szCs w:val="20"/>
      <w:lang w:val="en-US" w:eastAsia="zh-CN" w:bidi="ar-SA"/>
    </w:rPr>
  </w:style>
  <w:style w:type="paragraph" w:styleId="3">
    <w:name w:val="heading 1"/>
    <w:basedOn w:val="1"/>
    <w:next w:val="1"/>
    <w:link w:val="29"/>
    <w:qFormat/>
    <w:uiPriority w:val="99"/>
    <w:pPr>
      <w:keepNext/>
      <w:outlineLvl w:val="0"/>
    </w:pPr>
    <w:rPr>
      <w:rFonts w:ascii="Times New Roman"/>
      <w:b/>
      <w:bCs/>
      <w:color w:val="000000"/>
      <w:sz w:val="24"/>
    </w:rPr>
  </w:style>
  <w:style w:type="paragraph" w:styleId="4">
    <w:name w:val="heading 2"/>
    <w:basedOn w:val="1"/>
    <w:next w:val="1"/>
    <w:link w:val="30"/>
    <w:qFormat/>
    <w:uiPriority w:val="99"/>
    <w:pPr>
      <w:keepNext/>
      <w:keepLines/>
      <w:autoSpaceDE/>
      <w:autoSpaceDN/>
      <w:adjustRightInd/>
      <w:spacing w:before="260" w:after="260" w:line="416" w:lineRule="auto"/>
      <w:outlineLvl w:val="1"/>
    </w:pPr>
    <w:rPr>
      <w:rFonts w:ascii="Arial" w:hAnsi="Arial" w:eastAsia="黑体"/>
      <w:b/>
      <w:bCs/>
      <w:kern w:val="2"/>
      <w:sz w:val="32"/>
      <w:szCs w:val="32"/>
    </w:rPr>
  </w:style>
  <w:style w:type="paragraph" w:styleId="5">
    <w:name w:val="heading 3"/>
    <w:basedOn w:val="1"/>
    <w:next w:val="1"/>
    <w:link w:val="31"/>
    <w:qFormat/>
    <w:uiPriority w:val="99"/>
    <w:pPr>
      <w:keepNext/>
      <w:keepLines/>
      <w:autoSpaceDE/>
      <w:autoSpaceDN/>
      <w:spacing w:before="260" w:after="260" w:line="416" w:lineRule="atLeast"/>
      <w:jc w:val="both"/>
      <w:outlineLvl w:val="2"/>
    </w:pPr>
    <w:rPr>
      <w:rFonts w:ascii="Times New Roman"/>
      <w:b/>
      <w:sz w:val="32"/>
    </w:rPr>
  </w:style>
  <w:style w:type="paragraph" w:styleId="6">
    <w:name w:val="heading 4"/>
    <w:basedOn w:val="1"/>
    <w:next w:val="1"/>
    <w:link w:val="32"/>
    <w:qFormat/>
    <w:uiPriority w:val="99"/>
    <w:pPr>
      <w:keepNext/>
      <w:keepLines/>
      <w:autoSpaceDE/>
      <w:autoSpaceDN/>
      <w:adjustRightInd/>
      <w:spacing w:before="280" w:after="290" w:line="376" w:lineRule="auto"/>
      <w:jc w:val="both"/>
      <w:outlineLvl w:val="3"/>
    </w:pPr>
    <w:rPr>
      <w:rFonts w:ascii="Arial" w:hAnsi="Arial" w:eastAsia="黑体"/>
      <w:b/>
      <w:kern w:val="2"/>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widowControl w:val="0"/>
      <w:autoSpaceDE w:val="0"/>
      <w:autoSpaceDN w:val="0"/>
      <w:adjustRightInd w:val="0"/>
      <w:spacing w:before="240" w:after="60"/>
      <w:ind w:left="0" w:right="0"/>
      <w:jc w:val="center"/>
      <w:outlineLvl w:val="0"/>
    </w:pPr>
    <w:rPr>
      <w:rFonts w:ascii="Cambria" w:hAnsi="Cambria" w:eastAsia="宋体" w:cs="Times New Roman"/>
      <w:b/>
      <w:bCs/>
      <w:sz w:val="32"/>
      <w:szCs w:val="32"/>
      <w:lang w:val="en-US" w:eastAsia="zh-CN" w:bidi="ar-SA"/>
    </w:rPr>
  </w:style>
  <w:style w:type="paragraph" w:styleId="7">
    <w:name w:val="Normal Indent"/>
    <w:basedOn w:val="1"/>
    <w:next w:val="8"/>
    <w:qFormat/>
    <w:uiPriority w:val="99"/>
    <w:pPr>
      <w:ind w:firstLine="420" w:firstLineChars="200"/>
      <w:jc w:val="both"/>
    </w:pPr>
    <w:rPr>
      <w:rFonts w:ascii="Times New Roman"/>
      <w:kern w:val="2"/>
      <w:sz w:val="21"/>
      <w:szCs w:val="21"/>
    </w:rPr>
  </w:style>
  <w:style w:type="paragraph" w:styleId="8">
    <w:name w:val="Body Text Indent"/>
    <w:basedOn w:val="1"/>
    <w:next w:val="9"/>
    <w:link w:val="33"/>
    <w:qFormat/>
    <w:uiPriority w:val="99"/>
    <w:pPr>
      <w:adjustRightInd/>
      <w:ind w:firstLine="900"/>
      <w:jc w:val="both"/>
    </w:pPr>
    <w:rPr>
      <w:rFonts w:ascii="Times New Roman"/>
      <w:kern w:val="2"/>
      <w:sz w:val="28"/>
    </w:rPr>
  </w:style>
  <w:style w:type="paragraph" w:styleId="9">
    <w:name w:val="envelope return"/>
    <w:basedOn w:val="1"/>
    <w:qFormat/>
    <w:locked/>
    <w:uiPriority w:val="0"/>
    <w:pPr>
      <w:snapToGrid w:val="0"/>
    </w:pPr>
    <w:rPr>
      <w:rFonts w:ascii="Arial" w:hAnsi="Arial"/>
    </w:rPr>
  </w:style>
  <w:style w:type="paragraph" w:styleId="10">
    <w:name w:val="annotation text"/>
    <w:basedOn w:val="1"/>
    <w:link w:val="34"/>
    <w:qFormat/>
    <w:uiPriority w:val="99"/>
  </w:style>
  <w:style w:type="paragraph" w:styleId="11">
    <w:name w:val="Body Text"/>
    <w:basedOn w:val="1"/>
    <w:next w:val="1"/>
    <w:link w:val="35"/>
    <w:qFormat/>
    <w:uiPriority w:val="99"/>
    <w:rPr>
      <w:rFonts w:ascii="Times New Roman"/>
      <w:sz w:val="28"/>
    </w:rPr>
  </w:style>
  <w:style w:type="paragraph" w:styleId="12">
    <w:name w:val="Block Text"/>
    <w:basedOn w:val="1"/>
    <w:qFormat/>
    <w:uiPriority w:val="99"/>
    <w:pPr>
      <w:spacing w:line="300" w:lineRule="auto"/>
      <w:ind w:left="958" w:right="-120" w:rightChars="-120"/>
    </w:pPr>
    <w:rPr>
      <w:rFonts w:hAnsi="宋体"/>
      <w:sz w:val="28"/>
    </w:rPr>
  </w:style>
  <w:style w:type="paragraph" w:styleId="13">
    <w:name w:val="Plain Text"/>
    <w:basedOn w:val="1"/>
    <w:link w:val="37"/>
    <w:qFormat/>
    <w:uiPriority w:val="99"/>
    <w:rPr>
      <w:rFonts w:ascii="Times New Roman" w:hAnsi="Courier New" w:cs="Courier New"/>
      <w:szCs w:val="21"/>
    </w:rPr>
  </w:style>
  <w:style w:type="paragraph" w:styleId="14">
    <w:name w:val="footer"/>
    <w:basedOn w:val="1"/>
    <w:link w:val="38"/>
    <w:qFormat/>
    <w:uiPriority w:val="99"/>
    <w:pPr>
      <w:tabs>
        <w:tab w:val="center" w:pos="4140"/>
        <w:tab w:val="right" w:pos="8300"/>
      </w:tabs>
      <w:snapToGrid w:val="0"/>
    </w:pPr>
    <w:rPr>
      <w:rFonts w:ascii="Times New Roman"/>
      <w:sz w:val="18"/>
    </w:rPr>
  </w:style>
  <w:style w:type="paragraph" w:styleId="15">
    <w:name w:val="header"/>
    <w:basedOn w:val="1"/>
    <w:link w:val="39"/>
    <w:qFormat/>
    <w:uiPriority w:val="99"/>
    <w:pPr>
      <w:pBdr>
        <w:bottom w:val="single" w:color="000000" w:sz="6" w:space="1"/>
      </w:pBdr>
      <w:tabs>
        <w:tab w:val="center" w:pos="4140"/>
        <w:tab w:val="right" w:pos="8300"/>
      </w:tabs>
      <w:snapToGrid w:val="0"/>
      <w:jc w:val="center"/>
    </w:pPr>
    <w:rPr>
      <w:rFonts w:ascii="Times New Roman"/>
      <w:sz w:val="18"/>
    </w:rPr>
  </w:style>
  <w:style w:type="paragraph" w:styleId="16">
    <w:name w:val="toc 1"/>
    <w:basedOn w:val="1"/>
    <w:next w:val="1"/>
    <w:qFormat/>
    <w:uiPriority w:val="99"/>
    <w:pPr>
      <w:spacing w:before="120" w:after="120"/>
    </w:pPr>
    <w:rPr>
      <w:rFonts w:ascii="Times New Roman"/>
      <w:b/>
      <w:bCs/>
      <w:caps/>
      <w:sz w:val="20"/>
    </w:rPr>
  </w:style>
  <w:style w:type="paragraph" w:styleId="17">
    <w:name w:val="List"/>
    <w:basedOn w:val="1"/>
    <w:next w:val="1"/>
    <w:qFormat/>
    <w:uiPriority w:val="99"/>
    <w:pPr>
      <w:ind w:left="200" w:hanging="200" w:hangingChars="200"/>
    </w:pPr>
    <w:rPr>
      <w:rFonts w:ascii="Times New Roman"/>
    </w:rPr>
  </w:style>
  <w:style w:type="paragraph" w:styleId="18">
    <w:name w:val="toc 2"/>
    <w:basedOn w:val="1"/>
    <w:next w:val="1"/>
    <w:qFormat/>
    <w:uiPriority w:val="99"/>
    <w:pPr>
      <w:tabs>
        <w:tab w:val="right" w:leader="dot" w:pos="9440"/>
      </w:tabs>
      <w:spacing w:line="380" w:lineRule="atLeast"/>
      <w:ind w:right="-133" w:rightChars="-39"/>
      <w:jc w:val="both"/>
    </w:pPr>
    <w:rPr>
      <w:rFonts w:ascii="Times New Roman"/>
      <w:smallCaps/>
      <w:color w:val="000000"/>
      <w:sz w:val="21"/>
      <w:szCs w:val="21"/>
    </w:rPr>
  </w:style>
  <w:style w:type="paragraph" w:styleId="19">
    <w:name w:val="Normal (Web)"/>
    <w:basedOn w:val="1"/>
    <w:qFormat/>
    <w:uiPriority w:val="99"/>
    <w:pPr>
      <w:widowControl/>
      <w:autoSpaceDE/>
      <w:autoSpaceDN/>
      <w:adjustRightInd/>
      <w:spacing w:before="100" w:beforeAutospacing="1" w:after="100" w:afterAutospacing="1"/>
    </w:pPr>
    <w:rPr>
      <w:rFonts w:ascii="Times New Roman" w:hAnsi="宋体"/>
      <w:sz w:val="24"/>
      <w:szCs w:val="24"/>
    </w:rPr>
  </w:style>
  <w:style w:type="paragraph" w:styleId="20">
    <w:name w:val="Body Text First Indent"/>
    <w:basedOn w:val="11"/>
    <w:next w:val="17"/>
    <w:link w:val="36"/>
    <w:qFormat/>
    <w:uiPriority w:val="99"/>
    <w:pPr>
      <w:ind w:firstLine="420" w:firstLineChars="100"/>
    </w:pPr>
  </w:style>
  <w:style w:type="paragraph" w:styleId="21">
    <w:name w:val="Body Text First Indent 2"/>
    <w:basedOn w:val="8"/>
    <w:next w:val="1"/>
    <w:link w:val="40"/>
    <w:qFormat/>
    <w:uiPriority w:val="99"/>
    <w:pPr>
      <w:spacing w:after="120"/>
      <w:ind w:left="420" w:leftChars="200" w:firstLine="420"/>
    </w:pPr>
  </w:style>
  <w:style w:type="character" w:styleId="24">
    <w:name w:val="Strong"/>
    <w:basedOn w:val="23"/>
    <w:qFormat/>
    <w:uiPriority w:val="99"/>
    <w:rPr>
      <w:rFonts w:ascii="Times New Roman" w:hAnsi="Times New Roman" w:eastAsia="宋体" w:cs="Times New Roman"/>
      <w:b/>
    </w:rPr>
  </w:style>
  <w:style w:type="character" w:styleId="25">
    <w:name w:val="page number"/>
    <w:basedOn w:val="23"/>
    <w:qFormat/>
    <w:uiPriority w:val="99"/>
    <w:rPr>
      <w:rFonts w:ascii="Times New Roman" w:hAnsi="Times New Roman" w:eastAsia="宋体" w:cs="Times New Roman"/>
    </w:rPr>
  </w:style>
  <w:style w:type="character" w:styleId="26">
    <w:name w:val="Hyperlink"/>
    <w:basedOn w:val="23"/>
    <w:semiHidden/>
    <w:unhideWhenUsed/>
    <w:qFormat/>
    <w:locked/>
    <w:uiPriority w:val="99"/>
    <w:rPr>
      <w:color w:val="0000FF"/>
      <w:u w:val="single"/>
    </w:rPr>
  </w:style>
  <w:style w:type="paragraph" w:customStyle="1" w:styleId="27">
    <w:name w:val="xl53"/>
    <w:basedOn w:val="1"/>
    <w:next w:val="1"/>
    <w:qFormat/>
    <w:uiPriority w:val="0"/>
    <w:pPr>
      <w:spacing w:before="280" w:after="280" w:line="100" w:lineRule="exact"/>
      <w:jc w:val="center"/>
    </w:pPr>
    <w:rPr>
      <w:rFonts w:ascii="宋体"/>
      <w:b/>
      <w:sz w:val="20"/>
    </w:rPr>
  </w:style>
  <w:style w:type="paragraph" w:customStyle="1" w:styleId="28">
    <w:name w:val="章正文"/>
    <w:basedOn w:val="1"/>
    <w:qFormat/>
    <w:uiPriority w:val="99"/>
    <w:pPr>
      <w:spacing w:beforeLines="50" w:after="120" w:line="300" w:lineRule="auto"/>
      <w:ind w:firstLine="480"/>
    </w:pPr>
    <w:rPr>
      <w:rFonts w:ascii="Helvetica" w:hAnsi="Helvetica"/>
      <w:kern w:val="0"/>
      <w:sz w:val="24"/>
    </w:rPr>
  </w:style>
  <w:style w:type="character" w:customStyle="1" w:styleId="29">
    <w:name w:val="标题 1 Char"/>
    <w:basedOn w:val="23"/>
    <w:link w:val="3"/>
    <w:qFormat/>
    <w:locked/>
    <w:uiPriority w:val="99"/>
    <w:rPr>
      <w:rFonts w:ascii="宋体" w:cs="Times New Roman"/>
      <w:b/>
      <w:bCs/>
      <w:kern w:val="44"/>
      <w:sz w:val="44"/>
      <w:szCs w:val="44"/>
    </w:rPr>
  </w:style>
  <w:style w:type="character" w:customStyle="1" w:styleId="30">
    <w:name w:val="标题 2 Char"/>
    <w:basedOn w:val="23"/>
    <w:link w:val="4"/>
    <w:semiHidden/>
    <w:qFormat/>
    <w:locked/>
    <w:uiPriority w:val="99"/>
    <w:rPr>
      <w:rFonts w:ascii="Cambria" w:hAnsi="Cambria" w:eastAsia="宋体" w:cs="Times New Roman"/>
      <w:b/>
      <w:bCs/>
      <w:kern w:val="0"/>
      <w:sz w:val="32"/>
      <w:szCs w:val="32"/>
    </w:rPr>
  </w:style>
  <w:style w:type="character" w:customStyle="1" w:styleId="31">
    <w:name w:val="标题 3 Char"/>
    <w:basedOn w:val="23"/>
    <w:link w:val="5"/>
    <w:semiHidden/>
    <w:qFormat/>
    <w:locked/>
    <w:uiPriority w:val="99"/>
    <w:rPr>
      <w:rFonts w:ascii="宋体" w:cs="Times New Roman"/>
      <w:b/>
      <w:bCs/>
      <w:kern w:val="0"/>
      <w:sz w:val="32"/>
      <w:szCs w:val="32"/>
    </w:rPr>
  </w:style>
  <w:style w:type="character" w:customStyle="1" w:styleId="32">
    <w:name w:val="标题 4 Char"/>
    <w:basedOn w:val="23"/>
    <w:link w:val="6"/>
    <w:semiHidden/>
    <w:qFormat/>
    <w:locked/>
    <w:uiPriority w:val="99"/>
    <w:rPr>
      <w:rFonts w:ascii="Cambria" w:hAnsi="Cambria" w:eastAsia="宋体" w:cs="Times New Roman"/>
      <w:b/>
      <w:bCs/>
      <w:kern w:val="0"/>
      <w:sz w:val="28"/>
      <w:szCs w:val="28"/>
    </w:rPr>
  </w:style>
  <w:style w:type="character" w:customStyle="1" w:styleId="33">
    <w:name w:val="正文文本缩进 Char"/>
    <w:basedOn w:val="23"/>
    <w:link w:val="8"/>
    <w:semiHidden/>
    <w:qFormat/>
    <w:locked/>
    <w:uiPriority w:val="99"/>
    <w:rPr>
      <w:rFonts w:ascii="宋体" w:cs="Times New Roman"/>
      <w:kern w:val="0"/>
      <w:sz w:val="20"/>
      <w:szCs w:val="20"/>
    </w:rPr>
  </w:style>
  <w:style w:type="character" w:customStyle="1" w:styleId="34">
    <w:name w:val="批注文字 Char"/>
    <w:basedOn w:val="23"/>
    <w:link w:val="10"/>
    <w:semiHidden/>
    <w:qFormat/>
    <w:locked/>
    <w:uiPriority w:val="99"/>
    <w:rPr>
      <w:rFonts w:ascii="宋体" w:cs="Times New Roman"/>
      <w:kern w:val="0"/>
      <w:sz w:val="20"/>
      <w:szCs w:val="20"/>
    </w:rPr>
  </w:style>
  <w:style w:type="character" w:customStyle="1" w:styleId="35">
    <w:name w:val="正文文本 Char"/>
    <w:basedOn w:val="23"/>
    <w:link w:val="11"/>
    <w:semiHidden/>
    <w:qFormat/>
    <w:locked/>
    <w:uiPriority w:val="99"/>
    <w:rPr>
      <w:rFonts w:ascii="宋体" w:cs="Times New Roman"/>
      <w:kern w:val="0"/>
      <w:sz w:val="20"/>
      <w:szCs w:val="20"/>
    </w:rPr>
  </w:style>
  <w:style w:type="character" w:customStyle="1" w:styleId="36">
    <w:name w:val="正文首行缩进 Char"/>
    <w:basedOn w:val="35"/>
    <w:link w:val="20"/>
    <w:semiHidden/>
    <w:qFormat/>
    <w:locked/>
    <w:uiPriority w:val="99"/>
  </w:style>
  <w:style w:type="character" w:customStyle="1" w:styleId="37">
    <w:name w:val="纯文本 Char"/>
    <w:basedOn w:val="23"/>
    <w:link w:val="13"/>
    <w:semiHidden/>
    <w:qFormat/>
    <w:locked/>
    <w:uiPriority w:val="99"/>
    <w:rPr>
      <w:rFonts w:ascii="宋体" w:hAnsi="Courier New" w:cs="Courier New"/>
      <w:kern w:val="0"/>
      <w:sz w:val="21"/>
      <w:szCs w:val="21"/>
    </w:rPr>
  </w:style>
  <w:style w:type="character" w:customStyle="1" w:styleId="38">
    <w:name w:val="页脚 Char"/>
    <w:basedOn w:val="23"/>
    <w:link w:val="14"/>
    <w:semiHidden/>
    <w:qFormat/>
    <w:locked/>
    <w:uiPriority w:val="99"/>
    <w:rPr>
      <w:rFonts w:ascii="宋体" w:cs="Times New Roman"/>
      <w:kern w:val="0"/>
      <w:sz w:val="18"/>
      <w:szCs w:val="18"/>
    </w:rPr>
  </w:style>
  <w:style w:type="character" w:customStyle="1" w:styleId="39">
    <w:name w:val="页眉 Char"/>
    <w:basedOn w:val="23"/>
    <w:link w:val="15"/>
    <w:semiHidden/>
    <w:qFormat/>
    <w:locked/>
    <w:uiPriority w:val="99"/>
    <w:rPr>
      <w:rFonts w:ascii="宋体" w:cs="Times New Roman"/>
      <w:kern w:val="0"/>
      <w:sz w:val="18"/>
      <w:szCs w:val="18"/>
    </w:rPr>
  </w:style>
  <w:style w:type="character" w:customStyle="1" w:styleId="40">
    <w:name w:val="正文首行缩进 2 Char"/>
    <w:basedOn w:val="33"/>
    <w:link w:val="21"/>
    <w:semiHidden/>
    <w:qFormat/>
    <w:locked/>
    <w:uiPriority w:val="99"/>
  </w:style>
  <w:style w:type="paragraph" w:customStyle="1" w:styleId="41">
    <w:name w:val="样式2"/>
    <w:basedOn w:val="42"/>
    <w:next w:val="1"/>
    <w:qFormat/>
    <w:uiPriority w:val="99"/>
    <w:pPr>
      <w:tabs>
        <w:tab w:val="left" w:pos="360"/>
      </w:tabs>
      <w:ind w:firstLine="420" w:firstLineChars="200"/>
    </w:pPr>
    <w:rPr>
      <w:rFonts w:ascii="Calibri" w:hAnsi="Calibri" w:eastAsia="宋体"/>
      <w:szCs w:val="22"/>
    </w:rPr>
  </w:style>
  <w:style w:type="paragraph" w:customStyle="1" w:styleId="42">
    <w:name w:val="标题4"/>
    <w:basedOn w:val="6"/>
    <w:qFormat/>
    <w:uiPriority w:val="99"/>
    <w:pPr>
      <w:keepNext w:val="0"/>
      <w:keepLines w:val="0"/>
      <w:tabs>
        <w:tab w:val="left" w:pos="360"/>
      </w:tabs>
      <w:spacing w:before="100" w:beforeAutospacing="1" w:after="100" w:afterAutospacing="1" w:line="360" w:lineRule="auto"/>
    </w:pPr>
    <w:rPr>
      <w:rFonts w:ascii="幼圆" w:eastAsia="幼圆"/>
      <w:sz w:val="21"/>
      <w:szCs w:val="21"/>
    </w:rPr>
  </w:style>
  <w:style w:type="paragraph" w:customStyle="1" w:styleId="43">
    <w:name w:val="GP正文(首行缩进)"/>
    <w:basedOn w:val="1"/>
    <w:qFormat/>
    <w:uiPriority w:val="99"/>
    <w:rPr>
      <w:rFonts w:ascii="Times New Roman" w:eastAsia="仿宋"/>
      <w:color w:val="000000"/>
      <w:szCs w:val="21"/>
      <w:lang w:eastAsia="en-US"/>
    </w:rPr>
  </w:style>
  <w:style w:type="paragraph" w:customStyle="1" w:styleId="44">
    <w:name w:val="[Normal]"/>
    <w:qFormat/>
    <w:uiPriority w:val="99"/>
    <w:pPr>
      <w:widowControl w:val="0"/>
      <w:autoSpaceDE w:val="0"/>
      <w:autoSpaceDN w:val="0"/>
      <w:adjustRightInd w:val="0"/>
    </w:pPr>
    <w:rPr>
      <w:rFonts w:ascii="宋体" w:hAnsi="Calibri" w:eastAsia="宋体" w:cs="宋体"/>
      <w:kern w:val="0"/>
      <w:sz w:val="24"/>
      <w:szCs w:val="24"/>
      <w:lang w:val="en-US" w:eastAsia="zh-CN" w:bidi="ar-SA"/>
    </w:rPr>
  </w:style>
  <w:style w:type="paragraph" w:customStyle="1" w:styleId="45">
    <w:name w:val="F-正文"/>
    <w:qFormat/>
    <w:uiPriority w:val="99"/>
    <w:pPr>
      <w:spacing w:line="560" w:lineRule="exact"/>
      <w:jc w:val="both"/>
    </w:pPr>
    <w:rPr>
      <w:rFonts w:ascii="Times" w:hAnsi="Times" w:eastAsia="仿宋" w:cs="Times New Roman"/>
      <w:kern w:val="2"/>
      <w:sz w:val="24"/>
      <w:szCs w:val="20"/>
      <w:lang w:val="en-US" w:eastAsia="zh-CN" w:bidi="ar-SA"/>
    </w:rPr>
  </w:style>
  <w:style w:type="character" w:customStyle="1" w:styleId="46">
    <w:name w:val="NormalCharacter"/>
    <w:qFormat/>
    <w:uiPriority w:val="99"/>
    <w:rPr>
      <w:rFonts w:ascii="宋体" w:hAnsi="Times New Roman" w:eastAsia="宋体"/>
      <w:sz w:val="34"/>
      <w:lang w:val="en-US" w:eastAsia="zh-CN"/>
    </w:rPr>
  </w:style>
  <w:style w:type="paragraph" w:customStyle="1" w:styleId="47">
    <w:name w:val="纯文本1"/>
    <w:basedOn w:val="48"/>
    <w:qFormat/>
    <w:uiPriority w:val="99"/>
    <w:rPr>
      <w:rFonts w:ascii="宋体" w:hAnsi="Courier New"/>
      <w:kern w:val="0"/>
      <w:sz w:val="20"/>
      <w:szCs w:val="21"/>
    </w:rPr>
  </w:style>
  <w:style w:type="paragraph" w:customStyle="1" w:styleId="48">
    <w:name w:val="正文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49">
    <w:name w:val="p0"/>
    <w:basedOn w:val="1"/>
    <w:qFormat/>
    <w:uiPriority w:val="99"/>
    <w:pPr>
      <w:widowControl/>
      <w:autoSpaceDE/>
      <w:autoSpaceDN/>
      <w:adjustRightInd/>
      <w:jc w:val="both"/>
    </w:pPr>
    <w:rPr>
      <w:rFonts w:ascii="Courier" w:hAnsi="Courier" w:eastAsia="MingLiU"/>
      <w:sz w:val="21"/>
      <w:lang w:eastAsia="zh-TW"/>
    </w:rPr>
  </w:style>
  <w:style w:type="paragraph" w:customStyle="1" w:styleId="50">
    <w:name w:val="reader-word-layer"/>
    <w:basedOn w:val="1"/>
    <w:qFormat/>
    <w:uiPriority w:val="99"/>
    <w:pPr>
      <w:widowControl/>
      <w:spacing w:before="100" w:beforeAutospacing="1" w:after="100" w:afterAutospacing="1"/>
    </w:pPr>
    <w:rPr>
      <w:rFonts w:ascii="Times New Roman" w:hAnsi="宋体" w:cs="宋体"/>
      <w:sz w:val="24"/>
      <w:szCs w:val="24"/>
    </w:rPr>
  </w:style>
  <w:style w:type="paragraph" w:customStyle="1" w:styleId="51">
    <w:name w:val="PlainText"/>
    <w:basedOn w:val="1"/>
    <w:qFormat/>
    <w:uiPriority w:val="99"/>
    <w:rPr>
      <w:rFonts w:hAnsi="Courier New"/>
    </w:rPr>
  </w:style>
  <w:style w:type="paragraph" w:customStyle="1" w:styleId="52">
    <w:name w:val="BodyText3"/>
    <w:basedOn w:val="1"/>
    <w:qFormat/>
    <w:uiPriority w:val="99"/>
    <w:pPr>
      <w:spacing w:line="640" w:lineRule="exact"/>
    </w:pPr>
    <w:rPr>
      <w:sz w:val="16"/>
      <w:szCs w:val="16"/>
    </w:rPr>
  </w:style>
  <w:style w:type="character" w:customStyle="1" w:styleId="53">
    <w:name w:val="font11"/>
    <w:basedOn w:val="23"/>
    <w:qFormat/>
    <w:uiPriority w:val="0"/>
    <w:rPr>
      <w:rFonts w:hint="eastAsia" w:ascii="宋体" w:hAnsi="宋体" w:eastAsia="宋体" w:cs="宋体"/>
      <w:color w:val="000000"/>
      <w:sz w:val="21"/>
      <w:szCs w:val="21"/>
      <w:u w:val="none"/>
    </w:rPr>
  </w:style>
  <w:style w:type="paragraph" w:customStyle="1" w:styleId="54">
    <w:name w:val="Normal"/>
    <w:qFormat/>
    <w:uiPriority w:val="0"/>
    <w:rPr>
      <w:rFonts w:ascii="Times New Roman" w:hAnsi="Times New Roman" w:eastAsia="Times New Roman" w:cs="Times New Roman"/>
      <w:sz w:val="24"/>
      <w:szCs w:val="24"/>
      <w:lang w:val="en-US" w:eastAsia="zh-CN" w:bidi="ar-SA"/>
    </w:rPr>
  </w:style>
  <w:style w:type="paragraph" w:customStyle="1" w:styleId="55">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1026"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20700</Words>
  <Characters>21946</Characters>
  <Lines>42</Lines>
  <Paragraphs>78</Paragraphs>
  <TotalTime>7</TotalTime>
  <ScaleCrop>false</ScaleCrop>
  <LinksUpToDate>false</LinksUpToDate>
  <CharactersWithSpaces>22188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2024-01-31T06:18:00Z</dcterms:created>
  <dc:creator>。</dc:creator>
  <cp:lastModifiedBy>。</cp:lastModifiedBy>
  <cp:lastPrinted>2024-01-05T08:30:00Z</cp:lastPrinted>
  <dcterms:modified xsi:type="dcterms:W3CDTF">2025-06-25T07:06:04Z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EEBC89B01D5A461998F5B178154CF811_13</vt:lpwstr>
  </property>
  <property fmtid="{D5CDD505-2E9C-101B-9397-08002B2CF9AE}" pid="4" name="KSOTemplateDocerSaveRecord">
    <vt:lpwstr>eyJoZGlkIjoiNDM1MGFiMzBmMTY4OGQwNWIzOTBkZWZlMTg4NTliMjAiLCJ1c2VySWQiOiI0MzE2Njc3NjUifQ==</vt:lpwstr>
  </property>
</Properties>
</file>